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49024">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sz w:val="15"/>
          <w:szCs w:val="15"/>
          <w:highlight w:val="none"/>
          <w:lang w:eastAsia="zh-CN"/>
        </w:rPr>
      </w:pPr>
      <w:bookmarkStart w:id="87" w:name="_GoBack"/>
      <w:bookmarkEnd w:id="87"/>
    </w:p>
    <w:p w14:paraId="4E000F44">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sz w:val="60"/>
          <w:szCs w:val="60"/>
          <w:highlight w:val="none"/>
          <w:lang w:eastAsia="zh-CN"/>
        </w:rPr>
      </w:pPr>
    </w:p>
    <w:p w14:paraId="016C4344">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lang w:eastAsia="zh-CN"/>
        </w:rPr>
        <w:t>灵宝市中等专业学校智慧康养实训室建设、虚拟仿真思政教室建设及学校内涵提升建设项目</w:t>
      </w:r>
    </w:p>
    <w:p w14:paraId="1149CA1C">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sz w:val="60"/>
          <w:szCs w:val="60"/>
          <w:highlight w:val="none"/>
        </w:rPr>
      </w:pPr>
    </w:p>
    <w:p w14:paraId="3D204C3B">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highlight w:val="none"/>
        </w:rPr>
      </w:pPr>
      <w:r>
        <w:rPr>
          <w:rFonts w:hint="eastAsia" w:ascii="宋体" w:hAnsi="宋体" w:eastAsia="宋体" w:cs="宋体"/>
          <w:b/>
          <w:bCs/>
          <w:color w:val="auto"/>
          <w:sz w:val="60"/>
          <w:szCs w:val="60"/>
          <w:highlight w:val="none"/>
        </w:rPr>
        <w:t>招 标 文 件</w:t>
      </w:r>
    </w:p>
    <w:p w14:paraId="2BB103F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项目编号:</w:t>
      </w:r>
      <w:r>
        <w:rPr>
          <w:rFonts w:hint="eastAsia" w:ascii="宋体" w:hAnsi="宋体" w:eastAsia="宋体" w:cs="宋体"/>
          <w:b/>
          <w:bCs/>
          <w:color w:val="auto"/>
          <w:sz w:val="28"/>
          <w:szCs w:val="28"/>
          <w:highlight w:val="none"/>
          <w:lang w:val="en-US" w:eastAsia="zh-CN"/>
        </w:rPr>
        <w:t xml:space="preserve"> 灵宝公开采购-2025-41；LBGZ[2025]159-ZC109</w:t>
      </w:r>
    </w:p>
    <w:p w14:paraId="37D6086F">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sz w:val="28"/>
          <w:szCs w:val="28"/>
          <w:highlight w:val="none"/>
          <w:lang w:val="en-US" w:eastAsia="zh-CN"/>
        </w:rPr>
      </w:pPr>
    </w:p>
    <w:p w14:paraId="5482A85A">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highlight w:val="none"/>
        </w:rPr>
      </w:pPr>
    </w:p>
    <w:p w14:paraId="7824B591">
      <w:pPr>
        <w:pStyle w:val="19"/>
        <w:pageBreakBefore w:val="0"/>
        <w:bidi w:val="0"/>
        <w:adjustRightInd w:val="0"/>
        <w:snapToGrid w:val="0"/>
        <w:spacing w:beforeAutospacing="0" w:after="0" w:afterAutospacing="0" w:line="360" w:lineRule="auto"/>
        <w:ind w:left="0" w:leftChars="0" w:right="0" w:firstLine="200"/>
        <w:rPr>
          <w:rFonts w:hint="eastAsia" w:ascii="宋体" w:hAnsi="宋体" w:eastAsia="宋体" w:cs="宋体"/>
          <w:color w:val="auto"/>
          <w:highlight w:val="none"/>
        </w:rPr>
      </w:pPr>
    </w:p>
    <w:p w14:paraId="444A61F7">
      <w:pPr>
        <w:pStyle w:val="19"/>
        <w:pageBreakBefore w:val="0"/>
        <w:bidi w:val="0"/>
        <w:adjustRightInd w:val="0"/>
        <w:snapToGrid w:val="0"/>
        <w:spacing w:beforeAutospacing="0" w:after="0" w:afterAutospacing="0" w:line="360" w:lineRule="auto"/>
        <w:ind w:left="0" w:leftChars="0" w:right="0" w:firstLine="0" w:firstLineChars="0"/>
        <w:jc w:val="center"/>
        <w:rPr>
          <w:rFonts w:hint="eastAsia" w:ascii="宋体" w:hAnsi="宋体" w:eastAsia="宋体" w:cs="宋体"/>
          <w:color w:val="auto"/>
          <w:highlight w:val="none"/>
        </w:rPr>
      </w:pPr>
      <w:r>
        <w:rPr>
          <w:rFonts w:hint="eastAsia" w:ascii="宋体" w:hAnsi="宋体" w:eastAsia="宋体" w:cs="宋体"/>
          <w:b/>
          <w:color w:val="auto"/>
          <w:kern w:val="2"/>
          <w:sz w:val="30"/>
          <w:szCs w:val="30"/>
          <w:highlight w:val="none"/>
          <w:lang w:val="en-US" w:eastAsia="zh-CN" w:bidi="ar-SA"/>
        </w:rPr>
        <w:drawing>
          <wp:inline distT="0" distB="0" distL="114300" distR="114300">
            <wp:extent cx="2914650" cy="2714625"/>
            <wp:effectExtent l="0" t="0" r="0" b="9525"/>
            <wp:docPr id="4" name="图片 4" descr="544b2702bf58566d80663de2542f7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44b2702bf58566d80663de2542f7c4"/>
                    <pic:cNvPicPr>
                      <a:picLocks noChangeAspect="1"/>
                    </pic:cNvPicPr>
                  </pic:nvPicPr>
                  <pic:blipFill>
                    <a:blip r:embed="rId10"/>
                    <a:stretch>
                      <a:fillRect/>
                    </a:stretch>
                  </pic:blipFill>
                  <pic:spPr>
                    <a:xfrm>
                      <a:off x="0" y="0"/>
                      <a:ext cx="2914650" cy="2714625"/>
                    </a:xfrm>
                    <a:prstGeom prst="rect">
                      <a:avLst/>
                    </a:prstGeom>
                  </pic:spPr>
                </pic:pic>
              </a:graphicData>
            </a:graphic>
          </wp:inline>
        </w:drawing>
      </w:r>
    </w:p>
    <w:p w14:paraId="461A2EBD">
      <w:pPr>
        <w:pageBreakBefore w:val="0"/>
        <w:bidi w:val="0"/>
        <w:adjustRightInd w:val="0"/>
        <w:snapToGrid w:val="0"/>
        <w:spacing w:beforeAutospacing="0" w:afterAutospacing="0" w:line="360" w:lineRule="auto"/>
        <w:ind w:left="0" w:leftChars="0" w:right="0" w:firstLine="1363" w:firstLineChars="485"/>
        <w:jc w:val="left"/>
        <w:rPr>
          <w:rFonts w:hint="eastAsia" w:ascii="宋体" w:hAnsi="宋体" w:eastAsia="宋体" w:cs="宋体"/>
          <w:b/>
          <w:bCs/>
          <w:color w:val="auto"/>
          <w:sz w:val="28"/>
          <w:szCs w:val="28"/>
          <w:highlight w:val="none"/>
        </w:rPr>
      </w:pPr>
    </w:p>
    <w:p w14:paraId="6A7F56F5">
      <w:pPr>
        <w:pageBreakBefore w:val="0"/>
        <w:bidi w:val="0"/>
        <w:adjustRightInd w:val="0"/>
        <w:snapToGrid w:val="0"/>
        <w:spacing w:beforeAutospacing="0" w:afterAutospacing="0" w:line="360" w:lineRule="auto"/>
        <w:ind w:left="0" w:leftChars="0" w:right="0" w:firstLine="1923" w:firstLineChars="684"/>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采  </w:t>
      </w:r>
      <w:r>
        <w:rPr>
          <w:rFonts w:hint="eastAsia" w:ascii="宋体" w:hAnsi="宋体" w:eastAsia="宋体" w:cs="宋体"/>
          <w:b/>
          <w:bCs/>
          <w:color w:val="auto"/>
          <w:sz w:val="16"/>
          <w:szCs w:val="28"/>
          <w:highlight w:val="none"/>
        </w:rPr>
        <w:t xml:space="preserve"> </w:t>
      </w:r>
      <w:r>
        <w:rPr>
          <w:rFonts w:hint="eastAsia" w:ascii="宋体" w:hAnsi="宋体" w:eastAsia="宋体" w:cs="宋体"/>
          <w:b/>
          <w:bCs/>
          <w:color w:val="auto"/>
          <w:sz w:val="28"/>
          <w:szCs w:val="28"/>
          <w:highlight w:val="none"/>
        </w:rPr>
        <w:t xml:space="preserve"> 购  </w:t>
      </w:r>
      <w:r>
        <w:rPr>
          <w:rFonts w:hint="eastAsia" w:ascii="宋体" w:hAnsi="宋体" w:eastAsia="宋体" w:cs="宋体"/>
          <w:b/>
          <w:bCs/>
          <w:color w:val="auto"/>
          <w:sz w:val="16"/>
          <w:szCs w:val="28"/>
          <w:highlight w:val="none"/>
        </w:rPr>
        <w:t xml:space="preserve"> </w:t>
      </w:r>
      <w:r>
        <w:rPr>
          <w:rFonts w:hint="eastAsia" w:ascii="宋体" w:hAnsi="宋体" w:eastAsia="宋体" w:cs="宋体"/>
          <w:b/>
          <w:bCs/>
          <w:color w:val="auto"/>
          <w:sz w:val="28"/>
          <w:szCs w:val="28"/>
          <w:highlight w:val="none"/>
        </w:rPr>
        <w:t>人：</w:t>
      </w:r>
      <w:r>
        <w:rPr>
          <w:rFonts w:hint="eastAsia" w:ascii="宋体" w:hAnsi="宋体" w:eastAsia="宋体" w:cs="宋体"/>
          <w:b/>
          <w:bCs/>
          <w:color w:val="auto"/>
          <w:sz w:val="28"/>
          <w:szCs w:val="28"/>
          <w:highlight w:val="none"/>
          <w:lang w:eastAsia="zh-CN"/>
        </w:rPr>
        <w:t>灵宝市中等专业学校</w:t>
      </w:r>
    </w:p>
    <w:p w14:paraId="3E4D1E54">
      <w:pPr>
        <w:pageBreakBefore w:val="0"/>
        <w:bidi w:val="0"/>
        <w:adjustRightInd w:val="0"/>
        <w:snapToGrid w:val="0"/>
        <w:spacing w:beforeAutospacing="0" w:afterAutospacing="0" w:line="360" w:lineRule="auto"/>
        <w:ind w:left="0" w:leftChars="0" w:right="0" w:firstLine="1923" w:firstLineChars="684"/>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采购代理机构：</w:t>
      </w:r>
      <w:r>
        <w:rPr>
          <w:rFonts w:hint="eastAsia" w:ascii="宋体" w:hAnsi="宋体" w:eastAsia="宋体" w:cs="宋体"/>
          <w:b/>
          <w:bCs/>
          <w:color w:val="auto"/>
          <w:sz w:val="28"/>
          <w:szCs w:val="28"/>
          <w:highlight w:val="none"/>
          <w:lang w:eastAsia="zh-CN"/>
        </w:rPr>
        <w:t>河南洲禾建设工程有限公司</w:t>
      </w:r>
    </w:p>
    <w:p w14:paraId="7A5D0990">
      <w:pPr>
        <w:pageBreakBefore w:val="0"/>
        <w:bidi w:val="0"/>
        <w:adjustRightInd w:val="0"/>
        <w:snapToGrid w:val="0"/>
        <w:spacing w:beforeAutospacing="0" w:afterAutospacing="0" w:line="360" w:lineRule="auto"/>
        <w:ind w:left="0" w:leftChars="0" w:right="0" w:firstLine="1923" w:firstLineChars="684"/>
        <w:jc w:val="left"/>
        <w:rPr>
          <w:rFonts w:hint="eastAsia" w:ascii="宋体" w:hAnsi="宋体" w:eastAsia="宋体" w:cs="宋体"/>
          <w:b/>
          <w:bCs/>
          <w:color w:val="auto"/>
          <w:sz w:val="20"/>
          <w:szCs w:val="20"/>
          <w:highlight w:val="none"/>
        </w:rPr>
        <w:sectPr>
          <w:footerReference r:id="rId3" w:type="first"/>
          <w:pgSz w:w="11906" w:h="16838"/>
          <w:pgMar w:top="1440" w:right="1417" w:bottom="1440" w:left="1417" w:header="720" w:footer="720" w:gutter="0"/>
          <w:pgNumType w:fmt="decimal" w:start="0"/>
          <w:cols w:space="0" w:num="1"/>
          <w:rtlGutter w:val="0"/>
          <w:docGrid w:type="lines" w:linePitch="312" w:charSpace="0"/>
        </w:sectPr>
      </w:pPr>
      <w:r>
        <w:rPr>
          <w:rFonts w:hint="eastAsia" w:ascii="宋体" w:hAnsi="宋体" w:eastAsia="宋体" w:cs="宋体"/>
          <w:b/>
          <w:bCs/>
          <w:color w:val="auto"/>
          <w:sz w:val="28"/>
          <w:szCs w:val="28"/>
          <w:highlight w:val="none"/>
        </w:rPr>
        <w:t>日        期：二</w:t>
      </w:r>
      <w:r>
        <w:rPr>
          <w:rFonts w:hint="eastAsia" w:ascii="宋体" w:hAnsi="宋体" w:eastAsia="宋体" w:cs="宋体"/>
          <w:b/>
          <w:bCs/>
          <w:color w:val="auto"/>
          <w:sz w:val="28"/>
          <w:szCs w:val="28"/>
          <w:highlight w:val="none"/>
          <w:lang w:eastAsia="zh-CN"/>
        </w:rPr>
        <w:t>零</w:t>
      </w:r>
      <w:r>
        <w:rPr>
          <w:rFonts w:hint="eastAsia" w:ascii="宋体" w:hAnsi="宋体" w:eastAsia="宋体" w:cs="宋体"/>
          <w:b/>
          <w:bCs/>
          <w:color w:val="auto"/>
          <w:sz w:val="28"/>
          <w:szCs w:val="28"/>
          <w:highlight w:val="none"/>
        </w:rPr>
        <w:t>二</w:t>
      </w:r>
      <w:r>
        <w:rPr>
          <w:rFonts w:hint="eastAsia" w:ascii="宋体" w:hAnsi="宋体" w:eastAsia="宋体" w:cs="宋体"/>
          <w:b/>
          <w:bCs/>
          <w:color w:val="auto"/>
          <w:sz w:val="28"/>
          <w:szCs w:val="28"/>
          <w:highlight w:val="none"/>
          <w:lang w:eastAsia="zh-CN"/>
        </w:rPr>
        <w:t>五</w:t>
      </w:r>
      <w:r>
        <w:rPr>
          <w:rFonts w:hint="eastAsia" w:ascii="宋体" w:hAnsi="宋体" w:eastAsia="宋体" w:cs="宋体"/>
          <w:b/>
          <w:bCs/>
          <w:color w:val="auto"/>
          <w:sz w:val="28"/>
          <w:szCs w:val="28"/>
          <w:highlight w:val="none"/>
        </w:rPr>
        <w:t>年</w:t>
      </w:r>
      <w:r>
        <w:rPr>
          <w:rFonts w:hint="eastAsia" w:ascii="宋体" w:hAnsi="宋体" w:eastAsia="宋体" w:cs="宋体"/>
          <w:b/>
          <w:bCs/>
          <w:color w:val="auto"/>
          <w:sz w:val="28"/>
          <w:szCs w:val="28"/>
          <w:highlight w:val="none"/>
          <w:lang w:val="en-US" w:eastAsia="zh-CN"/>
        </w:rPr>
        <w:t>七</w:t>
      </w:r>
      <w:r>
        <w:rPr>
          <w:rFonts w:hint="eastAsia" w:ascii="宋体" w:hAnsi="宋体" w:eastAsia="宋体" w:cs="宋体"/>
          <w:b/>
          <w:bCs/>
          <w:color w:val="auto"/>
          <w:sz w:val="28"/>
          <w:szCs w:val="28"/>
          <w:highlight w:val="none"/>
        </w:rPr>
        <w:t>月</w:t>
      </w:r>
    </w:p>
    <w:p w14:paraId="57080F4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480" w:lineRule="auto"/>
        <w:ind w:left="0" w:leftChars="0" w:right="0"/>
        <w:jc w:val="center"/>
        <w:textAlignment w:val="auto"/>
        <w:rPr>
          <w:rFonts w:hint="eastAsia" w:ascii="宋体" w:hAnsi="宋体" w:eastAsia="宋体" w:cs="宋体"/>
          <w:b/>
          <w:bCs/>
          <w:color w:val="auto"/>
          <w:kern w:val="0"/>
          <w:sz w:val="44"/>
          <w:szCs w:val="44"/>
          <w:highlight w:val="none"/>
        </w:rPr>
      </w:pPr>
      <w:r>
        <w:rPr>
          <w:rFonts w:hint="eastAsia" w:ascii="宋体" w:hAnsi="宋体" w:eastAsia="宋体" w:cs="宋体"/>
          <w:b/>
          <w:bCs/>
          <w:color w:val="auto"/>
          <w:kern w:val="0"/>
          <w:sz w:val="44"/>
          <w:szCs w:val="44"/>
          <w:highlight w:val="none"/>
        </w:rPr>
        <w:t>目  录</w:t>
      </w:r>
    </w:p>
    <w:p w14:paraId="068A3717">
      <w:pPr>
        <w:pStyle w:val="16"/>
        <w:keepNext w:val="0"/>
        <w:keepLines w:val="0"/>
        <w:pageBreakBefore w:val="0"/>
        <w:widowControl w:val="0"/>
        <w:tabs>
          <w:tab w:val="right" w:leader="dot" w:pos="8300"/>
        </w:tabs>
        <w:kinsoku/>
        <w:wordWrap/>
        <w:overflowPunct/>
        <w:topLinePunct w:val="0"/>
        <w:bidi w:val="0"/>
        <w:adjustRightInd w:val="0"/>
        <w:snapToGrid w:val="0"/>
        <w:spacing w:beforeAutospacing="0" w:afterAutospacing="0" w:line="480" w:lineRule="auto"/>
        <w:ind w:left="0" w:leftChars="0" w:right="0"/>
        <w:textAlignment w:val="auto"/>
        <w:rPr>
          <w:rFonts w:hint="eastAsia" w:ascii="宋体" w:hAnsi="宋体" w:eastAsia="宋体" w:cs="宋体"/>
          <w:sz w:val="24"/>
          <w:szCs w:val="24"/>
        </w:rPr>
      </w:pPr>
      <w:r>
        <w:rPr>
          <w:rFonts w:hint="eastAsia" w:ascii="宋体" w:hAnsi="宋体" w:eastAsia="宋体" w:cs="宋体"/>
          <w:b/>
          <w:bCs/>
          <w:color w:val="auto"/>
          <w:kern w:val="0"/>
          <w:sz w:val="24"/>
          <w:szCs w:val="24"/>
          <w:highlight w:val="none"/>
        </w:rPr>
        <w:fldChar w:fldCharType="begin"/>
      </w:r>
      <w:r>
        <w:rPr>
          <w:rFonts w:hint="eastAsia" w:ascii="宋体" w:hAnsi="宋体" w:eastAsia="宋体" w:cs="宋体"/>
          <w:b/>
          <w:bCs/>
          <w:color w:val="auto"/>
          <w:kern w:val="0"/>
          <w:sz w:val="24"/>
          <w:szCs w:val="24"/>
          <w:highlight w:val="none"/>
        </w:rPr>
        <w:instrText xml:space="preserve">TOC \o "1-3" \h \u </w:instrText>
      </w:r>
      <w:r>
        <w:rPr>
          <w:rFonts w:hint="eastAsia" w:ascii="宋体" w:hAnsi="宋体" w:eastAsia="宋体" w:cs="宋体"/>
          <w:b/>
          <w:bCs/>
          <w:color w:val="auto"/>
          <w:kern w:val="0"/>
          <w:sz w:val="24"/>
          <w:szCs w:val="24"/>
          <w:highlight w:val="none"/>
        </w:rPr>
        <w:fldChar w:fldCharType="separate"/>
      </w:r>
      <w:r>
        <w:rPr>
          <w:rFonts w:hint="eastAsia" w:ascii="宋体" w:hAnsi="宋体" w:eastAsia="宋体" w:cs="宋体"/>
          <w:bCs/>
          <w:color w:val="auto"/>
          <w:kern w:val="0"/>
          <w:sz w:val="24"/>
          <w:szCs w:val="24"/>
          <w:highlight w:val="none"/>
        </w:rPr>
        <w:fldChar w:fldCharType="begin"/>
      </w:r>
      <w:r>
        <w:rPr>
          <w:rFonts w:hint="eastAsia" w:ascii="宋体" w:hAnsi="宋体" w:eastAsia="宋体" w:cs="宋体"/>
          <w:bCs/>
          <w:kern w:val="0"/>
          <w:sz w:val="24"/>
          <w:szCs w:val="24"/>
          <w:highlight w:val="none"/>
        </w:rPr>
        <w:instrText xml:space="preserve"> HYPERLINK \l _Toc30268 </w:instrText>
      </w:r>
      <w:r>
        <w:rPr>
          <w:rFonts w:hint="eastAsia" w:ascii="宋体" w:hAnsi="宋体" w:eastAsia="宋体" w:cs="宋体"/>
          <w:bCs/>
          <w:kern w:val="0"/>
          <w:sz w:val="24"/>
          <w:szCs w:val="24"/>
          <w:highlight w:val="none"/>
        </w:rPr>
        <w:fldChar w:fldCharType="separate"/>
      </w:r>
      <w:r>
        <w:rPr>
          <w:rFonts w:hint="eastAsia" w:ascii="宋体" w:hAnsi="宋体" w:eastAsia="宋体" w:cs="宋体"/>
          <w:bCs/>
          <w:sz w:val="24"/>
          <w:szCs w:val="24"/>
          <w:highlight w:val="none"/>
          <w:lang w:eastAsia="zh-CN"/>
        </w:rPr>
        <w:t>第一章</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招标公告</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bCs/>
          <w:color w:val="auto"/>
          <w:kern w:val="0"/>
          <w:sz w:val="24"/>
          <w:szCs w:val="24"/>
          <w:highlight w:val="none"/>
        </w:rPr>
        <w:fldChar w:fldCharType="end"/>
      </w:r>
    </w:p>
    <w:p w14:paraId="139FED04">
      <w:pPr>
        <w:pStyle w:val="16"/>
        <w:keepNext w:val="0"/>
        <w:keepLines w:val="0"/>
        <w:pageBreakBefore w:val="0"/>
        <w:widowControl w:val="0"/>
        <w:tabs>
          <w:tab w:val="right" w:leader="dot" w:pos="8300"/>
        </w:tabs>
        <w:kinsoku/>
        <w:wordWrap/>
        <w:overflowPunct/>
        <w:topLinePunct w:val="0"/>
        <w:bidi w:val="0"/>
        <w:adjustRightInd w:val="0"/>
        <w:snapToGrid w:val="0"/>
        <w:spacing w:beforeAutospacing="0" w:afterAutospacing="0" w:line="480" w:lineRule="auto"/>
        <w:ind w:left="0" w:leftChars="0" w:right="0"/>
        <w:textAlignment w:val="auto"/>
        <w:rPr>
          <w:rFonts w:hint="eastAsia" w:ascii="宋体" w:hAnsi="宋体" w:eastAsia="宋体" w:cs="宋体"/>
          <w:sz w:val="24"/>
          <w:szCs w:val="24"/>
        </w:rPr>
      </w:pPr>
      <w:r>
        <w:rPr>
          <w:rFonts w:hint="eastAsia" w:ascii="宋体" w:hAnsi="宋体" w:eastAsia="宋体" w:cs="宋体"/>
          <w:bCs/>
          <w:color w:val="auto"/>
          <w:kern w:val="0"/>
          <w:sz w:val="24"/>
          <w:szCs w:val="24"/>
          <w:highlight w:val="none"/>
        </w:rPr>
        <w:fldChar w:fldCharType="begin"/>
      </w:r>
      <w:r>
        <w:rPr>
          <w:rFonts w:hint="eastAsia" w:ascii="宋体" w:hAnsi="宋体" w:eastAsia="宋体" w:cs="宋体"/>
          <w:bCs/>
          <w:kern w:val="0"/>
          <w:sz w:val="24"/>
          <w:szCs w:val="24"/>
          <w:highlight w:val="none"/>
        </w:rPr>
        <w:instrText xml:space="preserve"> HYPERLINK \l _Toc12642 </w:instrText>
      </w:r>
      <w:r>
        <w:rPr>
          <w:rFonts w:hint="eastAsia" w:ascii="宋体" w:hAnsi="宋体" w:eastAsia="宋体" w:cs="宋体"/>
          <w:bCs/>
          <w:kern w:val="0"/>
          <w:sz w:val="24"/>
          <w:szCs w:val="24"/>
          <w:highlight w:val="none"/>
        </w:rPr>
        <w:fldChar w:fldCharType="separate"/>
      </w:r>
      <w:r>
        <w:rPr>
          <w:rFonts w:hint="eastAsia" w:ascii="宋体" w:hAnsi="宋体" w:eastAsia="宋体" w:cs="宋体"/>
          <w:bCs/>
          <w:kern w:val="0"/>
          <w:sz w:val="24"/>
          <w:szCs w:val="24"/>
          <w:highlight w:val="none"/>
        </w:rPr>
        <w:t>第二章  供应商须知</w:t>
      </w:r>
      <w:r>
        <w:rPr>
          <w:rFonts w:hint="eastAsia" w:ascii="宋体" w:hAnsi="宋体" w:eastAsia="宋体" w:cs="宋体"/>
          <w:sz w:val="24"/>
          <w:szCs w:val="24"/>
        </w:rPr>
        <w:tab/>
      </w:r>
      <w:r>
        <w:rPr>
          <w:rFonts w:hint="eastAsia" w:ascii="宋体" w:hAnsi="宋体" w:eastAsia="宋体" w:cs="宋体"/>
          <w:sz w:val="24"/>
          <w:szCs w:val="24"/>
          <w:lang w:val="en-US" w:eastAsia="zh-CN"/>
        </w:rPr>
        <w:t>6</w:t>
      </w:r>
      <w:r>
        <w:rPr>
          <w:rFonts w:hint="eastAsia" w:ascii="宋体" w:hAnsi="宋体" w:eastAsia="宋体" w:cs="宋体"/>
          <w:bCs/>
          <w:color w:val="auto"/>
          <w:kern w:val="0"/>
          <w:sz w:val="24"/>
          <w:szCs w:val="24"/>
          <w:highlight w:val="none"/>
        </w:rPr>
        <w:fldChar w:fldCharType="end"/>
      </w:r>
    </w:p>
    <w:p w14:paraId="2342FEDF">
      <w:pPr>
        <w:pStyle w:val="16"/>
        <w:keepNext w:val="0"/>
        <w:keepLines w:val="0"/>
        <w:pageBreakBefore w:val="0"/>
        <w:widowControl w:val="0"/>
        <w:tabs>
          <w:tab w:val="right" w:leader="dot" w:pos="8300"/>
        </w:tabs>
        <w:kinsoku/>
        <w:wordWrap/>
        <w:overflowPunct/>
        <w:topLinePunct w:val="0"/>
        <w:bidi w:val="0"/>
        <w:adjustRightInd w:val="0"/>
        <w:snapToGrid w:val="0"/>
        <w:spacing w:beforeAutospacing="0" w:afterAutospacing="0" w:line="480" w:lineRule="auto"/>
        <w:ind w:left="0" w:leftChars="0" w:right="0"/>
        <w:textAlignment w:val="auto"/>
        <w:rPr>
          <w:rFonts w:hint="eastAsia" w:ascii="宋体" w:hAnsi="宋体" w:eastAsia="宋体" w:cs="宋体"/>
          <w:sz w:val="24"/>
          <w:szCs w:val="24"/>
        </w:rPr>
      </w:pPr>
      <w:r>
        <w:rPr>
          <w:rFonts w:hint="eastAsia" w:ascii="宋体" w:hAnsi="宋体" w:eastAsia="宋体" w:cs="宋体"/>
          <w:bCs/>
          <w:color w:val="auto"/>
          <w:kern w:val="0"/>
          <w:sz w:val="24"/>
          <w:szCs w:val="24"/>
          <w:highlight w:val="none"/>
        </w:rPr>
        <w:fldChar w:fldCharType="begin"/>
      </w:r>
      <w:r>
        <w:rPr>
          <w:rFonts w:hint="eastAsia" w:ascii="宋体" w:hAnsi="宋体" w:eastAsia="宋体" w:cs="宋体"/>
          <w:bCs/>
          <w:kern w:val="0"/>
          <w:sz w:val="24"/>
          <w:szCs w:val="24"/>
          <w:highlight w:val="none"/>
        </w:rPr>
        <w:instrText xml:space="preserve"> HYPERLINK \l _Toc9430 </w:instrText>
      </w:r>
      <w:r>
        <w:rPr>
          <w:rFonts w:hint="eastAsia" w:ascii="宋体" w:hAnsi="宋体" w:eastAsia="宋体" w:cs="宋体"/>
          <w:bCs/>
          <w:kern w:val="0"/>
          <w:sz w:val="24"/>
          <w:szCs w:val="24"/>
          <w:highlight w:val="none"/>
        </w:rPr>
        <w:fldChar w:fldCharType="separate"/>
      </w:r>
      <w:r>
        <w:rPr>
          <w:rFonts w:hint="eastAsia" w:ascii="宋体" w:hAnsi="宋体" w:eastAsia="宋体" w:cs="宋体"/>
          <w:bCs/>
          <w:kern w:val="0"/>
          <w:sz w:val="24"/>
          <w:szCs w:val="24"/>
          <w:highlight w:val="none"/>
        </w:rPr>
        <w:t>第三章  采购内容及参数要求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_Toc9430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lang w:val="en-US" w:eastAsia="zh-CN"/>
        </w:rPr>
        <w:t>7</w:t>
      </w:r>
      <w:r>
        <w:rPr>
          <w:rFonts w:hint="eastAsia" w:ascii="宋体" w:hAnsi="宋体" w:eastAsia="宋体" w:cs="宋体"/>
          <w:sz w:val="24"/>
          <w:szCs w:val="24"/>
        </w:rPr>
        <w:fldChar w:fldCharType="end"/>
      </w:r>
      <w:r>
        <w:rPr>
          <w:rFonts w:hint="eastAsia" w:ascii="宋体" w:hAnsi="宋体" w:eastAsia="宋体" w:cs="宋体"/>
          <w:bCs/>
          <w:color w:val="auto"/>
          <w:kern w:val="0"/>
          <w:sz w:val="24"/>
          <w:szCs w:val="24"/>
          <w:highlight w:val="none"/>
        </w:rPr>
        <w:fldChar w:fldCharType="end"/>
      </w:r>
    </w:p>
    <w:p w14:paraId="33AB9415">
      <w:pPr>
        <w:pStyle w:val="16"/>
        <w:keepNext w:val="0"/>
        <w:keepLines w:val="0"/>
        <w:pageBreakBefore w:val="0"/>
        <w:widowControl w:val="0"/>
        <w:tabs>
          <w:tab w:val="right" w:leader="dot" w:pos="8300"/>
        </w:tabs>
        <w:kinsoku/>
        <w:wordWrap/>
        <w:overflowPunct/>
        <w:topLinePunct w:val="0"/>
        <w:bidi w:val="0"/>
        <w:adjustRightInd w:val="0"/>
        <w:snapToGrid w:val="0"/>
        <w:spacing w:beforeAutospacing="0" w:afterAutospacing="0" w:line="480" w:lineRule="auto"/>
        <w:ind w:left="0" w:leftChars="0" w:right="0"/>
        <w:textAlignment w:val="auto"/>
        <w:rPr>
          <w:rFonts w:hint="eastAsia" w:ascii="宋体" w:hAnsi="宋体" w:eastAsia="宋体" w:cs="宋体"/>
          <w:sz w:val="24"/>
          <w:szCs w:val="24"/>
        </w:rPr>
      </w:pPr>
      <w:r>
        <w:rPr>
          <w:rFonts w:hint="eastAsia" w:ascii="宋体" w:hAnsi="宋体" w:eastAsia="宋体" w:cs="宋体"/>
          <w:bCs/>
          <w:color w:val="auto"/>
          <w:kern w:val="0"/>
          <w:sz w:val="24"/>
          <w:szCs w:val="24"/>
          <w:highlight w:val="none"/>
        </w:rPr>
        <w:fldChar w:fldCharType="begin"/>
      </w:r>
      <w:r>
        <w:rPr>
          <w:rFonts w:hint="eastAsia" w:ascii="宋体" w:hAnsi="宋体" w:eastAsia="宋体" w:cs="宋体"/>
          <w:bCs/>
          <w:kern w:val="0"/>
          <w:sz w:val="24"/>
          <w:szCs w:val="24"/>
          <w:highlight w:val="none"/>
        </w:rPr>
        <w:instrText xml:space="preserve"> HYPERLINK \l _Toc22285 </w:instrText>
      </w:r>
      <w:r>
        <w:rPr>
          <w:rFonts w:hint="eastAsia" w:ascii="宋体" w:hAnsi="宋体" w:eastAsia="宋体" w:cs="宋体"/>
          <w:bCs/>
          <w:kern w:val="0"/>
          <w:sz w:val="24"/>
          <w:szCs w:val="24"/>
          <w:highlight w:val="none"/>
        </w:rPr>
        <w:fldChar w:fldCharType="separate"/>
      </w:r>
      <w:r>
        <w:rPr>
          <w:rFonts w:hint="eastAsia" w:ascii="宋体" w:hAnsi="宋体" w:eastAsia="宋体" w:cs="宋体"/>
          <w:bCs/>
          <w:sz w:val="24"/>
          <w:szCs w:val="24"/>
          <w:highlight w:val="none"/>
        </w:rPr>
        <w:t xml:space="preserve">第四章 </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_Toc22285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lang w:val="en-US" w:eastAsia="zh-CN"/>
        </w:rPr>
        <w:t>3</w:t>
      </w:r>
      <w:r>
        <w:rPr>
          <w:rFonts w:hint="eastAsia" w:ascii="宋体" w:hAnsi="宋体" w:eastAsia="宋体" w:cs="宋体"/>
          <w:sz w:val="24"/>
          <w:szCs w:val="24"/>
        </w:rPr>
        <w:fldChar w:fldCharType="end"/>
      </w:r>
      <w:r>
        <w:rPr>
          <w:rFonts w:hint="eastAsia" w:ascii="宋体" w:hAnsi="宋体" w:eastAsia="宋体" w:cs="宋体"/>
          <w:bCs/>
          <w:color w:val="auto"/>
          <w:kern w:val="0"/>
          <w:sz w:val="24"/>
          <w:szCs w:val="24"/>
          <w:highlight w:val="none"/>
        </w:rPr>
        <w:fldChar w:fldCharType="end"/>
      </w:r>
    </w:p>
    <w:p w14:paraId="7C9D5720">
      <w:pPr>
        <w:pStyle w:val="16"/>
        <w:keepNext w:val="0"/>
        <w:keepLines w:val="0"/>
        <w:pageBreakBefore w:val="0"/>
        <w:widowControl w:val="0"/>
        <w:tabs>
          <w:tab w:val="right" w:leader="dot" w:pos="8300"/>
        </w:tabs>
        <w:kinsoku/>
        <w:wordWrap/>
        <w:overflowPunct/>
        <w:topLinePunct w:val="0"/>
        <w:bidi w:val="0"/>
        <w:adjustRightInd w:val="0"/>
        <w:snapToGrid w:val="0"/>
        <w:spacing w:beforeAutospacing="0" w:afterAutospacing="0" w:line="480" w:lineRule="auto"/>
        <w:ind w:left="0" w:leftChars="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fldChar w:fldCharType="begin"/>
      </w:r>
      <w:r>
        <w:rPr>
          <w:rFonts w:hint="eastAsia" w:ascii="宋体" w:hAnsi="宋体" w:eastAsia="宋体" w:cs="宋体"/>
          <w:bCs/>
          <w:kern w:val="0"/>
          <w:sz w:val="24"/>
          <w:szCs w:val="24"/>
          <w:highlight w:val="none"/>
        </w:rPr>
        <w:instrText xml:space="preserve"> HYPERLINK \l _Toc10932 </w:instrText>
      </w:r>
      <w:r>
        <w:rPr>
          <w:rFonts w:hint="eastAsia" w:ascii="宋体" w:hAnsi="宋体" w:eastAsia="宋体" w:cs="宋体"/>
          <w:bCs/>
          <w:kern w:val="0"/>
          <w:sz w:val="24"/>
          <w:szCs w:val="24"/>
          <w:highlight w:val="none"/>
        </w:rPr>
        <w:fldChar w:fldCharType="separate"/>
      </w:r>
      <w:r>
        <w:rPr>
          <w:rFonts w:hint="eastAsia" w:ascii="宋体" w:hAnsi="宋体" w:eastAsia="宋体" w:cs="宋体"/>
          <w:bCs/>
          <w:kern w:val="2"/>
          <w:sz w:val="24"/>
          <w:szCs w:val="24"/>
          <w:highlight w:val="none"/>
          <w:lang w:val="en-US" w:eastAsia="zh-CN" w:bidi="ar-SA"/>
        </w:rPr>
        <w:t>第五章  合同主要条款及格式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_Toc10932 \h </w:instrText>
      </w:r>
      <w:r>
        <w:rPr>
          <w:rFonts w:hint="eastAsia" w:ascii="宋体" w:hAnsi="宋体" w:eastAsia="宋体" w:cs="宋体"/>
          <w:sz w:val="24"/>
          <w:szCs w:val="24"/>
        </w:rPr>
        <w:fldChar w:fldCharType="separate"/>
      </w:r>
      <w:r>
        <w:rPr>
          <w:rFonts w:hint="eastAsia" w:ascii="宋体" w:hAnsi="宋体" w:eastAsia="宋体" w:cs="宋体"/>
          <w:sz w:val="24"/>
          <w:szCs w:val="24"/>
        </w:rPr>
        <w:t>120</w:t>
      </w:r>
      <w:r>
        <w:rPr>
          <w:rFonts w:hint="eastAsia" w:ascii="宋体" w:hAnsi="宋体" w:eastAsia="宋体" w:cs="宋体"/>
          <w:sz w:val="24"/>
          <w:szCs w:val="24"/>
        </w:rPr>
        <w:fldChar w:fldCharType="end"/>
      </w:r>
      <w:r>
        <w:rPr>
          <w:rFonts w:hint="eastAsia" w:ascii="宋体" w:hAnsi="宋体" w:eastAsia="宋体" w:cs="宋体"/>
          <w:bCs/>
          <w:color w:val="auto"/>
          <w:kern w:val="0"/>
          <w:sz w:val="24"/>
          <w:szCs w:val="24"/>
          <w:highlight w:val="none"/>
        </w:rPr>
        <w:fldChar w:fldCharType="end"/>
      </w:r>
    </w:p>
    <w:p w14:paraId="34DDEADF">
      <w:pPr>
        <w:pStyle w:val="16"/>
        <w:keepNext w:val="0"/>
        <w:keepLines w:val="0"/>
        <w:pageBreakBefore w:val="0"/>
        <w:widowControl w:val="0"/>
        <w:tabs>
          <w:tab w:val="right" w:leader="dot" w:pos="8300"/>
        </w:tabs>
        <w:kinsoku/>
        <w:wordWrap/>
        <w:overflowPunct/>
        <w:topLinePunct w:val="0"/>
        <w:bidi w:val="0"/>
        <w:adjustRightInd w:val="0"/>
        <w:snapToGrid w:val="0"/>
        <w:spacing w:beforeAutospacing="0" w:afterAutospacing="0" w:line="480" w:lineRule="auto"/>
        <w:ind w:left="0" w:leftChars="0" w:right="0"/>
        <w:textAlignment w:val="auto"/>
        <w:rPr>
          <w:rFonts w:hint="default" w:ascii="宋体" w:hAnsi="宋体" w:eastAsia="宋体" w:cs="宋体"/>
          <w:sz w:val="24"/>
          <w:szCs w:val="24"/>
          <w:lang w:val="en-US" w:eastAsia="zh-CN"/>
        </w:rPr>
      </w:pPr>
      <w:r>
        <w:rPr>
          <w:rFonts w:hint="eastAsia" w:ascii="宋体" w:hAnsi="宋体" w:eastAsia="宋体" w:cs="宋体"/>
          <w:bCs/>
          <w:color w:val="auto"/>
          <w:kern w:val="0"/>
          <w:sz w:val="24"/>
          <w:szCs w:val="24"/>
          <w:highlight w:val="none"/>
        </w:rPr>
        <w:fldChar w:fldCharType="begin"/>
      </w:r>
      <w:r>
        <w:rPr>
          <w:rFonts w:hint="eastAsia" w:ascii="宋体" w:hAnsi="宋体" w:eastAsia="宋体" w:cs="宋体"/>
          <w:bCs/>
          <w:kern w:val="0"/>
          <w:sz w:val="24"/>
          <w:szCs w:val="24"/>
          <w:highlight w:val="none"/>
        </w:rPr>
        <w:instrText xml:space="preserve"> HYPERLINK \l _Toc21772 </w:instrText>
      </w:r>
      <w:r>
        <w:rPr>
          <w:rFonts w:hint="eastAsia" w:ascii="宋体" w:hAnsi="宋体" w:eastAsia="宋体" w:cs="宋体"/>
          <w:bCs/>
          <w:kern w:val="0"/>
          <w:sz w:val="24"/>
          <w:szCs w:val="24"/>
          <w:highlight w:val="none"/>
        </w:rPr>
        <w:fldChar w:fldCharType="separate"/>
      </w:r>
      <w:r>
        <w:rPr>
          <w:rFonts w:hint="eastAsia" w:ascii="宋体" w:hAnsi="宋体" w:eastAsia="宋体" w:cs="宋体"/>
          <w:bCs/>
          <w:sz w:val="24"/>
          <w:szCs w:val="24"/>
          <w:highlight w:val="none"/>
        </w:rPr>
        <w:t>第六章  投标文件格式</w:t>
      </w:r>
      <w:r>
        <w:rPr>
          <w:rFonts w:hint="eastAsia" w:ascii="宋体" w:hAnsi="宋体" w:eastAsia="宋体" w:cs="宋体"/>
          <w:sz w:val="24"/>
          <w:szCs w:val="24"/>
        </w:rPr>
        <w:tab/>
      </w:r>
      <w:r>
        <w:rPr>
          <w:rFonts w:hint="eastAsia" w:ascii="宋体" w:hAnsi="宋体" w:eastAsia="宋体" w:cs="宋体"/>
          <w:sz w:val="24"/>
          <w:szCs w:val="24"/>
          <w:lang w:val="en-US" w:eastAsia="zh-CN"/>
        </w:rPr>
        <w:t>12</w:t>
      </w:r>
      <w:r>
        <w:rPr>
          <w:rFonts w:hint="eastAsia" w:ascii="宋体" w:hAnsi="宋体" w:eastAsia="宋体" w:cs="宋体"/>
          <w:bCs/>
          <w:color w:val="auto"/>
          <w:kern w:val="0"/>
          <w:sz w:val="24"/>
          <w:szCs w:val="24"/>
          <w:highlight w:val="none"/>
        </w:rPr>
        <w:fldChar w:fldCharType="end"/>
      </w:r>
      <w:r>
        <w:rPr>
          <w:rFonts w:hint="eastAsia" w:ascii="宋体" w:hAnsi="宋体" w:eastAsia="宋体" w:cs="宋体"/>
          <w:bCs/>
          <w:color w:val="auto"/>
          <w:kern w:val="0"/>
          <w:sz w:val="24"/>
          <w:szCs w:val="24"/>
          <w:highlight w:val="none"/>
          <w:lang w:val="en-US" w:eastAsia="zh-CN"/>
        </w:rPr>
        <w:t>2</w:t>
      </w:r>
    </w:p>
    <w:p w14:paraId="67C80A5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480" w:lineRule="auto"/>
        <w:ind w:left="0" w:leftChars="0" w:right="0"/>
        <w:textAlignment w:val="auto"/>
        <w:rPr>
          <w:rFonts w:hint="eastAsia" w:ascii="宋体" w:hAnsi="宋体" w:eastAsia="宋体" w:cs="宋体"/>
          <w:b/>
          <w:bCs/>
          <w:color w:val="auto"/>
          <w:kern w:val="0"/>
          <w:sz w:val="32"/>
          <w:szCs w:val="32"/>
          <w:highlight w:val="none"/>
        </w:rPr>
        <w:sectPr>
          <w:footerReference r:id="rId4" w:type="default"/>
          <w:pgSz w:w="11906" w:h="16838"/>
          <w:pgMar w:top="1440" w:right="1417" w:bottom="1440" w:left="1417" w:header="720" w:footer="720" w:gutter="0"/>
          <w:pgNumType w:fmt="decimal" w:start="1"/>
          <w:cols w:space="0" w:num="1"/>
          <w:rtlGutter w:val="0"/>
          <w:docGrid w:type="lines" w:linePitch="312" w:charSpace="0"/>
        </w:sectPr>
      </w:pPr>
      <w:r>
        <w:rPr>
          <w:rFonts w:hint="eastAsia" w:ascii="宋体" w:hAnsi="宋体" w:eastAsia="宋体" w:cs="宋体"/>
          <w:bCs/>
          <w:color w:val="auto"/>
          <w:kern w:val="0"/>
          <w:sz w:val="24"/>
          <w:szCs w:val="24"/>
          <w:highlight w:val="none"/>
        </w:rPr>
        <w:fldChar w:fldCharType="end"/>
      </w:r>
    </w:p>
    <w:p w14:paraId="356B8DAA">
      <w:pPr>
        <w:pageBreakBefore w:val="0"/>
        <w:numPr>
          <w:ilvl w:val="0"/>
          <w:numId w:val="0"/>
        </w:numPr>
        <w:bidi w:val="0"/>
        <w:adjustRightInd w:val="0"/>
        <w:snapToGrid w:val="0"/>
        <w:spacing w:beforeAutospacing="0" w:afterAutospacing="0" w:line="360" w:lineRule="auto"/>
        <w:ind w:left="0" w:leftChars="0" w:right="0"/>
        <w:jc w:val="center"/>
        <w:outlineLvl w:val="0"/>
        <w:rPr>
          <w:rFonts w:hint="eastAsia" w:ascii="宋体" w:hAnsi="宋体" w:eastAsia="宋体" w:cs="宋体"/>
          <w:b/>
          <w:bCs/>
          <w:color w:val="auto"/>
          <w:sz w:val="32"/>
          <w:szCs w:val="32"/>
          <w:highlight w:val="none"/>
        </w:rPr>
      </w:pPr>
      <w:bookmarkStart w:id="0" w:name="_Toc30268"/>
      <w:r>
        <w:rPr>
          <w:rFonts w:hint="eastAsia" w:ascii="宋体" w:hAnsi="宋体" w:eastAsia="宋体" w:cs="宋体"/>
          <w:b/>
          <w:bCs/>
          <w:color w:val="auto"/>
          <w:sz w:val="32"/>
          <w:szCs w:val="32"/>
          <w:highlight w:val="none"/>
          <w:lang w:eastAsia="zh-CN"/>
        </w:rPr>
        <w:t>第一章</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招标公告</w:t>
      </w:r>
      <w:bookmarkEnd w:id="0"/>
    </w:p>
    <w:p w14:paraId="7B9E34D0">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Autospacing="0" w:afterAutospacing="0" w:line="360" w:lineRule="auto"/>
        <w:ind w:left="0" w:leftChars="0" w:right="0" w:firstLine="48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项目概况</w:t>
      </w:r>
    </w:p>
    <w:p w14:paraId="5994C425">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Autospacing="0" w:afterAutospacing="0" w:line="360" w:lineRule="auto"/>
        <w:ind w:left="0" w:leftChars="0" w:right="0" w:firstLine="48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灵宝市中等专业学校智慧康养实训室建设、虚拟仿真思政教室建设及学校内涵提升建设项目的潜在投标供应商应在三门峡市公共资源交易中心获取招标文件，并</w:t>
      </w:r>
      <w:r>
        <w:rPr>
          <w:rFonts w:hint="eastAsia" w:ascii="宋体" w:hAnsi="宋体" w:eastAsia="宋体" w:cs="宋体"/>
          <w:i w:val="0"/>
          <w:iCs w:val="0"/>
          <w:caps w:val="0"/>
          <w:color w:val="000000"/>
          <w:spacing w:val="0"/>
          <w:kern w:val="0"/>
          <w:sz w:val="24"/>
          <w:szCs w:val="24"/>
          <w:highlight w:val="none"/>
          <w:lang w:val="en-US" w:eastAsia="zh-CN" w:bidi="ar"/>
        </w:rPr>
        <w:t>于2025年7月23日08时30分（</w:t>
      </w:r>
      <w:r>
        <w:rPr>
          <w:rFonts w:hint="eastAsia" w:ascii="宋体" w:hAnsi="宋体" w:eastAsia="宋体" w:cs="宋体"/>
          <w:i w:val="0"/>
          <w:iCs w:val="0"/>
          <w:caps w:val="0"/>
          <w:color w:val="000000"/>
          <w:spacing w:val="0"/>
          <w:kern w:val="0"/>
          <w:sz w:val="24"/>
          <w:szCs w:val="24"/>
          <w:lang w:val="en-US" w:eastAsia="zh-CN" w:bidi="ar"/>
        </w:rPr>
        <w:t>北京时间）前递交投标文件。</w:t>
      </w:r>
    </w:p>
    <w:p w14:paraId="4A53F1F5">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Autospacing="0" w:afterAutospacing="0" w:line="360" w:lineRule="auto"/>
        <w:ind w:left="0" w:leftChars="0" w:right="0" w:firstLine="48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一、项目基本情况 </w:t>
      </w:r>
    </w:p>
    <w:p w14:paraId="4052BF22">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Autospacing="0" w:afterAutospacing="0" w:line="360" w:lineRule="auto"/>
        <w:ind w:left="0" w:leftChars="0" w:right="0" w:firstLine="48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1、采购项目名称：灵宝市中等专业学校智慧康养实训室建设、虚拟仿真思政教室建设及学校内涵提升建设项目</w:t>
      </w:r>
    </w:p>
    <w:p w14:paraId="2FF689DD">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Autospacing="0" w:afterAutospacing="0" w:line="360" w:lineRule="auto"/>
        <w:ind w:left="0" w:leftChars="0" w:right="0" w:firstLine="48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2、采购项目编号：灵宝公开采购-2025-41；LBGZ[2025]159-ZC109</w:t>
      </w:r>
    </w:p>
    <w:p w14:paraId="599E2434">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Autospacing="0" w:afterAutospacing="0" w:line="360" w:lineRule="auto"/>
        <w:ind w:left="0" w:leftChars="0" w:right="0" w:firstLine="48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3、采购方式：公开招标</w:t>
      </w:r>
    </w:p>
    <w:p w14:paraId="3E1F97B9">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Autospacing="0" w:afterAutospacing="0" w:line="360" w:lineRule="auto"/>
        <w:ind w:left="0" w:leftChars="0" w:right="0" w:firstLine="48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4、最高限价：3000000.00元</w:t>
      </w:r>
    </w:p>
    <w:tbl>
      <w:tblPr>
        <w:tblStyle w:val="21"/>
        <w:tblW w:w="863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2736"/>
        <w:gridCol w:w="4008"/>
        <w:gridCol w:w="1895"/>
      </w:tblGrid>
      <w:tr w14:paraId="5018A7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58" w:hRule="atLeast"/>
        </w:trPr>
        <w:tc>
          <w:tcPr>
            <w:tcW w:w="229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A9BA787">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Autospacing="0" w:afterAutospacing="0" w:line="360" w:lineRule="auto"/>
              <w:ind w:left="0" w:leftChars="0" w:right="0"/>
              <w:jc w:val="center"/>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包号</w:t>
            </w:r>
          </w:p>
        </w:tc>
        <w:tc>
          <w:tcPr>
            <w:tcW w:w="439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EE9DC78">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Autospacing="0" w:afterAutospacing="0" w:line="360" w:lineRule="auto"/>
              <w:ind w:left="0" w:leftChars="0" w:right="0"/>
              <w:jc w:val="center"/>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包名称</w:t>
            </w:r>
          </w:p>
        </w:tc>
        <w:tc>
          <w:tcPr>
            <w:tcW w:w="195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F62639A">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Autospacing="0" w:afterAutospacing="0" w:line="360" w:lineRule="auto"/>
              <w:ind w:left="0" w:leftChars="0" w:right="0"/>
              <w:jc w:val="center"/>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最高限价（元）</w:t>
            </w:r>
          </w:p>
        </w:tc>
      </w:tr>
      <w:tr w14:paraId="7272B5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58" w:hRule="atLeast"/>
        </w:trPr>
        <w:tc>
          <w:tcPr>
            <w:tcW w:w="229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7044C61">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Autospacing="0" w:afterAutospacing="0" w:line="360" w:lineRule="auto"/>
              <w:ind w:left="0" w:leftChars="0" w:right="0"/>
              <w:jc w:val="center"/>
              <w:rPr>
                <w:rFonts w:hint="default"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LBGZ[2025]159-ZC109</w:t>
            </w:r>
            <w:r>
              <w:rPr>
                <w:rFonts w:hint="eastAsia" w:ascii="宋体" w:hAnsi="宋体" w:cs="宋体"/>
                <w:i w:val="0"/>
                <w:iCs w:val="0"/>
                <w:caps w:val="0"/>
                <w:color w:val="000000"/>
                <w:spacing w:val="0"/>
                <w:kern w:val="0"/>
                <w:sz w:val="24"/>
                <w:szCs w:val="24"/>
                <w:lang w:val="en-US" w:eastAsia="zh-CN" w:bidi="ar"/>
              </w:rPr>
              <w:t>-1</w:t>
            </w:r>
          </w:p>
        </w:tc>
        <w:tc>
          <w:tcPr>
            <w:tcW w:w="439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DFF2958">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Autospacing="0" w:afterAutospacing="0" w:line="360" w:lineRule="auto"/>
              <w:ind w:left="0" w:leftChars="0" w:right="0"/>
              <w:jc w:val="center"/>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灵宝市中等专业学校智慧康养实训室建设、虚拟仿真思政教室建设及学校内涵提升建设项目一标段</w:t>
            </w:r>
          </w:p>
        </w:tc>
        <w:tc>
          <w:tcPr>
            <w:tcW w:w="19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980885C">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Autospacing="0" w:afterAutospacing="0" w:line="360" w:lineRule="auto"/>
              <w:ind w:left="0" w:leftChars="0" w:right="0"/>
              <w:jc w:val="center"/>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1000000.00</w:t>
            </w:r>
          </w:p>
        </w:tc>
      </w:tr>
      <w:tr w14:paraId="0E4688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58" w:hRule="atLeast"/>
        </w:trPr>
        <w:tc>
          <w:tcPr>
            <w:tcW w:w="229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E3EBE59">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Autospacing="0" w:afterAutospacing="0" w:line="360" w:lineRule="auto"/>
              <w:ind w:left="0" w:leftChars="0" w:right="0"/>
              <w:jc w:val="center"/>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LBGZ[2025]159-ZC109</w:t>
            </w:r>
            <w:r>
              <w:rPr>
                <w:rFonts w:hint="eastAsia" w:ascii="宋体" w:hAnsi="宋体" w:cs="宋体"/>
                <w:i w:val="0"/>
                <w:iCs w:val="0"/>
                <w:caps w:val="0"/>
                <w:color w:val="000000"/>
                <w:spacing w:val="0"/>
                <w:kern w:val="0"/>
                <w:sz w:val="24"/>
                <w:szCs w:val="24"/>
                <w:lang w:val="en-US" w:eastAsia="zh-CN" w:bidi="ar"/>
              </w:rPr>
              <w:t>-2</w:t>
            </w:r>
          </w:p>
        </w:tc>
        <w:tc>
          <w:tcPr>
            <w:tcW w:w="439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538A91D">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Autospacing="0" w:afterAutospacing="0" w:line="360" w:lineRule="auto"/>
              <w:ind w:left="0" w:leftChars="0" w:right="0"/>
              <w:jc w:val="center"/>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灵宝市中等专业学校智慧康养实训室建设、虚拟仿真思政教室建设及学校内涵提升建设项目二标段</w:t>
            </w:r>
          </w:p>
        </w:tc>
        <w:tc>
          <w:tcPr>
            <w:tcW w:w="19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C748845">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Autospacing="0" w:afterAutospacing="0" w:line="360" w:lineRule="auto"/>
              <w:ind w:left="0" w:leftChars="0" w:right="0"/>
              <w:jc w:val="center"/>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800000.00</w:t>
            </w:r>
          </w:p>
        </w:tc>
      </w:tr>
      <w:tr w14:paraId="3B716B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58" w:hRule="atLeast"/>
        </w:trPr>
        <w:tc>
          <w:tcPr>
            <w:tcW w:w="229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83B9780">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Autospacing="0" w:afterAutospacing="0" w:line="360" w:lineRule="auto"/>
              <w:ind w:left="0" w:leftChars="0" w:right="0"/>
              <w:jc w:val="center"/>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LBGZ[2025]159-ZC109</w:t>
            </w:r>
            <w:r>
              <w:rPr>
                <w:rFonts w:hint="eastAsia" w:ascii="宋体" w:hAnsi="宋体" w:cs="宋体"/>
                <w:i w:val="0"/>
                <w:iCs w:val="0"/>
                <w:caps w:val="0"/>
                <w:color w:val="000000"/>
                <w:spacing w:val="0"/>
                <w:kern w:val="0"/>
                <w:sz w:val="24"/>
                <w:szCs w:val="24"/>
                <w:lang w:val="en-US" w:eastAsia="zh-CN" w:bidi="ar"/>
              </w:rPr>
              <w:t>-3</w:t>
            </w:r>
          </w:p>
        </w:tc>
        <w:tc>
          <w:tcPr>
            <w:tcW w:w="439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C87E8CF">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Autospacing="0" w:afterAutospacing="0" w:line="360" w:lineRule="auto"/>
              <w:ind w:left="0" w:leftChars="0" w:right="0"/>
              <w:jc w:val="center"/>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灵宝市中等专业学校智慧康养实训室建设、虚拟仿真思政教室建设及学校内涵提升建设项目三标段</w:t>
            </w:r>
          </w:p>
        </w:tc>
        <w:tc>
          <w:tcPr>
            <w:tcW w:w="19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E9A75BF">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Autospacing="0" w:afterAutospacing="0" w:line="360" w:lineRule="auto"/>
              <w:ind w:left="0" w:leftChars="0" w:right="0"/>
              <w:jc w:val="center"/>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1200000.00</w:t>
            </w:r>
          </w:p>
        </w:tc>
      </w:tr>
    </w:tbl>
    <w:p w14:paraId="2ADC25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kern w:val="0"/>
          <w:sz w:val="24"/>
          <w:szCs w:val="24"/>
          <w:lang w:val="en-US" w:eastAsia="zh-CN" w:bidi="ar"/>
        </w:rPr>
        <w:t>5、采购需求（包括但不限于标的的名称、数量、简要技术需求或服务要求等）</w:t>
      </w:r>
    </w:p>
    <w:p w14:paraId="5300E7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5.1采购内容：本项目共分为三个标段</w:t>
      </w:r>
    </w:p>
    <w:p w14:paraId="3F397B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一标段：智慧康养实训室建设项目，采购内容为：养老评估实训室、养老照护实训室、养老康复实训室设备的采购及安装、调试、验收交付、培训、技术支持、售后保修及质保期相关伴随服务（具体详见采购清单及参数要求)</w:t>
      </w:r>
    </w:p>
    <w:p w14:paraId="1E60C4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二标段：虚拟仿真思政教室建设项目，采购内容为：大思政教育教学中心软件、vr党建思政培育中心（党建会议室）、党建思政红色教育基地（大礼堂）、教学楼红色文化打造设备的采购及安装、调试、验收交付、培训、技术支持、售后保修及质保期相关伴随服务，以及教学资源的使用、服务、培训、技术支持（具体详见采购清单及参数要求)</w:t>
      </w:r>
    </w:p>
    <w:p w14:paraId="0ECE30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三标段：学校内涵提升建设项目，采购内容为：教学能力大赛、班主任能力大赛、师生技能竞赛、“文明风采”竞赛、AI教学平台技术服务等大赛参赛教学大赛资源使用、服务、培训、技术支持；展板、桌椅、空调等设备的采购及安装、调试、验收交付、培训、技术支持、售后保修及质保期相关伴随服务（具体详见采购清单及参数要求)</w:t>
      </w:r>
    </w:p>
    <w:p w14:paraId="57A5CA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5.2资金来源：财政资金，已落实。</w:t>
      </w:r>
    </w:p>
    <w:p w14:paraId="17E109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lang w:val="en-US" w:eastAsia="zh-CN" w:bidi="ar"/>
        </w:rPr>
        <w:t>5.3交货地点：</w:t>
      </w:r>
      <w:r>
        <w:rPr>
          <w:rFonts w:hint="eastAsia" w:ascii="宋体" w:hAnsi="宋体" w:eastAsia="宋体" w:cs="宋体"/>
          <w:i w:val="0"/>
          <w:iCs w:val="0"/>
          <w:caps w:val="0"/>
          <w:color w:val="000000"/>
          <w:spacing w:val="0"/>
          <w:kern w:val="0"/>
          <w:sz w:val="24"/>
          <w:szCs w:val="24"/>
          <w:highlight w:val="none"/>
          <w:lang w:val="en-US" w:eastAsia="zh-CN" w:bidi="ar"/>
        </w:rPr>
        <w:t>采购人指定地点。</w:t>
      </w:r>
    </w:p>
    <w:p w14:paraId="020A947D">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firstLine="480" w:firstLineChars="200"/>
        <w:textAlignment w:val="auto"/>
        <w:rPr>
          <w:rFonts w:hint="eastAsia" w:ascii="宋体" w:hAnsi="宋体" w:eastAsia="宋体" w:cs="宋体"/>
          <w:sz w:val="24"/>
          <w:highlight w:val="none"/>
        </w:rPr>
      </w:pPr>
      <w:r>
        <w:rPr>
          <w:rFonts w:hint="eastAsia" w:ascii="宋体" w:hAnsi="宋体" w:eastAsia="宋体" w:cs="宋体"/>
          <w:i w:val="0"/>
          <w:iCs w:val="0"/>
          <w:caps w:val="0"/>
          <w:color w:val="333333"/>
          <w:spacing w:val="0"/>
          <w:kern w:val="0"/>
          <w:sz w:val="24"/>
          <w:szCs w:val="24"/>
          <w:highlight w:val="none"/>
          <w:lang w:val="en-US" w:eastAsia="zh-CN" w:bidi="ar"/>
        </w:rPr>
        <w:t>5.4质量要求：</w:t>
      </w:r>
      <w:r>
        <w:rPr>
          <w:rFonts w:hint="eastAsia" w:ascii="宋体" w:hAnsi="宋体" w:eastAsia="宋体" w:cs="宋体"/>
          <w:sz w:val="24"/>
          <w:highlight w:val="none"/>
        </w:rPr>
        <w:t>符合国家及行业标准</w:t>
      </w:r>
      <w:r>
        <w:rPr>
          <w:rFonts w:hint="eastAsia" w:ascii="宋体" w:hAnsi="宋体" w:eastAsia="宋体" w:cs="宋体"/>
          <w:sz w:val="24"/>
          <w:highlight w:val="none"/>
          <w:lang w:eastAsia="zh-CN"/>
        </w:rPr>
        <w:t>、</w:t>
      </w:r>
      <w:r>
        <w:rPr>
          <w:rFonts w:hint="eastAsia" w:ascii="宋体" w:hAnsi="宋体" w:eastAsia="宋体" w:cs="宋体"/>
          <w:i w:val="0"/>
          <w:iCs w:val="0"/>
          <w:caps w:val="0"/>
          <w:color w:val="333333"/>
          <w:spacing w:val="0"/>
          <w:kern w:val="0"/>
          <w:sz w:val="24"/>
          <w:szCs w:val="24"/>
          <w:highlight w:val="none"/>
          <w:lang w:val="en-US" w:eastAsia="zh-CN" w:bidi="ar"/>
        </w:rPr>
        <w:t>法律规范</w:t>
      </w:r>
      <w:r>
        <w:rPr>
          <w:rFonts w:hint="eastAsia" w:ascii="宋体" w:hAnsi="宋体" w:eastAsia="宋体" w:cs="宋体"/>
          <w:sz w:val="24"/>
          <w:highlight w:val="none"/>
        </w:rPr>
        <w:t>并满足采购人要求。</w:t>
      </w:r>
    </w:p>
    <w:p w14:paraId="6177ACB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i w:val="0"/>
          <w:iCs w:val="0"/>
          <w:caps w:val="0"/>
          <w:color w:val="333333"/>
          <w:spacing w:val="0"/>
          <w:kern w:val="0"/>
          <w:sz w:val="24"/>
          <w:szCs w:val="24"/>
          <w:highlight w:val="none"/>
          <w:lang w:val="en-US" w:eastAsia="zh-CN" w:bidi="ar"/>
        </w:rPr>
      </w:pPr>
      <w:r>
        <w:rPr>
          <w:rFonts w:hint="eastAsia" w:ascii="宋体" w:hAnsi="宋体" w:eastAsia="宋体" w:cs="宋体"/>
          <w:i w:val="0"/>
          <w:iCs w:val="0"/>
          <w:caps w:val="0"/>
          <w:color w:val="333333"/>
          <w:spacing w:val="0"/>
          <w:kern w:val="0"/>
          <w:sz w:val="24"/>
          <w:szCs w:val="24"/>
          <w:highlight w:val="none"/>
          <w:lang w:val="en-US" w:eastAsia="zh-CN" w:bidi="ar"/>
        </w:rPr>
        <w:t>5.5交货期：货物</w:t>
      </w:r>
      <w:r>
        <w:rPr>
          <w:rFonts w:hint="eastAsia" w:ascii="宋体" w:hAnsi="宋体" w:eastAsia="宋体" w:cs="宋体"/>
          <w:color w:val="0C0C0C"/>
          <w:kern w:val="0"/>
          <w:sz w:val="24"/>
          <w:szCs w:val="24"/>
          <w:highlight w:val="none"/>
          <w:shd w:val="clear" w:color="auto" w:fill="FFFFFF"/>
          <w:lang w:val="en-US" w:eastAsia="zh-CN"/>
        </w:rPr>
        <w:t>30日历天内供货、安装、调试至正常运行</w:t>
      </w:r>
      <w:r>
        <w:rPr>
          <w:rFonts w:hint="eastAsia" w:ascii="宋体" w:hAnsi="宋体" w:eastAsia="宋体" w:cs="宋体"/>
          <w:i w:val="0"/>
          <w:iCs w:val="0"/>
          <w:caps w:val="0"/>
          <w:color w:val="333333"/>
          <w:spacing w:val="0"/>
          <w:kern w:val="0"/>
          <w:sz w:val="24"/>
          <w:szCs w:val="24"/>
          <w:highlight w:val="none"/>
          <w:lang w:val="en-US" w:eastAsia="zh-CN" w:bidi="ar"/>
        </w:rPr>
        <w:t>，服务期限3年</w:t>
      </w:r>
    </w:p>
    <w:p w14:paraId="38FD039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i w:val="0"/>
          <w:iCs w:val="0"/>
          <w:caps w:val="0"/>
          <w:color w:val="333333"/>
          <w:spacing w:val="0"/>
          <w:kern w:val="0"/>
          <w:sz w:val="24"/>
          <w:szCs w:val="24"/>
          <w:highlight w:val="none"/>
          <w:lang w:val="en-US" w:eastAsia="zh-CN" w:bidi="ar"/>
        </w:rPr>
      </w:pPr>
      <w:r>
        <w:rPr>
          <w:rFonts w:hint="eastAsia" w:ascii="宋体" w:hAnsi="宋体" w:eastAsia="宋体" w:cs="宋体"/>
          <w:i w:val="0"/>
          <w:iCs w:val="0"/>
          <w:caps w:val="0"/>
          <w:color w:val="333333"/>
          <w:spacing w:val="0"/>
          <w:kern w:val="0"/>
          <w:sz w:val="24"/>
          <w:szCs w:val="24"/>
          <w:highlight w:val="none"/>
          <w:lang w:val="en-US" w:eastAsia="zh-CN" w:bidi="ar"/>
        </w:rPr>
        <w:t>5.6质保期：质保期三年。</w:t>
      </w:r>
    </w:p>
    <w:p w14:paraId="4C2720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000000"/>
          <w:spacing w:val="0"/>
          <w:kern w:val="0"/>
          <w:sz w:val="24"/>
          <w:szCs w:val="24"/>
          <w:highlight w:val="none"/>
          <w:lang w:val="en-US" w:eastAsia="zh-CN" w:bidi="ar"/>
        </w:rPr>
        <w:t>6、合同履行期限：按合同约定执行。</w:t>
      </w:r>
    </w:p>
    <w:p w14:paraId="4A6750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000000"/>
          <w:spacing w:val="0"/>
          <w:kern w:val="0"/>
          <w:sz w:val="24"/>
          <w:szCs w:val="24"/>
          <w:highlight w:val="none"/>
          <w:lang w:val="en-US" w:eastAsia="zh-CN" w:bidi="ar"/>
        </w:rPr>
        <w:t>7、本项目是否接受联合体投标：否</w:t>
      </w:r>
    </w:p>
    <w:p w14:paraId="638FDB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000000"/>
          <w:spacing w:val="0"/>
          <w:kern w:val="0"/>
          <w:sz w:val="24"/>
          <w:szCs w:val="24"/>
          <w:highlight w:val="none"/>
          <w:lang w:val="en-US" w:eastAsia="zh-CN" w:bidi="ar"/>
        </w:rPr>
        <w:t>8、是否接受进口产品：否</w:t>
      </w:r>
    </w:p>
    <w:p w14:paraId="1B1FF9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000000"/>
          <w:spacing w:val="0"/>
          <w:kern w:val="0"/>
          <w:sz w:val="24"/>
          <w:szCs w:val="24"/>
          <w:highlight w:val="none"/>
          <w:lang w:val="en-US" w:eastAsia="zh-CN" w:bidi="ar"/>
        </w:rPr>
        <w:t>9、是否专门面向中小企业：否</w:t>
      </w:r>
    </w:p>
    <w:p w14:paraId="60AFCF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000000"/>
          <w:spacing w:val="0"/>
          <w:kern w:val="0"/>
          <w:sz w:val="24"/>
          <w:szCs w:val="24"/>
          <w:highlight w:val="none"/>
          <w:lang w:val="en-US" w:eastAsia="zh-CN" w:bidi="ar"/>
        </w:rPr>
        <w:t>二、供应商资格要求：</w:t>
      </w:r>
    </w:p>
    <w:p w14:paraId="1EE28A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lang w:val="en-US" w:eastAsia="zh-CN" w:bidi="ar"/>
        </w:rPr>
        <w:t>1、满足《中华人民共和国政府采购法》第二十二条规定；</w:t>
      </w:r>
    </w:p>
    <w:p w14:paraId="63FAB9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color w:val="0C0C0C"/>
          <w:kern w:val="0"/>
          <w:sz w:val="24"/>
          <w:szCs w:val="24"/>
          <w:highlight w:val="none"/>
          <w:shd w:val="clear" w:color="auto" w:fill="FFFFFF"/>
          <w:lang w:val="en-US" w:eastAsia="zh-CN"/>
        </w:rPr>
      </w:pPr>
      <w:r>
        <w:rPr>
          <w:rFonts w:hint="eastAsia" w:ascii="宋体" w:hAnsi="宋体" w:eastAsia="宋体" w:cs="宋体"/>
          <w:i w:val="0"/>
          <w:iCs w:val="0"/>
          <w:caps w:val="0"/>
          <w:color w:val="333333"/>
          <w:spacing w:val="0"/>
          <w:kern w:val="0"/>
          <w:sz w:val="24"/>
          <w:szCs w:val="24"/>
          <w:highlight w:val="none"/>
          <w:lang w:val="en-US" w:eastAsia="zh-CN" w:bidi="ar"/>
        </w:rPr>
        <w:t>2、落实政府采购政策满足的资格要求：</w:t>
      </w:r>
      <w:r>
        <w:rPr>
          <w:rFonts w:hint="eastAsia" w:ascii="宋体" w:hAnsi="宋体" w:eastAsia="宋体" w:cs="宋体"/>
          <w:color w:val="0C0C0C"/>
          <w:kern w:val="0"/>
          <w:sz w:val="24"/>
          <w:szCs w:val="24"/>
          <w:highlight w:val="none"/>
          <w:shd w:val="clear" w:color="auto" w:fill="FFFFFF"/>
          <w:lang w:val="en-US" w:eastAsia="zh-CN"/>
        </w:rPr>
        <w:t>本项目非专门面向中小微企业采购项目,执行促进中小企业（监狱企业、残疾人福利性企业）发展等政府采购政策。</w:t>
      </w:r>
    </w:p>
    <w:p w14:paraId="18FF49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lang w:val="en-US" w:eastAsia="zh-CN" w:bidi="ar"/>
        </w:rPr>
        <w:t>3、本项目的特定资格要求</w:t>
      </w:r>
    </w:p>
    <w:p w14:paraId="402096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kern w:val="0"/>
          <w:sz w:val="24"/>
          <w:szCs w:val="24"/>
          <w:highlight w:val="none"/>
          <w:lang w:val="en-US" w:eastAsia="zh-CN" w:bidi="ar"/>
        </w:rPr>
      </w:pPr>
      <w:r>
        <w:rPr>
          <w:rFonts w:hint="eastAsia" w:ascii="宋体" w:hAnsi="宋体" w:eastAsia="宋体" w:cs="宋体"/>
          <w:i w:val="0"/>
          <w:iCs w:val="0"/>
          <w:caps w:val="0"/>
          <w:color w:val="333333"/>
          <w:spacing w:val="0"/>
          <w:kern w:val="0"/>
          <w:sz w:val="24"/>
          <w:szCs w:val="24"/>
          <w:highlight w:val="none"/>
          <w:lang w:val="en-US" w:eastAsia="zh-CN" w:bidi="ar"/>
        </w:rPr>
        <w:t>3.1</w:t>
      </w:r>
      <w:r>
        <w:rPr>
          <w:rFonts w:hint="eastAsia" w:ascii="宋体" w:hAnsi="宋体" w:cs="宋体"/>
          <w:i w:val="0"/>
          <w:iCs w:val="0"/>
          <w:caps w:val="0"/>
          <w:color w:val="333333"/>
          <w:spacing w:val="0"/>
          <w:kern w:val="0"/>
          <w:sz w:val="24"/>
          <w:szCs w:val="24"/>
          <w:highlight w:val="none"/>
          <w:lang w:val="en-US" w:eastAsia="zh-CN" w:bidi="ar"/>
        </w:rPr>
        <w:t>、</w:t>
      </w:r>
      <w:r>
        <w:rPr>
          <w:rFonts w:hint="eastAsia" w:ascii="宋体" w:hAnsi="宋体" w:eastAsia="宋体" w:cs="宋体"/>
          <w:i w:val="0"/>
          <w:iCs w:val="0"/>
          <w:caps w:val="0"/>
          <w:color w:val="333333"/>
          <w:spacing w:val="0"/>
          <w:kern w:val="0"/>
          <w:sz w:val="24"/>
          <w:szCs w:val="24"/>
          <w:highlight w:val="none"/>
          <w:lang w:val="en-US" w:eastAsia="zh-CN" w:bidi="ar"/>
        </w:rPr>
        <w:t>供应商须具有独立承担民事责任能力的法人或其他组织，同时具有有效的营业执照、税务登记证、组织机构代码证或三证合一的营业执照。</w:t>
      </w:r>
    </w:p>
    <w:p w14:paraId="78F3EE18">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firstLine="480" w:firstLineChars="200"/>
        <w:textAlignment w:val="auto"/>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3.2、具有良好的商业信誉和健全的财务会计制度（自行作出承诺，格式自拟</w:t>
      </w:r>
      <w:r>
        <w:rPr>
          <w:rFonts w:hint="eastAsia" w:ascii="宋体" w:hAnsi="宋体" w:eastAsia="宋体" w:cs="宋体"/>
          <w:color w:val="auto"/>
          <w:sz w:val="24"/>
          <w:szCs w:val="28"/>
          <w:highlight w:val="none"/>
          <w:lang w:eastAsia="zh-CN"/>
        </w:rPr>
        <w:t>）。</w:t>
      </w:r>
    </w:p>
    <w:p w14:paraId="34554537">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firstLine="480" w:firstLineChars="200"/>
        <w:textAlignment w:val="auto"/>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3.3、具有履行合同所必需的设备和专业技术能力（自行作出承诺，格式自拟）</w:t>
      </w:r>
      <w:r>
        <w:rPr>
          <w:rFonts w:hint="eastAsia" w:ascii="宋体" w:hAnsi="宋体" w:eastAsia="宋体" w:cs="宋体"/>
          <w:color w:val="auto"/>
          <w:sz w:val="24"/>
          <w:szCs w:val="28"/>
          <w:highlight w:val="none"/>
          <w:lang w:eastAsia="zh-CN"/>
        </w:rPr>
        <w:t>。</w:t>
      </w:r>
    </w:p>
    <w:p w14:paraId="19F680E3">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firstLine="480" w:firstLineChars="200"/>
        <w:textAlignment w:val="auto"/>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3.4、有依法缴纳税收和社会保障资金的良好记录（提供202</w:t>
      </w:r>
      <w:r>
        <w:rPr>
          <w:rFonts w:hint="eastAsia" w:ascii="宋体" w:hAnsi="宋体" w:eastAsia="宋体" w:cs="宋体"/>
          <w:color w:val="auto"/>
          <w:sz w:val="24"/>
          <w:szCs w:val="28"/>
          <w:highlight w:val="none"/>
          <w:lang w:val="en-US" w:eastAsia="zh-CN"/>
        </w:rPr>
        <w:t>5</w:t>
      </w:r>
      <w:r>
        <w:rPr>
          <w:rFonts w:hint="eastAsia" w:ascii="宋体" w:hAnsi="宋体" w:eastAsia="宋体" w:cs="宋体"/>
          <w:color w:val="auto"/>
          <w:sz w:val="24"/>
          <w:szCs w:val="28"/>
          <w:highlight w:val="none"/>
        </w:rPr>
        <w:t>年</w:t>
      </w:r>
      <w:r>
        <w:rPr>
          <w:rFonts w:hint="eastAsia" w:ascii="宋体" w:hAnsi="宋体" w:eastAsia="宋体" w:cs="宋体"/>
          <w:color w:val="auto"/>
          <w:sz w:val="24"/>
          <w:szCs w:val="28"/>
          <w:highlight w:val="none"/>
          <w:lang w:val="en-US" w:eastAsia="zh-CN"/>
        </w:rPr>
        <w:t>1</w:t>
      </w:r>
      <w:r>
        <w:rPr>
          <w:rFonts w:hint="eastAsia" w:ascii="宋体" w:hAnsi="宋体" w:eastAsia="宋体" w:cs="宋体"/>
          <w:color w:val="auto"/>
          <w:sz w:val="24"/>
          <w:szCs w:val="28"/>
          <w:highlight w:val="none"/>
        </w:rPr>
        <w:t>月以来任意</w:t>
      </w:r>
      <w:r>
        <w:rPr>
          <w:rFonts w:hint="eastAsia" w:ascii="宋体" w:hAnsi="宋体" w:eastAsia="宋体" w:cs="宋体"/>
          <w:color w:val="auto"/>
          <w:sz w:val="24"/>
          <w:szCs w:val="28"/>
          <w:highlight w:val="none"/>
          <w:lang w:val="en-US" w:eastAsia="zh-CN"/>
        </w:rPr>
        <w:t>三</w:t>
      </w:r>
      <w:r>
        <w:rPr>
          <w:rFonts w:hint="eastAsia" w:ascii="宋体" w:hAnsi="宋体" w:eastAsia="宋体" w:cs="宋体"/>
          <w:color w:val="auto"/>
          <w:sz w:val="24"/>
          <w:szCs w:val="28"/>
          <w:highlight w:val="none"/>
        </w:rPr>
        <w:t>个月依法缴纳税收和社会保障金的证明材料，依法免税或不需要缴纳社会保障资金的供应商，应提供相应证明文件）</w:t>
      </w:r>
      <w:r>
        <w:rPr>
          <w:rFonts w:hint="eastAsia" w:ascii="宋体" w:hAnsi="宋体" w:eastAsia="宋体" w:cs="宋体"/>
          <w:color w:val="auto"/>
          <w:sz w:val="24"/>
          <w:szCs w:val="28"/>
          <w:highlight w:val="none"/>
          <w:lang w:eastAsia="zh-CN"/>
        </w:rPr>
        <w:t>。</w:t>
      </w:r>
    </w:p>
    <w:p w14:paraId="1BD65BE3">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3.5、</w:t>
      </w:r>
      <w:r>
        <w:rPr>
          <w:rFonts w:hint="eastAsia" w:ascii="宋体" w:hAnsi="宋体" w:eastAsia="宋体" w:cs="宋体"/>
          <w:color w:val="auto"/>
          <w:sz w:val="24"/>
          <w:szCs w:val="28"/>
          <w:highlight w:val="none"/>
        </w:rPr>
        <w:t>参加政府采购活动近三年内，在经营活动中没有重大违法记录（自行作出承诺，格式自拟</w:t>
      </w: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lang w:val="en-US" w:eastAsia="zh-CN"/>
        </w:rPr>
        <w:t>承诺对象公司、法人</w:t>
      </w:r>
      <w:r>
        <w:rPr>
          <w:rFonts w:hint="eastAsia" w:ascii="宋体" w:hAnsi="宋体" w:eastAsia="宋体" w:cs="宋体"/>
          <w:color w:val="auto"/>
          <w:sz w:val="24"/>
          <w:szCs w:val="28"/>
          <w:highlight w:val="none"/>
        </w:rPr>
        <w:t>）</w:t>
      </w: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rPr>
        <w:t xml:space="preserve"> </w:t>
      </w:r>
    </w:p>
    <w:p w14:paraId="3C09624C">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3.6、出具本单位无商业贿赂及无不正当竞争行为的承诺书</w:t>
      </w:r>
      <w:r>
        <w:rPr>
          <w:rFonts w:hint="eastAsia" w:ascii="宋体" w:hAnsi="宋体" w:eastAsia="宋体" w:cs="宋体"/>
          <w:color w:val="auto"/>
          <w:sz w:val="24"/>
          <w:szCs w:val="28"/>
          <w:highlight w:val="none"/>
        </w:rPr>
        <w:t>（</w:t>
      </w:r>
      <w:r>
        <w:rPr>
          <w:rFonts w:hint="eastAsia" w:ascii="宋体" w:hAnsi="宋体" w:eastAsia="宋体" w:cs="宋体"/>
          <w:color w:val="auto"/>
          <w:sz w:val="24"/>
          <w:szCs w:val="28"/>
          <w:highlight w:val="none"/>
          <w:lang w:val="en-US" w:eastAsia="zh-CN"/>
        </w:rPr>
        <w:t>承诺对象公司、法人</w:t>
      </w:r>
      <w:r>
        <w:rPr>
          <w:rFonts w:hint="eastAsia" w:ascii="宋体" w:hAnsi="宋体" w:eastAsia="宋体" w:cs="宋体"/>
          <w:color w:val="auto"/>
          <w:sz w:val="24"/>
          <w:szCs w:val="28"/>
          <w:highlight w:val="none"/>
        </w:rPr>
        <w:t>）</w:t>
      </w:r>
      <w:r>
        <w:rPr>
          <w:rFonts w:hint="eastAsia" w:ascii="宋体" w:hAnsi="宋体" w:eastAsia="宋体" w:cs="宋体"/>
          <w:color w:val="auto"/>
          <w:sz w:val="24"/>
          <w:szCs w:val="28"/>
          <w:highlight w:val="none"/>
          <w:lang w:eastAsia="zh-CN"/>
        </w:rPr>
        <w:t>。</w:t>
      </w:r>
    </w:p>
    <w:p w14:paraId="221EF3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color w:val="0C0C0C"/>
          <w:kern w:val="0"/>
          <w:sz w:val="24"/>
          <w:szCs w:val="24"/>
          <w:highlight w:val="none"/>
          <w:shd w:val="clear" w:color="auto" w:fill="FFFFFF"/>
          <w:lang w:val="en-US" w:eastAsia="zh-CN"/>
        </w:rPr>
      </w:pPr>
      <w:r>
        <w:rPr>
          <w:rFonts w:hint="eastAsia" w:ascii="宋体" w:hAnsi="宋体" w:eastAsia="宋体" w:cs="宋体"/>
          <w:i w:val="0"/>
          <w:iCs w:val="0"/>
          <w:caps w:val="0"/>
          <w:color w:val="333333"/>
          <w:spacing w:val="0"/>
          <w:kern w:val="0"/>
          <w:sz w:val="24"/>
          <w:szCs w:val="24"/>
          <w:highlight w:val="none"/>
          <w:lang w:val="en-US" w:eastAsia="zh-CN" w:bidi="ar"/>
        </w:rPr>
        <w:t>3.7、</w:t>
      </w:r>
      <w:r>
        <w:rPr>
          <w:rFonts w:hint="eastAsia" w:ascii="宋体" w:hAnsi="宋体" w:eastAsia="宋体" w:cs="宋体"/>
          <w:color w:val="0C0C0C"/>
          <w:kern w:val="0"/>
          <w:sz w:val="24"/>
          <w:szCs w:val="24"/>
          <w:highlight w:val="none"/>
          <w:shd w:val="clear" w:color="auto" w:fill="FFFFFF"/>
          <w:lang w:val="en-US" w:eastAsia="zh-CN"/>
        </w:rPr>
        <w:t>根据《关于在政府采购活动中查询及使用信用记录有关问题的通知》(财库[2016]125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信用中国”网站（https://www.creditchina.gov.cn/）、中国政府采购网（http://www.ccgp.gov.cn/），提供网站的查询信息截图，信用报告，查询时间自公告发布之日起）</w:t>
      </w:r>
    </w:p>
    <w:p w14:paraId="07FBE7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kern w:val="0"/>
          <w:sz w:val="24"/>
          <w:szCs w:val="24"/>
          <w:highlight w:val="none"/>
          <w:lang w:val="en-US" w:eastAsia="zh-CN" w:bidi="ar"/>
        </w:rPr>
      </w:pPr>
      <w:r>
        <w:rPr>
          <w:rFonts w:hint="eastAsia" w:ascii="宋体" w:hAnsi="宋体" w:eastAsia="宋体" w:cs="宋体"/>
          <w:i w:val="0"/>
          <w:iCs w:val="0"/>
          <w:caps w:val="0"/>
          <w:color w:val="333333"/>
          <w:spacing w:val="0"/>
          <w:kern w:val="0"/>
          <w:sz w:val="24"/>
          <w:szCs w:val="24"/>
          <w:highlight w:val="none"/>
          <w:lang w:val="en-US" w:eastAsia="zh-CN" w:bidi="ar"/>
        </w:rPr>
        <w:t>3.8、单位负责人为同一人或者存在直接控股、管理关系的不同供应商，不得参加同一合同项下的采购活动；（提供“国家企业信用信息公示系统”中查询的相关信息并加盖公章；查询信息需包含公司基本信息、股东信息及股权变更信息等相关信息，查询起始日期为本项目公告发布之后，查询截止时间为开标时间同一时间）</w:t>
      </w:r>
    </w:p>
    <w:p w14:paraId="0F3CF6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kern w:val="0"/>
          <w:sz w:val="24"/>
          <w:szCs w:val="24"/>
          <w:highlight w:val="none"/>
          <w:lang w:val="en-US" w:eastAsia="zh-CN" w:bidi="ar"/>
        </w:rPr>
      </w:pPr>
      <w:r>
        <w:rPr>
          <w:rFonts w:hint="eastAsia" w:ascii="宋体" w:hAnsi="宋体" w:eastAsia="宋体" w:cs="宋体"/>
          <w:i w:val="0"/>
          <w:iCs w:val="0"/>
          <w:caps w:val="0"/>
          <w:color w:val="333333"/>
          <w:spacing w:val="0"/>
          <w:kern w:val="0"/>
          <w:sz w:val="24"/>
          <w:szCs w:val="24"/>
          <w:highlight w:val="none"/>
          <w:lang w:val="en-US" w:eastAsia="zh-CN" w:bidi="ar"/>
        </w:rPr>
        <w:t>3.9、本项目不接受联合体投标。</w:t>
      </w:r>
    </w:p>
    <w:p w14:paraId="2CC6D0BE">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firstLine="482" w:firstLineChars="200"/>
        <w:textAlignment w:val="auto"/>
        <w:rPr>
          <w:rFonts w:hint="eastAsia" w:ascii="宋体" w:hAnsi="宋体" w:eastAsia="宋体" w:cs="宋体"/>
          <w:color w:val="auto"/>
          <w:sz w:val="24"/>
          <w:szCs w:val="28"/>
          <w:highlight w:val="none"/>
        </w:rPr>
      </w:pPr>
      <w:r>
        <w:rPr>
          <w:rFonts w:hint="eastAsia" w:ascii="宋体" w:hAnsi="宋体" w:eastAsia="宋体" w:cs="宋体"/>
          <w:b/>
          <w:bCs/>
          <w:i w:val="0"/>
          <w:iCs w:val="0"/>
          <w:caps w:val="0"/>
          <w:color w:val="333333"/>
          <w:spacing w:val="0"/>
          <w:kern w:val="0"/>
          <w:sz w:val="24"/>
          <w:szCs w:val="24"/>
          <w:highlight w:val="none"/>
          <w:lang w:val="en-US" w:eastAsia="zh-CN" w:bidi="ar"/>
        </w:rPr>
        <w:t>备注：</w:t>
      </w:r>
      <w:r>
        <w:rPr>
          <w:rFonts w:hint="eastAsia" w:ascii="宋体" w:hAnsi="宋体" w:eastAsia="宋体" w:cs="宋体"/>
          <w:b/>
          <w:bCs/>
          <w:color w:val="auto"/>
          <w:sz w:val="24"/>
          <w:szCs w:val="28"/>
          <w:highlight w:val="none"/>
        </w:rPr>
        <w:t>同一供应商可以同时对一、二</w:t>
      </w:r>
      <w:r>
        <w:rPr>
          <w:rFonts w:hint="eastAsia" w:ascii="宋体" w:hAnsi="宋体" w:eastAsia="宋体" w:cs="宋体"/>
          <w:b/>
          <w:bCs/>
          <w:color w:val="auto"/>
          <w:sz w:val="24"/>
          <w:szCs w:val="28"/>
          <w:highlight w:val="none"/>
          <w:lang w:eastAsia="zh-CN"/>
        </w:rPr>
        <w:t>、</w:t>
      </w:r>
      <w:r>
        <w:rPr>
          <w:rFonts w:hint="eastAsia" w:ascii="宋体" w:hAnsi="宋体" w:eastAsia="宋体" w:cs="宋体"/>
          <w:b/>
          <w:bCs/>
          <w:color w:val="auto"/>
          <w:sz w:val="24"/>
          <w:szCs w:val="28"/>
          <w:highlight w:val="none"/>
          <w:lang w:val="en-US" w:eastAsia="zh-CN"/>
        </w:rPr>
        <w:t>三</w:t>
      </w:r>
      <w:r>
        <w:rPr>
          <w:rFonts w:hint="eastAsia" w:ascii="宋体" w:hAnsi="宋体" w:eastAsia="宋体" w:cs="宋体"/>
          <w:b/>
          <w:bCs/>
          <w:color w:val="auto"/>
          <w:sz w:val="24"/>
          <w:szCs w:val="28"/>
          <w:highlight w:val="none"/>
        </w:rPr>
        <w:t>标段中多个标段进行投标，但只能取得其中一个标段的第一中标候选人资格。如供应商为一标段的第一中标候选人的，可以参与二标段的评审，但不再推荐其为二标段的</w:t>
      </w:r>
      <w:r>
        <w:rPr>
          <w:rFonts w:hint="eastAsia" w:ascii="宋体" w:hAnsi="宋体" w:eastAsia="宋体" w:cs="宋体"/>
          <w:b/>
          <w:bCs/>
          <w:color w:val="auto"/>
          <w:sz w:val="24"/>
          <w:szCs w:val="28"/>
          <w:highlight w:val="none"/>
          <w:lang w:val="en-US" w:eastAsia="zh-CN"/>
        </w:rPr>
        <w:t>第一</w:t>
      </w:r>
      <w:r>
        <w:rPr>
          <w:rFonts w:hint="eastAsia" w:ascii="宋体" w:hAnsi="宋体" w:eastAsia="宋体" w:cs="宋体"/>
          <w:b/>
          <w:bCs/>
          <w:color w:val="auto"/>
          <w:sz w:val="24"/>
          <w:szCs w:val="28"/>
          <w:highlight w:val="none"/>
        </w:rPr>
        <w:t>中标候选人。</w:t>
      </w:r>
    </w:p>
    <w:p w14:paraId="277667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lang w:val="en-US" w:eastAsia="zh-CN" w:bidi="ar"/>
        </w:rPr>
        <w:t>三、获取招标文件</w:t>
      </w:r>
    </w:p>
    <w:p w14:paraId="1657B8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000000"/>
          <w:spacing w:val="0"/>
          <w:kern w:val="0"/>
          <w:sz w:val="24"/>
          <w:szCs w:val="24"/>
          <w:highlight w:val="none"/>
          <w:lang w:val="en-US" w:eastAsia="zh-CN" w:bidi="ar"/>
        </w:rPr>
        <w:t>1、时间：2025年7月</w:t>
      </w:r>
      <w:r>
        <w:rPr>
          <w:rFonts w:hint="eastAsia" w:ascii="宋体" w:hAnsi="宋体" w:cs="宋体"/>
          <w:i w:val="0"/>
          <w:iCs w:val="0"/>
          <w:caps w:val="0"/>
          <w:color w:val="000000"/>
          <w:spacing w:val="0"/>
          <w:kern w:val="0"/>
          <w:sz w:val="24"/>
          <w:szCs w:val="24"/>
          <w:highlight w:val="none"/>
          <w:lang w:val="en-US" w:eastAsia="zh-CN" w:bidi="ar"/>
        </w:rPr>
        <w:t>3</w:t>
      </w:r>
      <w:r>
        <w:rPr>
          <w:rFonts w:hint="eastAsia" w:ascii="宋体" w:hAnsi="宋体" w:eastAsia="宋体" w:cs="宋体"/>
          <w:i w:val="0"/>
          <w:iCs w:val="0"/>
          <w:caps w:val="0"/>
          <w:color w:val="000000"/>
          <w:spacing w:val="0"/>
          <w:kern w:val="0"/>
          <w:sz w:val="24"/>
          <w:szCs w:val="24"/>
          <w:highlight w:val="none"/>
          <w:lang w:val="en-US" w:eastAsia="zh-CN" w:bidi="ar"/>
        </w:rPr>
        <w:t>日至2025年7月23日</w:t>
      </w:r>
      <w:r>
        <w:rPr>
          <w:rFonts w:hint="eastAsia" w:ascii="宋体" w:hAnsi="宋体" w:eastAsia="宋体" w:cs="宋体"/>
          <w:i w:val="0"/>
          <w:iCs w:val="0"/>
          <w:caps w:val="0"/>
          <w:color w:val="333333"/>
          <w:spacing w:val="0"/>
          <w:kern w:val="0"/>
          <w:sz w:val="24"/>
          <w:szCs w:val="24"/>
          <w:highlight w:val="none"/>
          <w:lang w:val="en-US" w:eastAsia="zh-CN" w:bidi="ar"/>
        </w:rPr>
        <w:t>08时30分</w:t>
      </w:r>
    </w:p>
    <w:p w14:paraId="1AC583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2、获取方式：本项目没有报名环节，供应商凭CA数字证书通过三门峡市公共资源交易中心网（网址：gzjy.smx.gov.cn），点击交易平台选择“市场主体登录”，在所参与项目右侧点击参与投标，即可直接下载本项目招标文件。本项目采用全电子化招标，不再收取招标文件费。</w:t>
      </w:r>
    </w:p>
    <w:p w14:paraId="01444E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办理CA证书：http://gzjy.smx.gov.cn/bzzx/008001/20211105/57b16af9-ab87-4395-a723-7758c628a3f8.html</w:t>
      </w:r>
    </w:p>
    <w:p w14:paraId="2A75C8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三门峡市公共资源交易平台操作手册：</w:t>
      </w:r>
    </w:p>
    <w:p w14:paraId="587E7D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http://gzjy.smx.gov.cn/bzzx/008001/20200325/1d4d9bd4-82a2-4284-b2f7-428c4c69ef58.html</w:t>
      </w:r>
    </w:p>
    <w:p w14:paraId="311586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000000"/>
          <w:spacing w:val="0"/>
          <w:kern w:val="0"/>
          <w:sz w:val="24"/>
          <w:szCs w:val="24"/>
          <w:highlight w:val="none"/>
          <w:lang w:val="en-US" w:eastAsia="zh-CN" w:bidi="ar"/>
        </w:rPr>
        <w:t>四、投标截止时间及地点</w:t>
      </w:r>
    </w:p>
    <w:p w14:paraId="7CEEA1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lang w:val="en-US" w:eastAsia="zh-CN" w:bidi="ar"/>
        </w:rPr>
        <w:t>1、时间：2025年7月23日08时30分（北京时间）</w:t>
      </w:r>
    </w:p>
    <w:p w14:paraId="25DA59C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lang w:val="en-US" w:eastAsia="zh-CN" w:bidi="ar"/>
        </w:rPr>
        <w:t>2、地点：</w:t>
      </w:r>
      <w:r>
        <w:rPr>
          <w:rFonts w:hint="eastAsia" w:ascii="宋体" w:hAnsi="宋体" w:eastAsia="宋体" w:cs="宋体"/>
          <w:color w:val="0C0C0C"/>
          <w:kern w:val="0"/>
          <w:sz w:val="24"/>
          <w:szCs w:val="24"/>
          <w:highlight w:val="none"/>
          <w:shd w:val="clear" w:color="auto" w:fill="FFFFFF"/>
          <w:lang w:val="en-US" w:eastAsia="zh-CN"/>
        </w:rPr>
        <w:t>在三门峡市公共资源交易中心网络平台上传加密投标文件</w:t>
      </w:r>
      <w:r>
        <w:rPr>
          <w:rFonts w:hint="eastAsia" w:ascii="宋体" w:hAnsi="宋体" w:eastAsia="宋体" w:cs="宋体"/>
          <w:i w:val="0"/>
          <w:iCs w:val="0"/>
          <w:caps w:val="0"/>
          <w:color w:val="333333"/>
          <w:spacing w:val="0"/>
          <w:kern w:val="0"/>
          <w:sz w:val="24"/>
          <w:szCs w:val="24"/>
          <w:highlight w:val="none"/>
          <w:lang w:val="en-US" w:eastAsia="zh-CN" w:bidi="ar"/>
        </w:rPr>
        <w:t>。</w:t>
      </w:r>
    </w:p>
    <w:p w14:paraId="00273F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lang w:val="en-US" w:eastAsia="zh-CN" w:bidi="ar"/>
        </w:rPr>
        <w:t>五、开标时间及地点</w:t>
      </w:r>
    </w:p>
    <w:p w14:paraId="1E3015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lang w:val="en-US" w:eastAsia="zh-CN" w:bidi="ar"/>
        </w:rPr>
        <w:t>1、时间：2025年7月23日08时30分（北京时间）</w:t>
      </w:r>
    </w:p>
    <w:p w14:paraId="54B999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2、地点：灵宝市公共资源交易中心开标二室</w:t>
      </w:r>
      <w:r>
        <w:rPr>
          <w:rFonts w:hint="eastAsia" w:ascii="宋体" w:hAnsi="宋体" w:eastAsia="宋体" w:cs="宋体"/>
          <w:i w:val="0"/>
          <w:iCs w:val="0"/>
          <w:caps w:val="0"/>
          <w:color w:val="333333"/>
          <w:spacing w:val="0"/>
          <w:kern w:val="0"/>
          <w:sz w:val="24"/>
          <w:szCs w:val="24"/>
          <w:lang w:val="en-US" w:eastAsia="zh-CN" w:bidi="ar"/>
        </w:rPr>
        <w:t>（灵宝市金城大道信用合作联社12楼）</w:t>
      </w:r>
      <w:r>
        <w:rPr>
          <w:rFonts w:hint="eastAsia" w:ascii="宋体" w:hAnsi="宋体" w:eastAsia="宋体" w:cs="宋体"/>
          <w:i w:val="0"/>
          <w:iCs w:val="0"/>
          <w:caps w:val="0"/>
          <w:color w:val="000000"/>
          <w:spacing w:val="0"/>
          <w:kern w:val="0"/>
          <w:sz w:val="24"/>
          <w:szCs w:val="24"/>
          <w:lang w:val="en-US" w:eastAsia="zh-CN" w:bidi="ar"/>
        </w:rPr>
        <w:t>。</w:t>
      </w:r>
    </w:p>
    <w:p w14:paraId="43C282F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color w:val="0C0C0C"/>
          <w:kern w:val="0"/>
          <w:sz w:val="24"/>
          <w:szCs w:val="24"/>
          <w:highlight w:val="none"/>
          <w:shd w:val="clear" w:color="auto" w:fill="FFFFFF"/>
          <w:lang w:val="en-US" w:eastAsia="zh-CN"/>
        </w:rPr>
      </w:pPr>
      <w:r>
        <w:rPr>
          <w:rFonts w:hint="eastAsia" w:ascii="宋体" w:hAnsi="宋体" w:eastAsia="宋体" w:cs="宋体"/>
          <w:color w:val="0C0C0C"/>
          <w:kern w:val="0"/>
          <w:sz w:val="24"/>
          <w:szCs w:val="24"/>
          <w:highlight w:val="none"/>
          <w:shd w:val="clear" w:color="auto" w:fill="FFFFFF"/>
          <w:lang w:val="en-US" w:eastAsia="zh-CN"/>
        </w:rPr>
        <w:t>3、本项目为不见面开标项目，开标当日，供应商无需到开标现场参加开标会议，供应商应当在投标截止时间前，登陆不见面开标大厅选择登陆三门峡市公共资源电子招投标系统进行登陆（网址为</w:t>
      </w:r>
    </w:p>
    <w:p w14:paraId="4C0530F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lang w:val="en-US" w:eastAsia="zh-CN"/>
        </w:rPr>
      </w:pPr>
      <w:r>
        <w:rPr>
          <w:rFonts w:hint="eastAsia" w:ascii="宋体" w:hAnsi="宋体" w:eastAsia="宋体" w:cs="宋体"/>
          <w:color w:val="0C0C0C"/>
          <w:kern w:val="0"/>
          <w:sz w:val="24"/>
          <w:szCs w:val="24"/>
          <w:highlight w:val="none"/>
          <w:shd w:val="clear" w:color="auto" w:fill="FFFFFF"/>
          <w:lang w:val="en-US" w:eastAsia="zh-CN"/>
        </w:rPr>
        <w:t>http://122.112.246.33/BidOpening/bidopeninghallaction/hall/login）。在线准时参加开标活动并进行投标文件解密等。每位供应商的解密时间为开标时间起30分钟内完成。因供应商原因未能解密、解密失败或解密超时的将被拒绝。</w:t>
      </w:r>
    </w:p>
    <w:p w14:paraId="1C6C261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color w:val="0C0C0C"/>
          <w:kern w:val="0"/>
          <w:sz w:val="24"/>
          <w:szCs w:val="24"/>
          <w:highlight w:val="none"/>
          <w:shd w:val="clear" w:color="auto" w:fill="FFFFFF"/>
          <w:lang w:val="en-US" w:eastAsia="zh-CN"/>
        </w:rPr>
      </w:pPr>
      <w:r>
        <w:rPr>
          <w:rFonts w:hint="eastAsia" w:ascii="宋体" w:hAnsi="宋体" w:eastAsia="宋体" w:cs="宋体"/>
          <w:color w:val="0C0C0C"/>
          <w:kern w:val="0"/>
          <w:sz w:val="24"/>
          <w:szCs w:val="24"/>
          <w:highlight w:val="none"/>
          <w:shd w:val="clear" w:color="auto" w:fill="FFFFFF"/>
          <w:lang w:val="en-US" w:eastAsia="zh-CN"/>
        </w:rPr>
        <w:t>六、投标保证金</w:t>
      </w:r>
    </w:p>
    <w:p w14:paraId="6827944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color w:val="0C0C0C"/>
          <w:kern w:val="0"/>
          <w:sz w:val="24"/>
          <w:szCs w:val="24"/>
          <w:highlight w:val="none"/>
          <w:shd w:val="clear" w:color="auto" w:fill="FFFFFF"/>
          <w:lang w:val="en-US" w:eastAsia="zh-CN"/>
        </w:rPr>
      </w:pPr>
      <w:r>
        <w:rPr>
          <w:rFonts w:hint="eastAsia" w:ascii="宋体" w:hAnsi="宋体" w:eastAsia="宋体" w:cs="宋体"/>
          <w:color w:val="0C0C0C"/>
          <w:kern w:val="0"/>
          <w:sz w:val="24"/>
          <w:szCs w:val="24"/>
          <w:highlight w:val="none"/>
          <w:shd w:val="clear" w:color="auto" w:fill="FFFFFF"/>
          <w:lang w:val="en-US" w:eastAsia="zh-CN"/>
        </w:rPr>
        <w:t>按照《河南省财政厅关于优化政府采购营商环境有关问题的通知》（豫财购[2019]4号文）的要求本项目不再收取保证金。</w:t>
      </w:r>
    </w:p>
    <w:p w14:paraId="541D9E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kern w:val="0"/>
          <w:sz w:val="24"/>
          <w:szCs w:val="24"/>
          <w:lang w:val="en-US" w:eastAsia="zh-CN" w:bidi="ar"/>
        </w:rPr>
        <w:t>七、发布公告的媒介</w:t>
      </w:r>
    </w:p>
    <w:p w14:paraId="5EB6B9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kern w:val="0"/>
          <w:sz w:val="24"/>
          <w:szCs w:val="24"/>
          <w:lang w:val="en-US" w:eastAsia="zh-CN" w:bidi="ar"/>
        </w:rPr>
        <w:t>本次招标公告在《河南省政府采购网》、《三门峡市公共资源交易服务平台》、《中国采购与招标网》上发布。</w:t>
      </w:r>
    </w:p>
    <w:p w14:paraId="4A2DEC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kern w:val="0"/>
          <w:sz w:val="24"/>
          <w:szCs w:val="24"/>
          <w:lang w:val="en-US" w:eastAsia="zh-CN" w:bidi="ar"/>
        </w:rPr>
        <w:t>八、其他补充事宜</w:t>
      </w:r>
    </w:p>
    <w:p w14:paraId="482F8C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kern w:val="0"/>
          <w:sz w:val="24"/>
          <w:szCs w:val="24"/>
          <w:lang w:val="en-US" w:eastAsia="zh-CN" w:bidi="ar"/>
        </w:rPr>
        <w:t>本项目实行资格后审，根据优化营商环境的要求，评标时审查内容以投标文件为准：</w:t>
      </w:r>
    </w:p>
    <w:p w14:paraId="7EC038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kern w:val="0"/>
          <w:sz w:val="24"/>
          <w:szCs w:val="24"/>
          <w:lang w:val="en-US" w:eastAsia="zh-CN" w:bidi="ar"/>
        </w:rPr>
        <w:t>1、资格评（预）审部分：资格评（预）审以投标文件为准，其上传资料真实性由供应商自行承担。</w:t>
      </w:r>
    </w:p>
    <w:p w14:paraId="3C5AE8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kern w:val="0"/>
          <w:sz w:val="24"/>
          <w:szCs w:val="24"/>
          <w:lang w:val="en-US" w:eastAsia="zh-CN" w:bidi="ar"/>
        </w:rPr>
        <w:t>2、评标打分部分：评标打分部分仍按照100分制原则进行，涉及到资格审查、企业荣誉、人员业绩、企业业绩等计分部分时，以投标单位自行上传到投标文件中的相应内容为准。</w:t>
      </w:r>
    </w:p>
    <w:p w14:paraId="262F5E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3、投标文件编制部分：在招标文件中要求供应商按照投标文件格式进行投标文件编制，在投标文件编制时，应明确将投标单位企业基本情况、资质情况、人员情况、财务情况、业绩情况编入投标文件，便于进行资格审查及评标打分。可使用电子营业执照。</w:t>
      </w:r>
    </w:p>
    <w:p w14:paraId="4D96B1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4、本项目为不见面开标项目，开标当日，供应商无需到开标现场参加开标会议，供应商应当在投标截止时间前，登陆不见面开标大厅选择登陆三门峡市公共资源电子招投标系统进行登陆,在线准时参加开标活动并进行投标文件解密等。</w:t>
      </w:r>
    </w:p>
    <w:p w14:paraId="0D4C4E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5、本项目为电子化、无纸化交易项目，开标时不再接受任何纸质资料，为保证您能投标成功，请需仔细阅读招标文件和三门峡市公共资源交易中心官网业务办理指南。</w:t>
      </w:r>
    </w:p>
    <w:p w14:paraId="3B2993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kern w:val="0"/>
          <w:sz w:val="24"/>
          <w:szCs w:val="24"/>
          <w:lang w:val="en-US" w:eastAsia="zh-CN" w:bidi="ar"/>
        </w:rPr>
        <w:t>九、联系方式</w:t>
      </w:r>
    </w:p>
    <w:p w14:paraId="08C833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监督单位：灵宝市财政局政府采购监督管理科</w:t>
      </w:r>
    </w:p>
    <w:p w14:paraId="29E3CD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联系电话：0398-8852670</w:t>
      </w:r>
    </w:p>
    <w:p w14:paraId="7823F6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监督单位：灵宝市教育体育局</w:t>
      </w:r>
    </w:p>
    <w:p w14:paraId="07EA0B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联系电话：0398-8666249</w:t>
      </w:r>
    </w:p>
    <w:p w14:paraId="441D43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采购人：灵宝市中等专业学校</w:t>
      </w:r>
    </w:p>
    <w:p w14:paraId="15E3C7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地址：河南省灵宝市长安路303号</w:t>
      </w:r>
    </w:p>
    <w:p w14:paraId="3EFAE9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default"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联系人：</w:t>
      </w:r>
      <w:r>
        <w:rPr>
          <w:rFonts w:hint="eastAsia" w:ascii="宋体" w:hAnsi="宋体" w:cs="宋体"/>
          <w:i w:val="0"/>
          <w:iCs w:val="0"/>
          <w:caps w:val="0"/>
          <w:color w:val="000000"/>
          <w:spacing w:val="0"/>
          <w:kern w:val="0"/>
          <w:sz w:val="24"/>
          <w:szCs w:val="24"/>
          <w:lang w:val="en-US" w:eastAsia="zh-CN" w:bidi="ar"/>
        </w:rPr>
        <w:t>何女士</w:t>
      </w:r>
    </w:p>
    <w:p w14:paraId="66BEF4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default"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联系电话：</w:t>
      </w:r>
      <w:r>
        <w:rPr>
          <w:rFonts w:hint="eastAsia" w:ascii="宋体" w:hAnsi="宋体" w:cs="宋体"/>
          <w:i w:val="0"/>
          <w:iCs w:val="0"/>
          <w:caps w:val="0"/>
          <w:color w:val="000000"/>
          <w:spacing w:val="0"/>
          <w:kern w:val="0"/>
          <w:sz w:val="24"/>
          <w:szCs w:val="24"/>
          <w:lang w:val="en-US" w:eastAsia="zh-CN" w:bidi="ar"/>
        </w:rPr>
        <w:t>0398-2199615</w:t>
      </w:r>
    </w:p>
    <w:p w14:paraId="59A8B3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代理机构：河南洲禾建设工程有限公司</w:t>
      </w:r>
    </w:p>
    <w:p w14:paraId="1CD21A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联系人：刘女士</w:t>
      </w:r>
    </w:p>
    <w:p w14:paraId="591D5C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 xml:space="preserve">联系方式：15138163336 </w:t>
      </w:r>
    </w:p>
    <w:p w14:paraId="58CFF5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地址：三门峡市商务中心区迎宾大道湖滨大厦A座2513室</w:t>
      </w:r>
    </w:p>
    <w:p w14:paraId="66023C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sectPr>
          <w:footerReference r:id="rId5" w:type="default"/>
          <w:pgSz w:w="11906" w:h="16838"/>
          <w:pgMar w:top="1440" w:right="1417" w:bottom="1440" w:left="1417" w:header="720" w:footer="720" w:gutter="0"/>
          <w:pgNumType w:fmt="decimal" w:start="1"/>
          <w:cols w:space="0" w:num="1"/>
          <w:rtlGutter w:val="0"/>
          <w:docGrid w:type="lines" w:linePitch="312" w:charSpace="0"/>
        </w:sectPr>
      </w:pPr>
    </w:p>
    <w:p w14:paraId="4904E2FE">
      <w:pPr>
        <w:pageBreakBefore w:val="0"/>
        <w:bidi w:val="0"/>
        <w:adjustRightInd w:val="0"/>
        <w:snapToGrid w:val="0"/>
        <w:spacing w:beforeAutospacing="0" w:afterAutospacing="0" w:line="360" w:lineRule="auto"/>
        <w:ind w:left="0" w:leftChars="0" w:right="0"/>
        <w:jc w:val="center"/>
        <w:outlineLvl w:val="0"/>
        <w:rPr>
          <w:rFonts w:hint="eastAsia" w:ascii="宋体" w:hAnsi="宋体" w:eastAsia="宋体" w:cs="宋体"/>
          <w:b/>
          <w:bCs/>
          <w:color w:val="auto"/>
          <w:kern w:val="0"/>
          <w:sz w:val="32"/>
          <w:szCs w:val="32"/>
          <w:highlight w:val="none"/>
        </w:rPr>
      </w:pPr>
      <w:bookmarkStart w:id="1" w:name="_Toc12642"/>
      <w:r>
        <w:rPr>
          <w:rFonts w:hint="eastAsia" w:ascii="宋体" w:hAnsi="宋体" w:eastAsia="宋体" w:cs="宋体"/>
          <w:b/>
          <w:bCs/>
          <w:color w:val="auto"/>
          <w:kern w:val="0"/>
          <w:sz w:val="32"/>
          <w:szCs w:val="32"/>
          <w:highlight w:val="none"/>
        </w:rPr>
        <w:t>第二章  供应商须知</w:t>
      </w:r>
      <w:bookmarkEnd w:id="1"/>
    </w:p>
    <w:p w14:paraId="7D821CBD">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供应商须知前附表</w:t>
      </w:r>
    </w:p>
    <w:p w14:paraId="64428A13">
      <w:pPr>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szCs w:val="24"/>
          <w:highlight w:val="none"/>
        </w:rPr>
      </w:pPr>
    </w:p>
    <w:tbl>
      <w:tblPr>
        <w:tblStyle w:val="21"/>
        <w:tblW w:w="9193" w:type="dxa"/>
        <w:tblInd w:w="135" w:type="dxa"/>
        <w:tblLayout w:type="fixed"/>
        <w:tblCellMar>
          <w:top w:w="0" w:type="dxa"/>
          <w:left w:w="108" w:type="dxa"/>
          <w:bottom w:w="0" w:type="dxa"/>
          <w:right w:w="108" w:type="dxa"/>
        </w:tblCellMar>
      </w:tblPr>
      <w:tblGrid>
        <w:gridCol w:w="1010"/>
        <w:gridCol w:w="2082"/>
        <w:gridCol w:w="6101"/>
      </w:tblGrid>
      <w:tr w14:paraId="337220DA">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28C1877B">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条款号</w:t>
            </w:r>
          </w:p>
        </w:tc>
        <w:tc>
          <w:tcPr>
            <w:tcW w:w="2082" w:type="dxa"/>
            <w:tcBorders>
              <w:top w:val="single" w:color="auto" w:sz="4" w:space="0"/>
              <w:left w:val="nil"/>
              <w:bottom w:val="single" w:color="auto" w:sz="4" w:space="0"/>
              <w:right w:val="single" w:color="auto" w:sz="4" w:space="0"/>
            </w:tcBorders>
            <w:noWrap w:val="0"/>
            <w:vAlign w:val="center"/>
          </w:tcPr>
          <w:p w14:paraId="0429A1EE">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条款名称</w:t>
            </w:r>
          </w:p>
        </w:tc>
        <w:tc>
          <w:tcPr>
            <w:tcW w:w="6101" w:type="dxa"/>
            <w:tcBorders>
              <w:top w:val="single" w:color="auto" w:sz="4" w:space="0"/>
              <w:left w:val="nil"/>
              <w:bottom w:val="single" w:color="auto" w:sz="4" w:space="0"/>
              <w:right w:val="single" w:color="auto" w:sz="4" w:space="0"/>
            </w:tcBorders>
            <w:noWrap w:val="0"/>
            <w:vAlign w:val="center"/>
          </w:tcPr>
          <w:p w14:paraId="360C9CDA">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编列内容</w:t>
            </w:r>
          </w:p>
        </w:tc>
      </w:tr>
      <w:tr w14:paraId="705F06BA">
        <w:tblPrEx>
          <w:tblCellMar>
            <w:top w:w="0" w:type="dxa"/>
            <w:left w:w="108" w:type="dxa"/>
            <w:bottom w:w="0" w:type="dxa"/>
            <w:right w:w="108" w:type="dxa"/>
          </w:tblCellMar>
        </w:tblPrEx>
        <w:trPr>
          <w:trHeight w:val="800" w:hRule="atLeast"/>
        </w:trPr>
        <w:tc>
          <w:tcPr>
            <w:tcW w:w="1010" w:type="dxa"/>
            <w:tcBorders>
              <w:top w:val="nil"/>
              <w:left w:val="single" w:color="auto" w:sz="4" w:space="0"/>
              <w:bottom w:val="single" w:color="auto" w:sz="4" w:space="0"/>
              <w:right w:val="single" w:color="auto" w:sz="4" w:space="0"/>
            </w:tcBorders>
            <w:noWrap w:val="0"/>
            <w:vAlign w:val="center"/>
          </w:tcPr>
          <w:p w14:paraId="183DA6FE">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nil"/>
              <w:left w:val="nil"/>
              <w:bottom w:val="single" w:color="auto" w:sz="4" w:space="0"/>
              <w:right w:val="single" w:color="auto" w:sz="4" w:space="0"/>
            </w:tcBorders>
            <w:noWrap w:val="0"/>
            <w:vAlign w:val="center"/>
          </w:tcPr>
          <w:p w14:paraId="4F3F9454">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w:t>
            </w:r>
          </w:p>
        </w:tc>
        <w:tc>
          <w:tcPr>
            <w:tcW w:w="6101" w:type="dxa"/>
            <w:tcBorders>
              <w:top w:val="single" w:color="auto" w:sz="4" w:space="0"/>
              <w:left w:val="nil"/>
              <w:bottom w:val="single" w:color="auto" w:sz="4" w:space="0"/>
              <w:right w:val="single" w:color="auto" w:sz="4" w:space="0"/>
            </w:tcBorders>
            <w:noWrap w:val="0"/>
            <w:vAlign w:val="center"/>
          </w:tcPr>
          <w:p w14:paraId="5CF950AE">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采购人：灵宝市中等专业学校</w:t>
            </w:r>
          </w:p>
          <w:p w14:paraId="498DF5A9">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地址：河南省灵宝市长安路303号</w:t>
            </w:r>
          </w:p>
          <w:p w14:paraId="410C90B8">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联系人：何女士</w:t>
            </w:r>
          </w:p>
          <w:p w14:paraId="728F5AF0">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联系电话：0398-2199615</w:t>
            </w:r>
          </w:p>
        </w:tc>
      </w:tr>
      <w:tr w14:paraId="622E006D">
        <w:tblPrEx>
          <w:tblCellMar>
            <w:top w:w="0" w:type="dxa"/>
            <w:left w:w="108" w:type="dxa"/>
            <w:bottom w:w="0" w:type="dxa"/>
            <w:right w:w="108" w:type="dxa"/>
          </w:tblCellMar>
        </w:tblPrEx>
        <w:trPr>
          <w:trHeight w:val="800" w:hRule="atLeast"/>
        </w:trPr>
        <w:tc>
          <w:tcPr>
            <w:tcW w:w="1010" w:type="dxa"/>
            <w:tcBorders>
              <w:top w:val="nil"/>
              <w:left w:val="single" w:color="auto" w:sz="4" w:space="0"/>
              <w:bottom w:val="single" w:color="auto" w:sz="4" w:space="0"/>
              <w:right w:val="single" w:color="auto" w:sz="4" w:space="0"/>
            </w:tcBorders>
            <w:noWrap w:val="0"/>
            <w:vAlign w:val="center"/>
          </w:tcPr>
          <w:p w14:paraId="292DBDA6">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nil"/>
              <w:left w:val="nil"/>
              <w:bottom w:val="single" w:color="auto" w:sz="4" w:space="0"/>
              <w:right w:val="single" w:color="auto" w:sz="4" w:space="0"/>
            </w:tcBorders>
            <w:noWrap w:val="0"/>
            <w:vAlign w:val="center"/>
          </w:tcPr>
          <w:p w14:paraId="385C423D">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采购代理机构</w:t>
            </w:r>
          </w:p>
        </w:tc>
        <w:tc>
          <w:tcPr>
            <w:tcW w:w="6101" w:type="dxa"/>
            <w:tcBorders>
              <w:top w:val="single" w:color="auto" w:sz="4" w:space="0"/>
              <w:left w:val="nil"/>
              <w:bottom w:val="single" w:color="auto" w:sz="4" w:space="0"/>
              <w:right w:val="single" w:color="auto" w:sz="4" w:space="0"/>
            </w:tcBorders>
            <w:noWrap w:val="0"/>
            <w:vAlign w:val="center"/>
          </w:tcPr>
          <w:p w14:paraId="0F74AC5E">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代理机构：河南洲禾建设工程有限公司</w:t>
            </w:r>
          </w:p>
          <w:p w14:paraId="5B9F3812">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联系人：刘女士</w:t>
            </w:r>
          </w:p>
          <w:p w14:paraId="76DBC5CF">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联系方式：15138163336 </w:t>
            </w:r>
          </w:p>
          <w:p w14:paraId="6CE486E3">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地址：三门峡市商务中心区迎宾大道湖滨大厦A座2513室</w:t>
            </w:r>
          </w:p>
        </w:tc>
      </w:tr>
      <w:tr w14:paraId="005E9EAF">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1FB81449">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2A205FC5">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c>
        <w:tc>
          <w:tcPr>
            <w:tcW w:w="6101" w:type="dxa"/>
            <w:tcBorders>
              <w:top w:val="single" w:color="auto" w:sz="4" w:space="0"/>
              <w:left w:val="nil"/>
              <w:bottom w:val="single" w:color="auto" w:sz="4" w:space="0"/>
              <w:right w:val="single" w:color="auto" w:sz="4" w:space="0"/>
            </w:tcBorders>
            <w:noWrap w:val="0"/>
            <w:vAlign w:val="center"/>
          </w:tcPr>
          <w:p w14:paraId="7A414C69">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lang w:eastAsia="zh-CN"/>
              </w:rPr>
            </w:pPr>
            <w:r>
              <w:rPr>
                <w:rFonts w:hint="eastAsia" w:ascii="宋体" w:hAnsi="宋体" w:eastAsia="宋体" w:cs="宋体"/>
                <w:sz w:val="24"/>
                <w:szCs w:val="28"/>
                <w:lang w:eastAsia="zh-CN"/>
              </w:rPr>
              <w:t>灵宝市中等专业学校智慧康养实训室建设、虚拟仿真思政教室建设及学校内涵提升建设项目</w:t>
            </w:r>
          </w:p>
        </w:tc>
      </w:tr>
      <w:tr w14:paraId="0C33F341">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345C9610">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45E1898E">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招标方式</w:t>
            </w:r>
          </w:p>
        </w:tc>
        <w:tc>
          <w:tcPr>
            <w:tcW w:w="6101" w:type="dxa"/>
            <w:tcBorders>
              <w:top w:val="single" w:color="auto" w:sz="4" w:space="0"/>
              <w:left w:val="nil"/>
              <w:bottom w:val="single" w:color="auto" w:sz="4" w:space="0"/>
              <w:right w:val="single" w:color="auto" w:sz="4" w:space="0"/>
            </w:tcBorders>
            <w:noWrap w:val="0"/>
            <w:vAlign w:val="center"/>
          </w:tcPr>
          <w:p w14:paraId="06713971">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公开招标</w:t>
            </w:r>
          </w:p>
        </w:tc>
      </w:tr>
      <w:tr w14:paraId="3D24D213">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7550DEE4">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6A9E3534">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预算金额</w:t>
            </w:r>
          </w:p>
        </w:tc>
        <w:tc>
          <w:tcPr>
            <w:tcW w:w="6101" w:type="dxa"/>
            <w:tcBorders>
              <w:top w:val="single" w:color="auto" w:sz="4" w:space="0"/>
              <w:left w:val="nil"/>
              <w:bottom w:val="single" w:color="auto" w:sz="4" w:space="0"/>
              <w:right w:val="single" w:color="auto" w:sz="4" w:space="0"/>
            </w:tcBorders>
            <w:noWrap w:val="0"/>
            <w:vAlign w:val="center"/>
          </w:tcPr>
          <w:p w14:paraId="3ED9A969">
            <w:pPr>
              <w:keepLines/>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aps w:val="0"/>
                <w:color w:val="000000"/>
                <w:spacing w:val="0"/>
                <w:kern w:val="0"/>
                <w:sz w:val="24"/>
                <w:szCs w:val="24"/>
                <w:lang w:val="en-US" w:eastAsia="zh-CN" w:bidi="ar"/>
              </w:rPr>
              <w:t>300万</w:t>
            </w:r>
            <w:r>
              <w:rPr>
                <w:rFonts w:hint="eastAsia" w:ascii="宋体" w:hAnsi="宋体" w:eastAsia="宋体" w:cs="宋体"/>
                <w:color w:val="auto"/>
                <w:kern w:val="0"/>
                <w:sz w:val="24"/>
                <w:szCs w:val="24"/>
                <w:highlight w:val="none"/>
              </w:rPr>
              <w:t>元</w:t>
            </w:r>
            <w:r>
              <w:rPr>
                <w:rFonts w:hint="eastAsia" w:ascii="宋体" w:hAnsi="宋体" w:eastAsia="宋体" w:cs="宋体"/>
                <w:color w:val="auto"/>
                <w:kern w:val="0"/>
                <w:sz w:val="24"/>
                <w:szCs w:val="24"/>
                <w:highlight w:val="none"/>
                <w:lang w:eastAsia="zh-CN"/>
              </w:rPr>
              <w:t>；</w:t>
            </w:r>
          </w:p>
          <w:p w14:paraId="6BE5B867">
            <w:pPr>
              <w:keepLines/>
              <w:pageBreakBefore w:val="0"/>
              <w:bidi w:val="0"/>
              <w:adjustRightInd w:val="0"/>
              <w:snapToGrid w:val="0"/>
              <w:spacing w:beforeAutospacing="0" w:afterAutospacing="0" w:line="360" w:lineRule="auto"/>
              <w:ind w:left="0" w:leftChars="0" w:right="0"/>
              <w:jc w:val="left"/>
              <w:rPr>
                <w:rFonts w:hint="eastAsia" w:ascii="宋体" w:hAnsi="宋体" w:eastAsia="宋体" w:cs="宋体"/>
                <w:lang w:val="en-US" w:eastAsia="zh-CN"/>
              </w:rPr>
            </w:pPr>
            <w:r>
              <w:rPr>
                <w:rFonts w:hint="eastAsia" w:ascii="宋体" w:hAnsi="宋体" w:eastAsia="宋体" w:cs="宋体"/>
                <w:color w:val="auto"/>
                <w:kern w:val="0"/>
                <w:sz w:val="24"/>
                <w:szCs w:val="24"/>
                <w:highlight w:val="none"/>
                <w:lang w:val="en-US" w:eastAsia="zh-CN"/>
              </w:rPr>
              <w:t>一标段：</w:t>
            </w:r>
            <w:r>
              <w:rPr>
                <w:rFonts w:hint="eastAsia" w:ascii="宋体" w:hAnsi="宋体" w:eastAsia="宋体" w:cs="宋体"/>
                <w:i w:val="0"/>
                <w:iCs w:val="0"/>
                <w:caps w:val="0"/>
                <w:color w:val="000000"/>
                <w:spacing w:val="0"/>
                <w:kern w:val="0"/>
                <w:sz w:val="24"/>
                <w:szCs w:val="24"/>
                <w:lang w:val="en-US" w:eastAsia="zh-CN" w:bidi="ar"/>
              </w:rPr>
              <w:t>100万元</w:t>
            </w:r>
          </w:p>
          <w:p w14:paraId="43CCF065">
            <w:pPr>
              <w:keepLines/>
              <w:pageBreakBefore w:val="0"/>
              <w:bidi w:val="0"/>
              <w:adjustRightInd w:val="0"/>
              <w:snapToGrid w:val="0"/>
              <w:spacing w:beforeAutospacing="0" w:afterAutospacing="0" w:line="360" w:lineRule="auto"/>
              <w:ind w:left="0" w:leftChars="0" w:right="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color w:val="auto"/>
                <w:kern w:val="0"/>
                <w:sz w:val="24"/>
                <w:szCs w:val="24"/>
                <w:highlight w:val="none"/>
                <w:lang w:val="en-US" w:eastAsia="zh-CN"/>
              </w:rPr>
              <w:t>二标段：</w:t>
            </w:r>
            <w:r>
              <w:rPr>
                <w:rFonts w:hint="eastAsia" w:ascii="宋体" w:hAnsi="宋体" w:eastAsia="宋体" w:cs="宋体"/>
                <w:i w:val="0"/>
                <w:iCs w:val="0"/>
                <w:caps w:val="0"/>
                <w:color w:val="000000"/>
                <w:spacing w:val="0"/>
                <w:kern w:val="0"/>
                <w:sz w:val="24"/>
                <w:szCs w:val="24"/>
                <w:lang w:val="en-US" w:eastAsia="zh-CN" w:bidi="ar"/>
              </w:rPr>
              <w:t>80万元</w:t>
            </w:r>
          </w:p>
          <w:p w14:paraId="5C3F0632">
            <w:pPr>
              <w:pStyle w:val="37"/>
              <w:pageBreakBefore w:val="0"/>
              <w:bidi w:val="0"/>
              <w:adjustRightInd w:val="0"/>
              <w:snapToGrid w:val="0"/>
              <w:spacing w:beforeAutospacing="0" w:afterAutospacing="0" w:line="360" w:lineRule="auto"/>
              <w:ind w:left="0" w:leftChars="0" w:right="0" w:firstLine="0" w:firstLineChars="0"/>
              <w:rPr>
                <w:rFonts w:hint="eastAsia" w:ascii="宋体" w:hAnsi="宋体" w:eastAsia="宋体" w:cs="宋体"/>
                <w:lang w:val="en-US"/>
              </w:rPr>
            </w:pPr>
            <w:r>
              <w:rPr>
                <w:rFonts w:hint="eastAsia" w:ascii="宋体" w:hAnsi="宋体" w:eastAsia="宋体" w:cs="宋体"/>
                <w:i w:val="0"/>
                <w:iCs w:val="0"/>
                <w:caps w:val="0"/>
                <w:color w:val="000000"/>
                <w:spacing w:val="0"/>
                <w:kern w:val="0"/>
                <w:sz w:val="24"/>
                <w:szCs w:val="24"/>
                <w:lang w:val="en-US" w:eastAsia="zh-CN" w:bidi="ar"/>
              </w:rPr>
              <w:t>三标段：120万元</w:t>
            </w:r>
          </w:p>
        </w:tc>
      </w:tr>
      <w:tr w14:paraId="63F3965A">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5CFF7888">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0EFDCF4E">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资金来源及落实情况</w:t>
            </w:r>
          </w:p>
        </w:tc>
        <w:tc>
          <w:tcPr>
            <w:tcW w:w="6101" w:type="dxa"/>
            <w:tcBorders>
              <w:top w:val="single" w:color="auto" w:sz="4" w:space="0"/>
              <w:left w:val="nil"/>
              <w:bottom w:val="single" w:color="auto" w:sz="4" w:space="0"/>
              <w:right w:val="single" w:color="auto" w:sz="4" w:space="0"/>
            </w:tcBorders>
            <w:noWrap w:val="0"/>
            <w:vAlign w:val="center"/>
          </w:tcPr>
          <w:p w14:paraId="52FBAD20">
            <w:pPr>
              <w:keepLines/>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财政资金，已落实。</w:t>
            </w:r>
          </w:p>
        </w:tc>
      </w:tr>
      <w:tr w14:paraId="022124AE">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35606BF9">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34CA5C9E">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采购</w:t>
            </w:r>
            <w:r>
              <w:rPr>
                <w:rFonts w:hint="eastAsia" w:ascii="宋体" w:hAnsi="宋体" w:eastAsia="宋体" w:cs="宋体"/>
                <w:color w:val="auto"/>
                <w:kern w:val="0"/>
                <w:sz w:val="24"/>
                <w:szCs w:val="24"/>
                <w:highlight w:val="none"/>
                <w:lang w:val="en-US" w:eastAsia="zh-CN"/>
              </w:rPr>
              <w:t>内容</w:t>
            </w:r>
          </w:p>
        </w:tc>
        <w:tc>
          <w:tcPr>
            <w:tcW w:w="6101" w:type="dxa"/>
            <w:tcBorders>
              <w:top w:val="single" w:color="auto" w:sz="4" w:space="0"/>
              <w:left w:val="nil"/>
              <w:bottom w:val="single" w:color="auto" w:sz="4" w:space="0"/>
              <w:right w:val="single" w:color="auto" w:sz="4" w:space="0"/>
            </w:tcBorders>
            <w:noWrap w:val="0"/>
            <w:vAlign w:val="center"/>
          </w:tcPr>
          <w:p w14:paraId="49B2ECBB">
            <w:pPr>
              <w:keepLines/>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一标段：智慧康养实训室建设项目</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lang w:eastAsia="zh-CN"/>
              </w:rPr>
              <w:t>内容为：</w:t>
            </w:r>
            <w:r>
              <w:rPr>
                <w:rFonts w:hint="eastAsia" w:ascii="宋体" w:hAnsi="宋体" w:eastAsia="宋体" w:cs="宋体"/>
                <w:color w:val="auto"/>
                <w:kern w:val="0"/>
                <w:sz w:val="24"/>
                <w:szCs w:val="24"/>
                <w:highlight w:val="none"/>
                <w:lang w:val="en-US" w:eastAsia="zh-CN"/>
              </w:rPr>
              <w:t>养老评估实训室、养老照护实训室、养老康复实训室设备的采购及安装、调试、验收交付、培训、技术支持、售后保修及质保期相关伴随服务（具体详见采购清单及参数要求)</w:t>
            </w:r>
          </w:p>
          <w:p w14:paraId="06FBA865">
            <w:pPr>
              <w:keepLines/>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二标段：虚拟仿真思政教室建设项目</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lang w:eastAsia="zh-CN"/>
              </w:rPr>
              <w:t>内容为：</w:t>
            </w:r>
            <w:r>
              <w:rPr>
                <w:rFonts w:hint="eastAsia" w:ascii="宋体" w:hAnsi="宋体" w:eastAsia="宋体" w:cs="宋体"/>
                <w:color w:val="auto"/>
                <w:kern w:val="0"/>
                <w:sz w:val="24"/>
                <w:szCs w:val="24"/>
                <w:highlight w:val="none"/>
              </w:rPr>
              <w:t>大思政教育教学中心软件</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vr党建思政培育中心（党建会议室）</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党建思政红色教育基地（大礼堂）</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教学楼红色文化打造</w:t>
            </w:r>
            <w:r>
              <w:rPr>
                <w:rFonts w:hint="eastAsia" w:ascii="宋体" w:hAnsi="宋体" w:eastAsia="宋体" w:cs="宋体"/>
                <w:color w:val="auto"/>
                <w:kern w:val="0"/>
                <w:sz w:val="24"/>
                <w:szCs w:val="24"/>
                <w:highlight w:val="none"/>
                <w:lang w:val="en-US" w:eastAsia="zh-CN"/>
              </w:rPr>
              <w:t>设备的采购及安装、调试、验收交付、培训、技术支持、售后保修及质保期相关伴随服务，以及教学资源的使用、服务、培训、技术支持（具体详见采购清单及参数要求)</w:t>
            </w:r>
          </w:p>
          <w:p w14:paraId="208A678D">
            <w:pPr>
              <w:keepLines/>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三标段：学校内涵提升建设项目</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lang w:eastAsia="zh-CN"/>
              </w:rPr>
              <w:t>内容为：</w:t>
            </w:r>
            <w:r>
              <w:rPr>
                <w:rFonts w:hint="eastAsia" w:ascii="宋体" w:hAnsi="宋体" w:eastAsia="宋体" w:cs="宋体"/>
                <w:color w:val="auto"/>
                <w:kern w:val="0"/>
                <w:sz w:val="24"/>
                <w:szCs w:val="24"/>
                <w:highlight w:val="none"/>
              </w:rPr>
              <w:t>教学能力大赛</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班主任能力大赛</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师生技能竞赛、</w:t>
            </w:r>
            <w:r>
              <w:rPr>
                <w:rFonts w:hint="eastAsia" w:ascii="宋体" w:hAnsi="宋体" w:eastAsia="宋体" w:cs="宋体"/>
                <w:color w:val="auto"/>
                <w:kern w:val="0"/>
                <w:sz w:val="24"/>
                <w:szCs w:val="24"/>
                <w:highlight w:val="none"/>
              </w:rPr>
              <w:t>“文明风采”竞赛</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AI教学平台技术服务</w:t>
            </w:r>
            <w:r>
              <w:rPr>
                <w:rFonts w:hint="eastAsia" w:ascii="宋体" w:hAnsi="宋体" w:eastAsia="宋体" w:cs="宋体"/>
                <w:color w:val="auto"/>
                <w:kern w:val="0"/>
                <w:sz w:val="24"/>
                <w:szCs w:val="24"/>
                <w:highlight w:val="none"/>
                <w:lang w:val="en-US" w:eastAsia="zh-CN"/>
              </w:rPr>
              <w:t>等大赛参赛教学大赛资源使用、服务、培训、技术支持</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展板</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桌椅</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空调</w:t>
            </w:r>
            <w:r>
              <w:rPr>
                <w:rFonts w:hint="eastAsia" w:ascii="宋体" w:hAnsi="宋体" w:eastAsia="宋体" w:cs="宋体"/>
                <w:color w:val="auto"/>
                <w:kern w:val="0"/>
                <w:sz w:val="24"/>
                <w:szCs w:val="24"/>
                <w:highlight w:val="none"/>
                <w:lang w:val="en-US" w:eastAsia="zh-CN"/>
              </w:rPr>
              <w:t>等设备的采购及安装、调试、验收交付、培训、技术支持、售后保修及质保期相关伴随服务（具体详见采购清单及参数要求)</w:t>
            </w:r>
          </w:p>
        </w:tc>
      </w:tr>
      <w:tr w14:paraId="290EFD1C">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0C8BCB8C">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3E390A17">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质保期</w:t>
            </w:r>
          </w:p>
        </w:tc>
        <w:tc>
          <w:tcPr>
            <w:tcW w:w="6101" w:type="dxa"/>
            <w:tcBorders>
              <w:top w:val="single" w:color="auto" w:sz="4" w:space="0"/>
              <w:left w:val="nil"/>
              <w:bottom w:val="single" w:color="auto" w:sz="4" w:space="0"/>
              <w:right w:val="single" w:color="auto" w:sz="4" w:space="0"/>
            </w:tcBorders>
            <w:noWrap w:val="0"/>
            <w:vAlign w:val="center"/>
          </w:tcPr>
          <w:p w14:paraId="29606977">
            <w:pPr>
              <w:pStyle w:val="19"/>
              <w:pageBreakBefore w:val="0"/>
              <w:bidi w:val="0"/>
              <w:adjustRightInd w:val="0"/>
              <w:snapToGrid w:val="0"/>
              <w:spacing w:beforeAutospacing="0" w:after="0" w:afterAutospacing="0" w:line="360" w:lineRule="auto"/>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质保期三年。</w:t>
            </w:r>
          </w:p>
        </w:tc>
      </w:tr>
      <w:tr w14:paraId="744FE642">
        <w:tblPrEx>
          <w:tblCellMar>
            <w:top w:w="0" w:type="dxa"/>
            <w:left w:w="108" w:type="dxa"/>
            <w:bottom w:w="0" w:type="dxa"/>
            <w:right w:w="108" w:type="dxa"/>
          </w:tblCellMar>
        </w:tblPrEx>
        <w:trPr>
          <w:trHeight w:val="563" w:hRule="atLeast"/>
        </w:trPr>
        <w:tc>
          <w:tcPr>
            <w:tcW w:w="1010" w:type="dxa"/>
            <w:vMerge w:val="restart"/>
            <w:tcBorders>
              <w:top w:val="single" w:color="auto" w:sz="4" w:space="0"/>
              <w:left w:val="single" w:color="auto" w:sz="4" w:space="0"/>
              <w:bottom w:val="single" w:color="auto" w:sz="4" w:space="0"/>
              <w:right w:val="single" w:color="auto" w:sz="4" w:space="0"/>
            </w:tcBorders>
            <w:noWrap w:val="0"/>
            <w:vAlign w:val="center"/>
          </w:tcPr>
          <w:p w14:paraId="6333B4ED">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single" w:color="auto" w:sz="4" w:space="0"/>
              <w:bottom w:val="single" w:color="auto" w:sz="4" w:space="0"/>
              <w:right w:val="single" w:color="auto" w:sz="4" w:space="0"/>
            </w:tcBorders>
            <w:noWrap w:val="0"/>
            <w:vAlign w:val="center"/>
          </w:tcPr>
          <w:p w14:paraId="5820E100">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交货期</w:t>
            </w:r>
          </w:p>
        </w:tc>
        <w:tc>
          <w:tcPr>
            <w:tcW w:w="6101" w:type="dxa"/>
            <w:tcBorders>
              <w:top w:val="single" w:color="auto" w:sz="4" w:space="0"/>
              <w:left w:val="nil"/>
              <w:bottom w:val="single" w:color="auto" w:sz="4" w:space="0"/>
              <w:right w:val="single" w:color="auto" w:sz="4" w:space="0"/>
            </w:tcBorders>
            <w:noWrap w:val="0"/>
            <w:vAlign w:val="center"/>
          </w:tcPr>
          <w:p w14:paraId="0EB44E9F">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货物30日历天内供货、安装、调试至正常运行，服务期限3年</w:t>
            </w:r>
          </w:p>
        </w:tc>
      </w:tr>
      <w:tr w14:paraId="32A99D70">
        <w:tblPrEx>
          <w:tblCellMar>
            <w:top w:w="0" w:type="dxa"/>
            <w:left w:w="108" w:type="dxa"/>
            <w:bottom w:w="0" w:type="dxa"/>
            <w:right w:w="108" w:type="dxa"/>
          </w:tblCellMar>
        </w:tblPrEx>
        <w:trPr>
          <w:trHeight w:val="563" w:hRule="atLeast"/>
        </w:trPr>
        <w:tc>
          <w:tcPr>
            <w:tcW w:w="1010" w:type="dxa"/>
            <w:vMerge w:val="continue"/>
            <w:tcBorders>
              <w:top w:val="single" w:color="auto" w:sz="4" w:space="0"/>
              <w:left w:val="single" w:color="auto" w:sz="4" w:space="0"/>
              <w:bottom w:val="single" w:color="auto" w:sz="4" w:space="0"/>
              <w:right w:val="single" w:color="auto" w:sz="4" w:space="0"/>
            </w:tcBorders>
            <w:noWrap w:val="0"/>
            <w:vAlign w:val="center"/>
          </w:tcPr>
          <w:p w14:paraId="2DED95B5">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p>
        </w:tc>
        <w:tc>
          <w:tcPr>
            <w:tcW w:w="2082" w:type="dxa"/>
            <w:tcBorders>
              <w:top w:val="single" w:color="auto" w:sz="4" w:space="0"/>
              <w:left w:val="single" w:color="auto" w:sz="4" w:space="0"/>
              <w:bottom w:val="single" w:color="auto" w:sz="4" w:space="0"/>
              <w:right w:val="single" w:color="auto" w:sz="4" w:space="0"/>
            </w:tcBorders>
            <w:noWrap w:val="0"/>
            <w:vAlign w:val="center"/>
          </w:tcPr>
          <w:p w14:paraId="3C3BB56F">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w:t>
            </w:r>
          </w:p>
        </w:tc>
        <w:tc>
          <w:tcPr>
            <w:tcW w:w="6101" w:type="dxa"/>
            <w:tcBorders>
              <w:top w:val="single" w:color="auto" w:sz="4" w:space="0"/>
              <w:left w:val="nil"/>
              <w:bottom w:val="single" w:color="auto" w:sz="4" w:space="0"/>
              <w:right w:val="single" w:color="auto" w:sz="4" w:space="0"/>
            </w:tcBorders>
            <w:noWrap w:val="0"/>
            <w:vAlign w:val="center"/>
          </w:tcPr>
          <w:p w14:paraId="27C5D15B">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采购人指定地点</w:t>
            </w:r>
          </w:p>
        </w:tc>
      </w:tr>
      <w:tr w14:paraId="046C7FF3">
        <w:tblPrEx>
          <w:tblCellMar>
            <w:top w:w="0" w:type="dxa"/>
            <w:left w:w="108" w:type="dxa"/>
            <w:bottom w:w="0" w:type="dxa"/>
            <w:right w:w="108" w:type="dxa"/>
          </w:tblCellMar>
        </w:tblPrEx>
        <w:trPr>
          <w:trHeight w:val="593" w:hRule="atLeast"/>
        </w:trPr>
        <w:tc>
          <w:tcPr>
            <w:tcW w:w="1010" w:type="dxa"/>
            <w:tcBorders>
              <w:top w:val="single" w:color="auto" w:sz="4" w:space="0"/>
              <w:left w:val="single" w:color="auto" w:sz="4" w:space="0"/>
              <w:bottom w:val="single" w:color="auto" w:sz="4" w:space="0"/>
              <w:right w:val="single" w:color="auto" w:sz="4" w:space="0"/>
            </w:tcBorders>
            <w:noWrap w:val="0"/>
            <w:vAlign w:val="center"/>
          </w:tcPr>
          <w:p w14:paraId="5838CF92">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single" w:color="auto" w:sz="4" w:space="0"/>
              <w:bottom w:val="single" w:color="auto" w:sz="4" w:space="0"/>
              <w:right w:val="single" w:color="auto" w:sz="4" w:space="0"/>
            </w:tcBorders>
            <w:noWrap w:val="0"/>
            <w:vAlign w:val="center"/>
          </w:tcPr>
          <w:p w14:paraId="25E5CF17">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质量要求</w:t>
            </w:r>
          </w:p>
        </w:tc>
        <w:tc>
          <w:tcPr>
            <w:tcW w:w="6101" w:type="dxa"/>
            <w:tcBorders>
              <w:top w:val="single" w:color="auto" w:sz="4" w:space="0"/>
              <w:left w:val="nil"/>
              <w:bottom w:val="single" w:color="auto" w:sz="4" w:space="0"/>
              <w:right w:val="single" w:color="auto" w:sz="4" w:space="0"/>
            </w:tcBorders>
            <w:noWrap w:val="0"/>
            <w:vAlign w:val="center"/>
          </w:tcPr>
          <w:p w14:paraId="2BB76EB9">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333333"/>
                <w:spacing w:val="0"/>
                <w:kern w:val="0"/>
                <w:sz w:val="24"/>
                <w:szCs w:val="24"/>
                <w:lang w:val="en-US" w:eastAsia="zh-CN" w:bidi="ar"/>
              </w:rPr>
              <w:t>合格，符合相关法律、规范及采购人要求</w:t>
            </w:r>
          </w:p>
        </w:tc>
      </w:tr>
      <w:tr w14:paraId="6B7408FE">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63968B23">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lang w:val="en-US" w:eastAsia="zh-CN"/>
              </w:rPr>
            </w:pPr>
          </w:p>
        </w:tc>
        <w:tc>
          <w:tcPr>
            <w:tcW w:w="2082" w:type="dxa"/>
            <w:tcBorders>
              <w:top w:val="single" w:color="auto" w:sz="4" w:space="0"/>
              <w:left w:val="single" w:color="auto" w:sz="4" w:space="0"/>
              <w:bottom w:val="single" w:color="auto" w:sz="4" w:space="0"/>
              <w:right w:val="single" w:color="auto" w:sz="4" w:space="0"/>
            </w:tcBorders>
            <w:noWrap w:val="0"/>
            <w:vAlign w:val="center"/>
          </w:tcPr>
          <w:p w14:paraId="45206F6E">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的资质、能力和应具备条件</w:t>
            </w:r>
          </w:p>
        </w:tc>
        <w:tc>
          <w:tcPr>
            <w:tcW w:w="6101" w:type="dxa"/>
            <w:tcBorders>
              <w:top w:val="single" w:color="auto" w:sz="4" w:space="0"/>
              <w:left w:val="nil"/>
              <w:bottom w:val="single" w:color="auto" w:sz="4" w:space="0"/>
              <w:right w:val="single" w:color="auto" w:sz="4" w:space="0"/>
            </w:tcBorders>
            <w:noWrap w:val="0"/>
            <w:vAlign w:val="center"/>
          </w:tcPr>
          <w:p w14:paraId="73C10F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i w:val="0"/>
                <w:iCs w:val="0"/>
                <w:caps w:val="0"/>
                <w:color w:val="333333"/>
                <w:spacing w:val="0"/>
                <w:kern w:val="0"/>
                <w:sz w:val="24"/>
                <w:szCs w:val="24"/>
                <w:lang w:val="en-US" w:eastAsia="zh-CN" w:bidi="ar"/>
              </w:rPr>
              <w:t>详见招标公告</w:t>
            </w:r>
          </w:p>
        </w:tc>
      </w:tr>
      <w:tr w14:paraId="559DB56C">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37B16A9D">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6234DA70">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踏勘现场</w:t>
            </w:r>
          </w:p>
        </w:tc>
        <w:tc>
          <w:tcPr>
            <w:tcW w:w="6101" w:type="dxa"/>
            <w:tcBorders>
              <w:top w:val="single" w:color="auto" w:sz="4" w:space="0"/>
              <w:left w:val="nil"/>
              <w:bottom w:val="single" w:color="auto" w:sz="4" w:space="0"/>
              <w:right w:val="single" w:color="auto" w:sz="4" w:space="0"/>
            </w:tcBorders>
            <w:noWrap w:val="0"/>
            <w:vAlign w:val="center"/>
          </w:tcPr>
          <w:p w14:paraId="21756333">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不组织</w:t>
            </w:r>
          </w:p>
        </w:tc>
      </w:tr>
      <w:tr w14:paraId="21BAA0D9">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23921A32">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212D6DDE">
            <w:pPr>
              <w:pageBreakBefore w:val="0"/>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snapToGrid w:val="0"/>
                <w:sz w:val="24"/>
                <w:szCs w:val="24"/>
                <w:highlight w:val="none"/>
              </w:rPr>
              <w:t>是否接受联合体</w:t>
            </w:r>
            <w:r>
              <w:rPr>
                <w:rFonts w:hint="eastAsia" w:ascii="宋体" w:hAnsi="宋体" w:eastAsia="宋体" w:cs="宋体"/>
                <w:snapToGrid w:val="0"/>
                <w:sz w:val="24"/>
                <w:szCs w:val="24"/>
                <w:highlight w:val="none"/>
                <w:lang w:val="en-US" w:eastAsia="zh-CN"/>
              </w:rPr>
              <w:t>投标</w:t>
            </w:r>
          </w:p>
        </w:tc>
        <w:tc>
          <w:tcPr>
            <w:tcW w:w="6101" w:type="dxa"/>
            <w:tcBorders>
              <w:top w:val="single" w:color="auto" w:sz="4" w:space="0"/>
              <w:left w:val="nil"/>
              <w:bottom w:val="single" w:color="auto" w:sz="4" w:space="0"/>
              <w:right w:val="single" w:color="auto" w:sz="4" w:space="0"/>
            </w:tcBorders>
            <w:noWrap w:val="0"/>
            <w:vAlign w:val="center"/>
          </w:tcPr>
          <w:p w14:paraId="2A5847B5">
            <w:pPr>
              <w:pageBreakBefore w:val="0"/>
              <w:bidi w:val="0"/>
              <w:adjustRightInd w:val="0"/>
              <w:snapToGrid w:val="0"/>
              <w:spacing w:beforeAutospacing="0" w:afterAutospacing="0" w:line="360" w:lineRule="auto"/>
              <w:ind w:left="0" w:leftChars="0" w:right="0" w:rightChars="0"/>
              <w:jc w:val="left"/>
              <w:rPr>
                <w:rFonts w:hint="eastAsia" w:ascii="宋体" w:hAnsi="宋体" w:eastAsia="宋体" w:cs="宋体"/>
                <w:color w:val="auto"/>
                <w:sz w:val="24"/>
                <w:szCs w:val="24"/>
                <w:highlight w:val="none"/>
              </w:rPr>
            </w:pPr>
            <w:r>
              <w:rPr>
                <w:rFonts w:hint="eastAsia" w:ascii="宋体" w:hAnsi="宋体" w:eastAsia="宋体" w:cs="宋体"/>
                <w:snapToGrid w:val="0"/>
                <w:sz w:val="24"/>
                <w:szCs w:val="24"/>
                <w:highlight w:val="none"/>
              </w:rPr>
              <w:t>不接受</w:t>
            </w:r>
          </w:p>
        </w:tc>
      </w:tr>
      <w:tr w14:paraId="6008654B">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26B699CA">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6842CEE6">
            <w:pPr>
              <w:pageBreakBefore w:val="0"/>
              <w:widowControl w:val="0"/>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kern w:val="0"/>
                <w:sz w:val="24"/>
                <w:szCs w:val="24"/>
                <w:highlight w:val="none"/>
              </w:rPr>
            </w:pPr>
            <w:r>
              <w:rPr>
                <w:rFonts w:hint="eastAsia" w:ascii="宋体" w:hAnsi="宋体" w:eastAsia="宋体" w:cs="宋体"/>
                <w:snapToGrid w:val="0"/>
                <w:spacing w:val="6"/>
                <w:kern w:val="2"/>
                <w:sz w:val="24"/>
                <w:szCs w:val="24"/>
                <w:highlight w:val="none"/>
              </w:rPr>
              <w:t>投标预备会</w:t>
            </w:r>
          </w:p>
        </w:tc>
        <w:tc>
          <w:tcPr>
            <w:tcW w:w="6101" w:type="dxa"/>
            <w:tcBorders>
              <w:top w:val="single" w:color="auto" w:sz="4" w:space="0"/>
              <w:left w:val="nil"/>
              <w:bottom w:val="single" w:color="auto" w:sz="4" w:space="0"/>
              <w:right w:val="single" w:color="auto" w:sz="4" w:space="0"/>
            </w:tcBorders>
            <w:noWrap w:val="0"/>
            <w:vAlign w:val="center"/>
          </w:tcPr>
          <w:p w14:paraId="501DC265">
            <w:pPr>
              <w:pageBreakBefore w:val="0"/>
              <w:widowControl w:val="0"/>
              <w:bidi w:val="0"/>
              <w:adjustRightInd w:val="0"/>
              <w:snapToGrid w:val="0"/>
              <w:spacing w:beforeAutospacing="0" w:afterAutospacing="0" w:line="360" w:lineRule="auto"/>
              <w:ind w:left="0" w:leftChars="0" w:right="0" w:rightChars="0"/>
              <w:jc w:val="left"/>
              <w:rPr>
                <w:rFonts w:hint="eastAsia" w:ascii="宋体" w:hAnsi="宋体" w:eastAsia="宋体" w:cs="宋体"/>
                <w:color w:val="auto"/>
                <w:sz w:val="24"/>
                <w:szCs w:val="24"/>
                <w:highlight w:val="none"/>
                <w:lang w:eastAsia="zh-CN"/>
              </w:rPr>
            </w:pPr>
            <w:r>
              <w:rPr>
                <w:rFonts w:hint="eastAsia" w:ascii="宋体" w:hAnsi="宋体" w:eastAsia="宋体" w:cs="宋体"/>
                <w:snapToGrid w:val="0"/>
                <w:spacing w:val="6"/>
                <w:kern w:val="2"/>
                <w:sz w:val="24"/>
                <w:szCs w:val="24"/>
                <w:highlight w:val="none"/>
              </w:rPr>
              <w:t>不召开</w:t>
            </w:r>
          </w:p>
        </w:tc>
      </w:tr>
      <w:tr w14:paraId="11420AB5">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4F246AFF">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39914BA7">
            <w:pPr>
              <w:pageBreakBefore w:val="0"/>
              <w:widowControl w:val="0"/>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kern w:val="0"/>
                <w:sz w:val="24"/>
                <w:szCs w:val="24"/>
                <w:highlight w:val="none"/>
              </w:rPr>
            </w:pPr>
            <w:r>
              <w:rPr>
                <w:rFonts w:hint="eastAsia" w:ascii="宋体" w:hAnsi="宋体" w:eastAsia="宋体" w:cs="宋体"/>
                <w:snapToGrid w:val="0"/>
                <w:spacing w:val="6"/>
                <w:kern w:val="2"/>
                <w:sz w:val="24"/>
                <w:szCs w:val="24"/>
                <w:highlight w:val="none"/>
              </w:rPr>
              <w:t>分包</w:t>
            </w:r>
          </w:p>
        </w:tc>
        <w:tc>
          <w:tcPr>
            <w:tcW w:w="6101" w:type="dxa"/>
            <w:tcBorders>
              <w:top w:val="single" w:color="auto" w:sz="4" w:space="0"/>
              <w:left w:val="nil"/>
              <w:bottom w:val="single" w:color="auto" w:sz="4" w:space="0"/>
              <w:right w:val="single" w:color="auto" w:sz="4" w:space="0"/>
            </w:tcBorders>
            <w:noWrap w:val="0"/>
            <w:vAlign w:val="center"/>
          </w:tcPr>
          <w:p w14:paraId="142E0CD1">
            <w:pPr>
              <w:pageBreakBefore w:val="0"/>
              <w:widowControl w:val="0"/>
              <w:bidi w:val="0"/>
              <w:adjustRightInd w:val="0"/>
              <w:snapToGrid w:val="0"/>
              <w:spacing w:beforeAutospacing="0" w:afterAutospacing="0" w:line="360" w:lineRule="auto"/>
              <w:ind w:left="0" w:leftChars="0" w:right="0" w:rightChars="0"/>
              <w:jc w:val="left"/>
              <w:rPr>
                <w:rFonts w:hint="eastAsia" w:ascii="宋体" w:hAnsi="宋体" w:eastAsia="宋体" w:cs="宋体"/>
                <w:color w:val="auto"/>
                <w:sz w:val="24"/>
                <w:szCs w:val="24"/>
                <w:highlight w:val="none"/>
                <w:lang w:eastAsia="zh-CN"/>
              </w:rPr>
            </w:pPr>
            <w:r>
              <w:rPr>
                <w:rFonts w:hint="eastAsia" w:ascii="宋体" w:hAnsi="宋体" w:eastAsia="宋体" w:cs="宋体"/>
                <w:snapToGrid w:val="0"/>
                <w:spacing w:val="6"/>
                <w:kern w:val="2"/>
                <w:sz w:val="24"/>
                <w:szCs w:val="24"/>
                <w:highlight w:val="none"/>
              </w:rPr>
              <w:t>不允许</w:t>
            </w:r>
          </w:p>
        </w:tc>
      </w:tr>
      <w:tr w14:paraId="2CC6E3F2">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27906E45">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5B9F0CB6">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询问和质疑</w:t>
            </w:r>
          </w:p>
        </w:tc>
        <w:tc>
          <w:tcPr>
            <w:tcW w:w="6101" w:type="dxa"/>
            <w:tcBorders>
              <w:top w:val="single" w:color="auto" w:sz="4" w:space="0"/>
              <w:left w:val="nil"/>
              <w:bottom w:val="single" w:color="auto" w:sz="4" w:space="0"/>
              <w:right w:val="single" w:color="auto" w:sz="4" w:space="0"/>
            </w:tcBorders>
            <w:noWrap w:val="0"/>
            <w:vAlign w:val="center"/>
          </w:tcPr>
          <w:p w14:paraId="6F24AD02">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如对招标文件有异议的，应在知道或者应知其权益受到损害之日起七个工作日内，向采购人或采购代理机构书面提出，否则，将被视为认可本招标文件所有内容。</w:t>
            </w:r>
          </w:p>
        </w:tc>
      </w:tr>
      <w:tr w14:paraId="4B605F38">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636A866B">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37FA96E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供应商要求澄清招标文件的截止时间</w:t>
            </w:r>
          </w:p>
        </w:tc>
        <w:tc>
          <w:tcPr>
            <w:tcW w:w="6101" w:type="dxa"/>
            <w:tcBorders>
              <w:top w:val="single" w:color="auto" w:sz="4" w:space="0"/>
              <w:left w:val="nil"/>
              <w:bottom w:val="single" w:color="auto" w:sz="4" w:space="0"/>
              <w:right w:val="single" w:color="auto" w:sz="4" w:space="0"/>
            </w:tcBorders>
            <w:noWrap w:val="0"/>
            <w:vAlign w:val="center"/>
          </w:tcPr>
          <w:p w14:paraId="5FB62657">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8"/>
                <w:highlight w:val="none"/>
              </w:rPr>
              <w:t>投标截止时间10日前</w:t>
            </w:r>
          </w:p>
        </w:tc>
      </w:tr>
      <w:tr w14:paraId="1C372058">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7212EFC2">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5B3AB75C">
            <w:pPr>
              <w:pageBreakBefore w:val="0"/>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snapToGrid w:val="0"/>
                <w:sz w:val="24"/>
                <w:szCs w:val="24"/>
                <w:highlight w:val="none"/>
              </w:rPr>
              <w:t>采购人书面澄清的时间</w:t>
            </w:r>
          </w:p>
        </w:tc>
        <w:tc>
          <w:tcPr>
            <w:tcW w:w="6101" w:type="dxa"/>
            <w:tcBorders>
              <w:top w:val="single" w:color="auto" w:sz="4" w:space="0"/>
              <w:left w:val="nil"/>
              <w:bottom w:val="single" w:color="auto" w:sz="4" w:space="0"/>
              <w:right w:val="single" w:color="auto" w:sz="4" w:space="0"/>
            </w:tcBorders>
            <w:noWrap w:val="0"/>
            <w:vAlign w:val="center"/>
          </w:tcPr>
          <w:p w14:paraId="5A79F476">
            <w:pPr>
              <w:pageBreakBefore w:val="0"/>
              <w:bidi w:val="0"/>
              <w:adjustRightInd w:val="0"/>
              <w:snapToGrid w:val="0"/>
              <w:spacing w:beforeAutospacing="0" w:afterAutospacing="0" w:line="360" w:lineRule="auto"/>
              <w:ind w:left="0" w:leftChars="0" w:right="0"/>
              <w:jc w:val="left"/>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提交</w:t>
            </w:r>
            <w:r>
              <w:rPr>
                <w:rFonts w:hint="eastAsia" w:ascii="宋体" w:hAnsi="宋体" w:eastAsia="宋体" w:cs="宋体"/>
                <w:snapToGrid w:val="0"/>
                <w:sz w:val="24"/>
                <w:szCs w:val="24"/>
                <w:highlight w:val="none"/>
                <w:lang w:eastAsia="zh-CN"/>
              </w:rPr>
              <w:t>投标</w:t>
            </w:r>
            <w:r>
              <w:rPr>
                <w:rFonts w:hint="eastAsia" w:ascii="宋体" w:hAnsi="宋体" w:eastAsia="宋体" w:cs="宋体"/>
                <w:snapToGrid w:val="0"/>
                <w:sz w:val="24"/>
                <w:szCs w:val="24"/>
                <w:highlight w:val="none"/>
              </w:rPr>
              <w:t>文件的截止之日</w:t>
            </w:r>
            <w:r>
              <w:rPr>
                <w:rFonts w:hint="eastAsia" w:ascii="宋体" w:hAnsi="宋体" w:eastAsia="宋体" w:cs="宋体"/>
                <w:snapToGrid w:val="0"/>
                <w:sz w:val="24"/>
                <w:szCs w:val="24"/>
                <w:highlight w:val="none"/>
                <w:lang w:val="en-US" w:eastAsia="zh-CN"/>
              </w:rPr>
              <w:t>10</w:t>
            </w:r>
            <w:r>
              <w:rPr>
                <w:rFonts w:hint="eastAsia" w:ascii="宋体" w:hAnsi="宋体" w:eastAsia="宋体" w:cs="宋体"/>
                <w:snapToGrid w:val="0"/>
                <w:sz w:val="24"/>
                <w:szCs w:val="24"/>
                <w:highlight w:val="none"/>
              </w:rPr>
              <w:t>日前</w:t>
            </w:r>
          </w:p>
          <w:p w14:paraId="0FF6DD86">
            <w:pPr>
              <w:pageBreakBefore w:val="0"/>
              <w:bidi w:val="0"/>
              <w:adjustRightInd w:val="0"/>
              <w:snapToGrid w:val="0"/>
              <w:spacing w:beforeAutospacing="0" w:afterAutospacing="0" w:line="360" w:lineRule="auto"/>
              <w:ind w:left="0" w:leftChars="0" w:right="0"/>
              <w:jc w:val="left"/>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形式：三门峡市公共资源交易中心电子化交易系统。</w:t>
            </w:r>
          </w:p>
          <w:p w14:paraId="0AD035AE">
            <w:pPr>
              <w:pageBreakBefore w:val="0"/>
              <w:bidi w:val="0"/>
              <w:adjustRightInd w:val="0"/>
              <w:snapToGrid w:val="0"/>
              <w:spacing w:beforeAutospacing="0" w:afterAutospacing="0" w:line="360" w:lineRule="auto"/>
              <w:ind w:left="0" w:leftChars="0" w:right="0" w:rightChars="0"/>
              <w:jc w:val="left"/>
              <w:rPr>
                <w:rFonts w:hint="eastAsia" w:ascii="宋体" w:hAnsi="宋体" w:eastAsia="宋体" w:cs="宋体"/>
                <w:color w:val="auto"/>
                <w:sz w:val="24"/>
                <w:szCs w:val="28"/>
                <w:highlight w:val="none"/>
                <w:u w:val="single"/>
              </w:rPr>
            </w:pPr>
            <w:r>
              <w:rPr>
                <w:rFonts w:hint="eastAsia" w:ascii="宋体" w:hAnsi="宋体" w:eastAsia="宋体" w:cs="宋体"/>
                <w:snapToGrid w:val="0"/>
                <w:sz w:val="24"/>
                <w:szCs w:val="24"/>
                <w:highlight w:val="none"/>
              </w:rPr>
              <w:t>该项目所有澄清、修改、答疑、变更均在《三门峡市公共资源交易中心网》发布，不再另行通知。如未及时查看影响其投标，后果自负。（如有）</w:t>
            </w:r>
          </w:p>
        </w:tc>
      </w:tr>
      <w:tr w14:paraId="5275C35D">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4C4EDB85">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58EFA33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w:t>
            </w:r>
          </w:p>
        </w:tc>
        <w:tc>
          <w:tcPr>
            <w:tcW w:w="6101" w:type="dxa"/>
            <w:tcBorders>
              <w:top w:val="single" w:color="auto" w:sz="4" w:space="0"/>
              <w:left w:val="nil"/>
              <w:bottom w:val="single" w:color="auto" w:sz="4" w:space="0"/>
              <w:right w:val="single" w:color="auto" w:sz="4" w:space="0"/>
            </w:tcBorders>
            <w:noWrap w:val="0"/>
            <w:vAlign w:val="center"/>
          </w:tcPr>
          <w:p w14:paraId="560B70C5">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见第一章“招标公告”</w:t>
            </w:r>
          </w:p>
        </w:tc>
      </w:tr>
      <w:tr w14:paraId="10501B44">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1F12A42D">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4581ACA3">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投标有效期</w:t>
            </w:r>
          </w:p>
        </w:tc>
        <w:tc>
          <w:tcPr>
            <w:tcW w:w="6101" w:type="dxa"/>
            <w:tcBorders>
              <w:top w:val="single" w:color="auto" w:sz="4" w:space="0"/>
              <w:left w:val="nil"/>
              <w:bottom w:val="single" w:color="auto" w:sz="4" w:space="0"/>
              <w:right w:val="single" w:color="auto" w:sz="4" w:space="0"/>
            </w:tcBorders>
            <w:noWrap w:val="0"/>
            <w:vAlign w:val="center"/>
          </w:tcPr>
          <w:p w14:paraId="6E21E3E5">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投标截止之日起60日历天</w:t>
            </w:r>
          </w:p>
        </w:tc>
      </w:tr>
      <w:tr w14:paraId="36330FF3">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15B6A08D">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7AFAA139">
            <w:pPr>
              <w:pageBreakBefore w:val="0"/>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snapToGrid w:val="0"/>
                <w:sz w:val="24"/>
                <w:szCs w:val="24"/>
                <w:highlight w:val="none"/>
                <w:lang w:eastAsia="zh-CN"/>
              </w:rPr>
              <w:t>投标</w:t>
            </w:r>
            <w:r>
              <w:rPr>
                <w:rFonts w:hint="eastAsia" w:ascii="宋体" w:hAnsi="宋体" w:eastAsia="宋体" w:cs="宋体"/>
                <w:snapToGrid w:val="0"/>
                <w:sz w:val="24"/>
                <w:szCs w:val="24"/>
                <w:highlight w:val="none"/>
              </w:rPr>
              <w:t>文件的编制</w:t>
            </w:r>
          </w:p>
        </w:tc>
        <w:tc>
          <w:tcPr>
            <w:tcW w:w="6101" w:type="dxa"/>
            <w:tcBorders>
              <w:top w:val="single" w:color="auto" w:sz="4" w:space="0"/>
              <w:left w:val="nil"/>
              <w:bottom w:val="single" w:color="auto" w:sz="4" w:space="0"/>
              <w:right w:val="single" w:color="auto" w:sz="4" w:space="0"/>
            </w:tcBorders>
            <w:noWrap w:val="0"/>
            <w:vAlign w:val="center"/>
          </w:tcPr>
          <w:p w14:paraId="2D96F573">
            <w:pPr>
              <w:pageBreakBefore w:val="0"/>
              <w:bidi w:val="0"/>
              <w:adjustRightInd w:val="0"/>
              <w:snapToGrid w:val="0"/>
              <w:spacing w:beforeAutospacing="0" w:afterAutospacing="0" w:line="360" w:lineRule="auto"/>
              <w:ind w:left="0" w:leftChars="0" w:right="0" w:firstLine="240" w:firstLineChars="100"/>
              <w:jc w:val="left"/>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1.投标人所上传的电子化</w:t>
            </w:r>
            <w:r>
              <w:rPr>
                <w:rFonts w:hint="eastAsia" w:ascii="宋体" w:hAnsi="宋体" w:eastAsia="宋体" w:cs="宋体"/>
                <w:snapToGrid w:val="0"/>
                <w:sz w:val="24"/>
                <w:szCs w:val="24"/>
                <w:highlight w:val="none"/>
                <w:lang w:eastAsia="zh-CN"/>
              </w:rPr>
              <w:t>投标</w:t>
            </w:r>
            <w:r>
              <w:rPr>
                <w:rFonts w:hint="eastAsia" w:ascii="宋体" w:hAnsi="宋体" w:eastAsia="宋体" w:cs="宋体"/>
                <w:snapToGrid w:val="0"/>
                <w:sz w:val="24"/>
                <w:szCs w:val="24"/>
                <w:highlight w:val="none"/>
              </w:rPr>
              <w:t>文件，应是通过中心投标文件制作系统制作的（投标文件制作工具下载地址：https://download.bqpoint.com/download/downloaddetail.html?SourceFrom=Ztb&amp;ZtbSoftXiaQuCode=1506&amp;ZtbSoftType=tballinclusive），经过签章和加密后生成的电子版</w:t>
            </w:r>
            <w:r>
              <w:rPr>
                <w:rFonts w:hint="eastAsia" w:ascii="宋体" w:hAnsi="宋体" w:eastAsia="宋体" w:cs="宋体"/>
                <w:snapToGrid w:val="0"/>
                <w:sz w:val="24"/>
                <w:szCs w:val="24"/>
                <w:highlight w:val="none"/>
                <w:lang w:eastAsia="zh-CN"/>
              </w:rPr>
              <w:t>投标</w:t>
            </w:r>
            <w:r>
              <w:rPr>
                <w:rFonts w:hint="eastAsia" w:ascii="宋体" w:hAnsi="宋体" w:eastAsia="宋体" w:cs="宋体"/>
                <w:snapToGrid w:val="0"/>
                <w:sz w:val="24"/>
                <w:szCs w:val="24"/>
                <w:highlight w:val="none"/>
              </w:rPr>
              <w:t>文件。其中包含用于</w:t>
            </w:r>
            <w:r>
              <w:rPr>
                <w:rFonts w:hint="eastAsia" w:ascii="宋体" w:hAnsi="宋体" w:eastAsia="宋体" w:cs="宋体"/>
                <w:snapToGrid w:val="0"/>
                <w:sz w:val="24"/>
                <w:szCs w:val="24"/>
                <w:highlight w:val="none"/>
                <w:lang w:eastAsia="zh-CN"/>
              </w:rPr>
              <w:t>投标</w:t>
            </w:r>
            <w:r>
              <w:rPr>
                <w:rFonts w:hint="eastAsia" w:ascii="宋体" w:hAnsi="宋体" w:eastAsia="宋体" w:cs="宋体"/>
                <w:snapToGrid w:val="0"/>
                <w:sz w:val="24"/>
                <w:szCs w:val="24"/>
                <w:highlight w:val="none"/>
              </w:rPr>
              <w:t>文件上传的主文件（后缀为.smxtf）和用于应急补救的</w:t>
            </w:r>
            <w:r>
              <w:rPr>
                <w:rFonts w:hint="eastAsia" w:ascii="宋体" w:hAnsi="宋体" w:eastAsia="宋体" w:cs="宋体"/>
                <w:snapToGrid w:val="0"/>
                <w:sz w:val="24"/>
                <w:szCs w:val="24"/>
                <w:highlight w:val="none"/>
                <w:lang w:eastAsia="zh-CN"/>
              </w:rPr>
              <w:t>投标</w:t>
            </w:r>
            <w:r>
              <w:rPr>
                <w:rFonts w:hint="eastAsia" w:ascii="宋体" w:hAnsi="宋体" w:eastAsia="宋体" w:cs="宋体"/>
                <w:snapToGrid w:val="0"/>
                <w:sz w:val="24"/>
                <w:szCs w:val="24"/>
                <w:highlight w:val="none"/>
              </w:rPr>
              <w:t>文件备份文件（后缀为.nsmxtf）。</w:t>
            </w:r>
          </w:p>
          <w:p w14:paraId="3017F452">
            <w:pPr>
              <w:pageBreakBefore w:val="0"/>
              <w:bidi w:val="0"/>
              <w:adjustRightInd w:val="0"/>
              <w:snapToGrid w:val="0"/>
              <w:spacing w:beforeAutospacing="0" w:afterAutospacing="0" w:line="360" w:lineRule="auto"/>
              <w:ind w:left="0" w:leftChars="0" w:right="0" w:firstLine="240" w:firstLineChars="100"/>
              <w:jc w:val="left"/>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2.电子化</w:t>
            </w:r>
            <w:r>
              <w:rPr>
                <w:rFonts w:hint="eastAsia" w:ascii="宋体" w:hAnsi="宋体" w:eastAsia="宋体" w:cs="宋体"/>
                <w:snapToGrid w:val="0"/>
                <w:sz w:val="24"/>
                <w:szCs w:val="24"/>
                <w:highlight w:val="none"/>
                <w:lang w:eastAsia="zh-CN"/>
              </w:rPr>
              <w:t>投标</w:t>
            </w:r>
            <w:r>
              <w:rPr>
                <w:rFonts w:hint="eastAsia" w:ascii="宋体" w:hAnsi="宋体" w:eastAsia="宋体" w:cs="宋体"/>
                <w:snapToGrid w:val="0"/>
                <w:sz w:val="24"/>
                <w:szCs w:val="24"/>
                <w:highlight w:val="none"/>
              </w:rPr>
              <w:t>文件应在投标截止时间前成功上传至三门峡市公共资源电子化交易系统。至投标截止时间止，仍未上传成功的电子化</w:t>
            </w:r>
            <w:r>
              <w:rPr>
                <w:rFonts w:hint="eastAsia" w:ascii="宋体" w:hAnsi="宋体" w:eastAsia="宋体" w:cs="宋体"/>
                <w:snapToGrid w:val="0"/>
                <w:sz w:val="24"/>
                <w:szCs w:val="24"/>
                <w:highlight w:val="none"/>
                <w:lang w:eastAsia="zh-CN"/>
              </w:rPr>
              <w:t>投标</w:t>
            </w:r>
            <w:r>
              <w:rPr>
                <w:rFonts w:hint="eastAsia" w:ascii="宋体" w:hAnsi="宋体" w:eastAsia="宋体" w:cs="宋体"/>
                <w:snapToGrid w:val="0"/>
                <w:sz w:val="24"/>
                <w:szCs w:val="24"/>
                <w:highlight w:val="none"/>
              </w:rPr>
              <w:t>文件将不予接收。</w:t>
            </w:r>
          </w:p>
          <w:p w14:paraId="2144E008">
            <w:pPr>
              <w:pageBreakBefore w:val="0"/>
              <w:bidi w:val="0"/>
              <w:adjustRightInd w:val="0"/>
              <w:snapToGrid w:val="0"/>
              <w:spacing w:beforeAutospacing="0" w:afterAutospacing="0" w:line="360" w:lineRule="auto"/>
              <w:ind w:left="0" w:leftChars="0" w:right="0" w:rightChars="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snapToGrid w:val="0"/>
                <w:sz w:val="24"/>
                <w:szCs w:val="24"/>
                <w:highlight w:val="none"/>
              </w:rPr>
              <w:t>注：如按照电子化投标操作教材制作完成的电子化</w:t>
            </w:r>
            <w:r>
              <w:rPr>
                <w:rFonts w:hint="eastAsia" w:ascii="宋体" w:hAnsi="宋体" w:eastAsia="宋体" w:cs="宋体"/>
                <w:snapToGrid w:val="0"/>
                <w:sz w:val="24"/>
                <w:szCs w:val="24"/>
                <w:highlight w:val="none"/>
                <w:lang w:eastAsia="zh-CN"/>
              </w:rPr>
              <w:t>投标</w:t>
            </w:r>
            <w:r>
              <w:rPr>
                <w:rFonts w:hint="eastAsia" w:ascii="宋体" w:hAnsi="宋体" w:eastAsia="宋体" w:cs="宋体"/>
                <w:snapToGrid w:val="0"/>
                <w:sz w:val="24"/>
                <w:szCs w:val="24"/>
                <w:highlight w:val="none"/>
              </w:rPr>
              <w:t>文件无法上传的，投标人应在投标截止时间前尽早的联系中心技术人员，以便有充分的时间进行处理。投标人应充分考虑到处理技术问题和上传数据等工作所需的时间问题，</w:t>
            </w:r>
            <w:r>
              <w:rPr>
                <w:rFonts w:hint="eastAsia" w:ascii="宋体" w:hAnsi="宋体" w:eastAsia="宋体" w:cs="宋体"/>
                <w:snapToGrid w:val="0"/>
                <w:sz w:val="24"/>
                <w:szCs w:val="24"/>
                <w:highlight w:val="none"/>
                <w:lang w:eastAsia="zh-CN"/>
              </w:rPr>
              <w:t>投标</w:t>
            </w:r>
            <w:r>
              <w:rPr>
                <w:rFonts w:hint="eastAsia" w:ascii="宋体" w:hAnsi="宋体" w:eastAsia="宋体" w:cs="宋体"/>
                <w:snapToGrid w:val="0"/>
                <w:sz w:val="24"/>
                <w:szCs w:val="24"/>
                <w:highlight w:val="none"/>
              </w:rPr>
              <w:t>文件未在投标截止时间前成功上传的，其</w:t>
            </w:r>
            <w:r>
              <w:rPr>
                <w:rFonts w:hint="eastAsia" w:ascii="宋体" w:hAnsi="宋体" w:eastAsia="宋体" w:cs="宋体"/>
                <w:snapToGrid w:val="0"/>
                <w:sz w:val="24"/>
                <w:szCs w:val="24"/>
                <w:highlight w:val="none"/>
                <w:lang w:eastAsia="zh-CN"/>
              </w:rPr>
              <w:t>投标</w:t>
            </w:r>
            <w:r>
              <w:rPr>
                <w:rFonts w:hint="eastAsia" w:ascii="宋体" w:hAnsi="宋体" w:eastAsia="宋体" w:cs="宋体"/>
                <w:snapToGrid w:val="0"/>
                <w:sz w:val="24"/>
                <w:szCs w:val="24"/>
                <w:highlight w:val="none"/>
              </w:rPr>
              <w:t>文件不予接收。</w:t>
            </w:r>
          </w:p>
        </w:tc>
      </w:tr>
      <w:tr w14:paraId="090D301A">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3B503C3D">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3EE7F08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近年完成的类似项目的年份要求</w:t>
            </w:r>
          </w:p>
        </w:tc>
        <w:tc>
          <w:tcPr>
            <w:tcW w:w="6101" w:type="dxa"/>
            <w:tcBorders>
              <w:top w:val="single" w:color="auto" w:sz="4" w:space="0"/>
              <w:left w:val="nil"/>
              <w:bottom w:val="single" w:color="auto" w:sz="4" w:space="0"/>
              <w:right w:val="single" w:color="auto" w:sz="4" w:space="0"/>
            </w:tcBorders>
            <w:noWrap w:val="0"/>
            <w:vAlign w:val="center"/>
          </w:tcPr>
          <w:p w14:paraId="034FBF5D">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年1月1日以来</w:t>
            </w:r>
          </w:p>
        </w:tc>
      </w:tr>
      <w:tr w14:paraId="71A5A140">
        <w:tblPrEx>
          <w:tblCellMar>
            <w:top w:w="0" w:type="dxa"/>
            <w:left w:w="108" w:type="dxa"/>
            <w:bottom w:w="0" w:type="dxa"/>
            <w:right w:w="108" w:type="dxa"/>
          </w:tblCellMar>
        </w:tblPrEx>
        <w:trPr>
          <w:trHeight w:val="1095" w:hRule="atLeast"/>
        </w:trPr>
        <w:tc>
          <w:tcPr>
            <w:tcW w:w="1010" w:type="dxa"/>
            <w:tcBorders>
              <w:top w:val="single" w:color="auto" w:sz="4" w:space="0"/>
              <w:left w:val="single" w:color="auto" w:sz="4" w:space="0"/>
              <w:bottom w:val="single" w:color="auto" w:sz="4" w:space="0"/>
              <w:right w:val="single" w:color="auto" w:sz="4" w:space="0"/>
            </w:tcBorders>
            <w:noWrap w:val="0"/>
            <w:vAlign w:val="center"/>
          </w:tcPr>
          <w:p w14:paraId="488C67F1">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1E92041A">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签字或盖章</w:t>
            </w:r>
          </w:p>
          <w:p w14:paraId="4B43724D">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要求</w:t>
            </w:r>
          </w:p>
        </w:tc>
        <w:tc>
          <w:tcPr>
            <w:tcW w:w="6101" w:type="dxa"/>
            <w:tcBorders>
              <w:top w:val="single" w:color="auto" w:sz="4" w:space="0"/>
              <w:left w:val="nil"/>
              <w:bottom w:val="single" w:color="auto" w:sz="4" w:space="0"/>
              <w:right w:val="single" w:color="auto" w:sz="4" w:space="0"/>
            </w:tcBorders>
            <w:noWrap w:val="0"/>
            <w:vAlign w:val="center"/>
          </w:tcPr>
          <w:p w14:paraId="27D631D2">
            <w:pPr>
              <w:keepLines/>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1、供应商在生成电子化投标文件后，应对电子化投标文件进行签章，未进行签章的视为无效投标。</w:t>
            </w:r>
          </w:p>
          <w:p w14:paraId="2CB065BF">
            <w:pPr>
              <w:keepLines/>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文件中要求法定代表人或授权委托人签字或盖章的，供应商在进行电子化投标文件签章时，以签盖法定代表人签章为准。电子化响应文件工具请点击https://download.bqpoint.com/download/downloadlist.html?SoftTypeCode=03进行下载。</w:t>
            </w:r>
          </w:p>
        </w:tc>
      </w:tr>
      <w:tr w14:paraId="0849DC75">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3C1503FD">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082E8498">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电子化投标文件上传</w:t>
            </w:r>
          </w:p>
        </w:tc>
        <w:tc>
          <w:tcPr>
            <w:tcW w:w="6101" w:type="dxa"/>
            <w:tcBorders>
              <w:top w:val="single" w:color="auto" w:sz="4" w:space="0"/>
              <w:left w:val="nil"/>
              <w:bottom w:val="single" w:color="auto" w:sz="4" w:space="0"/>
              <w:right w:val="single" w:color="auto" w:sz="4" w:space="0"/>
            </w:tcBorders>
            <w:noWrap w:val="0"/>
            <w:vAlign w:val="center"/>
          </w:tcPr>
          <w:p w14:paraId="626BC450">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所上传的电子化投标文件，应是通过中心投标文件制作系统制作的（投标文件制作工具下载地址：https://download.bqpoint.com/download/downloaddetail.html?SourceFrom=Ztb&amp;ZtbSoftXiaQuCode=1506&amp;ZtbSoftType=tballinclusive），经过签章和加密后生成的电子版投标文件。其中包含用于投标文件上传的主文件（后缀为.smxtf）和用于应急补救的投标文件备份文件（后缀为.nsmxtf）。</w:t>
            </w:r>
          </w:p>
          <w:p w14:paraId="3B59B9C1">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2.电子化投标文件应在投标截止时间前成功上传至三门峡市公共资源电子化交易系统。至投标截止时间止，仍未上传成功的电子化投标文件将不予接收。</w:t>
            </w:r>
          </w:p>
          <w:p w14:paraId="569BC1BC">
            <w:pPr>
              <w:keepLines/>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注：如按照电子化投标操作教材制作完成的电子化投标文件无法上传的，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应在投标截止时间前尽早的联系中心技术人员，以便有充分的时间进行处理。</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应充分考虑到处理技术问题和上传数据等工作所需的时间问题，投标文件未在投标截止时间前成功上传的，其投标文件不予接收。</w:t>
            </w:r>
          </w:p>
          <w:p w14:paraId="060DEBBE">
            <w:pPr>
              <w:keepLines/>
              <w:pageBreakBefore w:val="0"/>
              <w:bidi w:val="0"/>
              <w:adjustRightInd w:val="0"/>
              <w:snapToGrid w:val="0"/>
              <w:spacing w:beforeAutospacing="0" w:afterAutospacing="0" w:line="360" w:lineRule="auto"/>
              <w:ind w:left="0" w:leftChars="0" w:right="0"/>
              <w:jc w:val="left"/>
              <w:rPr>
                <w:rFonts w:hint="eastAsia" w:ascii="宋体" w:hAnsi="宋体" w:eastAsia="宋体" w:cs="宋体"/>
              </w:rPr>
            </w:pPr>
            <w:r>
              <w:rPr>
                <w:rFonts w:hint="eastAsia" w:ascii="宋体" w:hAnsi="宋体" w:eastAsia="宋体" w:cs="宋体"/>
                <w:color w:val="auto"/>
                <w:sz w:val="24"/>
                <w:szCs w:val="24"/>
                <w:highlight w:val="none"/>
                <w:lang w:val="en-US" w:eastAsia="zh-CN"/>
              </w:rPr>
              <w:t>3.开标时不再递交纸质投标文件，中标单位领取中标通知书时提交叁份纸质投标文件（投标文件应按以下要求装订：胶装，应有目录，并逐页标注连续页码）。</w:t>
            </w:r>
          </w:p>
        </w:tc>
      </w:tr>
      <w:tr w14:paraId="3A6FF94B">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2971E60E">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77CD5FA3">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开标时间和</w:t>
            </w:r>
          </w:p>
          <w:p w14:paraId="6069AC7F">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地点</w:t>
            </w:r>
          </w:p>
        </w:tc>
        <w:tc>
          <w:tcPr>
            <w:tcW w:w="6101" w:type="dxa"/>
            <w:tcBorders>
              <w:top w:val="single" w:color="auto" w:sz="4" w:space="0"/>
              <w:left w:val="nil"/>
              <w:bottom w:val="single" w:color="auto" w:sz="4" w:space="0"/>
              <w:right w:val="single" w:color="auto" w:sz="4" w:space="0"/>
            </w:tcBorders>
            <w:noWrap w:val="0"/>
            <w:vAlign w:val="center"/>
          </w:tcPr>
          <w:p w14:paraId="47AC1594">
            <w:pPr>
              <w:keepLines/>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见第一章“招标公告”</w:t>
            </w:r>
          </w:p>
        </w:tc>
      </w:tr>
      <w:tr w14:paraId="30148BC4">
        <w:tblPrEx>
          <w:tblCellMar>
            <w:top w:w="0" w:type="dxa"/>
            <w:left w:w="108" w:type="dxa"/>
            <w:bottom w:w="0" w:type="dxa"/>
            <w:right w:w="108" w:type="dxa"/>
          </w:tblCellMar>
        </w:tblPrEx>
        <w:tc>
          <w:tcPr>
            <w:tcW w:w="1010" w:type="dxa"/>
            <w:vMerge w:val="restart"/>
            <w:tcBorders>
              <w:top w:val="single" w:color="auto" w:sz="4" w:space="0"/>
              <w:left w:val="single" w:color="auto" w:sz="4" w:space="0"/>
              <w:right w:val="single" w:color="auto" w:sz="4" w:space="0"/>
            </w:tcBorders>
            <w:noWrap w:val="0"/>
            <w:vAlign w:val="center"/>
          </w:tcPr>
          <w:p w14:paraId="1E49AAC5">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lang w:eastAsia="zh-CN"/>
              </w:rPr>
            </w:pPr>
          </w:p>
        </w:tc>
        <w:tc>
          <w:tcPr>
            <w:tcW w:w="2082" w:type="dxa"/>
            <w:tcBorders>
              <w:top w:val="single" w:color="auto" w:sz="4" w:space="0"/>
              <w:left w:val="nil"/>
              <w:bottom w:val="single" w:color="auto" w:sz="4" w:space="0"/>
              <w:right w:val="single" w:color="auto" w:sz="4" w:space="0"/>
            </w:tcBorders>
            <w:noWrap w:val="0"/>
            <w:vAlign w:val="center"/>
          </w:tcPr>
          <w:p w14:paraId="172FF971">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开标程序</w:t>
            </w:r>
          </w:p>
        </w:tc>
        <w:tc>
          <w:tcPr>
            <w:tcW w:w="6101" w:type="dxa"/>
            <w:tcBorders>
              <w:top w:val="single" w:color="auto" w:sz="4" w:space="0"/>
              <w:left w:val="nil"/>
              <w:bottom w:val="single" w:color="auto" w:sz="4" w:space="0"/>
              <w:right w:val="single" w:color="auto" w:sz="4" w:space="0"/>
            </w:tcBorders>
            <w:noWrap w:val="0"/>
            <w:vAlign w:val="center"/>
          </w:tcPr>
          <w:p w14:paraId="4847957F">
            <w:pPr>
              <w:keepLines/>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宣布开标纪律；</w:t>
            </w:r>
          </w:p>
          <w:p w14:paraId="4A9E1C05">
            <w:pPr>
              <w:keepLines/>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公布在投标截止时间前递交投标文件的</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名称；</w:t>
            </w:r>
          </w:p>
          <w:p w14:paraId="2FD74234">
            <w:pPr>
              <w:keepLines/>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3、供应商通过电子招标投标交易平台对已递交的电子投标文件进行解密；</w:t>
            </w:r>
          </w:p>
          <w:p w14:paraId="73426ED7">
            <w:pPr>
              <w:keepLines/>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由采购人或者采购代理机构工作人员</w:t>
            </w:r>
            <w:r>
              <w:rPr>
                <w:rFonts w:hint="eastAsia" w:ascii="宋体" w:hAnsi="宋体" w:eastAsia="宋体" w:cs="宋体"/>
                <w:color w:val="auto"/>
                <w:sz w:val="24"/>
                <w:highlight w:val="none"/>
                <w:lang w:val="en-US" w:eastAsia="zh-CN"/>
              </w:rPr>
              <w:t>当</w:t>
            </w:r>
            <w:r>
              <w:rPr>
                <w:rFonts w:hint="eastAsia" w:ascii="宋体" w:hAnsi="宋体" w:eastAsia="宋体" w:cs="宋体"/>
                <w:color w:val="auto"/>
                <w:sz w:val="24"/>
                <w:highlight w:val="none"/>
              </w:rPr>
              <w:t>众拆</w:t>
            </w:r>
            <w:r>
              <w:rPr>
                <w:rFonts w:hint="eastAsia" w:ascii="宋体" w:hAnsi="宋体" w:eastAsia="宋体" w:cs="宋体"/>
                <w:color w:val="auto"/>
                <w:sz w:val="24"/>
                <w:highlight w:val="none"/>
                <w:lang w:val="en-US" w:eastAsia="zh-CN"/>
              </w:rPr>
              <w:t>解</w:t>
            </w:r>
            <w:r>
              <w:rPr>
                <w:rFonts w:hint="eastAsia" w:ascii="宋体" w:hAnsi="宋体" w:eastAsia="宋体" w:cs="宋体"/>
                <w:color w:val="auto"/>
                <w:sz w:val="24"/>
                <w:highlight w:val="none"/>
              </w:rPr>
              <w:t>投标文件，宣布</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名称、投标价格以及其他采购人和采购代理机构认为必要的内容，并记录在案；</w:t>
            </w:r>
          </w:p>
          <w:p w14:paraId="513592A0">
            <w:pPr>
              <w:keepLines/>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开标结束。</w:t>
            </w:r>
          </w:p>
        </w:tc>
      </w:tr>
      <w:tr w14:paraId="2374D620">
        <w:tblPrEx>
          <w:tblCellMar>
            <w:top w:w="0" w:type="dxa"/>
            <w:left w:w="108" w:type="dxa"/>
            <w:bottom w:w="0" w:type="dxa"/>
            <w:right w:w="108" w:type="dxa"/>
          </w:tblCellMar>
        </w:tblPrEx>
        <w:tc>
          <w:tcPr>
            <w:tcW w:w="1010" w:type="dxa"/>
            <w:vMerge w:val="continue"/>
            <w:tcBorders>
              <w:left w:val="single" w:color="auto" w:sz="4" w:space="0"/>
              <w:bottom w:val="single" w:color="auto" w:sz="4" w:space="0"/>
              <w:right w:val="single" w:color="auto" w:sz="4" w:space="0"/>
            </w:tcBorders>
            <w:noWrap w:val="0"/>
            <w:vAlign w:val="center"/>
          </w:tcPr>
          <w:p w14:paraId="75BC0CE0">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605C2117">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偏离</w:t>
            </w:r>
          </w:p>
        </w:tc>
        <w:tc>
          <w:tcPr>
            <w:tcW w:w="6101" w:type="dxa"/>
            <w:tcBorders>
              <w:top w:val="single" w:color="auto" w:sz="4" w:space="0"/>
              <w:left w:val="nil"/>
              <w:bottom w:val="single" w:color="auto" w:sz="4" w:space="0"/>
              <w:right w:val="single" w:color="auto" w:sz="4" w:space="0"/>
            </w:tcBorders>
            <w:noWrap w:val="0"/>
            <w:vAlign w:val="center"/>
          </w:tcPr>
          <w:p w14:paraId="6EA15A80">
            <w:pPr>
              <w:keepLines/>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highlight w:val="none"/>
              </w:rPr>
            </w:pPr>
            <w:r>
              <w:rPr>
                <w:rFonts w:hint="eastAsia" w:ascii="宋体" w:hAnsi="宋体" w:eastAsia="宋体" w:cs="宋体"/>
                <w:color w:val="000000"/>
                <w:kern w:val="10"/>
                <w:sz w:val="24"/>
                <w:szCs w:val="24"/>
              </w:rPr>
              <w:t>在满足采购人采购需要的基础上，允许正负偏离</w:t>
            </w:r>
          </w:p>
        </w:tc>
      </w:tr>
      <w:tr w14:paraId="66E33BB8">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070D5A11">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lang w:eastAsia="zh-CN"/>
              </w:rPr>
            </w:pPr>
          </w:p>
        </w:tc>
        <w:tc>
          <w:tcPr>
            <w:tcW w:w="2082" w:type="dxa"/>
            <w:tcBorders>
              <w:top w:val="single" w:color="auto" w:sz="4" w:space="0"/>
              <w:left w:val="nil"/>
              <w:bottom w:val="single" w:color="auto" w:sz="4" w:space="0"/>
              <w:right w:val="single" w:color="auto" w:sz="4" w:space="0"/>
            </w:tcBorders>
            <w:noWrap w:val="0"/>
            <w:vAlign w:val="center"/>
          </w:tcPr>
          <w:p w14:paraId="5DE84964">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评标委员会</w:t>
            </w:r>
          </w:p>
          <w:p w14:paraId="448F6E15">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的组建</w:t>
            </w:r>
          </w:p>
        </w:tc>
        <w:tc>
          <w:tcPr>
            <w:tcW w:w="6101" w:type="dxa"/>
            <w:tcBorders>
              <w:top w:val="single" w:color="auto" w:sz="4" w:space="0"/>
              <w:left w:val="nil"/>
              <w:bottom w:val="single" w:color="auto" w:sz="4" w:space="0"/>
              <w:right w:val="single" w:color="auto" w:sz="4" w:space="0"/>
            </w:tcBorders>
            <w:noWrap w:val="0"/>
            <w:vAlign w:val="center"/>
          </w:tcPr>
          <w:p w14:paraId="429CBD78">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评标委员会构成：5人，其中</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人代表1人，专家4人；</w:t>
            </w:r>
          </w:p>
          <w:p w14:paraId="4AA85BFF">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4名评标专家确定方式：开标后通过三门峡市公共资源交易中心网络抽取终端从</w:t>
            </w:r>
            <w:r>
              <w:rPr>
                <w:rFonts w:hint="eastAsia" w:ascii="宋体" w:hAnsi="宋体" w:eastAsia="宋体" w:cs="宋体"/>
                <w:color w:val="auto"/>
                <w:sz w:val="24"/>
                <w:szCs w:val="24"/>
                <w:highlight w:val="none"/>
                <w:lang w:eastAsia="zh-CN"/>
              </w:rPr>
              <w:t>相关专家库</w:t>
            </w:r>
            <w:r>
              <w:rPr>
                <w:rFonts w:hint="eastAsia" w:ascii="宋体" w:hAnsi="宋体" w:eastAsia="宋体" w:cs="宋体"/>
                <w:color w:val="auto"/>
                <w:sz w:val="24"/>
                <w:szCs w:val="24"/>
                <w:highlight w:val="none"/>
              </w:rPr>
              <w:t>中随机抽取。</w:t>
            </w:r>
          </w:p>
        </w:tc>
      </w:tr>
      <w:tr w14:paraId="338E1989">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5C52FA34">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lang w:eastAsia="zh-CN"/>
              </w:rPr>
            </w:pPr>
          </w:p>
        </w:tc>
        <w:tc>
          <w:tcPr>
            <w:tcW w:w="2082" w:type="dxa"/>
            <w:tcBorders>
              <w:top w:val="single" w:color="auto" w:sz="4" w:space="0"/>
              <w:left w:val="nil"/>
              <w:bottom w:val="single" w:color="auto" w:sz="4" w:space="0"/>
              <w:right w:val="single" w:color="auto" w:sz="4" w:space="0"/>
            </w:tcBorders>
            <w:noWrap w:val="0"/>
            <w:vAlign w:val="center"/>
          </w:tcPr>
          <w:p w14:paraId="354F5AA4">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是否授权评标委员会确定中标供应商</w:t>
            </w:r>
          </w:p>
        </w:tc>
        <w:tc>
          <w:tcPr>
            <w:tcW w:w="6101" w:type="dxa"/>
            <w:tcBorders>
              <w:top w:val="single" w:color="auto" w:sz="4" w:space="0"/>
              <w:left w:val="nil"/>
              <w:bottom w:val="single" w:color="auto" w:sz="4" w:space="0"/>
              <w:right w:val="single" w:color="auto" w:sz="4" w:space="0"/>
            </w:tcBorders>
            <w:noWrap w:val="0"/>
            <w:vAlign w:val="center"/>
          </w:tcPr>
          <w:p w14:paraId="130C1DD1">
            <w:pPr>
              <w:keepLines/>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否</w:t>
            </w:r>
            <w:r>
              <w:rPr>
                <w:rFonts w:hint="eastAsia" w:ascii="宋体" w:hAnsi="宋体" w:eastAsia="宋体" w:cs="宋体"/>
                <w:color w:val="auto"/>
                <w:sz w:val="24"/>
                <w:szCs w:val="24"/>
                <w:highlight w:val="none"/>
              </w:rPr>
              <w:t>，按顺序推荐的中标候选人数：3名</w:t>
            </w:r>
          </w:p>
          <w:p w14:paraId="52C52301">
            <w:pPr>
              <w:keepLines/>
              <w:pageBreakBefore w:val="0"/>
              <w:bidi w:val="0"/>
              <w:adjustRightInd w:val="0"/>
              <w:snapToGrid w:val="0"/>
              <w:spacing w:beforeAutospacing="0" w:afterAutospacing="0" w:line="360" w:lineRule="auto"/>
              <w:ind w:left="0" w:leftChars="0" w:right="0"/>
              <w:rPr>
                <w:rFonts w:hint="eastAsia" w:ascii="宋体" w:hAnsi="宋体" w:eastAsia="宋体" w:cs="宋体"/>
              </w:rPr>
            </w:pPr>
            <w:r>
              <w:rPr>
                <w:rFonts w:hint="eastAsia" w:ascii="宋体" w:hAnsi="宋体" w:eastAsia="宋体" w:cs="宋体"/>
                <w:color w:val="auto"/>
                <w:sz w:val="24"/>
                <w:szCs w:val="24"/>
                <w:highlight w:val="none"/>
              </w:rPr>
              <w:t>招标人确定评标委员会推荐的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r w14:paraId="3849BF19">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4DF6EF02">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lang w:eastAsia="zh-CN"/>
              </w:rPr>
            </w:pPr>
          </w:p>
        </w:tc>
        <w:tc>
          <w:tcPr>
            <w:tcW w:w="2082" w:type="dxa"/>
            <w:tcBorders>
              <w:top w:val="single" w:color="auto" w:sz="4" w:space="0"/>
              <w:left w:val="nil"/>
              <w:bottom w:val="single" w:color="auto" w:sz="4" w:space="0"/>
              <w:right w:val="single" w:color="auto" w:sz="4" w:space="0"/>
            </w:tcBorders>
            <w:noWrap w:val="0"/>
            <w:vAlign w:val="center"/>
          </w:tcPr>
          <w:p w14:paraId="53E35A71">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履约保证金</w:t>
            </w:r>
          </w:p>
        </w:tc>
        <w:tc>
          <w:tcPr>
            <w:tcW w:w="6101" w:type="dxa"/>
            <w:tcBorders>
              <w:top w:val="single" w:color="auto" w:sz="4" w:space="0"/>
              <w:left w:val="nil"/>
              <w:bottom w:val="single" w:color="auto" w:sz="4" w:space="0"/>
              <w:right w:val="single" w:color="auto" w:sz="4" w:space="0"/>
            </w:tcBorders>
            <w:noWrap w:val="0"/>
            <w:vAlign w:val="center"/>
          </w:tcPr>
          <w:p w14:paraId="78199464">
            <w:pPr>
              <w:keepLines/>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本项目不收取履约保证金。如供应商违反政府采购合同约定给采购人造成损失的,采购人按照合同约定,要求供应商承担赔偿责任。</w:t>
            </w:r>
          </w:p>
        </w:tc>
      </w:tr>
      <w:tr w14:paraId="79112EA9">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19661D94">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lang w:eastAsia="zh-CN"/>
              </w:rPr>
            </w:pPr>
          </w:p>
        </w:tc>
        <w:tc>
          <w:tcPr>
            <w:tcW w:w="2082" w:type="dxa"/>
            <w:tcBorders>
              <w:top w:val="single" w:color="auto" w:sz="4" w:space="0"/>
              <w:left w:val="nil"/>
              <w:bottom w:val="single" w:color="auto" w:sz="4" w:space="0"/>
              <w:right w:val="single" w:color="auto" w:sz="4" w:space="0"/>
            </w:tcBorders>
            <w:noWrap w:val="0"/>
            <w:vAlign w:val="center"/>
          </w:tcPr>
          <w:p w14:paraId="4E2001BF">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无效标条件</w:t>
            </w:r>
          </w:p>
        </w:tc>
        <w:tc>
          <w:tcPr>
            <w:tcW w:w="6101" w:type="dxa"/>
            <w:tcBorders>
              <w:top w:val="single" w:color="auto" w:sz="4" w:space="0"/>
              <w:left w:val="nil"/>
              <w:bottom w:val="single" w:color="auto" w:sz="4" w:space="0"/>
              <w:right w:val="single" w:color="auto" w:sz="4" w:space="0"/>
            </w:tcBorders>
            <w:noWrap w:val="0"/>
            <w:vAlign w:val="center"/>
          </w:tcPr>
          <w:p w14:paraId="1C5ECB35">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1.电子化投标文件附有采购人不能接受的条件的；</w:t>
            </w:r>
          </w:p>
          <w:p w14:paraId="5BB0F78E">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2.投标报价高于招标文件中投标最高限价的；</w:t>
            </w:r>
          </w:p>
          <w:p w14:paraId="295CB7EA">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3.以他人的名义投标、串通投标、以行贿手段谋取中标或者以其他弄虚作假方式投标的；</w:t>
            </w:r>
          </w:p>
          <w:p w14:paraId="3529BB8F">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4.采取不正当手段谋取中标的。</w:t>
            </w:r>
          </w:p>
        </w:tc>
      </w:tr>
      <w:tr w14:paraId="560D4C16">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5539007E">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lang w:eastAsia="zh-CN"/>
              </w:rPr>
            </w:pPr>
          </w:p>
        </w:tc>
        <w:tc>
          <w:tcPr>
            <w:tcW w:w="2082" w:type="dxa"/>
            <w:tcBorders>
              <w:top w:val="single" w:color="auto" w:sz="4" w:space="0"/>
              <w:left w:val="nil"/>
              <w:bottom w:val="single" w:color="auto" w:sz="4" w:space="0"/>
              <w:right w:val="single" w:color="auto" w:sz="4" w:space="0"/>
            </w:tcBorders>
            <w:noWrap w:val="0"/>
            <w:vAlign w:val="center"/>
          </w:tcPr>
          <w:p w14:paraId="1D7E9137">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投标最高限价</w:t>
            </w:r>
          </w:p>
        </w:tc>
        <w:tc>
          <w:tcPr>
            <w:tcW w:w="6101" w:type="dxa"/>
            <w:tcBorders>
              <w:top w:val="single" w:color="auto" w:sz="4" w:space="0"/>
              <w:left w:val="nil"/>
              <w:bottom w:val="single" w:color="auto" w:sz="4" w:space="0"/>
              <w:right w:val="single" w:color="auto" w:sz="4" w:space="0"/>
            </w:tcBorders>
            <w:noWrap w:val="0"/>
            <w:vAlign w:val="center"/>
          </w:tcPr>
          <w:p w14:paraId="15FFE0AE">
            <w:pPr>
              <w:keepLines/>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sz w:val="24"/>
                <w:szCs w:val="24"/>
                <w:highlight w:val="none"/>
              </w:rPr>
              <w:t>本项目投标</w:t>
            </w:r>
            <w:r>
              <w:rPr>
                <w:rFonts w:hint="eastAsia" w:ascii="宋体" w:hAnsi="宋体" w:eastAsia="宋体" w:cs="宋体"/>
                <w:b/>
                <w:bCs/>
                <w:color w:val="auto"/>
                <w:kern w:val="0"/>
                <w:sz w:val="24"/>
                <w:szCs w:val="24"/>
                <w:highlight w:val="none"/>
              </w:rPr>
              <w:t>最高限价为</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三百万元整（3000000</w:t>
            </w:r>
            <w:r>
              <w:rPr>
                <w:rFonts w:hint="eastAsia" w:ascii="宋体" w:hAnsi="宋体" w:eastAsia="宋体" w:cs="宋体"/>
                <w:b/>
                <w:bCs/>
                <w:color w:val="auto"/>
                <w:kern w:val="0"/>
                <w:sz w:val="24"/>
                <w:szCs w:val="24"/>
                <w:highlight w:val="none"/>
                <w:lang w:eastAsia="zh-CN"/>
              </w:rPr>
              <w:t>.00元）</w:t>
            </w:r>
          </w:p>
          <w:p w14:paraId="4ECD350B">
            <w:pPr>
              <w:keepLines/>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一标段：壹佰万元整（1000000.00元）；</w:t>
            </w:r>
          </w:p>
          <w:p w14:paraId="5625201B">
            <w:pPr>
              <w:keepLines/>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二标段：捌拾万元整（800000</w:t>
            </w:r>
            <w:r>
              <w:rPr>
                <w:rFonts w:hint="eastAsia" w:ascii="宋体" w:hAnsi="宋体" w:eastAsia="宋体" w:cs="宋体"/>
                <w:b/>
                <w:bCs/>
                <w:color w:val="auto"/>
                <w:sz w:val="24"/>
                <w:szCs w:val="24"/>
                <w:highlight w:val="none"/>
                <w:lang w:eastAsia="zh-CN"/>
              </w:rPr>
              <w:t>.00</w:t>
            </w:r>
            <w:r>
              <w:rPr>
                <w:rFonts w:hint="eastAsia" w:ascii="宋体" w:hAnsi="宋体" w:eastAsia="宋体" w:cs="宋体"/>
                <w:b/>
                <w:bCs/>
                <w:color w:val="auto"/>
                <w:sz w:val="24"/>
                <w:szCs w:val="24"/>
                <w:highlight w:val="none"/>
                <w:lang w:val="en-US" w:eastAsia="zh-CN"/>
              </w:rPr>
              <w:t>元）；</w:t>
            </w:r>
          </w:p>
          <w:p w14:paraId="56A3D7C3">
            <w:pPr>
              <w:keepLines/>
              <w:pageBreakBefore w:val="0"/>
              <w:bidi w:val="0"/>
              <w:adjustRightInd w:val="0"/>
              <w:snapToGrid w:val="0"/>
              <w:spacing w:beforeAutospacing="0" w:afterAutospacing="0" w:line="360" w:lineRule="auto"/>
              <w:ind w:left="0" w:leftChars="0" w:right="0"/>
              <w:rPr>
                <w:rFonts w:hint="eastAsia" w:ascii="宋体" w:hAnsi="宋体" w:eastAsia="宋体" w:cs="宋体"/>
              </w:rPr>
            </w:pPr>
            <w:r>
              <w:rPr>
                <w:rFonts w:hint="eastAsia" w:ascii="宋体" w:hAnsi="宋体" w:eastAsia="宋体" w:cs="宋体"/>
                <w:b/>
                <w:bCs/>
                <w:color w:val="auto"/>
                <w:sz w:val="24"/>
                <w:szCs w:val="24"/>
                <w:highlight w:val="none"/>
                <w:lang w:val="en-US" w:eastAsia="zh-CN"/>
              </w:rPr>
              <w:t>三标段：壹佰贰拾万元整（1200000</w:t>
            </w:r>
            <w:r>
              <w:rPr>
                <w:rFonts w:hint="eastAsia" w:ascii="宋体" w:hAnsi="宋体" w:eastAsia="宋体" w:cs="宋体"/>
                <w:b/>
                <w:bCs/>
                <w:color w:val="auto"/>
                <w:sz w:val="24"/>
                <w:szCs w:val="24"/>
                <w:highlight w:val="none"/>
                <w:lang w:eastAsia="zh-CN"/>
              </w:rPr>
              <w:t>.00</w:t>
            </w:r>
            <w:r>
              <w:rPr>
                <w:rFonts w:hint="eastAsia" w:ascii="宋体" w:hAnsi="宋体" w:eastAsia="宋体" w:cs="宋体"/>
                <w:b/>
                <w:bCs/>
                <w:color w:val="auto"/>
                <w:sz w:val="24"/>
                <w:szCs w:val="24"/>
                <w:highlight w:val="none"/>
                <w:lang w:val="en-US" w:eastAsia="zh-CN"/>
              </w:rPr>
              <w:t>元）；</w:t>
            </w:r>
          </w:p>
          <w:p w14:paraId="5267941A">
            <w:pPr>
              <w:keepLines/>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凡供应商投标报价超出“投标最高限价”的，该供应商的电子化投标文件应作无效标处理。</w:t>
            </w:r>
          </w:p>
        </w:tc>
      </w:tr>
      <w:tr w14:paraId="5FFB1BB5">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5505C9B4">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lang w:eastAsia="zh-CN"/>
              </w:rPr>
            </w:pPr>
          </w:p>
        </w:tc>
        <w:tc>
          <w:tcPr>
            <w:tcW w:w="2082" w:type="dxa"/>
            <w:tcBorders>
              <w:top w:val="single" w:color="auto" w:sz="4" w:space="0"/>
              <w:left w:val="nil"/>
              <w:bottom w:val="single" w:color="auto" w:sz="4" w:space="0"/>
              <w:right w:val="single" w:color="auto" w:sz="4" w:space="0"/>
            </w:tcBorders>
            <w:noWrap w:val="0"/>
            <w:vAlign w:val="center"/>
          </w:tcPr>
          <w:p w14:paraId="5BFBEE64">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报价及费用</w:t>
            </w:r>
          </w:p>
        </w:tc>
        <w:tc>
          <w:tcPr>
            <w:tcW w:w="6101" w:type="dxa"/>
            <w:tcBorders>
              <w:top w:val="single" w:color="auto" w:sz="4" w:space="0"/>
              <w:left w:val="nil"/>
              <w:bottom w:val="single" w:color="auto" w:sz="4" w:space="0"/>
              <w:right w:val="single" w:color="auto" w:sz="4" w:space="0"/>
            </w:tcBorders>
            <w:noWrap w:val="0"/>
            <w:vAlign w:val="center"/>
          </w:tcPr>
          <w:p w14:paraId="3996F06D">
            <w:pPr>
              <w:keepLines/>
              <w:pageBreakBefore w:val="0"/>
              <w:numPr>
                <w:ilvl w:val="0"/>
                <w:numId w:val="2"/>
              </w:numPr>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本项目应以人民币报价，</w:t>
            </w:r>
            <w:r>
              <w:rPr>
                <w:rFonts w:hint="eastAsia" w:ascii="宋体" w:hAnsi="宋体" w:eastAsia="宋体" w:cs="宋体"/>
                <w:b w:val="0"/>
                <w:bCs w:val="0"/>
                <w:color w:val="000000"/>
                <w:kern w:val="10"/>
                <w:sz w:val="24"/>
                <w:szCs w:val="24"/>
              </w:rPr>
              <w:t>供应商应就该项目完整投标报价（包括设备货款、标准附件、备品备件、专用工具、人工费、服务费、包装费、运输费、装卸费、保险费、采购保管、安装调试费、设备维护、检测验收费、税金、培训费、利润、售后服务</w:t>
            </w:r>
            <w:r>
              <w:rPr>
                <w:rFonts w:hint="eastAsia" w:ascii="宋体" w:hAnsi="宋体" w:eastAsia="宋体" w:cs="宋体"/>
                <w:b w:val="0"/>
                <w:bCs w:val="0"/>
                <w:color w:val="auto"/>
                <w:kern w:val="0"/>
                <w:sz w:val="24"/>
                <w:szCs w:val="24"/>
                <w:highlight w:val="none"/>
                <w:lang w:val="en-US" w:eastAsia="zh-CN"/>
              </w:rPr>
              <w:t>及质保期相关伴随服务</w:t>
            </w:r>
            <w:r>
              <w:rPr>
                <w:rFonts w:hint="eastAsia" w:ascii="宋体" w:hAnsi="宋体" w:eastAsia="宋体" w:cs="宋体"/>
                <w:b w:val="0"/>
                <w:bCs w:val="0"/>
                <w:color w:val="000000"/>
                <w:kern w:val="10"/>
                <w:sz w:val="24"/>
                <w:szCs w:val="24"/>
                <w:lang w:eastAsia="zh-CN"/>
              </w:rPr>
              <w:t>、</w:t>
            </w:r>
            <w:r>
              <w:rPr>
                <w:rFonts w:hint="eastAsia" w:ascii="宋体" w:hAnsi="宋体" w:eastAsia="宋体" w:cs="宋体"/>
                <w:b w:val="0"/>
                <w:bCs w:val="0"/>
                <w:color w:val="auto"/>
                <w:kern w:val="0"/>
                <w:sz w:val="24"/>
                <w:szCs w:val="24"/>
                <w:highlight w:val="none"/>
                <w:lang w:val="en-US" w:eastAsia="zh-CN"/>
              </w:rPr>
              <w:t>资源使用、技术支持</w:t>
            </w:r>
            <w:r>
              <w:rPr>
                <w:rFonts w:hint="eastAsia" w:ascii="宋体" w:hAnsi="宋体" w:eastAsia="宋体" w:cs="宋体"/>
                <w:b w:val="0"/>
                <w:bCs w:val="0"/>
                <w:color w:val="000000"/>
                <w:kern w:val="10"/>
                <w:sz w:val="24"/>
                <w:szCs w:val="24"/>
              </w:rPr>
              <w:t>等各项与此项目有关的一切费用），采购人不另外支付其他任何费用</w:t>
            </w:r>
            <w:r>
              <w:rPr>
                <w:rFonts w:hint="eastAsia" w:ascii="宋体" w:hAnsi="宋体" w:eastAsia="宋体" w:cs="宋体"/>
                <w:b w:val="0"/>
                <w:bCs w:val="0"/>
                <w:color w:val="auto"/>
                <w:sz w:val="24"/>
                <w:szCs w:val="24"/>
                <w:highlight w:val="none"/>
                <w:lang w:eastAsia="zh-CN"/>
              </w:rPr>
              <w:t>。</w:t>
            </w:r>
          </w:p>
          <w:p w14:paraId="584171B2">
            <w:pPr>
              <w:keepLines/>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 招标代理服务费按《河南省招标代理服务收费指导意见》豫招标（2023）002号</w:t>
            </w:r>
            <w:r>
              <w:rPr>
                <w:rFonts w:hint="eastAsia" w:ascii="宋体" w:hAnsi="宋体" w:eastAsia="宋体" w:cs="宋体"/>
                <w:b w:val="0"/>
                <w:bCs w:val="0"/>
                <w:color w:val="auto"/>
                <w:sz w:val="24"/>
                <w:szCs w:val="24"/>
                <w:highlight w:val="none"/>
                <w:lang w:eastAsia="zh-CN"/>
              </w:rPr>
              <w:t>计取，由</w:t>
            </w:r>
            <w:r>
              <w:rPr>
                <w:rFonts w:hint="eastAsia" w:ascii="宋体" w:hAnsi="宋体" w:eastAsia="宋体" w:cs="宋体"/>
                <w:b w:val="0"/>
                <w:bCs w:val="0"/>
                <w:color w:val="auto"/>
                <w:sz w:val="24"/>
                <w:szCs w:val="24"/>
                <w:highlight w:val="none"/>
              </w:rPr>
              <w:t>中标人</w:t>
            </w:r>
            <w:r>
              <w:rPr>
                <w:rFonts w:hint="eastAsia" w:ascii="宋体" w:hAnsi="宋体" w:eastAsia="宋体" w:cs="宋体"/>
                <w:b w:val="0"/>
                <w:bCs w:val="0"/>
                <w:color w:val="auto"/>
                <w:sz w:val="24"/>
                <w:szCs w:val="24"/>
                <w:highlight w:val="none"/>
                <w:lang w:eastAsia="zh-CN"/>
              </w:rPr>
              <w:t>领取中标通知书时以转账或现金的方式向代理公司缴纳</w:t>
            </w:r>
            <w:r>
              <w:rPr>
                <w:rFonts w:hint="eastAsia" w:ascii="宋体" w:hAnsi="宋体" w:eastAsia="宋体" w:cs="宋体"/>
                <w:b w:val="0"/>
                <w:bCs w:val="0"/>
                <w:color w:val="auto"/>
                <w:sz w:val="24"/>
                <w:szCs w:val="24"/>
                <w:highlight w:val="none"/>
              </w:rPr>
              <w:t>。</w:t>
            </w:r>
          </w:p>
          <w:p w14:paraId="518EF724">
            <w:pPr>
              <w:keepLines/>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缴纳方式：现金或转账</w:t>
            </w:r>
          </w:p>
          <w:p w14:paraId="7E689623">
            <w:pPr>
              <w:keepLines/>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收费标准：按豫招协[2023]002号河南省招标投标协会关于印发《河南省招标代理服务收费指导意见》规定的收费标准收取。</w:t>
            </w:r>
          </w:p>
        </w:tc>
      </w:tr>
      <w:tr w14:paraId="6E5B24DD">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0465DB98">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lang w:val="en-US" w:eastAsia="zh-CN"/>
              </w:rPr>
            </w:pPr>
          </w:p>
        </w:tc>
        <w:tc>
          <w:tcPr>
            <w:tcW w:w="2082" w:type="dxa"/>
            <w:tcBorders>
              <w:top w:val="single" w:color="auto" w:sz="4" w:space="0"/>
              <w:left w:val="nil"/>
              <w:bottom w:val="single" w:color="auto" w:sz="4" w:space="0"/>
              <w:right w:val="single" w:color="auto" w:sz="4" w:space="0"/>
            </w:tcBorders>
            <w:noWrap w:val="0"/>
            <w:vAlign w:val="center"/>
          </w:tcPr>
          <w:p w14:paraId="4157045A">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质疑和投诉</w:t>
            </w:r>
          </w:p>
        </w:tc>
        <w:tc>
          <w:tcPr>
            <w:tcW w:w="6101" w:type="dxa"/>
            <w:tcBorders>
              <w:top w:val="single" w:color="auto" w:sz="4" w:space="0"/>
              <w:left w:val="nil"/>
              <w:bottom w:val="single" w:color="auto" w:sz="4" w:space="0"/>
              <w:right w:val="single" w:color="auto" w:sz="4" w:space="0"/>
            </w:tcBorders>
            <w:noWrap w:val="0"/>
            <w:vAlign w:val="center"/>
          </w:tcPr>
          <w:p w14:paraId="2754C3DA">
            <w:pPr>
              <w:keepLines/>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1.供应商认为采购文件、采购过程和中标或者成交结果使自己的权益受到损害的，可以在知道或者应知其权益受到损害之日起7个工作日内，以书面形式向采购人、采购代理机构提出质疑。</w:t>
            </w:r>
          </w:p>
          <w:p w14:paraId="512A11E4">
            <w:pPr>
              <w:keepLines/>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出质疑的供应商应按照财政部门制定的《政府采购质疑函范本》格式（详见中国政府采购网）和《政府采购质疑和投诉办法》的要求，在法定质疑期内以书面形式提出质疑，针对同一采购程序环节的质疑应一次性提出。</w:t>
            </w:r>
          </w:p>
          <w:p w14:paraId="359D7B0F">
            <w:pPr>
              <w:keepLines/>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超出法定质疑期的、重复提出的、分次提出的或内容、形式不符合《政府采购质疑和投诉办法》的，提出质疑的供应商将依法承担不利后果。</w:t>
            </w:r>
          </w:p>
          <w:p w14:paraId="09E21073">
            <w:pPr>
              <w:keepLines/>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3.质疑函接收部门、联系电话和通讯地址, 见供应商须知前附表</w:t>
            </w:r>
          </w:p>
          <w:p w14:paraId="49CC1EFA">
            <w:pPr>
              <w:keepLines/>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4.质疑供应商对采购人、采购代理机构的答复不满意，或者采购人、采购代理机构未在规定时间内作出答复的，可以在答复期满后15个工作日内向财政部门提起投诉。</w:t>
            </w:r>
          </w:p>
          <w:p w14:paraId="06A465DB">
            <w:pPr>
              <w:keepLines/>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5.投诉人投诉时,应当提交投诉书和必要的证明材料，并按照被投诉采购人、采购代理机构（以下简称被投诉人）和与投诉事项有关的供应商数量提供投诉书的副本。</w:t>
            </w:r>
          </w:p>
        </w:tc>
      </w:tr>
      <w:tr w14:paraId="000D0D96">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00BF39E2">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lang w:val="en-US" w:eastAsia="zh-CN"/>
              </w:rPr>
            </w:pPr>
          </w:p>
        </w:tc>
        <w:tc>
          <w:tcPr>
            <w:tcW w:w="2082" w:type="dxa"/>
            <w:tcBorders>
              <w:top w:val="single" w:color="auto" w:sz="4" w:space="0"/>
              <w:left w:val="nil"/>
              <w:bottom w:val="single" w:color="auto" w:sz="4" w:space="0"/>
              <w:right w:val="single" w:color="auto" w:sz="4" w:space="0"/>
            </w:tcBorders>
            <w:noWrap w:val="0"/>
            <w:vAlign w:val="center"/>
          </w:tcPr>
          <w:p w14:paraId="2ACD1BA1">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招标文件解释</w:t>
            </w:r>
          </w:p>
        </w:tc>
        <w:tc>
          <w:tcPr>
            <w:tcW w:w="6101" w:type="dxa"/>
            <w:tcBorders>
              <w:top w:val="single" w:color="auto" w:sz="4" w:space="0"/>
              <w:left w:val="nil"/>
              <w:bottom w:val="single" w:color="auto" w:sz="4" w:space="0"/>
              <w:right w:val="single" w:color="auto" w:sz="4" w:space="0"/>
            </w:tcBorders>
            <w:noWrap w:val="0"/>
            <w:vAlign w:val="center"/>
          </w:tcPr>
          <w:p w14:paraId="73B9F778">
            <w:pPr>
              <w:keepLines/>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本招标文件的各个组成文件应互为解释，互为说明；如有不明确或不一致，构成合同文件组成内容的，以合同文件约定内容为准，除招标文件中有特别规定外，仅适用于采购阶段的规定，按招标公告、供应商须知、评分方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743FE6F4">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155BAA3C">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lang w:eastAsia="zh-CN"/>
              </w:rPr>
            </w:pPr>
          </w:p>
        </w:tc>
        <w:tc>
          <w:tcPr>
            <w:tcW w:w="2082" w:type="dxa"/>
            <w:tcBorders>
              <w:top w:val="single" w:color="auto" w:sz="4" w:space="0"/>
              <w:left w:val="nil"/>
              <w:bottom w:val="single" w:color="auto" w:sz="4" w:space="0"/>
              <w:right w:val="single" w:color="auto" w:sz="4" w:space="0"/>
            </w:tcBorders>
            <w:noWrap w:val="0"/>
            <w:vAlign w:val="center"/>
          </w:tcPr>
          <w:p w14:paraId="188DD79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中标结果</w:t>
            </w:r>
          </w:p>
        </w:tc>
        <w:tc>
          <w:tcPr>
            <w:tcW w:w="6101" w:type="dxa"/>
            <w:tcBorders>
              <w:top w:val="single" w:color="auto" w:sz="4" w:space="0"/>
              <w:left w:val="nil"/>
              <w:bottom w:val="single" w:color="auto" w:sz="4" w:space="0"/>
              <w:right w:val="single" w:color="auto" w:sz="4" w:space="0"/>
            </w:tcBorders>
            <w:noWrap w:val="0"/>
            <w:vAlign w:val="center"/>
          </w:tcPr>
          <w:p w14:paraId="593025ED">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w:t>
            </w:r>
            <w:r>
              <w:rPr>
                <w:rFonts w:hint="eastAsia" w:ascii="宋体" w:hAnsi="宋体" w:eastAsia="宋体" w:cs="宋体"/>
                <w:i w:val="0"/>
                <w:iCs w:val="0"/>
                <w:caps w:val="0"/>
                <w:color w:val="000000"/>
                <w:spacing w:val="0"/>
                <w:kern w:val="0"/>
                <w:sz w:val="24"/>
                <w:szCs w:val="24"/>
                <w:lang w:val="en-US" w:eastAsia="zh-CN" w:bidi="ar"/>
              </w:rPr>
              <w:t>《河南省政府采购网》、《三门峡市公共资源交易服务平台》、《中国采购与招标网》</w:t>
            </w:r>
            <w:r>
              <w:rPr>
                <w:rFonts w:hint="eastAsia" w:ascii="宋体" w:hAnsi="宋体" w:eastAsia="宋体" w:cs="宋体"/>
                <w:color w:val="auto"/>
                <w:sz w:val="24"/>
                <w:szCs w:val="24"/>
                <w:highlight w:val="none"/>
                <w:lang w:eastAsia="zh-CN"/>
              </w:rPr>
              <w:t>发布</w:t>
            </w:r>
            <w:r>
              <w:rPr>
                <w:rFonts w:hint="eastAsia" w:ascii="宋体" w:hAnsi="宋体" w:eastAsia="宋体" w:cs="宋体"/>
                <w:color w:val="auto"/>
                <w:sz w:val="24"/>
                <w:szCs w:val="24"/>
                <w:highlight w:val="none"/>
              </w:rPr>
              <w:t>中标结果公告。</w:t>
            </w:r>
          </w:p>
        </w:tc>
      </w:tr>
      <w:tr w14:paraId="1D1D17AE">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5FF59F5D">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lang w:eastAsia="zh-CN"/>
              </w:rPr>
            </w:pPr>
          </w:p>
        </w:tc>
        <w:tc>
          <w:tcPr>
            <w:tcW w:w="2082" w:type="dxa"/>
            <w:tcBorders>
              <w:top w:val="single" w:color="auto" w:sz="4" w:space="0"/>
              <w:left w:val="nil"/>
              <w:bottom w:val="single" w:color="auto" w:sz="4" w:space="0"/>
              <w:right w:val="single" w:color="auto" w:sz="4" w:space="0"/>
            </w:tcBorders>
            <w:noWrap w:val="0"/>
            <w:vAlign w:val="center"/>
          </w:tcPr>
          <w:p w14:paraId="0B9F6031">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重新招标的其他情形</w:t>
            </w:r>
          </w:p>
        </w:tc>
        <w:tc>
          <w:tcPr>
            <w:tcW w:w="6101" w:type="dxa"/>
            <w:tcBorders>
              <w:top w:val="single" w:color="auto" w:sz="4" w:space="0"/>
              <w:left w:val="nil"/>
              <w:bottom w:val="single" w:color="auto" w:sz="4" w:space="0"/>
              <w:right w:val="single" w:color="auto" w:sz="4" w:space="0"/>
            </w:tcBorders>
            <w:noWrap w:val="0"/>
            <w:vAlign w:val="center"/>
          </w:tcPr>
          <w:p w14:paraId="19579A82">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除供应商须知规定的情形外，除非已经产生中标候选人，在投标有效期内同意延长投标有效期的供应商少于三个的，采购人应当依法重新招标。</w:t>
            </w:r>
          </w:p>
        </w:tc>
      </w:tr>
      <w:tr w14:paraId="1CDF6957">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1152C393">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lang w:eastAsia="zh-CN"/>
              </w:rPr>
            </w:pPr>
          </w:p>
        </w:tc>
        <w:tc>
          <w:tcPr>
            <w:tcW w:w="2082" w:type="dxa"/>
            <w:tcBorders>
              <w:top w:val="single" w:color="auto" w:sz="4" w:space="0"/>
              <w:left w:val="nil"/>
              <w:bottom w:val="single" w:color="auto" w:sz="4" w:space="0"/>
              <w:right w:val="single" w:color="auto" w:sz="4" w:space="0"/>
            </w:tcBorders>
            <w:noWrap w:val="0"/>
            <w:vAlign w:val="center"/>
          </w:tcPr>
          <w:p w14:paraId="03F47629">
            <w:pPr>
              <w:pageBreakBefore w:val="0"/>
              <w:bidi w:val="0"/>
              <w:adjustRightInd w:val="0"/>
              <w:snapToGrid w:val="0"/>
              <w:spacing w:beforeAutospacing="0" w:afterAutospacing="0" w:line="360" w:lineRule="auto"/>
              <w:ind w:left="0" w:leftChars="0" w:right="0"/>
              <w:jc w:val="center"/>
              <w:rPr>
                <w:rFonts w:hint="default" w:ascii="宋体" w:hAnsi="宋体" w:eastAsia="宋体" w:cs="宋体"/>
                <w:color w:val="auto"/>
                <w:sz w:val="24"/>
                <w:szCs w:val="28"/>
                <w:highlight w:val="none"/>
                <w:lang w:val="en-US" w:eastAsia="zh-CN"/>
              </w:rPr>
            </w:pPr>
            <w:r>
              <w:rPr>
                <w:rFonts w:hint="eastAsia" w:ascii="宋体" w:hAnsi="宋体" w:cs="宋体"/>
                <w:color w:val="auto"/>
                <w:sz w:val="24"/>
                <w:szCs w:val="28"/>
                <w:highlight w:val="none"/>
                <w:lang w:val="en-US" w:eastAsia="zh-CN"/>
              </w:rPr>
              <w:t>付款方式</w:t>
            </w:r>
          </w:p>
        </w:tc>
        <w:tc>
          <w:tcPr>
            <w:tcW w:w="6101" w:type="dxa"/>
            <w:tcBorders>
              <w:top w:val="single" w:color="auto" w:sz="4" w:space="0"/>
              <w:left w:val="nil"/>
              <w:bottom w:val="single" w:color="auto" w:sz="4" w:space="0"/>
              <w:right w:val="single" w:color="auto" w:sz="4" w:space="0"/>
            </w:tcBorders>
            <w:noWrap w:val="0"/>
            <w:vAlign w:val="center"/>
          </w:tcPr>
          <w:p w14:paraId="0A6C59BE">
            <w:pPr>
              <w:pageBreakBefore w:val="0"/>
              <w:bidi w:val="0"/>
              <w:adjustRightInd w:val="0"/>
              <w:snapToGrid w:val="0"/>
              <w:spacing w:beforeAutospacing="0" w:afterAutospacing="0" w:line="360" w:lineRule="auto"/>
              <w:ind w:left="0" w:leftChars="0" w:right="0"/>
              <w:rPr>
                <w:rFonts w:hint="default" w:ascii="宋体" w:hAnsi="宋体" w:eastAsia="宋体" w:cs="宋体"/>
                <w:color w:val="auto"/>
                <w:sz w:val="24"/>
                <w:szCs w:val="28"/>
                <w:highlight w:val="none"/>
                <w:lang w:val="en-US" w:eastAsia="zh-CN"/>
              </w:rPr>
            </w:pPr>
            <w:r>
              <w:rPr>
                <w:rFonts w:hint="eastAsia" w:ascii="宋体" w:hAnsi="宋体" w:cs="宋体"/>
                <w:color w:val="auto"/>
                <w:sz w:val="24"/>
                <w:szCs w:val="28"/>
                <w:highlight w:val="none"/>
                <w:lang w:val="en-US" w:eastAsia="zh-CN"/>
              </w:rPr>
              <w:t>中标后双方协商</w:t>
            </w:r>
          </w:p>
        </w:tc>
      </w:tr>
      <w:tr w14:paraId="5B67F8AB">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39DCEA7F">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lang w:eastAsia="zh-CN"/>
              </w:rPr>
            </w:pPr>
          </w:p>
        </w:tc>
        <w:tc>
          <w:tcPr>
            <w:tcW w:w="2082" w:type="dxa"/>
            <w:tcBorders>
              <w:top w:val="single" w:color="auto" w:sz="4" w:space="0"/>
              <w:left w:val="nil"/>
              <w:bottom w:val="single" w:color="auto" w:sz="4" w:space="0"/>
              <w:right w:val="single" w:color="auto" w:sz="4" w:space="0"/>
            </w:tcBorders>
            <w:noWrap w:val="0"/>
            <w:vAlign w:val="center"/>
          </w:tcPr>
          <w:p w14:paraId="4F0D4A05">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8"/>
                <w:highlight w:val="none"/>
              </w:rPr>
              <w:t>监督</w:t>
            </w:r>
          </w:p>
        </w:tc>
        <w:tc>
          <w:tcPr>
            <w:tcW w:w="6101" w:type="dxa"/>
            <w:tcBorders>
              <w:top w:val="single" w:color="auto" w:sz="4" w:space="0"/>
              <w:left w:val="nil"/>
              <w:bottom w:val="single" w:color="auto" w:sz="4" w:space="0"/>
              <w:right w:val="single" w:color="auto" w:sz="4" w:space="0"/>
            </w:tcBorders>
            <w:noWrap w:val="0"/>
            <w:vAlign w:val="center"/>
          </w:tcPr>
          <w:p w14:paraId="3D582712">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8"/>
                <w:highlight w:val="none"/>
              </w:rPr>
              <w:t>本项目的招标投标活动及其相关当事人应当接受有管辖权的行政监督部门依法实施的监督。</w:t>
            </w:r>
          </w:p>
        </w:tc>
      </w:tr>
      <w:tr w14:paraId="7435F05E">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7E5EEE4D">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lang w:eastAsia="zh-CN"/>
              </w:rPr>
            </w:pPr>
          </w:p>
        </w:tc>
        <w:tc>
          <w:tcPr>
            <w:tcW w:w="2082" w:type="dxa"/>
            <w:tcBorders>
              <w:top w:val="single" w:color="auto" w:sz="4" w:space="0"/>
              <w:left w:val="nil"/>
              <w:bottom w:val="single" w:color="auto" w:sz="4" w:space="0"/>
              <w:right w:val="single" w:color="auto" w:sz="4" w:space="0"/>
            </w:tcBorders>
            <w:noWrap w:val="0"/>
            <w:vAlign w:val="center"/>
          </w:tcPr>
          <w:p w14:paraId="34ADEDB6">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8"/>
                <w:highlight w:val="none"/>
              </w:rPr>
            </w:pPr>
            <w:r>
              <w:rPr>
                <w:rFonts w:hint="eastAsia" w:ascii="宋体" w:hAnsi="宋体" w:eastAsia="宋体" w:cs="宋体"/>
                <w:color w:val="auto"/>
                <w:kern w:val="0"/>
                <w:sz w:val="24"/>
                <w:szCs w:val="24"/>
                <w:highlight w:val="none"/>
              </w:rPr>
              <w:t>其他</w:t>
            </w:r>
          </w:p>
        </w:tc>
        <w:tc>
          <w:tcPr>
            <w:tcW w:w="6101" w:type="dxa"/>
            <w:tcBorders>
              <w:top w:val="single" w:color="auto" w:sz="4" w:space="0"/>
              <w:left w:val="nil"/>
              <w:bottom w:val="single" w:color="auto" w:sz="4" w:space="0"/>
              <w:right w:val="single" w:color="auto" w:sz="4" w:space="0"/>
            </w:tcBorders>
            <w:noWrap w:val="0"/>
            <w:vAlign w:val="center"/>
          </w:tcPr>
          <w:p w14:paraId="77B4C030">
            <w:pPr>
              <w:keepLines/>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1.本项目实行资格后审，审查内容以投标文件为准，其上传资料真实性由供应商自行承担。</w:t>
            </w:r>
          </w:p>
          <w:p w14:paraId="6233D3C7">
            <w:pPr>
              <w:keepLines/>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2.评标打分部分：评标打分部分仍按照100分制原则进行，涉及到资格审查、企业荣誉、人员业绩、企业业绩等计分部分时，以投标单位自行上传到投标文件中的相应内容为准。</w:t>
            </w:r>
          </w:p>
          <w:p w14:paraId="61E8FB31">
            <w:pPr>
              <w:keepLines/>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8"/>
                <w:highlight w:val="none"/>
              </w:rPr>
            </w:pPr>
            <w:r>
              <w:rPr>
                <w:rFonts w:hint="eastAsia" w:ascii="宋体" w:hAnsi="宋体" w:eastAsia="宋体" w:cs="宋体"/>
                <w:color w:val="auto"/>
                <w:sz w:val="24"/>
                <w:szCs w:val="24"/>
                <w:highlight w:val="none"/>
                <w:lang w:val="en-US" w:eastAsia="zh-CN"/>
              </w:rPr>
              <w:t>3.投标文件编制部分：在招标文件中要求供应商按照投标文件格式进行投标文件编制，在投标文件编制时，应明确将投标单位企业基本情况、资质情况、人员情况、财务情况、业绩情况编入投标文件，便于进行资格审查及评标打分。</w:t>
            </w:r>
          </w:p>
        </w:tc>
      </w:tr>
      <w:tr w14:paraId="4C47C393">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3E6C81D2">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lang w:eastAsia="zh-CN"/>
              </w:rPr>
            </w:pPr>
          </w:p>
        </w:tc>
        <w:tc>
          <w:tcPr>
            <w:tcW w:w="2082" w:type="dxa"/>
            <w:tcBorders>
              <w:top w:val="single" w:color="auto" w:sz="4" w:space="0"/>
              <w:left w:val="nil"/>
              <w:bottom w:val="single" w:color="auto" w:sz="4" w:space="0"/>
              <w:right w:val="single" w:color="auto" w:sz="4" w:space="0"/>
            </w:tcBorders>
            <w:noWrap w:val="0"/>
            <w:vAlign w:val="center"/>
          </w:tcPr>
          <w:p w14:paraId="52251E23">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电子化交易</w:t>
            </w:r>
          </w:p>
          <w:p w14:paraId="426DC656">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b w:val="0"/>
                <w:bCs w:val="0"/>
                <w:color w:val="auto"/>
                <w:sz w:val="24"/>
                <w:szCs w:val="28"/>
                <w:highlight w:val="none"/>
              </w:rPr>
            </w:pPr>
            <w:r>
              <w:rPr>
                <w:rFonts w:hint="eastAsia" w:ascii="宋体" w:hAnsi="宋体" w:eastAsia="宋体" w:cs="宋体"/>
                <w:b w:val="0"/>
                <w:bCs w:val="0"/>
                <w:color w:val="auto"/>
                <w:kern w:val="0"/>
                <w:sz w:val="24"/>
                <w:szCs w:val="24"/>
                <w:highlight w:val="none"/>
              </w:rPr>
              <w:t>注意事项</w:t>
            </w:r>
          </w:p>
        </w:tc>
        <w:tc>
          <w:tcPr>
            <w:tcW w:w="6101" w:type="dxa"/>
            <w:tcBorders>
              <w:top w:val="single" w:color="auto" w:sz="4" w:space="0"/>
              <w:left w:val="nil"/>
              <w:bottom w:val="single" w:color="auto" w:sz="4" w:space="0"/>
              <w:right w:val="single" w:color="auto" w:sz="4" w:space="0"/>
            </w:tcBorders>
            <w:noWrap w:val="0"/>
            <w:vAlign w:val="center"/>
          </w:tcPr>
          <w:p w14:paraId="6462258D">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具体要求：本项目为电子化、无纸化交易项目，投标文件是</w:t>
            </w:r>
            <w:r>
              <w:rPr>
                <w:rFonts w:hint="eastAsia" w:ascii="宋体" w:hAnsi="宋体" w:eastAsia="宋体" w:cs="宋体"/>
                <w:b w:val="0"/>
                <w:bCs w:val="0"/>
                <w:color w:val="auto"/>
                <w:sz w:val="24"/>
                <w:highlight w:val="none"/>
                <w:lang w:val="en-US" w:eastAsia="zh-CN"/>
              </w:rPr>
              <w:t>投标人</w:t>
            </w:r>
            <w:r>
              <w:rPr>
                <w:rFonts w:hint="eastAsia" w:ascii="宋体" w:hAnsi="宋体" w:eastAsia="宋体" w:cs="宋体"/>
                <w:b w:val="0"/>
                <w:bCs w:val="0"/>
                <w:color w:val="auto"/>
                <w:sz w:val="24"/>
                <w:highlight w:val="none"/>
              </w:rPr>
              <w:t>、供应商（以下简称“</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”）通过中心投标文件制作系统制作，并经过签章和加密后生成的电子版投标文件。</w:t>
            </w:r>
          </w:p>
          <w:p w14:paraId="172238C4">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温馨提示：本项目为电子化、无纸化交易项目，为保证您能投标成功，请需仔细阅读以下条款。</w:t>
            </w:r>
          </w:p>
          <w:p w14:paraId="7BAFDA62">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一、电子化投标</w:t>
            </w:r>
          </w:p>
          <w:p w14:paraId="3BF05E34">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（一）网上投标保证金的缴纳</w:t>
            </w:r>
          </w:p>
          <w:p w14:paraId="2F6193D6">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rPr>
              <w:t>根据《河南省财政厅关于优化政府采购营商环境有关问题的通知》（豫财购【2019】4号）第6条的规定，投标保证金不再收取</w:t>
            </w:r>
            <w:r>
              <w:rPr>
                <w:rFonts w:hint="eastAsia" w:ascii="宋体" w:hAnsi="宋体" w:eastAsia="宋体" w:cs="宋体"/>
                <w:b w:val="0"/>
                <w:bCs w:val="0"/>
                <w:color w:val="auto"/>
                <w:sz w:val="24"/>
                <w:highlight w:val="none"/>
              </w:rPr>
              <w:t>。</w:t>
            </w:r>
          </w:p>
          <w:p w14:paraId="3160F8D1">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（二）电子化投标文件的签章</w:t>
            </w:r>
          </w:p>
          <w:p w14:paraId="7662A727">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在生成电子化投标文件后，应对电子化投标文件进行签章，未进行签章的视为无效投标。</w:t>
            </w:r>
          </w:p>
          <w:p w14:paraId="3C54A69C">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2.招标文件中要求</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盖章的，以签盖单位章为准；要求法定代表人签章的，以签盖法定代表人签章为准。</w:t>
            </w:r>
          </w:p>
          <w:p w14:paraId="7ED5DE82">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（三）电子化投标文件的格式及上传投标</w:t>
            </w:r>
          </w:p>
          <w:p w14:paraId="5400D108">
            <w:pPr>
              <w:pageBreakBefore w:val="0"/>
              <w:bidi w:val="0"/>
              <w:adjustRightInd w:val="0"/>
              <w:snapToGrid w:val="0"/>
              <w:spacing w:beforeAutospacing="0" w:afterAutospacing="0" w:line="360" w:lineRule="auto"/>
              <w:ind w:left="0" w:leftChars="0" w:right="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所上传的电子化投标文件，应是通过中心投标文件制作系统制作的（投标文件制作工具下载地址：https://download.bqpoint.com/download/downloaddetail.html?SourceFrom=Ztb&amp;ZtbSoftXiaQuCode=1506&amp;ZtbSoftType=tballinclusive），经过签章和加密后生成的电子版投标文件。其中包含用于投标文件上传的主文件（后缀为.smxtf）和用于应急补救的投标文件备份文件（后缀为.nsmxtf）。</w:t>
            </w:r>
          </w:p>
          <w:p w14:paraId="58BE4C88">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2.电子化投标文件应在投标截止时间前成功上传至三门峡市公共资源电子化交易系统。至投标截止时间止，仍未上传成功的电子化投标文件将不予接收。</w:t>
            </w:r>
          </w:p>
          <w:p w14:paraId="0AE51E27">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注：如按照电子化投标操作教材制作完成的电子化投标文件无法上传的，</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应在投标截止时间前尽早的联系中心技术人员，以便有充分的时间进行处理。</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应充分考虑到处理技术问题和上传数据等工作所需的时间问题，投标文件未在投标截止时间前成功上传的，其投标文件不予接收。</w:t>
            </w:r>
          </w:p>
          <w:p w14:paraId="1AF9232F">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新点客服电话:4009980000</w:t>
            </w:r>
          </w:p>
          <w:p w14:paraId="5892E342">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（四）电子化项目开标、解密、唱标、评标</w:t>
            </w:r>
          </w:p>
          <w:p w14:paraId="08938396">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1.本项目采用电子化、无纸化进行招标，开标当日，</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无需到开标现场参加开标会议，</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应当在投标截止时间前，登陆不见面开标大厅选择登陆三门峡市公共资源电子招投标系统进行登陆（网址为http://120.194.249.36:10094/BidOpening/bidopeninghallaction/hall/login）,在线准时参加开标活动并进行投标文件解密等</w:t>
            </w:r>
          </w:p>
          <w:p w14:paraId="230F41C7">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2.电子化投标文件采用一次加密方式。开标时，由供应商使用CA 证书，在规定时间内对其电子化投标文件进行解密。每位</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的解密时间为开标时间起30 分钟内，如在规定时间内未完成解密的，其投标文件不予开标、唱标。</w:t>
            </w:r>
          </w:p>
          <w:p w14:paraId="7DD63051">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3.电子化投标文件解密异常的处理</w:t>
            </w:r>
          </w:p>
          <w:p w14:paraId="0AC24DBD">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如出现供应商的电子投标文件无法解密等异常情况，供应商应及时致电中介服务机构说明。投标文件异常，按以下步骤进行处理：</w:t>
            </w:r>
          </w:p>
          <w:p w14:paraId="66B086F2">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（1）首先由技术人员进行问题排查。</w:t>
            </w:r>
          </w:p>
          <w:p w14:paraId="43A3731D">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（2）经技术人员排查后，是</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文件自身问题导致投标文件无法解密的，该投标文件将不予接收、解密和唱标。开标会议继续进行。</w:t>
            </w:r>
          </w:p>
          <w:p w14:paraId="497DEEA0">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0B975832">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4.待所有供应商投标文件解密完成后，由中介服务机构操作，对所有已解密投标文件进行唱标。</w:t>
            </w:r>
          </w:p>
          <w:p w14:paraId="21ADA02D">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供应商应保证在开标期间电话、电脑、网络能够正常工作，</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因停电、电脑病毒、网络堵塞等原因，未在规定的解密时间内对投标文件进行解密的，其投标文件不予接收、唱标。</w:t>
            </w:r>
          </w:p>
          <w:p w14:paraId="5D4B5A5B">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5.开标时供应商可登录到交易系统中在开标解密栏中点击报价一览表查看自己的投标报价。如对自己的唱标内容有异议的，应在</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解密成功后10分钟内向中介服务机构电话质疑。中介服务机构应在监督人员的监督下进行免提通话接受</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的质疑并做好书面记录。</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未在规定时间内提出质疑的，视为认可唱标内容。</w:t>
            </w:r>
          </w:p>
          <w:p w14:paraId="3C3A4247">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6.评标时，评标委员会对电子化投标文件有质疑的，将通过电子化交易系统对供应商发起质疑，并在监督人员的监督下，用免提模式致电需要答复的</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对质疑进行回复。</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的回复文件必须以经过</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和其法定代表人签章的PDF格式文件为准，并通过电子化交易系统提交至评标委员会。</w:t>
            </w:r>
          </w:p>
          <w:p w14:paraId="280CF219">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7.如评标委员会对需要回复的供应商连续三次致电未接通的，视为供应商放弃回复，评标委员会将自行对需要回复的内容进行认定。</w:t>
            </w:r>
          </w:p>
          <w:p w14:paraId="0A8E0E7F">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评标委员会对原件的核验工作按以下条款进行：</w:t>
            </w:r>
          </w:p>
          <w:p w14:paraId="52005A9B">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szCs w:val="22"/>
                <w:highlight w:val="none"/>
              </w:rPr>
            </w:pPr>
            <w:r>
              <w:rPr>
                <w:rFonts w:hint="eastAsia" w:ascii="宋体" w:hAnsi="宋体" w:eastAsia="宋体" w:cs="宋体"/>
                <w:b w:val="0"/>
                <w:bCs w:val="0"/>
                <w:color w:val="auto"/>
                <w:sz w:val="24"/>
                <w:szCs w:val="22"/>
                <w:highlight w:val="none"/>
              </w:rPr>
              <w:t>评标时，评委先查阅投标文件中是否具有该资料的原件扫描件，其上传资料真实性由供应商自行承担。</w:t>
            </w:r>
          </w:p>
          <w:p w14:paraId="3025F9C0">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具体操作详见《三门峡市公共资源交易服务平台市场主体信息库操作手册》。链接地址：</w:t>
            </w:r>
          </w:p>
          <w:p w14:paraId="723FDF1F">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http://gzjy.smx.gov.cn/fwzn/004003/20200325/b13aa3fa-a543-403f-b537-82cb417132bd.html</w:t>
            </w:r>
          </w:p>
          <w:p w14:paraId="40A3F93F">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供应商需应仔细阅读操作手册，保证上传内容齐全，真实有效，原件扫描件清晰可辨。因供应商上传原因导致应得分项而未得分或资格审查不合格等情况的，由</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自行承担责任。</w:t>
            </w:r>
          </w:p>
          <w:p w14:paraId="7988B406">
            <w:pPr>
              <w:keepLines/>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szCs w:val="28"/>
                <w:highlight w:val="none"/>
              </w:rPr>
            </w:pPr>
            <w:r>
              <w:rPr>
                <w:rFonts w:hint="eastAsia" w:ascii="宋体" w:hAnsi="宋体" w:eastAsia="宋体" w:cs="宋体"/>
                <w:b w:val="0"/>
                <w:bCs w:val="0"/>
                <w:color w:val="auto"/>
                <w:sz w:val="24"/>
                <w:highlight w:val="none"/>
              </w:rPr>
              <w:t>提示：本项目为电子化、无纸化交易项目，为保证您能投标成功，请需仔细阅读以上条款。</w:t>
            </w:r>
          </w:p>
        </w:tc>
      </w:tr>
      <w:tr w14:paraId="4D9155C6">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0A49BFCA">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lang w:eastAsia="zh-CN"/>
              </w:rPr>
            </w:pPr>
          </w:p>
        </w:tc>
        <w:tc>
          <w:tcPr>
            <w:tcW w:w="2082" w:type="dxa"/>
            <w:tcBorders>
              <w:top w:val="single" w:color="auto" w:sz="4" w:space="0"/>
              <w:left w:val="nil"/>
              <w:bottom w:val="single" w:color="auto" w:sz="4" w:space="0"/>
              <w:right w:val="single" w:color="auto" w:sz="4" w:space="0"/>
            </w:tcBorders>
            <w:noWrap w:val="0"/>
            <w:vAlign w:val="center"/>
          </w:tcPr>
          <w:p w14:paraId="61568627">
            <w:pPr>
              <w:keepLines/>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政府采购政策</w:t>
            </w:r>
          </w:p>
        </w:tc>
        <w:tc>
          <w:tcPr>
            <w:tcW w:w="6101" w:type="dxa"/>
            <w:tcBorders>
              <w:top w:val="single" w:color="auto" w:sz="4" w:space="0"/>
              <w:left w:val="nil"/>
              <w:bottom w:val="single" w:color="auto" w:sz="4" w:space="0"/>
              <w:right w:val="single" w:color="auto" w:sz="4" w:space="0"/>
            </w:tcBorders>
            <w:noWrap w:val="0"/>
            <w:vAlign w:val="center"/>
          </w:tcPr>
          <w:p w14:paraId="088F2EE6">
            <w:pPr>
              <w:keepLines/>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1.落实中小企业、监狱企业、残疾人福利企业政府采购政策。</w:t>
            </w:r>
          </w:p>
          <w:p w14:paraId="06055ACF">
            <w:pPr>
              <w:keepLines/>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本项目所属行业：其他未列明行业</w:t>
            </w:r>
          </w:p>
          <w:p w14:paraId="64896689">
            <w:pPr>
              <w:keepLines/>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根据《政府采购促进中小企业发展管理办法》(财库[2020]46号)及根据关于进一步加大政府采购支持中小企业发展有关事项的通知（三财购〔2022〕9号）的规定、财政部、司法部关于政府采购支持监狱企业发展有关问题的通知(财库[2014]68号)、《三部门联合发布关于促进残疾人就业政府采购政策的通知》(财库[2017]141号)的要求，对小型、微型企业、监狱企业及残疾人福利性单位产品的价格给予20%的扣除，用扣除后的价格参与评审，本项目的扣除比例为：小型企业扣除20%，微型企业扣除20%，监狱企业扣除20%，残疾人福利性单位扣除20%。监狱企业和残疾人福利性单位属于小型、微型企业的，不重复享受政策。</w:t>
            </w:r>
          </w:p>
          <w:p w14:paraId="5E78A2D7">
            <w:pPr>
              <w:keepLines/>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参加政府采购活动的中小企业应当提供《中小企业声明函》；监狱企业应当提供由省级以上监狱管理局、戒毒管理局(含新疆生产建设兵团)出具的属于监狱企业的证明文件；残疾人福利性单位应当提供《残疾人福利性单位声明函》。</w:t>
            </w:r>
          </w:p>
          <w:p w14:paraId="47C8254B">
            <w:pPr>
              <w:keepLines/>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注：依据《政府采购促进中小企业发展管理办法》(财库[2020]46号)规定享受扶持政策获得政府采购合同的，小微企业不得将合同分包给大中型企业，中型企业不得将合同分包给大型企业。</w:t>
            </w:r>
          </w:p>
          <w:p w14:paraId="46FC32E3">
            <w:pPr>
              <w:keepLines/>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2.节能产品、环境标志产品政府采购政策：</w:t>
            </w:r>
          </w:p>
          <w:p w14:paraId="4189B563">
            <w:pPr>
              <w:keepLines/>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根据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要求，本项目若含有节能产品政府采购品目清单内政府强制采购产品，供应商须选用国家公布的认证机构认证的处于有效期之内的政府强制采购节能产品。本项目若含有节能产品、环境标志产品政府采购品目清单内政府优先采购产品，在性能、技术、服务等指标同等条件下，优先采购国家公布的认证机构认证的处于有效期之内的节能产品(政府强制采购产品除外)、环境标志产品。供应商应提供国家公布的认证机构出具的处于有效期之内的节能产品、环境标志产品认证证书。</w:t>
            </w:r>
          </w:p>
          <w:p w14:paraId="3281C8EA">
            <w:pPr>
              <w:keepLines/>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对于同时获得节能产品和环境标志产品认证证书产品，只给予其中一种认证证书产品优先采购。</w:t>
            </w:r>
          </w:p>
          <w:p w14:paraId="79EA9698">
            <w:pPr>
              <w:keepLines/>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按品目清单内的政府优先采购节能产品和环境标志产品金额之和占其总价的比例，比例高的优先。</w:t>
            </w:r>
          </w:p>
        </w:tc>
      </w:tr>
    </w:tbl>
    <w:p w14:paraId="18A3CF38">
      <w:pPr>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36"/>
          <w:szCs w:val="36"/>
          <w:highlight w:val="none"/>
        </w:rPr>
      </w:pPr>
    </w:p>
    <w:p w14:paraId="01A715C2">
      <w:pPr>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51DAB74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一、总则</w:t>
      </w:r>
    </w:p>
    <w:p w14:paraId="786258BC">
      <w:pPr>
        <w:pageBreakBefore w:val="0"/>
        <w:bidi w:val="0"/>
        <w:adjustRightInd w:val="0"/>
        <w:snapToGrid w:val="0"/>
        <w:spacing w:beforeAutospacing="0" w:afterAutospacing="0" w:line="360" w:lineRule="auto"/>
        <w:ind w:left="0" w:leftChars="0" w:right="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1.项目概况</w:t>
      </w:r>
    </w:p>
    <w:p w14:paraId="212DE9F9">
      <w:pPr>
        <w:pageBreakBefore w:val="0"/>
        <w:tabs>
          <w:tab w:val="left" w:pos="900"/>
        </w:tabs>
        <w:bidi w:val="0"/>
        <w:adjustRightInd w:val="0"/>
        <w:snapToGrid w:val="0"/>
        <w:spacing w:beforeAutospacing="0" w:afterAutospacing="0" w:line="360" w:lineRule="auto"/>
        <w:ind w:left="0" w:leftChars="0" w:right="0" w:firstLine="482" w:firstLineChars="200"/>
        <w:rPr>
          <w:rFonts w:hint="eastAsia" w:ascii="宋体" w:hAnsi="宋体" w:eastAsia="宋体" w:cs="宋体"/>
          <w:b/>
          <w:bCs/>
          <w:color w:val="auto"/>
          <w:sz w:val="24"/>
          <w:szCs w:val="24"/>
          <w:highlight w:val="none"/>
        </w:rPr>
      </w:pPr>
      <w:bookmarkStart w:id="2" w:name="_Toc380394466"/>
      <w:bookmarkStart w:id="3" w:name="_Toc278155328"/>
      <w:bookmarkStart w:id="4" w:name="_Toc466284453"/>
      <w:bookmarkStart w:id="5" w:name="_Toc62"/>
      <w:bookmarkStart w:id="6" w:name="_Toc277149365"/>
      <w:r>
        <w:rPr>
          <w:rFonts w:hint="eastAsia" w:ascii="宋体" w:hAnsi="宋体" w:eastAsia="宋体" w:cs="宋体"/>
          <w:b/>
          <w:bCs/>
          <w:color w:val="auto"/>
          <w:sz w:val="24"/>
          <w:szCs w:val="24"/>
          <w:highlight w:val="none"/>
        </w:rPr>
        <w:t>1.1项目概况</w:t>
      </w:r>
      <w:bookmarkEnd w:id="2"/>
      <w:bookmarkEnd w:id="3"/>
      <w:bookmarkEnd w:id="4"/>
      <w:bookmarkEnd w:id="5"/>
      <w:bookmarkEnd w:id="6"/>
    </w:p>
    <w:p w14:paraId="02D781EA">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根据《中华人民共和国政府采购法》等有关法律、法规和规章的规定，本招标项目已具备招标条件，现对本项目进行公开招标。</w:t>
      </w:r>
    </w:p>
    <w:p w14:paraId="7C906C0B">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1.1.1采购人：见供应商须知前附表。</w:t>
      </w:r>
    </w:p>
    <w:p w14:paraId="4285DA35">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1.1.2代理机构：见供应商须知前附表。</w:t>
      </w:r>
    </w:p>
    <w:p w14:paraId="64009A6B">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1.1.3本项目名称：见供应商须知前附表。</w:t>
      </w:r>
    </w:p>
    <w:p w14:paraId="37BAEDC8">
      <w:pPr>
        <w:pageBreakBefore w:val="0"/>
        <w:bidi w:val="0"/>
        <w:adjustRightInd w:val="0"/>
        <w:snapToGrid w:val="0"/>
        <w:spacing w:beforeAutospacing="0" w:afterAutospacing="0" w:line="360" w:lineRule="auto"/>
        <w:ind w:left="0" w:leftChars="0" w:right="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2.投标费用</w:t>
      </w:r>
    </w:p>
    <w:p w14:paraId="43CAEF8D">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承担其</w:t>
      </w:r>
      <w:r>
        <w:rPr>
          <w:rFonts w:hint="eastAsia" w:ascii="宋体" w:hAnsi="宋体" w:eastAsia="宋体" w:cs="宋体"/>
          <w:color w:val="auto"/>
          <w:kern w:val="0"/>
          <w:sz w:val="24"/>
          <w:szCs w:val="24"/>
          <w:highlight w:val="none"/>
        </w:rPr>
        <w:t>电子化</w:t>
      </w:r>
      <w:r>
        <w:rPr>
          <w:rFonts w:hint="eastAsia" w:ascii="宋体" w:hAnsi="宋体" w:eastAsia="宋体" w:cs="宋体"/>
          <w:color w:val="auto"/>
          <w:sz w:val="24"/>
          <w:szCs w:val="24"/>
          <w:highlight w:val="none"/>
        </w:rPr>
        <w:t>投标文件编制与递交所涉及的一切费用。在任何情况下采购人和采购代理机构对上述费用均不承担任何责任。</w:t>
      </w:r>
    </w:p>
    <w:p w14:paraId="2160E8CF">
      <w:pPr>
        <w:pageBreakBefore w:val="0"/>
        <w:bidi w:val="0"/>
        <w:adjustRightInd w:val="0"/>
        <w:snapToGrid w:val="0"/>
        <w:spacing w:beforeAutospacing="0" w:afterAutospacing="0" w:line="360" w:lineRule="auto"/>
        <w:ind w:left="0" w:leftChars="0" w:right="0" w:firstLine="48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color w:val="auto"/>
          <w:sz w:val="24"/>
          <w:szCs w:val="24"/>
          <w:highlight w:val="none"/>
        </w:rPr>
        <w:t>供应商资格要求</w:t>
      </w:r>
    </w:p>
    <w:p w14:paraId="244BC127">
      <w:pPr>
        <w:pageBreakBefore w:val="0"/>
        <w:bidi w:val="0"/>
        <w:adjustRightInd w:val="0"/>
        <w:snapToGrid w:val="0"/>
        <w:spacing w:beforeAutospacing="0" w:afterAutospacing="0" w:line="360" w:lineRule="auto"/>
        <w:ind w:left="0" w:leftChars="0" w:right="0" w:firstLine="566" w:firstLineChars="236"/>
        <w:rPr>
          <w:rFonts w:hint="eastAsia" w:ascii="宋体" w:hAnsi="宋体" w:eastAsia="宋体" w:cs="宋体"/>
          <w:color w:val="auto"/>
          <w:sz w:val="24"/>
          <w:szCs w:val="28"/>
          <w:highlight w:val="none"/>
        </w:rPr>
      </w:pPr>
      <w:r>
        <w:rPr>
          <w:rFonts w:hint="eastAsia" w:ascii="宋体" w:hAnsi="宋体" w:eastAsia="宋体" w:cs="宋体"/>
          <w:color w:val="auto"/>
          <w:sz w:val="24"/>
          <w:szCs w:val="24"/>
          <w:highlight w:val="none"/>
          <w:lang w:val="en-US" w:eastAsia="zh-CN"/>
        </w:rPr>
        <w:t>详见第一章“招标公告”</w:t>
      </w:r>
      <w:r>
        <w:rPr>
          <w:rFonts w:hint="eastAsia" w:ascii="宋体" w:hAnsi="宋体" w:eastAsia="宋体" w:cs="宋体"/>
          <w:color w:val="auto"/>
          <w:sz w:val="24"/>
          <w:szCs w:val="28"/>
          <w:highlight w:val="none"/>
        </w:rPr>
        <w:t>。</w:t>
      </w:r>
    </w:p>
    <w:p w14:paraId="464D8BE8">
      <w:pPr>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4.保证</w:t>
      </w:r>
    </w:p>
    <w:p w14:paraId="75F407D2">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应保证在</w:t>
      </w:r>
      <w:r>
        <w:rPr>
          <w:rFonts w:hint="eastAsia" w:ascii="宋体" w:hAnsi="宋体" w:eastAsia="宋体" w:cs="宋体"/>
          <w:color w:val="auto"/>
          <w:kern w:val="0"/>
          <w:sz w:val="24"/>
          <w:szCs w:val="24"/>
          <w:highlight w:val="none"/>
        </w:rPr>
        <w:t>电子化</w:t>
      </w:r>
      <w:r>
        <w:rPr>
          <w:rFonts w:hint="eastAsia" w:ascii="宋体" w:hAnsi="宋体" w:eastAsia="宋体" w:cs="宋体"/>
          <w:color w:val="auto"/>
          <w:sz w:val="24"/>
          <w:szCs w:val="24"/>
          <w:highlight w:val="none"/>
        </w:rPr>
        <w:t>投标文件中所提交的资料和数据是真实的。</w:t>
      </w:r>
    </w:p>
    <w:p w14:paraId="31B72FC1">
      <w:pPr>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5.保密</w:t>
      </w:r>
    </w:p>
    <w:p w14:paraId="2C5BF830">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参与招标投标活动的各方应对招标文件和投标文件中的商业和技术等秘密保密，违者应对由此造成的后果承担法律责任。</w:t>
      </w:r>
    </w:p>
    <w:p w14:paraId="376F4DD2">
      <w:pPr>
        <w:pStyle w:val="19"/>
        <w:pageBreakBefore w:val="0"/>
        <w:bidi w:val="0"/>
        <w:adjustRightInd w:val="0"/>
        <w:snapToGrid w:val="0"/>
        <w:spacing w:beforeAutospacing="0" w:after="0" w:afterAutospacing="0" w:line="360" w:lineRule="auto"/>
        <w:ind w:left="0" w:leftChars="0" w:right="0" w:firstLine="200"/>
        <w:rPr>
          <w:rFonts w:hint="eastAsia" w:ascii="宋体" w:hAnsi="宋体" w:eastAsia="宋体" w:cs="宋体"/>
          <w:color w:val="auto"/>
          <w:highlight w:val="none"/>
        </w:rPr>
      </w:pPr>
    </w:p>
    <w:p w14:paraId="3FC8477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二、招 标 文 件</w:t>
      </w:r>
    </w:p>
    <w:p w14:paraId="588EE751">
      <w:pPr>
        <w:pageBreakBefore w:val="0"/>
        <w:bidi w:val="0"/>
        <w:adjustRightInd w:val="0"/>
        <w:snapToGrid w:val="0"/>
        <w:spacing w:beforeAutospacing="0" w:afterAutospacing="0" w:line="360" w:lineRule="auto"/>
        <w:ind w:left="0" w:leftChars="0" w:right="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6.招标文件的组成</w:t>
      </w:r>
    </w:p>
    <w:p w14:paraId="66F7A517">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6.1 </w:t>
      </w:r>
      <w:r>
        <w:rPr>
          <w:rFonts w:hint="eastAsia" w:ascii="宋体" w:hAnsi="宋体" w:eastAsia="宋体" w:cs="宋体"/>
          <w:color w:val="auto"/>
          <w:sz w:val="24"/>
          <w:szCs w:val="24"/>
          <w:highlight w:val="none"/>
        </w:rPr>
        <w:t>招标文件包括下列内容及按供应商须知第7条款内容发出的答疑文件和第8条款内容发出的补充文件。</w:t>
      </w:r>
    </w:p>
    <w:p w14:paraId="762A6390">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第一章  招标公告       </w:t>
      </w:r>
    </w:p>
    <w:p w14:paraId="387AFD10">
      <w:pPr>
        <w:pageBreakBefore w:val="0"/>
        <w:bidi w:val="0"/>
        <w:adjustRightInd w:val="0"/>
        <w:snapToGrid w:val="0"/>
        <w:spacing w:beforeAutospacing="0" w:afterAutospacing="0" w:line="360" w:lineRule="auto"/>
        <w:ind w:left="0" w:leftChars="0" w:right="0"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  供应商须知</w:t>
      </w:r>
    </w:p>
    <w:p w14:paraId="787DB9A0">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第三章  采购内容及参数要求</w:t>
      </w:r>
    </w:p>
    <w:p w14:paraId="611715DA">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第四章  评标办法</w:t>
      </w:r>
    </w:p>
    <w:p w14:paraId="2CB8B6AF">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第五章  合同条款及格式</w:t>
      </w:r>
    </w:p>
    <w:p w14:paraId="5B400899">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第六章  投标文件格式</w:t>
      </w:r>
    </w:p>
    <w:p w14:paraId="4633F248">
      <w:pPr>
        <w:pageBreakBefore w:val="0"/>
        <w:bidi w:val="0"/>
        <w:adjustRightInd w:val="0"/>
        <w:snapToGrid w:val="0"/>
        <w:spacing w:beforeAutospacing="0" w:afterAutospacing="0" w:line="360" w:lineRule="auto"/>
        <w:ind w:left="0" w:leftChars="0" w:right="0"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6.2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应详细阅读招标文件中的所有条款内容、格式、表格和所涉及的相关规范。如果</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不按招标文件的要求提交电子化投标文件和资料的，或者电子化投标文件没有对招标文件提出的实质性要求和条件做出响应，将导致电子化投标文件不被接受，其后果由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自己负责。</w:t>
      </w:r>
    </w:p>
    <w:p w14:paraId="0372BF20">
      <w:pPr>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7.招标文件的澄清</w:t>
      </w:r>
    </w:p>
    <w:p w14:paraId="649383BA">
      <w:pPr>
        <w:pageBreakBefore w:val="0"/>
        <w:autoSpaceDE w:val="0"/>
        <w:autoSpaceDN w:val="0"/>
        <w:bidi w:val="0"/>
        <w:adjustRightInd w:val="0"/>
        <w:snapToGrid w:val="0"/>
        <w:spacing w:beforeAutospacing="0" w:afterAutospacing="0" w:line="360" w:lineRule="auto"/>
        <w:ind w:left="0" w:leftChars="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在获得招标文件后，如有问题需要采购人澄清和解答，将需澄清及答疑内容以书面形式（加盖单位公章）在答疑递交截止时间前提交至采购代理机构。采购人只对书面问题做出答复，并将答复内容以公告的形式发布。</w:t>
      </w:r>
    </w:p>
    <w:p w14:paraId="60B030BC">
      <w:pPr>
        <w:pageBreakBefore w:val="0"/>
        <w:autoSpaceDE w:val="0"/>
        <w:autoSpaceDN w:val="0"/>
        <w:bidi w:val="0"/>
        <w:adjustRightInd w:val="0"/>
        <w:snapToGrid w:val="0"/>
        <w:spacing w:beforeAutospacing="0" w:afterAutospacing="0" w:line="360" w:lineRule="auto"/>
        <w:ind w:left="0" w:leftChars="0" w:right="0" w:firstLine="48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8.招标文件的修正</w:t>
      </w:r>
    </w:p>
    <w:p w14:paraId="04FE11A9">
      <w:pPr>
        <w:pageBreakBefore w:val="0"/>
        <w:autoSpaceDE w:val="0"/>
        <w:autoSpaceDN w:val="0"/>
        <w:bidi w:val="0"/>
        <w:adjustRightInd w:val="0"/>
        <w:snapToGrid w:val="0"/>
        <w:spacing w:beforeAutospacing="0" w:afterAutospacing="0" w:line="360" w:lineRule="auto"/>
        <w:ind w:left="0" w:leftChars="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 xml:space="preserve">8.1 </w:t>
      </w:r>
      <w:r>
        <w:rPr>
          <w:rFonts w:hint="eastAsia" w:ascii="宋体" w:hAnsi="宋体" w:eastAsia="宋体" w:cs="宋体"/>
          <w:color w:val="auto"/>
          <w:kern w:val="0"/>
          <w:sz w:val="24"/>
          <w:szCs w:val="24"/>
          <w:highlight w:val="none"/>
        </w:rPr>
        <w:t>在</w:t>
      </w:r>
      <w:r>
        <w:rPr>
          <w:rFonts w:hint="eastAsia" w:ascii="宋体" w:hAnsi="宋体" w:eastAsia="宋体" w:cs="宋体"/>
          <w:color w:val="auto"/>
          <w:sz w:val="24"/>
          <w:szCs w:val="24"/>
          <w:highlight w:val="none"/>
        </w:rPr>
        <w:t>投标截止时间15日前</w:t>
      </w:r>
      <w:r>
        <w:rPr>
          <w:rFonts w:hint="eastAsia" w:ascii="宋体" w:hAnsi="宋体" w:eastAsia="宋体" w:cs="宋体"/>
          <w:color w:val="auto"/>
          <w:kern w:val="0"/>
          <w:sz w:val="24"/>
          <w:szCs w:val="24"/>
          <w:highlight w:val="none"/>
        </w:rPr>
        <w:t>的任何时间，采购人可以用补充文件的方式修正招标文件，该补充文件将成为招标文件的组成部分。</w:t>
      </w:r>
    </w:p>
    <w:p w14:paraId="79DB72D3">
      <w:pPr>
        <w:pageBreakBefore w:val="0"/>
        <w:bidi w:val="0"/>
        <w:adjustRightInd w:val="0"/>
        <w:snapToGrid w:val="0"/>
        <w:spacing w:beforeAutospacing="0" w:afterAutospacing="0" w:line="360" w:lineRule="auto"/>
        <w:ind w:left="0" w:leftChars="0" w:right="0"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8.2</w:t>
      </w:r>
      <w:r>
        <w:rPr>
          <w:rFonts w:hint="eastAsia" w:ascii="宋体" w:hAnsi="宋体" w:eastAsia="宋体" w:cs="宋体"/>
          <w:color w:val="auto"/>
          <w:kern w:val="0"/>
          <w:sz w:val="24"/>
          <w:szCs w:val="24"/>
          <w:highlight w:val="none"/>
        </w:rPr>
        <w:t>补充文件将以公告形式发布。</w:t>
      </w:r>
    </w:p>
    <w:p w14:paraId="293FB423">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8.3</w:t>
      </w:r>
      <w:r>
        <w:rPr>
          <w:rFonts w:hint="eastAsia" w:ascii="宋体" w:hAnsi="宋体" w:eastAsia="宋体" w:cs="宋体"/>
          <w:color w:val="auto"/>
          <w:sz w:val="24"/>
          <w:szCs w:val="24"/>
          <w:highlight w:val="none"/>
        </w:rPr>
        <w:t>为使</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有足够的时间按修正的招标文件准备电子化投标文件，采购人可以酌情延长投标截止时间。</w:t>
      </w:r>
    </w:p>
    <w:p w14:paraId="1D6E7F02">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三、电子化投标文件的编制</w:t>
      </w:r>
    </w:p>
    <w:p w14:paraId="6022E244">
      <w:pPr>
        <w:pageBreakBefore w:val="0"/>
        <w:bidi w:val="0"/>
        <w:adjustRightInd w:val="0"/>
        <w:snapToGrid w:val="0"/>
        <w:spacing w:beforeAutospacing="0" w:afterAutospacing="0" w:line="360" w:lineRule="auto"/>
        <w:ind w:left="0" w:leftChars="0" w:right="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9.特别说明</w:t>
      </w:r>
    </w:p>
    <w:p w14:paraId="6A23A4F7">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9.1</w:t>
      </w:r>
      <w:r>
        <w:rPr>
          <w:rFonts w:hint="eastAsia" w:ascii="宋体" w:hAnsi="宋体" w:eastAsia="宋体" w:cs="宋体"/>
          <w:color w:val="auto"/>
          <w:sz w:val="24"/>
          <w:szCs w:val="24"/>
          <w:highlight w:val="none"/>
        </w:rPr>
        <w:t xml:space="preserve"> 投标语言</w:t>
      </w:r>
    </w:p>
    <w:p w14:paraId="1D0C1645">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提交的投标文件以及</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与采购代理机构就有关投标的所有往来函电均应使用中文。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提供的文件可以用英文，但相应内容应附有中文翻译本，在解释时以中文翻译本为准。</w:t>
      </w:r>
    </w:p>
    <w:p w14:paraId="67CEDC02">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9.2</w:t>
      </w:r>
      <w:r>
        <w:rPr>
          <w:rFonts w:hint="eastAsia" w:ascii="宋体" w:hAnsi="宋体" w:eastAsia="宋体" w:cs="宋体"/>
          <w:color w:val="auto"/>
          <w:sz w:val="24"/>
          <w:szCs w:val="24"/>
          <w:highlight w:val="none"/>
        </w:rPr>
        <w:t xml:space="preserve"> 计量</w:t>
      </w:r>
    </w:p>
    <w:p w14:paraId="63F47883">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在电子化投标文件所有计量单位均采用中华人民共和国法定计量单位。</w:t>
      </w:r>
    </w:p>
    <w:p w14:paraId="41D46D49">
      <w:pPr>
        <w:pageBreakBefore w:val="0"/>
        <w:bidi w:val="0"/>
        <w:adjustRightInd w:val="0"/>
        <w:snapToGrid w:val="0"/>
        <w:spacing w:beforeAutospacing="0" w:afterAutospacing="0" w:line="360" w:lineRule="auto"/>
        <w:ind w:left="0" w:leftChars="0" w:right="0" w:firstLine="460" w:firstLineChars="19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9.3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在投标文件中所提交的所有资料和文件均应是真实的和有效的，如有作假，则将该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的投标作无效标处理，若中标后被发现有上述行为的，则采购人有权取消其中标资格，并且该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应承担由此而造成的一切损失（包括经济损失和法律责任）。</w:t>
      </w:r>
    </w:p>
    <w:p w14:paraId="4E06D511">
      <w:pPr>
        <w:pageBreakBefore w:val="0"/>
        <w:bidi w:val="0"/>
        <w:adjustRightInd w:val="0"/>
        <w:snapToGrid w:val="0"/>
        <w:spacing w:beforeAutospacing="0" w:afterAutospacing="0" w:line="360" w:lineRule="auto"/>
        <w:ind w:left="0" w:leftChars="0" w:right="0" w:firstLine="460" w:firstLineChars="19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9.4</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应当按照招标文件和电子招标投标交易平台的要求编制并加密电子化投标文件。</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未按规定加密的电子化投标文件，电子招标投标交易平台将拒收并提示。</w:t>
      </w:r>
    </w:p>
    <w:p w14:paraId="3ED03B2B">
      <w:pPr>
        <w:pageBreakBefore w:val="0"/>
        <w:bidi w:val="0"/>
        <w:adjustRightInd w:val="0"/>
        <w:snapToGrid w:val="0"/>
        <w:spacing w:beforeAutospacing="0" w:afterAutospacing="0" w:line="360" w:lineRule="auto"/>
        <w:ind w:left="0" w:leftChars="0" w:right="0" w:firstLine="460" w:firstLineChars="19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9.5</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在投标截止时间前完成投标文件电子版的传输递交，并可以补充、修改或者撤回电子化投标文件。投标截止时间前未完成电子化投标文件传输的，视为撤回电子化投标文件。投标截止时间后送达的电子化投标文件，电子招标投标交易平台将拒收。</w:t>
      </w:r>
    </w:p>
    <w:p w14:paraId="32B75618">
      <w:pPr>
        <w:pageBreakBefore w:val="0"/>
        <w:bidi w:val="0"/>
        <w:adjustRightInd w:val="0"/>
        <w:snapToGrid w:val="0"/>
        <w:spacing w:beforeAutospacing="0" w:afterAutospacing="0" w:line="360" w:lineRule="auto"/>
        <w:ind w:left="0" w:leftChars="0" w:right="0" w:firstLine="46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10.投标货物和服务的文件</w:t>
      </w:r>
    </w:p>
    <w:p w14:paraId="649DC84C">
      <w:pPr>
        <w:pageBreakBefore w:val="0"/>
        <w:bidi w:val="0"/>
        <w:adjustRightInd w:val="0"/>
        <w:snapToGrid w:val="0"/>
        <w:spacing w:beforeAutospacing="0" w:afterAutospacing="0" w:line="360" w:lineRule="auto"/>
        <w:ind w:left="0" w:leftChars="0" w:right="0" w:firstLine="465"/>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10.1</w:t>
      </w:r>
      <w:r>
        <w:rPr>
          <w:rFonts w:hint="eastAsia" w:ascii="宋体" w:hAnsi="宋体" w:eastAsia="宋体" w:cs="宋体"/>
          <w:color w:val="auto"/>
          <w:sz w:val="24"/>
          <w:szCs w:val="24"/>
          <w:highlight w:val="none"/>
        </w:rPr>
        <w:t>投标设备合格文件：</w:t>
      </w:r>
    </w:p>
    <w:p w14:paraId="2DC6DD82">
      <w:pPr>
        <w:pageBreakBefore w:val="0"/>
        <w:bidi w:val="0"/>
        <w:adjustRightInd w:val="0"/>
        <w:snapToGrid w:val="0"/>
        <w:spacing w:beforeAutospacing="0" w:afterAutospacing="0" w:line="360" w:lineRule="auto"/>
        <w:ind w:left="0" w:leftChars="0" w:right="0" w:firstLine="465"/>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10.1.1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必须提供有关投标设备符合招标文件要求的证明文件，这些文件可以是说明书、样本和资料等。</w:t>
      </w:r>
    </w:p>
    <w:p w14:paraId="4A7FD61C">
      <w:pPr>
        <w:pageBreakBefore w:val="0"/>
        <w:bidi w:val="0"/>
        <w:adjustRightInd w:val="0"/>
        <w:snapToGrid w:val="0"/>
        <w:spacing w:beforeAutospacing="0" w:afterAutospacing="0" w:line="360" w:lineRule="auto"/>
        <w:ind w:left="0" w:leftChars="0" w:right="0" w:firstLine="465"/>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10.1.2</w:t>
      </w:r>
      <w:r>
        <w:rPr>
          <w:rFonts w:hint="eastAsia" w:ascii="宋体" w:hAnsi="宋体" w:eastAsia="宋体" w:cs="宋体"/>
          <w:color w:val="auto"/>
          <w:sz w:val="24"/>
          <w:szCs w:val="24"/>
          <w:highlight w:val="none"/>
        </w:rPr>
        <w:t>有关各种实验报告、鉴定报告等。</w:t>
      </w:r>
    </w:p>
    <w:p w14:paraId="6CAD34A5">
      <w:pPr>
        <w:pageBreakBefore w:val="0"/>
        <w:bidi w:val="0"/>
        <w:adjustRightInd w:val="0"/>
        <w:snapToGrid w:val="0"/>
        <w:spacing w:beforeAutospacing="0" w:afterAutospacing="0" w:line="360" w:lineRule="auto"/>
        <w:ind w:left="0" w:leftChars="0" w:right="0" w:firstLine="465"/>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10.1.3</w:t>
      </w:r>
      <w:r>
        <w:rPr>
          <w:rFonts w:hint="eastAsia" w:ascii="宋体" w:hAnsi="宋体" w:eastAsia="宋体" w:cs="宋体"/>
          <w:color w:val="auto"/>
          <w:sz w:val="24"/>
          <w:szCs w:val="24"/>
          <w:highlight w:val="none"/>
        </w:rPr>
        <w:t>产品样本说明书、主要技术参数、性能说明、部件及材料产地来源表等资料。</w:t>
      </w:r>
    </w:p>
    <w:p w14:paraId="15A82449">
      <w:pPr>
        <w:pageBreakBefore w:val="0"/>
        <w:bidi w:val="0"/>
        <w:adjustRightInd w:val="0"/>
        <w:snapToGrid w:val="0"/>
        <w:spacing w:beforeAutospacing="0" w:afterAutospacing="0" w:line="360" w:lineRule="auto"/>
        <w:ind w:left="0" w:leftChars="0" w:right="0" w:firstLine="465"/>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10.1.4</w:t>
      </w:r>
      <w:r>
        <w:rPr>
          <w:rFonts w:hint="eastAsia" w:ascii="宋体" w:hAnsi="宋体" w:eastAsia="宋体" w:cs="宋体"/>
          <w:color w:val="auto"/>
          <w:sz w:val="24"/>
          <w:szCs w:val="24"/>
          <w:highlight w:val="none"/>
        </w:rPr>
        <w:t>投标设备的制造、安装及验收标准。</w:t>
      </w:r>
    </w:p>
    <w:p w14:paraId="5CD0AACC">
      <w:pPr>
        <w:pageBreakBefore w:val="0"/>
        <w:bidi w:val="0"/>
        <w:adjustRightInd w:val="0"/>
        <w:snapToGrid w:val="0"/>
        <w:spacing w:beforeAutospacing="0" w:afterAutospacing="0" w:line="360" w:lineRule="auto"/>
        <w:ind w:left="0" w:leftChars="0" w:right="0" w:firstLine="465"/>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10.1.5</w:t>
      </w:r>
      <w:r>
        <w:rPr>
          <w:rFonts w:hint="eastAsia" w:ascii="宋体" w:hAnsi="宋体" w:eastAsia="宋体" w:cs="宋体"/>
          <w:color w:val="auto"/>
          <w:sz w:val="24"/>
          <w:szCs w:val="24"/>
          <w:highlight w:val="none"/>
        </w:rPr>
        <w:t>设备安装和维修时所需的特殊工具及所需备品、备件清单。</w:t>
      </w:r>
    </w:p>
    <w:p w14:paraId="21965870">
      <w:pPr>
        <w:pageBreakBefore w:val="0"/>
        <w:bidi w:val="0"/>
        <w:adjustRightInd w:val="0"/>
        <w:snapToGrid w:val="0"/>
        <w:spacing w:beforeAutospacing="0" w:afterAutospacing="0" w:line="360" w:lineRule="auto"/>
        <w:ind w:left="0" w:leftChars="0" w:right="0" w:firstLine="487" w:firstLineChars="202"/>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10.2</w:t>
      </w:r>
      <w:r>
        <w:rPr>
          <w:rFonts w:hint="eastAsia" w:ascii="宋体" w:hAnsi="宋体" w:eastAsia="宋体" w:cs="宋体"/>
          <w:color w:val="auto"/>
          <w:sz w:val="24"/>
          <w:szCs w:val="24"/>
          <w:highlight w:val="none"/>
        </w:rPr>
        <w:t>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必须对设备清单中的全部设备进行投标，只投其中部分设备则电子化投标文件无效。</w:t>
      </w:r>
    </w:p>
    <w:p w14:paraId="0457006D">
      <w:pPr>
        <w:pageBreakBefore w:val="0"/>
        <w:bidi w:val="0"/>
        <w:adjustRightInd w:val="0"/>
        <w:snapToGrid w:val="0"/>
        <w:spacing w:beforeAutospacing="0" w:afterAutospacing="0" w:line="360" w:lineRule="auto"/>
        <w:ind w:left="0" w:leftChars="0" w:right="0" w:firstLine="487" w:firstLineChars="202"/>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10.3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所投设备的所有部件均为合格产品。</w:t>
      </w:r>
    </w:p>
    <w:p w14:paraId="193107A0">
      <w:pPr>
        <w:pageBreakBefore w:val="0"/>
        <w:bidi w:val="0"/>
        <w:adjustRightInd w:val="0"/>
        <w:snapToGrid w:val="0"/>
        <w:spacing w:beforeAutospacing="0" w:afterAutospacing="0" w:line="360" w:lineRule="auto"/>
        <w:ind w:left="0" w:leftChars="0" w:right="0" w:firstLine="487" w:firstLineChars="202"/>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10.4</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认为应对其设备的性能特点、优越性等有必要进行补充说明的内容。</w:t>
      </w:r>
    </w:p>
    <w:p w14:paraId="452794B9">
      <w:pPr>
        <w:pageBreakBefore w:val="0"/>
        <w:bidi w:val="0"/>
        <w:adjustRightInd w:val="0"/>
        <w:snapToGrid w:val="0"/>
        <w:spacing w:beforeAutospacing="0" w:afterAutospacing="0" w:line="360" w:lineRule="auto"/>
        <w:ind w:left="0" w:leftChars="0" w:right="0" w:firstLine="487" w:firstLineChars="202"/>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10.5</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必须对招标文件中设备的技术要求逐项、逐条明确答复；应逐项填写“技术参数偏离表”，投标设备与招标文件中的规定要求有偏离的，应详细说明偏离情况。</w:t>
      </w:r>
    </w:p>
    <w:p w14:paraId="4E6B4B9A">
      <w:pPr>
        <w:pageBreakBefore w:val="0"/>
        <w:bidi w:val="0"/>
        <w:adjustRightInd w:val="0"/>
        <w:snapToGrid w:val="0"/>
        <w:spacing w:beforeAutospacing="0" w:afterAutospacing="0" w:line="360" w:lineRule="auto"/>
        <w:ind w:left="0" w:leftChars="0" w:right="0" w:firstLine="487" w:firstLineChars="202"/>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11.</w:t>
      </w:r>
      <w:r>
        <w:rPr>
          <w:rFonts w:hint="eastAsia" w:ascii="宋体" w:hAnsi="宋体" w:eastAsia="宋体" w:cs="宋体"/>
          <w:b/>
          <w:color w:val="auto"/>
          <w:sz w:val="24"/>
          <w:szCs w:val="24"/>
          <w:highlight w:val="none"/>
        </w:rPr>
        <w:t>投标设备安装</w:t>
      </w:r>
    </w:p>
    <w:p w14:paraId="5BE49D2B">
      <w:pPr>
        <w:pageBreakBefore w:val="0"/>
        <w:bidi w:val="0"/>
        <w:adjustRightInd w:val="0"/>
        <w:snapToGrid w:val="0"/>
        <w:spacing w:beforeAutospacing="0" w:afterAutospacing="0" w:line="360" w:lineRule="auto"/>
        <w:ind w:left="0" w:leftChars="0" w:right="0" w:firstLine="484" w:firstLineChars="202"/>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11.1</w:t>
      </w:r>
      <w:r>
        <w:rPr>
          <w:rFonts w:hint="eastAsia" w:ascii="宋体" w:hAnsi="宋体" w:eastAsia="宋体" w:cs="宋体"/>
          <w:color w:val="auto"/>
          <w:sz w:val="24"/>
          <w:szCs w:val="24"/>
          <w:highlight w:val="none"/>
        </w:rPr>
        <w:t>设备由中标供应商进行安装调试，设备到达用户指定地点后，需安排有经验的工程技术人员到用户现场安装、调试仪器。</w:t>
      </w:r>
    </w:p>
    <w:p w14:paraId="36AEA71B">
      <w:pPr>
        <w:pageBreakBefore w:val="0"/>
        <w:bidi w:val="0"/>
        <w:adjustRightInd w:val="0"/>
        <w:snapToGrid w:val="0"/>
        <w:spacing w:beforeAutospacing="0" w:afterAutospacing="0" w:line="360" w:lineRule="auto"/>
        <w:ind w:left="0" w:leftChars="0" w:right="0"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要求生产厂家设有专门的培训中心，对用户免费进行全面系统的培训，内容包括设备的基本原理、操作应用及设备的维护保养知识，直到用户能正常使用和维护仪器。厂家长期提供技术支持，并免费提供所有公开发表的应用文献和最新设备有关资料、通讯和用户论文集等。保证用户熟练掌握设备的日常操作使用及日常维护，以后再根据需要进行必要的培训，供应商可以协助用户开发分析方法。</w:t>
      </w:r>
    </w:p>
    <w:p w14:paraId="31074096">
      <w:pPr>
        <w:pageBreakBefore w:val="0"/>
        <w:bidi w:val="0"/>
        <w:adjustRightInd w:val="0"/>
        <w:snapToGrid w:val="0"/>
        <w:spacing w:beforeAutospacing="0" w:afterAutospacing="0" w:line="360" w:lineRule="auto"/>
        <w:ind w:left="0" w:leftChars="0" w:right="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12.投标报价 </w:t>
      </w:r>
    </w:p>
    <w:p w14:paraId="6E95C29E">
      <w:pPr>
        <w:pageBreakBefore w:val="0"/>
        <w:bidi w:val="0"/>
        <w:adjustRightInd w:val="0"/>
        <w:snapToGrid w:val="0"/>
        <w:spacing w:beforeAutospacing="0" w:afterAutospacing="0" w:line="360" w:lineRule="auto"/>
        <w:ind w:left="0" w:leftChars="0" w:right="0" w:firstLine="465"/>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12.1</w:t>
      </w:r>
      <w:r>
        <w:rPr>
          <w:rFonts w:hint="eastAsia" w:ascii="宋体" w:hAnsi="宋体" w:eastAsia="宋体" w:cs="宋体"/>
          <w:color w:val="auto"/>
          <w:sz w:val="24"/>
          <w:szCs w:val="24"/>
          <w:highlight w:val="none"/>
        </w:rPr>
        <w:t>投标报价中应包含以下内容：</w:t>
      </w:r>
    </w:p>
    <w:p w14:paraId="2D4E9F32">
      <w:pPr>
        <w:pageBreakBefore w:val="0"/>
        <w:bidi w:val="0"/>
        <w:adjustRightInd w:val="0"/>
        <w:snapToGrid w:val="0"/>
        <w:spacing w:beforeAutospacing="0" w:afterAutospacing="0" w:line="360" w:lineRule="auto"/>
        <w:ind w:left="0" w:leftChars="0" w:right="0" w:firstLine="46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应报出货到交货地点价。</w:t>
      </w:r>
      <w:r>
        <w:rPr>
          <w:rFonts w:hint="eastAsia" w:ascii="宋体" w:hAnsi="宋体" w:eastAsia="宋体" w:cs="宋体"/>
          <w:color w:val="000000"/>
          <w:kern w:val="10"/>
          <w:sz w:val="24"/>
          <w:szCs w:val="24"/>
        </w:rPr>
        <w:t>包括设备货款、标准附件、备品备件、专用工具、人工费、服务费、包装费、运输费、装卸费、保险费、采购保管、安装调试费、设备维护、检测验收费、税金、培训费、利润、售后服务等各项与此项目有关的一切费用），采购人不另外支付其他任何费用</w:t>
      </w:r>
      <w:r>
        <w:rPr>
          <w:rFonts w:hint="eastAsia" w:ascii="宋体" w:hAnsi="宋体" w:eastAsia="宋体" w:cs="宋体"/>
          <w:color w:val="auto"/>
          <w:sz w:val="24"/>
          <w:szCs w:val="24"/>
          <w:highlight w:val="none"/>
          <w:lang w:eastAsia="zh-CN"/>
        </w:rPr>
        <w:t>。</w:t>
      </w:r>
    </w:p>
    <w:p w14:paraId="140DEBE5">
      <w:pPr>
        <w:pageBreakBefore w:val="0"/>
        <w:bidi w:val="0"/>
        <w:adjustRightInd w:val="0"/>
        <w:snapToGrid w:val="0"/>
        <w:spacing w:beforeAutospacing="0" w:afterAutospacing="0" w:line="360" w:lineRule="auto"/>
        <w:ind w:left="0" w:leftChars="0" w:right="0" w:firstLine="465"/>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12.2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的投标报价应包含验收合格正式交付使用前所发生的一切费用，且</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只能提出一个不变价格，采购人不接受任何选择报价。</w:t>
      </w:r>
    </w:p>
    <w:p w14:paraId="650FBF86">
      <w:pPr>
        <w:pageBreakBefore w:val="0"/>
        <w:bidi w:val="0"/>
        <w:adjustRightInd w:val="0"/>
        <w:snapToGrid w:val="0"/>
        <w:spacing w:beforeAutospacing="0" w:afterAutospacing="0" w:line="360" w:lineRule="auto"/>
        <w:ind w:left="0" w:leftChars="0" w:right="0" w:firstLine="552" w:firstLineChars="22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12.3</w:t>
      </w:r>
      <w:r>
        <w:rPr>
          <w:rFonts w:hint="eastAsia" w:ascii="宋体" w:hAnsi="宋体" w:eastAsia="宋体" w:cs="宋体"/>
          <w:color w:val="auto"/>
          <w:sz w:val="24"/>
          <w:szCs w:val="24"/>
          <w:highlight w:val="none"/>
        </w:rPr>
        <w:t>该项目类别及取费标准按照国家相关规定执行。</w:t>
      </w:r>
    </w:p>
    <w:p w14:paraId="0A025741">
      <w:pPr>
        <w:pageBreakBefore w:val="0"/>
        <w:bidi w:val="0"/>
        <w:adjustRightInd w:val="0"/>
        <w:snapToGrid w:val="0"/>
        <w:spacing w:beforeAutospacing="0" w:afterAutospacing="0" w:line="360" w:lineRule="auto"/>
        <w:ind w:left="0" w:leftChars="0" w:right="0" w:firstLine="552" w:firstLineChars="22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12.4</w:t>
      </w:r>
      <w:r>
        <w:rPr>
          <w:rFonts w:hint="eastAsia" w:ascii="宋体" w:hAnsi="宋体" w:eastAsia="宋体" w:cs="宋体"/>
          <w:color w:val="auto"/>
          <w:sz w:val="24"/>
          <w:szCs w:val="24"/>
          <w:highlight w:val="none"/>
        </w:rPr>
        <w:t>如投标报价表中的大写金额和小写金额不一致的，以大写金额为准；总价金额与单价金额不一致的，以单价金额为准，但单价金额小数点有明显错误的除外；对不同文字文本电子化投标文件的解释发生异议的，以中文文本为准。</w:t>
      </w:r>
    </w:p>
    <w:p w14:paraId="14FC1D7C">
      <w:pPr>
        <w:pageBreakBefore w:val="0"/>
        <w:bidi w:val="0"/>
        <w:adjustRightInd w:val="0"/>
        <w:snapToGrid w:val="0"/>
        <w:spacing w:beforeAutospacing="0" w:afterAutospacing="0" w:line="360" w:lineRule="auto"/>
        <w:ind w:left="0" w:leftChars="0" w:right="0" w:firstLine="552" w:firstLineChars="22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12.5</w:t>
      </w:r>
      <w:r>
        <w:rPr>
          <w:rFonts w:hint="eastAsia" w:ascii="宋体" w:hAnsi="宋体" w:eastAsia="宋体" w:cs="宋体"/>
          <w:color w:val="auto"/>
          <w:sz w:val="24"/>
          <w:szCs w:val="24"/>
          <w:highlight w:val="none"/>
        </w:rPr>
        <w:t>全部报价均应以人民币为计量币种，并以人民币进行结算。</w:t>
      </w:r>
    </w:p>
    <w:p w14:paraId="4A3DE0FD">
      <w:pPr>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13.货物现场服务</w:t>
      </w:r>
    </w:p>
    <w:p w14:paraId="5BBEFF3B">
      <w:pPr>
        <w:pageBreakBefore w:val="0"/>
        <w:bidi w:val="0"/>
        <w:adjustRightInd w:val="0"/>
        <w:snapToGrid w:val="0"/>
        <w:spacing w:beforeAutospacing="0" w:afterAutospacing="0" w:line="360" w:lineRule="auto"/>
        <w:ind w:left="0" w:leftChars="0" w:right="0" w:firstLine="42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13.1</w:t>
      </w:r>
      <w:r>
        <w:rPr>
          <w:rFonts w:hint="eastAsia" w:ascii="宋体" w:hAnsi="宋体" w:eastAsia="宋体" w:cs="宋体"/>
          <w:color w:val="auto"/>
          <w:sz w:val="24"/>
          <w:szCs w:val="24"/>
          <w:highlight w:val="none"/>
        </w:rPr>
        <w:t>全部设备由中标供应商进行安装调试，并按有关规定程序报请相关部门验收合格后交付采购人使用，一切费用均由中标供应商承担。</w:t>
      </w:r>
    </w:p>
    <w:p w14:paraId="0C4418ED">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13.2</w:t>
      </w:r>
      <w:r>
        <w:rPr>
          <w:rFonts w:hint="eastAsia" w:ascii="宋体" w:hAnsi="宋体" w:eastAsia="宋体" w:cs="宋体"/>
          <w:color w:val="auto"/>
          <w:sz w:val="24"/>
          <w:szCs w:val="24"/>
          <w:highlight w:val="none"/>
        </w:rPr>
        <w:t>采购人应根据中标供应商的要求给予中标供应商现场安装服务人员提供食宿方便，费用由中标供应商自理。</w:t>
      </w:r>
    </w:p>
    <w:p w14:paraId="55B06DAD">
      <w:pPr>
        <w:pageBreakBefore w:val="0"/>
        <w:bidi w:val="0"/>
        <w:adjustRightInd w:val="0"/>
        <w:snapToGrid w:val="0"/>
        <w:spacing w:beforeAutospacing="0" w:afterAutospacing="0" w:line="360" w:lineRule="auto"/>
        <w:ind w:left="0" w:leftChars="0" w:right="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14.投标保证金</w:t>
      </w:r>
    </w:p>
    <w:p w14:paraId="69306023">
      <w:pPr>
        <w:pageBreakBefore w:val="0"/>
        <w:bidi w:val="0"/>
        <w:adjustRightInd w:val="0"/>
        <w:snapToGrid w:val="0"/>
        <w:spacing w:beforeAutospacing="0" w:afterAutospacing="0" w:line="360" w:lineRule="auto"/>
        <w:ind w:left="0" w:leftChars="0" w:right="0"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根据《河南省财政厅关于优化政府采购营商环境有关问题的通知》（豫财购【2019】4号）第6条的规定，投标保证金不再收取。</w:t>
      </w:r>
    </w:p>
    <w:p w14:paraId="1FF3ED0A">
      <w:pPr>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15.投标有效期</w:t>
      </w:r>
    </w:p>
    <w:p w14:paraId="2AED2781">
      <w:pPr>
        <w:pageBreakBefore w:val="0"/>
        <w:bidi w:val="0"/>
        <w:adjustRightInd w:val="0"/>
        <w:snapToGrid w:val="0"/>
        <w:spacing w:beforeAutospacing="0" w:afterAutospacing="0" w:line="360" w:lineRule="auto"/>
        <w:ind w:left="0" w:leftChars="0" w:right="0"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15.1</w:t>
      </w:r>
      <w:r>
        <w:rPr>
          <w:rFonts w:hint="eastAsia" w:ascii="宋体" w:hAnsi="宋体" w:eastAsia="宋体" w:cs="宋体"/>
          <w:color w:val="auto"/>
          <w:sz w:val="24"/>
          <w:szCs w:val="24"/>
          <w:highlight w:val="none"/>
        </w:rPr>
        <w:t>电子化投标文件从开标之时起开始生效，投标有效期为投标截止之日起60日历天。</w:t>
      </w:r>
    </w:p>
    <w:p w14:paraId="65D86E39">
      <w:pPr>
        <w:pageBreakBefore w:val="0"/>
        <w:bidi w:val="0"/>
        <w:adjustRightInd w:val="0"/>
        <w:snapToGrid w:val="0"/>
        <w:spacing w:beforeAutospacing="0" w:afterAutospacing="0" w:line="360" w:lineRule="auto"/>
        <w:ind w:left="0" w:leftChars="0" w:right="0"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15.2</w:t>
      </w:r>
      <w:r>
        <w:rPr>
          <w:rFonts w:hint="eastAsia" w:ascii="宋体" w:hAnsi="宋体" w:eastAsia="宋体" w:cs="宋体"/>
          <w:color w:val="auto"/>
          <w:sz w:val="24"/>
          <w:szCs w:val="24"/>
          <w:highlight w:val="none"/>
        </w:rPr>
        <w:t>在特殊情况下，采购人可征求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同意延长投标有效期，这种要求和答复均应以信函、传真等书面形式提交。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可以拒绝采购人的这种要求。同意延长投标有效期的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不需要也不允许修改其电子化投标文件。</w:t>
      </w:r>
    </w:p>
    <w:p w14:paraId="444CD56F">
      <w:pPr>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16.电子化投标文件的组成</w:t>
      </w:r>
    </w:p>
    <w:p w14:paraId="6A7D1084">
      <w:pPr>
        <w:keepNext w:val="0"/>
        <w:keepLines w:val="0"/>
        <w:pageBreakBefore w:val="0"/>
        <w:widowControl w:val="0"/>
        <w:tabs>
          <w:tab w:val="left" w:pos="6037"/>
        </w:tabs>
        <w:kinsoku/>
        <w:wordWrap/>
        <w:overflowPunct/>
        <w:topLinePunct w:val="0"/>
        <w:autoSpaceDE/>
        <w:autoSpaceDN/>
        <w:bidi w:val="0"/>
        <w:adjustRightInd w:val="0"/>
        <w:snapToGrid w:val="0"/>
        <w:spacing w:beforeAutospacing="0" w:afterAutospacing="0" w:line="360" w:lineRule="auto"/>
        <w:ind w:left="0" w:leftChars="0" w:right="0" w:firstLine="465"/>
        <w:textAlignment w:val="auto"/>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lang w:val="en-US" w:eastAsia="zh-CN"/>
        </w:rPr>
        <w:t>详见投标文件格式</w:t>
      </w:r>
      <w:r>
        <w:rPr>
          <w:rFonts w:hint="eastAsia" w:ascii="宋体" w:hAnsi="宋体" w:eastAsia="宋体" w:cs="宋体"/>
          <w:bCs/>
          <w:color w:val="auto"/>
          <w:sz w:val="24"/>
          <w:szCs w:val="24"/>
          <w:highlight w:val="none"/>
        </w:rPr>
        <w:tab/>
      </w:r>
    </w:p>
    <w:p w14:paraId="15380AA0">
      <w:pPr>
        <w:pageBreakBefore w:val="0"/>
        <w:bidi w:val="0"/>
        <w:adjustRightInd w:val="0"/>
        <w:snapToGrid w:val="0"/>
        <w:spacing w:beforeAutospacing="0" w:afterAutospacing="0" w:line="360" w:lineRule="auto"/>
        <w:ind w:left="0" w:leftChars="0" w:right="0" w:firstLine="46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17.电子化投标文件的编制</w:t>
      </w:r>
    </w:p>
    <w:p w14:paraId="1D127AF8">
      <w:pPr>
        <w:pageBreakBefore w:val="0"/>
        <w:wordWrap w:val="0"/>
        <w:bidi w:val="0"/>
        <w:adjustRightInd w:val="0"/>
        <w:snapToGrid w:val="0"/>
        <w:spacing w:beforeAutospacing="0" w:afterAutospacing="0" w:line="360" w:lineRule="auto"/>
        <w:ind w:left="0" w:leftChars="0" w:right="0" w:firstLine="465"/>
        <w:jc w:val="left"/>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17.1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上传的电子化投标文件，应是通过中心投标文件制作系统制作的（投标文件制作工具下载地址：https://download.bqpoint.com/download/downloaddetail.html?SourceFrom=Ztb&amp;ZtbSoftXiaQuCode=1506&amp;ZtbSoftType=tballinclusive），经过签章和加密后生成的电子版投标文件。其中包含用于投标文件上传的主文件（后缀为.smxtf）和</w:t>
      </w:r>
      <w:r>
        <w:rPr>
          <w:rFonts w:hint="eastAsia" w:ascii="宋体" w:hAnsi="宋体" w:eastAsia="宋体" w:cs="宋体"/>
          <w:b w:val="0"/>
          <w:bCs w:val="0"/>
          <w:color w:val="auto"/>
          <w:sz w:val="24"/>
          <w:szCs w:val="24"/>
          <w:highlight w:val="none"/>
        </w:rPr>
        <w:t>用于应急补救的投标文件备份文件（后缀为.nsmxtf）。</w:t>
      </w:r>
    </w:p>
    <w:p w14:paraId="6DBF6BA4">
      <w:pPr>
        <w:pageBreakBefore w:val="0"/>
        <w:bidi w:val="0"/>
        <w:adjustRightInd w:val="0"/>
        <w:snapToGrid w:val="0"/>
        <w:spacing w:beforeAutospacing="0" w:afterAutospacing="0" w:line="360" w:lineRule="auto"/>
        <w:ind w:left="0" w:leftChars="0" w:right="0" w:firstLine="46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17.2在招标文件中要求供应商按照投标文件格式进行投标文件编制，在投标文件编制时，应明确将投标单位企业基本情况、人员情况、业绩情况编入投标文件，便于进行资格审查及评标打分。</w:t>
      </w:r>
    </w:p>
    <w:p w14:paraId="591D7A07">
      <w:pPr>
        <w:pageBreakBefore w:val="0"/>
        <w:bidi w:val="0"/>
        <w:adjustRightInd w:val="0"/>
        <w:snapToGrid w:val="0"/>
        <w:spacing w:beforeAutospacing="0" w:afterAutospacing="0" w:line="360" w:lineRule="auto"/>
        <w:ind w:left="0" w:leftChars="0" w:right="0" w:firstLine="465"/>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18.电子化投标文件的签署</w:t>
      </w:r>
    </w:p>
    <w:p w14:paraId="1473CFF3">
      <w:pPr>
        <w:pageBreakBefore w:val="0"/>
        <w:bidi w:val="0"/>
        <w:adjustRightInd w:val="0"/>
        <w:snapToGrid w:val="0"/>
        <w:spacing w:beforeAutospacing="0" w:afterAutospacing="0" w:line="360" w:lineRule="auto"/>
        <w:ind w:left="0" w:leftChars="0" w:right="0" w:firstLine="465"/>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18.1</w:t>
      </w:r>
      <w:r>
        <w:rPr>
          <w:rFonts w:hint="eastAsia" w:ascii="宋体" w:hAnsi="宋体" w:eastAsia="宋体" w:cs="宋体"/>
          <w:color w:val="auto"/>
          <w:sz w:val="24"/>
          <w:szCs w:val="24"/>
          <w:highlight w:val="none"/>
        </w:rPr>
        <w:t>招标文件中要求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盖章的，以签盖单位章为准；要求法定代表人签章的，以签盖法定代表人签章为准。电子化投标文件具体制作教材请</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通过CA证书登录三门峡市公共资源电子化交易系统在右上角“组件下载”中查看。</w:t>
      </w:r>
    </w:p>
    <w:p w14:paraId="306548A0">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四、电子化投标文件的上传</w:t>
      </w:r>
    </w:p>
    <w:p w14:paraId="2727ACB2">
      <w:pPr>
        <w:pageBreakBefore w:val="0"/>
        <w:bidi w:val="0"/>
        <w:adjustRightInd w:val="0"/>
        <w:snapToGrid w:val="0"/>
        <w:spacing w:beforeAutospacing="0" w:afterAutospacing="0" w:line="360" w:lineRule="auto"/>
        <w:ind w:left="0" w:leftChars="0" w:right="0" w:firstLine="48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19.投标文件上传</w:t>
      </w:r>
    </w:p>
    <w:p w14:paraId="7F7124C4">
      <w:pPr>
        <w:pageBreakBefore w:val="0"/>
        <w:bidi w:val="0"/>
        <w:adjustRightInd w:val="0"/>
        <w:snapToGrid w:val="0"/>
        <w:spacing w:beforeAutospacing="0" w:afterAutospacing="0" w:line="360" w:lineRule="auto"/>
        <w:ind w:left="0" w:leftChars="0" w:right="0" w:firstLine="422" w:firstLineChars="17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电子化投标文件应在投标截止时间前成功上传至三门峡市公共资源电子化交易系统。至投标截止时间止，仍未上传成功的电子化投标文件将不予接收。</w:t>
      </w:r>
    </w:p>
    <w:p w14:paraId="056C1B8E">
      <w:pPr>
        <w:pageBreakBefore w:val="0"/>
        <w:bidi w:val="0"/>
        <w:adjustRightInd w:val="0"/>
        <w:snapToGrid w:val="0"/>
        <w:spacing w:beforeAutospacing="0" w:afterAutospacing="0" w:line="360" w:lineRule="auto"/>
        <w:ind w:left="0" w:leftChars="0" w:right="0" w:firstLine="422" w:firstLineChars="17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注：如按照电子化投标操作教材制作完成的电子化投标文件无法上传的，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应在投标截止时间前尽早的联系中心技术人员，以便有充分的时间进行处理。</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应充分考虑到处理技术问题和上传数据等工作所需的时间问题，投标文件未在投标截止时间前成功上传的，其投标文件不予接收。</w:t>
      </w:r>
    </w:p>
    <w:p w14:paraId="33F721BA">
      <w:pPr>
        <w:pageBreakBefore w:val="0"/>
        <w:bidi w:val="0"/>
        <w:adjustRightInd w:val="0"/>
        <w:snapToGrid w:val="0"/>
        <w:spacing w:beforeAutospacing="0" w:afterAutospacing="0" w:line="360" w:lineRule="auto"/>
        <w:ind w:left="0" w:leftChars="0" w:right="0" w:firstLine="48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20.投标截止时间</w:t>
      </w:r>
    </w:p>
    <w:p w14:paraId="68799A68">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20.1</w:t>
      </w:r>
      <w:r>
        <w:rPr>
          <w:rFonts w:hint="eastAsia" w:ascii="宋体" w:hAnsi="宋体" w:eastAsia="宋体" w:cs="宋体"/>
          <w:color w:val="auto"/>
          <w:sz w:val="24"/>
          <w:szCs w:val="24"/>
          <w:highlight w:val="none"/>
        </w:rPr>
        <w:t>电子化投标文件的截止时间见本须知前附表规定。</w:t>
      </w:r>
    </w:p>
    <w:p w14:paraId="720F74D6">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20.2</w:t>
      </w:r>
      <w:r>
        <w:rPr>
          <w:rFonts w:hint="eastAsia" w:ascii="宋体" w:hAnsi="宋体" w:eastAsia="宋体" w:cs="宋体"/>
          <w:color w:val="auto"/>
          <w:sz w:val="24"/>
          <w:szCs w:val="24"/>
          <w:highlight w:val="none"/>
        </w:rPr>
        <w:t>采购人可按本须知第8条规定以修改补充通知的方式，酌情延长提交电子化投标文件的截止时间。在此情况下，</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的所有权利和义务以及</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受制约的截止时间，均以延长后新的投标截止时间为准。</w:t>
      </w:r>
    </w:p>
    <w:p w14:paraId="0F58F6CA">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20.3</w:t>
      </w:r>
      <w:r>
        <w:rPr>
          <w:rFonts w:hint="eastAsia" w:ascii="宋体" w:hAnsi="宋体" w:eastAsia="宋体" w:cs="宋体"/>
          <w:color w:val="auto"/>
          <w:sz w:val="24"/>
          <w:szCs w:val="24"/>
          <w:highlight w:val="none"/>
        </w:rPr>
        <w:t>到投标截止时间止，上传成功的电子化投标文件少于3个的，采购人将依法重新组织招标。</w:t>
      </w:r>
    </w:p>
    <w:p w14:paraId="10275066">
      <w:pPr>
        <w:pageBreakBefore w:val="0"/>
        <w:bidi w:val="0"/>
        <w:adjustRightInd w:val="0"/>
        <w:snapToGrid w:val="0"/>
        <w:spacing w:beforeAutospacing="0" w:afterAutospacing="0" w:line="360" w:lineRule="auto"/>
        <w:ind w:left="0" w:leftChars="0" w:right="0" w:firstLine="48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20.4电子化投标文件的补充、修改与撤回</w:t>
      </w:r>
    </w:p>
    <w:p w14:paraId="1841A635">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20.4.1</w:t>
      </w:r>
      <w:r>
        <w:rPr>
          <w:rFonts w:hint="eastAsia" w:ascii="宋体" w:hAnsi="宋体" w:eastAsia="宋体" w:cs="宋体"/>
          <w:color w:val="auto"/>
          <w:sz w:val="24"/>
          <w:szCs w:val="24"/>
          <w:highlight w:val="none"/>
        </w:rPr>
        <w:t>在投标截止时间之后，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不得补充、修改电子化投标文件。</w:t>
      </w:r>
    </w:p>
    <w:p w14:paraId="2AB47A3D">
      <w:pPr>
        <w:pageBreakBefore w:val="0"/>
        <w:autoSpaceDE w:val="0"/>
        <w:autoSpaceDN w:val="0"/>
        <w:bidi w:val="0"/>
        <w:adjustRightInd w:val="0"/>
        <w:snapToGrid w:val="0"/>
        <w:spacing w:beforeAutospacing="0" w:afterAutospacing="0" w:line="360" w:lineRule="auto"/>
        <w:ind w:left="0" w:leftChars="0" w:right="0"/>
        <w:jc w:val="center"/>
        <w:outlineLvl w:val="0"/>
        <w:rPr>
          <w:rFonts w:hint="eastAsia" w:ascii="宋体" w:hAnsi="宋体" w:eastAsia="宋体" w:cs="宋体"/>
          <w:b/>
          <w:bCs/>
          <w:color w:val="auto"/>
          <w:kern w:val="0"/>
          <w:sz w:val="28"/>
          <w:szCs w:val="28"/>
          <w:highlight w:val="none"/>
        </w:rPr>
      </w:pPr>
      <w:bookmarkStart w:id="7" w:name="_Toc7212"/>
      <w:bookmarkStart w:id="8" w:name="_Toc16493"/>
      <w:bookmarkStart w:id="9" w:name="_Toc32278"/>
      <w:r>
        <w:rPr>
          <w:rFonts w:hint="eastAsia" w:ascii="宋体" w:hAnsi="宋体" w:eastAsia="宋体" w:cs="宋体"/>
          <w:b/>
          <w:bCs/>
          <w:color w:val="auto"/>
          <w:kern w:val="0"/>
          <w:sz w:val="28"/>
          <w:szCs w:val="28"/>
          <w:highlight w:val="none"/>
        </w:rPr>
        <w:t>五、开标</w:t>
      </w:r>
      <w:bookmarkEnd w:id="7"/>
      <w:bookmarkEnd w:id="8"/>
      <w:bookmarkEnd w:id="9"/>
    </w:p>
    <w:p w14:paraId="4EEBBCD2">
      <w:pPr>
        <w:pageBreakBefore w:val="0"/>
        <w:autoSpaceDE w:val="0"/>
        <w:autoSpaceDN w:val="0"/>
        <w:bidi w:val="0"/>
        <w:adjustRightInd w:val="0"/>
        <w:snapToGrid w:val="0"/>
        <w:spacing w:beforeAutospacing="0" w:afterAutospacing="0" w:line="360" w:lineRule="auto"/>
        <w:ind w:left="0" w:leftChars="0" w:right="0" w:firstLine="435"/>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21.开标</w:t>
      </w:r>
    </w:p>
    <w:p w14:paraId="46C75F80">
      <w:pPr>
        <w:pageBreakBefore w:val="0"/>
        <w:wordWrap w:val="0"/>
        <w:bidi w:val="0"/>
        <w:adjustRightInd w:val="0"/>
        <w:snapToGrid w:val="0"/>
        <w:spacing w:beforeAutospacing="0" w:afterAutospacing="0" w:line="360" w:lineRule="auto"/>
        <w:ind w:left="0" w:leftChars="0" w:right="0" w:firstLine="424" w:firstLineChars="176"/>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21.1</w:t>
      </w:r>
      <w:r>
        <w:rPr>
          <w:rFonts w:hint="eastAsia" w:ascii="宋体" w:hAnsi="宋体" w:eastAsia="宋体" w:cs="宋体"/>
          <w:color w:val="auto"/>
          <w:sz w:val="24"/>
          <w:szCs w:val="24"/>
          <w:highlight w:val="none"/>
        </w:rPr>
        <w:t>本项目采用电子化、无纸化进行招标，开标当日，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无需到开标现场参加开标会议，</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应当在投标截止时间前，登陆不见面开标大厅选择登陆三门峡市公共资源电子招投标系统进行登陆（网址为http://120.194.249.36:10094/BidOpening/bidopeninghallaction/hall/login）,在线准时参加开标活动并进行投标文件解密等。</w:t>
      </w:r>
    </w:p>
    <w:p w14:paraId="21C2FC16">
      <w:pPr>
        <w:pageBreakBefore w:val="0"/>
        <w:bidi w:val="0"/>
        <w:adjustRightInd w:val="0"/>
        <w:snapToGrid w:val="0"/>
        <w:spacing w:beforeAutospacing="0" w:afterAutospacing="0" w:line="360" w:lineRule="auto"/>
        <w:ind w:left="0" w:leftChars="0" w:right="0" w:firstLine="424" w:firstLineChars="17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21.2</w:t>
      </w:r>
      <w:r>
        <w:rPr>
          <w:rFonts w:hint="eastAsia" w:ascii="宋体" w:hAnsi="宋体" w:eastAsia="宋体" w:cs="宋体"/>
          <w:color w:val="auto"/>
          <w:sz w:val="24"/>
          <w:szCs w:val="24"/>
          <w:highlight w:val="none"/>
        </w:rPr>
        <w:t>电子化投标文件采用一次加密方式。开标时，由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使用CA 证书，在规定时间内对其电子化投标文件进行解密。每位</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的解密时间为开标时间起30 分钟内，如在规定时间内未完成解密的，其投标文件不予开标、唱标。每位</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的解密时间为开标时间起30分钟内完成。</w:t>
      </w:r>
    </w:p>
    <w:p w14:paraId="1E368960">
      <w:pPr>
        <w:pageBreakBefore w:val="0"/>
        <w:bidi w:val="0"/>
        <w:adjustRightInd w:val="0"/>
        <w:snapToGrid w:val="0"/>
        <w:spacing w:beforeAutospacing="0" w:afterAutospacing="0" w:line="360" w:lineRule="auto"/>
        <w:ind w:left="0" w:leftChars="0" w:right="0" w:firstLine="424" w:firstLineChars="17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21.3 </w:t>
      </w:r>
      <w:r>
        <w:rPr>
          <w:rFonts w:hint="eastAsia" w:ascii="宋体" w:hAnsi="宋体" w:eastAsia="宋体" w:cs="宋体"/>
          <w:color w:val="auto"/>
          <w:sz w:val="24"/>
          <w:szCs w:val="24"/>
          <w:highlight w:val="none"/>
        </w:rPr>
        <w:t>电子化投标文件解密异常的处理</w:t>
      </w:r>
    </w:p>
    <w:p w14:paraId="689A700A">
      <w:pPr>
        <w:pageBreakBefore w:val="0"/>
        <w:bidi w:val="0"/>
        <w:adjustRightInd w:val="0"/>
        <w:snapToGrid w:val="0"/>
        <w:spacing w:beforeAutospacing="0" w:afterAutospacing="0" w:line="360" w:lineRule="auto"/>
        <w:ind w:left="0" w:leftChars="0" w:right="0" w:firstLine="422" w:firstLineChars="1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如出现</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的电子投标文件无法解密等异常情况，</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应及时致电中介服务机构说明。投标文件异常，按以下步骤进行处理：</w:t>
      </w:r>
    </w:p>
    <w:p w14:paraId="460E934F">
      <w:pPr>
        <w:pageBreakBefore w:val="0"/>
        <w:bidi w:val="0"/>
        <w:adjustRightInd w:val="0"/>
        <w:snapToGrid w:val="0"/>
        <w:spacing w:beforeAutospacing="0" w:afterAutospacing="0" w:line="360" w:lineRule="auto"/>
        <w:ind w:left="0" w:leftChars="0" w:right="0" w:firstLine="422" w:firstLineChars="1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（1）首先由技术人员进行问题排查。</w:t>
      </w:r>
    </w:p>
    <w:p w14:paraId="70017A79">
      <w:pPr>
        <w:pageBreakBefore w:val="0"/>
        <w:bidi w:val="0"/>
        <w:adjustRightInd w:val="0"/>
        <w:snapToGrid w:val="0"/>
        <w:spacing w:beforeAutospacing="0" w:afterAutospacing="0" w:line="360" w:lineRule="auto"/>
        <w:ind w:left="0" w:leftChars="0" w:right="0" w:firstLine="422" w:firstLineChars="1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（2）经技术人员排查后，是</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文件自身问题导致投标文件无法解密的，该投标文件将不予接收、解密和唱标。开标会议继续进行。</w:t>
      </w:r>
    </w:p>
    <w:p w14:paraId="145954D6">
      <w:pPr>
        <w:pageBreakBefore w:val="0"/>
        <w:bidi w:val="0"/>
        <w:adjustRightInd w:val="0"/>
        <w:snapToGrid w:val="0"/>
        <w:spacing w:beforeAutospacing="0" w:afterAutospacing="0" w:line="360" w:lineRule="auto"/>
        <w:ind w:left="0" w:leftChars="0" w:right="0" w:firstLine="422" w:firstLineChars="1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641A5649">
      <w:pPr>
        <w:pageBreakBefore w:val="0"/>
        <w:bidi w:val="0"/>
        <w:adjustRightInd w:val="0"/>
        <w:snapToGrid w:val="0"/>
        <w:spacing w:beforeAutospacing="0" w:afterAutospacing="0" w:line="360" w:lineRule="auto"/>
        <w:ind w:left="0" w:leftChars="0" w:right="0" w:firstLine="424" w:firstLineChars="17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21.4</w:t>
      </w:r>
      <w:r>
        <w:rPr>
          <w:rFonts w:hint="eastAsia" w:ascii="宋体" w:hAnsi="宋体" w:eastAsia="宋体" w:cs="宋体"/>
          <w:color w:val="auto"/>
          <w:sz w:val="24"/>
          <w:szCs w:val="24"/>
          <w:highlight w:val="none"/>
        </w:rPr>
        <w:t xml:space="preserve"> 待所有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投标文件解密完成后，由中介服务机构操作，对所有已解密投标文件进行唱标。</w:t>
      </w:r>
    </w:p>
    <w:p w14:paraId="21BA68A4">
      <w:pPr>
        <w:pageBreakBefore w:val="0"/>
        <w:bidi w:val="0"/>
        <w:adjustRightInd w:val="0"/>
        <w:snapToGrid w:val="0"/>
        <w:spacing w:beforeAutospacing="0" w:afterAutospacing="0" w:line="360" w:lineRule="auto"/>
        <w:ind w:left="0" w:leftChars="0" w:right="0" w:firstLine="422" w:firstLineChars="1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应保证在开标期间电话、电脑、网络能够正常工作，</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因停电、电脑病毒、网络堵塞等原因，未在规定的解密时间内对投标文件进行解密的，其投标文件不予接收、唱标。</w:t>
      </w:r>
    </w:p>
    <w:p w14:paraId="13B8B232">
      <w:pPr>
        <w:pageBreakBefore w:val="0"/>
        <w:autoSpaceDE w:val="0"/>
        <w:autoSpaceDN w:val="0"/>
        <w:bidi w:val="0"/>
        <w:adjustRightInd w:val="0"/>
        <w:snapToGrid w:val="0"/>
        <w:spacing w:beforeAutospacing="0" w:afterAutospacing="0" w:line="360" w:lineRule="auto"/>
        <w:ind w:left="0" w:leftChars="0" w:right="0" w:firstLine="435"/>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21.5</w:t>
      </w:r>
      <w:r>
        <w:rPr>
          <w:rFonts w:hint="eastAsia" w:ascii="宋体" w:hAnsi="宋体" w:eastAsia="宋体" w:cs="宋体"/>
          <w:color w:val="auto"/>
          <w:sz w:val="24"/>
          <w:szCs w:val="24"/>
          <w:highlight w:val="none"/>
        </w:rPr>
        <w:t xml:space="preserve"> 开标时</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登录到交易系统中在开标大厅中点击开标一览表查看自己的投标报价。如对自己的唱标内容有异议的，应在唱标内容显示后10分钟内向中介服务机构电话质疑。中介服务机构应在监督人员的监督下进行免提通话接受</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的质疑并做好书面记录。</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未在规定时间内提出质疑的，视为认可唱标内容。</w:t>
      </w:r>
    </w:p>
    <w:p w14:paraId="4CC4AAAB">
      <w:pPr>
        <w:pageBreakBefore w:val="0"/>
        <w:autoSpaceDE w:val="0"/>
        <w:autoSpaceDN w:val="0"/>
        <w:bidi w:val="0"/>
        <w:adjustRightInd w:val="0"/>
        <w:snapToGrid w:val="0"/>
        <w:spacing w:beforeAutospacing="0" w:afterAutospacing="0" w:line="360" w:lineRule="auto"/>
        <w:ind w:left="0" w:leftChars="0" w:right="0" w:firstLine="435"/>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21.6开标会议结束后，由采购人和采购代理机构人员按照招标文件第二章供应商须知前附表第</w:t>
      </w:r>
      <w:r>
        <w:rPr>
          <w:rFonts w:hint="eastAsia" w:ascii="宋体" w:hAnsi="宋体" w:eastAsia="宋体" w:cs="宋体"/>
          <w:b/>
          <w:color w:val="auto"/>
          <w:sz w:val="24"/>
          <w:highlight w:val="none"/>
          <w:lang w:val="en-US" w:eastAsia="zh-CN"/>
        </w:rPr>
        <w:t>11</w:t>
      </w:r>
      <w:r>
        <w:rPr>
          <w:rFonts w:hint="eastAsia" w:ascii="宋体" w:hAnsi="宋体" w:eastAsia="宋体" w:cs="宋体"/>
          <w:b/>
          <w:color w:val="auto"/>
          <w:sz w:val="24"/>
          <w:highlight w:val="none"/>
        </w:rPr>
        <w:t>项的要求，对</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进行资格审查，有一项不符合的，视为未通过资格审查，不得进入下一评标过程。</w:t>
      </w:r>
    </w:p>
    <w:p w14:paraId="737DAA07">
      <w:pPr>
        <w:pageBreakBefore w:val="0"/>
        <w:autoSpaceDE w:val="0"/>
        <w:autoSpaceDN w:val="0"/>
        <w:bidi w:val="0"/>
        <w:adjustRightInd w:val="0"/>
        <w:snapToGrid w:val="0"/>
        <w:spacing w:beforeAutospacing="0" w:afterAutospacing="0" w:line="360" w:lineRule="auto"/>
        <w:ind w:left="0" w:leftChars="0" w:right="0" w:firstLine="435"/>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21.7</w:t>
      </w:r>
      <w:r>
        <w:rPr>
          <w:rFonts w:hint="eastAsia" w:ascii="宋体" w:hAnsi="宋体" w:eastAsia="宋体" w:cs="宋体"/>
          <w:color w:val="auto"/>
          <w:sz w:val="24"/>
          <w:highlight w:val="none"/>
        </w:rPr>
        <w:t>采购人将符合资格审查的电子化投标文件提交于评标委员会进行详细评审及比较。</w:t>
      </w:r>
    </w:p>
    <w:p w14:paraId="792C1624">
      <w:pPr>
        <w:pageBreakBefore w:val="0"/>
        <w:autoSpaceDE w:val="0"/>
        <w:autoSpaceDN w:val="0"/>
        <w:bidi w:val="0"/>
        <w:adjustRightInd w:val="0"/>
        <w:snapToGrid w:val="0"/>
        <w:spacing w:beforeAutospacing="0" w:afterAutospacing="0" w:line="360" w:lineRule="auto"/>
        <w:ind w:left="0" w:leftChars="0" w:right="0"/>
        <w:jc w:val="center"/>
        <w:outlineLvl w:val="0"/>
        <w:rPr>
          <w:rFonts w:hint="eastAsia" w:ascii="宋体" w:hAnsi="宋体" w:eastAsia="宋体" w:cs="宋体"/>
          <w:b/>
          <w:bCs/>
          <w:color w:val="auto"/>
          <w:kern w:val="0"/>
          <w:sz w:val="28"/>
          <w:szCs w:val="28"/>
          <w:highlight w:val="none"/>
        </w:rPr>
      </w:pPr>
      <w:bookmarkStart w:id="10" w:name="_Toc13512"/>
      <w:bookmarkStart w:id="11" w:name="_Toc2633"/>
      <w:bookmarkStart w:id="12" w:name="_Toc27433"/>
      <w:r>
        <w:rPr>
          <w:rFonts w:hint="eastAsia" w:ascii="宋体" w:hAnsi="宋体" w:eastAsia="宋体" w:cs="宋体"/>
          <w:b/>
          <w:bCs/>
          <w:color w:val="auto"/>
          <w:kern w:val="0"/>
          <w:sz w:val="28"/>
          <w:szCs w:val="28"/>
          <w:highlight w:val="none"/>
        </w:rPr>
        <w:t>六、评标与定标</w:t>
      </w:r>
      <w:bookmarkEnd w:id="10"/>
      <w:bookmarkEnd w:id="11"/>
      <w:bookmarkEnd w:id="12"/>
    </w:p>
    <w:p w14:paraId="3B91B6FC">
      <w:pPr>
        <w:pageBreakBefore w:val="0"/>
        <w:bidi w:val="0"/>
        <w:adjustRightInd w:val="0"/>
        <w:snapToGrid w:val="0"/>
        <w:spacing w:beforeAutospacing="0" w:afterAutospacing="0" w:line="360" w:lineRule="auto"/>
        <w:ind w:left="0" w:leftChars="0" w:right="0" w:firstLine="48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22.评标委员会</w:t>
      </w:r>
    </w:p>
    <w:p w14:paraId="60E4006E">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22.1</w:t>
      </w:r>
      <w:r>
        <w:rPr>
          <w:rFonts w:hint="eastAsia" w:ascii="宋体" w:hAnsi="宋体" w:eastAsia="宋体" w:cs="宋体"/>
          <w:color w:val="auto"/>
          <w:sz w:val="24"/>
          <w:szCs w:val="24"/>
          <w:highlight w:val="none"/>
        </w:rPr>
        <w:t>评标委员会由采购人依法组建，负责评标活动。</w:t>
      </w:r>
    </w:p>
    <w:p w14:paraId="72056D66">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22.2</w:t>
      </w:r>
      <w:r>
        <w:rPr>
          <w:rFonts w:hint="eastAsia" w:ascii="宋体" w:hAnsi="宋体" w:eastAsia="宋体" w:cs="宋体"/>
          <w:color w:val="auto"/>
          <w:sz w:val="24"/>
          <w:szCs w:val="24"/>
          <w:highlight w:val="none"/>
        </w:rPr>
        <w:t>评标委员会由5人组成：采购人代表1名和有关技术、经济等方面的专家4名。</w:t>
      </w:r>
    </w:p>
    <w:p w14:paraId="102515BE">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22.3</w:t>
      </w:r>
      <w:r>
        <w:rPr>
          <w:rFonts w:hint="eastAsia" w:ascii="宋体" w:hAnsi="宋体" w:eastAsia="宋体" w:cs="宋体"/>
          <w:color w:val="auto"/>
          <w:sz w:val="24"/>
          <w:szCs w:val="24"/>
          <w:highlight w:val="none"/>
        </w:rPr>
        <w:t>参加评标的专家由采购人在评标前从相关评标专家库中随机抽取随机选定。与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有利害关系的人不得进入评标委员会。</w:t>
      </w:r>
    </w:p>
    <w:p w14:paraId="022BEDA0">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22.4</w:t>
      </w:r>
      <w:r>
        <w:rPr>
          <w:rFonts w:hint="eastAsia" w:ascii="宋体" w:hAnsi="宋体" w:eastAsia="宋体" w:cs="宋体"/>
          <w:color w:val="auto"/>
          <w:sz w:val="24"/>
          <w:szCs w:val="24"/>
          <w:highlight w:val="none"/>
        </w:rPr>
        <w:t>开标结束后，开始评标。评标工作在相关部门监督下，采用保密方式进行。</w:t>
      </w:r>
    </w:p>
    <w:p w14:paraId="4FAC794D">
      <w:pPr>
        <w:pageBreakBefore w:val="0"/>
        <w:autoSpaceDE w:val="0"/>
        <w:autoSpaceDN w:val="0"/>
        <w:bidi w:val="0"/>
        <w:adjustRightInd w:val="0"/>
        <w:snapToGrid w:val="0"/>
        <w:spacing w:beforeAutospacing="0" w:afterAutospacing="0" w:line="360" w:lineRule="auto"/>
        <w:ind w:left="0" w:leftChars="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 xml:space="preserve">    23.</w:t>
      </w:r>
      <w:r>
        <w:rPr>
          <w:rFonts w:hint="eastAsia" w:ascii="宋体" w:hAnsi="宋体" w:eastAsia="宋体" w:cs="宋体"/>
          <w:b/>
          <w:bCs/>
          <w:color w:val="auto"/>
          <w:sz w:val="24"/>
          <w:szCs w:val="24"/>
          <w:highlight w:val="none"/>
        </w:rPr>
        <w:t>评标过程的保密</w:t>
      </w:r>
    </w:p>
    <w:p w14:paraId="4B5BC297">
      <w:pPr>
        <w:pageBreakBefore w:val="0"/>
        <w:autoSpaceDE w:val="0"/>
        <w:autoSpaceDN w:val="0"/>
        <w:bidi w:val="0"/>
        <w:adjustRightInd w:val="0"/>
        <w:snapToGrid w:val="0"/>
        <w:spacing w:beforeAutospacing="0" w:afterAutospacing="0" w:line="360" w:lineRule="auto"/>
        <w:ind w:left="0" w:leftChars="0" w:right="0" w:firstLine="465"/>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23.1 </w:t>
      </w:r>
      <w:r>
        <w:rPr>
          <w:rFonts w:hint="eastAsia" w:ascii="宋体" w:hAnsi="宋体" w:eastAsia="宋体" w:cs="宋体"/>
          <w:color w:val="auto"/>
          <w:sz w:val="24"/>
          <w:szCs w:val="24"/>
          <w:highlight w:val="none"/>
        </w:rPr>
        <w:t>开标后，直至授予中标供应商合同为止，凡属于对电子化投标文件的审查、澄清、评价和比较有关的资料，中标候选供应商的推荐情况，及其他任何与评标有关的情况均应严格保密。</w:t>
      </w:r>
    </w:p>
    <w:p w14:paraId="2C00869A">
      <w:pPr>
        <w:pageBreakBefore w:val="0"/>
        <w:autoSpaceDE w:val="0"/>
        <w:autoSpaceDN w:val="0"/>
        <w:bidi w:val="0"/>
        <w:adjustRightInd w:val="0"/>
        <w:snapToGrid w:val="0"/>
        <w:spacing w:beforeAutospacing="0" w:afterAutospacing="0" w:line="360" w:lineRule="auto"/>
        <w:ind w:left="0" w:leftChars="0" w:right="0" w:firstLine="465"/>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23.2 </w:t>
      </w:r>
      <w:r>
        <w:rPr>
          <w:rFonts w:hint="eastAsia" w:ascii="宋体" w:hAnsi="宋体" w:eastAsia="宋体" w:cs="宋体"/>
          <w:color w:val="auto"/>
          <w:sz w:val="24"/>
          <w:szCs w:val="24"/>
          <w:highlight w:val="none"/>
        </w:rPr>
        <w:t>在电子化投标文件的评审和比较、中标候选供应商推荐以及授予合同的过程中，</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向采购人和评标委员会施加影响的任何行为，都将会导致其投标被拒绝。</w:t>
      </w:r>
    </w:p>
    <w:p w14:paraId="26DC8BBC">
      <w:pPr>
        <w:pageBreakBefore w:val="0"/>
        <w:autoSpaceDE w:val="0"/>
        <w:autoSpaceDN w:val="0"/>
        <w:bidi w:val="0"/>
        <w:adjustRightInd w:val="0"/>
        <w:snapToGrid w:val="0"/>
        <w:spacing w:beforeAutospacing="0" w:afterAutospacing="0" w:line="360" w:lineRule="auto"/>
        <w:ind w:left="0" w:leftChars="0" w:right="0" w:firstLine="465"/>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23.3 </w:t>
      </w:r>
      <w:r>
        <w:rPr>
          <w:rFonts w:hint="eastAsia" w:ascii="宋体" w:hAnsi="宋体" w:eastAsia="宋体" w:cs="宋体"/>
          <w:color w:val="auto"/>
          <w:sz w:val="24"/>
          <w:szCs w:val="24"/>
          <w:highlight w:val="none"/>
        </w:rPr>
        <w:t>中标供应商确定后，采购人不对未中标供应商就评标过程以及未能中标原因做出任何解释。未中标供应商不得向评标委员会组成人员或其他有关人员索问评标过程的情况和材料。</w:t>
      </w:r>
    </w:p>
    <w:p w14:paraId="39197028">
      <w:pPr>
        <w:pageBreakBefore w:val="0"/>
        <w:autoSpaceDE w:val="0"/>
        <w:autoSpaceDN w:val="0"/>
        <w:bidi w:val="0"/>
        <w:adjustRightInd w:val="0"/>
        <w:snapToGrid w:val="0"/>
        <w:spacing w:beforeAutospacing="0" w:afterAutospacing="0" w:line="360" w:lineRule="auto"/>
        <w:ind w:left="0" w:leftChars="0" w:right="0" w:firstLine="465"/>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24.评标纪律</w:t>
      </w:r>
    </w:p>
    <w:p w14:paraId="6CC0650D">
      <w:pPr>
        <w:pageBreakBefore w:val="0"/>
        <w:autoSpaceDE w:val="0"/>
        <w:autoSpaceDN w:val="0"/>
        <w:bidi w:val="0"/>
        <w:adjustRightInd w:val="0"/>
        <w:snapToGrid w:val="0"/>
        <w:spacing w:beforeAutospacing="0" w:afterAutospacing="0" w:line="360" w:lineRule="auto"/>
        <w:ind w:left="0" w:leftChars="0" w:right="0" w:firstLine="465"/>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24.1</w:t>
      </w:r>
      <w:r>
        <w:rPr>
          <w:rFonts w:hint="eastAsia" w:ascii="宋体" w:hAnsi="宋体" w:eastAsia="宋体" w:cs="宋体"/>
          <w:color w:val="auto"/>
          <w:kern w:val="0"/>
          <w:sz w:val="24"/>
          <w:szCs w:val="24"/>
          <w:highlight w:val="none"/>
        </w:rPr>
        <w:t xml:space="preserve"> 评标委员会成员和参与评标工作的有关人员不得透露对</w:t>
      </w:r>
      <w:r>
        <w:rPr>
          <w:rFonts w:hint="eastAsia" w:ascii="宋体" w:hAnsi="宋体" w:eastAsia="宋体" w:cs="宋体"/>
          <w:color w:val="auto"/>
          <w:sz w:val="24"/>
          <w:szCs w:val="24"/>
          <w:highlight w:val="none"/>
        </w:rPr>
        <w:t>电子化</w:t>
      </w:r>
      <w:r>
        <w:rPr>
          <w:rFonts w:hint="eastAsia" w:ascii="宋体" w:hAnsi="宋体" w:eastAsia="宋体" w:cs="宋体"/>
          <w:color w:val="auto"/>
          <w:kern w:val="0"/>
          <w:sz w:val="24"/>
          <w:szCs w:val="24"/>
          <w:highlight w:val="none"/>
        </w:rPr>
        <w:t>投标文件的评审和比较、中标候选供应商的推荐情况以及与评标有关的其它情况。</w:t>
      </w:r>
    </w:p>
    <w:p w14:paraId="4D5FBFD6">
      <w:pPr>
        <w:pageBreakBefore w:val="0"/>
        <w:autoSpaceDE w:val="0"/>
        <w:autoSpaceDN w:val="0"/>
        <w:bidi w:val="0"/>
        <w:adjustRightInd w:val="0"/>
        <w:snapToGrid w:val="0"/>
        <w:spacing w:beforeAutospacing="0" w:afterAutospacing="0" w:line="360" w:lineRule="auto"/>
        <w:ind w:left="0" w:leftChars="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24.2</w:t>
      </w:r>
      <w:r>
        <w:rPr>
          <w:rFonts w:hint="eastAsia" w:ascii="宋体" w:hAnsi="宋体" w:eastAsia="宋体" w:cs="宋体"/>
          <w:color w:val="auto"/>
          <w:kern w:val="0"/>
          <w:sz w:val="24"/>
          <w:szCs w:val="24"/>
          <w:highlight w:val="none"/>
        </w:rPr>
        <w:t xml:space="preserve"> 除投标须知第2</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条款的规定以外，开标以后至授予中标通知书前，任何</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均不得就与其</w:t>
      </w:r>
      <w:r>
        <w:rPr>
          <w:rFonts w:hint="eastAsia" w:ascii="宋体" w:hAnsi="宋体" w:eastAsia="宋体" w:cs="宋体"/>
          <w:color w:val="auto"/>
          <w:sz w:val="24"/>
          <w:szCs w:val="24"/>
          <w:highlight w:val="none"/>
        </w:rPr>
        <w:t>电子化</w:t>
      </w:r>
      <w:r>
        <w:rPr>
          <w:rFonts w:hint="eastAsia" w:ascii="宋体" w:hAnsi="宋体" w:eastAsia="宋体" w:cs="宋体"/>
          <w:color w:val="auto"/>
          <w:kern w:val="0"/>
          <w:sz w:val="24"/>
          <w:szCs w:val="24"/>
          <w:highlight w:val="none"/>
        </w:rPr>
        <w:t>投标文件有关的问题主动与采购人和采购代理机构发生联系。</w:t>
      </w:r>
    </w:p>
    <w:p w14:paraId="72534261">
      <w:pPr>
        <w:pageBreakBefore w:val="0"/>
        <w:autoSpaceDE w:val="0"/>
        <w:autoSpaceDN w:val="0"/>
        <w:bidi w:val="0"/>
        <w:adjustRightInd w:val="0"/>
        <w:snapToGrid w:val="0"/>
        <w:spacing w:beforeAutospacing="0" w:afterAutospacing="0" w:line="360" w:lineRule="auto"/>
        <w:ind w:left="0" w:leftChars="0" w:right="0" w:firstLine="465"/>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24.3</w:t>
      </w:r>
      <w:r>
        <w:rPr>
          <w:rFonts w:hint="eastAsia" w:ascii="宋体" w:hAnsi="宋体" w:eastAsia="宋体" w:cs="宋体"/>
          <w:color w:val="auto"/>
          <w:kern w:val="0"/>
          <w:sz w:val="24"/>
          <w:szCs w:val="24"/>
          <w:highlight w:val="none"/>
        </w:rPr>
        <w:t xml:space="preserve"> 如果</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试图对评标委员会的评标施加影响，则将导致该</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的</w:t>
      </w:r>
      <w:r>
        <w:rPr>
          <w:rFonts w:hint="eastAsia" w:ascii="宋体" w:hAnsi="宋体" w:eastAsia="宋体" w:cs="宋体"/>
          <w:color w:val="auto"/>
          <w:sz w:val="24"/>
          <w:szCs w:val="24"/>
          <w:highlight w:val="none"/>
        </w:rPr>
        <w:t>电子化</w:t>
      </w:r>
      <w:r>
        <w:rPr>
          <w:rFonts w:hint="eastAsia" w:ascii="宋体" w:hAnsi="宋体" w:eastAsia="宋体" w:cs="宋体"/>
          <w:color w:val="auto"/>
          <w:kern w:val="0"/>
          <w:sz w:val="24"/>
          <w:szCs w:val="24"/>
          <w:highlight w:val="none"/>
        </w:rPr>
        <w:t>投标文件被拒绝。</w:t>
      </w:r>
    </w:p>
    <w:p w14:paraId="30E006D4">
      <w:pPr>
        <w:pageBreakBefore w:val="0"/>
        <w:autoSpaceDE w:val="0"/>
        <w:autoSpaceDN w:val="0"/>
        <w:bidi w:val="0"/>
        <w:adjustRightInd w:val="0"/>
        <w:snapToGrid w:val="0"/>
        <w:spacing w:beforeAutospacing="0" w:afterAutospacing="0" w:line="360" w:lineRule="auto"/>
        <w:ind w:left="0" w:leftChars="0" w:right="0" w:firstLine="465"/>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25.电子化</w:t>
      </w:r>
      <w:r>
        <w:rPr>
          <w:rFonts w:hint="eastAsia" w:ascii="宋体" w:hAnsi="宋体" w:eastAsia="宋体" w:cs="宋体"/>
          <w:b/>
          <w:bCs/>
          <w:color w:val="auto"/>
          <w:sz w:val="24"/>
          <w:szCs w:val="24"/>
          <w:highlight w:val="none"/>
        </w:rPr>
        <w:t>投标文件的澄清</w:t>
      </w:r>
    </w:p>
    <w:p w14:paraId="64E0DAEC">
      <w:pPr>
        <w:pageBreakBefore w:val="0"/>
        <w:autoSpaceDE w:val="0"/>
        <w:autoSpaceDN w:val="0"/>
        <w:bidi w:val="0"/>
        <w:adjustRightInd w:val="0"/>
        <w:snapToGrid w:val="0"/>
        <w:spacing w:beforeAutospacing="0" w:afterAutospacing="0" w:line="360" w:lineRule="auto"/>
        <w:ind w:left="0" w:leftChars="0" w:right="0" w:firstLine="465"/>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rPr>
        <w:t>25.1</w:t>
      </w:r>
      <w:r>
        <w:rPr>
          <w:rFonts w:hint="eastAsia" w:ascii="宋体" w:hAnsi="宋体" w:eastAsia="宋体" w:cs="宋体"/>
          <w:color w:val="auto"/>
          <w:sz w:val="24"/>
          <w:szCs w:val="24"/>
          <w:highlight w:val="none"/>
        </w:rPr>
        <w:t xml:space="preserve"> 为有助于电子化投标文件的审查、评价和比较，评标委员会可以以书面形式要求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对电子化投标文件含义不明确的内容作必要的澄清或说明，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应采用书面形式进行澄清或说明，但不得超出电子化投标文件的范围或改变电子化投标文件的实质性内容。根据本须知规定，凡属于评标委员会在评标中发现的计算错误并进行核实的修改不在此列。</w:t>
      </w:r>
    </w:p>
    <w:p w14:paraId="66BFC81D">
      <w:pPr>
        <w:pageBreakBefore w:val="0"/>
        <w:autoSpaceDE w:val="0"/>
        <w:autoSpaceDN w:val="0"/>
        <w:bidi w:val="0"/>
        <w:adjustRightInd w:val="0"/>
        <w:snapToGrid w:val="0"/>
        <w:spacing w:beforeAutospacing="0" w:afterAutospacing="0" w:line="360" w:lineRule="auto"/>
        <w:ind w:left="0" w:leftChars="0" w:right="0" w:firstLine="48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26.电子化</w:t>
      </w:r>
      <w:r>
        <w:rPr>
          <w:rFonts w:hint="eastAsia" w:ascii="宋体" w:hAnsi="宋体" w:eastAsia="宋体" w:cs="宋体"/>
          <w:b/>
          <w:bCs/>
          <w:color w:val="auto"/>
          <w:sz w:val="24"/>
          <w:szCs w:val="24"/>
          <w:highlight w:val="none"/>
        </w:rPr>
        <w:t>投标文件的初步评审</w:t>
      </w:r>
    </w:p>
    <w:p w14:paraId="617AE756">
      <w:pPr>
        <w:pageBreakBefore w:val="0"/>
        <w:autoSpaceDE w:val="0"/>
        <w:autoSpaceDN w:val="0"/>
        <w:bidi w:val="0"/>
        <w:adjustRightInd w:val="0"/>
        <w:snapToGrid w:val="0"/>
        <w:spacing w:beforeAutospacing="0" w:afterAutospacing="0" w:line="360" w:lineRule="auto"/>
        <w:ind w:left="0" w:leftChars="0" w:right="0" w:firstLine="48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26.1 </w:t>
      </w:r>
      <w:r>
        <w:rPr>
          <w:rFonts w:hint="eastAsia" w:ascii="宋体" w:hAnsi="宋体" w:eastAsia="宋体" w:cs="宋体"/>
          <w:color w:val="auto"/>
          <w:sz w:val="24"/>
          <w:szCs w:val="24"/>
          <w:highlight w:val="none"/>
        </w:rPr>
        <w:t>评标时，评标委员会将首先评定每份电子化投标文件是否在实质上响应了招标文件的要求。所谓实质上响应，是指电子化投标文件应与招标文件的所有实质性条款、条件和要求相符，无显著差异或保留，或者对合同中约定的采购人的权利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的义务方面没有造成重大的限制，纠正这些差异或保留将不会对其他实质上响应招标文件要求的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的竞争地位产生不公正的影响。</w:t>
      </w:r>
    </w:p>
    <w:p w14:paraId="3C395481">
      <w:pPr>
        <w:pageBreakBefore w:val="0"/>
        <w:autoSpaceDE w:val="0"/>
        <w:autoSpaceDN w:val="0"/>
        <w:bidi w:val="0"/>
        <w:adjustRightInd w:val="0"/>
        <w:snapToGrid w:val="0"/>
        <w:spacing w:beforeAutospacing="0" w:afterAutospacing="0" w:line="360" w:lineRule="auto"/>
        <w:ind w:left="0" w:leftChars="0" w:right="0" w:firstLine="48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26.2 </w:t>
      </w:r>
      <w:r>
        <w:rPr>
          <w:rFonts w:hint="eastAsia" w:ascii="宋体" w:hAnsi="宋体" w:eastAsia="宋体" w:cs="宋体"/>
          <w:color w:val="auto"/>
          <w:sz w:val="24"/>
          <w:szCs w:val="24"/>
          <w:highlight w:val="none"/>
        </w:rPr>
        <w:t>如果电子化投标文件实质上不响应招标文件的各项要求，评标委员会将予以拒绝，并且不允许</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通过修改或撤销其不符合要求的差异或保留，使之成为具有响应性的投标。</w:t>
      </w:r>
    </w:p>
    <w:p w14:paraId="07BF5128">
      <w:pPr>
        <w:pageBreakBefore w:val="0"/>
        <w:autoSpaceDE w:val="0"/>
        <w:autoSpaceDN w:val="0"/>
        <w:bidi w:val="0"/>
        <w:adjustRightInd w:val="0"/>
        <w:snapToGrid w:val="0"/>
        <w:spacing w:beforeAutospacing="0" w:afterAutospacing="0" w:line="360" w:lineRule="auto"/>
        <w:ind w:left="0" w:leftChars="0" w:right="0" w:firstLine="48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26.3 </w:t>
      </w:r>
      <w:r>
        <w:rPr>
          <w:rFonts w:hint="eastAsia" w:ascii="宋体" w:hAnsi="宋体" w:eastAsia="宋体" w:cs="宋体"/>
          <w:color w:val="auto"/>
          <w:sz w:val="24"/>
          <w:szCs w:val="24"/>
          <w:highlight w:val="none"/>
        </w:rPr>
        <w:t>电子化投标文件有下列情形之一的，由评标委员会初审后按无效标处理：</w:t>
      </w:r>
    </w:p>
    <w:p w14:paraId="2FD3074B">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（1）电子化投标文件附有采购人不能接受的条件的；</w:t>
      </w:r>
    </w:p>
    <w:p w14:paraId="721C3B2B">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（2）投标报价高于招标文件中投标最高限价的；</w:t>
      </w:r>
    </w:p>
    <w:p w14:paraId="1CE5E43F">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（3）以他人的名义投标、串通投标、以行贿手段谋取中标或者以其他弄虚作假方式投标的；</w:t>
      </w:r>
    </w:p>
    <w:p w14:paraId="5A1FFFDC">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（4）采取不正当手段谋取中标的。</w:t>
      </w:r>
    </w:p>
    <w:p w14:paraId="101EACCA">
      <w:pPr>
        <w:pageBreakBefore w:val="0"/>
        <w:bidi w:val="0"/>
        <w:adjustRightInd w:val="0"/>
        <w:snapToGrid w:val="0"/>
        <w:spacing w:beforeAutospacing="0" w:afterAutospacing="0" w:line="360" w:lineRule="auto"/>
        <w:ind w:left="0" w:leftChars="0" w:right="0" w:firstLine="480"/>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rPr>
        <w:t>27.电子化投标文件计算错误的修正</w:t>
      </w:r>
    </w:p>
    <w:p w14:paraId="56AAD17D">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27.1</w:t>
      </w:r>
      <w:r>
        <w:rPr>
          <w:rFonts w:hint="eastAsia" w:ascii="宋体" w:hAnsi="宋体" w:eastAsia="宋体" w:cs="宋体"/>
          <w:color w:val="auto"/>
          <w:sz w:val="24"/>
          <w:szCs w:val="24"/>
          <w:highlight w:val="none"/>
        </w:rPr>
        <w:t>评标委员会将对确定为实质上响应招标文件要求的电子化投标文件进行校核，看其是否有计算或表达上的错误，修正错误的原则如下：</w:t>
      </w:r>
    </w:p>
    <w:p w14:paraId="4D2F6A34">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27.1.1</w:t>
      </w:r>
      <w:r>
        <w:rPr>
          <w:rFonts w:hint="eastAsia" w:ascii="宋体" w:hAnsi="宋体" w:eastAsia="宋体" w:cs="宋体"/>
          <w:color w:val="auto"/>
          <w:sz w:val="24"/>
          <w:szCs w:val="24"/>
          <w:highlight w:val="none"/>
        </w:rPr>
        <w:t>电子化投标文件中的大写金额和小写金额不一致的，以大写金额为准；</w:t>
      </w:r>
    </w:p>
    <w:p w14:paraId="71401D99">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27.1.2</w:t>
      </w:r>
      <w:r>
        <w:rPr>
          <w:rFonts w:hint="eastAsia" w:ascii="宋体" w:hAnsi="宋体" w:eastAsia="宋体" w:cs="宋体"/>
          <w:color w:val="auto"/>
          <w:sz w:val="24"/>
          <w:szCs w:val="24"/>
          <w:highlight w:val="none"/>
        </w:rPr>
        <w:t>对不同文字文本电子化投标文件的解释发生异议的，以中文文本为准。</w:t>
      </w:r>
    </w:p>
    <w:p w14:paraId="0035E8E3">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27.2</w:t>
      </w:r>
      <w:r>
        <w:rPr>
          <w:rFonts w:hint="eastAsia" w:ascii="宋体" w:hAnsi="宋体" w:eastAsia="宋体" w:cs="宋体"/>
          <w:color w:val="auto"/>
          <w:sz w:val="24"/>
          <w:szCs w:val="24"/>
          <w:highlight w:val="none"/>
        </w:rPr>
        <w:t>按上述修正错误的原则及方法调整或修正电子化投标文件的投标报价，</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同意后，调整后的投标报价对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起约束作用。</w:t>
      </w:r>
    </w:p>
    <w:p w14:paraId="70DB3BC9">
      <w:pPr>
        <w:pageBreakBefore w:val="0"/>
        <w:bidi w:val="0"/>
        <w:adjustRightInd w:val="0"/>
        <w:snapToGrid w:val="0"/>
        <w:spacing w:beforeAutospacing="0" w:afterAutospacing="0" w:line="360" w:lineRule="auto"/>
        <w:ind w:left="0" w:leftChars="0" w:right="0" w:firstLine="480"/>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28.电子化</w:t>
      </w:r>
      <w:r>
        <w:rPr>
          <w:rFonts w:hint="eastAsia" w:ascii="宋体" w:hAnsi="宋体" w:eastAsia="宋体" w:cs="宋体"/>
          <w:b/>
          <w:bCs/>
          <w:color w:val="auto"/>
          <w:sz w:val="24"/>
          <w:szCs w:val="24"/>
          <w:highlight w:val="none"/>
        </w:rPr>
        <w:t>投标文件的评审、比较和否决</w:t>
      </w:r>
    </w:p>
    <w:p w14:paraId="1F5AECAF">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28.1</w:t>
      </w:r>
      <w:r>
        <w:rPr>
          <w:rFonts w:hint="eastAsia" w:ascii="宋体" w:hAnsi="宋体" w:eastAsia="宋体" w:cs="宋体"/>
          <w:color w:val="auto"/>
          <w:sz w:val="24"/>
          <w:szCs w:val="24"/>
          <w:highlight w:val="none"/>
        </w:rPr>
        <w:t>评标委员会将按照招标文件的规定，仅对在实质上响应招标文件要求的电子化投标文件进行评估和比较。</w:t>
      </w:r>
    </w:p>
    <w:p w14:paraId="37D24C7F">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28.2</w:t>
      </w:r>
      <w:r>
        <w:rPr>
          <w:rFonts w:hint="eastAsia" w:ascii="宋体" w:hAnsi="宋体" w:eastAsia="宋体" w:cs="宋体"/>
          <w:color w:val="auto"/>
          <w:sz w:val="24"/>
          <w:szCs w:val="24"/>
          <w:highlight w:val="none"/>
        </w:rPr>
        <w:t>根据相关法律法规及有关招投标文件规定，结合本项目具体情况，制定本次招标评标办法。并按照“公平、公正、科学、择优”的原则进行评标。采用综合评分法进行评比。</w:t>
      </w:r>
    </w:p>
    <w:p w14:paraId="29689BC4">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28.3</w:t>
      </w:r>
      <w:r>
        <w:rPr>
          <w:rFonts w:hint="eastAsia" w:ascii="宋体" w:hAnsi="宋体" w:eastAsia="宋体" w:cs="宋体"/>
          <w:color w:val="auto"/>
          <w:sz w:val="24"/>
          <w:szCs w:val="24"/>
          <w:highlight w:val="none"/>
        </w:rPr>
        <w:t>在评审过程中，评标委员会可以以书面形式要求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就电子化投标文件中含义不明确的内容进行书面说明并提供相关材料。</w:t>
      </w:r>
    </w:p>
    <w:p w14:paraId="13D60550">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 xml:space="preserve">28.4 </w:t>
      </w:r>
      <w:r>
        <w:rPr>
          <w:rFonts w:hint="eastAsia" w:ascii="宋体" w:hAnsi="宋体" w:eastAsia="宋体" w:cs="宋体"/>
          <w:color w:val="auto"/>
          <w:kern w:val="0"/>
          <w:sz w:val="24"/>
          <w:szCs w:val="24"/>
          <w:highlight w:val="none"/>
        </w:rPr>
        <w:t>评标时，投标报价是评标的重要依据，但不是唯一依据，</w:t>
      </w:r>
      <w:r>
        <w:rPr>
          <w:rFonts w:hint="eastAsia" w:ascii="宋体" w:hAnsi="宋体" w:eastAsia="宋体" w:cs="宋体"/>
          <w:color w:val="auto"/>
          <w:sz w:val="24"/>
          <w:szCs w:val="24"/>
          <w:highlight w:val="none"/>
        </w:rPr>
        <w:t>采购人不承诺将合同授予报价最低或最高的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p>
    <w:p w14:paraId="7646AE2C">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28.5</w:t>
      </w:r>
      <w:r>
        <w:rPr>
          <w:rFonts w:hint="eastAsia" w:ascii="宋体" w:hAnsi="宋体" w:eastAsia="宋体" w:cs="宋体"/>
          <w:color w:val="auto"/>
          <w:sz w:val="24"/>
          <w:szCs w:val="24"/>
          <w:highlight w:val="none"/>
        </w:rPr>
        <w:t>评标委员会认为</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的报价明显低于其他通过符合性审查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的报价，有可能影响产品质量或者不能诚信履约的，应当要求其在评标现场合理的时间内提供书面说明，必要时提交相关证明材料；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不能证明其报价合理性的，评标委员会应当将其作为无效投标处理。</w:t>
      </w:r>
    </w:p>
    <w:p w14:paraId="43148096">
      <w:pPr>
        <w:pageBreakBefore w:val="0"/>
        <w:autoSpaceDE w:val="0"/>
        <w:autoSpaceDN w:val="0"/>
        <w:bidi w:val="0"/>
        <w:adjustRightInd w:val="0"/>
        <w:snapToGrid w:val="0"/>
        <w:spacing w:beforeAutospacing="0" w:afterAutospacing="0" w:line="360" w:lineRule="auto"/>
        <w:ind w:left="0" w:leftChars="0" w:right="0" w:firstLine="420"/>
        <w:jc w:val="left"/>
        <w:outlineLvl w:val="0"/>
        <w:rPr>
          <w:rFonts w:hint="eastAsia" w:ascii="宋体" w:hAnsi="宋体" w:eastAsia="宋体" w:cs="宋体"/>
          <w:color w:val="auto"/>
          <w:sz w:val="24"/>
          <w:szCs w:val="24"/>
          <w:highlight w:val="none"/>
        </w:rPr>
      </w:pPr>
      <w:bookmarkStart w:id="13" w:name="_Toc21449"/>
      <w:bookmarkStart w:id="14" w:name="_Toc11347"/>
      <w:bookmarkStart w:id="15" w:name="_Toc2676"/>
      <w:r>
        <w:rPr>
          <w:rFonts w:hint="eastAsia" w:ascii="宋体" w:hAnsi="宋体" w:eastAsia="宋体" w:cs="宋体"/>
          <w:b/>
          <w:bCs/>
          <w:color w:val="auto"/>
          <w:sz w:val="24"/>
          <w:szCs w:val="24"/>
          <w:highlight w:val="none"/>
        </w:rPr>
        <w:t xml:space="preserve">28.6 </w:t>
      </w:r>
      <w:r>
        <w:rPr>
          <w:rFonts w:hint="eastAsia" w:ascii="宋体" w:hAnsi="宋体" w:eastAsia="宋体" w:cs="宋体"/>
          <w:color w:val="auto"/>
          <w:sz w:val="24"/>
          <w:szCs w:val="24"/>
          <w:highlight w:val="none"/>
        </w:rPr>
        <w:t>评标委员会依据本须知规定的评标标准和方法，对电子化投标文件进行评审和比较，向采购人提供书面评标报告，并按顺序推荐中标候选人数3名。</w:t>
      </w:r>
      <w:bookmarkEnd w:id="13"/>
      <w:bookmarkEnd w:id="14"/>
      <w:bookmarkEnd w:id="15"/>
    </w:p>
    <w:p w14:paraId="25392F9A">
      <w:pPr>
        <w:pageBreakBefore w:val="0"/>
        <w:bidi w:val="0"/>
        <w:adjustRightInd w:val="0"/>
        <w:snapToGrid w:val="0"/>
        <w:spacing w:beforeAutospacing="0" w:afterAutospacing="0" w:line="360" w:lineRule="auto"/>
        <w:ind w:left="0" w:leftChars="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28.7</w:t>
      </w:r>
      <w:r>
        <w:rPr>
          <w:rFonts w:hint="eastAsia" w:ascii="宋体" w:hAnsi="宋体" w:eastAsia="宋体" w:cs="宋体"/>
          <w:color w:val="auto"/>
          <w:kern w:val="0"/>
          <w:sz w:val="24"/>
          <w:szCs w:val="24"/>
          <w:highlight w:val="none"/>
        </w:rPr>
        <w:t>本项目采用综合评分法，按评审后得分由高到低顺序排列。得分相同的，按投标报价由低到高的顺序排列。得分且投标报价相同的，按技术标得分由高到低的顺序排列。技术指标仍相同的，按商务标由高到低的顺序排列，以上各项都相同的，由评标委员会</w:t>
      </w:r>
      <w:r>
        <w:rPr>
          <w:rFonts w:hint="eastAsia" w:ascii="宋体" w:hAnsi="宋体" w:eastAsia="宋体" w:cs="宋体"/>
          <w:color w:val="auto"/>
          <w:sz w:val="24"/>
          <w:szCs w:val="24"/>
          <w:highlight w:val="none"/>
        </w:rPr>
        <w:t>确定排名第一的为中标候选人。</w:t>
      </w:r>
      <w:r>
        <w:rPr>
          <w:rFonts w:hint="eastAsia" w:ascii="宋体" w:hAnsi="宋体" w:eastAsia="宋体" w:cs="宋体"/>
          <w:color w:val="auto"/>
          <w:kern w:val="0"/>
          <w:sz w:val="24"/>
          <w:szCs w:val="24"/>
          <w:highlight w:val="none"/>
        </w:rPr>
        <w:t xml:space="preserve"> </w:t>
      </w:r>
    </w:p>
    <w:p w14:paraId="2EC17801">
      <w:pPr>
        <w:pageBreakBefore w:val="0"/>
        <w:autoSpaceDE w:val="0"/>
        <w:autoSpaceDN w:val="0"/>
        <w:bidi w:val="0"/>
        <w:adjustRightInd w:val="0"/>
        <w:snapToGrid w:val="0"/>
        <w:spacing w:beforeAutospacing="0" w:afterAutospacing="0" w:line="360" w:lineRule="auto"/>
        <w:ind w:left="0" w:leftChars="0" w:right="0" w:firstLine="420"/>
        <w:jc w:val="center"/>
        <w:outlineLvl w:val="0"/>
        <w:rPr>
          <w:rFonts w:hint="eastAsia" w:ascii="宋体" w:hAnsi="宋体" w:eastAsia="宋体" w:cs="宋体"/>
          <w:b/>
          <w:bCs/>
          <w:color w:val="auto"/>
          <w:kern w:val="0"/>
          <w:sz w:val="28"/>
          <w:szCs w:val="28"/>
          <w:highlight w:val="none"/>
        </w:rPr>
      </w:pPr>
      <w:bookmarkStart w:id="16" w:name="_Toc4659"/>
      <w:bookmarkStart w:id="17" w:name="_Toc27563"/>
      <w:bookmarkStart w:id="18" w:name="_Toc20837"/>
      <w:r>
        <w:rPr>
          <w:rFonts w:hint="eastAsia" w:ascii="宋体" w:hAnsi="宋体" w:eastAsia="宋体" w:cs="宋体"/>
          <w:b/>
          <w:bCs/>
          <w:color w:val="auto"/>
          <w:kern w:val="0"/>
          <w:sz w:val="28"/>
          <w:szCs w:val="28"/>
          <w:highlight w:val="none"/>
        </w:rPr>
        <w:t>七、授予合同</w:t>
      </w:r>
      <w:bookmarkEnd w:id="16"/>
      <w:bookmarkEnd w:id="17"/>
      <w:bookmarkEnd w:id="18"/>
    </w:p>
    <w:p w14:paraId="50C9E45D">
      <w:pPr>
        <w:pageBreakBefore w:val="0"/>
        <w:autoSpaceDE w:val="0"/>
        <w:autoSpaceDN w:val="0"/>
        <w:bidi w:val="0"/>
        <w:adjustRightInd w:val="0"/>
        <w:snapToGrid w:val="0"/>
        <w:spacing w:beforeAutospacing="0" w:afterAutospacing="0" w:line="360" w:lineRule="auto"/>
        <w:ind w:left="0" w:leftChars="0" w:right="0" w:firstLine="420"/>
        <w:jc w:val="left"/>
        <w:outlineLvl w:val="0"/>
        <w:rPr>
          <w:rFonts w:hint="eastAsia" w:ascii="宋体" w:hAnsi="宋体" w:eastAsia="宋体" w:cs="宋体"/>
          <w:b/>
          <w:bCs/>
          <w:color w:val="auto"/>
          <w:kern w:val="0"/>
          <w:sz w:val="24"/>
          <w:szCs w:val="24"/>
          <w:highlight w:val="none"/>
        </w:rPr>
      </w:pPr>
      <w:bookmarkStart w:id="19" w:name="_Toc5799"/>
      <w:bookmarkStart w:id="20" w:name="_Toc4014"/>
      <w:bookmarkStart w:id="21" w:name="_Toc29186"/>
      <w:r>
        <w:rPr>
          <w:rFonts w:hint="eastAsia" w:ascii="宋体" w:hAnsi="宋体" w:eastAsia="宋体" w:cs="宋体"/>
          <w:b/>
          <w:bCs/>
          <w:color w:val="auto"/>
          <w:kern w:val="0"/>
          <w:sz w:val="24"/>
          <w:szCs w:val="24"/>
          <w:highlight w:val="none"/>
        </w:rPr>
        <w:t>29.合同授予标准</w:t>
      </w:r>
      <w:bookmarkEnd w:id="19"/>
      <w:bookmarkEnd w:id="20"/>
      <w:bookmarkEnd w:id="21"/>
    </w:p>
    <w:p w14:paraId="11BE99DA">
      <w:pPr>
        <w:pageBreakBefore w:val="0"/>
        <w:autoSpaceDE w:val="0"/>
        <w:autoSpaceDN w:val="0"/>
        <w:bidi w:val="0"/>
        <w:adjustRightInd w:val="0"/>
        <w:snapToGrid w:val="0"/>
        <w:spacing w:beforeAutospacing="0" w:afterAutospacing="0" w:line="360" w:lineRule="auto"/>
        <w:ind w:left="0" w:leftChars="0" w:right="0" w:firstLine="420"/>
        <w:jc w:val="left"/>
        <w:outlineLvl w:val="0"/>
        <w:rPr>
          <w:rFonts w:hint="eastAsia" w:ascii="宋体" w:hAnsi="宋体" w:eastAsia="宋体" w:cs="宋体"/>
          <w:color w:val="auto"/>
          <w:sz w:val="24"/>
          <w:szCs w:val="24"/>
          <w:highlight w:val="none"/>
        </w:rPr>
      </w:pPr>
      <w:bookmarkStart w:id="22" w:name="_Toc22212"/>
      <w:bookmarkStart w:id="23" w:name="_Toc22751"/>
      <w:bookmarkStart w:id="24" w:name="_Toc12027"/>
      <w:r>
        <w:rPr>
          <w:rFonts w:hint="eastAsia" w:ascii="宋体" w:hAnsi="宋体" w:eastAsia="宋体" w:cs="宋体"/>
          <w:b/>
          <w:bCs/>
          <w:color w:val="auto"/>
          <w:kern w:val="0"/>
          <w:sz w:val="24"/>
          <w:szCs w:val="24"/>
          <w:highlight w:val="none"/>
        </w:rPr>
        <w:t xml:space="preserve">29.1 </w:t>
      </w:r>
      <w:r>
        <w:rPr>
          <w:rFonts w:hint="eastAsia" w:ascii="宋体" w:hAnsi="宋体" w:eastAsia="宋体" w:cs="宋体"/>
          <w:color w:val="auto"/>
          <w:sz w:val="24"/>
          <w:szCs w:val="24"/>
          <w:highlight w:val="none"/>
        </w:rPr>
        <w:t>本招标项目的合同将授予按本评标办法确定的中标供应商。</w:t>
      </w:r>
      <w:bookmarkEnd w:id="22"/>
      <w:bookmarkEnd w:id="23"/>
      <w:bookmarkEnd w:id="24"/>
    </w:p>
    <w:p w14:paraId="44121222">
      <w:pPr>
        <w:pageBreakBefore w:val="0"/>
        <w:autoSpaceDE w:val="0"/>
        <w:autoSpaceDN w:val="0"/>
        <w:bidi w:val="0"/>
        <w:adjustRightInd w:val="0"/>
        <w:snapToGrid w:val="0"/>
        <w:spacing w:beforeAutospacing="0" w:afterAutospacing="0" w:line="360" w:lineRule="auto"/>
        <w:ind w:left="0" w:leftChars="0" w:right="0" w:firstLine="420"/>
        <w:jc w:val="left"/>
        <w:outlineLvl w:val="0"/>
        <w:rPr>
          <w:rFonts w:hint="eastAsia" w:ascii="宋体" w:hAnsi="宋体" w:eastAsia="宋体" w:cs="宋体"/>
          <w:color w:val="auto"/>
          <w:sz w:val="24"/>
          <w:szCs w:val="24"/>
          <w:highlight w:val="none"/>
        </w:rPr>
      </w:pPr>
      <w:bookmarkStart w:id="25" w:name="_Toc7266"/>
      <w:bookmarkStart w:id="26" w:name="_Toc24128"/>
      <w:bookmarkStart w:id="27" w:name="_Toc14186"/>
      <w:r>
        <w:rPr>
          <w:rFonts w:hint="eastAsia" w:ascii="宋体" w:hAnsi="宋体" w:eastAsia="宋体" w:cs="宋体"/>
          <w:b/>
          <w:bCs/>
          <w:color w:val="auto"/>
          <w:sz w:val="24"/>
          <w:szCs w:val="24"/>
          <w:highlight w:val="none"/>
        </w:rPr>
        <w:t xml:space="preserve">29.2 </w:t>
      </w:r>
      <w:r>
        <w:rPr>
          <w:rFonts w:hint="eastAsia" w:ascii="宋体" w:hAnsi="宋体" w:eastAsia="宋体" w:cs="宋体"/>
          <w:color w:val="auto"/>
          <w:sz w:val="24"/>
          <w:szCs w:val="24"/>
          <w:highlight w:val="none"/>
        </w:rPr>
        <w:t>评标委员会经采购人授权，确定排名第一的中标候选供应商为中标供应商。当确定中标供应商放弃中标或因不可抗力提出不能履行合同的，采购人可以按照评审报告推荐的中标候选供应商名单，确定下一中标候选供应商为中标供应商，也可以重新开展政府采购活动。</w:t>
      </w:r>
      <w:bookmarkEnd w:id="25"/>
      <w:bookmarkEnd w:id="26"/>
      <w:bookmarkEnd w:id="27"/>
    </w:p>
    <w:p w14:paraId="2E506A5F">
      <w:pPr>
        <w:pageBreakBefore w:val="0"/>
        <w:autoSpaceDE w:val="0"/>
        <w:autoSpaceDN w:val="0"/>
        <w:bidi w:val="0"/>
        <w:adjustRightInd w:val="0"/>
        <w:snapToGrid w:val="0"/>
        <w:spacing w:beforeAutospacing="0" w:afterAutospacing="0" w:line="360" w:lineRule="auto"/>
        <w:ind w:left="0" w:leftChars="0" w:right="0" w:firstLine="420"/>
        <w:jc w:val="left"/>
        <w:outlineLvl w:val="0"/>
        <w:rPr>
          <w:rFonts w:hint="eastAsia" w:ascii="宋体" w:hAnsi="宋体" w:eastAsia="宋体" w:cs="宋体"/>
          <w:b/>
          <w:bCs/>
          <w:color w:val="auto"/>
          <w:sz w:val="24"/>
          <w:szCs w:val="24"/>
          <w:highlight w:val="none"/>
        </w:rPr>
      </w:pPr>
      <w:bookmarkStart w:id="28" w:name="_Toc12384"/>
      <w:bookmarkStart w:id="29" w:name="_Toc23376"/>
      <w:bookmarkStart w:id="30" w:name="_Toc22746"/>
      <w:r>
        <w:rPr>
          <w:rFonts w:hint="eastAsia" w:ascii="宋体" w:hAnsi="宋体" w:eastAsia="宋体" w:cs="宋体"/>
          <w:b/>
          <w:bCs/>
          <w:color w:val="auto"/>
          <w:sz w:val="24"/>
          <w:szCs w:val="24"/>
          <w:highlight w:val="none"/>
        </w:rPr>
        <w:t>30.授予合同时变更数量的权利</w:t>
      </w:r>
      <w:bookmarkEnd w:id="28"/>
      <w:bookmarkEnd w:id="29"/>
      <w:bookmarkEnd w:id="30"/>
    </w:p>
    <w:p w14:paraId="19113506">
      <w:pPr>
        <w:pageBreakBefore w:val="0"/>
        <w:autoSpaceDE w:val="0"/>
        <w:autoSpaceDN w:val="0"/>
        <w:bidi w:val="0"/>
        <w:adjustRightInd w:val="0"/>
        <w:snapToGrid w:val="0"/>
        <w:spacing w:beforeAutospacing="0" w:afterAutospacing="0" w:line="360" w:lineRule="auto"/>
        <w:ind w:left="0" w:leftChars="0" w:right="0" w:firstLine="420"/>
        <w:jc w:val="left"/>
        <w:outlineLvl w:val="0"/>
        <w:rPr>
          <w:rFonts w:hint="eastAsia" w:ascii="宋体" w:hAnsi="宋体" w:eastAsia="宋体" w:cs="宋体"/>
          <w:color w:val="auto"/>
          <w:sz w:val="24"/>
          <w:szCs w:val="24"/>
          <w:highlight w:val="none"/>
        </w:rPr>
      </w:pPr>
      <w:bookmarkStart w:id="31" w:name="_Toc19255"/>
      <w:bookmarkStart w:id="32" w:name="_Toc8616"/>
      <w:bookmarkStart w:id="33" w:name="_Toc15147"/>
      <w:r>
        <w:rPr>
          <w:rFonts w:hint="eastAsia" w:ascii="宋体" w:hAnsi="宋体" w:eastAsia="宋体" w:cs="宋体"/>
          <w:b/>
          <w:bCs/>
          <w:color w:val="auto"/>
          <w:sz w:val="24"/>
          <w:szCs w:val="24"/>
          <w:highlight w:val="none"/>
        </w:rPr>
        <w:t>30.1</w:t>
      </w:r>
      <w:r>
        <w:rPr>
          <w:rFonts w:hint="eastAsia" w:ascii="宋体" w:hAnsi="宋体" w:eastAsia="宋体" w:cs="宋体"/>
          <w:color w:val="auto"/>
          <w:sz w:val="24"/>
          <w:szCs w:val="24"/>
          <w:highlight w:val="none"/>
        </w:rPr>
        <w:t>采购人在授予合同时，保留对货物数量予以适当增减的权利。供应商不得在此情况下对投标文件作出修改，如价格、交货期等。</w:t>
      </w:r>
      <w:bookmarkEnd w:id="31"/>
      <w:bookmarkEnd w:id="32"/>
      <w:bookmarkEnd w:id="33"/>
    </w:p>
    <w:p w14:paraId="6D324D23">
      <w:pPr>
        <w:pageBreakBefore w:val="0"/>
        <w:autoSpaceDE w:val="0"/>
        <w:autoSpaceDN w:val="0"/>
        <w:bidi w:val="0"/>
        <w:adjustRightInd w:val="0"/>
        <w:snapToGrid w:val="0"/>
        <w:spacing w:beforeAutospacing="0" w:afterAutospacing="0" w:line="360" w:lineRule="auto"/>
        <w:ind w:left="0" w:leftChars="0" w:right="0" w:firstLine="420"/>
        <w:jc w:val="left"/>
        <w:outlineLvl w:val="0"/>
        <w:rPr>
          <w:rFonts w:hint="eastAsia" w:ascii="宋体" w:hAnsi="宋体" w:eastAsia="宋体" w:cs="宋体"/>
          <w:b/>
          <w:bCs/>
          <w:color w:val="auto"/>
          <w:sz w:val="24"/>
          <w:szCs w:val="24"/>
          <w:highlight w:val="none"/>
        </w:rPr>
      </w:pPr>
      <w:bookmarkStart w:id="34" w:name="_Toc24434"/>
      <w:bookmarkStart w:id="35" w:name="_Toc6671"/>
      <w:bookmarkStart w:id="36" w:name="_Toc28465"/>
      <w:r>
        <w:rPr>
          <w:rFonts w:hint="eastAsia" w:ascii="宋体" w:hAnsi="宋体" w:eastAsia="宋体" w:cs="宋体"/>
          <w:b/>
          <w:bCs/>
          <w:color w:val="auto"/>
          <w:sz w:val="24"/>
          <w:szCs w:val="24"/>
          <w:highlight w:val="none"/>
        </w:rPr>
        <w:t>31.采购人拒绝投标的权利</w:t>
      </w:r>
      <w:bookmarkEnd w:id="34"/>
      <w:bookmarkEnd w:id="35"/>
      <w:bookmarkEnd w:id="36"/>
    </w:p>
    <w:p w14:paraId="513012A2">
      <w:pPr>
        <w:pageBreakBefore w:val="0"/>
        <w:autoSpaceDE w:val="0"/>
        <w:autoSpaceDN w:val="0"/>
        <w:bidi w:val="0"/>
        <w:adjustRightInd w:val="0"/>
        <w:snapToGrid w:val="0"/>
        <w:spacing w:beforeAutospacing="0" w:afterAutospacing="0" w:line="360" w:lineRule="auto"/>
        <w:ind w:left="0" w:leftChars="0" w:right="0" w:firstLine="420"/>
        <w:jc w:val="left"/>
        <w:outlineLvl w:val="0"/>
        <w:rPr>
          <w:rFonts w:hint="eastAsia" w:ascii="宋体" w:hAnsi="宋体" w:eastAsia="宋体" w:cs="宋体"/>
          <w:color w:val="auto"/>
          <w:kern w:val="0"/>
          <w:sz w:val="24"/>
          <w:szCs w:val="24"/>
          <w:highlight w:val="none"/>
        </w:rPr>
      </w:pPr>
      <w:bookmarkStart w:id="37" w:name="_Toc28004"/>
      <w:bookmarkStart w:id="38" w:name="_Toc29592"/>
      <w:bookmarkStart w:id="39" w:name="_Toc4115"/>
      <w:r>
        <w:rPr>
          <w:rFonts w:hint="eastAsia" w:ascii="宋体" w:hAnsi="宋体" w:eastAsia="宋体" w:cs="宋体"/>
          <w:b/>
          <w:bCs/>
          <w:color w:val="auto"/>
          <w:sz w:val="24"/>
          <w:szCs w:val="24"/>
          <w:highlight w:val="none"/>
        </w:rPr>
        <w:t>31.1</w:t>
      </w:r>
      <w:r>
        <w:rPr>
          <w:rFonts w:hint="eastAsia" w:ascii="宋体" w:hAnsi="宋体" w:eastAsia="宋体" w:cs="宋体"/>
          <w:color w:val="auto"/>
          <w:sz w:val="24"/>
          <w:szCs w:val="24"/>
          <w:highlight w:val="none"/>
        </w:rPr>
        <w:t xml:space="preserve"> 采购人不承诺将合同授予报价最低的或最高的中标候选供应商。</w:t>
      </w:r>
      <w:bookmarkEnd w:id="37"/>
      <w:bookmarkEnd w:id="38"/>
      <w:bookmarkEnd w:id="39"/>
    </w:p>
    <w:p w14:paraId="6A131670">
      <w:pPr>
        <w:pageBreakBefore w:val="0"/>
        <w:autoSpaceDE w:val="0"/>
        <w:autoSpaceDN w:val="0"/>
        <w:bidi w:val="0"/>
        <w:adjustRightInd w:val="0"/>
        <w:snapToGrid w:val="0"/>
        <w:spacing w:beforeAutospacing="0" w:afterAutospacing="0" w:line="360" w:lineRule="auto"/>
        <w:ind w:left="0" w:leftChars="0" w:right="0" w:firstLine="424" w:firstLineChars="176"/>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32、</w:t>
      </w:r>
      <w:r>
        <w:rPr>
          <w:rFonts w:hint="eastAsia" w:ascii="宋体" w:hAnsi="宋体" w:eastAsia="宋体" w:cs="宋体"/>
          <w:b/>
          <w:bCs/>
          <w:color w:val="auto"/>
          <w:sz w:val="24"/>
          <w:szCs w:val="24"/>
          <w:highlight w:val="none"/>
        </w:rPr>
        <w:t>中标</w:t>
      </w:r>
      <w:r>
        <w:rPr>
          <w:rFonts w:hint="eastAsia" w:ascii="宋体" w:hAnsi="宋体" w:eastAsia="宋体" w:cs="宋体"/>
          <w:b/>
          <w:bCs/>
          <w:color w:val="auto"/>
          <w:kern w:val="0"/>
          <w:sz w:val="24"/>
          <w:szCs w:val="24"/>
          <w:highlight w:val="none"/>
        </w:rPr>
        <w:t>通知</w:t>
      </w:r>
    </w:p>
    <w:p w14:paraId="55DAC8A6">
      <w:pPr>
        <w:pageBreakBefore w:val="0"/>
        <w:autoSpaceDE w:val="0"/>
        <w:autoSpaceDN w:val="0"/>
        <w:bidi w:val="0"/>
        <w:adjustRightInd w:val="0"/>
        <w:snapToGrid w:val="0"/>
        <w:spacing w:beforeAutospacing="0" w:afterAutospacing="0" w:line="360" w:lineRule="auto"/>
        <w:ind w:left="0" w:leftChars="0" w:right="0" w:firstLine="424" w:firstLineChars="176"/>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 xml:space="preserve">32.1 </w:t>
      </w:r>
      <w:r>
        <w:rPr>
          <w:rFonts w:hint="eastAsia" w:ascii="宋体" w:hAnsi="宋体" w:eastAsia="宋体" w:cs="宋体"/>
          <w:color w:val="auto"/>
          <w:sz w:val="24"/>
          <w:szCs w:val="24"/>
          <w:highlight w:val="none"/>
        </w:rPr>
        <w:t>中标供应商确定后，采购人将于15日内向有关部门提交招标情况的书面报告，并在发布本项目招标公告的媒介上发布中标公告。</w:t>
      </w:r>
    </w:p>
    <w:p w14:paraId="50161984">
      <w:pPr>
        <w:pageBreakBefore w:val="0"/>
        <w:autoSpaceDE w:val="0"/>
        <w:autoSpaceDN w:val="0"/>
        <w:bidi w:val="0"/>
        <w:adjustRightInd w:val="0"/>
        <w:snapToGrid w:val="0"/>
        <w:spacing w:beforeAutospacing="0" w:afterAutospacing="0" w:line="360" w:lineRule="auto"/>
        <w:ind w:left="0" w:leftChars="0" w:right="0" w:firstLine="424" w:firstLineChars="176"/>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 xml:space="preserve">32.2 </w:t>
      </w:r>
      <w:r>
        <w:rPr>
          <w:rFonts w:hint="eastAsia" w:ascii="宋体" w:hAnsi="宋体" w:eastAsia="宋体" w:cs="宋体"/>
          <w:color w:val="auto"/>
          <w:sz w:val="24"/>
          <w:szCs w:val="24"/>
          <w:highlight w:val="none"/>
        </w:rPr>
        <w:t>中标</w:t>
      </w:r>
      <w:r>
        <w:rPr>
          <w:rFonts w:hint="eastAsia" w:ascii="宋体" w:hAnsi="宋体" w:eastAsia="宋体" w:cs="宋体"/>
          <w:color w:val="auto"/>
          <w:kern w:val="0"/>
          <w:sz w:val="24"/>
          <w:szCs w:val="24"/>
          <w:highlight w:val="none"/>
        </w:rPr>
        <w:t>通知书是合同的组成部分。</w:t>
      </w:r>
    </w:p>
    <w:p w14:paraId="537DC1BB">
      <w:pPr>
        <w:pageBreakBefore w:val="0"/>
        <w:autoSpaceDE w:val="0"/>
        <w:autoSpaceDN w:val="0"/>
        <w:bidi w:val="0"/>
        <w:adjustRightInd w:val="0"/>
        <w:snapToGrid w:val="0"/>
        <w:spacing w:beforeAutospacing="0" w:afterAutospacing="0" w:line="360" w:lineRule="auto"/>
        <w:ind w:left="0" w:leftChars="0" w:right="0" w:firstLine="424" w:firstLineChars="176"/>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 xml:space="preserve">32.3 </w:t>
      </w:r>
      <w:r>
        <w:rPr>
          <w:rFonts w:hint="eastAsia" w:ascii="宋体" w:hAnsi="宋体" w:eastAsia="宋体" w:cs="宋体"/>
          <w:color w:val="auto"/>
          <w:kern w:val="0"/>
          <w:sz w:val="24"/>
          <w:szCs w:val="24"/>
          <w:highlight w:val="none"/>
        </w:rPr>
        <w:t>对未</w:t>
      </w:r>
      <w:r>
        <w:rPr>
          <w:rFonts w:hint="eastAsia" w:ascii="宋体" w:hAnsi="宋体" w:eastAsia="宋体" w:cs="宋体"/>
          <w:color w:val="auto"/>
          <w:sz w:val="24"/>
          <w:szCs w:val="24"/>
          <w:highlight w:val="none"/>
        </w:rPr>
        <w:t>中标</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，不做任何未</w:t>
      </w:r>
      <w:r>
        <w:rPr>
          <w:rFonts w:hint="eastAsia" w:ascii="宋体" w:hAnsi="宋体" w:eastAsia="宋体" w:cs="宋体"/>
          <w:color w:val="auto"/>
          <w:sz w:val="24"/>
          <w:szCs w:val="24"/>
          <w:highlight w:val="none"/>
        </w:rPr>
        <w:t>中标</w:t>
      </w:r>
      <w:r>
        <w:rPr>
          <w:rFonts w:hint="eastAsia" w:ascii="宋体" w:hAnsi="宋体" w:eastAsia="宋体" w:cs="宋体"/>
          <w:color w:val="auto"/>
          <w:kern w:val="0"/>
          <w:sz w:val="24"/>
          <w:szCs w:val="24"/>
          <w:highlight w:val="none"/>
        </w:rPr>
        <w:t>原因的解释。所有</w:t>
      </w:r>
      <w:r>
        <w:rPr>
          <w:rFonts w:hint="eastAsia" w:ascii="宋体" w:hAnsi="宋体" w:eastAsia="宋体" w:cs="宋体"/>
          <w:color w:val="auto"/>
          <w:sz w:val="24"/>
          <w:szCs w:val="24"/>
          <w:highlight w:val="none"/>
        </w:rPr>
        <w:t>电子化</w:t>
      </w:r>
      <w:r>
        <w:rPr>
          <w:rFonts w:hint="eastAsia" w:ascii="宋体" w:hAnsi="宋体" w:eastAsia="宋体" w:cs="宋体"/>
          <w:color w:val="auto"/>
          <w:kern w:val="0"/>
          <w:sz w:val="24"/>
          <w:szCs w:val="24"/>
          <w:highlight w:val="none"/>
        </w:rPr>
        <w:t>投标文件不予退还。</w:t>
      </w:r>
    </w:p>
    <w:p w14:paraId="6383C4D1">
      <w:pPr>
        <w:pageBreakBefore w:val="0"/>
        <w:autoSpaceDE w:val="0"/>
        <w:autoSpaceDN w:val="0"/>
        <w:bidi w:val="0"/>
        <w:adjustRightInd w:val="0"/>
        <w:snapToGrid w:val="0"/>
        <w:spacing w:beforeAutospacing="0" w:afterAutospacing="0" w:line="360" w:lineRule="auto"/>
        <w:ind w:left="0" w:leftChars="0" w:right="0" w:firstLine="424" w:firstLineChars="176"/>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33.合同协议书的签署</w:t>
      </w:r>
    </w:p>
    <w:p w14:paraId="720C2EB3">
      <w:pPr>
        <w:pageBreakBefore w:val="0"/>
        <w:autoSpaceDE w:val="0"/>
        <w:autoSpaceDN w:val="0"/>
        <w:bidi w:val="0"/>
        <w:adjustRightInd w:val="0"/>
        <w:snapToGrid w:val="0"/>
        <w:spacing w:beforeAutospacing="0" w:afterAutospacing="0" w:line="360" w:lineRule="auto"/>
        <w:ind w:left="0" w:leftChars="0" w:right="0" w:firstLine="426"/>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33.1 </w:t>
      </w:r>
      <w:r>
        <w:rPr>
          <w:rFonts w:hint="eastAsia" w:ascii="宋体" w:hAnsi="宋体" w:eastAsia="宋体" w:cs="宋体"/>
          <w:color w:val="auto"/>
          <w:sz w:val="24"/>
          <w:szCs w:val="24"/>
          <w:highlight w:val="none"/>
        </w:rPr>
        <w:t>采购人与中标供应商将于中标通知书发出之日起2个工作日内，按照招标文件及中标供应商的电子化投标文件订立书面承包合同，采购人和中标供应商不得再行订立背离合同实质性内容的其他协议。</w:t>
      </w:r>
    </w:p>
    <w:p w14:paraId="33BAEB5D">
      <w:pPr>
        <w:pStyle w:val="19"/>
        <w:pageBreakBefore w:val="0"/>
        <w:bidi w:val="0"/>
        <w:adjustRightInd w:val="0"/>
        <w:snapToGrid w:val="0"/>
        <w:spacing w:beforeAutospacing="0" w:after="0" w:afterAutospacing="0" w:line="360" w:lineRule="auto"/>
        <w:ind w:left="0" w:leftChars="0" w:right="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33.2</w:t>
      </w:r>
      <w:r>
        <w:rPr>
          <w:rFonts w:hint="eastAsia" w:ascii="宋体" w:hAnsi="宋体" w:eastAsia="宋体" w:cs="宋体"/>
          <w:color w:val="auto"/>
          <w:sz w:val="24"/>
          <w:szCs w:val="24"/>
          <w:highlight w:val="none"/>
        </w:rPr>
        <w:t xml:space="preserve"> 中标供应商如不按本投标须知的规定与采购人订立合同，则采购人将废除授标，给采购人造成损失的，应当予以赔偿，同时依法承担相应法律责任。</w:t>
      </w:r>
    </w:p>
    <w:p w14:paraId="069A5695">
      <w:pPr>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 xml:space="preserve">                 </w:t>
      </w:r>
      <w:r>
        <w:rPr>
          <w:rFonts w:hint="eastAsia" w:ascii="宋体" w:hAnsi="宋体" w:eastAsia="宋体" w:cs="宋体"/>
          <w:b/>
          <w:bCs/>
          <w:color w:val="auto"/>
          <w:kern w:val="0"/>
          <w:sz w:val="32"/>
          <w:szCs w:val="32"/>
          <w:highlight w:val="none"/>
        </w:rPr>
        <w:t xml:space="preserve"> </w:t>
      </w:r>
      <w:r>
        <w:rPr>
          <w:rFonts w:hint="eastAsia" w:ascii="宋体" w:hAnsi="宋体" w:eastAsia="宋体" w:cs="宋体"/>
          <w:b/>
          <w:bCs/>
          <w:color w:val="auto"/>
          <w:kern w:val="0"/>
          <w:sz w:val="28"/>
          <w:szCs w:val="28"/>
          <w:highlight w:val="none"/>
        </w:rPr>
        <w:t xml:space="preserve">  八、其他</w:t>
      </w:r>
      <w:bookmarkStart w:id="40" w:name="_Toc24482"/>
      <w:bookmarkStart w:id="41" w:name="_Toc16776"/>
    </w:p>
    <w:p w14:paraId="365622DF">
      <w:pPr>
        <w:pageBreakBefore w:val="0"/>
        <w:autoSpaceDE w:val="0"/>
        <w:autoSpaceDN w:val="0"/>
        <w:bidi w:val="0"/>
        <w:adjustRightInd w:val="0"/>
        <w:snapToGrid w:val="0"/>
        <w:spacing w:beforeAutospacing="0" w:afterAutospacing="0" w:line="360" w:lineRule="auto"/>
        <w:ind w:left="0" w:leftChars="0" w:right="0" w:firstLine="424" w:firstLineChars="176"/>
        <w:jc w:val="left"/>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34.政府采购政策</w:t>
      </w:r>
      <w:bookmarkEnd w:id="40"/>
      <w:bookmarkEnd w:id="41"/>
    </w:p>
    <w:p w14:paraId="63F24139">
      <w:pPr>
        <w:pageBreakBefore w:val="0"/>
        <w:autoSpaceDE w:val="0"/>
        <w:autoSpaceDN w:val="0"/>
        <w:bidi w:val="0"/>
        <w:adjustRightInd w:val="0"/>
        <w:snapToGrid w:val="0"/>
        <w:spacing w:beforeAutospacing="0" w:afterAutospacing="0" w:line="360" w:lineRule="auto"/>
        <w:ind w:left="0" w:leftChars="0" w:right="0" w:firstLine="422" w:firstLineChars="17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34.1</w:t>
      </w:r>
      <w:r>
        <w:rPr>
          <w:rFonts w:hint="eastAsia" w:ascii="宋体" w:hAnsi="宋体" w:eastAsia="宋体" w:cs="宋体"/>
          <w:color w:val="auto"/>
          <w:sz w:val="24"/>
          <w:szCs w:val="24"/>
          <w:highlight w:val="none"/>
        </w:rPr>
        <w:t>、根据《政府采购促进中小企业发展管理办法》（财库﹝2020﹞46 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财库2022年19号）文件</w:t>
      </w:r>
      <w:r>
        <w:rPr>
          <w:rFonts w:hint="eastAsia" w:ascii="宋体" w:hAnsi="宋体" w:eastAsia="宋体" w:cs="宋体"/>
          <w:color w:val="auto"/>
          <w:sz w:val="24"/>
          <w:szCs w:val="24"/>
          <w:highlight w:val="none"/>
        </w:rPr>
        <w:t>的规定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对于经主管预算单位统筹后未预留份额专门面向中小企业采购的采购项目，以及预留份额项目中的非预留部分采购包，采购人、采购代理机构应当对符合本办法规定的小微企业报价给予</w:t>
      </w:r>
      <w:r>
        <w:rPr>
          <w:rFonts w:hint="eastAsia" w:ascii="宋体" w:hAnsi="宋体" w:eastAsia="宋体" w:cs="宋体"/>
          <w:color w:val="auto"/>
          <w:sz w:val="24"/>
          <w:szCs w:val="24"/>
          <w:highlight w:val="none"/>
          <w:lang w:val="en-US" w:eastAsia="zh-CN"/>
        </w:rPr>
        <w:t>一定比例</w:t>
      </w:r>
      <w:r>
        <w:rPr>
          <w:rFonts w:hint="eastAsia" w:ascii="宋体" w:hAnsi="宋体" w:eastAsia="宋体" w:cs="宋体"/>
          <w:color w:val="auto"/>
          <w:sz w:val="24"/>
          <w:szCs w:val="24"/>
          <w:highlight w:val="none"/>
        </w:rPr>
        <w:t>的扣除，监狱企业扣除</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残疾人福利性单位扣除</w:t>
      </w:r>
      <w:r>
        <w:rPr>
          <w:rFonts w:hint="eastAsia" w:ascii="宋体" w:hAnsi="宋体" w:eastAsia="宋体" w:cs="宋体"/>
          <w:color w:val="auto"/>
          <w:sz w:val="24"/>
          <w:szCs w:val="24"/>
          <w:highlight w:val="none"/>
          <w:lang w:val="en-US" w:eastAsia="zh-CN"/>
        </w:rPr>
        <w:t>同小微企业</w:t>
      </w:r>
      <w:r>
        <w:rPr>
          <w:rFonts w:hint="eastAsia" w:ascii="宋体" w:hAnsi="宋体" w:eastAsia="宋体" w:cs="宋体"/>
          <w:color w:val="auto"/>
          <w:sz w:val="24"/>
          <w:szCs w:val="24"/>
          <w:highlight w:val="none"/>
        </w:rPr>
        <w:t>，用扣除后的价格参加评审。</w:t>
      </w:r>
    </w:p>
    <w:p w14:paraId="7355AFE9">
      <w:pPr>
        <w:pageBreakBefore w:val="0"/>
        <w:autoSpaceDE w:val="0"/>
        <w:autoSpaceDN w:val="0"/>
        <w:bidi w:val="0"/>
        <w:adjustRightInd w:val="0"/>
        <w:snapToGrid w:val="0"/>
        <w:spacing w:beforeAutospacing="0" w:afterAutospacing="0" w:line="360" w:lineRule="auto"/>
        <w:ind w:left="0" w:leftChars="0" w:right="0" w:firstLine="422" w:firstLineChars="17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参加政府采购活动，应当出具本办法规定的《中小企业声明函》（见附件），否则不得享受相关中小企业扶持政策。依据本办法规定享受扶持政策获得政府采购合同的，小微企业不得将合同分包给大中型企业，中型企业不得将合同分包给大型企业。（小型、微型企业提供中型企业制造的货物（提供的服务）的，视同为中型企业。）</w:t>
      </w:r>
    </w:p>
    <w:p w14:paraId="5BA6C0A6">
      <w:pPr>
        <w:pageBreakBefore w:val="0"/>
        <w:autoSpaceDE w:val="0"/>
        <w:autoSpaceDN w:val="0"/>
        <w:bidi w:val="0"/>
        <w:adjustRightInd w:val="0"/>
        <w:snapToGrid w:val="0"/>
        <w:spacing w:beforeAutospacing="0" w:afterAutospacing="0" w:line="360" w:lineRule="auto"/>
        <w:ind w:left="0" w:leftChars="0" w:right="0" w:firstLine="422" w:firstLineChars="17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34.2</w:t>
      </w:r>
      <w:r>
        <w:rPr>
          <w:rFonts w:hint="eastAsia" w:ascii="宋体" w:hAnsi="宋体" w:eastAsia="宋体" w:cs="宋体"/>
          <w:color w:val="auto"/>
          <w:sz w:val="24"/>
          <w:szCs w:val="24"/>
          <w:highlight w:val="none"/>
        </w:rPr>
        <w:t>、根据《财政部司法部关于政府采购支持监狱企业发展有关问题的通知》(财库〔2014〕68 号)的规定，提供由省级以上监狱管理局、戒毒管理局（含新疆生产建设兵团）出具的属于监狱企业的证明文件的，监狱企业视同小型、微型企业。</w:t>
      </w:r>
    </w:p>
    <w:p w14:paraId="4056AF76">
      <w:pPr>
        <w:pageBreakBefore w:val="0"/>
        <w:autoSpaceDE w:val="0"/>
        <w:autoSpaceDN w:val="0"/>
        <w:bidi w:val="0"/>
        <w:adjustRightInd w:val="0"/>
        <w:snapToGrid w:val="0"/>
        <w:spacing w:beforeAutospacing="0" w:afterAutospacing="0" w:line="360" w:lineRule="auto"/>
        <w:ind w:left="0" w:leftChars="0" w:right="0" w:firstLine="422" w:firstLineChars="17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34.3</w:t>
      </w:r>
      <w:r>
        <w:rPr>
          <w:rFonts w:hint="eastAsia" w:ascii="宋体" w:hAnsi="宋体" w:eastAsia="宋体" w:cs="宋体"/>
          <w:color w:val="auto"/>
          <w:sz w:val="24"/>
          <w:szCs w:val="24"/>
          <w:highlight w:val="none"/>
        </w:rPr>
        <w:t>、根据《财政部民政部中国残疾人联合会关于促进残疾人就业政府采购政策的通知》(财库〔2017〕141 号)的规定，在政府采购活动中，残疾人福利性单位视同小型、微型企业，享受预留份额、评审中价格扣除等促进中小企业发展的政府采购政策。</w:t>
      </w:r>
    </w:p>
    <w:p w14:paraId="2D072A15">
      <w:pPr>
        <w:pageBreakBefore w:val="0"/>
        <w:bidi w:val="0"/>
        <w:adjustRightInd w:val="0"/>
        <w:snapToGrid w:val="0"/>
        <w:spacing w:beforeAutospacing="0" w:afterAutospacing="0" w:line="360" w:lineRule="auto"/>
        <w:ind w:left="0" w:leftChars="0" w:right="0"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未尽事宜按国家有关规定执行。</w:t>
      </w:r>
    </w:p>
    <w:p w14:paraId="3B122BAD">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本招标文件最终解释权归采购人。</w:t>
      </w:r>
    </w:p>
    <w:p w14:paraId="11A31F56">
      <w:pPr>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br w:type="page"/>
      </w:r>
    </w:p>
    <w:p w14:paraId="000A3EE9">
      <w:pPr>
        <w:pageBreakBefore w:val="0"/>
        <w:bidi w:val="0"/>
        <w:adjustRightInd w:val="0"/>
        <w:snapToGrid w:val="0"/>
        <w:spacing w:beforeAutospacing="0" w:afterAutospacing="0" w:line="360" w:lineRule="auto"/>
        <w:ind w:left="0" w:leftChars="0" w:right="0"/>
        <w:jc w:val="center"/>
        <w:outlineLvl w:val="0"/>
        <w:rPr>
          <w:rFonts w:hint="eastAsia" w:ascii="宋体" w:hAnsi="宋体" w:eastAsia="宋体" w:cs="宋体"/>
          <w:b/>
          <w:bCs/>
          <w:color w:val="auto"/>
          <w:kern w:val="0"/>
          <w:sz w:val="32"/>
          <w:szCs w:val="32"/>
          <w:highlight w:val="none"/>
        </w:rPr>
      </w:pPr>
      <w:bookmarkStart w:id="42" w:name="_Toc9430"/>
      <w:r>
        <w:rPr>
          <w:rFonts w:hint="eastAsia" w:ascii="宋体" w:hAnsi="宋体" w:eastAsia="宋体" w:cs="宋体"/>
          <w:b/>
          <w:bCs/>
          <w:color w:val="auto"/>
          <w:kern w:val="0"/>
          <w:sz w:val="32"/>
          <w:szCs w:val="32"/>
          <w:highlight w:val="none"/>
        </w:rPr>
        <w:t>第三章  采购内容及参数要求</w:t>
      </w:r>
      <w:bookmarkEnd w:id="42"/>
    </w:p>
    <w:tbl>
      <w:tblPr>
        <w:tblStyle w:val="21"/>
        <w:tblW w:w="501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0"/>
        <w:gridCol w:w="495"/>
        <w:gridCol w:w="5361"/>
        <w:gridCol w:w="554"/>
        <w:gridCol w:w="449"/>
        <w:gridCol w:w="743"/>
        <w:gridCol w:w="732"/>
        <w:gridCol w:w="450"/>
      </w:tblGrid>
      <w:tr w14:paraId="4A238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7758CD9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一标段采购清单</w:t>
            </w:r>
          </w:p>
        </w:tc>
      </w:tr>
      <w:tr w14:paraId="22B8A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490E433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265" w:type="pct"/>
            <w:tcBorders>
              <w:top w:val="single" w:color="000000" w:sz="4" w:space="0"/>
              <w:left w:val="single" w:color="000000" w:sz="4" w:space="0"/>
              <w:bottom w:val="single" w:color="000000" w:sz="4" w:space="0"/>
              <w:right w:val="single" w:color="000000" w:sz="4" w:space="0"/>
            </w:tcBorders>
            <w:noWrap/>
            <w:vAlign w:val="center"/>
          </w:tcPr>
          <w:p w14:paraId="04732ED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产品名称</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560D387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技术参数</w:t>
            </w: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239E079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7D5A13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0908D237">
            <w:pPr>
              <w:keepNext w:val="0"/>
              <w:keepLines w:val="0"/>
              <w:pageBreakBefore w:val="0"/>
              <w:widowControl/>
              <w:suppressLineNumbers w:val="0"/>
              <w:bidi w:val="0"/>
              <w:adjustRightInd w:val="0"/>
              <w:snapToGrid w:val="0"/>
              <w:spacing w:beforeAutospacing="0" w:afterAutospacing="0" w:line="360" w:lineRule="auto"/>
              <w:ind w:left="0" w:leftChars="0" w:right="0"/>
              <w:jc w:val="both"/>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单价（元）</w:t>
            </w: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0DE4E32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总价（元）</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4D6BCC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备注</w:t>
            </w:r>
          </w:p>
        </w:tc>
      </w:tr>
      <w:tr w14:paraId="2D867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04CD543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养老评估实训室</w:t>
            </w:r>
          </w:p>
        </w:tc>
      </w:tr>
      <w:tr w14:paraId="5A3A5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73F4022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6B12A76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健康一体机</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41F48F2D">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一、总体要求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1、可实现对综合多项的生理参数一站式集中采集并保证数据的安全与稳定传输；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2、可引导老人进行体检，开展疾病筛查、慢病监控、健康教育、基层卫生统计等工作；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3、可满足老人自助体检的要求以及公卫集中体检的要求，还可满足慢性病综合防治工作的要求，以及公共卫生服务数据采集和基层卫生相关工作管理统计的需要；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4、为老人提供健康指导服务，提高基层医疗卫生机构高血压、糖尿病等慢性疾病的早期发现和管理水平，以使用老人逐步养成现代健康生活方式的习惯，提高老人健康水平；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5、呼吸训练系统：引导呼吸节奏，同时对心率进行监测，对实时心率的变异情况进行分析，以形象的方式展现心率变异性。可以设置不同的呼吸频率，作为难易度的区别；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6、酒精测试：支持针对酒精度的检测；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二、设备功能与特点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1、具备身高、体重、血压、血氧饱和度、脉搏、心电图、体温、血糖、尿酸、总胆固醇、血脂多项检测功能，配置极具趣味性和超强体验感的呼吸训练以及心理测试软件系统。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2、检测设备通过数据线与操作台形成一个整体，通过物理整合只有一个外接电源接口，同时具备USB拓展接口、RJ45接口等互联互通。具备一体化集成度高、设计美观、智能一站式操作的特点。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内置二代身份证阅读器，通过老人身份证或手机号或人脸识别的登录方式识别老人身份信息，系统自动获取老人姓名、性别、出生日期、民族、户籍地址，快速建立符合《国家基本公共卫生服务规范（第三版）》要求的电子健康档案，并上传至健康数据管理平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4、通过动画指引、语音指引检测人员自主完成测量，并可与之前测量数据实时对比。从而实现检测数据的采集、储存、处理和传输。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5、智能信息工作站的操作台具备可移动功能，底部装有医疗专用万向移动轮，一人就可以推动设备移动，设备到达工作现场后只需接入电源和网络就可开展工作。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三、设备操作台要求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1、一体化操作台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（1）高度集成，以一体化的方式呈现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（2）占用空间：长≥130cm；宽≥50cm；高≥230cm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（3）检测区：1个；1台触摸式显示屏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（4）标准的网络接口1个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（5）配置的检测模块通过有线连接的方式进行通讯，保证数据传输的稳定性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2、主机及触摸屏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（1）操作系统：安卓系统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（2）触摸屏尺寸：≥21.5英寸竖屏（需提供产品彩页或产品规格书予以佐证，不提供或提供的内容不符合要求不得分）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3、身份证阅读器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（1）射频技术：符合GA450-2013台式身份证阅读器通用技术要求，兼容ISO14443（TypeB）标准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（2）阅读距离：0-30mm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（3）读卡响应速度：＜1秒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（4）工作频率：13.56MHZ(fc)</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（5）使用寿命：≥1000000次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4、打印机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（1）打印方式：黑白激光打印机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（2）最大打印幅面：A4</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（3）A4纸张打印速度：22ppm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（4）打印机芯寿命：硒鼓容量≥1500页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四、设备硬件检测功能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1、全自动血压检测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（1）测量方法：脉搏波法/示波法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（2）测量范围：压力（0～300）mmHg；脉率数30次/分～200次/分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（3）测量准确度：压力±2mmHg(±0.267kPa)以内；脉率数±2%以内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（4）适合臂周：17cm～42cm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（5）存储容量：可存储100组测量数据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2、身高体重、脂肪检测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（1）身高测量方式：超声波测量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（2）体重测量方式：精密平衡梁式压力传感器称重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（3）身高测量范围：10-200cm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（4）身高测量精度：±0.1cm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（5）体重测量范围：1-200kg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（6）体重测量精度：±0.1kg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（7）测量速度：≥450次/小时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（8）自动语音播放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（9）测量结果：身高、体重、BMI、人体成分（身体脂肪率、基础代谢、体水分率，骨骼肌率，内脏脂肪指数，骨矿含量，细胞外液，细胞内液，总水分，蛋白质，无机盐等含量及综合评测）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3、血氧检测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（1）测量范围：血氧饱和度35%-100%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（2）脉搏率：30次/分~250次/分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（3）在70%～100%范围内，测量误差为±2%；其中测量误差中的“%”为脉搏氧饱和度百分比</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4、心电工作站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（1）标准12导联心电信号同步采集，可切换6导联采集模式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（2）采集方式：支持USB有线和蓝牙无线两种心电采集方式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（3）采样率：2000点/秒/通道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（4）共模抑制比：＞100 dB，开启交流滤波时＞120 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（5）灵敏度：1.25 mm/mV、2.5 mm/mV、5 mm/mV、10 mm/mV、10/5 mm/mV、20/10 mm/mV、20 mm/mV、40 mm/mV、AGC（自动）增益九个档，转换误差范围不超过±2%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（6）支持起搏信号检测，起搏波检测灵敏度可调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（7）具有导联脱落检测与提示功能和心拍提示音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（8）防电击程度：CF型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（9）支持单节律导联和三节律导联自定义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5、红外体温计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（1）测量方法：非接触式红外传感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（2）测量部位：额头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（3）测量范围：34.0℃~42.9℃</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（4）分辨率：0.1℃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6、血糖、尿酸、总胆固醇监测系统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（1）原理：电化学生物感应法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（2）测量范围：血糖1.1~33.3mmol/L；尿酸0.18~1.19mmol/L；总胆固醇2.59~10.35mmol/L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（3）需求血量：血糖≤0.7μl；尿酸≤1.5μl；总胆固醇≤10.0μl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（4）系统正确性：血糖：当血糖浓度＞75mg/dL，不超过±20%；尿酸：当尿酸浓度＞5mg/dL，不超过±20%；总胆固醇：当总胆固醇浓度＞150mg/dL，不超过±20%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7、血脂分析系统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（1）检测输出值：总胆固醇(TC)、高密度脂蛋白胆固醇(HDL)、甘油三酯(TG)、低密度脂蛋白胆固醇(LDL)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（2）标本：全血(静脉血或毛细血管血)</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（3）检测范围：TC：2.59~12.93mmol/L(100mg/dL~500mg/dL)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HDL：0.39mmol/L~2.59mmol/L(15mg/dL~100mg/dL)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TG：0.51mmol/L~7.34mmol/L(45mg/dL~650mg/dL)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（4）存储功能：300组测试数据</w:t>
            </w: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35F4A1F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6F8F7E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50FF1F2D">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7242483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7D41F2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72E05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4B7E5B7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4FEF53A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老年功能性体适能测评包</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5170D4B8">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一、总体要求：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老年功能性体适能测评包需包含握力计(电子显示)、下肢肌力测试仪（含底座、三角架）、腰背柔韧性测试仪（含底座）、室内行走能力测试仪（含底座、三角架，地贴）、腰腹拉力测试仪 （含底座）、平衡性测试仪 （三角架）等设备。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二、设备要求：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1、握力测试仪一台：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（1）测试项目：手部肌肉的力量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评定内容：洗脸、刷牙、抓握餐具，剪指甲、写字等手部关节精细动作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注意事项：切勿摆臂、下蹲及或将握力计接近身体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（2）机芯装置和螺母，可调节，可根据测试者手掌大小不同调节到最佳的测试状态；手柄装置弹簧、手握。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（3）设备操作简单，具有ON/OFF与复位两个按键，开始操作直接按ON,操作完毕记录数据，按复位直接测试下一个测试者；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（4）握力功能，握力范围：0～300kg；具有低电指示功能；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（5）充电功能：PCB设计时，注意USB和DC头两个接口都可以同时充电；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（6）蓝牙50传送数据；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（7）供电电源：锂电池，3.7V 600mA；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（8）电子设备尺寸：≥195mm*120mm*40mm；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2、下肢肌力测试仪（含底座、坐垫、三角架）一台：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（1）测试项目：下肢股四头肌群及小腿支撑力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评定内容：座椅、床边等独立站起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注意事项：对下肢患有慢性疼痛或曾做过膝关节和髋关节置换术的长者是禁忌项。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（2）长者坐在感应垫上，在30秒内站立与坐下的次数，测试长者的下肢肌肉力量，测试由两部分组成，一个是计次发射机，另一个是计次接收机。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（3）计次功能，计次范围：0～999次 在30秒内完成动作的次数计入有效完成次数，30秒后哔一声提示长者测试时间结束，此后产生的动作次数不再计入有效完成次数；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（4）两个LED灯指示：红灯与绿灯，红灯表示设备还没自我调试结束，暂时不能进行测试，绿灯表示设备自我调试结束，设备正常可以进行运行；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 2.4G RF无线发射功能；低电指示功能；充电功能；蓝牙50传送数据；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（6）供电电源：锂电池，3.7V 600mA；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（7）电子设备尺寸≥：155mm*120mm*85mm，底座尺寸≥：550*400*450mm坐垫尺寸≥：300mm*300mm*6mm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3、室内行走能力测试仪（含底座、坐垫、三角架）一台：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（1）测试项目：室内独立行走能力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（2）评定内容：移动、步行速度、静动态平衡能力、身体敏捷性等综合能力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注意事项：测试中评估员需要注意防止长者跌倒（身体虚弱的长者更要注意防跌倒，评估员与仗着一起行走，到定点处折返处，评估员应在定点处内侧进行保护。严重心肺疾病及骨折刚愈合的长者不建议进行本测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（4）由感应垫和电子液晶显示器组成，通过时间步行距离测试长者的下肢肌力及室内行走能力水平。附属三脚架一个。由两部分组成，一个是计时发射机，另一个是计时接收机。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（5）供电电源：锂电池，3.7V 600mA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（6）接收机主要功能：按键功能，LED指示功能，蜂窝器提示音，计时功能。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（7）2.4G RF无线发射功能；低电指示功能；充电功能；蓝牙50传送数据；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（8）供电电源：锂电池，3.7V 600mA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（9）电子设备尺寸：≥155mm*120mm*85mm，底座尺寸：≥550*400*450mm、坐垫尺寸：≥300mm*300mm*6mm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4、腰腹拉力测试仪一台：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（1）测试项目：测定可以动员全身的肌肉，包括臀部、腰部、脚部、腕部等，因而透过背肌力测定可以了解身体状况腰背肌力及全身肌肉配合的输出力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（2）评定内容：测定身体柔韧性、提物、日常洗澡等相关动作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（3）注意事项：测试中请勿弯曲膝部,弯曲肘部请注意达到最大极限时，请勿单手放在放置台上，需双手,身体不要摇晃，以免摔倒。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（4）由弹簧阻力杆和电子液晶显示器组成，通过拉动拉杆的力量测试长者的腰背肌力及提拉重物、弯腰拾物等动作能力水平。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（5）发射机主要功能：2个按键功能ON/OFF 复位；2个LED灯指示：红灯绿灯；腰腹拉力功能，腰腹拉力范围：0～300kg；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（6）低电指示功能；充电功能：PCB设计时，注意USB和DC头两个接口都可以同时充电；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（7）自动关机功能；蓝牙40传送数据；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（8）供电电源：锂电池，3.7V 600mA；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（9）电子设备尺寸：≥95mm*79.4mm、底座尺寸：≥550*400*450mm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5、腰背柔韧性测试仪（含底座）一台：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（1）测试项目：前屈时脊椎、腰部肌群、大腿后韧带等关节、韧带的柔韧度。反映人体神经与肌肉系统的协调性和快速反应能力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（2）评定内容：自行捡东西、如厕、洗澡等日常生活活动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（3）注意事项：测试前，做好准备活动，以防肌肉拉伤。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测试时，膝关节不得弯曲，不得突然前振的动作。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（4）由弹簧阻力杆和电子液晶显示器组成，通过后腿部及腰部的柔韧性及延伸性测试长者在日常生活当中穿脱衣、系鞋带等涉及到弯腰动作的活动能力。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（5）由两部分组成，一个是检测发射机，另一个是接收机。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（6）单向移动检测距离，检测范围：0～95.5cm；自动锁定功能，反向锁定功能；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（7）背光功能；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（8）供电电源：锂电池，3.7V 600mA；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（9）电子设备尺寸：≥155mm*120mm*85mm、底座尺寸：≥550*400*450mm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6、平衡仪测试仪（含三脚架）一台：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（1）测试项目：反应长者人体静态平衡能力和控制能力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（2）评定内容：反应日常洗浴、行走、转身过程中跌倒风险的机率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（3）注意事项：注意安全保护，评估员请勿接触长者，长者脚落地即停止测试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（4）平衡性测试仪，通过测试长者单脚站立在脚踏设备上并保持相对稳定状态可以维持的时间，由此判断是否有摔倒风险。</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（5）两部分组成，一个是计时发射机，另一个是计时接收机。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（6）在工作模式下，当检测到站立动作时，立即发射信号给接收机，接收机收到后执行对应动作；当检测到掉下动作时，立即发射信号给接收机，接收机收到后执行对应动作。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2.4G RF无线发射功能；低电指示功能；充电功能；蓝牙50传送数据；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（7）供电电源：锂电池，3.7V 600mA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（8）电子设备尺寸：≥245*125*85mm、脚踏尺寸：≥295*150*28mm</w:t>
            </w: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1CDAFAC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6AC661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1F631B09">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2EEBCBC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E91FED2">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01F0E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0ECF6C6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5444D00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疼痛脸谱评分尺</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2E2C1D62">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1、材质：防水加厚PVC硬塑料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2、颜色：白色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3、尺寸：长≥16.5*高≥5.5CM，厚≥0.8MM</w:t>
            </w: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3F59F23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DDCDC9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79D23533">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64BEBD5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06668FB">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775FE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56B3B3D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2B62F8B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多功能关节活动测量表</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5630BF5E">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多功能关节测量表全身肢体</w:t>
            </w: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4BD7EDC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407975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26DCE434">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2527D41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CC4A212">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05E8E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68DC63A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6C5414B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角度尺</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626C69EE">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1、产品材质：不锈钢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2、产品精度：士0.39</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3、测量范围：0-360°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4、分度值：0.05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5、防护等级：IP54</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6、电池：3VCR2032</w:t>
            </w: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6E373CC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D4D0D4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1DC17258">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06CCB50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F629D43">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74E10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69BF7A9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1760029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一次性压舌板</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2A3CE0F5">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1、产品材质：木质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2、规格尺寸：≥150*18mm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3、适用范围：用于检查时压低舌部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4、数量：≥100支/盒</w:t>
            </w: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19C9B37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4A228D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73DB1673">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09DAF27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20AEEC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61A01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45A09A3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25980E6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评估穿衣、取物测评包</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3AA74178">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一、总体要求：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评估穿衣、取物辅助包需包含穿脱袜器、万能旋物器、穿衣辅助杆、穿衣板、衣物、穿扣器、拉链辅助器、折叠取物器：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二、设备要求：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1、穿脱袜器一个：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（1）塑胶板+尼龙布，适合老人、残疾人，弯腰或屈腿的动作较不方便者；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（2）尺寸：≥260mm.宽≥230mmm,厚度≥10mm，带子长：≥1000mm；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2、万能旋物器一个：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（1）该产品抓持部分结构设计应为可伸缩的不锈钢圆柱形插针；</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（2）插针根数94～98根，长度≥10mm，可抓持并省力操作钥匙等各种形状的旋转开关；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（3）旋转器手柄和针盒为POM和不锈钢材质；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3、穿衣辅助杆一个：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（1）为关节炎、腰、背或腿伤人群独特设计；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（2）穿勾子的一端可以用来辅助穿衣裤，也可以从高处的衣橱上取衣物，后端可以作为鞋拔使用；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（3）尺寸：≥600mm；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4、穿衣板一个：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（1）规格：≥300×300×300mm；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 重量：≥5kg；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（3）材质：优质布，高密度海绵；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（4）提高患者的手眼协调能力和穿衣技巧；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5、衣物一套：含上衣、裤子、袜子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6、穿扣器一个：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（1）产品手柄材质：为形状记忆聚合物，头部为不锈钢；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（2）结构：U形握柄的形状穿扣器，握柄可多次加热软化重新塑型，握柄的材质无毒、无害、抗菌环保、易于清洁、不易退色；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（3）适用于手部掌指关节屈曲严重受限，握力严重不足功能障碍者自扭扭扣；（4）长度范围：170mm±10mm；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7、拉链辅助器一个：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（1）产品手柄材质为形状记忆聚合物，头部为不锈钢；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（2）结构：U形握柄的形状穿扣器,握柄可多次加热软化重新塑型，握柄的材质无毒、无害、抗菌环保、易于清洁、不易退色；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（3）适用于手部掌指关节屈曲严重受限，握力严重不足功能障碍者自主拉拉链；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（4）长度：≥150mm；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8、折叠取物器一个：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（1）铝合金材质，不需登高或弯腰，就可以方便的取物、捡拾东西；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（2）最大可夹持2kg的物品，小到牙签也可以捡起来；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（3）净重200g，尺寸：长≥1000mm，宽≥100mm；</w:t>
            </w: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27E484F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5DA958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7DCB5D37">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0784451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871E405">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738D8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6ACFA5A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799E9BF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辅助测评洗漱包</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1FDC5086">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一、总体要求：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辅助测评洗漱包需包含洗手盆含镜柜、花洒套装、洗漱套装、长柄梳子、弯柄擦背刷、柱状长柄刷、长柄洗澡刷、粗柄梳子、记忆成人牙刷等设备。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二、设备要求：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1、洗手盆含镜柜一套：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（1）手盆材质：复合亚克力，前端带镂空扶手；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（2）尺寸：长≥750mm，宽≥550mm；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（3）镜面需采用≥5mm银镜；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（4）镜柜实木部分需采用优质橡胶木，大宝油漆5底3面，木皮厚度≥6mm。整体方便轮椅进出；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2、花洒套装一套：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（1）常规挂墙式；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（2）主要材质：无铅铜；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3、洗漱套装一套：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正常使用洗漱套装（毛巾、漱口杯、牙刷、牙膏、梳子、剃须刀各1个）；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4、长柄梳子一个：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（1）该产品需采用PP+15%玻璃纤维环保塑胶材料，无毒环保；</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（2）手柄防滑，手柄尾部留有穿戴孔，方便挂靠；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（3）长度范围：≥350mm，≥700mm；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5、弯柄擦背刷一个：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（1）PP+15%玻璃纤维环保塑胶材料，手柄防滑，手柄尾部留有穿戴孔，方便挂靠；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（2）适合手臂、肩膀活动障碍人群；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（3）长度范围：≥350mm，≥700mm；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6、柱状长柄刷一个：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（1）产品采用PP+15%玻璃纤维环保塑胶材料，无毒环保；</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（2）洗澡刷刷头配有复合布套，可拆卸清洗或更换；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（3）手柄防滑，方便挂靠；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（4）长度范围：≥350mm，≥700mm；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7、长柄洗澡刷一个：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（1）产品采用PP+15%玻璃纤维环保塑胶材料，无毒环保；</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（2）洗澡刷刷头为柱状式，手柄防滑，方便挂靠；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（3）长度范围：≥350mm，≥700mm；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8、粗柄梳子一个：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（1）护颈杯要设计独特、方便实用，是颈部不便者的饮食生活中的极佳选择，防止饮水时鼻子碰到杯边，让中老年使用者不用抬头就可全部喝完；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（2）容量230ml±10ml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（3）开口宽度：70mm±5mm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9、记忆成人牙刷一个：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（1）产品手柄材质为形状记忆聚合物，刷头为抗菌刷毛；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（2）结构：中环握柄的形状记忆牙刷,握柄可多次加热软化重新塑型，握柄的材质无毒、无害、抗菌环保、易于清洁、不易退色；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（3）刷毛柔软，刷牙干净，不容易出血；</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（4）尺寸范围：直径25mm±5mm，长270mm±5mm；</w:t>
            </w: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40AA564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76D98F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5A3C4176">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5FE691F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328404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79D6A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72CB265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7C9D523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评估沐浴椅</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4F34769F">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1、铝合金+ABS材质，带扶手,高度可调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2、安全承重：≥200kg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3、产品净重：≥4kg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4、长度范围：≥440mm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5、宽度范围：≥520mm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6、高度范围：≥850mm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7、坐位宽范围：≥400mm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8、坐位深范围：≥330mm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9、靠背高度范围：≥330mm</w:t>
            </w: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7594CB1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D27C73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6CAB2279">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1CCD483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8C97BA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20347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00098FC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1A3D032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辅助测评进食包</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26620C3E">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一、总体要求：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辅助测评进食包需包含记忆成人勺子、记忆成人叉子、成人粗柄汤勺、助食筷、成人防洒盘、斜口杯、可折弯勺、可折弯叉、硅胶勺子、餐盘取物小助手、吸水杯、仿真食物、餐桌、半扶手椅等设备。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二、设备要求：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1、记忆成人勺子一个：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（1）该产品手柄材质为形状记忆聚合物，勺头为不锈钢；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（2）结构：U形握柄的形状记忆餐勺，握柄可多次加热软化重新塑型，握柄的材质无毒、无害、抗菌环保、易于清洁、不易退色；勺部边缘光滑，形状便于入口；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（3）尺寸：2.6*4.15*23.5cm；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2、记忆成人叉子一个：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（1）该产品手柄材质为形状记忆聚合物，勺头为不锈钢；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（2）结构：U型握柄的形状记忆餐勺，握柄可多次加热软化重新塑型，握柄的材质无毒、无害、抗菌环保、易于清洁、不易退色；勺部边缘光滑，形状便于入口；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3、成人粗柄汤勺一个：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（1）该产品握柄材质为防滑材料NBR制成，勺部为不锈钢；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（2）产品间隔设计可增加手部与握柄间的摩擦，易于抓握；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（3）方便指捏、握力减弱的偏瘫患者自行进餐；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4、助食筷一双：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（1）该产品可以帮助手部僵硬、中风、挛缩的人群自主进食。大大的减少了照顾人力；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（2）其独特的设计，解决了在使用过程中，因手部问题造成的不稳现象，也可较为轻松的夹起食物；</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5、成人防洒盘一个：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（1）该产品由开口档板和盘子组成，开口档板具有三个吸盘；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（2）盘体材质为米纳米，开口挡板为环保聚丙烯，吸盘为TRP塑料；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（3）使用者可触及表面均无外露锐边尖角，刃口和毛刺，注塑件表面光滑平整无毛边，无缺损、凹陷、色泽均匀；</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（4）尺寸：≥10寸；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6、斜口杯一个：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（1）开口宽度：≥7.3CM；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7、可折弯勺一个：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（1）长度： ≥21cm；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（2）握柄直径：≥3.5cm；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8、可折弯叉一个：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（1）长度： ≥21cm；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（2）握柄直径：≥3.5cm；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9、硅胶勺子一个：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（1）该产品手柄材质为尼龙塑料，勺头表面硅酮橡胶覆膜，勺头内部为弹性龙尼芯，无毒无害，符合环保要求；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（2）可煮沸、消毒、无异味。易于抓握进食；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10、餐盘取物小助手一个：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（1）可以将盘子轻而易举地夹住，对患关节炎、手脚不便或手指用力不便的人士有极大帮助；</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（2）重量：≥100g；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（3）尺寸：长≥200mm，宽≥95mm；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11、吸水杯一个：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（1）碳酸树脂PC材料，配有三种不同的吸头，摄取水分用细的，食用很浓的流食用大的，耐热温度135°C，不可微波；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（2）容量：≥80g；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（3）尺寸：直径≥70mm，高≥135mm；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12、仿真食物一套：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（1）泡沫及塑料材质，内含香蕉、苹果、桃子等全套仿真水果；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13、餐桌一张：辅助长者测评进食；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（1）尺寸：≥900*≥900*≥750；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（2）主体框架为橡胶木实木，桌面为夹板贴皮，表面油漆处理；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14、半扶手椅一张：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（1）尺寸：L≥550*W≥610*H≥790；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（2）框架：多层夹板，面贴橡胶木木皮；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（3）软包：皮布；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（4）海绵：高密度海绵；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（5）油漆：PU全封闭；</w:t>
            </w: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4F1A390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D7DC7B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486E6844">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308F1FB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7C4D7BD">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03480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22D140F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3C09B29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辅助评估长者认知功能包</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0859E12E">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一、总体要求：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辅助评估长者认知功能包需包含几何图形插板、认知图形插板、模拟时钟、数字排列、长者手表、国旗、视力测量工具卡、仿真钱币、秒表、翻片式台历、老花眼镜、助听器、平板电脑等设备。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二、设备要求：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1、几何图形插板一套：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（1）规格：≥250×250×50mm；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（2）重量：≥0.9kg；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（3）材质：优质木材、高密度夹板；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2、认知图形插板一套：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（1）尺寸：≥47×37×5cm；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3、模拟时钟一个：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（1）尺寸：长200mm-250mm，宽200-210mm，厚72mm-75mm；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（2）重量：0.3KG±0.1kg，具有时间刻度时针及分针显示；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（3）用于评估老人的时间定向力；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4、数字排列一套：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（1）尺寸：长220mm-250mm，宽150mm-170mm，厚20mm-30mm；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（2）重量：0.8KG±0.1kg，具有数字木块及算盘形式；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（3）用于评估老人对数字的思维定向能力；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5、仿真苹果一个：泡沫及塑料材质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6、长者手表一个：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（1）表带材质: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（2）皮革表盘厚度: ≥7mm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（3）表盘直径: ≥35mm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（4）表壳材质: 合金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7、国旗一个：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（1）尺寸：≥140*210mm；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（2）材质：涤纶材质；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8、视力测量工具卡一套：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A4规格，过塑，标准报纸字体，用于评估长者视力情况；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9、仿真钱币一套：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（1）十种面额包括（1角，2角，5角，1元，2元，5元，10元，20元，50元，100元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10、秒表一个：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（1）材质：ABS材质；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（2）尺寸：≥800*600*200mm；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（3）具有秒表、闹铃、日历、整点闹响功能；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11、翻片式台历一个：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（1）尺寸：105*268*70mm；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（2）翻片式万年历；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12、老花眼镜一副：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（1）折叠式，适合60岁以上老人佩戴；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（2）度数范围100-200；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13、助听器一个：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（1）无线使用，适合老年人佩戴，4通道全数字信号处理，3种声音档位，具有反馈抑制系统，范围≤100db；</w:t>
            </w: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6C64FFF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096466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5EB2CDDF">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10CA20E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260C60F">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0DCCD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13DC5C0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2EB92A5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步行测量贴纸</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286EF3A2">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1、≥6米透明背胶地贴；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2、需具有刻度显示；</w:t>
            </w: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2294575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7E4441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48F6E1C3">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6875705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10DE74B">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56D3A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13C094A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6405780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跨越障碍架</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2C29EA1A">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1、测试项目：需能测试长者长者平衡性、下肢及肌力、髋关节活动能力、步态稳定性和摔倒风险；</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2、测试内容：日常上下楼梯以及在行走时遇到高低落差时的跨越能力；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3、注意事项：严重心肺疾病及骨折刚愈合的长者不建议进行本测试。测试全程注意保长者的安全，以防跌倒；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4、材质：品质ABS材质；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5、颜色：黄色，红色，橙色，绿色，蓝色；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6、宽度：≥44厘米，可拆卸，自由组合方便携带，重量轻；</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7、规格：可调节高度≥14cm，≥24cm，≥29cm；</w:t>
            </w: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37A346B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 </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98AAA1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240622AA">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2E4BF06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9424F8E">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2EAC2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461BF22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7AE5A16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心智健康测评系统</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02A9D21B">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（一）、采集仪技术参数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 放大器模式：数字化；</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 通道数：6通道单导联；</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 传输方式：USB数字传输；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 供电方式：USB 5V供电，安全稳定；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 输入阻抗：＞1MΩ；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 共模抑制比：＞80dB；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 噪音：＜1.5μV；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 数模转换：16bit；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 采样精度：0.153μV；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 输入偏置电流：＜5nA；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12. 定标检查：自动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 数据信号自动采集；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 离线自动数据分析；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 离线自动生成测评报告</w:t>
            </w: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418BC9D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50B068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088BF063">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1D627DD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476F432">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4D25D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667715D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54CBDC2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实训室环境气氛改造</w:t>
            </w:r>
          </w:p>
        </w:tc>
        <w:tc>
          <w:tcPr>
            <w:tcW w:w="2877" w:type="pct"/>
            <w:tcBorders>
              <w:top w:val="single" w:color="000000" w:sz="4" w:space="0"/>
              <w:left w:val="single" w:color="000000" w:sz="4" w:space="0"/>
              <w:bottom w:val="single" w:color="000000" w:sz="4" w:space="0"/>
              <w:right w:val="single" w:color="000000" w:sz="4" w:space="0"/>
            </w:tcBorders>
            <w:noWrap/>
            <w:vAlign w:val="center"/>
          </w:tcPr>
          <w:p w14:paraId="42493989">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提供实训室环境改造，文化建设服务</w:t>
            </w: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525AD75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21C181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5C0F3B79">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1614EC2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71EB5B2">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7F3A4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779FD21F">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7ADA8F4D">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c>
          <w:tcPr>
            <w:tcW w:w="2877" w:type="pct"/>
            <w:tcBorders>
              <w:top w:val="single" w:color="000000" w:sz="4" w:space="0"/>
              <w:left w:val="single" w:color="000000" w:sz="4" w:space="0"/>
              <w:bottom w:val="single" w:color="000000" w:sz="4" w:space="0"/>
              <w:right w:val="single" w:color="000000" w:sz="4" w:space="0"/>
            </w:tcBorders>
            <w:noWrap/>
            <w:vAlign w:val="center"/>
          </w:tcPr>
          <w:p w14:paraId="7B27DC4B">
            <w:pPr>
              <w:pageBreakBefore w:val="0"/>
              <w:bidi w:val="0"/>
              <w:adjustRightInd w:val="0"/>
              <w:snapToGrid w:val="0"/>
              <w:spacing w:beforeAutospacing="0" w:afterAutospacing="0" w:line="360" w:lineRule="auto"/>
              <w:ind w:left="0" w:leftChars="0" w:right="0"/>
              <w:jc w:val="left"/>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5F48A0A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178DAA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合计</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77B77F18">
            <w:pPr>
              <w:pageBreakBefore w:val="0"/>
              <w:bidi w:val="0"/>
              <w:adjustRightInd w:val="0"/>
              <w:snapToGrid w:val="0"/>
              <w:spacing w:beforeAutospacing="0" w:afterAutospacing="0" w:line="360" w:lineRule="auto"/>
              <w:ind w:left="0" w:leftChars="0" w:right="0"/>
              <w:jc w:val="right"/>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695E5B6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9F1A8BD">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49F82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5705628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养老照护实训室</w:t>
            </w:r>
          </w:p>
        </w:tc>
      </w:tr>
      <w:tr w14:paraId="3C1AE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4DD39B3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5C39E28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多功能护理床</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2B6B8E40">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1、功能（背部升降 腿部升降 背腿同升同降 整体升降 左右翻身）；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2、尺寸：长≥200cm，宽≥100cm（尺寸可订做）；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3、最低床高：可降至26cm(电动调较)；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4、整体升降幅度:26-72cm、膝部升降幅度: 35°±5°，靠背升降幅度: 70°±5°；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5、电动床供电：使用220V供电插电及供电系统防水；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6、全封闭式护栏：每侧两条并行护栏，防止跌落床；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7、床轮：4个3吋刹车轮；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8、承重：床面最大承重260kg，侧护栏最大承重80kg；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9、配相应尺寸防水减压阻燃床褥﹕厚度约8cm(3吋)；配置防水PU胶套；床褥须符合英国标准BS7177:2008阻燃证书；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10、升降方式：全电动手控，配急停功能，并设有「一键复位」键；</w:t>
            </w: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3F704ED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80303F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6923D2FF">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4F6362D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D080DBF">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22AD7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0F7BD02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4E1CEDC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智能监测床垫</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18BEA4C2">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1.支持4G全网通；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2.使用进口PVDF传感器，数据更精准；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3.提供睡眠指数，数据统计，睡眠习惯，睡眠效率，安稳度， 呼吸系统，心脏系统，深浅睡眠，风险提示，睡眠建议10种维度睡眠数据分析；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4.支持老人离床未归报警；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5.电源：5V2A；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过压保护：支持；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静电保护：支持；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储存温度：-30℃~70℃；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设备功耗：450mW；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外壳壳料：A1防火材料；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6.已对接智慧养老平台</w:t>
            </w: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4342215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3CDED9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07785AE7">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0930948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F9525B1">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1FEE4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21C5757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704BA05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床上用品</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076279D3">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护理实操：床单、被褥、枕套等更换及整理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三件套，被套150*200cm,床单120*220cm,枕套：45*75cm</w:t>
            </w: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393A655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6EB201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134979BA">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3E0F751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46F7A5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0C7E2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1D0E31D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2E858F4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床头柜</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065D6590">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颜色：浅蓝、蓝色、白色、米黄、粉色、浅绿、墨绿、橘红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1、规格尺寸：480*480*760mm，因塑料制品收缩率的变化产品误差（±10mm）；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2、床头柜整体采用优级改性塑料注塑成型，板材料强度高，外形美观大方；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3、床头柜由柜体、面盖、柜门、抽屉、拉板、毛巾架等组成；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 、柜体正面形状为圆弧形，左右两侧面配有折叠隐藏式毛巾架，需用时将伸出，不用时收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拢，放置在柜体侧面型体内，角度范围 90 度；柜体底部可安装万向轮便于移动；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抽屉面板外形为圆弧状，面板下方有抽屉拉手孔，便于拉、关抽屉；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5、柜门内侧设有内置储物盒，存取小型物品更为便捷）；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6、柜体内设有隔板，可根据物品的高度调节隔板的位置，具有两层调节功能；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7、柜体侧板有圆弧形加强筋，柜体支撑强度和牢固性更佳；加强筋内凸位置与隔板凹槽配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合，增加隔板位置稳定性；。</w:t>
            </w: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0069F12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03894E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32CFDA1B">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580DAB4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39176DF">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5A8E1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720C7CE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05C019A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床头设备带</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71B1B9DF">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1、医疗设备带颜色具有多样性。常规色（木纹色单算）；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2、医疗设备带其规格为：≥210*1.3*59；</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3、医疗设备带需通过 GB9706.1-2020 医用电气设备第 1 部分：基本安全和基本性能的通用要求、设备带燃烧性能通过 GB 8624 《建筑材料及制品燃烧性能分级》；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4、配置：氧气终端，床头头灯LED8W和罩板，房间氧气维修阀，封头，118开关插座-开六孔带开关，紫铜管支管中8*1.0；</w:t>
            </w: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0DF5142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6F07D3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床</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64EB801E">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7732DF4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7210FE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013EA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317723F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1E9F467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全功能护理模拟人</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053B8C31">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产品主要功能：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1.洗头、洗脸；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2.眼耳清洗滴药；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3.口腔护理、假牙护理；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4.口鼻气管插管：支持口对口、口对鼻、简易呼吸器对口等多种通气方式；支持听诊检测插管位置，牙齿受压报警；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5.气管切开护理：头颈部有气管切开伤口，可放入气管套管，进行气管切开护理；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6.吸痰法：经口、鼻插入吸痰管练习，模拟吸痰；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7.氧气吸入法：有明显鼻中隔，可练习鼻导管给氧法；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8.胃管置入术：可进行口鼻饲食法、洗胃、胃肠减压操作，支持腹部听诊检测插管位置，插管成功后可抽吸出胃液；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9.手臂静脉穿刺、注射、输液（血）：可进行手部及手臂静脉穿刺训练，包括贵要静脉、正中静脉、头静脉或手背，手臂静脉高度仿真，手感真实，穿刺正确有明显的落空感；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10.三角肌注射：三角肌注射模块可进行上百次注射训练，并易更换；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11.股外侧肌注射：注射模块可进行上百次注射，并易更换；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12.胸腔穿刺；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13.腰椎穿刺；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14.肝脏穿刺；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15.骨髓穿刺；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16.灌肠法：模拟人可摆放各种体位，肛门处可模拟灌肠，进行保留灌肠及不保留灌肠训练；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17.男/女性导尿术、男/女性膀胱冲洗；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18.造瘘引流术:可注入液体至造瘘瓶内，模拟造瘘引流术护理操作；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19.腹部处有空场造瘘和结肠造瘘，可进行造瘘口护理；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20.臀部肌肉注射：可进行肌肉注射训练，模块可进行上百次练习并易更换；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21.胸腔解剖重要器官结构：胸腔皮肤可打开，观察到支气管、肺、胃等胸腔解剖结构；</w:t>
            </w: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14C4118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D8E5E3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43662730">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6798ADD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C66F4F2">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17E9E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F6CD81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B0BC82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体位转移实操</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A53791D">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1、需满足床过轮椅、床过床，床上起身等护理实操项目；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2、直形移位板：≥750*195mm；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3、移位腰带：M/L/XL；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4、起身辅助带：≥80*21cm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5、转移床单：≥70*140cm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6、下肢转移辅助带：≥80*21cm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7、转移垫：≥108*68</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0711B6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AEDD75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5742A26">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9C19A6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BADF19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0E407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03E7CF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E690FA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喂食实操</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4183865">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1、需满足辅助进食等护理实操项目；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2、喂食瓶一个：容量≥120ml；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3、流食杯一个：杯口宽≥8cm，杯高≥13CM，容量≥350ML，材质：PP+不锈钢；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4、硅胶勺一个：长18.3*勺头3.2*厚1.5CM，硅胶材质；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5、小毛巾一个：常规；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6、护围便利餐盘一个：直径:30.3CM，高:6CM，ABS+TRP材质；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7、流食勺一个：ABS+TRP材质；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8、斜口杯一个：开口宽度：7.3CM，高度：12cm，容量237ML，PP材质；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9、围兜一个：70*45cm，涤纶+PVC防水布；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10、汤匙一个：陶瓷材质；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11、纸巾一个；</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015D1E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EA8C44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BD9AEE7">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EA56F8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ACAD18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3BDD7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FCF3B3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F586DF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口腔护理实操</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1438124">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1、需满足口腔清洁护理实操项目；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2、产品需包含口腔护理包、漱口杯，污水杯、牙刷、口腔清洁棒、手套、照明手电筒、弯盘、润唇膏各1件；</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6775DD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B82F69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B7610AD">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BA49BA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8E76FA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340D0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079FB4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B88725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排泄护理实操</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1423D442">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1、需满足大小便护理实操项目；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2、产品需包含便盆、冲洗壶、尿壶、毛巾、盆子、小便器（男女各一款），各一件；</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DC407F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B9FE98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13C5F15">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463A96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086BD6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10441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CC065E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2F4A7A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清洁护理实操</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95858AD">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1、需满足床上洗头、擦浴、洗浴等护理实操项目；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2、产品需包含梳子、电吹风、隔水垫、放大镜指甲钳、衣服、毛巾、浴巾、洗头器、水瓢、沐浴液、洗发液、水桶各1件；</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9C14AA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E300A8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50DCA4E">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2F7F9D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57056BC">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51BAE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5A3F0E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76EA23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医疗照护包</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E10C47B">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一、总体要求：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医疗照护包需包含电热煮沸消毒器、紫外线消毒灯、持物钳（镊）、置钳（镊）筒、治疗碗、治疗盘、有盖罐、隔离衣、医用防护面罩、医用防护口罩、治疗车、红外线治疗灯等产品。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二、设备要求：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1、电热煮沸消毒器一台：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（1）内部尺寸：≥415*175*125mm；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（2）外形尺寸：≥560*240*255mm；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（3）机器重量：≥7.5KG；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（4）控温范围：室温 -100℃C；</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（5）加热功率：1000W；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（6）恒温时间：1-999 分钟；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（7）温度波动：士0.5'C；</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（8）置物隔板以上 90mm，容积≥9升；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2、紫外线消毒灯一台：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（1）额定功率：38W；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（2）额定电压：220V；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（3）额定频率：50HZ；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（4）产品尺寸：≥160*160*420mm；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（5）包装尺寸：≥200*200*500mm；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（6）杀菌方式：紫外线杀菌适用面积:≤60㎡；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（7）电源线：≈1.5M；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（8）定时方式：电子定时；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（9）材 质：石英H型灯管；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（10）灯架ABS环保材料；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3、持物钳（镊）一个：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（1）医用，型号：25cm；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（2）材质：304 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（3）特点：防腐蚀防碘伏；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4、置钳（镊）筒一个：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（1）医用，型号：≥80*190mm；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（2）材质：304 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（3）特点：防尘盖，防尘防污染；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5、治疗碗一个：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（1）医用，型号：直径 ≥14cm；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（2）材质：304 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（3）特点：防腐蚀防碘伏；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6、治疗盘一个：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（1）医用，型号：≥45*33*3.4CM；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（2）材质：304 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（3）特点：采用不锈钢板一体式冲压成型，加厚耐用，圆润边角，防刮伤；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7、有盖罐一个：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（1）医用，型号：≥8cm；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（2）材质：304 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（3）特点：采用圆角、圆边设计，不伤手，不藏污纳垢；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8、隔离衣一个：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（1）材质：100%全棉；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（2）尺码：可选；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（3）可反复使用。，颜色：蓝色；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（4）特点：100% 棉、耐氯漂、耐洗涤、不起球、不掉毛、无落絮、亲肤舒适、透气性好；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9、医用防护面罩一个：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（1）贮藏条件：常温；</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（2）型号：5副；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（3）适用范围：用于医疗机构中检查治疗时起防护作用，阻隔体液、血液飞溅或泼溅；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（4）结构及组成：由高分子材料PET制成的防护罩、泡沫条和松紧带组成。非无菌提供，一次性使用；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（5）医疗器械类别：Ⅰ类医疗器械；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10、医用防护口罩一包：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（1）规格：≥17.5cmx9.5cm；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（2）有效期：三年；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11、治疗车一台：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（1）产品材质：优质不锈钢；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（2）产品工艺：焊接牢固；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（3）产品载重：≥300斤；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12、红外线治疗灯一台：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（1）光谱波长：2~25μm(微米)；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（2）工作电压：220V；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（3）包装尺寸：≥500*360*190mm；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（4）辐射板直径：166mm；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（5）额定功率：300VA；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（6）重量：≥8.5Kg；</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F5F382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C8309C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9908CD6">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A6648F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626C94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7919F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FAC8ED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AC5AA1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智能药盒</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E0B7B3F">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1、产品尺寸：直径≥11*2.5CM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2、材质：ABS+PP</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3、使用2颗AG13纽扣电池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（1）时钟；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（2）设置4组提醒闹铃；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（3）错过吃药提醒；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（4）夜光；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（5）定时器可以取出来；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5、设置日常时间：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（1）按“S”键5次直到屏幕上的时钟图标闪烁，“H”和“M”键设置小时/分钟，按“S”按钮确定设置；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（2）在时钟状态，同时按“M”键切换12/24小时；</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F97BAD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B531E4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29A5C36">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DC38D4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A0CA353">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60EBA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1C4560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C72B11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智能成人纸尿裤</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846D1B8">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1、智能感应尿湿报警，配合报警器使用，一次性使用产品；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2、需采用高分子防臭材料、防漏透气底膜、海量吸收、瞬间锁水、舒适干爽；</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F30771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0C538F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288AA11">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9F4B2A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45B205C">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30F4B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A00034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8CC46C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智能尿湿报警器</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5B0528B">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1、需包含智能报警网光灯和智能尿湿传感器，配合智能成人纸尿裤使用，可重复多次使用；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2、通过智能生活APP，需实现报警网关灯和传感器的一对一或者一对多连接，网关灯和手机APP可以同时实现尿量报警、尿量记录、翻身提醒、睡姿检测、用片统计、环境温度等；</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9BF148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AC1655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D61D74A">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6B0AE6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E97BB4B">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4FE23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5EC4AC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F7631C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折叠洗澡椅</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4706054">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1、U型座板洗澡椅（蓝色/橘黄两个颜色）；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2、尺寸：≥545*545*778（展开），≥545*220*965（折叠）；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3、材质：椅架高强度铝合金，喷塑处理；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4、坐板是EVA材质；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5、扶手全部EVA材质包裹，内有龙骨；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6、坐垫、靠背EVA材质；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7、防霉防滑TPE材质脚垫；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8、座板高度六档调节：≥350*450；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9、符合SGS环保要求的高弹性EVA座垫、靠垫使用更加舒适；</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126D9E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175137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0997ED7">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35A8C3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0D6983D">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76B5B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73CCD7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1E9920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适老座便器</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6F58B27">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1、产品承重：≥300斤；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2、产品材质：加厚不锈钢材质；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3、坐板尺寸：≥40*41cm；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4、坐高尺寸：≥44-52m；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5、产品特点：高度≥5档可调/加固防侧翻；</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6、产品尺寸：≥56*67*91-99cm；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7、折叠尺寸：≥56*76-84*19cm；</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706D10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1BE0ED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2AC58D6">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2D49CB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B40E2CF">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652F8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BE9DDF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4E06E8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落地上翻扶手</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8453C25">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1、产品材质：扶手弯头，支座部份采用201(可定制304)不锈钢材质；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2、面板：直径≥35*5mnmn的尼龙材料；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3、内芯：直径≥25*1.0mmn的优质201(可定制304)不锈钢材质；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4、扶手采用科技方法，具有抗菌，防滑等功能；</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AD2B4B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666A54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016D517">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FA9285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5734925">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3D95E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9BBF08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A72FA6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《老年健康照护》课程资源</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D6FB709">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课程资源包含：（1）课程标准；（2）课件PPT；（3）课程教案；（4）微课视频（理论+实操）；（5）习题库。 </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BB6000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6F8BD2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B587B36">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01D81A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25C42C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22F07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696EF05">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7F0424F">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c>
          <w:tcPr>
            <w:tcW w:w="2877" w:type="pct"/>
            <w:tcBorders>
              <w:top w:val="single" w:color="000000" w:sz="4" w:space="0"/>
              <w:left w:val="single" w:color="000000" w:sz="4" w:space="0"/>
              <w:bottom w:val="single" w:color="000000" w:sz="4" w:space="0"/>
              <w:right w:val="nil"/>
            </w:tcBorders>
            <w:shd w:val="clear" w:color="FFFFFF" w:fill="auto"/>
            <w:noWrap/>
            <w:vAlign w:val="center"/>
          </w:tcPr>
          <w:p w14:paraId="2C9F4264">
            <w:pPr>
              <w:pageBreakBefore w:val="0"/>
              <w:bidi w:val="0"/>
              <w:adjustRightInd w:val="0"/>
              <w:snapToGrid w:val="0"/>
              <w:spacing w:beforeAutospacing="0" w:afterAutospacing="0" w:line="360" w:lineRule="auto"/>
              <w:ind w:left="0" w:leftChars="0" w:right="0"/>
              <w:jc w:val="left"/>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D18A323">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19DCDE9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合计</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82DACC5">
            <w:pPr>
              <w:pageBreakBefore w:val="0"/>
              <w:bidi w:val="0"/>
              <w:adjustRightInd w:val="0"/>
              <w:snapToGrid w:val="0"/>
              <w:spacing w:beforeAutospacing="0" w:afterAutospacing="0" w:line="360" w:lineRule="auto"/>
              <w:ind w:left="0" w:leftChars="0" w:right="0"/>
              <w:jc w:val="right"/>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628CEB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nil"/>
              <w:bottom w:val="single" w:color="000000" w:sz="4" w:space="0"/>
              <w:right w:val="single" w:color="000000" w:sz="4" w:space="0"/>
            </w:tcBorders>
            <w:shd w:val="clear" w:color="FFFFFF" w:fill="auto"/>
            <w:noWrap/>
            <w:vAlign w:val="center"/>
          </w:tcPr>
          <w:p w14:paraId="6674A301">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6840D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C1DE3A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养老康复实训室</w:t>
            </w:r>
          </w:p>
        </w:tc>
      </w:tr>
      <w:tr w14:paraId="36685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C3503E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6F06BC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多功能护理床</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E2A8D31">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1：起背/背平、左侧身/右侧身、抬腿/落腿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2：起背0-75°、抬落腿0-30°、左右翻身45°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3：运动康复功能：仰卧起坐、曲腿运动、逍遥运动、左右翻动、组合运动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4：标配：床垫、 输液杆、 洗头盆、 便盆、餐桌板、 双面轮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5：带钢焊接床面， 表面处理静电喷涂工艺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6：实木床头床尾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7：木制护栏</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B37224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C63CB7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6F3B2BE">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3BA3D7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943D2C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79232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6BF80A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EF0D90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床上用品</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CBBA46E">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护理实操：床单、被褥、枕套等更换及整理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三件套，被套150*200cm,床单120*220cm,枕套：45*75cm</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DCD336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277FD4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2A66419">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867A5A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F9DF402">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7A183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5F6975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1678E3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床头柜</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CC20841">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颜色：浅蓝、蓝色、白色、米黄、粉色、浅绿、墨绿、橘红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1、规格尺寸：480*480*760mm，因塑料制品收缩率的变化产品误差（±10mm）；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2、床头柜整体采用优级改性塑料注塑成型，板材料强度高，外形美观大方；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3、床头柜由柜体、面盖、柜门、抽屉、拉板、毛巾架等组成；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 、柜体正面形状为圆弧形，左右两侧面配有折叠隐藏式毛巾架，需用时将伸出，不用时收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拢，放置在柜体侧面型体内，角度范围 90 度；柜体底部可安装万向轮便于移动；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抽屉面板外形为圆弧状，面板下方有抽屉拉手孔，便于拉、关抽屉；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5、柜门内侧设有内置储物盒，存取小型物品更为便捷）；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6、柜体内设有隔板，可根据物品的高度调节隔板的位置，具有两层调节功能；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7、柜体侧板有圆弧形加强筋，柜体支撑强度和牢固性更佳；加强筋内凸位置与隔板凹槽配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合，增加隔板位置稳定性；。</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C846B4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38050C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B880E3C">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F7954C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108E6CE">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7EDC7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0FDAB2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D27A97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自助式轮椅</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1D380FC">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1、铝合金轻型车架，后折把手，固定扶手，上翻脚托，PU后轮，自锁式后把手连刹车；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2、坐宽：≥600mm,轮距≥450mm,扶手高度≥500mm,脚踏离地≥150mm；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3、整高≥900mm；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4、承重≥100kg；</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E26A5B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CE1B9D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7BEEF04">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49914D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30F7F50">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5008C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65B5AE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A82C39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助行器</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0B6ABD4">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1、铝合金材质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2、净重≥2.5kg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3、毛重≥4kg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4、尺寸：≥450mm，宽≥500mm，高900mm-950mm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5、用作辅助步行</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692882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7BD6D2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0304390">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AC1B2A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920C15F">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26C30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061D52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07BAA1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拐杖</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5339A35">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1、铝合金材质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2、高度范围：730mm-970mm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3、地面支撑范围：长度290mm±10mm，宽430mm±10mm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4、净重≥850g</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F62F0C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6D1636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2F519AA">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BE9D1C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5BEFD02">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13A57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76AE49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1CA0D9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马桶</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5B7BC93">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1、常规落地连体式；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2、充水量3.0-6.0L；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3、承重≥70KG；</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2EFF11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BF9A56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58D06FD">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DC53F8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65B8841">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7568B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909BCA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7239C6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坐便椅</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EE50ADF">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1、座椅主体尺寸： 宽≥500mm, 深≥560mm-, 高≥780mm；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2、坐便容器材质：PP；</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3、座椅框架材质：铝合金；</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79D638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F8B125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1A321CA">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EFED19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791A732">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34940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2146AC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B0ED5C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上翻扶手</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EDBCBBA">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1、要求外饰材料为尼龙；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2、要求内衬铝合金或201不锈钢型材；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3、尼龙扶手直径≥35mm，长≥600mm；</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7C3DDD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758E3E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3887AA3">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200997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42CD84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52C4B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4D55DA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107010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OT综合训练台</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BC78248">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1、外观尺寸：≥191×104×93cm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2、训练位：器械在使用过程中，不应存在训练位与练位之间或同训练位之间的器械干涉、运动范围干涉、人体干涉等现象。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3、材质：主要采用优质钢材、实术等。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4、环保要求：器械使用的金属制品和金属制品的表面涂层，不应存在感官能察觉到的异味。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5、整体稳定性要求：自立式器械应着地平稳，底角与水平面的差值≤2mm，并在使用中不应产生晃动。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6、外观：可触及表面不得有毛刺。锐边和机械损伤。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焊接件焊缝表面应均匀，光滑平整。不应有漏焊，虚焊焊瘤，夹渣，裂纹，烧穿，飞溅物等缺陷；喷涂件表面色泽应均匀，光滑平整，不允许有漏点，起泡脱落，开裂漏挂和明显的擦伤，碰伤等缺陷；硬质管材末端应有部件或管塞堵住，不应脱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8、附件：上肢协调功能练习器、分指板弧形分指板、铁棍插板、型木插板、套圈、木制图形插板、模拟作业工具、上螺丝、上螺母、磁性钮，12种。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9、产品用途：适用于改善手指功能、提高眼手协调功能，训练感知能力及大脑对图形的识别能力，训练上肢稳定性、协调性，提高上肢日常活动能力。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10、特点和功能：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（1）侧板高度可调，适合不同身高人群使用。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（2）侧板可折叠，节省存放空间。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（3）配有带刹脚轮，方便移动。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（4）12套训练器材组合搭配，可进行综合训练。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训练结束后各器具可整理、收集在柜中，节约放置空间。</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AD646D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7F3BE1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92C024A">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B4F629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C67EB75">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38188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7B848B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11</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14F12F7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认知功能障碍筛查或成套测试量表及用具</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7BC2A8D">
            <w:pPr>
              <w:pageBreakBefore w:val="0"/>
              <w:bidi w:val="0"/>
              <w:adjustRightInd w:val="0"/>
              <w:snapToGrid w:val="0"/>
              <w:spacing w:beforeAutospacing="0" w:afterAutospacing="0" w:line="360" w:lineRule="auto"/>
              <w:ind w:left="0" w:leftChars="0" w:right="0"/>
              <w:rPr>
                <w:rFonts w:hint="eastAsia" w:ascii="宋体" w:hAnsi="宋体" w:eastAsia="宋体" w:cs="宋体"/>
                <w:b/>
                <w:bCs/>
                <w:sz w:val="21"/>
                <w:szCs w:val="21"/>
              </w:rPr>
            </w:pPr>
            <w:r>
              <w:rPr>
                <w:rFonts w:hint="eastAsia" w:ascii="宋体" w:hAnsi="宋体" w:eastAsia="宋体" w:cs="宋体"/>
                <w:sz w:val="21"/>
                <w:szCs w:val="21"/>
                <w:lang w:val="en-US" w:eastAsia="zh-CN"/>
              </w:rPr>
              <w:t>1、蒙特利尔认知评估(MontrealCognitive Assessment,MoCA)，是一个用来对认知功能异常进行快速筛查的评定工具。</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2、需包括视结构技能、执行功能、记忆、语言注意与集中、计算、抽象思维和定向力等8个认知领域。</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总分30分，&gt;26分正常其敏感性高，覆盖重要的认知领域，测试时间短，适合临床运用。但其也受教育程度的影响，文化背景的差异、检查者使用MOCA的技巧和经验，检查的环境及被试者的情绪及精神状态等均会对分值产生影响，对于轻度认知功能障碍(MIC)蒙特利尔认知评估量表的筛查更具敏感性。</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15ACA7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CC7D45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300980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8DEFC8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308C12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r>
      <w:tr w14:paraId="3CBB1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421459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2FDD98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PT床</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135AE12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外形尺寸（长×宽×高）：194㎝×123㎝×48㎝</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主要采用优质型钢、高密度海绵、皮革等</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床面高度：48㎝</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床面额定承载: 120KG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产品表面及手指可触及的隐蔽处，无锐利的棱角、毛刺，无针孔、起泡、起皮、脱落和明显划伤。</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外形饱满圆滑，缝合线迹上下吻合，线路顺直、整齐、平服、牢固。</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产品用途：用作PT受训者在床上进行各类康复训练活动。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特点和功能：床脚配有高度微调支脚，着地稳固。</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7D19DB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 </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7393E4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49F754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735871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7F5F95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4A039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B5C6C2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D27AED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PT凳</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A77A01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外形尺寸（直径×高）：Φ60cm×（42～56）cm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铝钢结构，凳面为发泡一次成型，凳面外包优质PU革；</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带液压油缸，360°旋转</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额定承载：2000N</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康复师进行手法治疗时可移动的坐具。</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1.凳面高度可调，方便康复师使用。2.凳体底部设计有万向滑轮，可以自由移动。3.凳面可以360°旋转。</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C1428E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 </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088F60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D0E4CC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5CF620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95FED9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52867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98B997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14</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53B961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辅助行走机器人</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D1AD8F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主要技术参数：</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1、【主要部件材质说明】</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1）、主架：铝合金材质（无焊接结构）；；</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2）、电机：无刷电机250W*2；</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3）、控制系统：方波驱动；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4）、电池：锂电池；续航≥20公里；</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5）、前轮：万向轮结构；</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2、锂电池组：额定容量 15Ah，DC24V</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3、充电器：输入电源 220V，50Hz ；输出：电压 24V电流 2A</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4、规格(mm)：1050×690×2000</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5、产品净重：47.0kg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6、控制方式：电动控制</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7、最大速度：≤6 km/h</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8、行驶制动性能（坐姿状态）：水平路面（≤1.5 m）最大安全坡度制动（≤3.6 m（6º）</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9、静态稳定性（坐姿状态）：≥9°</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10、动态稳定性（坐姿状态）：≥6°</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11、越障高度（坐姿状态）：≥40 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12、越沟宽度（坐姿状态）：100 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13、爬坡能力（坐姿状态）：≥6°</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14、最小回转半径：≤1200 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15、升降支架升降行程：460 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16、扶手高度调节行程：460 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17、减重力量范围：0～1000N</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18、悬吊支架承重：≥100Kg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19、升降驱动器推力：总≥000N</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20、通过吊带控制，根据需要减轻患者训练中下肢的承重量，保证行走安全。通过行驶控制器操作可控前后及转弯移动，升降控制器操作可以调节升将范围。</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21、用来保持身体平衡或支撑身体的PU扶手，可以保证人身安全。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22、通过升降控制器调节；吊臂升降逐渐上升，训练者下肢的承重逐渐减少至患者能承受时，进行步态训练；随着下肢承重及步行能力增强，可同步调整升降吊臂的高度支持自身体重进行步态训练。</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23、通过行驶控制器操作可使患可以主动或被动进行步态训练。</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24、橡胶脚轮，带电磁刹车后脚轮，有效地控制训练器在使用过程中的移动幅度，使患者在相对安全的情况下进行训练。</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25、采用电量指示灯显示电池电量、速度指示灯显示移动档位数。</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1C1AE5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 xml:space="preserve">1 </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556442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台</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113239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7B7687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6BDE96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r>
      <w:tr w14:paraId="25A97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502E02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FD4EC5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小蜜蜂扩音器</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0869BA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包含：产品主机、头戴式有线麦克风、充电数据线、腰带绳</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F1BD74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 xml:space="preserve">120 </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E39289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台</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AD3EAE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98B39B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9DA53F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r>
      <w:tr w14:paraId="4BA58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0E6472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16</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837B83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手提音箱</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39C0F1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1.采用DSP数字处理器；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2.具有蓝牙、收音机、USB、TF(SD）卡播放功能；</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3.具有话筒筒优先、录音功能；</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4.具有液晶显示屏显示歌题；</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5.带双UHF无线话筒；</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6.喇叭：8寸低音，号角高音；</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7.额定功率：100W；</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8.峰值功率：300W；</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9.频率响应：20-20KHz</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10.线路输入灵敏度：1000mV</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11.内置电池：12V/7AH铅酸电池，可外接12-15V其他电池使用。</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27B7E9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 xml:space="preserve">7 </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C08E10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台</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B7F0F1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3C7003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193CD01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r>
      <w:tr w14:paraId="03CAA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790FED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17</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481BEE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拉杆音箱</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32266F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1.具有15.4寸高清钢化大屏，全电子音量播放+1080P+一键触摸显示屏，电视直播，智能联网点歌等等全功能，储存0.5T容量;</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2.内置读卡器:双解码可读多种格式、带USB，SD卡，语音提示，带蓝牙、收音、录音、话筒优先、数码显示、遥控等，面板上可直接删除没有用录音文件，做到人性化;</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3.具有有线话筒插口，乐器口输入插口，音乐、话筒高低音可单独调节。混响旋纽.话筒优先键.USB显示口等功能;</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xml:space="preserve">4.内置双话筒双接收，接收距离100米左右;   </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5.扬声器：采用12寸低音、34芯磁号角高音;</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6.峰值功率:300W;</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7.阻抗：6欧;</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8.频率响应：20Hz-20KHz;</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9.输入灵敏度：DVD或其它音乐：550mV   有线话筒：10mV;</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10.内置电瓶:12V/14Ah*2;</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11.使用电源:交(宽电源交流100伏-300伏）直流两用.</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9094FF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 xml:space="preserve">1 </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499423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台</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3152CA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EC64E7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995564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r>
      <w:tr w14:paraId="2725E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532CCB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18</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4AB19E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实训推车车体</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AE8A11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b/>
                <w:bCs/>
                <w:sz w:val="21"/>
                <w:szCs w:val="21"/>
                <w:highlight w:val="none"/>
                <w:lang w:val="en-US" w:eastAsia="zh-CN"/>
              </w:rPr>
              <w:t>★1、实训推车整体采用一体化设计，至少包括移动车体、实训触控主机模块、移动电源模块，整体推车走线内置，保证整体美观；提供第三方检测机构出具的具有CMA或CNAS标识的功能检测报告扫描件并加盖公章；</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实训推车整车要求方便操作，支持老师单手操作，一个手操作移动把手可以完成拍摄角度的调整；移动车体要求全方位移动旋转，支持全方位立体式操作；老师单手操作，支持360度旋转，垂直拉动不小于60度调节，支持任意角度拉动，任意位置悬停；旋转最大只能旋转一圈，不能无限制转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3、移动车体：</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（1）整车高度≥1.8米，摄像机移动范围≥2米；整车可以满足10度倾斜测试；</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（2）要求采用隐线式设计方式，显示屏、摄像机接口对接统一套上白色热缩管包裹，外部不漏线材，美观整洁； 要求符合人体工程学结构设计，车体要求由万向轮底架、立杆、转臂三部分组成，底架用于移动和固定，立杆用于承重，转臂用于转动操作；移动车体要操作舒适，采用活动关节带阻尼装置，配合气压活动臂，保证拉动旋转调节过程没有异响、舒适；</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（3）车体台面、把手采用注塑工艺、高硬度ABS材质；底盘、机箱、内部固定件等，采用钣金工艺、高硬度SPCC材质；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要求具有刹车功能，要求采用医用静音万向轮，拉动无异响；要求采用100mm直径的磨砂轮子，安全稳固可靠；刹车轮采用双踏板设计，刹车和解锁都是通过踩下踏板的模式进行制动，踩下底部踏板撒车，踩下顶部踏板解锁，可</w:t>
            </w:r>
            <w:r>
              <w:rPr>
                <w:rFonts w:hint="eastAsia" w:ascii="宋体" w:hAnsi="宋体" w:eastAsia="宋体" w:cs="宋体"/>
                <w:sz w:val="21"/>
                <w:szCs w:val="21"/>
                <w:highlight w:val="none"/>
                <w:lang w:val="en-US" w:eastAsia="zh-CN"/>
              </w:rPr>
              <w:t>承重：100kg;</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4、实训触控主机模块：</w:t>
            </w:r>
            <w:r>
              <w:rPr>
                <w:rFonts w:hint="eastAsia" w:ascii="宋体" w:hAnsi="宋体" w:eastAsia="宋体" w:cs="宋体"/>
                <w:sz w:val="21"/>
                <w:szCs w:val="21"/>
                <w:highlight w:val="none"/>
                <w:lang w:val="en-US" w:eastAsia="zh-CN"/>
              </w:rPr>
              <w:br w:type="textWrapping"/>
            </w:r>
            <w:r>
              <w:rPr>
                <w:rFonts w:hint="eastAsia" w:ascii="宋体" w:hAnsi="宋体" w:eastAsia="宋体" w:cs="宋体"/>
                <w:b/>
                <w:bCs/>
                <w:sz w:val="21"/>
                <w:szCs w:val="21"/>
                <w:highlight w:val="none"/>
                <w:lang w:val="en-US" w:eastAsia="zh-CN"/>
              </w:rPr>
              <w:t>★（1）采用嵌入式一体化设计，采用高性能低功耗嵌入式处理器，集无线视频传输、音视频采集、触控显示、视频录制、远程互动一体的高度集成系统设备；提供第三方检测机构出具的具有CMA或CNAS标识的功能检测报告扫描件并加盖公章；</w:t>
            </w:r>
            <w:r>
              <w:rPr>
                <w:rFonts w:hint="eastAsia" w:ascii="宋体" w:hAnsi="宋体" w:eastAsia="宋体" w:cs="宋体"/>
                <w:b/>
                <w:bCs/>
                <w:sz w:val="21"/>
                <w:szCs w:val="21"/>
                <w:highlight w:val="none"/>
                <w:lang w:val="en-US" w:eastAsia="zh-CN"/>
              </w:rPr>
              <w:br w:type="textWrapping"/>
            </w:r>
            <w:r>
              <w:rPr>
                <w:rFonts w:hint="eastAsia" w:ascii="宋体" w:hAnsi="宋体" w:eastAsia="宋体" w:cs="宋体"/>
                <w:b/>
                <w:bCs/>
                <w:sz w:val="21"/>
                <w:szCs w:val="21"/>
                <w:highlight w:val="none"/>
                <w:lang w:val="en-US" w:eastAsia="zh-CN"/>
              </w:rPr>
              <w:t>★（2）采用≥15.6寸 IPS FHD A级高清液晶一体触摸屏，使用钢化高强度玻璃面；提供第三方检测机构出具的具有CMA或CNAS标识的功能检测报告扫描件并加盖公章；</w:t>
            </w:r>
            <w:r>
              <w:rPr>
                <w:rFonts w:hint="eastAsia" w:ascii="宋体" w:hAnsi="宋体" w:eastAsia="宋体" w:cs="宋体"/>
                <w:b/>
                <w:bCs/>
                <w:sz w:val="21"/>
                <w:szCs w:val="21"/>
                <w:highlight w:val="none"/>
                <w:lang w:val="en-US" w:eastAsia="zh-CN"/>
              </w:rPr>
              <w:br w:type="textWrapping"/>
            </w:r>
            <w:r>
              <w:rPr>
                <w:rFonts w:hint="eastAsia" w:ascii="宋体" w:hAnsi="宋体" w:eastAsia="宋体" w:cs="宋体"/>
                <w:b/>
                <w:bCs/>
                <w:sz w:val="21"/>
                <w:szCs w:val="21"/>
                <w:highlight w:val="none"/>
                <w:lang w:val="en-US" w:eastAsia="zh-CN"/>
              </w:rPr>
              <w:t>★（3）整体主机接口朝下固定，包括≥1路HDMI输入、≥2路HDMI输出、≥1路USB、≥1路RS232、≥1路音频输入和≥1路音频输出；提供产品截图；</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（4）支持内置高速无线接收器，至少支持扩展3路视频无线输入；工作频率5.15-5.85GHZ，双 2天线，支持级联、最大数据速率 300Mbps，最大传输距离100米左右（空旷无遮挡情况下），支持无线自动配对自动组网；</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（5）支持内置无线麦克风接收模块，通过天线方式与无线麦进行对接拾音；支持内置全向麦克风</w:t>
            </w:r>
            <w:r>
              <w:rPr>
                <w:rFonts w:hint="eastAsia" w:ascii="宋体" w:hAnsi="宋体" w:eastAsia="宋体" w:cs="宋体"/>
                <w:sz w:val="21"/>
                <w:szCs w:val="21"/>
                <w:lang w:val="en-US" w:eastAsia="zh-CN"/>
              </w:rPr>
              <w:t>，实现至少3米内的高灵敏度拾音；</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（6）支持内置≥1T SSD固态硬盘，保证存储空间和可靠性；</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（7）支持内置支持WIFI 5G无线网络传输，适用频段2.4GHz+5GHz支持MESH组网；</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（8）内置数字音频模块至少支持反馈消除、回声消除、噪声消除高级算法和支持对无线麦、线性输入音频信号进行本地扩声；</w:t>
            </w:r>
            <w:r>
              <w:rPr>
                <w:rFonts w:hint="eastAsia" w:ascii="宋体" w:hAnsi="宋体" w:eastAsia="宋体" w:cs="宋体"/>
                <w:sz w:val="21"/>
                <w:szCs w:val="21"/>
                <w:lang w:val="en-US" w:eastAsia="zh-CN"/>
              </w:rPr>
              <w:br w:type="textWrapping"/>
            </w:r>
            <w:r>
              <w:rPr>
                <w:rFonts w:hint="eastAsia" w:ascii="宋体" w:hAnsi="宋体" w:eastAsia="宋体" w:cs="宋体"/>
                <w:b/>
                <w:bCs/>
                <w:sz w:val="21"/>
                <w:szCs w:val="21"/>
                <w:highlight w:val="none"/>
                <w:lang w:val="en-US" w:eastAsia="zh-CN"/>
              </w:rPr>
              <w:t>★5、支持≥1路5G 全网通NANO-SIM卡插槽；支持通过5GHZ射频信号接入多路无线网络高清视频流信号，5GHZ RF网络具有上电自动连接，自主组网能力；提供第三方检测机构出具的具有CMA或CNAS标识的功能检测报告扫描件并加盖公章；</w:t>
            </w:r>
            <w:r>
              <w:rPr>
                <w:rFonts w:hint="eastAsia" w:ascii="宋体" w:hAnsi="宋体" w:eastAsia="宋体" w:cs="宋体"/>
                <w:sz w:val="21"/>
                <w:szCs w:val="21"/>
                <w:highlight w:val="yellow"/>
                <w:lang w:val="en-US" w:eastAsia="zh-CN"/>
              </w:rPr>
              <w:br w:type="textWrapping"/>
            </w:r>
            <w:r>
              <w:rPr>
                <w:rFonts w:hint="eastAsia" w:ascii="宋体" w:hAnsi="宋体" w:eastAsia="宋体" w:cs="宋体"/>
                <w:sz w:val="21"/>
                <w:szCs w:val="21"/>
                <w:lang w:val="en-US" w:eastAsia="zh-CN"/>
              </w:rPr>
              <w:t>6、移动电源</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（1）要求采用磷酸铁锂电芯类型，电池容量≥16500mAh，充满后正常使用时长≥8小时；</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（2）支持接上电源线，即插电开始充电；</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（3）支持边充边用；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（4）支持电量显示功能，电量显示精确到小数点两位；</w:t>
            </w:r>
            <w:r>
              <w:rPr>
                <w:rFonts w:hint="eastAsia" w:ascii="宋体" w:hAnsi="宋体" w:eastAsia="宋体" w:cs="宋体"/>
                <w:sz w:val="21"/>
                <w:szCs w:val="21"/>
                <w:lang w:val="en-US" w:eastAsia="zh-CN"/>
              </w:rPr>
              <w:br w:type="textWrapping"/>
            </w:r>
            <w:r>
              <w:rPr>
                <w:rFonts w:hint="eastAsia" w:ascii="宋体" w:hAnsi="宋体" w:eastAsia="宋体" w:cs="宋体"/>
                <w:b/>
                <w:bCs/>
                <w:sz w:val="21"/>
                <w:szCs w:val="21"/>
                <w:highlight w:val="none"/>
                <w:lang w:val="en-US" w:eastAsia="zh-CN"/>
              </w:rPr>
              <w:t>★（5）支持电源开关按钮，要求长按3秒后关机，防止误操作；提供第三方检测机构出具的具有CMA或CNAS标识的功能检测报告扫描件并加盖公章；</w:t>
            </w:r>
            <w:r>
              <w:rPr>
                <w:rFonts w:hint="eastAsia" w:ascii="宋体" w:hAnsi="宋体" w:eastAsia="宋体" w:cs="宋体"/>
                <w:sz w:val="21"/>
                <w:szCs w:val="21"/>
                <w:highlight w:val="yellow"/>
                <w:lang w:val="en-US" w:eastAsia="zh-CN"/>
              </w:rPr>
              <w:br w:type="textWrapping"/>
            </w:r>
            <w:r>
              <w:rPr>
                <w:rFonts w:hint="eastAsia" w:ascii="宋体" w:hAnsi="宋体" w:eastAsia="宋体" w:cs="宋体"/>
                <w:sz w:val="21"/>
                <w:szCs w:val="21"/>
                <w:lang w:val="en-US" w:eastAsia="zh-CN"/>
              </w:rPr>
              <w:t>（6）支持电压过低预警提示功能；</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（7）支持过流、过充、过放电池保护功能；</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（8）要求具有220V品字充电接口、DC 12V电源输出接口、以及检修口；</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7、要求主机内置web配置功能，可以实现对主机IP、视频采集通道名称等灵活配置；</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8、支持音箱额定功率≥20W；喇叭单元采用4"×2，1.5"高音；支持AUX（双莲花）音频输入；铝合金材质；灰白色。</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65A3C3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92625A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台</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6D81AB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03B325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A955FD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r>
      <w:tr w14:paraId="6FD16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6209600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6317939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示教互动软件</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36C5641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1、要求软件采用嵌入式系统，支持内置在实训推车，支持示范教学、示范录制、示范回看、资源管理功能;</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2、支持触摸式使用，所有功能操作都是即触即用；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3、示范教学过程实时显示实训摄像机采集的画面，支持单画面、双画面、三画面和四画面模式切换；</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4、示范教学支持全屏显示，支持退出全屏；</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5、支持示范一键启动录制和停止录制，支持录制的视频格式为标准MP4格式；支持暂停录制和恢复录制，保证录制文件是完整的；</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6、支持录制过程中显示已录制的时间，时间精确到秒；</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7、支持示范操作的资源录制，可以分别录制不同接入摄像机采集的视频为资源文件；</w:t>
            </w:r>
            <w:r>
              <w:rPr>
                <w:rFonts w:hint="eastAsia" w:ascii="宋体" w:hAnsi="宋体" w:eastAsia="宋体" w:cs="宋体"/>
                <w:sz w:val="21"/>
                <w:szCs w:val="21"/>
                <w:lang w:val="en-US" w:eastAsia="zh-CN"/>
              </w:rPr>
              <w:br w:type="textWrapping"/>
            </w:r>
            <w:r>
              <w:rPr>
                <w:rFonts w:hint="eastAsia" w:ascii="宋体" w:hAnsi="宋体" w:eastAsia="宋体" w:cs="宋体"/>
                <w:b/>
                <w:bCs/>
                <w:sz w:val="21"/>
                <w:szCs w:val="21"/>
                <w:highlight w:val="none"/>
                <w:lang w:val="en-US" w:eastAsia="zh-CN"/>
              </w:rPr>
              <w:t>★8、支持对接入的摄像机进行云台控制，实现对当前画面的放大缩小；提供第三方检测机构出具的具有CMA或CNAS标识的功能检测报告扫描件并加盖公章；</w:t>
            </w:r>
            <w:r>
              <w:rPr>
                <w:rFonts w:hint="eastAsia" w:ascii="宋体" w:hAnsi="宋体" w:eastAsia="宋体" w:cs="宋体"/>
                <w:sz w:val="21"/>
                <w:szCs w:val="21"/>
                <w:highlight w:val="yellow"/>
                <w:lang w:val="en-US" w:eastAsia="zh-CN"/>
              </w:rPr>
              <w:br w:type="textWrapping"/>
            </w:r>
            <w:r>
              <w:rPr>
                <w:rFonts w:hint="eastAsia" w:ascii="宋体" w:hAnsi="宋体" w:eastAsia="宋体" w:cs="宋体"/>
                <w:sz w:val="21"/>
                <w:szCs w:val="21"/>
                <w:lang w:val="en-US" w:eastAsia="zh-CN"/>
              </w:rPr>
              <w:t>9、支持点批注进入批注模式，可以进行重点批注，支持切换不同画笔颜色或笔迹精细模式；</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10、支持示范过程中对关键点进行打标记，标记包括绿色星代表好的标记、红色星代表不好的标记，并记录标记的视频位置；</w:t>
            </w:r>
            <w:r>
              <w:rPr>
                <w:rFonts w:hint="eastAsia" w:ascii="宋体" w:hAnsi="宋体" w:eastAsia="宋体" w:cs="宋体"/>
                <w:sz w:val="21"/>
                <w:szCs w:val="21"/>
                <w:lang w:val="en-US" w:eastAsia="zh-CN"/>
              </w:rPr>
              <w:br w:type="textWrapping"/>
            </w:r>
            <w:r>
              <w:rPr>
                <w:rFonts w:hint="eastAsia" w:ascii="宋体" w:hAnsi="宋体" w:eastAsia="宋体" w:cs="宋体"/>
                <w:b/>
                <w:bCs/>
                <w:sz w:val="21"/>
                <w:szCs w:val="21"/>
                <w:highlight w:val="none"/>
                <w:lang w:val="en-US" w:eastAsia="zh-CN"/>
              </w:rPr>
              <w:t>★11、支持示范录制视频回看，通过软件打开回看，支持通过标签快速查看示范操作关键点，回看过程中老师可以暂停、全屏，支持进行重点批注，支持批注文件单独保存，老师可以打开批注文件；支持点击视频列表文件进行预览；支持拖动视频进度条；支持调整视频音量；支持点击更多视角可播放资源文件；提供第三方检测机构出具的具有CMA或CNAS标识的功能检测报告扫描件并加盖公章；</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12、支持资源管理，支持对教学视频、示范视频、标注图片、截图文件打开预览；支持在编辑模式下支持文件夹和文件删除；支持对选中的文件夹和文件拷贝到U盘，支持显示拷贝进度和取消拷贝；</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13、支持关联课表自动开课，支持对直播课程进行暂停直播、开始直播、结束直播等操作；</w:t>
            </w:r>
            <w:r>
              <w:rPr>
                <w:rFonts w:hint="eastAsia" w:ascii="宋体" w:hAnsi="宋体" w:eastAsia="宋体" w:cs="宋体"/>
                <w:sz w:val="21"/>
                <w:szCs w:val="21"/>
                <w:lang w:val="en-US" w:eastAsia="zh-CN"/>
              </w:rPr>
              <w:br w:type="textWrapping"/>
            </w:r>
            <w:r>
              <w:rPr>
                <w:rFonts w:hint="eastAsia" w:ascii="宋体" w:hAnsi="宋体" w:eastAsia="宋体" w:cs="宋体"/>
                <w:b/>
                <w:bCs/>
                <w:sz w:val="21"/>
                <w:szCs w:val="21"/>
                <w:highlight w:val="none"/>
                <w:lang w:val="en-US" w:eastAsia="zh-CN"/>
              </w:rPr>
              <w:t>★14、支持音视频远程互动，支持查看听课教室列表，支持与远程教室进行双向互动，支持本地静音和远程静音；当听课教室接入时，支持本地主讲教室与远程听课教室画面双画面显示；提供第三方检测机构出具的具有CMA或CNAS标识的功能检测报告扫描件并加盖公章；</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15、支持自动搜索同一个局域网内所有安装同屏接收端的教学一体机；支持示范实训操作实时同屏到同局域网内一台或多台教学一体机大屏上；同屏视频质量最大可达到高清4K；视频同步延时≤500ms，操作实时显示无卡顿；支持显示同屏连接状态；</w:t>
            </w:r>
            <w:r>
              <w:rPr>
                <w:rFonts w:hint="eastAsia" w:ascii="宋体" w:hAnsi="宋体" w:eastAsia="宋体" w:cs="宋体"/>
                <w:sz w:val="21"/>
                <w:szCs w:val="21"/>
                <w:lang w:val="en-US" w:eastAsia="zh-CN"/>
              </w:rPr>
              <w:br w:type="textWrapping"/>
            </w:r>
            <w:r>
              <w:rPr>
                <w:rFonts w:hint="eastAsia" w:ascii="宋体" w:hAnsi="宋体" w:eastAsia="宋体" w:cs="宋体"/>
                <w:b/>
                <w:bCs/>
                <w:sz w:val="21"/>
                <w:szCs w:val="21"/>
                <w:highlight w:val="none"/>
                <w:lang w:val="en-US" w:eastAsia="zh-CN"/>
              </w:rPr>
              <w:t>★16、支持截图功能，通过软件按钮即可实现对当前采集摄像机画面进行画面截取存为图片；提供第三方检测机构出具的具有CMA或CNAS标识的功能检测报告扫描件并加盖公章；</w:t>
            </w:r>
            <w:r>
              <w:rPr>
                <w:rFonts w:hint="eastAsia" w:ascii="宋体" w:hAnsi="宋体" w:eastAsia="宋体" w:cs="宋体"/>
                <w:sz w:val="21"/>
                <w:szCs w:val="21"/>
                <w:highlight w:val="yellow"/>
                <w:lang w:val="en-US" w:eastAsia="zh-CN"/>
              </w:rPr>
              <w:br w:type="textWrapping"/>
            </w:r>
            <w:r>
              <w:rPr>
                <w:rFonts w:hint="eastAsia" w:ascii="宋体" w:hAnsi="宋体" w:eastAsia="宋体" w:cs="宋体"/>
                <w:sz w:val="21"/>
                <w:szCs w:val="21"/>
                <w:lang w:val="en-US" w:eastAsia="zh-CN"/>
              </w:rPr>
              <w:t xml:space="preserve">17、支持示范教学视频、批注、截图等资源拷贝至U盘，以便老师拷贝后进行课后回顾； </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18、支持设置选择5G网络还是有线局域网络进行上行传输，并且显示网络状态；</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19、支持显示当前日期和时间，并且支持网络时钟同步；</w:t>
            </w:r>
            <w:r>
              <w:rPr>
                <w:rFonts w:hint="eastAsia" w:ascii="宋体" w:hAnsi="宋体" w:eastAsia="宋体" w:cs="宋体"/>
                <w:sz w:val="21"/>
                <w:szCs w:val="21"/>
                <w:lang w:val="en-US" w:eastAsia="zh-CN"/>
              </w:rPr>
              <w:br w:type="textWrapping"/>
            </w:r>
            <w:r>
              <w:rPr>
                <w:rFonts w:hint="eastAsia" w:ascii="宋体" w:hAnsi="宋体" w:eastAsia="宋体" w:cs="宋体"/>
                <w:b/>
                <w:bCs/>
                <w:sz w:val="21"/>
                <w:szCs w:val="21"/>
                <w:highlight w:val="none"/>
                <w:lang w:val="en-US" w:eastAsia="zh-CN"/>
              </w:rPr>
              <w:t>★20、支持选择切换界面风格，实现至少三种风格以上的界面；提供第三方检测机构出具的具有CMA或CNAS标识的功能检测报告扫描件并加盖公章；</w:t>
            </w:r>
            <w:r>
              <w:rPr>
                <w:rFonts w:hint="eastAsia" w:ascii="宋体" w:hAnsi="宋体" w:eastAsia="宋体" w:cs="宋体"/>
                <w:sz w:val="21"/>
                <w:szCs w:val="21"/>
                <w:highlight w:val="yellow"/>
                <w:lang w:val="en-US" w:eastAsia="zh-CN"/>
              </w:rPr>
              <w:br w:type="textWrapping"/>
            </w:r>
            <w:r>
              <w:rPr>
                <w:rFonts w:hint="eastAsia" w:ascii="宋体" w:hAnsi="宋体" w:eastAsia="宋体" w:cs="宋体"/>
                <w:sz w:val="21"/>
                <w:szCs w:val="21"/>
                <w:lang w:val="en-US" w:eastAsia="zh-CN"/>
              </w:rPr>
              <w:t>21、支持当电源按下开关时，系统弹出界面确认是否关机，并做10秒倒计时后自动关机;</w:t>
            </w:r>
            <w:r>
              <w:rPr>
                <w:rFonts w:hint="eastAsia" w:ascii="宋体" w:hAnsi="宋体" w:eastAsia="宋体" w:cs="宋体"/>
                <w:sz w:val="21"/>
                <w:szCs w:val="21"/>
                <w:lang w:val="en-US" w:eastAsia="zh-CN"/>
              </w:rPr>
              <w:br w:type="textWrapping"/>
            </w:r>
            <w:r>
              <w:rPr>
                <w:rFonts w:hint="eastAsia" w:ascii="宋体" w:hAnsi="宋体" w:eastAsia="宋体" w:cs="宋体"/>
                <w:b/>
                <w:bCs/>
                <w:sz w:val="21"/>
                <w:szCs w:val="21"/>
                <w:highlight w:val="none"/>
                <w:lang w:val="en-US" w:eastAsia="zh-CN"/>
              </w:rPr>
              <w:t>★22、支持投屏功能，在电脑端安装投屏客户端软件进行投屏，示教互动软件自动采集到电脑端的画面进行一路视频画面接入，要求延迟小于800毫秒；提供第三方检测机构出具的具有CMA或CNAS标识的功能检测报告扫描件并加盖公章</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yellow"/>
                <w:lang w:val="en-US" w:eastAsia="zh-CN"/>
              </w:rPr>
              <w:br w:type="textWrapping"/>
            </w:r>
            <w:r>
              <w:rPr>
                <w:rFonts w:hint="eastAsia" w:ascii="宋体" w:hAnsi="宋体" w:eastAsia="宋体" w:cs="宋体"/>
                <w:sz w:val="21"/>
                <w:szCs w:val="21"/>
                <w:lang w:val="en-US" w:eastAsia="zh-CN"/>
              </w:rPr>
              <w:t>23、主界面支持音量条动态显示，也可以点击隐藏。</w:t>
            </w: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7016C8E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05D13C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59F4E34B">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2A4854B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9475E0C">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317FB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333FE3D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4EDAF2E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4K高清采集摄像机</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33F97AB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1、采 用  1/2.8 英 寸、不少于800 万 像 素 的 高 品 质 UHD CMOS 传感器，可实现最高输出 4K60FPS 的优质图像，并且向下兼容 1080P、720P 等多种分辨率；</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2、采用高品质超高解析度的全高清长焦镜头，至少支持12倍光学变焦；</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3、广角端水平视场角至少达 60.7°；水平视场角60.7° ~ 3.36°，垂直视场34.1° ~ 1.89°；</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4、至少支持HDMI、SDI和网络输出接口；</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5、机身按键支持轻触操作方式，并至少支持ZOOM 操作、聚焦操作、亮度调整、菜单控、图像冻结和模式切换；</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6、设备自带全功能网页，可通过网页完成所有功能的配置和应用，极大地方便现场设备安装调试；</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7、支持POE供电。</w:t>
            </w: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3BB86D8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770518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356E1E2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0394B00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741752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6899C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0DB43C3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5107573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示教直播系统软件</w:t>
            </w:r>
          </w:p>
        </w:tc>
        <w:tc>
          <w:tcPr>
            <w:tcW w:w="2877" w:type="pct"/>
            <w:tcBorders>
              <w:top w:val="single" w:color="000000" w:sz="4" w:space="0"/>
              <w:left w:val="single" w:color="000000" w:sz="4" w:space="0"/>
              <w:bottom w:val="single" w:color="000000" w:sz="4" w:space="0"/>
              <w:right w:val="single" w:color="000000" w:sz="4" w:space="0"/>
            </w:tcBorders>
            <w:noWrap w:val="0"/>
            <w:vAlign w:val="top"/>
          </w:tcPr>
          <w:p w14:paraId="14091EF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1、要求软件为嵌入式系统，可运行在实训推车车体，不需要额外增加设备；</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2、要求软件启动自动获取课程参数，并自动加入课堂，免人工干预。软件自动根据获得课堂设置的直播能力启动相应的业务能力；</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3、直播采用RTMP标准协议；</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4、直播清晰度可配置，至少支持高清和流畅两种模式，码率最高可以设置8M，分辨率最高可支持1080P；</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5、直播的视频为导播后的画面，视频格式支持国际标准的H.264和语音编码支持AAC格式；</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6、具有手动开始和停止直播，支持直播暂停功能；</w:t>
            </w: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0BE08B0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ED9FDE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0E70C5A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7FD941D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579AB2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73879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69EE386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3862663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877" w:type="pct"/>
            <w:tcBorders>
              <w:top w:val="single" w:color="000000" w:sz="4" w:space="0"/>
              <w:left w:val="single" w:color="000000" w:sz="4" w:space="0"/>
              <w:bottom w:val="single" w:color="000000" w:sz="4" w:space="0"/>
              <w:right w:val="nil"/>
            </w:tcBorders>
            <w:noWrap/>
            <w:vAlign w:val="center"/>
          </w:tcPr>
          <w:p w14:paraId="4A4A930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4BF407F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D45D62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小计</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78A8F41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388B630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41" w:type="pct"/>
            <w:tcBorders>
              <w:top w:val="single" w:color="000000" w:sz="4" w:space="0"/>
              <w:left w:val="nil"/>
              <w:bottom w:val="single" w:color="000000" w:sz="4" w:space="0"/>
              <w:right w:val="single" w:color="000000" w:sz="4" w:space="0"/>
            </w:tcBorders>
            <w:noWrap/>
            <w:vAlign w:val="center"/>
          </w:tcPr>
          <w:p w14:paraId="24C2141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7DF50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966" w:type="pct"/>
            <w:gridSpan w:val="5"/>
            <w:tcBorders>
              <w:top w:val="single" w:color="000000" w:sz="4" w:space="0"/>
              <w:left w:val="single" w:color="000000" w:sz="4" w:space="0"/>
              <w:bottom w:val="single" w:color="000000" w:sz="4" w:space="0"/>
              <w:right w:val="nil"/>
            </w:tcBorders>
            <w:noWrap/>
            <w:vAlign w:val="center"/>
          </w:tcPr>
          <w:p w14:paraId="407F99B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合计</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50D62001">
            <w:pPr>
              <w:pageBreakBefore w:val="0"/>
              <w:bidi w:val="0"/>
              <w:adjustRightInd w:val="0"/>
              <w:snapToGrid w:val="0"/>
              <w:spacing w:beforeAutospacing="0" w:afterAutospacing="0" w:line="360" w:lineRule="auto"/>
              <w:ind w:left="0" w:leftChars="0" w:right="0"/>
              <w:rPr>
                <w:rFonts w:hint="eastAsia" w:ascii="宋体" w:hAnsi="宋体" w:eastAsia="宋体" w:cs="宋体"/>
                <w:b/>
                <w:bCs/>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5E97F62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nil"/>
              <w:bottom w:val="single" w:color="000000" w:sz="4" w:space="0"/>
              <w:right w:val="single" w:color="000000" w:sz="4" w:space="0"/>
            </w:tcBorders>
            <w:noWrap/>
            <w:vAlign w:val="center"/>
          </w:tcPr>
          <w:p w14:paraId="18D4DB9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bl>
    <w:p w14:paraId="0C7952BD">
      <w:pPr>
        <w:pageBreakBefore w:val="0"/>
        <w:bidi w:val="0"/>
        <w:adjustRightInd w:val="0"/>
        <w:snapToGrid w:val="0"/>
        <w:spacing w:beforeAutospacing="0" w:afterAutospacing="0" w:line="360" w:lineRule="auto"/>
        <w:ind w:left="0" w:leftChars="0" w:right="0"/>
        <w:rPr>
          <w:rFonts w:hint="eastAsia" w:ascii="宋体" w:hAnsi="宋体" w:eastAsia="宋体" w:cs="宋体"/>
        </w:rPr>
      </w:pPr>
    </w:p>
    <w:tbl>
      <w:tblPr>
        <w:tblStyle w:val="21"/>
        <w:tblW w:w="9438" w:type="dxa"/>
        <w:tblInd w:w="96" w:type="dxa"/>
        <w:tblLayout w:type="fixed"/>
        <w:tblCellMar>
          <w:top w:w="0" w:type="dxa"/>
          <w:left w:w="108" w:type="dxa"/>
          <w:bottom w:w="0" w:type="dxa"/>
          <w:right w:w="108" w:type="dxa"/>
        </w:tblCellMar>
      </w:tblPr>
      <w:tblGrid>
        <w:gridCol w:w="638"/>
        <w:gridCol w:w="816"/>
        <w:gridCol w:w="2271"/>
        <w:gridCol w:w="2271"/>
        <w:gridCol w:w="638"/>
        <w:gridCol w:w="638"/>
        <w:gridCol w:w="849"/>
        <w:gridCol w:w="849"/>
        <w:gridCol w:w="468"/>
      </w:tblGrid>
      <w:tr w14:paraId="6A65EEF7">
        <w:tblPrEx>
          <w:tblCellMar>
            <w:top w:w="0" w:type="dxa"/>
            <w:left w:w="108" w:type="dxa"/>
            <w:bottom w:w="0" w:type="dxa"/>
            <w:right w:w="108" w:type="dxa"/>
          </w:tblCellMar>
        </w:tblPrEx>
        <w:trPr>
          <w:trHeight w:val="23" w:hRule="atLeast"/>
        </w:trPr>
        <w:tc>
          <w:tcPr>
            <w:tcW w:w="8970" w:type="dxa"/>
            <w:gridSpan w:val="8"/>
            <w:tcBorders>
              <w:top w:val="single" w:color="000000" w:sz="8" w:space="0"/>
              <w:left w:val="single" w:color="000000" w:sz="8" w:space="0"/>
              <w:bottom w:val="single" w:color="000000" w:sz="4" w:space="0"/>
              <w:right w:val="single" w:color="000000" w:sz="4" w:space="0"/>
            </w:tcBorders>
            <w:shd w:val="clear" w:color="auto" w:fill="auto"/>
            <w:noWrap/>
            <w:vAlign w:val="center"/>
          </w:tcPr>
          <w:p w14:paraId="786C0634">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kern w:val="0"/>
                <w:sz w:val="21"/>
                <w:szCs w:val="21"/>
                <w:lang w:val="en-US" w:eastAsia="zh-CN" w:bidi="ar"/>
              </w:rPr>
              <w:t>二标段采购清单</w:t>
            </w:r>
          </w:p>
        </w:tc>
        <w:tc>
          <w:tcPr>
            <w:tcW w:w="468" w:type="dxa"/>
            <w:tcBorders>
              <w:top w:val="single" w:color="000000" w:sz="8" w:space="0"/>
              <w:left w:val="single" w:color="000000" w:sz="8" w:space="0"/>
              <w:bottom w:val="single" w:color="000000" w:sz="4" w:space="0"/>
              <w:right w:val="single" w:color="000000" w:sz="4" w:space="0"/>
            </w:tcBorders>
            <w:shd w:val="clear" w:color="auto" w:fill="auto"/>
            <w:noWrap/>
            <w:vAlign w:val="center"/>
          </w:tcPr>
          <w:p w14:paraId="71DBD6CF">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val="en-US" w:eastAsia="zh-CN" w:bidi="ar"/>
              </w:rPr>
            </w:pPr>
          </w:p>
        </w:tc>
      </w:tr>
      <w:tr w14:paraId="347B9591">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87545E7">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序号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3E220">
            <w:pPr>
              <w:pageBreakBefore w:val="0"/>
              <w:widowControl/>
              <w:bidi w:val="0"/>
              <w:adjustRightInd w:val="0"/>
              <w:snapToGrid w:val="0"/>
              <w:spacing w:beforeAutospacing="0" w:afterAutospacing="0" w:line="360" w:lineRule="auto"/>
              <w:ind w:left="0" w:leftChars="0" w:right="0"/>
              <w:jc w:val="center"/>
              <w:textAlignment w:val="center"/>
              <w:rPr>
                <w:rFonts w:hint="default" w:ascii="宋体" w:hAnsi="宋体" w:eastAsia="宋体" w:cs="宋体"/>
                <w:b/>
                <w:bCs/>
                <w:color w:val="auto"/>
                <w:sz w:val="21"/>
                <w:szCs w:val="21"/>
                <w:lang w:val="en-US" w:eastAsia="zh-CN"/>
              </w:rPr>
            </w:pPr>
            <w:r>
              <w:rPr>
                <w:rFonts w:hint="eastAsia" w:ascii="宋体" w:hAnsi="宋体" w:cs="宋体"/>
                <w:b/>
                <w:bCs/>
                <w:color w:val="auto"/>
                <w:kern w:val="0"/>
                <w:sz w:val="21"/>
                <w:szCs w:val="21"/>
                <w:lang w:val="en-US" w:eastAsia="zh-CN" w:bidi="ar"/>
              </w:rPr>
              <w:t>产品名称</w:t>
            </w:r>
          </w:p>
        </w:tc>
        <w:tc>
          <w:tcPr>
            <w:tcW w:w="4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0B2DE">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lang w:eastAsia="zh-CN"/>
              </w:rPr>
            </w:pPr>
            <w:r>
              <w:rPr>
                <w:rFonts w:hint="eastAsia" w:ascii="宋体" w:hAnsi="宋体" w:eastAsia="宋体" w:cs="宋体"/>
                <w:b/>
                <w:bCs/>
                <w:color w:val="auto"/>
                <w:kern w:val="0"/>
                <w:sz w:val="21"/>
                <w:szCs w:val="21"/>
                <w:lang w:bidi="ar"/>
              </w:rPr>
              <w:t>技术</w:t>
            </w:r>
            <w:r>
              <w:rPr>
                <w:rFonts w:hint="eastAsia" w:ascii="宋体" w:hAnsi="宋体" w:eastAsia="宋体" w:cs="宋体"/>
                <w:b/>
                <w:bCs/>
                <w:color w:val="auto"/>
                <w:kern w:val="0"/>
                <w:sz w:val="21"/>
                <w:szCs w:val="21"/>
                <w:lang w:val="en-US" w:eastAsia="zh-CN" w:bidi="ar"/>
              </w:rPr>
              <w:t>参数</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1168A">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数量</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FF49F">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单位</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E7BC8">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单价</w:t>
            </w:r>
          </w:p>
          <w:p w14:paraId="060907FE">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（元）</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5EDF8">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总价</w:t>
            </w:r>
          </w:p>
          <w:p w14:paraId="61AACFB9">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（元）</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46F0D">
            <w:pPr>
              <w:pageBreakBefore w:val="0"/>
              <w:widowControl/>
              <w:bidi w:val="0"/>
              <w:adjustRightInd w:val="0"/>
              <w:snapToGrid w:val="0"/>
              <w:spacing w:beforeAutospacing="0" w:afterAutospacing="0" w:line="360" w:lineRule="auto"/>
              <w:ind w:left="0" w:leftChars="0" w:right="0"/>
              <w:jc w:val="both"/>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备注</w:t>
            </w:r>
          </w:p>
        </w:tc>
      </w:tr>
      <w:tr w14:paraId="3B75E8D3">
        <w:tblPrEx>
          <w:tblCellMar>
            <w:top w:w="0" w:type="dxa"/>
            <w:left w:w="108" w:type="dxa"/>
            <w:bottom w:w="0" w:type="dxa"/>
            <w:right w:w="108" w:type="dxa"/>
          </w:tblCellMar>
        </w:tblPrEx>
        <w:trPr>
          <w:trHeight w:val="23" w:hRule="atLeast"/>
        </w:trPr>
        <w:tc>
          <w:tcPr>
            <w:tcW w:w="8970" w:type="dxa"/>
            <w:gridSpan w:val="8"/>
            <w:tcBorders>
              <w:top w:val="single" w:color="000000" w:sz="4" w:space="0"/>
              <w:left w:val="single" w:color="000000" w:sz="8" w:space="0"/>
              <w:bottom w:val="single" w:color="000000" w:sz="4" w:space="0"/>
              <w:right w:val="single" w:color="000000" w:sz="4" w:space="0"/>
            </w:tcBorders>
            <w:shd w:val="clear" w:color="auto" w:fill="auto"/>
            <w:noWrap/>
            <w:vAlign w:val="center"/>
          </w:tcPr>
          <w:p w14:paraId="0234E66B">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b/>
                <w:bCs/>
                <w:color w:val="auto"/>
                <w:kern w:val="0"/>
                <w:sz w:val="21"/>
                <w:szCs w:val="21"/>
                <w:lang w:bidi="ar"/>
              </w:rPr>
              <w:t>一、大思政教育教学中心软件</w:t>
            </w:r>
          </w:p>
        </w:tc>
        <w:tc>
          <w:tcPr>
            <w:tcW w:w="46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2D9B8F6">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bidi="ar"/>
              </w:rPr>
            </w:pPr>
          </w:p>
        </w:tc>
      </w:tr>
      <w:tr w14:paraId="6B3CAAC1">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A2CD47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8353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党建思政资源中心</w:t>
            </w:r>
          </w:p>
        </w:tc>
        <w:tc>
          <w:tcPr>
            <w:tcW w:w="4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16A7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学校党建思政资源中心平台是为学校党建活动学习、思想政治工作、教师备授课、学生学习，提供资源的服务平台。该中心平台是一个利用现代信息技术手段，旨在提升党建工作效率和质量、以及思政教学的综合性资源平台。它主要具有以下几个方面的功能：</w:t>
            </w:r>
          </w:p>
          <w:p w14:paraId="7C778EA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资源整合与共享：汇集各类党建学习资料、视频资源、红色全景、VR党建等资源，提供一个集中的平台供党员学习交流，促进资源共享。</w:t>
            </w:r>
          </w:p>
          <w:p w14:paraId="31688D0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在线学习与培训：支持党员进行在线学习，包括但不限于党的理论知识、政策法规的学习，提高党员的政治素养。</w:t>
            </w:r>
          </w:p>
          <w:p w14:paraId="00B7702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信息发布与互动交流：作为信息发布的平台，及时推送党建新闻等内容。</w:t>
            </w:r>
          </w:p>
          <w:p w14:paraId="6D4FCF9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数据统计分析：通过对党员学习情况、参与活动的数据进行收集和分析，为党组织决策提供数据支持，帮助更好地了解党员需求和发展趋势。智慧党建资源中心通过上述功能，致力于构建一个全面覆盖、高效便捷、互动性强的党建服务平台，推动党建工作信息化、智能化发展。</w:t>
            </w:r>
            <w:r>
              <w:rPr>
                <w:rFonts w:hint="eastAsia" w:ascii="宋体" w:hAnsi="宋体" w:eastAsia="宋体" w:cs="宋体"/>
                <w:sz w:val="21"/>
                <w:szCs w:val="21"/>
                <w:lang w:val="en-US" w:eastAsia="zh-CN"/>
              </w:rPr>
              <w:br w:type="textWrapping"/>
            </w:r>
            <w:r>
              <w:rPr>
                <w:rFonts w:hint="eastAsia" w:ascii="宋体" w:hAnsi="宋体" w:eastAsia="宋体" w:cs="宋体"/>
                <w:b/>
                <w:bCs/>
                <w:sz w:val="21"/>
                <w:szCs w:val="21"/>
                <w:highlight w:val="none"/>
                <w:lang w:val="en-US" w:eastAsia="zh-CN"/>
              </w:rPr>
              <w:t>★2.老师和学生可通过电脑登陆平台，让使用者从丰富的资源平台上浏览、下载需要的教学资源。</w:t>
            </w:r>
            <w:r>
              <w:rPr>
                <w:rFonts w:hint="eastAsia" w:ascii="宋体" w:hAnsi="宋体" w:eastAsia="宋体" w:cs="宋体"/>
                <w:b/>
                <w:bCs/>
                <w:sz w:val="21"/>
                <w:szCs w:val="21"/>
                <w:highlight w:val="none"/>
                <w:lang w:val="en-US" w:eastAsia="zh-CN"/>
              </w:rPr>
              <w:br w:type="textWrapping"/>
            </w:r>
            <w:r>
              <w:rPr>
                <w:rFonts w:hint="eastAsia" w:ascii="宋体" w:hAnsi="宋体" w:eastAsia="宋体" w:cs="宋体"/>
                <w:b/>
                <w:bCs/>
                <w:sz w:val="21"/>
                <w:szCs w:val="21"/>
                <w:highlight w:val="none"/>
                <w:lang w:val="en-US" w:eastAsia="zh-CN"/>
              </w:rPr>
              <w:t>投标人需提供所列资源软件界面截图。</w:t>
            </w:r>
            <w:r>
              <w:rPr>
                <w:rFonts w:hint="eastAsia" w:ascii="宋体" w:hAnsi="宋体" w:eastAsia="宋体" w:cs="宋体"/>
                <w:b/>
                <w:bCs/>
                <w:sz w:val="21"/>
                <w:szCs w:val="21"/>
                <w:highlight w:val="none"/>
                <w:lang w:val="en-US" w:eastAsia="zh-CN"/>
              </w:rPr>
              <w:br w:type="textWrapping"/>
            </w:r>
            <w:r>
              <w:rPr>
                <w:rFonts w:hint="eastAsia" w:ascii="宋体" w:hAnsi="宋体" w:eastAsia="宋体" w:cs="宋体"/>
                <w:b/>
                <w:bCs/>
                <w:sz w:val="21"/>
                <w:szCs w:val="21"/>
                <w:highlight w:val="none"/>
                <w:lang w:val="en-US" w:eastAsia="zh-CN"/>
              </w:rPr>
              <w:t>★3.投标人需提供针对本项目的所列资源软件著作权证书。</w:t>
            </w:r>
            <w:r>
              <w:rPr>
                <w:rFonts w:hint="eastAsia" w:ascii="宋体" w:hAnsi="宋体" w:eastAsia="宋体" w:cs="宋体"/>
                <w:b/>
                <w:bCs/>
                <w:sz w:val="21"/>
                <w:szCs w:val="21"/>
                <w:highlight w:val="none"/>
                <w:lang w:val="en-US" w:eastAsia="zh-CN"/>
              </w:rPr>
              <w:br w:type="textWrapping"/>
            </w:r>
            <w:r>
              <w:rPr>
                <w:rFonts w:hint="eastAsia" w:ascii="宋体" w:hAnsi="宋体" w:eastAsia="宋体" w:cs="宋体"/>
                <w:b/>
                <w:bCs/>
                <w:sz w:val="21"/>
                <w:szCs w:val="21"/>
                <w:highlight w:val="none"/>
                <w:lang w:val="en-US" w:eastAsia="zh-CN"/>
              </w:rPr>
              <w:t>★4.投标人提供生产厂家针对本项目的三年免费升级的售后服务承诺书。</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A5BE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22D4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1E37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C5FE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32FA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0979B528">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EA5957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41F7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思政课程教学资源（中职）</w:t>
            </w:r>
          </w:p>
        </w:tc>
        <w:tc>
          <w:tcPr>
            <w:tcW w:w="4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E750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中职：</w:t>
            </w:r>
          </w:p>
          <w:p w14:paraId="7022BFC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课资源库提供：《中国特色社会主义》、《心理健康与职业生涯》、《哲学与人生》、《职业道德与法治》、《习近平新时代中国特色社会主义思想概论》等课程的课件、视频、习题等相关资料。课件资源以章或专题为单位，利用多媒体制作的PPT课件，包括重点、难点等。视频资源以章或专题为单位。每章或专题分别配备测试题及答案，测试题题型为客观题（单选、多选、判断），包括题干、选项及答案。</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F645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DF5A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02F3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2F3E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0C8D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210644E8">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BD767D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AF80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WEB端仿真资源（中职）</w:t>
            </w:r>
          </w:p>
        </w:tc>
        <w:tc>
          <w:tcPr>
            <w:tcW w:w="4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E8246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该平台根据学校思政课梳理出了思政教学的多个主题：1.《中国特色社会主义》主题(一)：做中国特色社会主义的信仰者和建设者；主题(二)：中国特色社会主义“五位一体”的总布局。2.《哲学与人生》主题：理想信念与“三观”。3.《心理健康与职业生涯》主题：筑梦未来与健康成长。4.《职业道德与法治》主题（一）：职业道德与工匠精神；主题（二）：职业规划与法治素养等。5.《中华民族共同体概论》主题（一）中华民族共同体；主题（二）：自在发展；主题（三）：自觉发展；主题（四）：自立发展；主题（五）：自强发展等。</w:t>
            </w:r>
          </w:p>
          <w:p w14:paraId="25B3E30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所有给学校提供的仿真教学资源都部署到资源平台上，可供老师学生进行体验学习。</w:t>
            </w:r>
          </w:p>
          <w:p w14:paraId="7F036D2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一、《中国特色社会主义》 </w:t>
            </w:r>
          </w:p>
          <w:p w14:paraId="586A897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根据中职教材《中国特色社会主义》的内容与要求，我们梳理出了以下几个主题：1.做中国特色社会主义的信仰者和建设者 2.中国特色社会主义“五位一体”的总布局。每一个主题我们开发出了相应的虚拟仿真资源和全景思政资源供老师和学生体验使用。</w:t>
            </w:r>
          </w:p>
          <w:p w14:paraId="0A8FCB7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主题一：“做中国特色社会主义的信仰者和建设者”。</w:t>
            </w:r>
          </w:p>
          <w:p w14:paraId="0756D5F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1.真理的力量：（1）伟大导师马克思的壮丽人生 （2）马克思主义在中国的早期传播与中国共产党的成立 （3）毛泽东思想 （4）邓小平理论、“三个代表”重要思想、科学发展观与中国特色社会主义实践 （5）习近平新时代中国特色社会主义思想。 </w:t>
            </w:r>
          </w:p>
          <w:p w14:paraId="43A9A11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2.党史：（1）浴血奋战百折不挠 夺取新民主主义革命伟大胜利（2）自力更生发愤图强 完成社会主义革命和推进社会主义建设（3）解放思想锐意进取 进行改革开放和社会主义现代化建设 （4）自信自强守正创新 开创中国特色社会主义新时代 （5）不忘初心牢记使命  新时代的中国共产党。</w:t>
            </w:r>
          </w:p>
          <w:p w14:paraId="4615299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3.国史：（1）新中国成立和社会主义制度的确立 （2）社会主义建设的艰辛探索和曲折发展 （3）改革开放与中国特色社会主义的开辟 （4）建立社会主义市场经济和把中国特色社会主义全面推向21世纪 （5）全面建设小康社会与新的形势下坚持和发展中国特色社会主义 （6）中国特色社会主义进入新时代和实现中华民族伟大复兴的中国梦 （7）决胜全面建成小康社会和开启全面建设社会主义现代化强国新征程。</w:t>
            </w:r>
          </w:p>
          <w:p w14:paraId="614BC26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4.改革开放史：（1）改革开放与中国特色社会主义的开创 （2）改革开放开创新局面 （3）改革开放在科学发展中深化 （4）改革开放进入新时代 （5）开启全面建成社会主义现代化强国新征程。</w:t>
            </w:r>
          </w:p>
          <w:p w14:paraId="3E52FF7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5.社会主义发展史：（1）从空想社会主义到科学社会主义 （2）世界第一个社会主义国家建立与一国到多国的发展 （3）中国共产党对社会主义建设道路的探索 （4）世界社会主义的曲折与奋起 （5）中国特色社会主义开辟社会主义新纪元 6.中国特色社会主义进入新时代。</w:t>
            </w:r>
          </w:p>
          <w:p w14:paraId="3102B98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6.实现中华民族伟大复兴：（1）醒起来 奋起抗争 （2）站起来 挺直脊梁 （3）富起来 赶上时代 （4）强起来 走向复兴。</w:t>
            </w:r>
          </w:p>
          <w:p w14:paraId="311F58F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7.从中共建党到民族解放：（1）从民族危亡到封建帝制覆灭 （2）五四运动与中共建党 （3）从大革命到南昌起义 （4）掀起土地革命的风暴 （5）全民族抗日战争的中流砥柱 （6）夺取新民主主义伟大胜利。</w:t>
            </w:r>
          </w:p>
          <w:p w14:paraId="7F18E44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主题二：”中国特色社会主义‘五位一体’的总布局”。</w:t>
            </w:r>
          </w:p>
          <w:p w14:paraId="586E6CA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1.习近平新时代中国特色社会主义思想：（1）习近平新时代中国特色社会主义思想的创立条件 （2）习近平新时代中国特色社会主义思想的主要内容 （3）“十四个坚持”构成新时代坚持和发展中国特色社会主义的基本方路(上) （4）“十四个坚持”构成新时代坚持和发展中国特色社会主义的基本方略(中) （5）“十四个坚持”构成新时代坚持和发展中国特色社会主义的基本方略(下) （6）习近平新时代中国特色社会主义思想指导下党和国家事业取得的“十三个方面”历史性成就（7）习近平新时代中国特色社会主义思想的历史地位。</w:t>
            </w:r>
          </w:p>
          <w:p w14:paraId="2F75AE7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2.二十大精神展馆：（1）党的二十大的重大意义和大会主题 （2）过去五年的工作和新时代十年的伟大变革 （3）开辟马克思主义中国化时代化新境界 （4）以中国式现代化全面推进中华民族伟大复兴 （5）全面建设社会主义现代化国家的战略部署 （6）以伟大自我革命引领伟大社会革命 （7）团结奋斗的时代要求</w:t>
            </w:r>
          </w:p>
          <w:p w14:paraId="683901B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3.丝路精神 </w:t>
            </w:r>
          </w:p>
          <w:p w14:paraId="70814EE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二、《心理健康与职业生涯》 </w:t>
            </w:r>
          </w:p>
          <w:p w14:paraId="2AA76FE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根据中职教材《心理健康与职业生涯》的内容和要求，我们梳理出了“筑梦未来与健康成长”的主题，并开发出相应的虚拟仿真资源和全景资源。</w:t>
            </w:r>
          </w:p>
          <w:p w14:paraId="011550E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1.焦裕禄精神</w:t>
            </w:r>
          </w:p>
          <w:p w14:paraId="625E58C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2.雷锋精神</w:t>
            </w:r>
          </w:p>
          <w:p w14:paraId="03D4BDF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3.三牛精神</w:t>
            </w:r>
          </w:p>
          <w:p w14:paraId="3AEEFED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三、《哲学与人生》 </w:t>
            </w:r>
          </w:p>
          <w:p w14:paraId="3A3BEBB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根据中职教材《哲学与人生》的内容和要求，我们梳理出了“理想信念与‘三观’”的主题，并开发出相应的虚拟仿真资源和全景资源。</w:t>
            </w:r>
          </w:p>
          <w:p w14:paraId="752236A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1.张思德精神 2.抗美援朝精神3.“两弹一星"精神 4.雷锋精神 5.焦裕禄精神 6.大庆精神（铁人精神） 7.红旗渠精神 8.北大荒精神 9.塞罕坝精神 10.两路精神 11.“老西藏"精神（孔繁森精神）12..西迁精神 13..王杰精神 14.社会主义核心价值观：（1）为什么要培育和践行社会主义核心价值观 （2）国家层面的价值目标 （3）社会层面的价值取向 （4）公民个人层面的价值准则及自觉践行。</w:t>
            </w:r>
          </w:p>
          <w:p w14:paraId="4964130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四、《职业道德与法治》 </w:t>
            </w:r>
          </w:p>
          <w:p w14:paraId="08B9880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根据中职教材《职业道德与法治》的内容和要求，我们梳理出了以下几个主题：1.职业道德与工匠精神 2.职业规划与法治素养。每一个主题我们开发出了相应的虚拟仿真资源和全景资源。</w:t>
            </w:r>
          </w:p>
          <w:p w14:paraId="05EA1D1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主题一：职业道德与工匠精神</w:t>
            </w:r>
          </w:p>
          <w:p w14:paraId="7385B5C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1.改革开放精神 2.特区精神 3.抗洪精神 4.抗击非典精神 5.抗震救灾精神 6.载人航天精神 7.劳模精神(劳动精神、工匠精神) 8.青藏铁路精神 9.女排精神 10.脱贫攻坚精神 11.伟大抗疫精神 12.“三牛”精神 13.科学家精神 14.企业家精神 15.探月精神 16.新时代北斗精神 17.大国工匠。</w:t>
            </w:r>
          </w:p>
          <w:p w14:paraId="3FEED23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主题二：职业规划与法治素养。</w:t>
            </w:r>
          </w:p>
          <w:p w14:paraId="3B45A64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1.周恩来纪念馆 2.华罗庚纪念馆 3.焦裕禄纪念馆 4.国家安全教育馆 5.法安天下 德润人心。</w:t>
            </w:r>
          </w:p>
          <w:p w14:paraId="7E664F8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五、《中华民族共同体概论》 </w:t>
            </w:r>
          </w:p>
          <w:p w14:paraId="069117C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根据中职教材《中华民族共同体概论》的内容与要求，我们梳理出了以下几个主题：1.中华民族共同体 2.自在发展 3.自觉发展 4.自立发展 5.自强发展。每一个主题我们开发出了相应的虚拟仿真资源和全景思政资源供老师和学生体验使用。</w:t>
            </w:r>
          </w:p>
          <w:p w14:paraId="6DE72C0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主题一：“中华民族共同体”</w:t>
            </w:r>
          </w:p>
          <w:p w14:paraId="5D78B7A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1.中华民族共同体和铸牢中华民族共同体意识 </w:t>
            </w:r>
          </w:p>
          <w:p w14:paraId="2AB9A2B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主题二：“自在发展”</w:t>
            </w:r>
          </w:p>
          <w:p w14:paraId="30043FC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1.中华民族自在发展</w:t>
            </w:r>
          </w:p>
          <w:p w14:paraId="14CBD19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主题三：“自觉发展”</w:t>
            </w:r>
          </w:p>
          <w:p w14:paraId="0AB4779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1.中华民族自觉发展</w:t>
            </w:r>
          </w:p>
          <w:p w14:paraId="5F793E1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主题四：“自立发展”</w:t>
            </w:r>
          </w:p>
          <w:p w14:paraId="45AABCB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1.先锋队与中华民族自立发展</w:t>
            </w:r>
          </w:p>
          <w:p w14:paraId="6A70891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主题五：“自强发展”</w:t>
            </w:r>
          </w:p>
          <w:p w14:paraId="39BA445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1.新中国与中华民族自强发展 2.新时代与中华民族自强发展</w:t>
            </w:r>
          </w:p>
          <w:p w14:paraId="5D263CA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b/>
                <w:bCs/>
                <w:sz w:val="21"/>
                <w:szCs w:val="21"/>
                <w:highlight w:val="none"/>
                <w:lang w:val="en-US" w:eastAsia="zh-CN"/>
              </w:rPr>
              <w:t>★投标人需提供所列资源软件界面截图；投标人提供生产厂家针对本项目的三年免费升级的售后服务承诺书。</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054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2BA0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4AC9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3EAA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28FF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606A03F2">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AF998C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94D7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全景思政资源</w:t>
            </w:r>
          </w:p>
        </w:tc>
        <w:tc>
          <w:tcPr>
            <w:tcW w:w="4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8E2FB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一、软件功能</w:t>
            </w:r>
          </w:p>
          <w:p w14:paraId="55F57FD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1.720度实景展示国内主要的爱国主义教育示范基地、百家红色旅游经典景区景点；</w:t>
            </w:r>
          </w:p>
          <w:p w14:paraId="46829AF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2.全景资源包含：辛亥革命时期、建党时期、大革命时期、土地革命时期、抗日战争时期、解放战争时期、人物楷模、奋斗崛起、改革开放、民族之魂、专题展示、其他史料12大篇章；</w:t>
            </w:r>
          </w:p>
          <w:p w14:paraId="3E2FFFD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3.通过全景展示可以让学生更深入地进行体验参观全国各地的红色景点，不用进行实地参观就可以体验到想去和想看的参观景点，该平台将大大提高思政实践教学效率；</w:t>
            </w:r>
          </w:p>
          <w:p w14:paraId="4DF777C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4.除平台提供现有国内著名红色旅游景区外，同时支持按照用户需求协商后，额外进行定制开发其所在区域的红色旅游景区；</w:t>
            </w:r>
          </w:p>
          <w:p w14:paraId="45247C6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5.要求每个红色旅游景区支持漫游模式游览，自带景区介绍、专业讲解员的音频讲解、讲解词查看；</w:t>
            </w:r>
          </w:p>
          <w:p w14:paraId="53517E5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6.该数据库可与校园网连接，学生与老师可在校园网站连接，随时随地观看、体验、学习。</w:t>
            </w:r>
          </w:p>
          <w:p w14:paraId="2898FD5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每个资源都配套有：1）教学导引：教学目的；知识要点；教学思路；教学方法；参考文献；布置作业等。2）学习导引：学习目标；知识要点；学习方法；文献阅读；习题作答等。3）实践任务书：梳理思政课教学实践活动的主题类型，提供两个以上的实践任务书模版。每个模版包含：主题类别，结合课本的哪个章节使用。活动名称，活动主题，活动背景，活动目标，活动时间，活动地点，参加人员，参加班级，活动内容，实践作业等。</w:t>
            </w:r>
          </w:p>
          <w:p w14:paraId="07DFDDF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二、资源内容：</w:t>
            </w:r>
          </w:p>
          <w:p w14:paraId="435D2BC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1、辛亥革命时期（2个）：1）辛亥革命纪念馆、2）南京总统府；</w:t>
            </w:r>
          </w:p>
          <w:p w14:paraId="1091FA0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2、建党时期（5个）：1）北京新文化运动馆、2）中共一大、3）嘉兴南湖、4）中共三大、5）中共四大；</w:t>
            </w:r>
          </w:p>
          <w:p w14:paraId="19BF724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3、大革命时期（3个）：1）安源路矿工人运动纪念馆、2）南京雨花台、3）国民党一大；</w:t>
            </w:r>
          </w:p>
          <w:p w14:paraId="10D4B5E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土地革命时期（17个）：1）八一南昌起义、2）秋收起义修水纪念馆、3）秋收起义萍乡陈列馆、4）平江起义纪念馆、5）广西百色起义纪念馆、6）井冈山纪念馆、7）红军长征出发纪念馆、8）遵义会议陈列馆、9）四渡赤水纪念馆、10）飞夺泸定桥专题馆、11）延安革命纪念馆、12）三五九旅屯垦纪念馆、13）红军东征纪念馆、14）鲁迅艺术文学院旧址、15）梁家河、16）陕甘宁边区政府旧址、17）红军会宁会师旧址</w:t>
            </w:r>
          </w:p>
          <w:p w14:paraId="2C15308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抗日战争时期（10个）：1）一二.九运动纪念馆、2）中国人民抗日战争纪念馆、3）侵华日军南京大屠杀遇难同胞纪念馆、4）冀中冉庄地道战、5）上海四行仓库抗战、6）沂蒙革命纪念馆、7）没有共产党就没有新中国馆、8）八路军太行纪念馆、9）麻田八路军总部纪念馆、10）红岩革命纪念馆；</w:t>
            </w:r>
          </w:p>
          <w:p w14:paraId="32E354E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6、解放战争时期（6个）：1）平津战役、2）淮海战役纪念馆、3）渡江战役、4）扶眉战役纪念馆、5）西柏坡纪念馆、6）香山革命纪念馆；</w:t>
            </w:r>
          </w:p>
          <w:p w14:paraId="231B56D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7、人物楷模（5个）：1）雷锋精神纪念馆、2）华罗庚纪念馆、3）焦裕禄纪念馆、4）铁人王进喜纪念馆、5）孔繁森同志纪念馆；</w:t>
            </w:r>
          </w:p>
          <w:p w14:paraId="531A625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8、奋斗崛起（4个）：1）抗美援朝纪念馆、2）南京长江大桥、3）红旗渠纪念馆、4）青海原子城纪念馆；</w:t>
            </w:r>
          </w:p>
          <w:p w14:paraId="6EA96C6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9、改革开放（2个）：1）小岗村、2）广东改革开放；</w:t>
            </w:r>
          </w:p>
          <w:p w14:paraId="0DC443F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民族之魂（10个）：1）韶山毛泽东纪念馆、2）李大钊纪念馆、3）方志敏烈士园林、4）周恩来纪念馆、5）朱德故居、6）邓颖超纪念馆、7）聂荣臻纪念馆、8）刘少奇纪念馆、9）彭德怀同志纪念馆、10）叶剑英纪念馆；</w:t>
            </w:r>
          </w:p>
          <w:p w14:paraId="4C358CE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11、专题展示（4个）：1）皖南事变纪念馆、2）钢铁的新四军纪念馆、3）新四军文化艺术馆、4）黄花塘新四军军部纪念馆</w:t>
            </w:r>
          </w:p>
          <w:p w14:paraId="15549A2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其他史料（7个）：1）中国国家博物馆、2）海军诞生地纪念馆、3）南京杭州上海解放70周年展馆、4）近代不平等条约、5）上海国家安全教育馆、6）盐池革命纪念馆、7）盐池县李塬畔新时代文明实践站等75个场景。</w:t>
            </w:r>
          </w:p>
          <w:p w14:paraId="1180DFA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b/>
                <w:bCs/>
                <w:sz w:val="21"/>
                <w:szCs w:val="21"/>
                <w:highlight w:val="none"/>
                <w:lang w:val="en-US" w:eastAsia="zh-CN"/>
              </w:rPr>
              <w:t>★投标人需提供针对此70余个场景的截图并加盖厂家公章；提供生产厂家针对本项目的售后服务承诺书。</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F183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C851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3DE9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2288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A19D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69BC088A">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CF97EA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5D47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党的精神谱系资源</w:t>
            </w:r>
          </w:p>
        </w:tc>
        <w:tc>
          <w:tcPr>
            <w:tcW w:w="4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80BBC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中国共产党人的精神谱系是中国共产党的红色基因图谱，是中国共产 党人精神力量和人格力量的生动体现 。按照中国共产党百年奋斗的  “新民主主义革命时期 ”  “社会主义革命和建设时期 ”  “改革开放 和社会主义现代化建设新时期 ” “ 中国特色社会主义新时代 ” 四个 历史时期，包括建党精神、井冈山精神、苏区精神、长征精神、遵义 会议精神、延安精神等 46 种精神；</w:t>
            </w:r>
          </w:p>
          <w:p w14:paraId="0845BE2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2.提供内涵解读、视频微课、作业测试等的学习资料。</w:t>
            </w:r>
          </w:p>
          <w:p w14:paraId="4F9CA0F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b/>
                <w:bCs/>
                <w:sz w:val="21"/>
                <w:szCs w:val="21"/>
                <w:highlight w:val="none"/>
                <w:lang w:val="en-US" w:eastAsia="zh-CN"/>
              </w:rPr>
              <w:t>★投标人需提供针对本项目的所列资源软件界面截图并加盖厂家公章；提供生产厂家针对本项目的售后服务承诺书。</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F0A3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AD12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F652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3799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5EAC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0C2165B1">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D8D603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63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0F2F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小计：</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83AA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1B3B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F681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256CA399">
        <w:tblPrEx>
          <w:tblCellMar>
            <w:top w:w="0" w:type="dxa"/>
            <w:left w:w="108" w:type="dxa"/>
            <w:bottom w:w="0" w:type="dxa"/>
            <w:right w:w="108" w:type="dxa"/>
          </w:tblCellMar>
        </w:tblPrEx>
        <w:trPr>
          <w:trHeight w:val="23" w:hRule="atLeast"/>
        </w:trPr>
        <w:tc>
          <w:tcPr>
            <w:tcW w:w="8970" w:type="dxa"/>
            <w:gridSpan w:val="8"/>
            <w:tcBorders>
              <w:top w:val="single" w:color="000000" w:sz="4" w:space="0"/>
              <w:left w:val="single" w:color="000000" w:sz="8" w:space="0"/>
              <w:bottom w:val="single" w:color="000000" w:sz="4" w:space="0"/>
              <w:right w:val="single" w:color="000000" w:sz="4" w:space="0"/>
            </w:tcBorders>
            <w:shd w:val="clear" w:color="auto" w:fill="auto"/>
            <w:noWrap/>
            <w:vAlign w:val="center"/>
          </w:tcPr>
          <w:p w14:paraId="65BF35D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二、vr党建思政培育中心（党建会议室）</w:t>
            </w:r>
          </w:p>
        </w:tc>
        <w:tc>
          <w:tcPr>
            <w:tcW w:w="46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8DD7B2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1D208C92">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D6671F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BBC3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VR一体机</w:t>
            </w:r>
          </w:p>
        </w:tc>
        <w:tc>
          <w:tcPr>
            <w:tcW w:w="4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6901E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一、硬件部分（VR一体机）</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1、CPU 高通XR2，Kryo 585核心，8核64位，最高主频 2.84GHz，7nm制程工艺；</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2、内存≥6GB RAM，LPDDR4X；</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3、闪存UFS3.0 ≥256GB；</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4、WIFI 2X2 MIMO WIFI6 802.11 b/g/n/ac/ax，2.4G/5G双频</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5、分辨率4K分辨率3664x1920，PPI：7736、刷新率75Hz</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二、软件资源（VR教学资源系统软件V1.0）</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（一）资源包一：</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习近平新时代中国特色社会主义思想》VR版:（1）习近平新时代中国特色社会主义思想的创立条件；（2）习近平新时代中国特色社会主义思想的主要内容；（3）“十四个坚持”构成新时代坚持和发展中国特色社会主义的基本方略；（4）习近平新时代中国特色社会主义思想指导下党和国家事业取得的“十三个方面”历史性成就；（5）习近平新时代中国特色社会主义思想的历史地位；（6）加强理论武装、感悟思想伟力、汲取真理力量。</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二十大精神》VR版:（1）二十大的重大意义和大会主题;（2）过去五年的工作和新时代十年的伟大变革;（3）开辟马克思主义中国化时代化新境界;（4）以中国式现代化全面推进中华民族伟大复兴;（5）全面建设社会主义现代化国家的战略部署;（6）以伟大自我革命引领伟大社会革命;（7）团结奋斗的时代要求。</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党的二十届三中全会》VR版：（1）《决定》的主要内容；（2）进一步全面深化改革、推进中国式现代化的重大意义和总体要求;（3）关于构建高水平社会主义市场经济体制;（4）关于健全推动经济高质量发展体制机制;（5）关于构建支持全面创新体制机制;（6）关于健全宏观经济治理体系;（7）关于完善城乡融合发展体制机制;（8）关于完善高水平对外开放体制机制;（9）健全全过程人民民主制度体系;（10）完善中国特色社会主义法治体系;（11）关于文化体制机制改革;（12）关于民生和社会保障制度体系改革;（13）关于生态文明体制改革;（14）关于国家安全和社会治理体制机制改革;（15）关于国防和军队改革;（16）关于党的领导和党的建设制度改革。</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党史》VR版:（1）浴血奋战、百折不挠，夺取新民主主义革命伟大胜利;（2）自力更生、发愤图强，完成社会主义革命和推进社会主义建设;（3）解放思想、锐意进取，进行改革开放和社会主义现代化建设;（4）自信自强、守正创新，开创中国特色社会主义新时代;（5）不忘初心、牢记使命，新时代的中国共产党</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新中国史》VR版:（1）新中国成立和社会主义制度的确立（1949-1956）;（2）社会主义建设的艰辛探索和曲折发展（1956-1978）;（3）改革开放与中国特色社会主义（1978-1992）;（4）建立社会主义市场经济和把中国特色社会主义全面推向21世纪（1992-2002）;（5）全面建设小康社会与新的形势下坚持和发展中国特色社会主义（2002--2012）;（6）中国特色社会主义进入新时代和实现中华民族伟大复兴的中国梦（2012----2017）;（7）.决胜全面建成小康社会和开启全面建设社会主义现代化强国新征程（2017-----）</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6.《改革开放史》VR版:（1）改革开放与中国特色社会主义的开创;（2）改革开放开创新局面;（3）改革开放在科学发展中深化;（4）改革开放进入新时代;（5）开启全面建设社会主义现代化强国新征程</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社会主义发展史》VR版:（1）从空想社会主义到科学社会主义;（2）世界第一个社会主义国家建立与一国到多国的发展;（3）中国共产党对社会主义建设道路的探索;（4）世界社会主义的曲折与奋起;（5）中国特色社会主义开辟社会主义新纪元;（6）中国特色社会主义进入新时代</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8.《社会主义核心价值观》VR版:（1）为什么要培育和践行社会主义核心价值观；（2）国家层面的价值目标;（3）社会层面的价值取向;（4）公民个人层面的价值准则及自觉践行社会主义核心价值观</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（二）资源包二：</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精神谱系全部46个资源VR版：</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中国共产党人的精神谱系是中国共产党的红色基因图谱，是中国共产党人精神力量和人格力量的生动体现。按照中国共产党百年奋斗的 “新民主主义革命时期” “社会主义革命和建设时期” “改革开放和社会主义现代化建设新时期” “中国特色社会主义新时代” 四个历史时期，包括建党精神、井冈山精神、苏区精神、长征精神、遵义会议精神、延安精神等46种精神。</w:t>
            </w:r>
            <w:r>
              <w:rPr>
                <w:rFonts w:hint="eastAsia" w:ascii="宋体" w:hAnsi="宋体" w:eastAsia="宋体" w:cs="宋体"/>
                <w:sz w:val="21"/>
                <w:szCs w:val="21"/>
                <w:lang w:val="en-US" w:eastAsia="zh-CN"/>
              </w:rPr>
              <w:br w:type="textWrapping"/>
            </w:r>
            <w:r>
              <w:rPr>
                <w:rFonts w:hint="eastAsia" w:ascii="宋体" w:hAnsi="宋体" w:eastAsia="宋体" w:cs="宋体"/>
                <w:b/>
                <w:bCs/>
                <w:sz w:val="21"/>
                <w:szCs w:val="21"/>
                <w:highlight w:val="none"/>
                <w:lang w:val="en-US" w:eastAsia="zh-CN"/>
              </w:rPr>
              <w:t>★15.投标人需提供针对本项目的所列资源软件界面截图；</w:t>
            </w:r>
            <w:r>
              <w:rPr>
                <w:rFonts w:hint="eastAsia" w:ascii="宋体" w:hAnsi="宋体" w:eastAsia="宋体" w:cs="宋体"/>
                <w:b/>
                <w:bCs/>
                <w:sz w:val="21"/>
                <w:szCs w:val="21"/>
                <w:highlight w:val="none"/>
                <w:lang w:val="en-US" w:eastAsia="zh-CN"/>
              </w:rPr>
              <w:br w:type="textWrapping"/>
            </w:r>
            <w:r>
              <w:rPr>
                <w:rFonts w:hint="eastAsia" w:ascii="宋体" w:hAnsi="宋体" w:eastAsia="宋体" w:cs="宋体"/>
                <w:b/>
                <w:bCs/>
                <w:sz w:val="21"/>
                <w:szCs w:val="21"/>
                <w:highlight w:val="none"/>
                <w:lang w:val="en-US" w:eastAsia="zh-CN"/>
              </w:rPr>
              <w:t>★16.投标人需提供针对本项目的所列资源软件著作权证书；</w:t>
            </w:r>
            <w:r>
              <w:rPr>
                <w:rFonts w:hint="eastAsia" w:ascii="宋体" w:hAnsi="宋体" w:eastAsia="宋体" w:cs="宋体"/>
                <w:b/>
                <w:bCs/>
                <w:sz w:val="21"/>
                <w:szCs w:val="21"/>
                <w:highlight w:val="none"/>
                <w:lang w:val="en-US" w:eastAsia="zh-CN"/>
              </w:rPr>
              <w:br w:type="textWrapping"/>
            </w:r>
            <w:r>
              <w:rPr>
                <w:rFonts w:hint="eastAsia" w:ascii="宋体" w:hAnsi="宋体" w:eastAsia="宋体" w:cs="宋体"/>
                <w:b/>
                <w:bCs/>
                <w:sz w:val="21"/>
                <w:szCs w:val="21"/>
                <w:highlight w:val="none"/>
                <w:lang w:val="en-US" w:eastAsia="zh-CN"/>
              </w:rPr>
              <w:t>★17.投标人提供生产厂家针对本项目的三年免费升级的售后服务承诺书。</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2B83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975C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3ED4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8F8B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D6B7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1F29F730">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1B0BBC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6B6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党建工作站</w:t>
            </w:r>
          </w:p>
        </w:tc>
        <w:tc>
          <w:tcPr>
            <w:tcW w:w="4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BE8E2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体化机身设计。屏幕为多点触摸屏（分辨率1920*1080），支持一键开机，同时开启显示器和系统，便于维护；隐藏式收纳柜，可隐藏式收纳8台头显，内置Type-c数据线，可随时充电；可支持单/多人同时VR使用，支持单机/联网双模式使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一、硬件部分 （党建工作站)</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工作站尺寸：（高*宽*厚）1948*1450*433mm；材质：钢板、亚克力板；工艺：钣金喷塑</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OPS：处理器：I5-9400、内存：16g、硬盘：512G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55寸触屏：分辨率：1920×1080；刷新率：60Hz；可视角度：170°；</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二、软件资源部分（高校思政教育虚拟仿真体验教学中心软件V1.0）</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70+精选优质主题党建内容，支持图片、文字、视频自主编辑上传功能，包含视频播放、VR体验等多种学习形态。</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1、红色全景：</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辛亥革命时期（2个）：1）辛亥革命纪念馆、2）南京总统府；</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建党时期（5个）：1）北京新文化运动馆、2）中共一大、3）嘉兴南湖、4）中共三大、5）中共四大；</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大革命时期（3个）：1）安源路矿工人运动纪念馆、2）南京雨花台、3）国民党一大；</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土地革命时期（17个）：1）八一南昌起义、2）秋收起义修水纪念馆、3）秋收起义萍乡陈列馆、4）平江起义纪念馆、5）广西百色起义纪念馆、6）井冈山纪念馆、7）红军长征出发纪念馆、8）遵义会议陈列馆、9）四渡赤水纪念馆、10）飞夺泸定桥专题馆、11）延安革命纪念馆、12）三五九旅屯垦纪念馆、13）红军东征纪念馆、14）鲁迅艺术文学院旧址、15）梁家河、16）陕甘宁边区政府旧址、17）红军会宁会师旧址</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抗日战争时期（10个）：1）一二.九运动纪念馆、2）中国人民抗日战争纪念馆、3）侵华日军南京大屠杀遇难同胞纪念馆、4）冀中冉庄地道战、5）上海四行仓库抗战、6）沂蒙革命纪念馆、7）没有共产党就没有新中国馆、8）八路军太行纪念馆、9）麻田八路军总部纪念馆、10）红岩革命纪念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解放战争时期（6个）：1）平津战役、2）淮海战役纪念馆、3）渡江战役、4）扶眉战役纪念馆、5）西柏坡纪念馆、6）香山革命纪念馆；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人物楷模（5个）：1）雷锋精神纪念馆、2）华罗庚纪念馆、3）焦裕禄纪念馆、4）铁人王进喜纪念馆、5）孔繁森同志纪念馆；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奋斗崛起（4个）：1）抗美援朝纪念馆、2）南京长江大桥、3）红旗渠纪念馆、4）青海原子城纪念馆；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改革开放（2个）：1）小岗村、2）广东改革开放；</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民族之魂（10个）：1）韶山毛泽东纪念馆、2）李大钊纪念馆、3）方志敏烈士陵园、4）周恩来纪念馆、5）朱德故居、6）邓颖超纪念馆、7）聂荣臻纪念馆、8）刘少奇纪念馆、9）彭德怀同志纪念馆、10）叶剑英纪念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专题展示（4个）：1）皖南事变纪念馆、2）钢铁的新四军纪念馆、3）新四军文化艺术馆、4）黄花塘新四军军部纪念馆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其他史料（7个）：1）中国国家博物馆、2）海军诞生地纪念馆、3）南京杭州上海解放70周年展馆、4）近代不平等条约、5）上海国家安全教育馆、6）盐池革命纪念馆、7）盐池县李塬畔新时代文明实践站等75个场景。</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2、影视资源：</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实现线上观影，支持自主上传/删除影视资源。</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3、欢迎来访：</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支持自主编辑内容，设置来访欢迎词，自动保存。</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4、入党誓言：</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入党宣誓词，支持一键播放内容，方便快捷。</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5、党章党规：</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支持自主编辑内容，包含文档修改/删除/添加等，自动上传、自动分类展示。</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6、党建活动：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支持自主上传党建活动内容，包含文字、图片、音频等形式。</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7、组织宣传：</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支持自主上传组织宣传内容，包含文字、图片、音频等形式。</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8、知识问答：</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a.在线答题，增加互动感和趣味性。b.系统自动评分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9、友情连接：</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支持自主上传网页链接，一键选取查看，方便快捷。</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10、VR播控：</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实现对选配的VR党建一体机集控管理。</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15CC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9F16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5B5A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8519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CD9D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24A5559F">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944A81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63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01E0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小计：</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0DBC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73B6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D737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36FE5982">
        <w:tblPrEx>
          <w:tblCellMar>
            <w:top w:w="0" w:type="dxa"/>
            <w:left w:w="108" w:type="dxa"/>
            <w:bottom w:w="0" w:type="dxa"/>
            <w:right w:w="108" w:type="dxa"/>
          </w:tblCellMar>
        </w:tblPrEx>
        <w:trPr>
          <w:trHeight w:val="23" w:hRule="atLeast"/>
        </w:trPr>
        <w:tc>
          <w:tcPr>
            <w:tcW w:w="8970" w:type="dxa"/>
            <w:gridSpan w:val="8"/>
            <w:tcBorders>
              <w:top w:val="single" w:color="000000" w:sz="4" w:space="0"/>
              <w:left w:val="single" w:color="000000" w:sz="8" w:space="0"/>
              <w:bottom w:val="single" w:color="000000" w:sz="4" w:space="0"/>
              <w:right w:val="single" w:color="000000" w:sz="4" w:space="0"/>
            </w:tcBorders>
            <w:shd w:val="clear" w:color="auto" w:fill="auto"/>
            <w:noWrap/>
            <w:vAlign w:val="center"/>
          </w:tcPr>
          <w:p w14:paraId="7C5D882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三、党建思政红色教育基地（大礼堂）</w:t>
            </w:r>
          </w:p>
        </w:tc>
        <w:tc>
          <w:tcPr>
            <w:tcW w:w="46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A67509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19CC40CC">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7DA420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5DAD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场地翻新与红色氛围打造</w:t>
            </w:r>
          </w:p>
        </w:tc>
        <w:tc>
          <w:tcPr>
            <w:tcW w:w="4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56154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原礼堂墙面翻新、红色氛围装修装饰、党建思政文化展板等。</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DAF7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EC8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335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A0C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46F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642062E6">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87F752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524C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AR智慧党建沙盘系统</w:t>
            </w:r>
          </w:p>
        </w:tc>
        <w:tc>
          <w:tcPr>
            <w:tcW w:w="4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33FB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硬件部分（AR智慧党建沙盘）</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1.全新投射式电容屏，标配10 点触摸，手指和令牌（marker）触摸，都流畅顺滑；配合独有令牌（marker）可实现物体识别功能；原装高清4K液晶屏幕；</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2.铝合金边框，钣金后壳，底部有脚轮方便移；PC屏幕一体化设计，部件全部以板卡形式可升级易维护；有独立触控开关；有独立维护门标配2个触控令牌。</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3.面板尺寸：43寸，CPU：i5 ，内存：16G，显卡：8G，硬盘：1T固态；</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4.AR智慧党建沙盘：包含独立的新时代带智慧党建中控管理平台，可设置开机自启动，开机进入中控管理平台</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VR智慧沙盘包含13个软件管理平台，可做为智慧党建和思政教育资源中心，内容全面且丰富，支持独立管理。仅需几平米就可打破时空限制体验丰富的思政资源。</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二、软件部分（3D沙盘资源系统软件）</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（一）精神谱系资源</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新民主主义革命时期：</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1、建党精神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2、井冈山精神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3、苏区精神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4、长征精神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5、遵义会议精神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6、延安精神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7、抗战精神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8、红岩精神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9、西柏坡精神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10、照金精神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11、、东北抗联精神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12、南泥湾精神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13、太行精神（吕梁精神）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14、大别山精神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15、沂蒙精神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16、老区精神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17、张思德精神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社会主义革命和建设时期：</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1、抗美援朝精神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2、“两弹一星”精神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3、雷锋精神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4、焦裕禄精神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5、大庆精神（铁人精神）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6、红旗渠精神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7、北大荒精神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8、塞罕坝精神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9、两路”精神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10、老西藏精神（孔繁森精神）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11、西迁精神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12、王杰精神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改革开放和社会主义现代化建设新时期：</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1、改革开放精神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2、特区精神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3、抗洪精神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4、抗击“非典”精神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5、抗震救灾精神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6、载人航天精神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7、劳模精神（劳动精神、工匠精神）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8、青藏铁路精神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9、女排精神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中国特色社会主义新时代：</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1、脱贫攻坚精神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2、抗疫精神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3、“三牛”精神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4、科学家精神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5、企业家精神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6、探月精神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7、新时代北斗精神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8、丝路精神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（三）红色全景资源</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1、辛亥革命时期（2个）：1）辛亥革命纪念馆、2）南京总统府；</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2、建党时期（5个）：1）北京新文化运动馆、2）中共一大、3）嘉兴南湖、4）中共三大、5）中共四大；</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3、大革命时期（3个）：1）安源路矿工人运动纪念馆、2）南京雨花台、3）国民党一大；</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土地革命时期（17个）：1）八一南昌起义、2）秋收起义修水纪念馆、3）秋收起义萍乡陈列馆、4）平江起义纪念馆、5）广西百色起义纪念馆、6）井冈山纪念馆、7）红军长征出发纪念馆、8）遵义会议陈列馆、9）四渡赤水纪念馆、10）飞夺泸定桥专题馆、11）延安革命纪念馆、12）三五九旅屯垦纪念馆、13）红军东征纪念馆、14）鲁迅艺术文学院旧址、15）梁家河、16）陕甘宁边区政府旧址、17）红军会宁会师旧址</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抗日战争时期（10个）：1）一二.九运动纪念馆、2）中国人民抗日战争纪念馆、3）侵华日军南京大屠杀遇难同胞纪念馆、4）冀中冉庄地道战、5）上海四行仓库抗战、6）沂蒙革命纪念馆、7）没有共产党就没有新中国馆、8）八路军太行纪念馆、9）麻田八路军总部纪念馆、10）红岩革命纪念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6、解放战争时期（6个）：1）平津战役、2）淮海战役纪念馆、3）渡江战役、4）扶眉战役纪念馆、5）西柏坡纪念馆、6）香山革命纪念馆；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7、人物楷模（5个）：1）雷锋精神纪念馆、2）华罗庚纪念馆、3）焦裕禄纪念馆、4）铁人王进喜纪念馆、5）孔繁森同志纪念馆；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8、奋斗崛起（4个）：1）抗美援朝纪念馆、2）南京长江大桥、3）红旗渠纪念馆、4）青海原子城纪念馆；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9、改革开放（2个）：1）小岗村、2）广东改革开放；</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10、民族之魂（10个）：1）韶山毛泽东纪念馆、2）李大钊纪念馆、3）方志敏烈士陵园、4）周恩来纪念馆、5）朱德故居、6）邓颖超纪念馆、7）聂荣臻纪念馆、8）刘少奇纪念馆、9）彭德怀同志纪念馆、10）叶剑英纪念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11、专题展示（4个）：1）皖南事变纪念馆、2）钢铁的新四军纪念馆、3）新四军文化艺术馆、4）黄花塘新四军军部纪念馆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12、其他史料（7个）：1）中国国家博物馆、2）海军诞生地纪念馆、3）南京杭州上海解放70周年展馆、4）近代不平等条约、5）上海国家安全教育馆、6）盐池革命纪念馆、7）盐池县李塬畔新时代文明实践站等75个场景。</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（四）VR思政资源</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以VR虚拟展馆资源为主，3D沉浸式线上体验各个红色主题教育资源，支持手动操作游览和自动游览双模式、左右眼切换，配备语音、图片、文字、视频等配套资源，内容全面且丰富。</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党史》VR版:（1）浴血奋战、百折不挠，夺取新民主主义革命伟大胜利;（2）自力更生、发愤图强，完成社会主义革命和推进社会主义建设;（3）解放思想、锐意进取，进行改革开放和社会主义现代化建设;（4）自信自强、守正创新，开创中国特色社会主义新时代;（5）不忘初心、牢记使命，新时代的中国共产党</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新中国史》VR版:（1）新中国成立和社会主义制度的确立（1949-1956）;（2）社会主义建设的艰辛探索和曲折发展（1956-1978）;（3）改革开放与中国特色社会主义（1978-1992）;（4）建立社会主义市场经济和把中国特色社会主义全面推向21世纪（1992-2002）;（5）全面建设小康社会与新的形势下坚持和发展中国特色社会主义（2002--2012）;（6）中国特色社会主义进入新时代和实现中华民族伟大复兴的中国梦（2012----2017）;（7）.决胜全面建成小康社会和开启全面建设社会主义现代化强国新征程（2017-----）</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3.《改革开放史》VR版:（1）改革开放与中国特色社会主义的开创;（2）改革开放开创新局面;（3）改革开放在科学发展中深化;（4）改革开放进入新时代;（5）开启全面建设社会主义现代化强国新征程</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社会主义发展史》VR版:（1）从空想社会主义到科学社会主义;（2）世界第一个社会主义国家建立与一国到多国的发展;（3）中国共产党对社会主义建设道路的探索;（4）世界社会主义的曲折与奋起;（5）中国特色社会主义开辟社会主义新纪元;（6）中国特色社会主义进入新时代</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二十大精神》VR版:（1）二十大的重大意义和大会主题;（2）过去五年的工作和新时代十年的伟大变革;（3）开辟马克思主义中国化时代化新境界;（4）以中国式现代化全面推进中华民族伟大复兴;（5）全面建设社会主义现代化国家的战略部署;（6）以伟大自我革命引领伟大社会革命;（7）团结奋斗的时代要求</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6.《社会主义核心价值观》VR版:（1）为什么要培育和践行社会主义核心价值观；（2）国家层面的价值目标;（3）社会层面的价值取向;（4）公民个人层面的价值准则及自觉践行社会主义核心价值观</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7.《工匠精神》VR版:1）工匠精神序厅;（2）工匠精神的内涵缘起和演变；（3）中国古代的工匠精神;（4）匠造杰作书写古今传奇;（5）建国后的能工巧匠;（6）当代中国大国工匠;（7）大力弘扬工匠精神 勇做创新大国工匠</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习近平新时代中国特色社会主义思想》VR版:（1）习近平新时代中国特色社会主义思想的创立条件；（2）习近平新时代中国特色社会主义思想的主要内容；（3）“十四个坚持”构成新时代坚持和发展中国特色社会主义的基本方略；（4）习近平新时代中国特色社会主义思想指导下党和国家事业取得的“十三个方面”历史性成就；（5）习近平新时代中国特色社会主义思想的历史地位；（6）加强理论武装、感悟思想伟力、汲取真理力量。</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9.《法安天下 德润人心》VR版：（1）良法善治 安邦固本;（2）国无德不兴  人无德不立;（3）以法载德 德法相济;（4）崇法尚德 行以致远</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10.《国家安全教育》VR版：（1）新时代国家安全的崭新局面;（2）持总体国家安全观 走中国特色国家安全道路;（3）维护国家安全 人人有责 人人可为</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11.《真理的力量》VR版：（1）伟大导师马克思的壮丽人生;（2）马克思主义在中国的早期传播与中国共产党的成立;（3）毛泽东思想;（4）邓小平理论、“三个代表”重要思想、科学发展观与中国特色社会主义实践;（5）习近平新时代中国特色社会主义思想</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12.《伟大复兴》VR版：（1）醒起来•奋起抗争;（2）站起来•挺直脊梁;（3）富起来•厚积薄发;（4）强起来•走向复兴</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13.《从民族存亡到封建帝制覆灭》VR版：a.帝国主义入侵，中国逐步沦为殖民地半殖民地社会 b.中华民族救亡图存运动 c.辛亥革命推翻帝制</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14.《五四运动与中共建党》：（1）五四运动与马克思主义在中国传播；（2）中国共产党成立</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15.《从大革命失败到八一南昌起义》VR版：（1）大革命兴起与失败；（2）发动武装起义、开展武装斗争</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16.《掀起土地革命的风暴》：（1）星星之火可以燎原-----农村革命根据地建立；（2）第五次反“围剿”失败，红军长征</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17.《全民族抗日战争的中流砥柱》：（1）率先高举抗日旗帜，促成全民族抗战；（2）抗日战争的中流砥柱</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18.《夺取新民主主义新胜利》：（1）推翻国民党反动统治，解放全中国；（2）中华人民共和国成立</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（五）3D思政资源</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沉浸式体验学习红色思政内容，身临其境感受革命先烈英勇事迹，3D观影体验。</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1.长征系列：</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xml:space="preserve">1）长征第一渡 </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背景介绍：第五次反围剿失败，红军被迫踏上战略转移的漫漫征程，开始了长征。（2）搭建浮桥：江西的于都河是中央红军长征要过的第一条大河，河宽600多米，水流深湍，当时沿河所有的民船全部停运架设浮桥。（3）惜别送行：渡河前，于都人民男女老幼从四面八方涌上桥头、涌向渡口，送上一杯杯茶水、一顶顶斗笠，送不尽对红军的无限情意，红军战士凝望根据地的山山水水，依依惜别送行的战友和乡亲们。</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2）血战湘江</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背景介绍：红军为通过敌人在湘江布置的第四道防线，进行了湘江血战。（2）负重前行：由于王明的左倾错误路线的影响，红军携带所有家当进行转移。两岸的红军阻击阵地上红军战士，为掩护党中央安全过江，与优势的敌军展开了殊死决战。（3）搭建浮桥：红军战士拼命搭建浮桥。（4）激战湘江：敌人用飞机、大炮对浮桥不断轰炸，企图将半渡中的红军消灭。红军将士打垮了敌军的一次次进攻，湘江两岸洒下了无数红军将士的鲜血，渡口始终牢牢地掌握在红军手中。（5）惨胜过江：12月1日17时，中央机关和红军大部队终于拼死渡过了湘江。然而，掩护主力的红5军团34师、红3军团18团被敌人阻断，官兵大部分阵亡。</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3）飞夺泸定桥</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背景介绍：红一方面军在安顺场强渡大渡河胜利之后，为了争取时间，掌握主动，中央军委决定分左右两路军沿大渡河夹击而上，夺取泸定桥。（2）泸定桥地势险恶，挂在两山之间的江面上，桥上的木板已经被拆除，铁索冒发着阵阵寒意，桥下水流湍急，团长桥边动员会。（3）二十二个战士前赴后继背着木板爬上铁索桥，边进攻，边铺桥桥头，胜利冲过了桥头。（4）炮火硝烟里的对岸碉堡上军旗摇曳，战士们欢呼雀跃！</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4）胜利会师</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背景介绍：1936年9月，中央军委在陕西保安提出红军三大主力在会宁会师的想法。随后，红四方面军陆续抵达会宁。（2）红一、四方面军会师，庆祝会师联欢大会。10月10日黄昏，红一、红四方面军于在会宁文庙举行了庆祝会师联欢大会。党中央从陕北发来贺电《为庆祝一、二、四方面军大会合通电》。（3）10月15日，红二方面军到达会宁地区，21日，红二方面军领导人与红一方面军领导人在平峰镇会面，实现红军三大主力会师。</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2.伟大复兴系列:</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1）站起来 挺直脊梁</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开国大典：1949年10月1日，庆祝中华人民共和国中央人民政府成立典礼在首都北京隆重举行，史称“开国大典”。毛泽东主席在天安门城楼上庄严宣告：“中华人民共和国中央人民政府今天成立了！”（2）抗美援朝：1950年10月19日，中国人民志愿军跨过鸭绿江，赶赴朝鲜战场，揭开抗美援朝战争序幕。（3）护国神器—原子弹和氢弹：新中国为打破来自美苏的核威胁、核垄断，保护国家主权独立和领土完整，毅然决然开启两弹一星研究工程。风沙遍地的戈壁滩，解放军战士在勘探、打夯、钻井、建房子、运输物资，还有的在指导交通，有条不紊地忙碌着。实验室内多名科学家在认真画着图纸，快速拨弄算盘；稿纸一张张掉在地上。一个原子弹在基座支架支撑下立在戈壁滩上，蓄势待发。按动按钮，全景蘑菇云升起！战士们和科学家在欢呼；三年后，1967年6月17日，还是在中国新疆罗布泊上空，又成功爆炸了第一枚氢弹。（4）.不朽颂歌--东方红一号卫星上天：1970年4月24日，中国首枚“长征一号”运载火箭又成功将“东方红一号”卫星送入预定轨道，奠定了长征系列运载火箭发展的基础，拉开了中国进军太空的序幕。（5）弘扬“两弹一星”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2）富起来 赶上时代</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十一届三中全会：1978年12月18日党的十一届三中全会在北京召开。全会决定把党和国家工作中心转移到经济建设上来，实行改革开放的历史性决策。（2）安徽凤阳小岗村：1978年，十八位农民以“托孤”的方式，冒着极大的风险，立下生死状，在土地承包责任书上按下了红手印，创造了“小岗精神”，拉开了中国改革开放的序幕。（3）特区展示：1980年8月中央决定设立深圳、珠海、汕头和厦门经济特区，1984年中央进一步决定开放14个沿海城市；（4）南方谈话：1992年，改革开放的总设计师邓小平，先后赴武昌、深圳、珠海和上海视察提出了：坚持一个中心，两个基本点的基本路线一百年不动摇。要加快改革开放的步伐。（5）中国高铁：取得从引进到国超越的伟大成就。（6）袁隆平及水稻：由“杂交水稻之父”袁隆平团队研发的杂交水稻，实现一次次超越，2021年10月17日实现双季测产为1603.9公斤的新纪录。（7）神舟五号飞天：实现中国载人航天工程的成功首发。（8）雪龙号极地考察：“雪龙”号是中国最大的极地考察船，足迹遍布五大洋，创下了中国航海史上多项新纪录。（9）蛟龙号载人深潜：“蛟龙号”在全球最深的马里亚纳海沟，成功完成了7000米级海试。（10）第二大经济体：用动态的柱状图表达2010年中国的国内生产总值（GDP）跃居世界第二，超过了日本成为世界第二大经济体。</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3）强起来 走向复兴</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北斗卫星：北斗系统第55颗导航卫星在长征三号乙火箭的搭载下蓄势待发。习近平原声：我宣布，北斗三号全球卫星导航系统正式开通。（2）嫦娥探月：2020年11月24日，嫦娥五号探测器顺利进入预定轨道，开启中国首次地外天体采样返回之旅。（3）航空母舰：自辽宁舰和山东舰相继交付海军之后，2022年6月17日第三艘中国完全自主设计建造的、首艘电磁弹射型航空母舰下水，自此拉开了中国三艘航母并驾齐驱的序幕。（4）天眼工程：位于贵州平塘的中国天眼FAST，是目前世界上最大、灵敏度最高的单口径射电望远镜。从1994年我国天文学家南仁东提出构想，2016年9月25日落成启用，它让我国在射电天文领域领先世界20年。（5）C919大飞机：C919大飞机，是中国自行研制、具有自主知识产权的大型喷气式民用飞机于2017年5月5日成功首飞。于2022年12月9日，全球首架机正式交付中国东方航空，投入商业运营。</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（六）影视资源</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实现线上观影，支持自主上传/删除影视资源。</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（七）欢迎来访</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支持自主编辑内容，设置来访欢迎词，自动保存。</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（八）入党宣誓</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入党宣誓词，支持一键播放内容，方便快捷。</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（九）党章党规</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支持自主编辑内容，包含文档修改/删除/添加等，自动上传、自动分类展示。</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（十）组织宣传</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（十一）、党建活动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支持自主上传党建活动内容，包含文字、图片、音频等形式。</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（十二）知识问答</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a.支持单人/双人/多人同时在线答题，增加互动感和趣味性。b.系统自动评分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（十三）友情链接</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支持自主上传网页链接，一键选取查看，方便快捷。</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（十四）使用手册</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用户使用方法介绍，操作说明。</w:t>
            </w:r>
          </w:p>
          <w:p w14:paraId="3BA5427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（十五）三门峡本地党建红色资源3-5个</w:t>
            </w:r>
            <w:r>
              <w:rPr>
                <w:rFonts w:hint="eastAsia" w:ascii="宋体" w:hAnsi="宋体" w:eastAsia="宋体" w:cs="宋体"/>
                <w:sz w:val="21"/>
                <w:szCs w:val="21"/>
                <w:lang w:val="en-US" w:eastAsia="zh-CN"/>
              </w:rPr>
              <w:br w:type="textWrapping"/>
            </w:r>
            <w:r>
              <w:rPr>
                <w:rFonts w:hint="eastAsia" w:ascii="宋体" w:hAnsi="宋体" w:eastAsia="宋体" w:cs="宋体"/>
                <w:b/>
                <w:bCs/>
                <w:sz w:val="21"/>
                <w:szCs w:val="21"/>
                <w:highlight w:val="none"/>
                <w:lang w:val="en-US" w:eastAsia="zh-CN"/>
              </w:rPr>
              <w:t>★投标人需提供针对本项目的所列资源软件界面截图并加盖厂家公章；</w:t>
            </w:r>
            <w:r>
              <w:rPr>
                <w:rFonts w:hint="eastAsia" w:ascii="宋体" w:hAnsi="宋体" w:eastAsia="宋体" w:cs="宋体"/>
                <w:b/>
                <w:bCs/>
                <w:sz w:val="21"/>
                <w:szCs w:val="21"/>
                <w:highlight w:val="none"/>
                <w:lang w:val="en-US" w:eastAsia="zh-CN"/>
              </w:rPr>
              <w:br w:type="textWrapping"/>
            </w:r>
            <w:r>
              <w:rPr>
                <w:rFonts w:hint="eastAsia" w:ascii="宋体" w:hAnsi="宋体" w:eastAsia="宋体" w:cs="宋体"/>
                <w:b/>
                <w:bCs/>
                <w:sz w:val="21"/>
                <w:szCs w:val="21"/>
                <w:highlight w:val="none"/>
                <w:lang w:val="en-US" w:eastAsia="zh-CN"/>
              </w:rPr>
              <w:t>★为保证投标产品为具有自主知识产权的正版产品，投标人需提供针对本项目的所列资源软件著作权证书并加盖厂家公章；</w:t>
            </w:r>
            <w:r>
              <w:rPr>
                <w:rFonts w:hint="eastAsia" w:ascii="宋体" w:hAnsi="宋体" w:eastAsia="宋体" w:cs="宋体"/>
                <w:b/>
                <w:bCs/>
                <w:sz w:val="21"/>
                <w:szCs w:val="21"/>
                <w:highlight w:val="none"/>
                <w:lang w:val="en-US" w:eastAsia="zh-CN"/>
              </w:rPr>
              <w:br w:type="textWrapping"/>
            </w:r>
            <w:r>
              <w:rPr>
                <w:rFonts w:hint="eastAsia" w:ascii="宋体" w:hAnsi="宋体" w:eastAsia="宋体" w:cs="宋体"/>
                <w:b/>
                <w:bCs/>
                <w:sz w:val="21"/>
                <w:szCs w:val="21"/>
                <w:highlight w:val="none"/>
                <w:lang w:val="en-US" w:eastAsia="zh-CN"/>
              </w:rPr>
              <w:t>★提供生产厂家针对本项目的售后服务承诺书。</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C02F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6B21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A5BC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90E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502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13065E78">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9E38F9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1CFD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三门峡本地红色资源不少于5个。</w:t>
            </w:r>
          </w:p>
        </w:tc>
        <w:tc>
          <w:tcPr>
            <w:tcW w:w="4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BC8A4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三门峡本地红色资源不少于5个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3AA6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3808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453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D2C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2BF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01233348">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FA36E1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30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7CEA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35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8034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小计</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01B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9A78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3BB9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686CEC4E">
        <w:tblPrEx>
          <w:tblCellMar>
            <w:top w:w="0" w:type="dxa"/>
            <w:left w:w="108" w:type="dxa"/>
            <w:bottom w:w="0" w:type="dxa"/>
            <w:right w:w="108" w:type="dxa"/>
          </w:tblCellMar>
        </w:tblPrEx>
        <w:trPr>
          <w:trHeight w:val="23" w:hRule="atLeast"/>
        </w:trPr>
        <w:tc>
          <w:tcPr>
            <w:tcW w:w="8970" w:type="dxa"/>
            <w:gridSpan w:val="8"/>
            <w:tcBorders>
              <w:top w:val="single" w:color="000000" w:sz="4" w:space="0"/>
              <w:left w:val="single" w:color="000000" w:sz="8" w:space="0"/>
              <w:bottom w:val="nil"/>
              <w:right w:val="single" w:color="000000" w:sz="4" w:space="0"/>
            </w:tcBorders>
            <w:shd w:val="clear" w:color="auto" w:fill="auto"/>
            <w:noWrap/>
            <w:vAlign w:val="center"/>
          </w:tcPr>
          <w:p w14:paraId="45EBDA1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四、教学楼红色文化打造</w:t>
            </w:r>
          </w:p>
        </w:tc>
        <w:tc>
          <w:tcPr>
            <w:tcW w:w="468" w:type="dxa"/>
            <w:tcBorders>
              <w:top w:val="single" w:color="000000" w:sz="4" w:space="0"/>
              <w:left w:val="single" w:color="000000" w:sz="8" w:space="0"/>
              <w:bottom w:val="nil"/>
              <w:right w:val="single" w:color="000000" w:sz="4" w:space="0"/>
            </w:tcBorders>
            <w:shd w:val="clear" w:color="auto" w:fill="auto"/>
            <w:noWrap/>
            <w:vAlign w:val="center"/>
          </w:tcPr>
          <w:p w14:paraId="499A4A2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1A77590D">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nil"/>
              <w:right w:val="single" w:color="000000" w:sz="4" w:space="0"/>
            </w:tcBorders>
            <w:shd w:val="clear" w:color="auto" w:fill="auto"/>
            <w:noWrap/>
            <w:vAlign w:val="center"/>
          </w:tcPr>
          <w:p w14:paraId="2E68A4B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16" w:type="dxa"/>
            <w:tcBorders>
              <w:top w:val="single" w:color="000000" w:sz="4" w:space="0"/>
              <w:left w:val="single" w:color="000000" w:sz="4" w:space="0"/>
              <w:bottom w:val="nil"/>
              <w:right w:val="single" w:color="000000" w:sz="4" w:space="0"/>
            </w:tcBorders>
            <w:shd w:val="clear" w:color="auto" w:fill="auto"/>
            <w:noWrap/>
            <w:vAlign w:val="center"/>
          </w:tcPr>
          <w:p w14:paraId="7452E01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一二楼走廊</w:t>
            </w:r>
          </w:p>
        </w:tc>
        <w:tc>
          <w:tcPr>
            <w:tcW w:w="4542" w:type="dxa"/>
            <w:gridSpan w:val="2"/>
            <w:tcBorders>
              <w:top w:val="single" w:color="000000" w:sz="4" w:space="0"/>
              <w:left w:val="single" w:color="000000" w:sz="4" w:space="0"/>
              <w:bottom w:val="nil"/>
              <w:right w:val="single" w:color="000000" w:sz="4" w:space="0"/>
            </w:tcBorders>
            <w:shd w:val="clear" w:color="auto" w:fill="auto"/>
            <w:vAlign w:val="center"/>
          </w:tcPr>
          <w:p w14:paraId="6AD1BFC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一楼重点打造廉政教育主题墙，二楼重点打造党史百年主题墙，包含墙面清理、翻新、展板、灯光等</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33A60FC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66E2D60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21EDE7A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6F2396F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nil"/>
              <w:right w:val="single" w:color="000000" w:sz="4" w:space="0"/>
            </w:tcBorders>
            <w:shd w:val="clear" w:color="auto" w:fill="auto"/>
            <w:noWrap/>
            <w:vAlign w:val="center"/>
          </w:tcPr>
          <w:p w14:paraId="79FA4C1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49DEA9CF">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nil"/>
              <w:right w:val="single" w:color="000000" w:sz="4" w:space="0"/>
            </w:tcBorders>
            <w:shd w:val="clear" w:color="auto" w:fill="auto"/>
            <w:noWrap/>
            <w:vAlign w:val="center"/>
          </w:tcPr>
          <w:p w14:paraId="78799BB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p w14:paraId="44F45A7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816" w:type="dxa"/>
            <w:tcBorders>
              <w:top w:val="single" w:color="000000" w:sz="4" w:space="0"/>
              <w:left w:val="single" w:color="000000" w:sz="4" w:space="0"/>
              <w:bottom w:val="nil"/>
              <w:right w:val="single" w:color="000000" w:sz="4" w:space="0"/>
            </w:tcBorders>
            <w:shd w:val="clear" w:color="auto" w:fill="auto"/>
            <w:noWrap/>
            <w:vAlign w:val="center"/>
          </w:tcPr>
          <w:p w14:paraId="6D3F24C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思政文化智能宣传栏</w:t>
            </w:r>
          </w:p>
        </w:tc>
        <w:tc>
          <w:tcPr>
            <w:tcW w:w="4542" w:type="dxa"/>
            <w:gridSpan w:val="2"/>
            <w:tcBorders>
              <w:top w:val="single" w:color="000000" w:sz="4" w:space="0"/>
              <w:left w:val="single" w:color="000000" w:sz="4" w:space="0"/>
              <w:bottom w:val="nil"/>
              <w:right w:val="single" w:color="000000" w:sz="4" w:space="0"/>
            </w:tcBorders>
            <w:shd w:val="clear" w:color="auto" w:fill="auto"/>
            <w:vAlign w:val="center"/>
          </w:tcPr>
          <w:p w14:paraId="2A71C95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打造智慧型校园红色文化宣传视觉</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6A45141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7720DD9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42E1FA3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7249F74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nil"/>
              <w:right w:val="single" w:color="000000" w:sz="4" w:space="0"/>
            </w:tcBorders>
            <w:shd w:val="clear" w:color="auto" w:fill="auto"/>
            <w:noWrap/>
            <w:vAlign w:val="center"/>
          </w:tcPr>
          <w:p w14:paraId="40BFCAB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16B6243D">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nil"/>
              <w:right w:val="single" w:color="000000" w:sz="4" w:space="0"/>
            </w:tcBorders>
            <w:shd w:val="clear" w:color="auto" w:fill="auto"/>
            <w:noWrap/>
            <w:vAlign w:val="center"/>
          </w:tcPr>
          <w:p w14:paraId="0055F94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816" w:type="dxa"/>
            <w:tcBorders>
              <w:top w:val="single" w:color="000000" w:sz="4" w:space="0"/>
              <w:left w:val="single" w:color="000000" w:sz="4" w:space="0"/>
              <w:bottom w:val="nil"/>
              <w:right w:val="single" w:color="000000" w:sz="4" w:space="0"/>
            </w:tcBorders>
            <w:shd w:val="clear" w:color="auto" w:fill="auto"/>
            <w:noWrap/>
            <w:vAlign w:val="center"/>
          </w:tcPr>
          <w:p w14:paraId="7D48B74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思政文化智能垃圾箱</w:t>
            </w:r>
          </w:p>
        </w:tc>
        <w:tc>
          <w:tcPr>
            <w:tcW w:w="4542" w:type="dxa"/>
            <w:gridSpan w:val="2"/>
            <w:tcBorders>
              <w:top w:val="single" w:color="000000" w:sz="4" w:space="0"/>
              <w:left w:val="single" w:color="000000" w:sz="4" w:space="0"/>
              <w:bottom w:val="nil"/>
              <w:right w:val="single" w:color="000000" w:sz="4" w:space="0"/>
            </w:tcBorders>
            <w:shd w:val="clear" w:color="auto" w:fill="auto"/>
            <w:vAlign w:val="center"/>
          </w:tcPr>
          <w:p w14:paraId="6BC2647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思政文化主体标语</w:t>
            </w:r>
          </w:p>
          <w:p w14:paraId="46535A8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内外双通</w:t>
            </w:r>
          </w:p>
          <w:p w14:paraId="67DE21B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加厚镀锌板</w:t>
            </w:r>
          </w:p>
          <w:p w14:paraId="7FD039E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不锈钢外壳材质</w:t>
            </w:r>
          </w:p>
          <w:p w14:paraId="3CF1D61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容量≥50L</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16431D0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60</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27BE4F5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4AF6B1B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750CB60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nil"/>
              <w:right w:val="single" w:color="000000" w:sz="4" w:space="0"/>
            </w:tcBorders>
            <w:shd w:val="clear" w:color="auto" w:fill="auto"/>
            <w:noWrap/>
            <w:vAlign w:val="center"/>
          </w:tcPr>
          <w:p w14:paraId="683A115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44D0EC9A">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nil"/>
              <w:right w:val="single" w:color="000000" w:sz="4" w:space="0"/>
            </w:tcBorders>
            <w:shd w:val="clear" w:color="auto" w:fill="auto"/>
            <w:noWrap/>
            <w:vAlign w:val="center"/>
          </w:tcPr>
          <w:p w14:paraId="06060C0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816" w:type="dxa"/>
            <w:tcBorders>
              <w:top w:val="single" w:color="000000" w:sz="4" w:space="0"/>
              <w:left w:val="single" w:color="000000" w:sz="4" w:space="0"/>
              <w:bottom w:val="nil"/>
              <w:right w:val="single" w:color="000000" w:sz="4" w:space="0"/>
            </w:tcBorders>
            <w:shd w:val="clear" w:color="auto" w:fill="auto"/>
            <w:noWrap/>
            <w:vAlign w:val="center"/>
          </w:tcPr>
          <w:p w14:paraId="31087F3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思政堂桌</w:t>
            </w:r>
          </w:p>
        </w:tc>
        <w:tc>
          <w:tcPr>
            <w:tcW w:w="4542" w:type="dxa"/>
            <w:gridSpan w:val="2"/>
            <w:tcBorders>
              <w:top w:val="single" w:color="000000" w:sz="4" w:space="0"/>
              <w:left w:val="single" w:color="000000" w:sz="4" w:space="0"/>
              <w:bottom w:val="nil"/>
              <w:right w:val="single" w:color="000000" w:sz="4" w:space="0"/>
            </w:tcBorders>
            <w:shd w:val="clear" w:color="auto" w:fill="auto"/>
            <w:vAlign w:val="center"/>
          </w:tcPr>
          <w:p w14:paraId="5BBC71D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钢制讲台</w:t>
            </w:r>
          </w:p>
          <w:p w14:paraId="1304679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尺寸:长1000MM*宽730MM*高960MM参数:</w:t>
            </w:r>
          </w:p>
          <w:p w14:paraId="5C83FE2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桌体采用 0.7~1.0mm优质冷轧钢板。桌体上部分采用直角R6设计。讲台整体设计符合人体力学原理，提供左右实木扶手，供使用者扶用。工艺:脱脂、磷化、静电喷塑、溜平固化，重点部位须采用一次冲压成型技术;所有钣金部分均采用激光切割加工，所有尖角倒圆角不小于 R3，保证使用者和维护者不划伤;</w:t>
            </w:r>
          </w:p>
          <w:p w14:paraId="6C4C738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钢木结合材料一体成型;讲台左右木扶手和桌面木台面均采用高档橡木精细加工而成;全封闭式结构，保障了多媒体设备的安全性;</w:t>
            </w:r>
          </w:p>
          <w:p w14:paraId="1FBC092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合理的尺寸设计，合理的设备安排;整体采用分体式结构，上下两部分采用分体组装;</w:t>
            </w:r>
          </w:p>
          <w:p w14:paraId="0F019BE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上柜背面开有棱形喇叭孔，左右对称，造型美观，方便散热;上柜后方开有检修门，便于安装和检修;</w:t>
            </w:r>
          </w:p>
          <w:p w14:paraId="34CF156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台面可放置笔记本电脑,台面前方设计有两个杂物抽屉;</w:t>
            </w:r>
          </w:p>
          <w:p w14:paraId="2E05924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下柜为整体式，下柜四周为直角R6，美观大方，下柜前面开有双开门，后方开有检修门，下柜内可放置主机、功放等设备。</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26C8E50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04077C2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2E330E5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77B999C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nil"/>
              <w:right w:val="single" w:color="000000" w:sz="4" w:space="0"/>
            </w:tcBorders>
            <w:shd w:val="clear" w:color="auto" w:fill="auto"/>
            <w:noWrap/>
            <w:vAlign w:val="center"/>
          </w:tcPr>
          <w:p w14:paraId="1A53B4B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6E4B39B9">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nil"/>
              <w:right w:val="single" w:color="000000" w:sz="4" w:space="0"/>
            </w:tcBorders>
            <w:shd w:val="clear" w:color="auto" w:fill="auto"/>
            <w:noWrap/>
            <w:vAlign w:val="center"/>
          </w:tcPr>
          <w:p w14:paraId="71E1869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816" w:type="dxa"/>
            <w:tcBorders>
              <w:top w:val="single" w:color="000000" w:sz="4" w:space="0"/>
              <w:left w:val="single" w:color="000000" w:sz="4" w:space="0"/>
              <w:bottom w:val="nil"/>
              <w:right w:val="single" w:color="000000" w:sz="4" w:space="0"/>
            </w:tcBorders>
            <w:shd w:val="clear" w:color="auto" w:fill="auto"/>
            <w:noWrap/>
            <w:vAlign w:val="center"/>
          </w:tcPr>
          <w:p w14:paraId="73F439A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空调</w:t>
            </w:r>
          </w:p>
        </w:tc>
        <w:tc>
          <w:tcPr>
            <w:tcW w:w="4542" w:type="dxa"/>
            <w:gridSpan w:val="2"/>
            <w:tcBorders>
              <w:top w:val="single" w:color="000000" w:sz="4" w:space="0"/>
              <w:left w:val="single" w:color="000000" w:sz="4" w:space="0"/>
              <w:bottom w:val="nil"/>
              <w:right w:val="single" w:color="000000" w:sz="4" w:space="0"/>
            </w:tcBorders>
            <w:shd w:val="clear" w:color="auto" w:fill="auto"/>
            <w:vAlign w:val="center"/>
          </w:tcPr>
          <w:p w14:paraId="62412A3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额定制冷量(W)：≥7290</w:t>
            </w:r>
          </w:p>
          <w:p w14:paraId="4986604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额定制热量(W)：热泵≥9210</w:t>
            </w:r>
          </w:p>
          <w:p w14:paraId="236A81A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电辅热：≥2500</w:t>
            </w:r>
          </w:p>
          <w:p w14:paraId="35A8ECD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功率(W)制冷：≥2350(390~3250)</w:t>
            </w:r>
            <w:r>
              <w:rPr>
                <w:rFonts w:hint="eastAsia" w:ascii="宋体" w:hAnsi="宋体" w:eastAsia="宋体" w:cs="宋体"/>
                <w:sz w:val="21"/>
                <w:szCs w:val="21"/>
                <w:lang w:val="en-US" w:eastAsia="zh-CN"/>
              </w:rPr>
              <w:tab/>
            </w:r>
          </w:p>
          <w:p w14:paraId="69A26F6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制热≥2800</w:t>
            </w:r>
          </w:p>
          <w:p w14:paraId="12B265E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噪音[dB(A)]：室内机(低-高-超强)≤35-44-47</w:t>
            </w:r>
            <w:r>
              <w:rPr>
                <w:rFonts w:hint="eastAsia" w:ascii="宋体" w:hAnsi="宋体" w:eastAsia="宋体" w:cs="宋体"/>
                <w:sz w:val="21"/>
                <w:szCs w:val="21"/>
                <w:lang w:val="en-US" w:eastAsia="zh-CN"/>
              </w:rPr>
              <w:tab/>
            </w:r>
          </w:p>
          <w:p w14:paraId="2BAE0D6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室外机≤56</w:t>
            </w:r>
            <w:r>
              <w:rPr>
                <w:rFonts w:hint="eastAsia" w:ascii="宋体" w:hAnsi="宋体" w:eastAsia="宋体" w:cs="宋体"/>
                <w:sz w:val="21"/>
                <w:szCs w:val="21"/>
                <w:lang w:val="en-US" w:eastAsia="zh-CN"/>
              </w:rPr>
              <w:tab/>
            </w:r>
          </w:p>
          <w:p w14:paraId="0B33BF1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最大输入功率(W)≥6950</w:t>
            </w:r>
            <w:r>
              <w:rPr>
                <w:rFonts w:hint="eastAsia" w:ascii="宋体" w:hAnsi="宋体" w:eastAsia="宋体" w:cs="宋体"/>
                <w:sz w:val="21"/>
                <w:szCs w:val="21"/>
                <w:lang w:val="en-US" w:eastAsia="zh-CN"/>
              </w:rPr>
              <w:tab/>
            </w:r>
          </w:p>
          <w:p w14:paraId="5F57DAE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最大输入电流(A)≥32.0</w:t>
            </w:r>
            <w:r>
              <w:rPr>
                <w:rFonts w:hint="eastAsia" w:ascii="宋体" w:hAnsi="宋体" w:eastAsia="宋体" w:cs="宋体"/>
                <w:sz w:val="21"/>
                <w:szCs w:val="21"/>
                <w:lang w:val="en-US" w:eastAsia="zh-CN"/>
              </w:rPr>
              <w:tab/>
            </w:r>
          </w:p>
          <w:p w14:paraId="536FCE3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循环风量(m/h)：≥1210</w:t>
            </w:r>
          </w:p>
          <w:p w14:paraId="0218852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工作方式：变频</w:t>
            </w:r>
          </w:p>
          <w:p w14:paraId="15F80D0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效能等级：一级</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15C24B5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59D1FA1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67740CE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6A1F33B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nil"/>
              <w:right w:val="single" w:color="000000" w:sz="4" w:space="0"/>
            </w:tcBorders>
            <w:shd w:val="clear" w:color="auto" w:fill="auto"/>
            <w:noWrap/>
            <w:vAlign w:val="center"/>
          </w:tcPr>
          <w:p w14:paraId="2248916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2709053F">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nil"/>
              <w:right w:val="single" w:color="000000" w:sz="4" w:space="0"/>
            </w:tcBorders>
            <w:shd w:val="clear" w:color="auto" w:fill="auto"/>
            <w:noWrap/>
            <w:vAlign w:val="center"/>
          </w:tcPr>
          <w:p w14:paraId="4A96F86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816" w:type="dxa"/>
            <w:tcBorders>
              <w:top w:val="single" w:color="000000" w:sz="4" w:space="0"/>
              <w:left w:val="single" w:color="000000" w:sz="4" w:space="0"/>
              <w:bottom w:val="nil"/>
              <w:right w:val="single" w:color="000000" w:sz="4" w:space="0"/>
            </w:tcBorders>
            <w:shd w:val="clear" w:color="auto" w:fill="auto"/>
            <w:noWrap/>
            <w:vAlign w:val="center"/>
          </w:tcPr>
          <w:p w14:paraId="1CC460B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校门面房思政版面更新</w:t>
            </w:r>
          </w:p>
        </w:tc>
        <w:tc>
          <w:tcPr>
            <w:tcW w:w="4542" w:type="dxa"/>
            <w:gridSpan w:val="2"/>
            <w:tcBorders>
              <w:top w:val="single" w:color="000000" w:sz="4" w:space="0"/>
              <w:left w:val="single" w:color="000000" w:sz="4" w:space="0"/>
              <w:bottom w:val="nil"/>
              <w:right w:val="single" w:color="000000" w:sz="4" w:space="0"/>
            </w:tcBorders>
            <w:shd w:val="clear" w:color="auto" w:fill="auto"/>
            <w:vAlign w:val="center"/>
          </w:tcPr>
          <w:p w14:paraId="34BFD38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旧版面进行更换提升</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3E23BE7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7C4E807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块</w:t>
            </w: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6AA35FF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18A6A2C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nil"/>
              <w:right w:val="single" w:color="000000" w:sz="4" w:space="0"/>
            </w:tcBorders>
            <w:shd w:val="clear" w:color="auto" w:fill="auto"/>
            <w:noWrap/>
            <w:vAlign w:val="center"/>
          </w:tcPr>
          <w:p w14:paraId="29DA646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4710C981">
        <w:tblPrEx>
          <w:tblCellMar>
            <w:top w:w="0" w:type="dxa"/>
            <w:left w:w="108" w:type="dxa"/>
            <w:bottom w:w="0" w:type="dxa"/>
            <w:right w:w="108" w:type="dxa"/>
          </w:tblCellMar>
        </w:tblPrEx>
        <w:trPr>
          <w:trHeight w:val="710" w:hRule="atLeast"/>
        </w:trPr>
        <w:tc>
          <w:tcPr>
            <w:tcW w:w="638" w:type="dxa"/>
            <w:tcBorders>
              <w:top w:val="single" w:color="000000" w:sz="4" w:space="0"/>
              <w:left w:val="single" w:color="000000" w:sz="8" w:space="0"/>
              <w:bottom w:val="nil"/>
              <w:right w:val="single" w:color="000000" w:sz="4" w:space="0"/>
            </w:tcBorders>
            <w:shd w:val="clear" w:color="auto" w:fill="auto"/>
            <w:noWrap/>
            <w:vAlign w:val="top"/>
          </w:tcPr>
          <w:p w14:paraId="35B2D3D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p w14:paraId="2DF2056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7</w:t>
            </w:r>
          </w:p>
        </w:tc>
        <w:tc>
          <w:tcPr>
            <w:tcW w:w="816" w:type="dxa"/>
            <w:tcBorders>
              <w:top w:val="single" w:color="000000" w:sz="4" w:space="0"/>
              <w:left w:val="single" w:color="000000" w:sz="4" w:space="0"/>
              <w:bottom w:val="nil"/>
              <w:right w:val="single" w:color="000000" w:sz="4" w:space="0"/>
            </w:tcBorders>
            <w:shd w:val="clear" w:color="auto" w:fill="auto"/>
            <w:noWrap/>
            <w:vAlign w:val="top"/>
          </w:tcPr>
          <w:p w14:paraId="3E90F22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多功能校园垃圾车</w:t>
            </w:r>
          </w:p>
          <w:p w14:paraId="6A76883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en-US"/>
              </w:rPr>
            </w:pPr>
          </w:p>
        </w:tc>
        <w:tc>
          <w:tcPr>
            <w:tcW w:w="4542" w:type="dxa"/>
            <w:gridSpan w:val="2"/>
            <w:tcBorders>
              <w:top w:val="single" w:color="000000" w:sz="4" w:space="0"/>
              <w:left w:val="single" w:color="000000" w:sz="4" w:space="0"/>
              <w:bottom w:val="nil"/>
              <w:right w:val="single" w:color="000000" w:sz="4" w:space="0"/>
            </w:tcBorders>
            <w:shd w:val="clear" w:color="auto" w:fill="auto"/>
            <w:vAlign w:val="top"/>
          </w:tcPr>
          <w:p w14:paraId="07C85F0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p w14:paraId="1E84423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要求容量要大，可充电。</w:t>
            </w:r>
          </w:p>
        </w:tc>
        <w:tc>
          <w:tcPr>
            <w:tcW w:w="638" w:type="dxa"/>
            <w:tcBorders>
              <w:top w:val="single" w:color="000000" w:sz="4" w:space="0"/>
              <w:left w:val="single" w:color="000000" w:sz="4" w:space="0"/>
              <w:bottom w:val="nil"/>
              <w:right w:val="single" w:color="000000" w:sz="4" w:space="0"/>
            </w:tcBorders>
            <w:shd w:val="clear" w:color="auto" w:fill="auto"/>
            <w:noWrap/>
            <w:vAlign w:val="top"/>
          </w:tcPr>
          <w:p w14:paraId="301F01C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nil"/>
              <w:right w:val="single" w:color="000000" w:sz="4" w:space="0"/>
            </w:tcBorders>
            <w:shd w:val="clear" w:color="auto" w:fill="auto"/>
            <w:noWrap/>
            <w:vAlign w:val="top"/>
          </w:tcPr>
          <w:p w14:paraId="33E2A2A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849" w:type="dxa"/>
            <w:tcBorders>
              <w:top w:val="single" w:color="000000" w:sz="4" w:space="0"/>
              <w:left w:val="single" w:color="000000" w:sz="4" w:space="0"/>
              <w:bottom w:val="nil"/>
              <w:right w:val="single" w:color="000000" w:sz="4" w:space="0"/>
            </w:tcBorders>
            <w:shd w:val="clear" w:color="auto" w:fill="auto"/>
            <w:noWrap/>
            <w:vAlign w:val="top"/>
          </w:tcPr>
          <w:p w14:paraId="63E3BCE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top"/>
          </w:tcPr>
          <w:p w14:paraId="5ABE45A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nil"/>
              <w:right w:val="single" w:color="000000" w:sz="4" w:space="0"/>
            </w:tcBorders>
            <w:shd w:val="clear" w:color="auto" w:fill="auto"/>
            <w:noWrap/>
            <w:vAlign w:val="top"/>
          </w:tcPr>
          <w:p w14:paraId="030C284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5A13B9AC">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nil"/>
              <w:right w:val="single" w:color="000000" w:sz="4" w:space="0"/>
            </w:tcBorders>
            <w:shd w:val="clear" w:color="auto" w:fill="auto"/>
            <w:noWrap/>
            <w:vAlign w:val="top"/>
          </w:tcPr>
          <w:p w14:paraId="7DFA4AB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8</w:t>
            </w:r>
          </w:p>
        </w:tc>
        <w:tc>
          <w:tcPr>
            <w:tcW w:w="816" w:type="dxa"/>
            <w:tcBorders>
              <w:top w:val="single" w:color="000000" w:sz="4" w:space="0"/>
              <w:left w:val="single" w:color="000000" w:sz="4" w:space="0"/>
              <w:bottom w:val="nil"/>
              <w:right w:val="single" w:color="000000" w:sz="4" w:space="0"/>
            </w:tcBorders>
            <w:shd w:val="clear" w:color="auto" w:fill="auto"/>
            <w:noWrap/>
            <w:vAlign w:val="top"/>
          </w:tcPr>
          <w:p w14:paraId="0D8F39D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党建资料室 桌、椅、柜</w:t>
            </w:r>
          </w:p>
        </w:tc>
        <w:tc>
          <w:tcPr>
            <w:tcW w:w="4542" w:type="dxa"/>
            <w:gridSpan w:val="2"/>
            <w:tcBorders>
              <w:top w:val="single" w:color="000000" w:sz="4" w:space="0"/>
              <w:left w:val="single" w:color="000000" w:sz="4" w:space="0"/>
              <w:bottom w:val="nil"/>
              <w:right w:val="single" w:color="000000" w:sz="4" w:space="0"/>
            </w:tcBorders>
            <w:shd w:val="clear" w:color="auto" w:fill="auto"/>
            <w:vAlign w:val="top"/>
          </w:tcPr>
          <w:p w14:paraId="0EE047F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 13 人可围坐一圈的方桌或圆桌， 13 个配套的椅子，2 个文件柜</w:t>
            </w:r>
          </w:p>
        </w:tc>
        <w:tc>
          <w:tcPr>
            <w:tcW w:w="638" w:type="dxa"/>
            <w:tcBorders>
              <w:top w:val="single" w:color="000000" w:sz="4" w:space="0"/>
              <w:left w:val="single" w:color="000000" w:sz="4" w:space="0"/>
              <w:bottom w:val="nil"/>
              <w:right w:val="single" w:color="000000" w:sz="4" w:space="0"/>
            </w:tcBorders>
            <w:shd w:val="clear" w:color="auto" w:fill="auto"/>
            <w:noWrap/>
            <w:vAlign w:val="top"/>
          </w:tcPr>
          <w:p w14:paraId="205D76A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nil"/>
              <w:right w:val="single" w:color="000000" w:sz="4" w:space="0"/>
            </w:tcBorders>
            <w:shd w:val="clear" w:color="auto" w:fill="auto"/>
            <w:noWrap/>
            <w:vAlign w:val="top"/>
          </w:tcPr>
          <w:p w14:paraId="464A24A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49" w:type="dxa"/>
            <w:tcBorders>
              <w:top w:val="single" w:color="000000" w:sz="4" w:space="0"/>
              <w:left w:val="single" w:color="000000" w:sz="4" w:space="0"/>
              <w:bottom w:val="nil"/>
              <w:right w:val="single" w:color="000000" w:sz="4" w:space="0"/>
            </w:tcBorders>
            <w:shd w:val="clear" w:color="auto" w:fill="auto"/>
            <w:noWrap/>
            <w:vAlign w:val="top"/>
          </w:tcPr>
          <w:p w14:paraId="1531BDB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top"/>
          </w:tcPr>
          <w:p w14:paraId="3D88BB9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nil"/>
              <w:right w:val="single" w:color="000000" w:sz="4" w:space="0"/>
            </w:tcBorders>
            <w:shd w:val="clear" w:color="auto" w:fill="auto"/>
            <w:noWrap/>
            <w:vAlign w:val="top"/>
          </w:tcPr>
          <w:p w14:paraId="00A4406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103DCC81">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nil"/>
              <w:right w:val="single" w:color="000000" w:sz="4" w:space="0"/>
            </w:tcBorders>
            <w:shd w:val="clear" w:color="auto" w:fill="auto"/>
            <w:noWrap/>
            <w:vAlign w:val="center"/>
          </w:tcPr>
          <w:p w14:paraId="0D3CA4A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16" w:type="dxa"/>
            <w:tcBorders>
              <w:top w:val="single" w:color="000000" w:sz="4" w:space="0"/>
              <w:left w:val="single" w:color="000000" w:sz="4" w:space="0"/>
              <w:bottom w:val="nil"/>
              <w:right w:val="single" w:color="000000" w:sz="4" w:space="0"/>
            </w:tcBorders>
            <w:shd w:val="clear" w:color="auto" w:fill="auto"/>
            <w:noWrap/>
            <w:vAlign w:val="center"/>
          </w:tcPr>
          <w:p w14:paraId="3218157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542" w:type="dxa"/>
            <w:gridSpan w:val="2"/>
            <w:tcBorders>
              <w:top w:val="single" w:color="000000" w:sz="4" w:space="0"/>
              <w:left w:val="single" w:color="000000" w:sz="4" w:space="0"/>
              <w:bottom w:val="nil"/>
              <w:right w:val="single" w:color="000000" w:sz="4" w:space="0"/>
            </w:tcBorders>
            <w:shd w:val="clear" w:color="auto" w:fill="auto"/>
            <w:vAlign w:val="center"/>
          </w:tcPr>
          <w:p w14:paraId="78A9C61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小计</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485246F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326D490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3B81055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4D3A0B6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nil"/>
              <w:right w:val="single" w:color="000000" w:sz="4" w:space="0"/>
            </w:tcBorders>
            <w:shd w:val="clear" w:color="auto" w:fill="auto"/>
            <w:noWrap/>
            <w:vAlign w:val="center"/>
          </w:tcPr>
          <w:p w14:paraId="6682152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202AEF3C">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8" w:space="0"/>
              <w:right w:val="single" w:color="000000" w:sz="4" w:space="0"/>
            </w:tcBorders>
            <w:shd w:val="clear" w:color="auto" w:fill="auto"/>
            <w:noWrap/>
            <w:vAlign w:val="center"/>
          </w:tcPr>
          <w:p w14:paraId="402331C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634" w:type="dxa"/>
            <w:gridSpan w:val="5"/>
            <w:tcBorders>
              <w:top w:val="single" w:color="000000" w:sz="4" w:space="0"/>
              <w:left w:val="single" w:color="000000" w:sz="4" w:space="0"/>
              <w:bottom w:val="single" w:color="000000" w:sz="8" w:space="0"/>
              <w:right w:val="single" w:color="000000" w:sz="4" w:space="0"/>
            </w:tcBorders>
            <w:shd w:val="clear" w:color="auto" w:fill="auto"/>
            <w:noWrap/>
            <w:vAlign w:val="center"/>
          </w:tcPr>
          <w:p w14:paraId="42EBE01C">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1B0FC89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42A4A9C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1369C7D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bl>
    <w:p w14:paraId="48B6C30B">
      <w:pPr>
        <w:pageBreakBefore w:val="0"/>
        <w:bidi w:val="0"/>
        <w:adjustRightInd w:val="0"/>
        <w:snapToGrid w:val="0"/>
        <w:spacing w:beforeAutospacing="0" w:afterAutospacing="0" w:line="360" w:lineRule="auto"/>
        <w:ind w:left="0" w:leftChars="0" w:right="0"/>
        <w:rPr>
          <w:rFonts w:hint="eastAsia" w:ascii="宋体" w:hAnsi="宋体" w:eastAsia="宋体" w:cs="宋体"/>
          <w:lang w:val="en-US" w:eastAsia="zh-CN"/>
        </w:rPr>
      </w:pPr>
    </w:p>
    <w:p w14:paraId="098B0821">
      <w:pPr>
        <w:pageBreakBefore w:val="0"/>
        <w:bidi w:val="0"/>
        <w:adjustRightInd w:val="0"/>
        <w:snapToGrid w:val="0"/>
        <w:spacing w:beforeAutospacing="0" w:afterAutospacing="0" w:line="360" w:lineRule="auto"/>
        <w:ind w:left="0" w:leftChars="0" w:right="0"/>
        <w:rPr>
          <w:rFonts w:hint="eastAsia" w:ascii="宋体" w:hAnsi="宋体" w:eastAsia="宋体" w:cs="宋体"/>
          <w:lang w:val="en-US" w:eastAsia="zh-CN"/>
        </w:rPr>
      </w:pPr>
    </w:p>
    <w:tbl>
      <w:tblPr>
        <w:tblStyle w:val="21"/>
        <w:tblW w:w="0" w:type="auto"/>
        <w:tblInd w:w="96" w:type="dxa"/>
        <w:tblLayout w:type="autofit"/>
        <w:tblCellMar>
          <w:top w:w="0" w:type="dxa"/>
          <w:left w:w="108" w:type="dxa"/>
          <w:bottom w:w="0" w:type="dxa"/>
          <w:right w:w="108" w:type="dxa"/>
        </w:tblCellMar>
      </w:tblPr>
      <w:tblGrid>
        <w:gridCol w:w="445"/>
        <w:gridCol w:w="964"/>
        <w:gridCol w:w="4580"/>
        <w:gridCol w:w="540"/>
        <w:gridCol w:w="445"/>
        <w:gridCol w:w="886"/>
        <w:gridCol w:w="886"/>
        <w:gridCol w:w="446"/>
      </w:tblGrid>
      <w:tr w14:paraId="6EBB7D6B">
        <w:tblPrEx>
          <w:tblCellMar>
            <w:top w:w="0" w:type="dxa"/>
            <w:left w:w="108" w:type="dxa"/>
            <w:bottom w:w="0" w:type="dxa"/>
            <w:right w:w="108" w:type="dxa"/>
          </w:tblCellMar>
        </w:tblPrEx>
        <w:trPr>
          <w:trHeight w:val="932"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F258F15">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kern w:val="0"/>
                <w:sz w:val="21"/>
                <w:szCs w:val="21"/>
                <w:lang w:bidi="ar"/>
              </w:rPr>
            </w:pPr>
            <w:r>
              <w:rPr>
                <w:rFonts w:hint="eastAsia" w:ascii="宋体" w:hAnsi="宋体" w:eastAsia="宋体" w:cs="宋体"/>
                <w:b/>
                <w:bCs/>
                <w:sz w:val="21"/>
                <w:szCs w:val="21"/>
                <w:lang w:val="en-US" w:eastAsia="zh-CN"/>
              </w:rPr>
              <w:t>三标段采购清单</w:t>
            </w:r>
          </w:p>
        </w:tc>
      </w:tr>
      <w:tr w14:paraId="200BA659">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2C03D6">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6744C9">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F70B71">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E2001B">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0"/>
                <w:sz w:val="21"/>
                <w:szCs w:val="21"/>
                <w:lang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CFAF5A">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B44F70">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lang w:eastAsia="zh-CN"/>
              </w:rPr>
            </w:pPr>
            <w:r>
              <w:rPr>
                <w:rFonts w:hint="eastAsia" w:ascii="宋体" w:hAnsi="宋体" w:eastAsia="宋体" w:cs="宋体"/>
                <w:b/>
                <w:bCs/>
                <w:color w:val="auto"/>
                <w:kern w:val="0"/>
                <w:sz w:val="21"/>
                <w:szCs w:val="21"/>
                <w:lang w:bidi="ar"/>
              </w:rPr>
              <w:t>单价</w:t>
            </w:r>
            <w:r>
              <w:rPr>
                <w:rFonts w:hint="eastAsia" w:ascii="宋体" w:hAnsi="宋体" w:eastAsia="宋体" w:cs="宋体"/>
                <w:b/>
                <w:bCs/>
                <w:color w:val="auto"/>
                <w:kern w:val="0"/>
                <w:sz w:val="21"/>
                <w:szCs w:val="21"/>
                <w:lang w:eastAsia="zh-CN" w:bidi="ar"/>
              </w:rPr>
              <w:t>（</w:t>
            </w:r>
            <w:r>
              <w:rPr>
                <w:rFonts w:hint="eastAsia" w:ascii="宋体" w:hAnsi="宋体" w:eastAsia="宋体" w:cs="宋体"/>
                <w:b/>
                <w:bCs/>
                <w:color w:val="auto"/>
                <w:kern w:val="0"/>
                <w:sz w:val="21"/>
                <w:szCs w:val="21"/>
                <w:lang w:val="en-US" w:eastAsia="zh-CN" w:bidi="ar"/>
              </w:rPr>
              <w:t>元</w:t>
            </w:r>
            <w:r>
              <w:rPr>
                <w:rFonts w:hint="eastAsia" w:ascii="宋体" w:hAnsi="宋体" w:eastAsia="宋体" w:cs="宋体"/>
                <w:b/>
                <w:bCs/>
                <w:color w:val="auto"/>
                <w:kern w:val="0"/>
                <w:sz w:val="21"/>
                <w:szCs w:val="21"/>
                <w:lang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9E7891">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总价（元）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45AE6C">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备注</w:t>
            </w:r>
          </w:p>
        </w:tc>
      </w:tr>
      <w:tr w14:paraId="588A6408">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0F65D2">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A2DFFD">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b w:val="0"/>
                <w:bCs w:val="0"/>
                <w:color w:val="auto"/>
                <w:kern w:val="0"/>
                <w:sz w:val="21"/>
                <w:szCs w:val="21"/>
                <w:lang w:bidi="ar"/>
              </w:rPr>
              <w:t>教学能力大赛</w:t>
            </w:r>
            <w:r>
              <w:rPr>
                <w:rFonts w:hint="eastAsia" w:ascii="宋体" w:hAnsi="宋体" w:eastAsia="宋体" w:cs="宋体"/>
                <w:b w:val="0"/>
                <w:bCs w:val="0"/>
                <w:color w:val="auto"/>
                <w:kern w:val="0"/>
                <w:sz w:val="21"/>
                <w:szCs w:val="21"/>
                <w:lang w:eastAsia="zh-CN" w:bidi="ar"/>
              </w:rPr>
              <w:t>每年</w:t>
            </w:r>
            <w:r>
              <w:rPr>
                <w:rFonts w:hint="eastAsia" w:ascii="宋体" w:hAnsi="宋体" w:eastAsia="宋体" w:cs="宋体"/>
                <w:b w:val="0"/>
                <w:bCs w:val="0"/>
                <w:color w:val="auto"/>
                <w:kern w:val="0"/>
                <w:sz w:val="21"/>
                <w:szCs w:val="21"/>
                <w:lang w:bidi="ar"/>
              </w:rPr>
              <w:t>3个作品的参赛资源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8F9EF3">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color w:val="auto"/>
                <w:kern w:val="0"/>
                <w:sz w:val="21"/>
                <w:szCs w:val="21"/>
                <w:lang w:bidi="ar"/>
              </w:rPr>
              <w:t>提供</w:t>
            </w:r>
            <w:r>
              <w:rPr>
                <w:rFonts w:hint="eastAsia" w:ascii="宋体" w:hAnsi="宋体" w:eastAsia="宋体" w:cs="宋体"/>
                <w:b/>
                <w:bCs/>
                <w:color w:val="auto"/>
                <w:kern w:val="0"/>
                <w:sz w:val="21"/>
                <w:szCs w:val="21"/>
                <w:lang w:bidi="ar"/>
              </w:rPr>
              <w:t>2026年，2027</w:t>
            </w:r>
            <w:r>
              <w:rPr>
                <w:rFonts w:hint="eastAsia" w:ascii="宋体" w:hAnsi="宋体" w:eastAsia="宋体" w:cs="宋体"/>
                <w:b/>
                <w:bCs/>
                <w:color w:val="auto"/>
                <w:kern w:val="0"/>
                <w:sz w:val="21"/>
                <w:szCs w:val="21"/>
                <w:lang w:eastAsia="zh-CN" w:bidi="ar"/>
              </w:rPr>
              <w:t>，</w:t>
            </w:r>
            <w:r>
              <w:rPr>
                <w:rFonts w:hint="eastAsia" w:ascii="宋体" w:hAnsi="宋体" w:eastAsia="宋体" w:cs="宋体"/>
                <w:b/>
                <w:bCs/>
                <w:color w:val="auto"/>
                <w:kern w:val="0"/>
                <w:sz w:val="21"/>
                <w:szCs w:val="21"/>
                <w:lang w:val="en-US" w:eastAsia="zh-CN" w:bidi="ar"/>
              </w:rPr>
              <w:t>2028</w:t>
            </w:r>
            <w:r>
              <w:rPr>
                <w:rFonts w:hint="eastAsia" w:ascii="宋体" w:hAnsi="宋体" w:eastAsia="宋体" w:cs="宋体"/>
                <w:color w:val="auto"/>
                <w:kern w:val="0"/>
                <w:sz w:val="21"/>
                <w:szCs w:val="21"/>
                <w:lang w:bidi="ar"/>
              </w:rPr>
              <w:t>年</w:t>
            </w:r>
            <w:r>
              <w:rPr>
                <w:rFonts w:hint="eastAsia" w:ascii="宋体" w:hAnsi="宋体" w:eastAsia="宋体" w:cs="宋体"/>
                <w:color w:val="auto"/>
                <w:kern w:val="0"/>
                <w:sz w:val="21"/>
                <w:szCs w:val="21"/>
                <w:lang w:eastAsia="zh-CN" w:bidi="ar"/>
              </w:rPr>
              <w:t>三</w:t>
            </w:r>
            <w:r>
              <w:rPr>
                <w:rFonts w:hint="eastAsia" w:ascii="宋体" w:hAnsi="宋体" w:eastAsia="宋体" w:cs="宋体"/>
                <w:color w:val="auto"/>
                <w:kern w:val="0"/>
                <w:sz w:val="21"/>
                <w:szCs w:val="21"/>
                <w:lang w:bidi="ar"/>
              </w:rPr>
              <w:t>年的学校教学能力大赛服务需满足以下要求：</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1.专家指导</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▲指导内容</w:t>
            </w: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eastAsia="zh-CN" w:bidi="ar"/>
              </w:rPr>
              <w:t>①参赛组队分工及线上初评提交全部资料的指导与审核：</w:t>
            </w:r>
            <w:r>
              <w:rPr>
                <w:rFonts w:hint="eastAsia" w:ascii="宋体" w:hAnsi="宋体" w:eastAsia="宋体" w:cs="宋体"/>
                <w:color w:val="auto"/>
                <w:kern w:val="0"/>
                <w:sz w:val="21"/>
                <w:szCs w:val="21"/>
                <w:lang w:eastAsia="zh-CN" w:bidi="ar"/>
              </w:rPr>
              <w:t>对标国赛标准</w:t>
            </w:r>
            <w:r>
              <w:rPr>
                <w:rFonts w:hint="eastAsia" w:ascii="宋体" w:hAnsi="宋体" w:eastAsia="宋体" w:cs="宋体"/>
                <w:color w:val="auto"/>
                <w:kern w:val="0"/>
                <w:sz w:val="21"/>
                <w:szCs w:val="21"/>
                <w:lang w:bidi="ar"/>
              </w:rPr>
              <w:t>对参赛组员分工、给予老师选择教材及参赛内容建议、人才培养方案、课程标准审核网评初稿、思路体系建立（课程推导图）、教学设计（基础课不少于12学时，专业课不少于16学时）、实施报告，线上对网评初稿进行审核。</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②教学设计资源匹配阶段：</w:t>
            </w:r>
            <w:r>
              <w:rPr>
                <w:rFonts w:hint="eastAsia" w:ascii="宋体" w:hAnsi="宋体" w:eastAsia="宋体" w:cs="宋体"/>
                <w:color w:val="auto"/>
                <w:kern w:val="0"/>
                <w:sz w:val="21"/>
                <w:szCs w:val="21"/>
                <w:lang w:bidi="ar"/>
              </w:rPr>
              <w:t>远程沟通学校平台、教学资源准备、给予参赛教师必备教学资源的指导与建议、本专业课程思政元素的提取、视频录制课堂课件设计沟通制作（3-4个）</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③梳理资料提交阶段：</w:t>
            </w:r>
            <w:r>
              <w:rPr>
                <w:rFonts w:hint="eastAsia" w:ascii="宋体" w:hAnsi="宋体" w:eastAsia="宋体" w:cs="宋体"/>
                <w:color w:val="auto"/>
                <w:kern w:val="0"/>
                <w:sz w:val="21"/>
                <w:szCs w:val="21"/>
                <w:lang w:bidi="ar"/>
              </w:rPr>
              <w:t>参赛资料注意事项说明；专家审核参赛文本资料最终稿；</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④根据课程特点</w:t>
            </w:r>
            <w:r>
              <w:rPr>
                <w:rFonts w:hint="eastAsia" w:ascii="宋体" w:hAnsi="宋体" w:eastAsia="宋体" w:cs="宋体"/>
                <w:b/>
                <w:bCs/>
                <w:color w:val="auto"/>
                <w:kern w:val="0"/>
                <w:sz w:val="21"/>
                <w:szCs w:val="21"/>
                <w:lang w:eastAsia="zh-CN" w:bidi="ar"/>
              </w:rPr>
              <w:t>对</w:t>
            </w:r>
            <w:r>
              <w:rPr>
                <w:rFonts w:hint="eastAsia" w:ascii="宋体" w:hAnsi="宋体" w:eastAsia="宋体" w:cs="宋体"/>
                <w:b/>
                <w:bCs/>
                <w:color w:val="auto"/>
                <w:kern w:val="0"/>
                <w:sz w:val="21"/>
                <w:szCs w:val="21"/>
                <w:lang w:bidi="ar"/>
              </w:rPr>
              <w:t>参赛教案、说课课件</w:t>
            </w:r>
            <w:r>
              <w:rPr>
                <w:rFonts w:hint="eastAsia" w:ascii="宋体" w:hAnsi="宋体" w:eastAsia="宋体" w:cs="宋体"/>
                <w:b/>
                <w:bCs/>
                <w:color w:val="auto"/>
                <w:kern w:val="0"/>
                <w:sz w:val="21"/>
                <w:szCs w:val="21"/>
                <w:lang w:eastAsia="zh-CN" w:bidi="ar"/>
              </w:rPr>
              <w:t>进行</w:t>
            </w:r>
            <w:r>
              <w:rPr>
                <w:rFonts w:hint="eastAsia" w:ascii="宋体" w:hAnsi="宋体" w:eastAsia="宋体" w:cs="宋体"/>
                <w:b/>
                <w:bCs/>
                <w:color w:val="auto"/>
                <w:kern w:val="0"/>
                <w:sz w:val="21"/>
                <w:szCs w:val="21"/>
                <w:lang w:bidi="ar"/>
              </w:rPr>
              <w:t>设计制作</w:t>
            </w:r>
            <w:r>
              <w:rPr>
                <w:rFonts w:hint="eastAsia" w:ascii="宋体" w:hAnsi="宋体" w:eastAsia="宋体" w:cs="宋体"/>
                <w:b/>
                <w:bCs/>
                <w:color w:val="auto"/>
                <w:kern w:val="0"/>
                <w:sz w:val="21"/>
                <w:szCs w:val="21"/>
                <w:lang w:eastAsia="zh-CN" w:bidi="ar"/>
              </w:rPr>
              <w:t>提升</w:t>
            </w:r>
            <w:r>
              <w:rPr>
                <w:rFonts w:hint="eastAsia" w:ascii="宋体" w:hAnsi="宋体" w:eastAsia="宋体" w:cs="宋体"/>
                <w:b/>
                <w:bCs/>
                <w:color w:val="auto"/>
                <w:kern w:val="0"/>
                <w:sz w:val="21"/>
                <w:szCs w:val="21"/>
                <w:lang w:bidi="ar"/>
              </w:rPr>
              <w:t>（共12/16学时）</w:t>
            </w:r>
            <w:r>
              <w:rPr>
                <w:rFonts w:hint="eastAsia" w:ascii="宋体" w:hAnsi="宋体" w:eastAsia="宋体" w:cs="宋体"/>
                <w:b/>
                <w:bCs/>
                <w:color w:val="auto"/>
                <w:kern w:val="0"/>
                <w:sz w:val="21"/>
                <w:szCs w:val="21"/>
                <w:lang w:eastAsia="zh-CN" w:bidi="ar"/>
              </w:rPr>
              <w:t>；</w:t>
            </w:r>
          </w:p>
          <w:p w14:paraId="43D9D9FD">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eastAsia="zh-CN" w:bidi="ar"/>
              </w:rPr>
              <w:fldChar w:fldCharType="begin"/>
            </w:r>
            <w:r>
              <w:rPr>
                <w:rFonts w:hint="eastAsia" w:ascii="宋体" w:hAnsi="宋体" w:eastAsia="宋体" w:cs="宋体"/>
                <w:b/>
                <w:bCs/>
                <w:color w:val="auto"/>
                <w:kern w:val="0"/>
                <w:sz w:val="21"/>
                <w:szCs w:val="21"/>
                <w:lang w:eastAsia="zh-CN" w:bidi="ar"/>
              </w:rPr>
              <w:instrText xml:space="preserve"> = 5 \* GB3 \* MERGEFORMAT </w:instrText>
            </w:r>
            <w:r>
              <w:rPr>
                <w:rFonts w:hint="eastAsia" w:ascii="宋体" w:hAnsi="宋体" w:eastAsia="宋体" w:cs="宋体"/>
                <w:b/>
                <w:bCs/>
                <w:color w:val="auto"/>
                <w:kern w:val="0"/>
                <w:sz w:val="21"/>
                <w:szCs w:val="21"/>
                <w:lang w:eastAsia="zh-CN" w:bidi="ar"/>
              </w:rPr>
              <w:fldChar w:fldCharType="separate"/>
            </w:r>
            <w:r>
              <w:rPr>
                <w:rFonts w:hint="eastAsia" w:ascii="宋体" w:hAnsi="宋体" w:eastAsia="宋体" w:cs="宋体"/>
                <w:b/>
                <w:bCs/>
                <w:color w:val="auto"/>
                <w:kern w:val="0"/>
                <w:sz w:val="21"/>
                <w:szCs w:val="21"/>
                <w:lang w:eastAsia="zh-CN" w:bidi="ar"/>
              </w:rPr>
              <w:t>⑤</w:t>
            </w:r>
            <w:r>
              <w:rPr>
                <w:rFonts w:hint="eastAsia" w:ascii="宋体" w:hAnsi="宋体" w:eastAsia="宋体" w:cs="宋体"/>
                <w:b/>
                <w:bCs/>
                <w:color w:val="auto"/>
                <w:kern w:val="0"/>
                <w:sz w:val="21"/>
                <w:szCs w:val="21"/>
                <w:lang w:eastAsia="zh-CN" w:bidi="ar"/>
              </w:rPr>
              <w:fldChar w:fldCharType="end"/>
            </w:r>
            <w:r>
              <w:rPr>
                <w:rFonts w:hint="eastAsia" w:ascii="宋体" w:hAnsi="宋体" w:eastAsia="宋体" w:cs="宋体"/>
                <w:b/>
                <w:bCs/>
                <w:color w:val="auto"/>
                <w:kern w:val="0"/>
                <w:sz w:val="21"/>
                <w:szCs w:val="21"/>
                <w:lang w:eastAsia="zh-CN" w:bidi="ar"/>
              </w:rPr>
              <w:t>参赛队进入决赛：</w:t>
            </w:r>
            <w:r>
              <w:rPr>
                <w:rFonts w:hint="eastAsia" w:ascii="宋体" w:hAnsi="宋体" w:eastAsia="宋体" w:cs="宋体"/>
                <w:b w:val="0"/>
                <w:bCs w:val="0"/>
                <w:color w:val="auto"/>
                <w:kern w:val="0"/>
                <w:sz w:val="21"/>
                <w:szCs w:val="21"/>
                <w:lang w:eastAsia="zh-CN" w:bidi="ar"/>
              </w:rPr>
              <w:t>对教师进行展示实施阶段的指导：一是教学实施报告的说课课件制作和讲解辅导；二是展示答辩环节备赛资料准备和现场答辩指导。</w:t>
            </w:r>
          </w:p>
          <w:p w14:paraId="145D1658">
            <w:pPr>
              <w:pageBreakBefore w:val="0"/>
              <w:widowControl/>
              <w:bidi w:val="0"/>
              <w:adjustRightInd w:val="0"/>
              <w:snapToGrid w:val="0"/>
              <w:spacing w:beforeAutospacing="0" w:afterAutospacing="0" w:line="360" w:lineRule="auto"/>
              <w:ind w:left="0" w:leftChars="0" w:right="0" w:firstLine="0" w:firstLineChars="0"/>
              <w:jc w:val="left"/>
              <w:textAlignment w:val="center"/>
              <w:rPr>
                <w:rFonts w:hint="eastAsia" w:ascii="宋体" w:hAnsi="宋体" w:eastAsia="宋体" w:cs="宋体"/>
                <w:color w:val="auto"/>
                <w:kern w:val="0"/>
                <w:sz w:val="21"/>
                <w:szCs w:val="21"/>
                <w:lang w:bidi="ar"/>
              </w:rPr>
            </w:pPr>
            <w:r>
              <w:rPr>
                <w:rFonts w:hint="eastAsia" w:ascii="宋体" w:hAnsi="宋体" w:eastAsia="宋体" w:cs="宋体"/>
                <w:b/>
                <w:bCs/>
                <w:color w:val="auto"/>
                <w:kern w:val="0"/>
                <w:sz w:val="21"/>
                <w:szCs w:val="21"/>
                <w:lang w:bidi="ar"/>
              </w:rPr>
              <w:t>▲指导形式：</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①线上指导</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线上指导贯穿项目全程，指导中的案例解析与参考，指导后的答疑和作品评审和修改;指导全程由专家对团队和作品进行全方位指导和完善，包括教案和实施报告的整体提升。</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②入校现场指导</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入校现场指导参赛贯穿全程，包含是专家入校进行大赛优秀作品案例解析与参考，教案、教学设计、教学实施报告</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课程标准等文档资料解析，对团队成员水平和优略势进行分析座谈提升指导，每次辅导循序渐进，指导和打磨每个作品。</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③专家一对一指导:</w:t>
            </w:r>
            <w:r>
              <w:rPr>
                <w:rFonts w:hint="eastAsia" w:ascii="宋体" w:hAnsi="宋体" w:eastAsia="宋体" w:cs="宋体"/>
                <w:color w:val="auto"/>
                <w:kern w:val="0"/>
                <w:sz w:val="21"/>
                <w:szCs w:val="21"/>
                <w:lang w:bidi="ar"/>
              </w:rPr>
              <w:t>进行每个作品的初次指导，优化，解决基本框架问题，修改后对每个作品进一步完善，专家对老师的整体教案、教学实施报告、课程标准和人才培养方案定稿进一步指导提升，进行一对一指导和打磨。</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指导专家团队要求有国赛</w:t>
            </w:r>
            <w:r>
              <w:rPr>
                <w:rFonts w:hint="eastAsia" w:ascii="宋体" w:hAnsi="宋体" w:eastAsia="宋体" w:cs="宋体"/>
                <w:color w:val="auto"/>
                <w:kern w:val="0"/>
                <w:sz w:val="21"/>
                <w:szCs w:val="21"/>
                <w:lang w:eastAsia="zh-CN" w:bidi="ar"/>
              </w:rPr>
              <w:t>一等奖</w:t>
            </w:r>
            <w:r>
              <w:rPr>
                <w:rFonts w:hint="eastAsia" w:ascii="宋体" w:hAnsi="宋体" w:eastAsia="宋体" w:cs="宋体"/>
                <w:color w:val="auto"/>
                <w:kern w:val="0"/>
                <w:sz w:val="21"/>
                <w:szCs w:val="21"/>
                <w:lang w:bidi="ar"/>
              </w:rPr>
              <w:t>获奖经验</w:t>
            </w:r>
            <w:r>
              <w:rPr>
                <w:rFonts w:hint="eastAsia" w:ascii="宋体" w:hAnsi="宋体" w:eastAsia="宋体" w:cs="宋体"/>
                <w:color w:val="auto"/>
                <w:kern w:val="0"/>
                <w:sz w:val="21"/>
                <w:szCs w:val="21"/>
                <w:lang w:eastAsia="zh-CN" w:bidi="ar"/>
              </w:rPr>
              <w:t>的专家</w:t>
            </w:r>
            <w:r>
              <w:rPr>
                <w:rFonts w:hint="eastAsia" w:ascii="宋体" w:hAnsi="宋体" w:eastAsia="宋体" w:cs="宋体"/>
                <w:color w:val="auto"/>
                <w:kern w:val="0"/>
                <w:sz w:val="21"/>
                <w:szCs w:val="21"/>
                <w:lang w:bidi="ar"/>
              </w:rPr>
              <w:t>、大赛评委经验</w:t>
            </w:r>
            <w:r>
              <w:rPr>
                <w:rFonts w:hint="eastAsia" w:ascii="宋体" w:hAnsi="宋体" w:eastAsia="宋体" w:cs="宋体"/>
                <w:b w:val="0"/>
                <w:bCs w:val="0"/>
                <w:color w:val="auto"/>
                <w:kern w:val="0"/>
                <w:sz w:val="21"/>
                <w:szCs w:val="21"/>
                <w:lang w:eastAsia="zh-CN" w:bidi="ar"/>
              </w:rPr>
              <w:t>和</w:t>
            </w:r>
            <w:r>
              <w:rPr>
                <w:rFonts w:hint="eastAsia" w:ascii="宋体" w:hAnsi="宋体" w:eastAsia="宋体" w:cs="宋体"/>
                <w:color w:val="auto"/>
                <w:kern w:val="0"/>
                <w:sz w:val="21"/>
                <w:szCs w:val="21"/>
                <w:lang w:bidi="ar"/>
              </w:rPr>
              <w:t>其他同级别专家组成，能够根据《2024年全国职业院校教师教学能力大赛方案》提出建设性、针对性指导意见。</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2.视频拍摄服务（满足当年省赛文件的视频拍摄要求）</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 xml:space="preserve">    </w:t>
            </w:r>
            <w:r>
              <w:rPr>
                <w:rFonts w:hint="eastAsia" w:ascii="宋体" w:hAnsi="宋体" w:eastAsia="宋体" w:cs="宋体"/>
                <w:color w:val="auto"/>
                <w:kern w:val="0"/>
                <w:sz w:val="21"/>
                <w:szCs w:val="21"/>
                <w:lang w:bidi="ar"/>
              </w:rPr>
              <w:t>教学团队按照教学设计实施课堂教学（或专周实习实训、岗位实习教学），每人录制 1 学时（具体时长与教案中的学时安排保持一致）的课堂教学视频。课堂教学应在实际教学场所，班级全体学生参加（实施分班教学需有说明）。课堂教学视频应呈现课程属性特质、反映团队成员教学风格。专业课程二组至少有 2个视频呈现教师实操演示与教学指导。</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若作品进入决赛阶段，需根据决赛要求，提供课堂教学视频录制</w:t>
            </w:r>
            <w:r>
              <w:rPr>
                <w:rFonts w:hint="eastAsia" w:ascii="宋体" w:hAnsi="宋体" w:eastAsia="宋体" w:cs="宋体"/>
                <w:color w:val="auto"/>
                <w:kern w:val="0"/>
                <w:sz w:val="21"/>
                <w:szCs w:val="21"/>
                <w:lang w:eastAsia="zh-CN" w:bidi="ar"/>
              </w:rPr>
              <w:t>服务</w:t>
            </w:r>
            <w:r>
              <w:rPr>
                <w:rFonts w:hint="eastAsia" w:ascii="宋体" w:hAnsi="宋体" w:eastAsia="宋体" w:cs="宋体"/>
                <w:color w:val="auto"/>
                <w:kern w:val="0"/>
                <w:sz w:val="21"/>
                <w:szCs w:val="21"/>
                <w:lang w:bidi="ar"/>
              </w:rPr>
              <w:t>，（合计时长 12-16 分钟）以及转码上传。</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 xml:space="preserve">    </w:t>
            </w:r>
            <w:r>
              <w:rPr>
                <w:rFonts w:hint="eastAsia" w:ascii="宋体" w:hAnsi="宋体" w:eastAsia="宋体" w:cs="宋体"/>
                <w:b w:val="0"/>
                <w:bCs w:val="0"/>
                <w:color w:val="auto"/>
                <w:kern w:val="0"/>
                <w:sz w:val="21"/>
                <w:szCs w:val="21"/>
                <w:lang w:eastAsia="zh-CN" w:bidi="ar"/>
              </w:rPr>
              <w:t>课堂实录视频需完全符合当年竞赛视频文件要求，</w:t>
            </w:r>
            <w:r>
              <w:rPr>
                <w:rFonts w:hint="eastAsia" w:ascii="宋体" w:hAnsi="宋体" w:eastAsia="宋体" w:cs="宋体"/>
                <w:color w:val="auto"/>
                <w:kern w:val="0"/>
                <w:sz w:val="21"/>
                <w:szCs w:val="21"/>
                <w:lang w:bidi="ar"/>
              </w:rPr>
              <w:t>须采用 3 机位全程连续录制，镜头固定，其中一个机位对准黑板和屏幕，另两个机位根据教学实际固定镜头位置，须覆盖教室全景（1 学时教学需要两个教学场所的，每个教学场所均须安放固定镜头，机位总数为 3 个）。3 机位须同步录制，保证音视频准确同步。录课过程中拍摄及其他人员不在场，提交的视频从拍摄人员离场开始到拍摄人员停机为止（1 学时之外的录制时长不超过 2 分钟）。所有机位拍摄的视频须保证音轨连续，不另行剪辑及配音，不加片头片尾、字幕注解。视频采用MP4 格式封装，单个视频文件大小不超过 500M。每段视频文件以“教案序号+第几学时+教案页码+教学环节名称”来命名（其中教案页码以教案 PDF 文件顶部显示的页码为准），含教师实操演示与教学指导的视频文件以“教案序号+第几学时+教案页码+教学环节名称+实操起始时间 n'm" -实操结束时间 n'm" ”来命名（实操起止时间可以多段，用“+”连接）。</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 xml:space="preserve">    </w:t>
            </w:r>
            <w:r>
              <w:rPr>
                <w:rFonts w:hint="eastAsia" w:ascii="宋体" w:hAnsi="宋体" w:eastAsia="宋体" w:cs="宋体"/>
                <w:color w:val="auto"/>
                <w:kern w:val="0"/>
                <w:sz w:val="21"/>
                <w:szCs w:val="21"/>
                <w:lang w:bidi="ar"/>
              </w:rPr>
              <w:t>视频录制采用 H.264/AVC 编码格式压缩，动态比特率（码流）不低于 1024Kbps，分辨率设定为 1280*720，采用逐行扫描，帧速率为 25 帧/秒。音频采用 AAC 格式压缩，采样率 48KHz，比特率（码流）128Kbps(恒定)。在拍摄时应针对实际情况选择适当的拍摄方式与技术人员统筹策划，与参赛团队应保持信息畅通确保成片中的多媒体演示及板书完整、清晰，符合大赛要求。</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 xml:space="preserve">    </w:t>
            </w:r>
            <w:r>
              <w:rPr>
                <w:rFonts w:hint="eastAsia" w:ascii="宋体" w:hAnsi="宋体" w:eastAsia="宋体" w:cs="宋体"/>
                <w:color w:val="auto"/>
                <w:kern w:val="0"/>
                <w:sz w:val="21"/>
                <w:szCs w:val="21"/>
                <w:lang w:bidi="ar"/>
              </w:rPr>
              <w:t>使用专业的非线性编辑系统对源音视频进行最基本的处理(如抠像、颜色校正、双声道处理)。专业的视频编辑系统进行视频降噪、音频降噪，以保证满足文件中对视频画面的严格要求。</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3.作品美化</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对参赛作品提供PPT美化技术服务，并配备至少一位项目经理进行全程落实和协调。</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教案：</w:t>
            </w:r>
            <w:r>
              <w:rPr>
                <w:rFonts w:hint="eastAsia" w:ascii="宋体" w:hAnsi="宋体" w:eastAsia="宋体" w:cs="宋体"/>
                <w:color w:val="auto"/>
                <w:kern w:val="0"/>
                <w:sz w:val="21"/>
                <w:szCs w:val="21"/>
                <w:lang w:bidi="ar"/>
              </w:rPr>
              <w:t>教学团队根据提交的专业人才培养方案和课程标准（或部颁课程标准实施方案），选取该课程在一个学期中符合规定的教学内容，撰写实际使用的教案。教案应包括授课信息、内容分析、学情分析、教学目标、教学策略、教学活动安排、课后反思等教学基本要素，要求设计合理、重点突出、前后衔接、规范完整、详略得当（其中课中教学活动安排占主要篇幅），体现具体的教学内容、活动及时间分配，能够有效指导教学实施，课后对授课实效、改革创新、存在不足及改进设想进行客观深入反思。原则上每份教案的教学时长不超过 2 学时，专周实习实训、岗位实习，以及有场地设备特殊要求的实训教学内容可连续安排 3-4 学时。专周实习实训、岗位实习的教案应符合真实项目、岗位实践教学实际。</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教学实施报告：</w:t>
            </w:r>
            <w:r>
              <w:rPr>
                <w:rFonts w:hint="eastAsia" w:ascii="宋体" w:hAnsi="宋体" w:eastAsia="宋体" w:cs="宋体"/>
                <w:color w:val="auto"/>
                <w:kern w:val="0"/>
                <w:sz w:val="21"/>
                <w:szCs w:val="21"/>
                <w:lang w:bidi="ar"/>
              </w:rPr>
              <w:t>教学团队针对本课程教学实践中的问题开展研究和实践，完成教学设计、实施课堂教学，撰写 1 份教学实施报告。报告应总结参赛内容的教学整体设计、教学实施过程、学生学习效果、反思改进措施等方面情况，突出重点和特色，体现创新举措和具体成效，可用图表加以佐证。</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专业人才培养方案：</w:t>
            </w:r>
            <w:r>
              <w:rPr>
                <w:rFonts w:hint="eastAsia" w:ascii="宋体" w:hAnsi="宋体" w:eastAsia="宋体" w:cs="宋体"/>
                <w:color w:val="auto"/>
                <w:kern w:val="0"/>
                <w:sz w:val="21"/>
                <w:szCs w:val="21"/>
                <w:lang w:bidi="ar"/>
              </w:rPr>
              <w:t>教学团队提交学校及时修订和实际使用的专业人才培养方案。专业人才培养方案应按照《教育部关于职业院校专业人才培养方案制订与实施工作的指导意见》（教职成〔2019〕13 号）《关于组织做好职业院校专业人才培养方案制订与实施工作的通知》（教职成司函〔2019〕61 号）《教育部关于印发〈职业教育专业目录（2021 年）〉的通知》（教职成〔2021〕2 号）和《职业教育专业简介（2022 年修订）》有关要求制定或修订。公共基础课程组只需提交授课班级所在专业的人才培养方案；跨校组建的教学团队，只需提交团队负责人所在学校的专业人才培养方案。</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课程标准：</w:t>
            </w:r>
            <w:r>
              <w:rPr>
                <w:rFonts w:hint="eastAsia" w:ascii="宋体" w:hAnsi="宋体" w:eastAsia="宋体" w:cs="宋体"/>
                <w:color w:val="auto"/>
                <w:kern w:val="0"/>
                <w:sz w:val="21"/>
                <w:szCs w:val="21"/>
                <w:lang w:bidi="ar"/>
              </w:rPr>
              <w:t>教学团队提交参赛班级教学实际使用的课程标准。课程标准应落实职业教育国家教学标准，依据专业人才培养方案的相关要求科学规范制定，明确课程性质与任务、课程目标与要求、课程结构与内容、学生考核与评价、教学实施与保障、授课进程与安排等。公共基础课应执行教育部 2020 年、2021 年印发的相应课程标准，参赛团队须提交执行部颁课程标准的实施方案，对课标中未覆盖的部分（如基础模块的职场情境任务、拓展模块的具体内容、各模块的授课进程安排等）予以重点说明。在提交的课程标准（或实施方案）中，应另附参赛班级授课计划表（注明授课日期、学时）。</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val="en-US" w:eastAsia="zh-CN" w:bidi="ar"/>
              </w:rPr>
              <w:t xml:space="preserve"> </w:t>
            </w:r>
            <w:r>
              <w:rPr>
                <w:rFonts w:hint="eastAsia" w:ascii="宋体" w:hAnsi="宋体" w:eastAsia="宋体" w:cs="宋体"/>
                <w:color w:val="auto"/>
                <w:kern w:val="0"/>
                <w:sz w:val="21"/>
                <w:szCs w:val="21"/>
                <w:lang w:bidi="ar"/>
              </w:rPr>
              <w:t>学校应落实《职业院校教材管理办法》以及国家和地方关于教材管理的政策规定，健全内部管理制度，选好用好教材。教学团队提交的参赛课程教材选用说明须包括（但不限于）：本校教材选用组织机构及职责；本校教材选用程序及要求；本课程教材选用过程；本课程教学选用教材结果公示及备案情况；本课程教材使用及核查情况（遵照选用结果使用教材情况）。要求提供课堂实录PPT模板；PPT模版包含首页、目录页、过渡页、内容页、尾页共5个页面；PPT模板符合专业特色，设计美观大方。</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4.学习平台支持</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 xml:space="preserve">   </w:t>
            </w:r>
            <w:r>
              <w:rPr>
                <w:rFonts w:hint="eastAsia" w:ascii="宋体" w:hAnsi="宋体" w:eastAsia="宋体" w:cs="宋体"/>
                <w:color w:val="auto"/>
                <w:kern w:val="0"/>
                <w:sz w:val="21"/>
                <w:szCs w:val="21"/>
                <w:lang w:bidi="ar"/>
              </w:rPr>
              <w:t>针对参赛作品组提供专门在线学习平台并提供教师备赛资源，教师备赛资源需要包含视频、文档等资源，该类教学资源需要支持教师在课程设计、备赛等过程中，随时可以学习、查询，全面辅助教师备赛。专门配备一名项目经理，全程跟踪对接相关工作，推荐学习资源；跟参赛团队老师沟通准备材料、协助老师进行作品设计美化，拍摄环境的选择、是否按专家要求进行拍摄等，协调并督促参赛团队进行文档整理及提交工作。</w:t>
            </w:r>
          </w:p>
          <w:p w14:paraId="7D4E91E4">
            <w:pPr>
              <w:pageBreakBefore w:val="0"/>
              <w:widowControl/>
              <w:numPr>
                <w:ilvl w:val="0"/>
                <w:numId w:val="3"/>
              </w:numPr>
              <w:bidi w:val="0"/>
              <w:adjustRightInd w:val="0"/>
              <w:snapToGrid w:val="0"/>
              <w:spacing w:beforeAutospacing="0" w:afterAutospacing="0" w:line="360" w:lineRule="auto"/>
              <w:ind w:left="0" w:leftChars="0" w:right="0"/>
              <w:jc w:val="left"/>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服务时间保证：</w:t>
            </w:r>
          </w:p>
          <w:p w14:paraId="35CF5983">
            <w:pPr>
              <w:pageBreakBefore w:val="0"/>
              <w:widowControl/>
              <w:numPr>
                <w:ilvl w:val="0"/>
                <w:numId w:val="0"/>
              </w:numPr>
              <w:bidi w:val="0"/>
              <w:adjustRightInd w:val="0"/>
              <w:snapToGrid w:val="0"/>
              <w:spacing w:beforeAutospacing="0" w:afterAutospacing="0" w:line="360" w:lineRule="auto"/>
              <w:ind w:left="0" w:leftChars="0" w:right="0" w:firstLine="420" w:firstLineChars="200"/>
              <w:jc w:val="left"/>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每年制定相应的工作进度表，明确线上线下指导时间，经双方审核同意后开展工作，总服务时间每个项目不少于40课时（不包含视频录制时间，每天按8课时计算，线下辅导时间不低于16学时）</w:t>
            </w:r>
          </w:p>
          <w:p w14:paraId="57EB69C9">
            <w:pPr>
              <w:pageBreakBefore w:val="0"/>
              <w:widowControl/>
              <w:numPr>
                <w:ilvl w:val="0"/>
                <w:numId w:val="3"/>
              </w:numPr>
              <w:bidi w:val="0"/>
              <w:adjustRightInd w:val="0"/>
              <w:snapToGrid w:val="0"/>
              <w:spacing w:beforeAutospacing="0" w:afterAutospacing="0" w:line="360" w:lineRule="auto"/>
              <w:ind w:left="0" w:leftChars="0" w:right="0" w:firstLine="0" w:firstLineChars="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成绩要求：</w:t>
            </w:r>
          </w:p>
          <w:p w14:paraId="72D07201">
            <w:pPr>
              <w:pageBreakBefore w:val="0"/>
              <w:widowControl/>
              <w:numPr>
                <w:ilvl w:val="0"/>
                <w:numId w:val="0"/>
              </w:numPr>
              <w:bidi w:val="0"/>
              <w:adjustRightInd w:val="0"/>
              <w:snapToGrid w:val="0"/>
              <w:spacing w:beforeAutospacing="0" w:afterAutospacing="0" w:line="360" w:lineRule="auto"/>
              <w:ind w:left="0" w:leftChars="0" w:right="0" w:firstLine="420" w:firstLineChars="20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b w:val="0"/>
                <w:bCs w:val="0"/>
                <w:color w:val="auto"/>
                <w:kern w:val="0"/>
                <w:sz w:val="21"/>
                <w:szCs w:val="21"/>
                <w:lang w:bidi="ar"/>
              </w:rPr>
              <w:t>辅导团队当年须获得省级大赛</w:t>
            </w:r>
            <w:r>
              <w:rPr>
                <w:rFonts w:hint="eastAsia" w:ascii="宋体" w:hAnsi="宋体" w:eastAsia="宋体" w:cs="宋体"/>
                <w:b w:val="0"/>
                <w:bCs w:val="0"/>
                <w:color w:val="auto"/>
                <w:kern w:val="0"/>
                <w:sz w:val="21"/>
                <w:szCs w:val="21"/>
                <w:lang w:eastAsia="zh-CN" w:bidi="ar"/>
              </w:rPr>
              <w:t>三</w:t>
            </w:r>
            <w:r>
              <w:rPr>
                <w:rFonts w:hint="eastAsia" w:ascii="宋体" w:hAnsi="宋体" w:eastAsia="宋体" w:cs="宋体"/>
                <w:b w:val="0"/>
                <w:bCs w:val="0"/>
                <w:color w:val="auto"/>
                <w:kern w:val="0"/>
                <w:sz w:val="21"/>
                <w:szCs w:val="21"/>
                <w:lang w:bidi="ar"/>
              </w:rPr>
              <w:t>等奖及以上，第二年获得二等奖项及以上，第三年获得一等奖及以上。三年内至少有一次进入国家级比赛。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0B519F">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03B880">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DD53E">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19BEE2">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654105">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r>
      <w:tr w14:paraId="7369F2B0">
        <w:tblPrEx>
          <w:tblCellMar>
            <w:top w:w="0" w:type="dxa"/>
            <w:left w:w="108" w:type="dxa"/>
            <w:bottom w:w="0" w:type="dxa"/>
            <w:right w:w="108" w:type="dxa"/>
          </w:tblCellMar>
        </w:tblPrEx>
        <w:trPr>
          <w:trHeight w:val="18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1C16AE">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8F321D">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b w:val="0"/>
                <w:bCs w:val="0"/>
                <w:color w:val="auto"/>
                <w:kern w:val="0"/>
                <w:sz w:val="21"/>
                <w:szCs w:val="21"/>
                <w:lang w:bidi="ar"/>
              </w:rPr>
              <w:t>班主任能力大赛</w:t>
            </w:r>
            <w:r>
              <w:rPr>
                <w:rFonts w:hint="eastAsia" w:ascii="宋体" w:hAnsi="宋体" w:eastAsia="宋体" w:cs="宋体"/>
                <w:b w:val="0"/>
                <w:bCs w:val="0"/>
                <w:color w:val="auto"/>
                <w:kern w:val="0"/>
                <w:sz w:val="21"/>
                <w:szCs w:val="21"/>
                <w:lang w:eastAsia="zh-CN" w:bidi="ar"/>
              </w:rPr>
              <w:t>每年</w:t>
            </w:r>
            <w:r>
              <w:rPr>
                <w:rFonts w:hint="eastAsia" w:ascii="宋体" w:hAnsi="宋体" w:eastAsia="宋体" w:cs="宋体"/>
                <w:b w:val="0"/>
                <w:bCs w:val="0"/>
                <w:color w:val="auto"/>
                <w:kern w:val="0"/>
                <w:sz w:val="21"/>
                <w:szCs w:val="21"/>
                <w:lang w:bidi="ar"/>
              </w:rPr>
              <w:t>2个参赛作品的参赛资源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977112">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提供2025年，2026年，2027年三年的学校班主任能力大赛服务需满足以下要求：</w:t>
            </w:r>
          </w:p>
          <w:p w14:paraId="4C0449A9">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1.专家指导服务</w:t>
            </w:r>
          </w:p>
          <w:p w14:paraId="1E4DCCFB">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eastAsia="zh-CN" w:bidi="ar"/>
              </w:rPr>
              <w:t>①专家团队组成：指导专家团队要求有国赛获奖经验的专家或大赛评委经验和其他同级别专家组成，能够根据当年的全国职业院校技能大赛中等职业学校班主任工作室比赛方案提出建设性、针对性指导意见。</w:t>
            </w:r>
          </w:p>
          <w:p w14:paraId="5B41137E">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eastAsia="宋体" w:cs="宋体"/>
                <w:b w:val="0"/>
                <w:bCs w:val="0"/>
                <w:color w:val="auto"/>
                <w:kern w:val="0"/>
                <w:sz w:val="21"/>
                <w:szCs w:val="21"/>
                <w:lang w:eastAsia="zh-CN" w:bidi="ar"/>
              </w:rPr>
              <w:t>②指导内容：</w:t>
            </w:r>
          </w:p>
          <w:p w14:paraId="49FE3982">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b/>
                <w:bCs/>
                <w:color w:val="auto"/>
                <w:kern w:val="0"/>
                <w:sz w:val="21"/>
                <w:szCs w:val="21"/>
                <w:lang w:eastAsia="zh-CN" w:bidi="ar"/>
              </w:rPr>
              <w:t>▲初赛</w:t>
            </w:r>
            <w:r>
              <w:rPr>
                <w:rFonts w:hint="eastAsia" w:ascii="宋体" w:hAnsi="宋体" w:eastAsia="宋体" w:cs="宋体"/>
                <w:b w:val="0"/>
                <w:bCs w:val="0"/>
                <w:color w:val="auto"/>
                <w:kern w:val="0"/>
                <w:sz w:val="21"/>
                <w:szCs w:val="21"/>
                <w:lang w:eastAsia="zh-CN" w:bidi="ar"/>
              </w:rPr>
              <w:t>（班级建设方案、班级建设计划、管理育人案例、班级活动方案、实录视频、专业人才培养方案等）、▲复赛（班级建设情况、班级活动方案和模拟情景处置方案、以及答辩的指导）各项竞赛申报资料的指导与审核，具体包括以下内容：</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▲比赛方案解读</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针对全国职业院校技能大赛中等职业学校班主任工作室比赛方案及发展趋势进行解读，助力班主任尽快熟悉比赛内容，掌握参赛技巧。</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▲能力培养</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详细讲解参赛材料的相关要求及注意事项，参赛材料包含：班主任工作室建设方案、班主任工作室建设情况视频、班主任工作室成员业务能力材料（班级建设方案、典型工作案例、主题班会实录视频及班会方案，另附本班实际使用的专业人才培养方案）；</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引导班主任全面分析工作室建设情况，结合区域、学校、工作室文化提炼教学特色成果，提升其科学制定工作室建设方案的能力；</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引导班主任选择具有可推广性、典型性的教育案例作为素材，详细讲解撰写工作典型案例的要求及技巧，提升其科学制定教育对策，撰写工作典型</w:t>
            </w:r>
            <w:r>
              <w:rPr>
                <w:rFonts w:hint="eastAsia" w:ascii="宋体" w:hAnsi="宋体" w:eastAsia="宋体" w:cs="宋体"/>
                <w:color w:val="auto"/>
                <w:kern w:val="0"/>
                <w:sz w:val="21"/>
                <w:szCs w:val="21"/>
                <w:lang w:eastAsia="zh-CN" w:bidi="ar"/>
              </w:rPr>
              <w:t>案例。</w:t>
            </w:r>
          </w:p>
          <w:p w14:paraId="651A59F5">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color w:val="auto"/>
                <w:kern w:val="0"/>
                <w:sz w:val="21"/>
                <w:szCs w:val="21"/>
                <w:lang w:bidi="ar"/>
              </w:rPr>
            </w:pPr>
            <w:r>
              <w:rPr>
                <w:rFonts w:hint="eastAsia" w:ascii="宋体" w:hAnsi="宋体" w:eastAsia="宋体" w:cs="宋体"/>
                <w:b/>
                <w:bCs/>
                <w:color w:val="auto"/>
                <w:kern w:val="0"/>
                <w:sz w:val="21"/>
                <w:szCs w:val="21"/>
                <w:lang w:bidi="ar"/>
              </w:rPr>
              <w:t>▲案例的能力；</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指导班主任根据时事热点及建班育人情况设计班会方案，并根据主题班会实施及录制过程中常见问题给出有效对策。</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▲案例分享及点评</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优秀案例赏析，及比赛案例分析与点评，针对每项材料逐一指导，专家根据参赛作品提出优化意见。</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▲实践演练指导</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演练指导包含：工作室建设成果汇报、班级活动策划、模拟情景处置、班级建设方案实施情况介绍、答辩；</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专家指导比赛展示材料，并对老师展示进行一对一指导，提出优化意见。</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服务形式：</w:t>
            </w:r>
            <w:r>
              <w:rPr>
                <w:rFonts w:hint="eastAsia" w:ascii="宋体" w:hAnsi="宋体" w:eastAsia="宋体" w:cs="宋体"/>
                <w:color w:val="auto"/>
                <w:kern w:val="0"/>
                <w:sz w:val="21"/>
                <w:szCs w:val="21"/>
                <w:lang w:bidi="ar"/>
              </w:rPr>
              <w:t>采用线上和线下相结合的形式指导提升。</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2.作品美化服务</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班级活动实录录课PPT，3个和班主任工作室建设情况PPT，1个；</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3.视频拍摄服务（按当年省赛拍摄要求进行）</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提供3段班级活动实录视频和1段班主任工作室建设情况视频。</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须采用三个不同机位，同步全程连续录制（不得使用无人机、虚拟演播系统、临时拼接大型LED显示屏等脱离建班育人实际、片面追求拍摄效果、费用昂贵的录制手段）。三个机位可根据班级活动需要摆放，均要求机位和镜头固定，画面中能够看到另外两个机位，三个机位共同覆盖班级活动场所全景无死角（班级活动需要多个场所的，每个场所均须按相同要求安放三个机位，可移动前一场所的其中一个机位，随师生转场，全程连续录制）。三个机位录制音视频须做到同步起止。录制过程中除实际参与班级活动的人员外，拍摄人员及其他人员不在场，提交的视频从拍摄人员离场开始到拍摄人员停机为止（班级活动之外的录制时长不超过2分钟）。所有机位拍摄的视频均需上传，须保证音轨连续，不允许另行剪辑及配音，不加片头片尾、字幕注解，不得泄露地区、学校名称以及教师个人姓名。</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视频采用MP4格式封装，每个文件大小不超过400M。视频录制软件不限，采用H.264/AVC（MPEG-4 Part10）编码格式压缩；动态码流的码率不低于1024Kbps，不超过1280Kbps；分辨率设定为720×576（标清4:3拍摄）或1280×720（高清16:9拍摄）；采用逐行扫描（帧率25帧/秒）。音频采用AAC（MPEG4 Part3）格式压缩；采样率48KHz；码流128Kbps（恒定）。</w:t>
            </w:r>
          </w:p>
          <w:p w14:paraId="35475852">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bCs/>
                <w:color w:val="auto"/>
                <w:kern w:val="0"/>
                <w:sz w:val="21"/>
                <w:szCs w:val="21"/>
                <w:lang w:val="en-US" w:eastAsia="zh-CN" w:bidi="ar"/>
              </w:rPr>
              <w:t>4.服务时间保证：</w:t>
            </w:r>
            <w:r>
              <w:rPr>
                <w:rFonts w:hint="eastAsia" w:ascii="宋体" w:hAnsi="宋体" w:eastAsia="宋体" w:cs="宋体"/>
                <w:b w:val="0"/>
                <w:bCs w:val="0"/>
                <w:color w:val="auto"/>
                <w:kern w:val="0"/>
                <w:sz w:val="21"/>
                <w:szCs w:val="21"/>
                <w:lang w:val="en-US" w:eastAsia="zh-CN" w:bidi="ar"/>
              </w:rPr>
              <w:t>每年制定相应的工作进度表，明确线上线下指导时间，经双方审核同意后开展工作，总服务时间每个项目不少于40课时（不包含视频录制时间，每天按8课时计算，线下辅导时间不低于16学时）</w:t>
            </w:r>
          </w:p>
          <w:p w14:paraId="00E98BE1">
            <w:pPr>
              <w:pageBreakBefore w:val="0"/>
              <w:widowControl/>
              <w:numPr>
                <w:ilvl w:val="0"/>
                <w:numId w:val="0"/>
              </w:numPr>
              <w:bidi w:val="0"/>
              <w:adjustRightInd w:val="0"/>
              <w:snapToGrid w:val="0"/>
              <w:spacing w:beforeAutospacing="0" w:afterAutospacing="0" w:line="360" w:lineRule="auto"/>
              <w:ind w:left="0" w:leftChars="0" w:right="0"/>
              <w:jc w:val="left"/>
              <w:textAlignment w:val="center"/>
              <w:rPr>
                <w:rFonts w:hint="eastAsia" w:ascii="宋体" w:hAnsi="宋体" w:eastAsia="宋体" w:cs="宋体"/>
                <w:color w:val="auto"/>
                <w:kern w:val="0"/>
                <w:sz w:val="21"/>
                <w:szCs w:val="21"/>
                <w:lang w:bidi="ar"/>
              </w:rPr>
            </w:pPr>
            <w:r>
              <w:rPr>
                <w:rFonts w:hint="eastAsia" w:ascii="宋体" w:hAnsi="宋体" w:eastAsia="宋体" w:cs="宋体"/>
                <w:b/>
                <w:bCs/>
                <w:color w:val="auto"/>
                <w:kern w:val="0"/>
                <w:sz w:val="21"/>
                <w:szCs w:val="21"/>
                <w:lang w:val="en-US" w:eastAsia="zh-CN" w:bidi="ar"/>
              </w:rPr>
              <w:t>5.</w:t>
            </w:r>
            <w:r>
              <w:rPr>
                <w:rFonts w:hint="eastAsia" w:ascii="宋体" w:hAnsi="宋体" w:eastAsia="宋体" w:cs="宋体"/>
                <w:b/>
                <w:bCs/>
                <w:color w:val="auto"/>
                <w:kern w:val="0"/>
                <w:sz w:val="21"/>
                <w:szCs w:val="21"/>
                <w:lang w:bidi="ar"/>
              </w:rPr>
              <w:t>成绩要求：</w:t>
            </w:r>
            <w:r>
              <w:rPr>
                <w:rFonts w:hint="eastAsia" w:ascii="宋体" w:hAnsi="宋体" w:eastAsia="宋体" w:cs="宋体"/>
                <w:b w:val="0"/>
                <w:bCs w:val="0"/>
                <w:color w:val="auto"/>
                <w:kern w:val="0"/>
                <w:sz w:val="21"/>
                <w:szCs w:val="21"/>
                <w:lang w:bidi="ar"/>
              </w:rPr>
              <w:t>辅导团队当年须获得省级大赛三等奖及以上，第二年获得二等奖项及以上，第三年获得一等奖及以上。三年内至少有一次进入国家级比赛。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2F265B">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3CEE1E">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3BB96A">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CCDAFD">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9D2708">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r>
      <w:tr w14:paraId="1F80F002">
        <w:tblPrEx>
          <w:tblCellMar>
            <w:top w:w="0" w:type="dxa"/>
            <w:left w:w="108" w:type="dxa"/>
            <w:bottom w:w="0" w:type="dxa"/>
            <w:right w:w="108" w:type="dxa"/>
          </w:tblCellMar>
        </w:tblPrEx>
        <w:trPr>
          <w:trHeight w:val="10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CBB6A3">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3EE992">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师生技能竞赛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B72983">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提供2025年，2026年，2027年三年备赛辅导</w:t>
            </w:r>
            <w:r>
              <w:rPr>
                <w:rFonts w:hint="eastAsia" w:ascii="宋体" w:hAnsi="宋体" w:eastAsia="宋体" w:cs="宋体"/>
                <w:color w:val="auto"/>
                <w:kern w:val="0"/>
                <w:sz w:val="21"/>
                <w:szCs w:val="21"/>
                <w:lang w:eastAsia="zh-CN" w:bidi="ar"/>
              </w:rPr>
              <w:t>，</w:t>
            </w:r>
            <w:r>
              <w:rPr>
                <w:rFonts w:hint="eastAsia" w:ascii="宋体" w:hAnsi="宋体" w:eastAsia="宋体" w:cs="宋体"/>
                <w:b w:val="0"/>
                <w:bCs w:val="0"/>
                <w:color w:val="auto"/>
                <w:kern w:val="0"/>
                <w:sz w:val="21"/>
                <w:szCs w:val="21"/>
                <w:lang w:val="en-US" w:eastAsia="zh-CN" w:bidi="ar"/>
              </w:rPr>
              <w:t>服务项目包括职业院校技能竞赛、世界技能大赛两大类。</w:t>
            </w:r>
            <w:r>
              <w:rPr>
                <w:rFonts w:hint="eastAsia" w:ascii="宋体" w:hAnsi="宋体" w:eastAsia="宋体" w:cs="宋体"/>
                <w:color w:val="auto"/>
                <w:kern w:val="0"/>
                <w:sz w:val="21"/>
                <w:szCs w:val="21"/>
                <w:lang w:bidi="ar"/>
              </w:rPr>
              <w:t>服务需满足以下要求：按照学校开设专业，结合学校推荐入围情况</w:t>
            </w:r>
            <w:r>
              <w:rPr>
                <w:rFonts w:hint="eastAsia" w:ascii="宋体" w:hAnsi="宋体" w:eastAsia="宋体" w:cs="宋体"/>
                <w:color w:val="auto"/>
                <w:kern w:val="0"/>
                <w:sz w:val="21"/>
                <w:szCs w:val="21"/>
                <w:lang w:eastAsia="zh-CN" w:bidi="ar"/>
              </w:rPr>
              <w:t>开展培训指导。</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1.提供竞赛专家培训服务</w:t>
            </w:r>
            <w:r>
              <w:rPr>
                <w:rFonts w:hint="eastAsia" w:ascii="宋体" w:hAnsi="宋体" w:eastAsia="宋体" w:cs="宋体"/>
                <w:b/>
                <w:bCs/>
                <w:color w:val="auto"/>
                <w:kern w:val="0"/>
                <w:sz w:val="21"/>
                <w:szCs w:val="21"/>
                <w:lang w:eastAsia="zh-CN" w:bidi="ar"/>
              </w:rPr>
              <w:t>：</w:t>
            </w:r>
            <w:r>
              <w:rPr>
                <w:rFonts w:hint="eastAsia" w:ascii="宋体" w:hAnsi="宋体" w:eastAsia="宋体" w:cs="宋体"/>
                <w:color w:val="auto"/>
                <w:kern w:val="0"/>
                <w:sz w:val="21"/>
                <w:szCs w:val="21"/>
                <w:lang w:bidi="ar"/>
              </w:rPr>
              <w:t>结合赛项文件要求，指导培训师生进行技能训练提升，大赛技能模拟比赛，并提出针对性改进措施。</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2.提供大赛所需的最新系统模拟比赛和技能训练。</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3.整体目标要求</w:t>
            </w:r>
            <w:r>
              <w:rPr>
                <w:rFonts w:hint="eastAsia" w:ascii="宋体" w:hAnsi="宋体" w:eastAsia="宋体" w:cs="宋体"/>
                <w:b/>
                <w:bCs/>
                <w:color w:val="auto"/>
                <w:kern w:val="0"/>
                <w:sz w:val="21"/>
                <w:szCs w:val="21"/>
                <w:lang w:eastAsia="zh-CN" w:bidi="ar"/>
              </w:rPr>
              <w:t>：</w:t>
            </w:r>
            <w:r>
              <w:rPr>
                <w:rFonts w:hint="eastAsia" w:ascii="宋体" w:hAnsi="宋体" w:eastAsia="宋体" w:cs="宋体"/>
                <w:color w:val="auto"/>
                <w:kern w:val="0"/>
                <w:sz w:val="21"/>
                <w:szCs w:val="21"/>
                <w:lang w:bidi="ar"/>
              </w:rPr>
              <w:t>按当年省赛文件要求提供辅导</w:t>
            </w:r>
            <w:r>
              <w:rPr>
                <w:rFonts w:hint="eastAsia" w:ascii="宋体" w:hAnsi="宋体" w:eastAsia="宋体" w:cs="宋体"/>
                <w:color w:val="auto"/>
                <w:kern w:val="0"/>
                <w:sz w:val="21"/>
                <w:szCs w:val="21"/>
                <w:lang w:val="en-US" w:eastAsia="zh-CN" w:bidi="ar"/>
              </w:rPr>
              <w:t>总数不少于5项</w:t>
            </w:r>
            <w:r>
              <w:rPr>
                <w:rFonts w:hint="eastAsia" w:ascii="宋体" w:hAnsi="宋体" w:eastAsia="宋体" w:cs="宋体"/>
                <w:b/>
                <w:bCs/>
                <w:color w:val="auto"/>
                <w:kern w:val="0"/>
                <w:sz w:val="21"/>
                <w:szCs w:val="21"/>
                <w:lang w:val="en-US" w:eastAsia="zh-CN" w:bidi="ar"/>
              </w:rPr>
              <w:t>的</w:t>
            </w:r>
            <w:r>
              <w:rPr>
                <w:rFonts w:hint="eastAsia" w:ascii="宋体" w:hAnsi="宋体" w:eastAsia="宋体" w:cs="宋体"/>
                <w:color w:val="auto"/>
                <w:kern w:val="0"/>
                <w:sz w:val="21"/>
                <w:szCs w:val="21"/>
                <w:lang w:bidi="ar"/>
              </w:rPr>
              <w:t>教师、学生、团队技能大赛参赛，从技能提升，赛项项目规划分工，模拟集训等提升服务进行</w:t>
            </w:r>
            <w:r>
              <w:rPr>
                <w:rFonts w:hint="eastAsia" w:ascii="宋体" w:hAnsi="宋体" w:eastAsia="宋体" w:cs="宋体"/>
                <w:color w:val="auto"/>
                <w:kern w:val="0"/>
                <w:sz w:val="21"/>
                <w:szCs w:val="21"/>
                <w:lang w:eastAsia="zh-CN" w:bidi="ar"/>
              </w:rPr>
              <w:t>。</w:t>
            </w:r>
          </w:p>
          <w:p w14:paraId="365579DB">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eastAsia="宋体" w:cs="宋体"/>
                <w:b/>
                <w:bCs/>
                <w:color w:val="auto"/>
                <w:kern w:val="0"/>
                <w:sz w:val="21"/>
                <w:szCs w:val="21"/>
                <w:lang w:val="en-US" w:eastAsia="zh-CN" w:bidi="ar"/>
              </w:rPr>
              <w:t>4.要求每年专家指导时长：</w:t>
            </w:r>
            <w:r>
              <w:rPr>
                <w:rFonts w:hint="eastAsia" w:ascii="宋体" w:hAnsi="宋体" w:eastAsia="宋体" w:cs="宋体"/>
                <w:b w:val="0"/>
                <w:bCs w:val="0"/>
                <w:color w:val="auto"/>
                <w:kern w:val="0"/>
                <w:sz w:val="21"/>
                <w:szCs w:val="21"/>
                <w:lang w:val="en-US" w:eastAsia="zh-CN" w:bidi="ar"/>
              </w:rPr>
              <w:t>每个指导项目不少于24课时（每天按照8课时计算，包括线上线下，其中线下辅导不低于1天）</w:t>
            </w:r>
          </w:p>
          <w:p w14:paraId="5EF16A33">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color w:val="auto"/>
                <w:sz w:val="21"/>
                <w:szCs w:val="21"/>
              </w:rPr>
            </w:pPr>
            <w:r>
              <w:rPr>
                <w:rFonts w:hint="eastAsia" w:ascii="宋体" w:hAnsi="宋体" w:eastAsia="宋体" w:cs="宋体"/>
                <w:b/>
                <w:bCs/>
                <w:color w:val="auto"/>
                <w:kern w:val="0"/>
                <w:sz w:val="21"/>
                <w:szCs w:val="21"/>
                <w:lang w:val="en-US" w:eastAsia="zh-CN" w:bidi="ar"/>
              </w:rPr>
              <w:t>5.</w:t>
            </w:r>
            <w:r>
              <w:rPr>
                <w:rFonts w:hint="eastAsia" w:ascii="宋体" w:hAnsi="宋体" w:eastAsia="宋体" w:cs="宋体"/>
                <w:b/>
                <w:bCs/>
                <w:color w:val="auto"/>
                <w:kern w:val="0"/>
                <w:sz w:val="21"/>
                <w:szCs w:val="21"/>
                <w:lang w:bidi="ar"/>
              </w:rPr>
              <w:t>成绩要求：</w:t>
            </w:r>
            <w:r>
              <w:rPr>
                <w:rFonts w:hint="eastAsia" w:ascii="宋体" w:hAnsi="宋体" w:eastAsia="宋体" w:cs="宋体"/>
                <w:b w:val="0"/>
                <w:bCs w:val="0"/>
                <w:color w:val="auto"/>
                <w:kern w:val="0"/>
                <w:sz w:val="21"/>
                <w:szCs w:val="21"/>
                <w:lang w:bidi="ar"/>
              </w:rPr>
              <w:t>辅导的学生、教师、团队等当年须获得省级大赛二等奖及以上，一等奖获奖至少</w:t>
            </w:r>
            <w:r>
              <w:rPr>
                <w:rFonts w:hint="eastAsia" w:ascii="宋体" w:hAnsi="宋体" w:eastAsia="宋体" w:cs="宋体"/>
                <w:b w:val="0"/>
                <w:bCs w:val="0"/>
                <w:color w:val="auto"/>
                <w:kern w:val="0"/>
                <w:sz w:val="21"/>
                <w:szCs w:val="21"/>
                <w:lang w:val="en-US" w:eastAsia="zh-CN" w:bidi="ar"/>
              </w:rPr>
              <w:t>二</w:t>
            </w:r>
            <w:r>
              <w:rPr>
                <w:rFonts w:hint="eastAsia" w:ascii="宋体" w:hAnsi="宋体" w:eastAsia="宋体" w:cs="宋体"/>
                <w:b w:val="0"/>
                <w:bCs w:val="0"/>
                <w:color w:val="auto"/>
                <w:kern w:val="0"/>
                <w:sz w:val="21"/>
                <w:szCs w:val="21"/>
                <w:lang w:bidi="ar"/>
              </w:rPr>
              <w:t>项；第二年、第三年</w:t>
            </w:r>
            <w:r>
              <w:rPr>
                <w:rFonts w:hint="eastAsia" w:ascii="宋体" w:hAnsi="宋体" w:eastAsia="宋体" w:cs="宋体"/>
                <w:b w:val="0"/>
                <w:bCs w:val="0"/>
                <w:color w:val="auto"/>
                <w:kern w:val="0"/>
                <w:sz w:val="21"/>
                <w:szCs w:val="21"/>
                <w:lang w:val="en-US" w:eastAsia="zh-CN" w:bidi="ar"/>
              </w:rPr>
              <w:t>每年</w:t>
            </w:r>
            <w:r>
              <w:rPr>
                <w:rFonts w:hint="eastAsia" w:ascii="宋体" w:hAnsi="宋体" w:eastAsia="宋体" w:cs="宋体"/>
                <w:b w:val="0"/>
                <w:bCs w:val="0"/>
                <w:color w:val="auto"/>
                <w:kern w:val="0"/>
                <w:sz w:val="21"/>
                <w:szCs w:val="21"/>
                <w:lang w:bidi="ar"/>
              </w:rPr>
              <w:t>获得一等奖</w:t>
            </w:r>
            <w:r>
              <w:rPr>
                <w:rFonts w:hint="eastAsia" w:ascii="宋体" w:hAnsi="宋体" w:eastAsia="宋体" w:cs="宋体"/>
                <w:b w:val="0"/>
                <w:bCs w:val="0"/>
                <w:color w:val="auto"/>
                <w:kern w:val="0"/>
                <w:sz w:val="21"/>
                <w:szCs w:val="21"/>
                <w:lang w:val="en-US" w:eastAsia="zh-CN" w:bidi="ar"/>
              </w:rPr>
              <w:t>三</w:t>
            </w:r>
            <w:r>
              <w:rPr>
                <w:rFonts w:hint="eastAsia" w:ascii="宋体" w:hAnsi="宋体" w:eastAsia="宋体" w:cs="宋体"/>
                <w:b w:val="0"/>
                <w:bCs w:val="0"/>
                <w:color w:val="auto"/>
                <w:kern w:val="0"/>
                <w:sz w:val="21"/>
                <w:szCs w:val="21"/>
                <w:lang w:bidi="ar"/>
              </w:rPr>
              <w:t>项及以上。三年内至少有一次获得国家级比赛参赛资格。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4669E1">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color w:val="auto"/>
                <w:kern w:val="0"/>
                <w:sz w:val="21"/>
                <w:szCs w:val="21"/>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34FAF9">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color w:val="auto"/>
                <w:kern w:val="0"/>
                <w:sz w:val="21"/>
                <w:szCs w:val="21"/>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FC51EF">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D2FD35">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43EB56">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r>
      <w:tr w14:paraId="37413A5E">
        <w:tblPrEx>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AFCAD2">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0DCCD8">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“文明风采”竞赛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17935D">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color w:val="auto"/>
                <w:kern w:val="0"/>
                <w:sz w:val="21"/>
                <w:szCs w:val="21"/>
                <w:lang w:bidi="ar"/>
              </w:rPr>
              <w:t>提供2025年，2026年，2027年三年的“文明风采”竞赛指导服务需满足以下要求：</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val="en-US" w:eastAsia="zh-CN" w:bidi="ar"/>
              </w:rPr>
              <w:t>1.整体目标要求：</w:t>
            </w:r>
            <w:r>
              <w:rPr>
                <w:rFonts w:hint="eastAsia" w:ascii="宋体" w:hAnsi="宋体" w:eastAsia="宋体" w:cs="宋体"/>
                <w:b w:val="0"/>
                <w:bCs w:val="0"/>
                <w:color w:val="auto"/>
                <w:kern w:val="0"/>
                <w:sz w:val="21"/>
                <w:szCs w:val="21"/>
                <w:lang w:val="en-US" w:eastAsia="zh-CN" w:bidi="ar"/>
              </w:rPr>
              <w:t>按当年省赛文件要求提供辅导，每年总数不少于5项的学生、团队大赛参赛辅导，从赛项项目规划分工，模拟集训，参赛作品提升等方面进行规划指导服务。</w:t>
            </w:r>
          </w:p>
          <w:p w14:paraId="757E23C6">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bCs/>
                <w:color w:val="auto"/>
                <w:kern w:val="0"/>
                <w:sz w:val="21"/>
                <w:szCs w:val="21"/>
                <w:lang w:val="en-US" w:eastAsia="zh-CN" w:bidi="ar"/>
              </w:rPr>
              <w:t>2</w:t>
            </w:r>
            <w:r>
              <w:rPr>
                <w:rFonts w:hint="eastAsia" w:ascii="宋体" w:hAnsi="宋体" w:eastAsia="宋体" w:cs="宋体"/>
                <w:b w:val="0"/>
                <w:bCs w:val="0"/>
                <w:color w:val="auto"/>
                <w:kern w:val="0"/>
                <w:sz w:val="21"/>
                <w:szCs w:val="21"/>
                <w:lang w:val="en-US" w:eastAsia="zh-CN" w:bidi="ar"/>
              </w:rPr>
              <w:t>.</w:t>
            </w:r>
            <w:r>
              <w:rPr>
                <w:rFonts w:hint="eastAsia" w:ascii="宋体" w:hAnsi="宋体" w:eastAsia="宋体" w:cs="宋体"/>
                <w:b w:val="0"/>
                <w:bCs w:val="0"/>
                <w:color w:val="auto"/>
                <w:kern w:val="0"/>
                <w:sz w:val="21"/>
                <w:szCs w:val="21"/>
                <w:lang w:bidi="ar"/>
              </w:rPr>
              <w:t>提供竞赛专家对竞赛选题及关键得分点进行解读指导，提升参赛教师、学生的认知水平；</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3.</w:t>
            </w:r>
            <w:r>
              <w:rPr>
                <w:rFonts w:hint="eastAsia" w:ascii="宋体" w:hAnsi="宋体" w:eastAsia="宋体" w:cs="宋体"/>
                <w:b w:val="0"/>
                <w:bCs w:val="0"/>
                <w:color w:val="auto"/>
                <w:kern w:val="0"/>
                <w:sz w:val="21"/>
                <w:szCs w:val="21"/>
                <w:lang w:bidi="ar"/>
              </w:rPr>
              <w:t>提供专家对教师、学生的参赛作品及模拟比赛进行分析，并形成指导意见改进提升。</w:t>
            </w:r>
          </w:p>
          <w:p w14:paraId="1A93C3D6">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bCs/>
                <w:color w:val="auto"/>
                <w:kern w:val="0"/>
                <w:sz w:val="21"/>
                <w:szCs w:val="21"/>
                <w:lang w:val="en-US" w:eastAsia="zh-CN" w:bidi="ar"/>
              </w:rPr>
              <w:t>4.每年专家指导时长：</w:t>
            </w:r>
            <w:r>
              <w:rPr>
                <w:rFonts w:hint="eastAsia" w:ascii="宋体" w:hAnsi="宋体" w:eastAsia="宋体" w:cs="宋体"/>
                <w:b w:val="0"/>
                <w:bCs w:val="0"/>
                <w:color w:val="auto"/>
                <w:kern w:val="0"/>
                <w:sz w:val="21"/>
                <w:szCs w:val="21"/>
                <w:lang w:val="en-US" w:eastAsia="zh-CN" w:bidi="ar"/>
              </w:rPr>
              <w:t>每个指导项目不少于24课时（每天按照8课时计算，包括线上线下，其中线下辅导不低于1天）</w:t>
            </w:r>
          </w:p>
          <w:p w14:paraId="2021F3B3">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color w:val="auto"/>
                <w:sz w:val="21"/>
                <w:szCs w:val="21"/>
              </w:rPr>
            </w:pPr>
            <w:r>
              <w:rPr>
                <w:rFonts w:hint="eastAsia" w:ascii="宋体" w:hAnsi="宋体" w:eastAsia="宋体" w:cs="宋体"/>
                <w:b/>
                <w:bCs/>
                <w:color w:val="auto"/>
                <w:kern w:val="0"/>
                <w:sz w:val="21"/>
                <w:szCs w:val="21"/>
                <w:lang w:val="en-US" w:eastAsia="zh-CN" w:bidi="ar"/>
              </w:rPr>
              <w:t>5.</w:t>
            </w:r>
            <w:r>
              <w:rPr>
                <w:rFonts w:hint="eastAsia" w:ascii="宋体" w:hAnsi="宋体" w:eastAsia="宋体" w:cs="宋体"/>
                <w:b/>
                <w:bCs/>
                <w:color w:val="auto"/>
                <w:kern w:val="0"/>
                <w:sz w:val="21"/>
                <w:szCs w:val="21"/>
                <w:lang w:bidi="ar"/>
              </w:rPr>
              <w:t>成绩要求：</w:t>
            </w:r>
            <w:r>
              <w:rPr>
                <w:rFonts w:hint="eastAsia" w:ascii="宋体" w:hAnsi="宋体" w:eastAsia="宋体" w:cs="宋体"/>
                <w:b w:val="0"/>
                <w:bCs w:val="0"/>
                <w:color w:val="auto"/>
                <w:kern w:val="0"/>
                <w:sz w:val="21"/>
                <w:szCs w:val="21"/>
                <w:lang w:bidi="ar"/>
              </w:rPr>
              <w:t>第一年辅导参赛教师、学生当年须获得省级大赛二等奖及以上需占参赛师生80%以上；第二年、第三年辅导参赛教师、学生当年须获得省级大赛一等奖及以上需占参赛师生60%以上。</w:t>
            </w:r>
            <w:r>
              <w:rPr>
                <w:rFonts w:hint="eastAsia" w:ascii="宋体" w:hAnsi="宋体" w:eastAsia="宋体" w:cs="宋体"/>
                <w:b/>
                <w:bCs/>
                <w:color w:val="auto"/>
                <w:kern w:val="0"/>
                <w:sz w:val="21"/>
                <w:szCs w:val="21"/>
                <w:lang w:eastAsia="zh-CN" w:bidi="ar"/>
              </w:rPr>
              <w:t>若参赛项目举行有国赛项目，</w:t>
            </w:r>
            <w:r>
              <w:rPr>
                <w:rFonts w:hint="eastAsia" w:ascii="宋体" w:hAnsi="宋体" w:eastAsia="宋体" w:cs="宋体"/>
                <w:b w:val="0"/>
                <w:bCs w:val="0"/>
                <w:color w:val="auto"/>
                <w:kern w:val="0"/>
                <w:sz w:val="21"/>
                <w:szCs w:val="21"/>
                <w:lang w:bidi="ar"/>
              </w:rPr>
              <w:t xml:space="preserve">三年内至少有一次获得国家级比赛参赛资格。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CA59B1">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color w:val="auto"/>
                <w:kern w:val="0"/>
                <w:sz w:val="21"/>
                <w:szCs w:val="21"/>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EEB855">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color w:val="auto"/>
                <w:kern w:val="0"/>
                <w:sz w:val="21"/>
                <w:szCs w:val="21"/>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A09857">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89B251">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9DC6BD">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r>
      <w:tr w14:paraId="62BFED4D">
        <w:tblPrEx>
          <w:tblCellMar>
            <w:top w:w="0" w:type="dxa"/>
            <w:left w:w="108" w:type="dxa"/>
            <w:bottom w:w="0" w:type="dxa"/>
            <w:right w:w="108" w:type="dxa"/>
          </w:tblCellMar>
        </w:tblPrEx>
        <w:trPr>
          <w:trHeight w:val="5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682CA1">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CF94F4">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AI教学平台技术服务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F74B52">
            <w:pPr>
              <w:pStyle w:val="6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rightChars="0"/>
              <w:textAlignment w:val="auto"/>
              <w:outlineLvl w:val="0"/>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智慧专业教学资源库平台和AI工作台支持学校使用期间，需满足以下功能：</w:t>
            </w:r>
          </w:p>
          <w:p w14:paraId="40BDC205">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jc w:val="left"/>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1.资源库站点服务平台。</w:t>
            </w:r>
          </w:p>
          <w:p w14:paraId="38F5BE1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①门户管理：提供充分展示学校教学特色的门户网站，实现新闻公告动态显示、精品资源推荐、热门资源排行、一站式检索以及学校的教学资源与课程展示。具有校园代表性的大图片展示区。门户管理功能支持门户配置，在门户配置中，可实现对门户管理后台的操作，智慧门户编辑、门户登录设置、模块数据统计等。可直接在门户后台对各模块的内容进行设置，也可编辑网页对门户整体布局进行设计。</w:t>
            </w:r>
          </w:p>
          <w:p w14:paraId="054E5FA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②资源库站点管理：超级管理员和资源库管理员可以新建资源库专业站点，设置或修改站点名称、负责人和封面图，可以删除或查询站点。在同一页面实现对站点的“增删改查”。创建多站点，每个专业教学资源库可拥有独立一个站点，每个站点即一个专业教学资源库，平台下系统管理员登录后台后，可创建多站点，并指定某一专业负责人（教师用户），作为该站点的负责人。</w:t>
            </w:r>
          </w:p>
          <w:p w14:paraId="3EB15C0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③资源建设管理：支持两种资源建设模式：任务型资源建设：由站点负责人指派栏目负责人，由栏目负责人指派建设任务到教师个人，建设资源库某一特定栏目。非任务型资源建设：由教师自由上传资源。包括素材上传，课程上传，题库上传，删除的资源点击资源回收站即可进行还原或者彻底删除。题库建设：题库资源用于教学是每个学校的最基本需求，平台需支持题库类资源建设，能够实现多种题型的编辑及试题的批量导入，支持试题中的图片及公式编辑。</w:t>
            </w:r>
          </w:p>
          <w:p w14:paraId="4579A55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④资源应用：建设完善的资源库，可为学校师生在专业教学、实习实训、技能培训、生产现场和日常生活等场景中提供资源支持，推动专业教学改革，提高教育教学效率和质量，也可为其他职业学校、普通高校、行业、企业、科研院所和社会学习者提供服务，实现优质资源共享，扩大优质资源受益群体覆盖面。引入的学习助手、数字教师等新技术，建立多样化的应用场景，满足不同群体用户的多样化学习需要。</w:t>
            </w:r>
          </w:p>
          <w:p w14:paraId="20347FB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⑤资源推广：提供市级、国家级资源库的推广与运营服务，面向全国高校乃至社会企业融入行业企业新技术、新工艺、新规范，开发建设涵盖教学设计、教学实施、教学评价的数字化专业教学资源库。为在校学习者、社会学习者提供多途径的学习机会和优质的学习资源；为教育行政部门提供资源和技术支持，服务平台全面、快速落地。</w:t>
            </w:r>
          </w:p>
          <w:p w14:paraId="2243BE3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⑥数据统计：基本数据统计，</w:t>
            </w:r>
            <w:r>
              <w:rPr>
                <w:rFonts w:hint="eastAsia" w:ascii="宋体" w:hAnsi="宋体" w:eastAsia="宋体" w:cs="宋体"/>
                <w:b w:val="0"/>
                <w:bCs w:val="0"/>
                <w:color w:val="auto"/>
                <w:kern w:val="0"/>
                <w:sz w:val="21"/>
                <w:szCs w:val="21"/>
                <w:lang w:val="en-US" w:eastAsia="zh-Hans" w:bidi="ar"/>
              </w:rPr>
              <w:t>管理员可以查看专业资源库的基本数据统计，</w:t>
            </w:r>
            <w:r>
              <w:rPr>
                <w:rFonts w:hint="eastAsia" w:ascii="宋体" w:hAnsi="宋体" w:eastAsia="宋体" w:cs="宋体"/>
                <w:b w:val="0"/>
                <w:bCs w:val="0"/>
                <w:color w:val="auto"/>
                <w:kern w:val="0"/>
                <w:sz w:val="21"/>
                <w:szCs w:val="21"/>
                <w:lang w:val="en-US" w:eastAsia="zh-CN" w:bidi="ar"/>
              </w:rPr>
              <w:t>还有资源使用统计，资源引用统计，访问量统计，用户统计，课程</w:t>
            </w:r>
            <w:r>
              <w:rPr>
                <w:rFonts w:hint="eastAsia" w:ascii="宋体" w:hAnsi="宋体" w:eastAsia="宋体" w:cs="宋体"/>
                <w:b w:val="0"/>
                <w:bCs w:val="0"/>
                <w:color w:val="auto"/>
                <w:kern w:val="0"/>
                <w:sz w:val="21"/>
                <w:szCs w:val="21"/>
                <w:lang w:val="en-US" w:eastAsia="zh-Hans" w:bidi="ar"/>
              </w:rPr>
              <w:t>排行</w:t>
            </w:r>
            <w:r>
              <w:rPr>
                <w:rFonts w:hint="eastAsia" w:ascii="宋体" w:hAnsi="宋体" w:eastAsia="宋体" w:cs="宋体"/>
                <w:b w:val="0"/>
                <w:bCs w:val="0"/>
                <w:color w:val="auto"/>
                <w:kern w:val="0"/>
                <w:sz w:val="21"/>
                <w:szCs w:val="21"/>
                <w:lang w:val="en-US" w:eastAsia="zh-CN" w:bidi="ar"/>
              </w:rPr>
              <w:t>统计，</w:t>
            </w:r>
            <w:r>
              <w:rPr>
                <w:rFonts w:hint="eastAsia" w:ascii="宋体" w:hAnsi="宋体" w:eastAsia="宋体" w:cs="宋体"/>
                <w:b w:val="0"/>
                <w:bCs w:val="0"/>
                <w:color w:val="auto"/>
                <w:kern w:val="0"/>
                <w:sz w:val="21"/>
                <w:szCs w:val="21"/>
                <w:lang w:val="en-US" w:eastAsia="zh-Hans" w:bidi="ar"/>
              </w:rPr>
              <w:t>课程详细情况统计</w:t>
            </w:r>
            <w:r>
              <w:rPr>
                <w:rFonts w:hint="eastAsia" w:ascii="宋体" w:hAnsi="宋体" w:eastAsia="宋体" w:cs="宋体"/>
                <w:b w:val="0"/>
                <w:bCs w:val="0"/>
                <w:color w:val="auto"/>
                <w:kern w:val="0"/>
                <w:sz w:val="21"/>
                <w:szCs w:val="21"/>
                <w:lang w:val="en-US" w:eastAsia="zh-CN" w:bidi="ar"/>
              </w:rPr>
              <w:t>，</w:t>
            </w:r>
            <w:r>
              <w:rPr>
                <w:rFonts w:hint="eastAsia" w:ascii="宋体" w:hAnsi="宋体" w:eastAsia="宋体" w:cs="宋体"/>
                <w:b w:val="0"/>
                <w:bCs w:val="0"/>
                <w:color w:val="auto"/>
                <w:kern w:val="0"/>
                <w:sz w:val="21"/>
                <w:szCs w:val="21"/>
                <w:lang w:val="en-US" w:eastAsia="zh-Hans" w:bidi="ar"/>
              </w:rPr>
              <w:t>教学统计</w:t>
            </w:r>
            <w:r>
              <w:rPr>
                <w:rFonts w:hint="eastAsia" w:ascii="宋体" w:hAnsi="宋体" w:eastAsia="宋体" w:cs="宋体"/>
                <w:b w:val="0"/>
                <w:bCs w:val="0"/>
                <w:color w:val="auto"/>
                <w:kern w:val="0"/>
                <w:sz w:val="21"/>
                <w:szCs w:val="21"/>
                <w:lang w:val="en-US" w:eastAsia="zh-CN" w:bidi="ar"/>
              </w:rPr>
              <w:t>，</w:t>
            </w:r>
            <w:r>
              <w:rPr>
                <w:rFonts w:hint="eastAsia" w:ascii="宋体" w:hAnsi="宋体" w:eastAsia="宋体" w:cs="宋体"/>
                <w:b w:val="0"/>
                <w:bCs w:val="0"/>
                <w:color w:val="auto"/>
                <w:kern w:val="0"/>
                <w:sz w:val="21"/>
                <w:szCs w:val="21"/>
                <w:lang w:val="en-US" w:eastAsia="zh-Hans" w:bidi="ar"/>
              </w:rPr>
              <w:t>学习统计</w:t>
            </w:r>
            <w:r>
              <w:rPr>
                <w:rFonts w:hint="eastAsia" w:ascii="宋体" w:hAnsi="宋体" w:eastAsia="宋体" w:cs="宋体"/>
                <w:b w:val="0"/>
                <w:bCs w:val="0"/>
                <w:color w:val="auto"/>
                <w:kern w:val="0"/>
                <w:sz w:val="21"/>
                <w:szCs w:val="21"/>
                <w:lang w:val="en-US" w:eastAsia="zh-CN" w:bidi="ar"/>
              </w:rPr>
              <w:t>，</w:t>
            </w:r>
            <w:r>
              <w:rPr>
                <w:rFonts w:hint="eastAsia" w:ascii="宋体" w:hAnsi="宋体" w:eastAsia="宋体" w:cs="宋体"/>
                <w:b w:val="0"/>
                <w:bCs w:val="0"/>
                <w:color w:val="auto"/>
                <w:kern w:val="0"/>
                <w:sz w:val="21"/>
                <w:szCs w:val="21"/>
                <w:lang w:val="en-US" w:eastAsia="zh-Hans" w:bidi="ar"/>
              </w:rPr>
              <w:t>日志统计</w:t>
            </w:r>
            <w:r>
              <w:rPr>
                <w:rFonts w:hint="eastAsia" w:ascii="宋体" w:hAnsi="宋体" w:eastAsia="宋体" w:cs="宋体"/>
                <w:b w:val="0"/>
                <w:bCs w:val="0"/>
                <w:color w:val="auto"/>
                <w:kern w:val="0"/>
                <w:sz w:val="21"/>
                <w:szCs w:val="21"/>
                <w:lang w:val="en-US" w:eastAsia="zh-CN" w:bidi="ar"/>
              </w:rPr>
              <w:t>等。</w:t>
            </w:r>
          </w:p>
          <w:p w14:paraId="741F33C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⑦优质公共资源服务：教师可以在教学资源库建设中搜索添加平台中的公共共享资源，包括教学视频、PPT、动画等文件类型。</w:t>
            </w:r>
          </w:p>
          <w:p w14:paraId="6923497D">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⑧资源管理：在资源管理功能中，支持对当前专业资源库的课程、素材、题库、试题进行增加、删除、修改、审核通过等管理。</w:t>
            </w:r>
          </w:p>
          <w:p w14:paraId="462BB69B">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课程管理中：支持筛选项进行查询不同单位，不同状态，以及是否有知识图谱的课程。选择对应课程分类后，可以通过创建、模板导入、链接添加、课程库导入等方式进行添加课程。支持编辑课程是否标记为课程模板，支持校内其他教师直接进行引用课程创建；支持删除，即将课程进行移除出本资源库；上架/下架是否允许校内其他教师直接引用被标记为课程模板的课程；查看引用，指可以查询被标记为示范教学包的课程引用出去的数据。</w:t>
            </w:r>
          </w:p>
          <w:p w14:paraId="51023586">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素材管理：支持筛选项进行查询对应条件的素材，支持对素材进行删除、信息和分类修改、素材下架、素材审核。素材可以从本单位课程添加、单独上传、跨单位添加，给素材打不同的标签内容，如知识点、技能点。</w:t>
            </w:r>
          </w:p>
          <w:p w14:paraId="36FFB22C">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题库管理：可以根据不同分类创建相应的题库，支持题库多条件筛选；添加方式可以通过单独创建、智能导入、模板导入、课程导入；题库支持批量删除、批量审核、批量移动和导出。</w:t>
            </w:r>
          </w:p>
          <w:p w14:paraId="7F3E079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试题管理:支持试题标签，可以通过课程库课程导入和考试系统同步，可以通过不同条件进行筛选，对题目进行删除和上架/下架操作。</w:t>
            </w:r>
          </w:p>
          <w:p w14:paraId="30EFA15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⑨健康检测：▲针对申报的国家级省级资源库提供自检功能，自动监测目前建设的资源库哪些指标不满足申报要求，告知哪些指标如何提升或者哪些内容如何进行配置。监测内容主要包括门户覆盖内容、内容监测、建设应用情况监测三部分内容，方便用户快速了解不达标的需要完善的内容大体情况。展示“重新检测”按钮，记录上一次检测结果，显示到年月日时分秒以及检测人姓名；可方便用户知道上次检测时间，通过时间判断整改后是否要在重新检测。</w:t>
            </w:r>
          </w:p>
          <w:p w14:paraId="12F2E85B">
            <w:pPr>
              <w:keepNext w:val="0"/>
              <w:keepLines w:val="0"/>
              <w:pageBreakBefore w:val="0"/>
              <w:widowControl w:val="0"/>
              <w:numPr>
                <w:ilvl w:val="0"/>
                <w:numId w:val="4"/>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资源库运行及应用</w:t>
            </w:r>
          </w:p>
          <w:p w14:paraId="288BDAFC">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jc w:val="left"/>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教学考评流程管理：资源库可实现教学考评管理。教师可利用资源库资源进行线上教学、混合式教学，学生在线学习记录可通过平台进行过程性记录。资源库中每门专业核心课程均可建立试题库，题库中的试题题型覆盖全面。</w:t>
            </w:r>
          </w:p>
          <w:p w14:paraId="056632C2">
            <w:pPr>
              <w:keepNext w:val="0"/>
              <w:keepLines w:val="0"/>
              <w:pageBreakBefore w:val="0"/>
              <w:widowControl w:val="0"/>
              <w:numPr>
                <w:ilvl w:val="0"/>
                <w:numId w:val="4"/>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AI教学资源生成平台</w:t>
            </w:r>
          </w:p>
          <w:p w14:paraId="070F700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①AI教案：教师输入教学材料或关键词，AI自动生成教案，并支持教师借助写作助手进行再次编辑。支持教师补充所教层次、适合的教学风格，形成更加具有个性化的教案。支持一键导出教案，并且支持按学校教案模板导出。</w:t>
            </w:r>
          </w:p>
          <w:p w14:paraId="2BF3B57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②AI 生成PPT：通过输入PPT内容要求，AI智能生成PPT大纲，支持教师在线直接编辑生成的大纲内容，确认无误后，AI自动根据大纲生成PPT，教师可以选择PPT模板。</w:t>
            </w:r>
          </w:p>
          <w:p w14:paraId="6825C63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③AI智能出题：支持教师通过输入相关的教学材料和知识点，AI系统可以自动生成对应的题目并且不限制教师使用次数。支持多种题型，题型包括选择题、填空题、简答题等，以便满足不同类型考题的需求。教师可以根据课程内容和学生水平，将生成的题目添加到题库。并随时使用这些题目进行测验、考试或者课堂练习。支持设置出的题目的要求，比如：适用年级、难易度、题目偏向等</w:t>
            </w:r>
          </w:p>
          <w:p w14:paraId="2EFBAE9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④AI数字人训练：支持公用人像库自选，支持通过5-10分钟训练视频进行数字分身形象的复刻训练，训练生成的数字分身需具备播报能力、并且可选择数字人动作区间，更适配课程内容姿态。训练后的形象可同步至视频生产平台进行使用。</w:t>
            </w:r>
          </w:p>
          <w:p w14:paraId="2396E05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⑤数字人视频生成:用户在进行视频内容生产过程中，选择好数字分身后可灵活调整数字分身形象大小和位置，制作过程中允许替换数字分身及数字分身的音色及对应语速、音调及音量信息，支持通过导入PPT文件的方式，进行视频分镜的构建，可快速基于导入的文件快速进行视频制作；播报视频生成时，支持对ppt动效、数字人、文字等元素，位置、大小等属性的编辑；也可进行可视、隐藏等操作，可将设置效果一键应用至全局。支持对制作完成的视频文件，进行本地导出操作，或者上传到智慧课程平台个人云盘，导出格式为mp4，可同步导出ppt文件</w:t>
            </w:r>
          </w:p>
          <w:p w14:paraId="3226AE0A">
            <w:pPr>
              <w:pageBreakBefore w:val="0"/>
              <w:widowControl/>
              <w:numPr>
                <w:ilvl w:val="0"/>
                <w:numId w:val="0"/>
              </w:numPr>
              <w:bidi w:val="0"/>
              <w:adjustRightInd w:val="0"/>
              <w:snapToGrid w:val="0"/>
              <w:spacing w:beforeAutospacing="0" w:afterAutospacing="0" w:line="360" w:lineRule="auto"/>
              <w:ind w:left="0" w:leftChars="0" w:right="0"/>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⑤AI学习内容生成：在老师构建的课程中，支持按照知识点、课程章节名称，系统智能推荐拓展资源给学生学习。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1CC069">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color w:val="auto"/>
                <w:kern w:val="0"/>
                <w:sz w:val="21"/>
                <w:szCs w:val="21"/>
                <w:lang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440968">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color w:val="auto"/>
                <w:kern w:val="0"/>
                <w:sz w:val="21"/>
                <w:szCs w:val="21"/>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A7F142">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BC7A34">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6ADF21">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r>
      <w:tr w14:paraId="1BA96C2B">
        <w:tblPrEx>
          <w:tblCellMar>
            <w:top w:w="0" w:type="dxa"/>
            <w:left w:w="108" w:type="dxa"/>
            <w:bottom w:w="0" w:type="dxa"/>
            <w:right w:w="108" w:type="dxa"/>
          </w:tblCellMar>
        </w:tblPrEx>
        <w:trPr>
          <w:trHeight w:val="5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844548">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1FDBB5">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展板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EF65A6">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技能教学成果展示展板定制（</w:t>
            </w:r>
            <w:r>
              <w:rPr>
                <w:rFonts w:hint="eastAsia" w:ascii="宋体" w:hAnsi="宋体" w:eastAsia="宋体" w:cs="宋体"/>
                <w:color w:val="auto"/>
                <w:sz w:val="21"/>
                <w:szCs w:val="21"/>
                <w:lang w:val="en-US" w:eastAsia="zh-CN"/>
              </w:rPr>
              <w:t>规格：100*200</w:t>
            </w:r>
            <w:r>
              <w:rPr>
                <w:rFonts w:hint="eastAsia" w:ascii="宋体" w:hAnsi="宋体" w:eastAsia="宋体" w:cs="宋体"/>
                <w:color w:val="auto"/>
                <w:sz w:val="21"/>
                <w:szCs w:val="21"/>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6D637D">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A4A337">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0D6DA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12A16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EB972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kern w:val="0"/>
                <w:sz w:val="21"/>
                <w:szCs w:val="21"/>
                <w:u w:val="none"/>
                <w:lang w:val="en-US" w:eastAsia="zh-CN" w:bidi="ar"/>
              </w:rPr>
            </w:pPr>
          </w:p>
        </w:tc>
      </w:tr>
      <w:tr w14:paraId="309533E6">
        <w:tblPrEx>
          <w:tblCellMar>
            <w:top w:w="0" w:type="dxa"/>
            <w:left w:w="108" w:type="dxa"/>
            <w:bottom w:w="0" w:type="dxa"/>
            <w:right w:w="108" w:type="dxa"/>
          </w:tblCellMar>
        </w:tblPrEx>
        <w:trPr>
          <w:trHeight w:val="5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BE29EA">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B92167">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桌椅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5501B4">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eastAsia="zh-CN" w:bidi="ar"/>
              </w:rPr>
              <w:t>选用单人单桌，蓝色桌面，按照国家卫健委下发的《学校课桌椅功能尺寸及技术要求》（</w:t>
            </w:r>
            <w:r>
              <w:rPr>
                <w:rFonts w:hint="eastAsia" w:ascii="宋体" w:hAnsi="宋体" w:eastAsia="宋体" w:cs="宋体"/>
                <w:color w:val="auto"/>
                <w:kern w:val="0"/>
                <w:sz w:val="21"/>
                <w:szCs w:val="21"/>
                <w:lang w:val="en-US" w:eastAsia="zh-CN" w:bidi="ar"/>
              </w:rPr>
              <w:t>GB/T3976-2014</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val="en-US" w:eastAsia="zh-CN" w:bidi="ar"/>
              </w:rPr>
              <w:t>文件标准，材质符合环保标准，对应高中生学习使用要求。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99BFFE">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C66405">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C2FDA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C7AFF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849D3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kern w:val="0"/>
                <w:sz w:val="21"/>
                <w:szCs w:val="21"/>
                <w:u w:val="none"/>
                <w:lang w:val="en-US" w:eastAsia="zh-CN" w:bidi="ar"/>
              </w:rPr>
            </w:pPr>
          </w:p>
        </w:tc>
      </w:tr>
      <w:tr w14:paraId="5E87B43E">
        <w:tblPrEx>
          <w:tblCellMar>
            <w:top w:w="0" w:type="dxa"/>
            <w:left w:w="108" w:type="dxa"/>
            <w:bottom w:w="0" w:type="dxa"/>
            <w:right w:w="108" w:type="dxa"/>
          </w:tblCellMar>
        </w:tblPrEx>
        <w:trPr>
          <w:trHeight w:val="5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6E61E6">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E126CD">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CE1F0F">
            <w:pPr>
              <w:pageBreakBefore w:val="0"/>
              <w:widowControl/>
              <w:bidi w:val="0"/>
              <w:adjustRightInd w:val="0"/>
              <w:snapToGrid w:val="0"/>
              <w:spacing w:beforeAutospacing="0" w:afterAutospacing="0" w:line="360" w:lineRule="auto"/>
              <w:ind w:left="0" w:leftChars="0" w:right="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额定制冷量(W)：≥7290</w:t>
            </w:r>
          </w:p>
          <w:p w14:paraId="69A7D94D">
            <w:pPr>
              <w:pageBreakBefore w:val="0"/>
              <w:widowControl/>
              <w:bidi w:val="0"/>
              <w:adjustRightInd w:val="0"/>
              <w:snapToGrid w:val="0"/>
              <w:spacing w:beforeAutospacing="0" w:afterAutospacing="0" w:line="360" w:lineRule="auto"/>
              <w:ind w:left="0" w:leftChars="0" w:right="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额定制热量(W)：热泵≥9210</w:t>
            </w:r>
          </w:p>
          <w:p w14:paraId="21A96F07">
            <w:pPr>
              <w:pageBreakBefore w:val="0"/>
              <w:widowControl/>
              <w:bidi w:val="0"/>
              <w:adjustRightInd w:val="0"/>
              <w:snapToGrid w:val="0"/>
              <w:spacing w:beforeAutospacing="0" w:afterAutospacing="0" w:line="360" w:lineRule="auto"/>
              <w:ind w:left="0" w:leftChars="0" w:right="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电辅热：≥2500</w:t>
            </w:r>
          </w:p>
          <w:p w14:paraId="195A2820">
            <w:pPr>
              <w:pageBreakBefore w:val="0"/>
              <w:widowControl/>
              <w:bidi w:val="0"/>
              <w:adjustRightInd w:val="0"/>
              <w:snapToGrid w:val="0"/>
              <w:spacing w:beforeAutospacing="0" w:afterAutospacing="0" w:line="360" w:lineRule="auto"/>
              <w:ind w:left="0" w:leftChars="0" w:right="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功率(W)制冷：≥2350(390~3250)</w:t>
            </w:r>
            <w:r>
              <w:rPr>
                <w:rFonts w:hint="eastAsia" w:ascii="宋体" w:hAnsi="宋体" w:eastAsia="宋体" w:cs="宋体"/>
                <w:color w:val="auto"/>
                <w:kern w:val="0"/>
                <w:sz w:val="21"/>
                <w:szCs w:val="21"/>
                <w:lang w:bidi="ar"/>
              </w:rPr>
              <w:tab/>
            </w:r>
          </w:p>
          <w:p w14:paraId="22E898E1">
            <w:pPr>
              <w:pageBreakBefore w:val="0"/>
              <w:widowControl/>
              <w:bidi w:val="0"/>
              <w:adjustRightInd w:val="0"/>
              <w:snapToGrid w:val="0"/>
              <w:spacing w:beforeAutospacing="0" w:afterAutospacing="0" w:line="360" w:lineRule="auto"/>
              <w:ind w:left="0" w:leftChars="0" w:right="0" w:firstLine="840" w:firstLineChars="40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制热≥2800</w:t>
            </w:r>
          </w:p>
          <w:p w14:paraId="1F117DE8">
            <w:pPr>
              <w:pageBreakBefore w:val="0"/>
              <w:widowControl/>
              <w:bidi w:val="0"/>
              <w:adjustRightInd w:val="0"/>
              <w:snapToGrid w:val="0"/>
              <w:spacing w:beforeAutospacing="0" w:afterAutospacing="0" w:line="360" w:lineRule="auto"/>
              <w:ind w:left="0" w:leftChars="0" w:right="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噪音[dB(A)]：室内机(低-高-超强)≤35-44-47</w:t>
            </w:r>
            <w:r>
              <w:rPr>
                <w:rFonts w:hint="eastAsia" w:ascii="宋体" w:hAnsi="宋体" w:eastAsia="宋体" w:cs="宋体"/>
                <w:color w:val="auto"/>
                <w:kern w:val="0"/>
                <w:sz w:val="21"/>
                <w:szCs w:val="21"/>
                <w:lang w:bidi="ar"/>
              </w:rPr>
              <w:tab/>
            </w:r>
          </w:p>
          <w:p w14:paraId="0DCCF4FB">
            <w:pPr>
              <w:pageBreakBefore w:val="0"/>
              <w:widowControl/>
              <w:bidi w:val="0"/>
              <w:adjustRightInd w:val="0"/>
              <w:snapToGrid w:val="0"/>
              <w:spacing w:beforeAutospacing="0" w:afterAutospacing="0" w:line="360" w:lineRule="auto"/>
              <w:ind w:left="0" w:leftChars="0" w:right="0" w:firstLine="1470" w:firstLineChars="70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室外机≤56</w:t>
            </w:r>
            <w:r>
              <w:rPr>
                <w:rFonts w:hint="eastAsia" w:ascii="宋体" w:hAnsi="宋体" w:eastAsia="宋体" w:cs="宋体"/>
                <w:color w:val="auto"/>
                <w:kern w:val="0"/>
                <w:sz w:val="21"/>
                <w:szCs w:val="21"/>
                <w:lang w:bidi="ar"/>
              </w:rPr>
              <w:tab/>
            </w:r>
          </w:p>
          <w:p w14:paraId="08450FC5">
            <w:pPr>
              <w:pageBreakBefore w:val="0"/>
              <w:widowControl/>
              <w:bidi w:val="0"/>
              <w:adjustRightInd w:val="0"/>
              <w:snapToGrid w:val="0"/>
              <w:spacing w:beforeAutospacing="0" w:afterAutospacing="0" w:line="360" w:lineRule="auto"/>
              <w:ind w:left="0" w:leftChars="0" w:right="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最大输入功率(W)≥6950</w:t>
            </w:r>
            <w:r>
              <w:rPr>
                <w:rFonts w:hint="eastAsia" w:ascii="宋体" w:hAnsi="宋体" w:eastAsia="宋体" w:cs="宋体"/>
                <w:color w:val="auto"/>
                <w:kern w:val="0"/>
                <w:sz w:val="21"/>
                <w:szCs w:val="21"/>
                <w:lang w:bidi="ar"/>
              </w:rPr>
              <w:tab/>
            </w:r>
          </w:p>
          <w:p w14:paraId="4B8942AE">
            <w:pPr>
              <w:pageBreakBefore w:val="0"/>
              <w:widowControl/>
              <w:bidi w:val="0"/>
              <w:adjustRightInd w:val="0"/>
              <w:snapToGrid w:val="0"/>
              <w:spacing w:beforeAutospacing="0" w:afterAutospacing="0" w:line="360" w:lineRule="auto"/>
              <w:ind w:left="0" w:leftChars="0" w:right="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最大输入电流(A)≥32.0</w:t>
            </w:r>
            <w:r>
              <w:rPr>
                <w:rFonts w:hint="eastAsia" w:ascii="宋体" w:hAnsi="宋体" w:eastAsia="宋体" w:cs="宋体"/>
                <w:color w:val="auto"/>
                <w:kern w:val="0"/>
                <w:sz w:val="21"/>
                <w:szCs w:val="21"/>
                <w:lang w:bidi="ar"/>
              </w:rPr>
              <w:tab/>
            </w:r>
          </w:p>
          <w:p w14:paraId="03D021BA">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循环风量(m/h)：≥1210</w:t>
            </w:r>
          </w:p>
          <w:p w14:paraId="7A30FFF5">
            <w:pPr>
              <w:pageBreakBefore w:val="0"/>
              <w:widowControl/>
              <w:bidi w:val="0"/>
              <w:adjustRightInd w:val="0"/>
              <w:snapToGrid w:val="0"/>
              <w:spacing w:beforeAutospacing="0" w:afterAutospacing="0" w:line="360" w:lineRule="auto"/>
              <w:ind w:left="0" w:leftChars="0" w:right="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eastAsia="zh-CN" w:bidi="ar"/>
              </w:rPr>
              <w:t>能效等级：一级</w:t>
            </w:r>
          </w:p>
          <w:p w14:paraId="29ACF780">
            <w:pPr>
              <w:pageBreakBefore w:val="0"/>
              <w:widowControl/>
              <w:bidi w:val="0"/>
              <w:adjustRightInd w:val="0"/>
              <w:snapToGrid w:val="0"/>
              <w:spacing w:beforeAutospacing="0" w:afterAutospacing="0" w:line="360" w:lineRule="auto"/>
              <w:ind w:left="0" w:leftChars="0" w:right="0"/>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eastAsia="zh-CN" w:bidi="ar"/>
              </w:rPr>
              <w:t>工作方式：变频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584CDC">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C2DE77">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CC9A3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4E71C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51B93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kern w:val="0"/>
                <w:sz w:val="21"/>
                <w:szCs w:val="21"/>
                <w:u w:val="none"/>
                <w:lang w:val="en-US" w:eastAsia="zh-CN" w:bidi="ar"/>
              </w:rPr>
            </w:pPr>
          </w:p>
        </w:tc>
      </w:tr>
      <w:tr w14:paraId="3E7AEB28">
        <w:tblPrEx>
          <w:tblCellMar>
            <w:top w:w="0" w:type="dxa"/>
            <w:left w:w="108" w:type="dxa"/>
            <w:bottom w:w="0" w:type="dxa"/>
            <w:right w:w="108" w:type="dxa"/>
          </w:tblCellMar>
        </w:tblPrEx>
        <w:trPr>
          <w:trHeight w:val="5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A2CE70">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1014A4">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DBF17B">
            <w:pPr>
              <w:pageBreakBefore w:val="0"/>
              <w:widowControl/>
              <w:bidi w:val="0"/>
              <w:adjustRightInd w:val="0"/>
              <w:snapToGrid w:val="0"/>
              <w:spacing w:beforeAutospacing="0" w:afterAutospacing="0" w:line="360" w:lineRule="auto"/>
              <w:ind w:left="0" w:leftChars="0" w:right="0"/>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78A3A2">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4B81BA">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38C27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E12E3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34CBF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kern w:val="0"/>
                <w:sz w:val="21"/>
                <w:szCs w:val="21"/>
                <w:u w:val="none"/>
                <w:lang w:val="en-US" w:eastAsia="zh-CN" w:bidi="ar"/>
              </w:rPr>
            </w:pPr>
          </w:p>
        </w:tc>
      </w:tr>
    </w:tbl>
    <w:p w14:paraId="09B77131">
      <w:pPr>
        <w:pageBreakBefore w:val="0"/>
        <w:bidi w:val="0"/>
        <w:adjustRightInd w:val="0"/>
        <w:snapToGrid w:val="0"/>
        <w:spacing w:beforeAutospacing="0" w:afterAutospacing="0" w:line="360" w:lineRule="auto"/>
        <w:ind w:left="0" w:leftChars="0" w:right="0"/>
        <w:rPr>
          <w:rFonts w:hint="eastAsia" w:ascii="宋体" w:hAnsi="宋体" w:eastAsia="宋体" w:cs="宋体"/>
          <w:lang w:val="en-US" w:eastAsia="zh-CN"/>
        </w:rPr>
      </w:pPr>
      <w:r>
        <w:rPr>
          <w:rFonts w:hint="eastAsia" w:ascii="宋体" w:hAnsi="宋体" w:eastAsia="宋体" w:cs="宋体"/>
          <w:lang w:val="en-US" w:eastAsia="zh-CN"/>
        </w:rPr>
        <w:br w:type="page"/>
      </w:r>
    </w:p>
    <w:p w14:paraId="745CC1E9">
      <w:pPr>
        <w:pageBreakBefore w:val="0"/>
        <w:bidi w:val="0"/>
        <w:adjustRightInd w:val="0"/>
        <w:snapToGrid w:val="0"/>
        <w:spacing w:beforeAutospacing="0" w:afterAutospacing="0" w:line="360" w:lineRule="auto"/>
        <w:ind w:left="0" w:leftChars="0" w:right="0"/>
        <w:rPr>
          <w:rFonts w:hint="eastAsia" w:ascii="宋体" w:hAnsi="宋体" w:eastAsia="宋体" w:cs="宋体"/>
          <w:lang w:val="en-US" w:eastAsia="zh-CN"/>
        </w:rPr>
        <w:sectPr>
          <w:pgSz w:w="11906" w:h="16838"/>
          <w:pgMar w:top="1440" w:right="1417" w:bottom="1440" w:left="1417" w:header="720" w:footer="720" w:gutter="0"/>
          <w:pgNumType w:fmt="decimal"/>
          <w:cols w:space="0" w:num="1"/>
          <w:rtlGutter w:val="0"/>
          <w:docGrid w:type="lines" w:linePitch="312" w:charSpace="0"/>
        </w:sectPr>
      </w:pPr>
    </w:p>
    <w:p w14:paraId="74AFCA0A">
      <w:pPr>
        <w:pageBreakBefore w:val="0"/>
        <w:bidi w:val="0"/>
        <w:adjustRightInd w:val="0"/>
        <w:snapToGrid w:val="0"/>
        <w:spacing w:beforeAutospacing="0" w:afterAutospacing="0" w:line="360" w:lineRule="auto"/>
        <w:ind w:left="0" w:leftChars="0" w:right="0"/>
        <w:jc w:val="center"/>
        <w:outlineLvl w:val="0"/>
        <w:rPr>
          <w:rFonts w:hint="eastAsia" w:ascii="宋体" w:hAnsi="宋体" w:eastAsia="宋体" w:cs="宋体"/>
          <w:b/>
          <w:bCs/>
          <w:color w:val="auto"/>
          <w:sz w:val="32"/>
          <w:szCs w:val="32"/>
          <w:highlight w:val="none"/>
        </w:rPr>
      </w:pPr>
      <w:bookmarkStart w:id="43" w:name="_Toc22285"/>
      <w:r>
        <w:rPr>
          <w:rFonts w:hint="eastAsia" w:ascii="宋体" w:hAnsi="宋体" w:eastAsia="宋体" w:cs="宋体"/>
          <w:b/>
          <w:bCs/>
          <w:color w:val="auto"/>
          <w:sz w:val="32"/>
          <w:szCs w:val="32"/>
          <w:highlight w:val="none"/>
        </w:rPr>
        <w:t>第四章 评标办法</w:t>
      </w:r>
      <w:bookmarkEnd w:id="43"/>
    </w:p>
    <w:p w14:paraId="6128788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 电子化投标文件的评审、比较和否决</w:t>
      </w:r>
    </w:p>
    <w:p w14:paraId="27216E8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1.1评标委员会将按照招标文件的规定，仅对在实质上响应招标文件要求的电子化投标文件进行评估和比较。</w:t>
      </w:r>
    </w:p>
    <w:p w14:paraId="15529A0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1.2根据相关法律法规及有关招投标文件规定，结合本项目具体情况，制定本次招标评标办法。并按照“公平、公正、科学、择优”的原则进行评标。采用综合评分法进行评比。</w:t>
      </w:r>
    </w:p>
    <w:p w14:paraId="3FB816D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1.3在评审过程中，评标委员会可以以书面形式要求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就电子化投标文件中含义不明确的内容进行书面说明并提供相关材料；凡遇到招标文件中无界定或界定不清、前后不一致使评委会成员意见有分歧且又难于协商一致的问题，均由评委会予以表决，获半数以上同意的即为通过，未获半数同意的即为否决。否决投标时应审慎。因招标文件表述歧义或逻辑错误等原因，造成投标文件表述不一致的，不作为否决投标的因素，投标人明显打字或排版错误且不影响实质内容的，可要求投标人作出书面澄清、说明或补正，不予以否决投标。</w:t>
      </w:r>
    </w:p>
    <w:p w14:paraId="64CCDB3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1.4评标时，投标报价是评标的重要依据，但不是唯一依据，采购人不承诺将合同授予报价最低或最高的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 </w:t>
      </w:r>
    </w:p>
    <w:p w14:paraId="75E4B84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评标委员会依据本须知规定的评标标准和方法，对电子化投标文件进行评审和比较，向采购人提出书面评标报告，并推荐合格的中标候选供应商。采购人授权评标委员会根据提出的书面评标报告和推荐的中标候选供应商按序确定中标供应商。</w:t>
      </w:r>
    </w:p>
    <w:p w14:paraId="4346192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1.6在评标过程中，投标文件中为同一品牌的且通过资格审查、符合性审查的不同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参加本项目投标的，按一家供应商计算，评审后得分最高的同品牌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获得中标人推荐资格，评审得分相同的，首先以报价最低的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获得中标供应商推荐资格；若报价相同的，以技术标得分最高的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获得中标供应商推荐资格。</w:t>
      </w:r>
    </w:p>
    <w:p w14:paraId="36D3154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在评标过程中，采购人采购的产品属于“节能产品政府采购清单”和“环境标志产品政府采购清单”中品目的，在性能、技术、服务等指标同等条件下，应当优先采购清单中的产品。对于同时列入环保清单和节能清单的产品，应当优先于只获得其中一项认证的产品。</w:t>
      </w:r>
    </w:p>
    <w:p w14:paraId="712C5EC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2．评分标准(采用综合评分法)</w:t>
      </w:r>
    </w:p>
    <w:p w14:paraId="4D4305C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4" w:firstLineChars="177"/>
        <w:textAlignment w:val="auto"/>
        <w:rPr>
          <w:rFonts w:hint="eastAsia"/>
        </w:rPr>
      </w:pPr>
      <w:r>
        <w:rPr>
          <w:rFonts w:hint="eastAsia" w:ascii="宋体" w:hAnsi="宋体" w:eastAsia="宋体" w:cs="宋体"/>
          <w:color w:val="auto"/>
          <w:sz w:val="24"/>
          <w:szCs w:val="24"/>
          <w:highlight w:val="none"/>
        </w:rPr>
        <w:t>评标委员会按照《中华人民共和国政府采购法》和《评标委员会和评标方法暂行规定》，结合本项目具体情况，按下列标准打分：第一部分：报价评审；第二部分：技术标评审；第三部分：商务标评审。</w:t>
      </w:r>
    </w:p>
    <w:p w14:paraId="044EEC0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最终得分=报价得分+技术标评审得分+商务标评审得分。</w:t>
      </w:r>
      <w:r>
        <w:rPr>
          <w:rFonts w:hint="eastAsia" w:ascii="宋体" w:hAnsi="宋体" w:eastAsia="宋体" w:cs="宋体"/>
          <w:color w:val="auto"/>
          <w:sz w:val="24"/>
          <w:szCs w:val="24"/>
          <w:highlight w:val="none"/>
        </w:rPr>
        <w:br w:type="page"/>
      </w:r>
    </w:p>
    <w:p w14:paraId="104AE592">
      <w:pPr>
        <w:pageBreakBefore w:val="0"/>
        <w:numPr>
          <w:ilvl w:val="0"/>
          <w:numId w:val="5"/>
        </w:numPr>
        <w:bidi w:val="0"/>
        <w:adjustRightInd w:val="0"/>
        <w:snapToGrid w:val="0"/>
        <w:spacing w:beforeAutospacing="0" w:afterAutospacing="0" w:line="360" w:lineRule="auto"/>
        <w:ind w:left="0" w:leftChars="0" w:right="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评审程序</w:t>
      </w:r>
    </w:p>
    <w:p w14:paraId="4FE5A223">
      <w:pPr>
        <w:pageBreakBefore w:val="0"/>
        <w:numPr>
          <w:ilvl w:val="0"/>
          <w:numId w:val="0"/>
        </w:numPr>
        <w:bidi w:val="0"/>
        <w:adjustRightInd w:val="0"/>
        <w:snapToGrid w:val="0"/>
        <w:spacing w:beforeAutospacing="0" w:afterAutospacing="0" w:line="360" w:lineRule="auto"/>
        <w:ind w:left="0" w:leftChars="0" w:right="0" w:firstLine="482" w:firstLineChars="200"/>
        <w:rPr>
          <w:rFonts w:hint="eastAsia" w:ascii="宋体" w:hAnsi="宋体" w:eastAsia="宋体" w:cs="宋体"/>
          <w:b/>
          <w:color w:val="auto"/>
          <w:kern w:val="0"/>
          <w:sz w:val="24"/>
          <w:szCs w:val="22"/>
          <w:highlight w:val="none"/>
          <w:u w:val="none" w:color="000000"/>
        </w:rPr>
      </w:pPr>
      <w:r>
        <w:rPr>
          <w:rFonts w:hint="eastAsia" w:ascii="宋体" w:hAnsi="宋体" w:eastAsia="宋体" w:cs="宋体"/>
          <w:b/>
          <w:color w:val="auto"/>
          <w:kern w:val="0"/>
          <w:sz w:val="24"/>
          <w:szCs w:val="22"/>
          <w:highlight w:val="none"/>
          <w:u w:val="none" w:color="000000"/>
        </w:rPr>
        <w:t>评标办法前附表</w:t>
      </w:r>
    </w:p>
    <w:p w14:paraId="0BCF0154">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.1资格性评审</w:t>
      </w:r>
    </w:p>
    <w:tbl>
      <w:tblPr>
        <w:tblStyle w:val="21"/>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4751"/>
        <w:gridCol w:w="3051"/>
      </w:tblGrid>
      <w:tr w14:paraId="112D6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17" w:type="dxa"/>
            <w:vMerge w:val="restart"/>
            <w:noWrap/>
            <w:vAlign w:val="center"/>
          </w:tcPr>
          <w:p w14:paraId="5A4A1BDB">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highlight w:val="none"/>
              </w:rPr>
            </w:pPr>
            <w:r>
              <w:rPr>
                <w:rFonts w:hint="eastAsia" w:ascii="宋体" w:hAnsi="宋体" w:eastAsia="宋体" w:cs="宋体"/>
                <w:color w:val="000000"/>
                <w:kern w:val="10"/>
                <w:sz w:val="24"/>
                <w:szCs w:val="24"/>
                <w:highlight w:val="none"/>
              </w:rPr>
              <w:t>资格性</w:t>
            </w:r>
            <w:r>
              <w:rPr>
                <w:rFonts w:hint="eastAsia" w:ascii="宋体" w:hAnsi="宋体" w:eastAsia="宋体" w:cs="宋体"/>
                <w:sz w:val="24"/>
                <w:szCs w:val="24"/>
                <w:highlight w:val="none"/>
              </w:rPr>
              <w:t>评审</w:t>
            </w:r>
          </w:p>
        </w:tc>
        <w:tc>
          <w:tcPr>
            <w:tcW w:w="4751" w:type="dxa"/>
            <w:noWrap/>
            <w:vAlign w:val="center"/>
          </w:tcPr>
          <w:p w14:paraId="6593CACE">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评审因素</w:t>
            </w:r>
          </w:p>
        </w:tc>
        <w:tc>
          <w:tcPr>
            <w:tcW w:w="3051" w:type="dxa"/>
            <w:noWrap/>
            <w:vAlign w:val="center"/>
          </w:tcPr>
          <w:p w14:paraId="22737351">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评审标准</w:t>
            </w:r>
          </w:p>
        </w:tc>
      </w:tr>
      <w:tr w14:paraId="5E85D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17" w:type="dxa"/>
            <w:vMerge w:val="continue"/>
            <w:noWrap/>
            <w:vAlign w:val="center"/>
          </w:tcPr>
          <w:p w14:paraId="3FA6EDE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highlight w:val="none"/>
              </w:rPr>
            </w:pPr>
          </w:p>
        </w:tc>
        <w:tc>
          <w:tcPr>
            <w:tcW w:w="4751" w:type="dxa"/>
            <w:noWrap/>
            <w:vAlign w:val="center"/>
          </w:tcPr>
          <w:p w14:paraId="6CDD8384">
            <w:pPr>
              <w:pageBreakBefore w:val="0"/>
              <w:bidi w:val="0"/>
              <w:adjustRightInd w:val="0"/>
              <w:snapToGrid w:val="0"/>
              <w:spacing w:beforeAutospacing="0" w:afterAutospacing="0" w:line="360" w:lineRule="auto"/>
              <w:ind w:left="0" w:leftChars="0" w:right="0"/>
              <w:jc w:val="center"/>
              <w:textAlignment w:val="baseline"/>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营业执照、税务登记证、组织机构代码证（或三证合一的营业执照）</w:t>
            </w:r>
          </w:p>
        </w:tc>
        <w:tc>
          <w:tcPr>
            <w:tcW w:w="3051" w:type="dxa"/>
            <w:noWrap/>
            <w:vAlign w:val="center"/>
          </w:tcPr>
          <w:p w14:paraId="448E2E47">
            <w:pPr>
              <w:pageBreakBefore w:val="0"/>
              <w:widowControl/>
              <w:autoSpaceDE w:val="0"/>
              <w:autoSpaceDN w:val="0"/>
              <w:bidi w:val="0"/>
              <w:adjustRightInd w:val="0"/>
              <w:snapToGrid w:val="0"/>
              <w:spacing w:beforeAutospacing="0" w:afterAutospacing="0" w:line="360" w:lineRule="auto"/>
              <w:ind w:left="0" w:leftChars="0" w:right="0"/>
              <w:jc w:val="left"/>
              <w:rPr>
                <w:rFonts w:hint="eastAsia" w:ascii="宋体" w:hAnsi="宋体" w:eastAsia="宋体" w:cs="宋体"/>
                <w:kern w:val="0"/>
                <w:sz w:val="24"/>
                <w:szCs w:val="24"/>
                <w:highlight w:val="none"/>
                <w:lang w:val="en-US"/>
              </w:rPr>
            </w:pPr>
            <w:r>
              <w:rPr>
                <w:rFonts w:hint="eastAsia" w:ascii="宋体" w:hAnsi="宋体" w:eastAsia="宋体" w:cs="宋体"/>
                <w:i w:val="0"/>
                <w:iCs w:val="0"/>
                <w:caps w:val="0"/>
                <w:color w:val="333333"/>
                <w:spacing w:val="0"/>
                <w:kern w:val="0"/>
                <w:sz w:val="24"/>
                <w:szCs w:val="24"/>
                <w:highlight w:val="none"/>
                <w:lang w:val="en-US" w:eastAsia="zh-CN" w:bidi="ar"/>
              </w:rPr>
              <w:t>符合招标文件要求</w:t>
            </w:r>
          </w:p>
        </w:tc>
      </w:tr>
      <w:tr w14:paraId="345F8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17" w:type="dxa"/>
            <w:vMerge w:val="continue"/>
            <w:noWrap/>
            <w:vAlign w:val="center"/>
          </w:tcPr>
          <w:p w14:paraId="179912A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highlight w:val="none"/>
              </w:rPr>
            </w:pPr>
          </w:p>
        </w:tc>
        <w:tc>
          <w:tcPr>
            <w:tcW w:w="4751" w:type="dxa"/>
            <w:noWrap/>
            <w:vAlign w:val="center"/>
          </w:tcPr>
          <w:p w14:paraId="3657E0AF">
            <w:pPr>
              <w:pageBreakBefore w:val="0"/>
              <w:bidi w:val="0"/>
              <w:adjustRightInd w:val="0"/>
              <w:snapToGrid w:val="0"/>
              <w:spacing w:beforeAutospacing="0" w:afterAutospacing="0" w:line="360" w:lineRule="auto"/>
              <w:ind w:left="0" w:leftChars="0" w:right="0"/>
              <w:jc w:val="center"/>
              <w:textAlignment w:val="baseline"/>
              <w:rPr>
                <w:rFonts w:hint="eastAsia" w:ascii="宋体" w:hAnsi="宋体" w:eastAsia="宋体" w:cs="宋体"/>
                <w:sz w:val="24"/>
                <w:szCs w:val="24"/>
                <w:highlight w:val="none"/>
              </w:rPr>
            </w:pPr>
            <w:r>
              <w:rPr>
                <w:rFonts w:hint="eastAsia" w:ascii="宋体" w:hAnsi="宋体" w:eastAsia="宋体" w:cs="宋体"/>
                <w:color w:val="auto"/>
                <w:sz w:val="24"/>
                <w:szCs w:val="28"/>
                <w:highlight w:val="none"/>
              </w:rPr>
              <w:t>具有良好的商业信誉和健全的财务会计制度</w:t>
            </w:r>
          </w:p>
        </w:tc>
        <w:tc>
          <w:tcPr>
            <w:tcW w:w="3051" w:type="dxa"/>
            <w:noWrap/>
            <w:vAlign w:val="center"/>
          </w:tcPr>
          <w:p w14:paraId="5B0BFB0A">
            <w:pPr>
              <w:pageBreakBefore w:val="0"/>
              <w:widowControl/>
              <w:autoSpaceDE w:val="0"/>
              <w:autoSpaceDN w:val="0"/>
              <w:bidi w:val="0"/>
              <w:adjustRightInd w:val="0"/>
              <w:snapToGrid w:val="0"/>
              <w:spacing w:beforeAutospacing="0" w:afterAutospacing="0" w:line="360" w:lineRule="auto"/>
              <w:ind w:left="0" w:leftChars="0" w:right="0"/>
              <w:jc w:val="left"/>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kern w:val="0"/>
                <w:sz w:val="24"/>
                <w:szCs w:val="24"/>
                <w:highlight w:val="none"/>
                <w:lang w:val="en-US" w:eastAsia="zh-CN" w:bidi="ar"/>
              </w:rPr>
              <w:t>符合招标文件要求</w:t>
            </w:r>
          </w:p>
        </w:tc>
      </w:tr>
      <w:tr w14:paraId="684F5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17" w:type="dxa"/>
            <w:vMerge w:val="continue"/>
            <w:noWrap/>
            <w:vAlign w:val="center"/>
          </w:tcPr>
          <w:p w14:paraId="165D8B3C">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highlight w:val="none"/>
              </w:rPr>
            </w:pPr>
          </w:p>
        </w:tc>
        <w:tc>
          <w:tcPr>
            <w:tcW w:w="4751" w:type="dxa"/>
            <w:noWrap/>
            <w:vAlign w:val="center"/>
          </w:tcPr>
          <w:p w14:paraId="23444622">
            <w:pPr>
              <w:pageBreakBefore w:val="0"/>
              <w:bidi w:val="0"/>
              <w:adjustRightInd w:val="0"/>
              <w:snapToGrid w:val="0"/>
              <w:spacing w:beforeAutospacing="0" w:afterAutospacing="0" w:line="360" w:lineRule="auto"/>
              <w:ind w:left="0" w:leftChars="0" w:right="0"/>
              <w:jc w:val="center"/>
              <w:textAlignment w:val="baseline"/>
              <w:rPr>
                <w:rFonts w:hint="eastAsia" w:ascii="宋体" w:hAnsi="宋体" w:eastAsia="宋体" w:cs="宋体"/>
                <w:sz w:val="24"/>
                <w:szCs w:val="24"/>
                <w:highlight w:val="none"/>
              </w:rPr>
            </w:pPr>
            <w:r>
              <w:rPr>
                <w:rFonts w:hint="eastAsia" w:ascii="宋体" w:hAnsi="宋体" w:eastAsia="宋体" w:cs="宋体"/>
                <w:color w:val="auto"/>
                <w:sz w:val="24"/>
                <w:szCs w:val="28"/>
                <w:highlight w:val="none"/>
              </w:rPr>
              <w:t>具有履行合同所必需的设备和专业技术能力</w:t>
            </w:r>
          </w:p>
        </w:tc>
        <w:tc>
          <w:tcPr>
            <w:tcW w:w="3051" w:type="dxa"/>
            <w:noWrap/>
            <w:vAlign w:val="center"/>
          </w:tcPr>
          <w:p w14:paraId="21E1D2A7">
            <w:pPr>
              <w:pageBreakBefore w:val="0"/>
              <w:widowControl/>
              <w:autoSpaceDE w:val="0"/>
              <w:autoSpaceDN w:val="0"/>
              <w:bidi w:val="0"/>
              <w:adjustRightInd w:val="0"/>
              <w:snapToGrid w:val="0"/>
              <w:spacing w:beforeAutospacing="0" w:afterAutospacing="0" w:line="360" w:lineRule="auto"/>
              <w:ind w:left="0" w:leftChars="0" w:right="0"/>
              <w:jc w:val="left"/>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kern w:val="0"/>
                <w:sz w:val="24"/>
                <w:szCs w:val="24"/>
                <w:highlight w:val="none"/>
                <w:lang w:val="en-US" w:eastAsia="zh-CN" w:bidi="ar"/>
              </w:rPr>
              <w:t>符合招标文件要求</w:t>
            </w:r>
          </w:p>
        </w:tc>
      </w:tr>
      <w:tr w14:paraId="0E91B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17" w:type="dxa"/>
            <w:vMerge w:val="continue"/>
            <w:noWrap/>
            <w:vAlign w:val="center"/>
          </w:tcPr>
          <w:p w14:paraId="7343BE0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highlight w:val="none"/>
              </w:rPr>
            </w:pPr>
          </w:p>
        </w:tc>
        <w:tc>
          <w:tcPr>
            <w:tcW w:w="4751" w:type="dxa"/>
            <w:noWrap/>
            <w:vAlign w:val="center"/>
          </w:tcPr>
          <w:p w14:paraId="4E9DF91A">
            <w:pPr>
              <w:pageBreakBefore w:val="0"/>
              <w:widowControl/>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highlight w:val="none"/>
              </w:rPr>
            </w:pPr>
            <w:r>
              <w:rPr>
                <w:rFonts w:hint="eastAsia" w:ascii="宋体" w:hAnsi="宋体" w:eastAsia="宋体" w:cs="宋体"/>
                <w:color w:val="auto"/>
                <w:sz w:val="24"/>
                <w:szCs w:val="28"/>
                <w:highlight w:val="none"/>
              </w:rPr>
              <w:t>有依法缴纳税收和社会保障资金的良好记录</w:t>
            </w:r>
          </w:p>
        </w:tc>
        <w:tc>
          <w:tcPr>
            <w:tcW w:w="3051" w:type="dxa"/>
            <w:noWrap/>
            <w:vAlign w:val="center"/>
          </w:tcPr>
          <w:p w14:paraId="56CD5FE0">
            <w:pPr>
              <w:pageBreakBefore w:val="0"/>
              <w:widowControl/>
              <w:autoSpaceDE w:val="0"/>
              <w:autoSpaceDN w:val="0"/>
              <w:bidi w:val="0"/>
              <w:adjustRightInd w:val="0"/>
              <w:snapToGrid w:val="0"/>
              <w:spacing w:beforeAutospacing="0" w:afterAutospacing="0" w:line="360" w:lineRule="auto"/>
              <w:ind w:left="0" w:leftChars="0" w:right="0"/>
              <w:jc w:val="left"/>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kern w:val="0"/>
                <w:sz w:val="24"/>
                <w:szCs w:val="24"/>
                <w:highlight w:val="none"/>
                <w:lang w:val="en-US" w:eastAsia="zh-CN" w:bidi="ar"/>
              </w:rPr>
              <w:t>符合招标文件要求</w:t>
            </w:r>
          </w:p>
        </w:tc>
      </w:tr>
      <w:tr w14:paraId="6BCF2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17" w:type="dxa"/>
            <w:vMerge w:val="continue"/>
            <w:noWrap/>
            <w:vAlign w:val="center"/>
          </w:tcPr>
          <w:p w14:paraId="3394DA3C">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highlight w:val="none"/>
              </w:rPr>
            </w:pPr>
          </w:p>
        </w:tc>
        <w:tc>
          <w:tcPr>
            <w:tcW w:w="4751" w:type="dxa"/>
            <w:noWrap/>
            <w:vAlign w:val="center"/>
          </w:tcPr>
          <w:p w14:paraId="4418D23A">
            <w:pPr>
              <w:pageBreakBefore w:val="0"/>
              <w:widowControl/>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参加政府采购活动近三年内，在经营活动中没有重大违法记录</w:t>
            </w:r>
          </w:p>
        </w:tc>
        <w:tc>
          <w:tcPr>
            <w:tcW w:w="3051" w:type="dxa"/>
            <w:noWrap/>
            <w:vAlign w:val="center"/>
          </w:tcPr>
          <w:p w14:paraId="7D00F65D">
            <w:pPr>
              <w:pageBreakBefore w:val="0"/>
              <w:widowControl/>
              <w:autoSpaceDE w:val="0"/>
              <w:autoSpaceDN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8"/>
                <w:highlight w:val="none"/>
              </w:rPr>
            </w:pPr>
            <w:r>
              <w:rPr>
                <w:rFonts w:hint="eastAsia" w:ascii="宋体" w:hAnsi="宋体" w:eastAsia="宋体" w:cs="宋体"/>
                <w:i w:val="0"/>
                <w:iCs w:val="0"/>
                <w:caps w:val="0"/>
                <w:color w:val="333333"/>
                <w:spacing w:val="0"/>
                <w:kern w:val="0"/>
                <w:sz w:val="24"/>
                <w:szCs w:val="24"/>
                <w:highlight w:val="none"/>
                <w:lang w:val="en-US" w:eastAsia="zh-CN" w:bidi="ar"/>
              </w:rPr>
              <w:t>符合招标文件要求</w:t>
            </w:r>
          </w:p>
        </w:tc>
      </w:tr>
      <w:tr w14:paraId="6FC9D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17" w:type="dxa"/>
            <w:vMerge w:val="continue"/>
            <w:noWrap/>
            <w:vAlign w:val="center"/>
          </w:tcPr>
          <w:p w14:paraId="6BE993B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highlight w:val="none"/>
              </w:rPr>
            </w:pPr>
          </w:p>
        </w:tc>
        <w:tc>
          <w:tcPr>
            <w:tcW w:w="4751" w:type="dxa"/>
            <w:noWrap/>
            <w:vAlign w:val="center"/>
          </w:tcPr>
          <w:p w14:paraId="14A9C0C1">
            <w:pPr>
              <w:pageBreakBefore w:val="0"/>
              <w:bidi w:val="0"/>
              <w:adjustRightInd w:val="0"/>
              <w:snapToGrid w:val="0"/>
              <w:spacing w:beforeAutospacing="0" w:afterAutospacing="0" w:line="360" w:lineRule="auto"/>
              <w:ind w:left="0" w:leftChars="0" w:right="0"/>
              <w:jc w:val="center"/>
              <w:textAlignment w:val="baseline"/>
              <w:rPr>
                <w:rFonts w:hint="eastAsia" w:ascii="宋体" w:hAnsi="宋体" w:eastAsia="宋体" w:cs="宋体"/>
                <w:sz w:val="24"/>
                <w:szCs w:val="24"/>
                <w:highlight w:val="none"/>
              </w:rPr>
            </w:pPr>
            <w:r>
              <w:rPr>
                <w:rFonts w:hint="eastAsia" w:ascii="宋体" w:hAnsi="宋体" w:eastAsia="宋体" w:cs="宋体"/>
                <w:color w:val="auto"/>
                <w:sz w:val="24"/>
                <w:szCs w:val="28"/>
                <w:highlight w:val="none"/>
                <w:lang w:val="en-US" w:eastAsia="zh-CN"/>
              </w:rPr>
              <w:t>无商业贿赂及无不正当竞争行为</w:t>
            </w:r>
          </w:p>
        </w:tc>
        <w:tc>
          <w:tcPr>
            <w:tcW w:w="3051" w:type="dxa"/>
            <w:noWrap/>
            <w:vAlign w:val="center"/>
          </w:tcPr>
          <w:p w14:paraId="2648B3DC">
            <w:pPr>
              <w:pStyle w:val="19"/>
              <w:pageBreakBefore w:val="0"/>
              <w:bidi w:val="0"/>
              <w:adjustRightInd w:val="0"/>
              <w:snapToGrid w:val="0"/>
              <w:spacing w:beforeAutospacing="0" w:after="0" w:afterAutospacing="0" w:line="360" w:lineRule="auto"/>
              <w:ind w:left="0" w:leftChars="0" w:right="0" w:firstLine="0" w:firstLineChars="0"/>
              <w:jc w:val="left"/>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kern w:val="0"/>
                <w:sz w:val="24"/>
                <w:szCs w:val="24"/>
                <w:highlight w:val="none"/>
                <w:lang w:val="en-US" w:eastAsia="zh-CN" w:bidi="ar"/>
              </w:rPr>
              <w:t>符合招标文件要求</w:t>
            </w:r>
          </w:p>
        </w:tc>
      </w:tr>
      <w:tr w14:paraId="4F7CC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17" w:type="dxa"/>
            <w:vMerge w:val="continue"/>
            <w:noWrap/>
            <w:vAlign w:val="center"/>
          </w:tcPr>
          <w:p w14:paraId="77949A9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highlight w:val="none"/>
              </w:rPr>
            </w:pPr>
          </w:p>
        </w:tc>
        <w:tc>
          <w:tcPr>
            <w:tcW w:w="4751" w:type="dxa"/>
            <w:noWrap/>
            <w:vAlign w:val="center"/>
          </w:tcPr>
          <w:p w14:paraId="7FDD690B">
            <w:pPr>
              <w:pageBreakBefore w:val="0"/>
              <w:bidi w:val="0"/>
              <w:adjustRightInd w:val="0"/>
              <w:snapToGrid w:val="0"/>
              <w:spacing w:beforeAutospacing="0" w:afterAutospacing="0" w:line="360" w:lineRule="auto"/>
              <w:ind w:left="0" w:leftChars="0" w:right="0"/>
              <w:jc w:val="center"/>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rPr>
              <w:t>信用</w:t>
            </w:r>
            <w:r>
              <w:rPr>
                <w:rFonts w:hint="eastAsia" w:ascii="宋体" w:hAnsi="宋体" w:cs="宋体"/>
                <w:i w:val="0"/>
                <w:iCs w:val="0"/>
                <w:caps w:val="0"/>
                <w:color w:val="333333"/>
                <w:spacing w:val="0"/>
                <w:sz w:val="24"/>
                <w:szCs w:val="24"/>
                <w:highlight w:val="none"/>
                <w:lang w:val="en-US" w:eastAsia="zh-CN"/>
              </w:rPr>
              <w:t>查询</w:t>
            </w:r>
            <w:r>
              <w:rPr>
                <w:rFonts w:hint="eastAsia" w:ascii="宋体" w:hAnsi="宋体" w:eastAsia="宋体" w:cs="宋体"/>
                <w:i w:val="0"/>
                <w:iCs w:val="0"/>
                <w:caps w:val="0"/>
                <w:color w:val="333333"/>
                <w:spacing w:val="0"/>
                <w:sz w:val="24"/>
                <w:szCs w:val="24"/>
                <w:highlight w:val="none"/>
                <w:lang w:val="en-US" w:eastAsia="zh-CN"/>
              </w:rPr>
              <w:t>截图</w:t>
            </w:r>
          </w:p>
        </w:tc>
        <w:tc>
          <w:tcPr>
            <w:tcW w:w="3051" w:type="dxa"/>
            <w:noWrap/>
            <w:vAlign w:val="center"/>
          </w:tcPr>
          <w:p w14:paraId="3648184D">
            <w:pPr>
              <w:pStyle w:val="19"/>
              <w:pageBreakBefore w:val="0"/>
              <w:bidi w:val="0"/>
              <w:adjustRightInd w:val="0"/>
              <w:snapToGrid w:val="0"/>
              <w:spacing w:beforeAutospacing="0" w:after="0" w:afterAutospacing="0" w:line="360" w:lineRule="auto"/>
              <w:ind w:left="0" w:leftChars="0" w:right="0" w:firstLine="0" w:firstLineChars="0"/>
              <w:jc w:val="left"/>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kern w:val="0"/>
                <w:sz w:val="24"/>
                <w:szCs w:val="24"/>
                <w:highlight w:val="none"/>
                <w:lang w:val="en-US" w:eastAsia="zh-CN" w:bidi="ar"/>
              </w:rPr>
              <w:t>符合招标文件要求</w:t>
            </w:r>
          </w:p>
        </w:tc>
      </w:tr>
      <w:tr w14:paraId="34901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17" w:type="dxa"/>
            <w:vMerge w:val="continue"/>
            <w:noWrap/>
            <w:vAlign w:val="center"/>
          </w:tcPr>
          <w:p w14:paraId="6BE6C2FC">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highlight w:val="none"/>
              </w:rPr>
            </w:pPr>
          </w:p>
        </w:tc>
        <w:tc>
          <w:tcPr>
            <w:tcW w:w="4751" w:type="dxa"/>
            <w:noWrap/>
            <w:vAlign w:val="center"/>
          </w:tcPr>
          <w:p w14:paraId="4B0C4ED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highlight w:val="none"/>
              </w:rPr>
            </w:pPr>
            <w:r>
              <w:rPr>
                <w:rFonts w:hint="eastAsia" w:ascii="宋体" w:hAnsi="宋体" w:eastAsia="宋体" w:cs="宋体"/>
                <w:color w:val="auto"/>
                <w:sz w:val="24"/>
                <w:szCs w:val="28"/>
                <w:highlight w:val="none"/>
                <w:lang w:val="en-US" w:eastAsia="zh-CN"/>
              </w:rPr>
              <w:t>单位负责人为同一人或者存在直接控股、管理关系的不同供应商，不得参加同一合同项下的采购活动</w:t>
            </w:r>
          </w:p>
        </w:tc>
        <w:tc>
          <w:tcPr>
            <w:tcW w:w="3051" w:type="dxa"/>
            <w:noWrap/>
            <w:vAlign w:val="center"/>
          </w:tcPr>
          <w:p w14:paraId="2148DC67">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符合招标文件要求</w:t>
            </w:r>
          </w:p>
        </w:tc>
      </w:tr>
      <w:tr w14:paraId="6F53A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17" w:type="dxa"/>
            <w:vMerge w:val="continue"/>
            <w:noWrap/>
            <w:vAlign w:val="center"/>
          </w:tcPr>
          <w:p w14:paraId="14EC2520">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p>
        </w:tc>
        <w:tc>
          <w:tcPr>
            <w:tcW w:w="4751" w:type="dxa"/>
            <w:noWrap/>
            <w:vAlign w:val="center"/>
          </w:tcPr>
          <w:p w14:paraId="69C5713F">
            <w:pPr>
              <w:pageBreakBefore w:val="0"/>
              <w:bidi w:val="0"/>
              <w:adjustRightInd w:val="0"/>
              <w:snapToGrid w:val="0"/>
              <w:spacing w:beforeAutospacing="0" w:afterAutospacing="0" w:line="360" w:lineRule="auto"/>
              <w:ind w:left="0" w:leftChars="0" w:right="0"/>
              <w:jc w:val="center"/>
              <w:textAlignment w:val="baseline"/>
              <w:rPr>
                <w:rFonts w:hint="eastAsia" w:ascii="宋体" w:hAnsi="宋体" w:eastAsia="宋体" w:cs="宋体"/>
                <w:sz w:val="24"/>
                <w:szCs w:val="24"/>
              </w:rPr>
            </w:pPr>
            <w:r>
              <w:rPr>
                <w:rFonts w:hint="eastAsia" w:ascii="宋体" w:hAnsi="宋体" w:eastAsia="宋体" w:cs="宋体"/>
                <w:color w:val="auto"/>
                <w:sz w:val="24"/>
                <w:szCs w:val="28"/>
                <w:highlight w:val="none"/>
              </w:rPr>
              <w:t>本项目不</w:t>
            </w:r>
            <w:r>
              <w:rPr>
                <w:rFonts w:hint="eastAsia" w:ascii="宋体" w:hAnsi="宋体" w:eastAsia="宋体" w:cs="宋体"/>
                <w:color w:val="auto"/>
                <w:sz w:val="24"/>
                <w:szCs w:val="28"/>
                <w:highlight w:val="none"/>
                <w:lang w:val="en-US" w:eastAsia="zh-CN"/>
              </w:rPr>
              <w:t>接受</w:t>
            </w:r>
            <w:r>
              <w:rPr>
                <w:rFonts w:hint="eastAsia" w:ascii="宋体" w:hAnsi="宋体" w:eastAsia="宋体" w:cs="宋体"/>
                <w:color w:val="auto"/>
                <w:sz w:val="24"/>
                <w:szCs w:val="28"/>
                <w:highlight w:val="none"/>
              </w:rPr>
              <w:t>联合体投标</w:t>
            </w:r>
          </w:p>
        </w:tc>
        <w:tc>
          <w:tcPr>
            <w:tcW w:w="3051" w:type="dxa"/>
            <w:noWrap/>
            <w:vAlign w:val="center"/>
          </w:tcPr>
          <w:p w14:paraId="14F0A338">
            <w:pPr>
              <w:pStyle w:val="19"/>
              <w:pageBreakBefore w:val="0"/>
              <w:bidi w:val="0"/>
              <w:adjustRightInd w:val="0"/>
              <w:snapToGrid w:val="0"/>
              <w:spacing w:beforeAutospacing="0" w:after="0" w:afterAutospacing="0" w:line="360" w:lineRule="auto"/>
              <w:ind w:left="0" w:leftChars="0" w:right="0" w:firstLine="0" w:firstLineChars="0"/>
              <w:jc w:val="left"/>
              <w:rPr>
                <w:rFonts w:hint="eastAsia" w:ascii="宋体" w:hAnsi="宋体" w:eastAsia="宋体" w:cs="宋体"/>
                <w:sz w:val="24"/>
                <w:szCs w:val="24"/>
              </w:rPr>
            </w:pPr>
            <w:r>
              <w:rPr>
                <w:rFonts w:hint="eastAsia" w:ascii="宋体" w:hAnsi="宋体" w:eastAsia="宋体" w:cs="宋体"/>
                <w:sz w:val="24"/>
                <w:szCs w:val="24"/>
                <w:highlight w:val="none"/>
                <w:lang w:val="en-US" w:eastAsia="zh-CN"/>
              </w:rPr>
              <w:t>符合招标文件要求</w:t>
            </w:r>
          </w:p>
        </w:tc>
      </w:tr>
      <w:tr w14:paraId="70BF1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819" w:type="dxa"/>
            <w:gridSpan w:val="3"/>
            <w:noWrap/>
            <w:vAlign w:val="center"/>
          </w:tcPr>
          <w:p w14:paraId="1227EC5F">
            <w:pPr>
              <w:pageBreakBefore w:val="0"/>
              <w:bidi w:val="0"/>
              <w:adjustRightInd w:val="0"/>
              <w:snapToGrid w:val="0"/>
              <w:spacing w:beforeAutospacing="0" w:afterAutospacing="0" w:line="360" w:lineRule="auto"/>
              <w:ind w:left="0" w:leftChars="0" w:right="0"/>
              <w:rPr>
                <w:rFonts w:hint="eastAsia" w:ascii="宋体" w:hAnsi="宋体" w:eastAsia="宋体" w:cs="宋体"/>
                <w:sz w:val="24"/>
                <w:szCs w:val="24"/>
              </w:rPr>
            </w:pPr>
            <w:r>
              <w:rPr>
                <w:rFonts w:hint="eastAsia" w:ascii="宋体" w:hAnsi="宋体" w:eastAsia="宋体" w:cs="宋体"/>
                <w:sz w:val="24"/>
                <w:szCs w:val="24"/>
              </w:rPr>
              <w:t>以上证件以投标截止时间前在三门峡市公共资源交易系统上传的投标文件的信息为准。其上传资料真实性由供应商自行承担</w:t>
            </w:r>
            <w:r>
              <w:rPr>
                <w:rFonts w:hint="eastAsia" w:ascii="宋体" w:hAnsi="宋体" w:eastAsia="宋体" w:cs="宋体"/>
                <w:sz w:val="24"/>
                <w:szCs w:val="24"/>
                <w:lang w:eastAsia="zh-CN"/>
              </w:rPr>
              <w:t>，</w:t>
            </w:r>
            <w:r>
              <w:rPr>
                <w:rFonts w:hint="eastAsia" w:ascii="宋体" w:hAnsi="宋体" w:eastAsia="宋体" w:cs="宋体"/>
                <w:sz w:val="24"/>
                <w:szCs w:val="24"/>
              </w:rPr>
              <w:t>否则，由此造成应得分而未得分或资格审查不合格等情况的，由供应商承担责任。</w:t>
            </w:r>
          </w:p>
          <w:p w14:paraId="2CF6F894">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szCs w:val="24"/>
              </w:rPr>
            </w:pPr>
            <w:r>
              <w:rPr>
                <w:rFonts w:hint="eastAsia" w:ascii="宋体" w:hAnsi="宋体" w:eastAsia="宋体" w:cs="宋体"/>
                <w:sz w:val="24"/>
                <w:szCs w:val="24"/>
              </w:rPr>
              <w:t>根据87号令第四十四条规定，公开招标采购项目开标结束后，采购人或者采购代理机构应当依法对供应商的资格进行审查，未通过资格审查的供应商不参与评标。</w:t>
            </w:r>
          </w:p>
        </w:tc>
      </w:tr>
    </w:tbl>
    <w:p w14:paraId="04E81251">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.2符合性评审</w:t>
      </w:r>
    </w:p>
    <w:p w14:paraId="2CF787D2">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投标文件不能满足下列情形之一的，由评标委员会初审后不进入下一轮评审：</w:t>
      </w:r>
    </w:p>
    <w:tbl>
      <w:tblPr>
        <w:tblStyle w:val="21"/>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2628"/>
        <w:gridCol w:w="5174"/>
      </w:tblGrid>
      <w:tr w14:paraId="25C20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17" w:type="dxa"/>
            <w:vMerge w:val="restart"/>
            <w:vAlign w:val="center"/>
          </w:tcPr>
          <w:p w14:paraId="23FAC78E">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符合性评审</w:t>
            </w:r>
          </w:p>
        </w:tc>
        <w:tc>
          <w:tcPr>
            <w:tcW w:w="2628" w:type="dxa"/>
            <w:vAlign w:val="center"/>
          </w:tcPr>
          <w:p w14:paraId="12A8C61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评审因素</w:t>
            </w:r>
          </w:p>
        </w:tc>
        <w:tc>
          <w:tcPr>
            <w:tcW w:w="5174" w:type="dxa"/>
            <w:vAlign w:val="center"/>
          </w:tcPr>
          <w:p w14:paraId="4484AFD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评审标准</w:t>
            </w:r>
          </w:p>
        </w:tc>
      </w:tr>
      <w:tr w14:paraId="4095F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17" w:type="dxa"/>
            <w:vMerge w:val="continue"/>
            <w:vAlign w:val="center"/>
          </w:tcPr>
          <w:p w14:paraId="5BA6AFA3">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p>
        </w:tc>
        <w:tc>
          <w:tcPr>
            <w:tcW w:w="2628" w:type="dxa"/>
            <w:vAlign w:val="center"/>
          </w:tcPr>
          <w:p w14:paraId="0D1A88E5">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kern w:val="1"/>
                <w:sz w:val="24"/>
                <w:szCs w:val="24"/>
              </w:rPr>
              <w:t>供应商名称</w:t>
            </w:r>
          </w:p>
        </w:tc>
        <w:tc>
          <w:tcPr>
            <w:tcW w:w="5174" w:type="dxa"/>
            <w:vAlign w:val="center"/>
          </w:tcPr>
          <w:p w14:paraId="4D5C69A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kern w:val="1"/>
                <w:sz w:val="24"/>
                <w:szCs w:val="24"/>
              </w:rPr>
              <w:t>与营业执照一致</w:t>
            </w:r>
          </w:p>
        </w:tc>
      </w:tr>
      <w:tr w14:paraId="7292E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17" w:type="dxa"/>
            <w:vMerge w:val="continue"/>
            <w:vAlign w:val="center"/>
          </w:tcPr>
          <w:p w14:paraId="77E37E2D">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p>
        </w:tc>
        <w:tc>
          <w:tcPr>
            <w:tcW w:w="2628" w:type="dxa"/>
            <w:vAlign w:val="center"/>
          </w:tcPr>
          <w:p w14:paraId="2A0A9DDB">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电子签章</w:t>
            </w:r>
          </w:p>
        </w:tc>
        <w:tc>
          <w:tcPr>
            <w:tcW w:w="5174" w:type="dxa"/>
            <w:vAlign w:val="center"/>
          </w:tcPr>
          <w:p w14:paraId="258D5BF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符合招标文件要求的电子签章</w:t>
            </w:r>
          </w:p>
        </w:tc>
      </w:tr>
      <w:tr w14:paraId="274A7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17" w:type="dxa"/>
            <w:vMerge w:val="continue"/>
            <w:vAlign w:val="center"/>
          </w:tcPr>
          <w:p w14:paraId="2D159D8F">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p>
        </w:tc>
        <w:tc>
          <w:tcPr>
            <w:tcW w:w="2628" w:type="dxa"/>
            <w:vAlign w:val="center"/>
          </w:tcPr>
          <w:p w14:paraId="53D4F891">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报价唯一</w:t>
            </w:r>
          </w:p>
        </w:tc>
        <w:tc>
          <w:tcPr>
            <w:tcW w:w="5174" w:type="dxa"/>
            <w:vAlign w:val="center"/>
          </w:tcPr>
          <w:p w14:paraId="0907ED55">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只能有一个有效报价</w:t>
            </w:r>
          </w:p>
        </w:tc>
      </w:tr>
      <w:tr w14:paraId="492E9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17" w:type="dxa"/>
            <w:vMerge w:val="continue"/>
            <w:vAlign w:val="center"/>
          </w:tcPr>
          <w:p w14:paraId="69CDFE80">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p>
        </w:tc>
        <w:tc>
          <w:tcPr>
            <w:tcW w:w="2628" w:type="dxa"/>
            <w:vAlign w:val="center"/>
          </w:tcPr>
          <w:p w14:paraId="4F03D969">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投标文件格式</w:t>
            </w:r>
          </w:p>
        </w:tc>
        <w:tc>
          <w:tcPr>
            <w:tcW w:w="5174" w:type="dxa"/>
            <w:vAlign w:val="center"/>
          </w:tcPr>
          <w:p w14:paraId="1A4177C9">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符合招标文件要求</w:t>
            </w:r>
          </w:p>
        </w:tc>
      </w:tr>
    </w:tbl>
    <w:p w14:paraId="7A493381">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.3 响应性评审</w:t>
      </w:r>
    </w:p>
    <w:tbl>
      <w:tblPr>
        <w:tblStyle w:val="21"/>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2689"/>
        <w:gridCol w:w="5254"/>
      </w:tblGrid>
      <w:tr w14:paraId="2A3FA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35" w:type="dxa"/>
            <w:vMerge w:val="restart"/>
            <w:vAlign w:val="center"/>
          </w:tcPr>
          <w:p w14:paraId="0B79A5D0">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响应性性评审</w:t>
            </w:r>
          </w:p>
        </w:tc>
        <w:tc>
          <w:tcPr>
            <w:tcW w:w="2689" w:type="dxa"/>
            <w:vAlign w:val="center"/>
          </w:tcPr>
          <w:p w14:paraId="2E38F82F">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评审因素</w:t>
            </w:r>
          </w:p>
        </w:tc>
        <w:tc>
          <w:tcPr>
            <w:tcW w:w="5254" w:type="dxa"/>
            <w:vAlign w:val="center"/>
          </w:tcPr>
          <w:p w14:paraId="2431A403">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评审标准</w:t>
            </w:r>
          </w:p>
        </w:tc>
      </w:tr>
      <w:tr w14:paraId="6A45E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035" w:type="dxa"/>
            <w:vMerge w:val="continue"/>
            <w:vAlign w:val="center"/>
          </w:tcPr>
          <w:p w14:paraId="4A35C1B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p>
        </w:tc>
        <w:tc>
          <w:tcPr>
            <w:tcW w:w="2689" w:type="dxa"/>
            <w:vAlign w:val="center"/>
          </w:tcPr>
          <w:p w14:paraId="60B17B3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采购内容</w:t>
            </w:r>
          </w:p>
        </w:tc>
        <w:tc>
          <w:tcPr>
            <w:tcW w:w="5254" w:type="dxa"/>
            <w:vAlign w:val="center"/>
          </w:tcPr>
          <w:p w14:paraId="7C6B40CC">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符合招标文件要求</w:t>
            </w:r>
          </w:p>
        </w:tc>
      </w:tr>
      <w:tr w14:paraId="201D4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035" w:type="dxa"/>
            <w:vMerge w:val="continue"/>
            <w:vAlign w:val="center"/>
          </w:tcPr>
          <w:p w14:paraId="651DA51B">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p>
        </w:tc>
        <w:tc>
          <w:tcPr>
            <w:tcW w:w="2689" w:type="dxa"/>
            <w:vAlign w:val="center"/>
          </w:tcPr>
          <w:p w14:paraId="51A334AD">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交货期</w:t>
            </w:r>
          </w:p>
        </w:tc>
        <w:tc>
          <w:tcPr>
            <w:tcW w:w="5254" w:type="dxa"/>
            <w:vAlign w:val="center"/>
          </w:tcPr>
          <w:p w14:paraId="0B019720">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FF0000"/>
                <w:sz w:val="24"/>
                <w:szCs w:val="24"/>
              </w:rPr>
            </w:pPr>
            <w:r>
              <w:rPr>
                <w:rFonts w:hint="eastAsia" w:ascii="宋体" w:hAnsi="宋体" w:eastAsia="宋体" w:cs="宋体"/>
                <w:sz w:val="24"/>
                <w:szCs w:val="24"/>
              </w:rPr>
              <w:t>符合或优于招标文件要求</w:t>
            </w:r>
          </w:p>
        </w:tc>
      </w:tr>
      <w:tr w14:paraId="7F4D3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035" w:type="dxa"/>
            <w:vMerge w:val="continue"/>
            <w:vAlign w:val="center"/>
          </w:tcPr>
          <w:p w14:paraId="098301D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p>
        </w:tc>
        <w:tc>
          <w:tcPr>
            <w:tcW w:w="2689" w:type="dxa"/>
            <w:vAlign w:val="center"/>
          </w:tcPr>
          <w:p w14:paraId="10674B5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kern w:val="0"/>
                <w:sz w:val="24"/>
                <w:szCs w:val="24"/>
              </w:rPr>
              <w:t>质保期</w:t>
            </w:r>
          </w:p>
        </w:tc>
        <w:tc>
          <w:tcPr>
            <w:tcW w:w="5254" w:type="dxa"/>
            <w:vAlign w:val="center"/>
          </w:tcPr>
          <w:p w14:paraId="461435EE">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符合或优于招标文件要求</w:t>
            </w:r>
          </w:p>
        </w:tc>
      </w:tr>
      <w:tr w14:paraId="08A39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035" w:type="dxa"/>
            <w:vMerge w:val="continue"/>
            <w:vAlign w:val="center"/>
          </w:tcPr>
          <w:p w14:paraId="5DE4D2E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p>
        </w:tc>
        <w:tc>
          <w:tcPr>
            <w:tcW w:w="2689" w:type="dxa"/>
            <w:vAlign w:val="center"/>
          </w:tcPr>
          <w:p w14:paraId="742D9605">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质量要求</w:t>
            </w:r>
          </w:p>
        </w:tc>
        <w:tc>
          <w:tcPr>
            <w:tcW w:w="5254" w:type="dxa"/>
            <w:vAlign w:val="center"/>
          </w:tcPr>
          <w:p w14:paraId="14399FE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符合或优于招标文件要求</w:t>
            </w:r>
          </w:p>
        </w:tc>
      </w:tr>
      <w:tr w14:paraId="0D513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35" w:type="dxa"/>
            <w:vMerge w:val="continue"/>
            <w:vAlign w:val="center"/>
          </w:tcPr>
          <w:p w14:paraId="5CE95FB1">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p>
        </w:tc>
        <w:tc>
          <w:tcPr>
            <w:tcW w:w="2689" w:type="dxa"/>
            <w:vAlign w:val="center"/>
          </w:tcPr>
          <w:p w14:paraId="0C9F7D3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投标有效期</w:t>
            </w:r>
          </w:p>
        </w:tc>
        <w:tc>
          <w:tcPr>
            <w:tcW w:w="5254" w:type="dxa"/>
            <w:vAlign w:val="center"/>
          </w:tcPr>
          <w:p w14:paraId="6B4E3CB3">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color w:val="auto"/>
                <w:sz w:val="24"/>
                <w:szCs w:val="24"/>
                <w:highlight w:val="none"/>
              </w:rPr>
              <w:t>投标截止之日起60日历天</w:t>
            </w:r>
          </w:p>
        </w:tc>
      </w:tr>
    </w:tbl>
    <w:p w14:paraId="2F52B02E">
      <w:pPr>
        <w:pageBreakBefore w:val="0"/>
        <w:numPr>
          <w:ilvl w:val="0"/>
          <w:numId w:val="0"/>
        </w:numPr>
        <w:bidi w:val="0"/>
        <w:adjustRightInd w:val="0"/>
        <w:snapToGrid w:val="0"/>
        <w:spacing w:beforeAutospacing="0" w:afterAutospacing="0" w:line="360" w:lineRule="auto"/>
        <w:ind w:left="0" w:leftChars="0" w:right="0" w:firstLine="482" w:firstLineChars="200"/>
        <w:rPr>
          <w:rFonts w:hint="eastAsia" w:ascii="宋体" w:hAnsi="宋体" w:eastAsia="宋体" w:cs="宋体"/>
          <w:b/>
          <w:color w:val="auto"/>
          <w:kern w:val="0"/>
          <w:sz w:val="24"/>
          <w:szCs w:val="22"/>
          <w:highlight w:val="none"/>
          <w:u w:val="none" w:color="000000"/>
        </w:rPr>
      </w:pPr>
    </w:p>
    <w:p w14:paraId="1251D15D">
      <w:pPr>
        <w:pStyle w:val="19"/>
        <w:pageBreakBefore w:val="0"/>
        <w:bidi w:val="0"/>
        <w:adjustRightInd w:val="0"/>
        <w:snapToGrid w:val="0"/>
        <w:spacing w:beforeAutospacing="0" w:after="0" w:afterAutospacing="0" w:line="360" w:lineRule="auto"/>
        <w:ind w:left="0" w:leftChars="0" w:right="0" w:firstLine="240"/>
        <w:rPr>
          <w:rFonts w:hint="eastAsia" w:ascii="宋体" w:hAnsi="宋体" w:eastAsia="宋体" w:cs="宋体"/>
          <w:b/>
          <w:color w:val="auto"/>
          <w:kern w:val="0"/>
          <w:sz w:val="24"/>
          <w:szCs w:val="22"/>
          <w:highlight w:val="none"/>
          <w:u w:val="none" w:color="000000"/>
          <w:lang w:val="en-US" w:eastAsia="zh-CN" w:bidi="ar-SA"/>
        </w:rPr>
      </w:pPr>
      <w:r>
        <w:rPr>
          <w:rFonts w:hint="eastAsia" w:ascii="宋体" w:hAnsi="宋体" w:eastAsia="宋体" w:cs="宋体"/>
          <w:color w:val="auto"/>
          <w:sz w:val="24"/>
          <w:szCs w:val="20"/>
          <w:highlight w:val="none"/>
          <w:u w:val="none" w:color="000000"/>
          <w:lang w:val="zh-CN"/>
        </w:rPr>
        <w:br w:type="page"/>
      </w:r>
      <w:r>
        <w:rPr>
          <w:rFonts w:hint="eastAsia" w:ascii="宋体" w:hAnsi="宋体" w:eastAsia="宋体" w:cs="宋体"/>
          <w:b/>
          <w:color w:val="auto"/>
          <w:kern w:val="0"/>
          <w:sz w:val="24"/>
          <w:szCs w:val="22"/>
          <w:highlight w:val="none"/>
          <w:u w:val="none" w:color="000000"/>
          <w:lang w:val="en-US" w:eastAsia="zh-CN" w:bidi="ar-SA"/>
        </w:rPr>
        <w:t>3.4 详细评审</w:t>
      </w:r>
    </w:p>
    <w:p w14:paraId="1B5B602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一标段评分办法</w:t>
      </w:r>
    </w:p>
    <w:tbl>
      <w:tblPr>
        <w:tblStyle w:val="21"/>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30"/>
        <w:gridCol w:w="6239"/>
      </w:tblGrid>
      <w:tr w14:paraId="01AA3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noWrap w:val="0"/>
            <w:vAlign w:val="center"/>
          </w:tcPr>
          <w:p w14:paraId="391A819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w:t>
            </w:r>
          </w:p>
        </w:tc>
        <w:tc>
          <w:tcPr>
            <w:tcW w:w="1530" w:type="dxa"/>
            <w:noWrap w:val="0"/>
            <w:vAlign w:val="center"/>
          </w:tcPr>
          <w:p w14:paraId="6D79C7F3">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评审内容</w:t>
            </w:r>
          </w:p>
        </w:tc>
        <w:tc>
          <w:tcPr>
            <w:tcW w:w="6239" w:type="dxa"/>
            <w:noWrap w:val="0"/>
            <w:vAlign w:val="top"/>
          </w:tcPr>
          <w:p w14:paraId="16D66547">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r>
      <w:tr w14:paraId="09414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noWrap w:val="0"/>
            <w:vAlign w:val="center"/>
          </w:tcPr>
          <w:p w14:paraId="4A1890B3">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p>
          <w:p w14:paraId="7CB9CBF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w:t>
            </w:r>
          </w:p>
        </w:tc>
        <w:tc>
          <w:tcPr>
            <w:tcW w:w="1530" w:type="dxa"/>
            <w:noWrap w:val="0"/>
            <w:vAlign w:val="center"/>
          </w:tcPr>
          <w:p w14:paraId="4CEA3990">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p w14:paraId="48D2669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（30分）</w:t>
            </w:r>
          </w:p>
        </w:tc>
        <w:tc>
          <w:tcPr>
            <w:tcW w:w="6239" w:type="dxa"/>
            <w:noWrap w:val="0"/>
            <w:vAlign w:val="top"/>
          </w:tcPr>
          <w:p w14:paraId="29FE9E98">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1、价格分采用低价优先法计算，即满足招标文件通过资格性和形式性审查且投标价格最低的投标报价为评标基准价，其价格得分为满分30分。</w:t>
            </w:r>
          </w:p>
          <w:p w14:paraId="14A00C7C">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2、其他供应商的价格分统一按照下列公式计算：</w:t>
            </w:r>
          </w:p>
          <w:p w14:paraId="055827B5">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投标报价得分=(评标基准价／投标报价)×30</w:t>
            </w:r>
          </w:p>
          <w:p w14:paraId="2D336928">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3、价格扣除：1.根据《政府采购促进中小企业发展管理办法》（财库﹝2020﹞46 号）及《三门峡市财政局关于进一步优化提升政府采购营商环境有关事项通知》（三财购（2021）14号）及《三门峡市财政局关于进一步加大政府采购支持中小企业发展有关事项的通知》（三财购（2022）9号）的规定，对小型、微型企业产品的价格给予10%～20%的扣除，本项目小型、微型企业（提供证明材料）按20%扣除，使用扣除后的价格参与评审。对于中型企业产品的价格不予扣除。小微企业需完整填写小微企业声明函并提供证明资料。</w:t>
            </w:r>
          </w:p>
          <w:p w14:paraId="018CE254">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所投小微企业产品报价=所投小微企业产品报价×（1-20%）</w:t>
            </w:r>
          </w:p>
          <w:p w14:paraId="63F8E228">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4、根据财政部司法部《关于政府采购支持监狱企业发展有关问题的通知》（财库〔2014〕68号）规定及《关于进一步加大政府采购支持中小企业发展有关事项的通知》（灵财[2022]97号）通知，本项目对监狱企业作为供应商所提供的本企业生产的产品的价格给予20%的扣除。监狱企业，应当提供由省级以上监狱管理局、戒毒管理局（含新疆生产建设兵团）出具的属于监狱企业的证明文件。</w:t>
            </w:r>
          </w:p>
          <w:p w14:paraId="0D71E834">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5、根据财政部民政部中国残疾人联合会《关于促进残疾人就业政府采购政策的通知》（财库〔2017〕141号）规定，对于残疾人福利性单位视同为小型、微型企业，价格给予20%的扣除。</w:t>
            </w:r>
          </w:p>
          <w:p w14:paraId="6C62D396">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6、同一供应商，中小微企业产品和监狱企业产品价格扣除优惠只享受一次，不得重复享受。</w:t>
            </w:r>
          </w:p>
          <w:p w14:paraId="37B6AD1B">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注：价格分计算保留小数点后二位。</w:t>
            </w:r>
          </w:p>
          <w:p w14:paraId="2A171E19">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在评标过程中，评标委员会发现供应商的报价明显低于成本价时或明显低于其他通过初步审查供应商的报价，有可能影响产品质量或者不能诚信履约的，评标委员会可向该供应商提出询问， 要求该供应商作出书面说明并提供相关证明材料。供应商不能合理说明及不能提供相关证明材料的，评标委员会认定该供应商以低于成本价恶意竞标，其投标作废标处理。</w:t>
            </w:r>
          </w:p>
        </w:tc>
      </w:tr>
      <w:tr w14:paraId="3B5DF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Merge w:val="restart"/>
            <w:noWrap w:val="0"/>
            <w:vAlign w:val="center"/>
          </w:tcPr>
          <w:p w14:paraId="53CA972E">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技术部分</w:t>
            </w:r>
          </w:p>
          <w:p w14:paraId="722F6DDF">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55分</w:t>
            </w:r>
            <w:r>
              <w:rPr>
                <w:rFonts w:hint="eastAsia" w:ascii="宋体" w:hAnsi="宋体" w:eastAsia="宋体" w:cs="宋体"/>
                <w:color w:val="auto"/>
                <w:sz w:val="24"/>
                <w:szCs w:val="24"/>
                <w:highlight w:val="none"/>
                <w:lang w:eastAsia="zh-CN"/>
              </w:rPr>
              <w:t>）</w:t>
            </w:r>
          </w:p>
        </w:tc>
        <w:tc>
          <w:tcPr>
            <w:tcW w:w="1530" w:type="dxa"/>
            <w:noWrap w:val="0"/>
            <w:vAlign w:val="center"/>
          </w:tcPr>
          <w:p w14:paraId="48AF2B20">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技术指标响应情况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20分</w:t>
            </w:r>
            <w:r>
              <w:rPr>
                <w:rFonts w:hint="eastAsia" w:ascii="宋体" w:hAnsi="宋体" w:eastAsia="宋体" w:cs="宋体"/>
                <w:color w:val="auto"/>
                <w:sz w:val="24"/>
                <w:szCs w:val="24"/>
                <w:highlight w:val="none"/>
                <w:lang w:eastAsia="zh-CN"/>
              </w:rPr>
              <w:t>）</w:t>
            </w:r>
          </w:p>
        </w:tc>
        <w:tc>
          <w:tcPr>
            <w:tcW w:w="6239" w:type="dxa"/>
            <w:noWrap w:val="0"/>
            <w:vAlign w:val="center"/>
          </w:tcPr>
          <w:p w14:paraId="103B0ECA">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供应商所投主要产品参数要求完全满足招标文件要求的，得满分。</w:t>
            </w:r>
          </w:p>
          <w:p w14:paraId="23FEB6CE">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带“★” 为关键参数，其中要求提供相关证明文件的，必须按要求提供，否则视为此项不满足技术要求。</w:t>
            </w:r>
          </w:p>
          <w:p w14:paraId="146B3D63">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参数要求带“★”每有一项不满足的扣 1 分，其它每有一项不满足的扣 0.5分，扣完为止。</w:t>
            </w:r>
          </w:p>
        </w:tc>
      </w:tr>
      <w:tr w14:paraId="7A49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669" w:type="dxa"/>
            <w:vMerge w:val="continue"/>
            <w:noWrap w:val="0"/>
            <w:vAlign w:val="center"/>
          </w:tcPr>
          <w:p w14:paraId="5A9641FB">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p>
        </w:tc>
        <w:tc>
          <w:tcPr>
            <w:tcW w:w="1530" w:type="dxa"/>
            <w:noWrap w:val="0"/>
            <w:vAlign w:val="center"/>
          </w:tcPr>
          <w:p w14:paraId="6BA99303">
            <w:pPr>
              <w:pageBreakBefore w:val="0"/>
              <w:numPr>
                <w:ilvl w:val="0"/>
                <w:numId w:val="0"/>
              </w:numPr>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实施方案</w:t>
            </w:r>
          </w:p>
          <w:p w14:paraId="31D25A81">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（0-10分）</w:t>
            </w:r>
          </w:p>
        </w:tc>
        <w:tc>
          <w:tcPr>
            <w:tcW w:w="6239" w:type="dxa"/>
            <w:noWrap w:val="0"/>
            <w:vAlign w:val="top"/>
          </w:tcPr>
          <w:p w14:paraId="3BA53851">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提供项目组织实施方案，评委根据方案中人员组织、进度安排、实施步骤、保障措施等内容及优惠服务等内容进行对比，详细、完整、合理的得10分，较详细、完整、合理的得7分，一般的得3分，否则不得分。</w:t>
            </w:r>
          </w:p>
        </w:tc>
      </w:tr>
      <w:tr w14:paraId="1A329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Merge w:val="continue"/>
            <w:noWrap w:val="0"/>
            <w:vAlign w:val="center"/>
          </w:tcPr>
          <w:p w14:paraId="313C551D">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p>
        </w:tc>
        <w:tc>
          <w:tcPr>
            <w:tcW w:w="1530" w:type="dxa"/>
            <w:noWrap w:val="0"/>
            <w:vAlign w:val="center"/>
          </w:tcPr>
          <w:p w14:paraId="397116E2">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000000"/>
                <w:sz w:val="24"/>
                <w:highlight w:val="none"/>
              </w:rPr>
              <w:t>质量保障措施</w:t>
            </w:r>
            <w:r>
              <w:rPr>
                <w:rFonts w:hint="eastAsia" w:ascii="宋体" w:hAnsi="宋体" w:eastAsia="宋体" w:cs="宋体"/>
                <w:sz w:val="24"/>
                <w:highlight w:val="none"/>
              </w:rPr>
              <w:t>（10分）</w:t>
            </w:r>
          </w:p>
        </w:tc>
        <w:tc>
          <w:tcPr>
            <w:tcW w:w="6239" w:type="dxa"/>
            <w:noWrap w:val="0"/>
            <w:vAlign w:val="center"/>
          </w:tcPr>
          <w:p w14:paraId="4861EEE2">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根据供应商提供的质量保障措施是否科学、合理、可行。</w:t>
            </w:r>
          </w:p>
          <w:p w14:paraId="11E3FDD2">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投标人提供的质量保证措施便于实施、具有针对性、完善程度高得10分；</w:t>
            </w:r>
          </w:p>
          <w:p w14:paraId="2CB8792D">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投标人提供的质量保证措施合理便于实施、但完善程度一般不够详尽的得7 分；</w:t>
            </w:r>
          </w:p>
          <w:p w14:paraId="65671531">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投标人提供的质量保证措施合理性一般，不便于实施，完善程度一般不够详尽的得3分。</w:t>
            </w:r>
          </w:p>
          <w:p w14:paraId="4C8A26AE">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投标人没有提供上述内容，或提供的不完整有缺项的得0 分。</w:t>
            </w:r>
          </w:p>
        </w:tc>
      </w:tr>
      <w:tr w14:paraId="6CFBA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Merge w:val="continue"/>
            <w:noWrap w:val="0"/>
            <w:vAlign w:val="center"/>
          </w:tcPr>
          <w:p w14:paraId="5071A3F3">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p>
        </w:tc>
        <w:tc>
          <w:tcPr>
            <w:tcW w:w="1530" w:type="dxa"/>
            <w:noWrap w:val="0"/>
            <w:vAlign w:val="center"/>
          </w:tcPr>
          <w:p w14:paraId="7B79612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r>
              <w:rPr>
                <w:rFonts w:hint="eastAsia" w:ascii="宋体" w:hAnsi="宋体" w:eastAsia="宋体" w:cs="宋体"/>
                <w:sz w:val="24"/>
                <w:highlight w:val="none"/>
                <w:lang w:eastAsia="zh-CN"/>
              </w:rPr>
              <w:t>供货方案</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分）</w:t>
            </w:r>
          </w:p>
        </w:tc>
        <w:tc>
          <w:tcPr>
            <w:tcW w:w="6239" w:type="dxa"/>
            <w:noWrap w:val="0"/>
            <w:vAlign w:val="center"/>
          </w:tcPr>
          <w:p w14:paraId="44548BE5">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根据供应商提供的</w:t>
            </w:r>
            <w:r>
              <w:rPr>
                <w:rFonts w:hint="eastAsia" w:ascii="宋体" w:hAnsi="宋体" w:eastAsia="宋体" w:cs="宋体"/>
                <w:sz w:val="24"/>
                <w:highlight w:val="none"/>
                <w:lang w:eastAsia="zh-CN"/>
              </w:rPr>
              <w:t>供货方案</w:t>
            </w:r>
            <w:r>
              <w:rPr>
                <w:rFonts w:hint="eastAsia" w:ascii="宋体" w:hAnsi="宋体" w:eastAsia="宋体" w:cs="宋体"/>
                <w:sz w:val="24"/>
                <w:highlight w:val="none"/>
              </w:rPr>
              <w:t>、供货时间、进度计划等，是否科学、合理、可行。</w:t>
            </w:r>
          </w:p>
          <w:p w14:paraId="02144BD6">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供应商有针对于本项目提供的</w:t>
            </w:r>
            <w:r>
              <w:rPr>
                <w:rFonts w:hint="eastAsia" w:ascii="宋体" w:hAnsi="宋体" w:eastAsia="宋体" w:cs="宋体"/>
                <w:sz w:val="24"/>
                <w:highlight w:val="none"/>
                <w:lang w:eastAsia="zh-CN"/>
              </w:rPr>
              <w:t>供货方案</w:t>
            </w:r>
            <w:r>
              <w:rPr>
                <w:rFonts w:hint="eastAsia" w:ascii="宋体" w:hAnsi="宋体" w:eastAsia="宋体" w:cs="宋体"/>
                <w:sz w:val="24"/>
                <w:highlight w:val="none"/>
              </w:rPr>
              <w:t>，方案便于实施、科学、合理、可行；有合理措施保障供货时间及进度计划，完善程度高，得</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分；</w:t>
            </w:r>
          </w:p>
          <w:p w14:paraId="7E7EE8CB">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供应商有针对于本项目提供的</w:t>
            </w:r>
            <w:r>
              <w:rPr>
                <w:rFonts w:hint="eastAsia" w:ascii="宋体" w:hAnsi="宋体" w:eastAsia="宋体" w:cs="宋体"/>
                <w:sz w:val="24"/>
                <w:highlight w:val="none"/>
                <w:lang w:eastAsia="zh-CN"/>
              </w:rPr>
              <w:t>供货方案</w:t>
            </w:r>
            <w:r>
              <w:rPr>
                <w:rFonts w:hint="eastAsia" w:ascii="宋体" w:hAnsi="宋体" w:eastAsia="宋体" w:cs="宋体"/>
                <w:sz w:val="24"/>
                <w:highlight w:val="none"/>
              </w:rPr>
              <w:t>，方案便于实施；有合理措施保障供货时间及进度计划，完善程度不高，得</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分；</w:t>
            </w:r>
          </w:p>
          <w:p w14:paraId="6B0C981D">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供应商提供的</w:t>
            </w:r>
            <w:r>
              <w:rPr>
                <w:rFonts w:hint="eastAsia" w:ascii="宋体" w:hAnsi="宋体" w:eastAsia="宋体" w:cs="宋体"/>
                <w:sz w:val="24"/>
                <w:highlight w:val="none"/>
                <w:lang w:eastAsia="zh-CN"/>
              </w:rPr>
              <w:t>供货方案</w:t>
            </w:r>
            <w:r>
              <w:rPr>
                <w:rFonts w:hint="eastAsia" w:ascii="宋体" w:hAnsi="宋体" w:eastAsia="宋体" w:cs="宋体"/>
                <w:sz w:val="24"/>
                <w:highlight w:val="none"/>
              </w:rPr>
              <w:t>合理性一般，不便于实施，完善程度一般，不够详尽的，得</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分。</w:t>
            </w:r>
          </w:p>
          <w:p w14:paraId="78CA957F">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sz w:val="24"/>
                <w:highlight w:val="none"/>
              </w:rPr>
              <w:t>投标人没有提供上述内容，或提供的不完整有缺项的得0 分</w:t>
            </w:r>
          </w:p>
        </w:tc>
      </w:tr>
      <w:tr w14:paraId="170F0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Merge w:val="continue"/>
            <w:noWrap w:val="0"/>
            <w:vAlign w:val="center"/>
          </w:tcPr>
          <w:p w14:paraId="7728D7A1">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p>
        </w:tc>
        <w:tc>
          <w:tcPr>
            <w:tcW w:w="1530" w:type="dxa"/>
            <w:noWrap w:val="0"/>
            <w:vAlign w:val="center"/>
          </w:tcPr>
          <w:p w14:paraId="0CB26397">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center"/>
              <w:rPr>
                <w:rFonts w:hint="eastAsia" w:ascii="宋体" w:hAnsi="宋体" w:eastAsia="宋体" w:cs="宋体"/>
                <w:color w:val="auto"/>
                <w:sz w:val="24"/>
                <w:szCs w:val="24"/>
                <w:highlight w:val="none"/>
                <w:lang w:eastAsia="zh-CN"/>
              </w:rPr>
            </w:pPr>
            <w:r>
              <w:rPr>
                <w:rFonts w:hint="eastAsia" w:ascii="宋体" w:hAnsi="宋体" w:eastAsia="宋体" w:cs="宋体"/>
                <w:b w:val="0"/>
                <w:bCs w:val="0"/>
                <w:snapToGrid w:val="0"/>
                <w:kern w:val="2"/>
                <w:sz w:val="24"/>
                <w:szCs w:val="24"/>
                <w:highlight w:val="none"/>
                <w:lang w:val="en-US" w:eastAsia="zh-CN"/>
              </w:rPr>
              <w:t>安装、调试方案（5分）</w:t>
            </w:r>
          </w:p>
        </w:tc>
        <w:tc>
          <w:tcPr>
            <w:tcW w:w="6239" w:type="dxa"/>
            <w:noWrap w:val="0"/>
            <w:vAlign w:val="center"/>
          </w:tcPr>
          <w:p w14:paraId="700421C6">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对安装调试方案是否详尽、科学、合理，安装施工组织管理是否完整，人员配备，现场安装的安全保证措施是否合理、齐全；设备安装进度保证及措施；安装所用机械和测试设备是否适当、齐全进行综合评定。</w:t>
            </w:r>
          </w:p>
          <w:p w14:paraId="693E6761">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针对性强、非常完善、完全合理、完全满足招标人需求，得5分；</w:t>
            </w:r>
          </w:p>
          <w:p w14:paraId="72917D64">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针对性较强、比较完善、比较合理、基本满足招标人需求，得3分；</w:t>
            </w:r>
          </w:p>
          <w:p w14:paraId="5B4D3613">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针对性一般、不够完善、不够合理、不能满足招标人需求，得1分；</w:t>
            </w:r>
          </w:p>
          <w:p w14:paraId="74A277AD">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不提供得0分</w:t>
            </w:r>
          </w:p>
        </w:tc>
      </w:tr>
      <w:tr w14:paraId="7819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Merge w:val="continue"/>
            <w:noWrap w:val="0"/>
            <w:vAlign w:val="center"/>
          </w:tcPr>
          <w:p w14:paraId="52DBC294">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p>
        </w:tc>
        <w:tc>
          <w:tcPr>
            <w:tcW w:w="1530" w:type="dxa"/>
            <w:noWrap w:val="0"/>
            <w:vAlign w:val="center"/>
          </w:tcPr>
          <w:p w14:paraId="7C7B4B4B">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center"/>
              <w:rPr>
                <w:rFonts w:hint="eastAsia" w:ascii="宋体" w:hAnsi="宋体" w:eastAsia="宋体" w:cs="宋体"/>
                <w:color w:val="auto"/>
                <w:sz w:val="24"/>
                <w:szCs w:val="24"/>
                <w:highlight w:val="none"/>
                <w:lang w:eastAsia="zh-CN"/>
              </w:rPr>
            </w:pPr>
            <w:r>
              <w:rPr>
                <w:rFonts w:hint="eastAsia" w:ascii="宋体" w:hAnsi="宋体" w:eastAsia="宋体" w:cs="宋体"/>
                <w:b w:val="0"/>
                <w:bCs w:val="0"/>
                <w:snapToGrid w:val="0"/>
                <w:kern w:val="2"/>
                <w:sz w:val="24"/>
                <w:szCs w:val="24"/>
                <w:highlight w:val="none"/>
                <w:lang w:val="en-US" w:eastAsia="zh-CN"/>
              </w:rPr>
              <w:t>人员及培训方案（5分）</w:t>
            </w:r>
          </w:p>
        </w:tc>
        <w:tc>
          <w:tcPr>
            <w:tcW w:w="6239" w:type="dxa"/>
            <w:noWrap w:val="0"/>
            <w:vAlign w:val="center"/>
          </w:tcPr>
          <w:p w14:paraId="2DAA016F">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依据投标人培训方案中的培训内容详实情况、培训时间长短、培训人员数量多少等对培训方案进行评分。</w:t>
            </w:r>
          </w:p>
          <w:p w14:paraId="682C57A2">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针对性强、非常完善、完全合理、完全满足招标人需求，得5分；</w:t>
            </w:r>
          </w:p>
          <w:p w14:paraId="7E779E4C">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针对性较强、比较完善、比较合理、基本满足招标人需求，得3分；</w:t>
            </w:r>
          </w:p>
          <w:p w14:paraId="72B0A5C4">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针对性一般、不够完善、不够合理、不能满足招标人需求，得1分；</w:t>
            </w:r>
          </w:p>
          <w:p w14:paraId="08CD618D">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不提供得0分</w:t>
            </w:r>
          </w:p>
        </w:tc>
      </w:tr>
      <w:tr w14:paraId="4181E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69" w:type="dxa"/>
            <w:vMerge w:val="restart"/>
            <w:noWrap w:val="0"/>
            <w:vAlign w:val="center"/>
          </w:tcPr>
          <w:p w14:paraId="24681AEC">
            <w:pPr>
              <w:pageBreakBefore w:val="0"/>
              <w:numPr>
                <w:ilvl w:val="0"/>
                <w:numId w:val="0"/>
              </w:numPr>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1530" w:type="dxa"/>
            <w:noWrap w:val="0"/>
            <w:vAlign w:val="center"/>
          </w:tcPr>
          <w:p w14:paraId="582024E9">
            <w:pPr>
              <w:pageBreakBefore w:val="0"/>
              <w:numPr>
                <w:ilvl w:val="0"/>
                <w:numId w:val="0"/>
              </w:numPr>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w:t>
            </w:r>
          </w:p>
          <w:p w14:paraId="39BB456E">
            <w:pPr>
              <w:pageBreakBefore w:val="0"/>
              <w:numPr>
                <w:ilvl w:val="0"/>
                <w:numId w:val="0"/>
              </w:numPr>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（0-4分）</w:t>
            </w:r>
          </w:p>
        </w:tc>
        <w:tc>
          <w:tcPr>
            <w:tcW w:w="6239" w:type="dxa"/>
            <w:noWrap w:val="0"/>
            <w:vAlign w:val="top"/>
          </w:tcPr>
          <w:p w14:paraId="4BD5703F">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供应商自2022年1月1日以来（以合同签订时间为准）承担过同类或相关项目的，得2分，最多的4分。注：须提供项目合同扫描件并加盖供应商公章。</w:t>
            </w:r>
          </w:p>
        </w:tc>
      </w:tr>
      <w:tr w14:paraId="3AA07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69" w:type="dxa"/>
            <w:vMerge w:val="continue"/>
            <w:noWrap w:val="0"/>
            <w:vAlign w:val="center"/>
          </w:tcPr>
          <w:p w14:paraId="6BC1EC5C">
            <w:pPr>
              <w:pageBreakBefore w:val="0"/>
              <w:numPr>
                <w:ilvl w:val="0"/>
                <w:numId w:val="0"/>
              </w:numPr>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 w:val="24"/>
                <w:szCs w:val="24"/>
                <w:highlight w:val="none"/>
              </w:rPr>
            </w:pPr>
          </w:p>
        </w:tc>
        <w:tc>
          <w:tcPr>
            <w:tcW w:w="1530" w:type="dxa"/>
            <w:noWrap w:val="0"/>
            <w:vAlign w:val="center"/>
          </w:tcPr>
          <w:p w14:paraId="1DC87CE6">
            <w:pPr>
              <w:pageBreakBefore w:val="0"/>
              <w:kinsoku/>
              <w:wordWrap/>
              <w:overflowPunct/>
              <w:topLinePunct w:val="0"/>
              <w:bidi w:val="0"/>
              <w:adjustRightInd w:val="0"/>
              <w:snapToGrid w:val="0"/>
              <w:spacing w:beforeAutospacing="0" w:afterAutospacing="0" w:line="360" w:lineRule="auto"/>
              <w:ind w:left="2" w:leftChars="0" w:right="0" w:hanging="2" w:hangingChars="1"/>
              <w:jc w:val="center"/>
              <w:rPr>
                <w:rFonts w:hint="eastAsia" w:ascii="宋体" w:hAnsi="宋体" w:eastAsia="宋体" w:cs="宋体"/>
                <w:snapToGrid w:val="0"/>
                <w:kern w:val="2"/>
                <w:sz w:val="24"/>
                <w:szCs w:val="24"/>
                <w:highlight w:val="none"/>
                <w:lang w:val="en-US" w:eastAsia="zh-CN"/>
              </w:rPr>
            </w:pPr>
            <w:r>
              <w:rPr>
                <w:rFonts w:hint="eastAsia" w:ascii="宋体" w:hAnsi="宋体" w:eastAsia="宋体" w:cs="宋体"/>
                <w:snapToGrid w:val="0"/>
                <w:kern w:val="2"/>
                <w:sz w:val="24"/>
                <w:szCs w:val="24"/>
                <w:highlight w:val="none"/>
                <w:lang w:val="en-US" w:eastAsia="zh-CN"/>
              </w:rPr>
              <w:t>优惠承诺</w:t>
            </w:r>
          </w:p>
          <w:p w14:paraId="492380DF">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center"/>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kern w:val="2"/>
                <w:sz w:val="24"/>
                <w:szCs w:val="24"/>
                <w:highlight w:val="none"/>
                <w:lang w:val="en-US" w:eastAsia="zh-CN"/>
              </w:rPr>
              <w:t>(0-4分)</w:t>
            </w:r>
          </w:p>
        </w:tc>
        <w:tc>
          <w:tcPr>
            <w:tcW w:w="6239" w:type="dxa"/>
            <w:noWrap w:val="0"/>
            <w:vAlign w:val="center"/>
          </w:tcPr>
          <w:p w14:paraId="2939B7CE">
            <w:pPr>
              <w:pageBreakBefore w:val="0"/>
              <w:bidi w:val="0"/>
              <w:adjustRightInd w:val="0"/>
              <w:snapToGrid w:val="0"/>
              <w:spacing w:beforeAutospacing="0" w:afterAutospacing="0" w:line="360" w:lineRule="auto"/>
              <w:ind w:left="0" w:leftChars="0" w:right="0"/>
              <w:jc w:val="left"/>
              <w:rPr>
                <w:rFonts w:hint="eastAsia" w:ascii="宋体" w:hAnsi="宋体" w:eastAsia="宋体" w:cs="宋体"/>
                <w:snapToGrid w:val="0"/>
                <w:kern w:val="2"/>
                <w:sz w:val="24"/>
                <w:szCs w:val="24"/>
                <w:highlight w:val="none"/>
                <w:lang w:val="zh-CN" w:eastAsia="zh-CN"/>
              </w:rPr>
            </w:pPr>
            <w:r>
              <w:rPr>
                <w:rFonts w:hint="eastAsia" w:ascii="宋体" w:hAnsi="宋体" w:eastAsia="宋体" w:cs="宋体"/>
                <w:snapToGrid w:val="0"/>
                <w:kern w:val="2"/>
                <w:sz w:val="24"/>
                <w:szCs w:val="24"/>
                <w:highlight w:val="none"/>
                <w:lang w:val="en-US" w:eastAsia="zh-CN"/>
              </w:rPr>
              <w:t>评标委员会根据</w:t>
            </w:r>
            <w:r>
              <w:rPr>
                <w:rFonts w:hint="eastAsia" w:ascii="宋体" w:hAnsi="宋体" w:eastAsia="宋体" w:cs="宋体"/>
                <w:snapToGrid w:val="0"/>
                <w:kern w:val="2"/>
                <w:sz w:val="24"/>
                <w:szCs w:val="24"/>
                <w:highlight w:val="none"/>
                <w:lang w:val="zh-CN" w:eastAsia="zh-CN"/>
              </w:rPr>
              <w:t>投标人</w:t>
            </w:r>
            <w:r>
              <w:rPr>
                <w:rFonts w:hint="eastAsia" w:ascii="宋体" w:hAnsi="宋体" w:eastAsia="宋体" w:cs="宋体"/>
                <w:snapToGrid w:val="0"/>
                <w:kern w:val="2"/>
                <w:sz w:val="24"/>
                <w:szCs w:val="24"/>
                <w:highlight w:val="none"/>
                <w:lang w:val="en-US" w:eastAsia="zh-CN"/>
              </w:rPr>
              <w:t>提供优惠承诺</w:t>
            </w:r>
            <w:r>
              <w:rPr>
                <w:rFonts w:hint="eastAsia" w:ascii="宋体" w:hAnsi="宋体" w:eastAsia="宋体" w:cs="宋体"/>
                <w:snapToGrid w:val="0"/>
                <w:kern w:val="2"/>
                <w:sz w:val="24"/>
                <w:szCs w:val="24"/>
                <w:highlight w:val="none"/>
                <w:lang w:val="zh-CN" w:eastAsia="zh-CN"/>
              </w:rPr>
              <w:t>内容详实，科学、合理，考虑周全，措施到位，针对性强，完全能够满足项目的需要。（</w:t>
            </w:r>
            <w:r>
              <w:rPr>
                <w:rFonts w:hint="eastAsia" w:ascii="宋体" w:hAnsi="宋体" w:eastAsia="宋体" w:cs="宋体"/>
                <w:snapToGrid w:val="0"/>
                <w:kern w:val="2"/>
                <w:sz w:val="24"/>
                <w:szCs w:val="24"/>
                <w:highlight w:val="none"/>
                <w:lang w:val="en-US" w:eastAsia="zh-CN"/>
              </w:rPr>
              <w:t>0-4分</w:t>
            </w:r>
            <w:r>
              <w:rPr>
                <w:rFonts w:hint="eastAsia" w:ascii="宋体" w:hAnsi="宋体" w:eastAsia="宋体" w:cs="宋体"/>
                <w:snapToGrid w:val="0"/>
                <w:kern w:val="2"/>
                <w:sz w:val="24"/>
                <w:szCs w:val="24"/>
                <w:highlight w:val="none"/>
                <w:lang w:val="zh-CN" w:eastAsia="zh-CN"/>
              </w:rPr>
              <w:t>）</w:t>
            </w:r>
          </w:p>
          <w:p w14:paraId="7F4976BA">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供应商</w:t>
            </w:r>
            <w:r>
              <w:rPr>
                <w:rFonts w:hint="eastAsia" w:ascii="宋体" w:hAnsi="宋体" w:eastAsia="宋体" w:cs="宋体"/>
                <w:sz w:val="24"/>
                <w:highlight w:val="none"/>
                <w:lang w:val="en-US" w:eastAsia="zh-CN"/>
              </w:rPr>
              <w:t>优惠服务承诺</w:t>
            </w:r>
            <w:r>
              <w:rPr>
                <w:rFonts w:hint="eastAsia" w:ascii="宋体" w:hAnsi="宋体" w:eastAsia="宋体" w:cs="宋体"/>
                <w:sz w:val="24"/>
                <w:highlight w:val="none"/>
              </w:rPr>
              <w:t>便于实施、科学、合理、可行</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分；</w:t>
            </w:r>
          </w:p>
          <w:p w14:paraId="1222F832">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供应商</w:t>
            </w:r>
            <w:r>
              <w:rPr>
                <w:rFonts w:hint="eastAsia" w:ascii="宋体" w:hAnsi="宋体" w:eastAsia="宋体" w:cs="宋体"/>
                <w:sz w:val="24"/>
                <w:highlight w:val="none"/>
                <w:lang w:val="en-US" w:eastAsia="zh-CN"/>
              </w:rPr>
              <w:t>优惠服务承诺</w:t>
            </w:r>
            <w:r>
              <w:rPr>
                <w:rFonts w:hint="eastAsia" w:ascii="宋体" w:hAnsi="宋体" w:eastAsia="宋体" w:cs="宋体"/>
                <w:sz w:val="24"/>
                <w:highlight w:val="none"/>
              </w:rPr>
              <w:t>合理性一般，不便于实施，完善程度一般，不够详尽的，得</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分。</w:t>
            </w:r>
          </w:p>
          <w:p w14:paraId="491D3B38">
            <w:pPr>
              <w:pStyle w:val="37"/>
              <w:pageBreakBefore w:val="0"/>
              <w:bidi w:val="0"/>
              <w:adjustRightInd w:val="0"/>
              <w:snapToGrid w:val="0"/>
              <w:spacing w:beforeAutospacing="0" w:afterAutospacing="0" w:line="360" w:lineRule="auto"/>
              <w:ind w:left="0" w:leftChars="0" w:right="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不提供得0分。</w:t>
            </w:r>
          </w:p>
        </w:tc>
      </w:tr>
      <w:tr w14:paraId="51286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69" w:type="dxa"/>
            <w:vMerge w:val="continue"/>
            <w:noWrap w:val="0"/>
            <w:vAlign w:val="center"/>
          </w:tcPr>
          <w:p w14:paraId="7A4859B7">
            <w:pPr>
              <w:pageBreakBefore w:val="0"/>
              <w:numPr>
                <w:ilvl w:val="0"/>
                <w:numId w:val="0"/>
              </w:numPr>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 w:val="24"/>
                <w:szCs w:val="24"/>
                <w:highlight w:val="none"/>
              </w:rPr>
            </w:pPr>
          </w:p>
        </w:tc>
        <w:tc>
          <w:tcPr>
            <w:tcW w:w="1530" w:type="dxa"/>
            <w:noWrap w:val="0"/>
            <w:vAlign w:val="center"/>
          </w:tcPr>
          <w:p w14:paraId="451CBF2C">
            <w:pPr>
              <w:pageBreakBefore w:val="0"/>
              <w:numPr>
                <w:ilvl w:val="0"/>
                <w:numId w:val="0"/>
              </w:numPr>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售后服务（</w:t>
            </w:r>
            <w:r>
              <w:rPr>
                <w:rFonts w:hint="eastAsia" w:ascii="宋体" w:hAnsi="宋体" w:eastAsia="宋体" w:cs="宋体"/>
                <w:color w:val="auto"/>
                <w:sz w:val="24"/>
                <w:szCs w:val="24"/>
                <w:highlight w:val="none"/>
                <w:lang w:val="en-US" w:eastAsia="zh-CN"/>
              </w:rPr>
              <w:t>0-7分</w:t>
            </w:r>
            <w:r>
              <w:rPr>
                <w:rFonts w:hint="eastAsia" w:ascii="宋体" w:hAnsi="宋体" w:eastAsia="宋体" w:cs="宋体"/>
                <w:color w:val="auto"/>
                <w:sz w:val="24"/>
                <w:szCs w:val="24"/>
                <w:highlight w:val="none"/>
                <w:lang w:eastAsia="zh-CN"/>
              </w:rPr>
              <w:t>）</w:t>
            </w:r>
          </w:p>
        </w:tc>
        <w:tc>
          <w:tcPr>
            <w:tcW w:w="6239" w:type="dxa"/>
            <w:noWrap w:val="0"/>
            <w:vAlign w:val="top"/>
          </w:tcPr>
          <w:p w14:paraId="4DA5F569">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 xml:space="preserve">供应商结合采购需求，针对本项目的实际情况， 提供详细的售后服务方案，包括但不限于售后服务内容、售后服务响应、售后服务人员配置及安排、服务 质量保证、定期巡检等。 </w:t>
            </w:r>
            <w:r>
              <w:rPr>
                <w:rFonts w:hint="eastAsia" w:ascii="宋体" w:hAnsi="宋体" w:eastAsia="宋体" w:cs="宋体"/>
                <w:sz w:val="24"/>
                <w:szCs w:val="24"/>
                <w:highlight w:val="none"/>
                <w:lang w:val="en-US" w:eastAsia="zh-CN"/>
              </w:rPr>
              <w:t>评标委员会</w:t>
            </w:r>
            <w:r>
              <w:rPr>
                <w:rFonts w:hint="eastAsia" w:ascii="宋体" w:hAnsi="宋体" w:eastAsia="宋体" w:cs="宋体"/>
                <w:sz w:val="24"/>
                <w:szCs w:val="24"/>
                <w:highlight w:val="none"/>
              </w:rPr>
              <w:t>根据供应商提供的售后服务方案的完整性、可行性等进行综合评价</w:t>
            </w:r>
            <w:r>
              <w:rPr>
                <w:rFonts w:hint="eastAsia" w:ascii="宋体" w:hAnsi="宋体" w:eastAsia="宋体" w:cs="宋体"/>
                <w:color w:val="auto"/>
                <w:sz w:val="24"/>
                <w:szCs w:val="24"/>
                <w:highlight w:val="none"/>
                <w:lang w:val="en-US" w:eastAsia="zh-CN"/>
              </w:rPr>
              <w:t>。</w:t>
            </w:r>
          </w:p>
          <w:p w14:paraId="65E783C9">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售后服务方案较详细，服务经验较丰富，符合采购人实际情况，有很强针对性和可行性，</w:t>
            </w:r>
            <w:r>
              <w:rPr>
                <w:rFonts w:hint="eastAsia" w:ascii="宋体" w:hAnsi="宋体" w:eastAsia="宋体" w:cs="宋体"/>
                <w:sz w:val="24"/>
                <w:szCs w:val="24"/>
                <w:highlight w:val="none"/>
              </w:rPr>
              <w:t>完全满足或优于项目需求</w:t>
            </w:r>
            <w:r>
              <w:rPr>
                <w:rFonts w:hint="eastAsia" w:ascii="宋体" w:hAnsi="宋体" w:eastAsia="宋体" w:cs="宋体"/>
                <w:color w:val="auto"/>
                <w:sz w:val="24"/>
                <w:szCs w:val="24"/>
                <w:highlight w:val="none"/>
                <w:lang w:val="en-US" w:eastAsia="zh-CN"/>
              </w:rPr>
              <w:t>，</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14:paraId="1A58556E">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val="en-US" w:eastAsia="zh-CN"/>
              </w:rPr>
              <w:t>售后服务方案</w:t>
            </w:r>
            <w:r>
              <w:rPr>
                <w:rFonts w:hint="eastAsia" w:ascii="宋体" w:hAnsi="宋体" w:eastAsia="宋体" w:cs="宋体"/>
                <w:sz w:val="24"/>
                <w:szCs w:val="24"/>
                <w:highlight w:val="none"/>
              </w:rPr>
              <w:t>综合考虑各方面需求</w:t>
            </w:r>
            <w:r>
              <w:rPr>
                <w:rFonts w:hint="eastAsia" w:ascii="宋体" w:hAnsi="宋体" w:eastAsia="宋体" w:cs="宋体"/>
                <w:color w:val="auto"/>
                <w:sz w:val="24"/>
                <w:szCs w:val="24"/>
                <w:highlight w:val="none"/>
                <w:lang w:val="en-US" w:eastAsia="zh-CN"/>
              </w:rPr>
              <w:t>比较完整、合理、可行，描述条理清晰，方案容易执行，</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14:paraId="1166D7A8">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售后服务方案比较完整、合理，基本满足招标文件要求，</w:t>
            </w:r>
            <w:r>
              <w:rPr>
                <w:rFonts w:hint="eastAsia" w:ascii="宋体" w:hAnsi="宋体" w:eastAsia="宋体" w:cs="宋体"/>
                <w:sz w:val="24"/>
                <w:szCs w:val="24"/>
                <w:highlight w:val="none"/>
              </w:rPr>
              <w:t xml:space="preserve">得 </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w:t>
            </w:r>
          </w:p>
          <w:p w14:paraId="14A8C9F6">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val="en-US" w:eastAsia="zh-CN"/>
              </w:rPr>
              <w:t>售后服务方案简单，基本满足招标文件要求，</w:t>
            </w:r>
            <w:r>
              <w:rPr>
                <w:rFonts w:hint="eastAsia" w:ascii="宋体" w:hAnsi="宋体" w:eastAsia="宋体" w:cs="宋体"/>
                <w:sz w:val="24"/>
                <w:szCs w:val="24"/>
                <w:highlight w:val="none"/>
              </w:rPr>
              <w:t xml:space="preserve">得 </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14:paraId="13A4E33D">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缺项得 0 分。</w:t>
            </w:r>
          </w:p>
        </w:tc>
      </w:tr>
    </w:tbl>
    <w:p w14:paraId="4A59E604">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二标段评标办法</w:t>
      </w:r>
    </w:p>
    <w:tbl>
      <w:tblPr>
        <w:tblStyle w:val="21"/>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30"/>
        <w:gridCol w:w="6239"/>
      </w:tblGrid>
      <w:tr w14:paraId="5E60B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noWrap w:val="0"/>
            <w:vAlign w:val="center"/>
          </w:tcPr>
          <w:p w14:paraId="3D7AD530">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w:t>
            </w:r>
          </w:p>
        </w:tc>
        <w:tc>
          <w:tcPr>
            <w:tcW w:w="1530" w:type="dxa"/>
            <w:noWrap w:val="0"/>
            <w:vAlign w:val="center"/>
          </w:tcPr>
          <w:p w14:paraId="539B7C3C">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评审内容</w:t>
            </w:r>
          </w:p>
        </w:tc>
        <w:tc>
          <w:tcPr>
            <w:tcW w:w="6239" w:type="dxa"/>
            <w:noWrap w:val="0"/>
            <w:vAlign w:val="top"/>
          </w:tcPr>
          <w:p w14:paraId="6D1EE2AA">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r>
      <w:tr w14:paraId="79B0B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noWrap w:val="0"/>
            <w:vAlign w:val="center"/>
          </w:tcPr>
          <w:p w14:paraId="6815A909">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p>
          <w:p w14:paraId="4744AA6D">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w:t>
            </w:r>
          </w:p>
        </w:tc>
        <w:tc>
          <w:tcPr>
            <w:tcW w:w="1530" w:type="dxa"/>
            <w:noWrap w:val="0"/>
            <w:vAlign w:val="center"/>
          </w:tcPr>
          <w:p w14:paraId="726E604F">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p w14:paraId="2833ABC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（30分）</w:t>
            </w:r>
          </w:p>
        </w:tc>
        <w:tc>
          <w:tcPr>
            <w:tcW w:w="6239" w:type="dxa"/>
            <w:noWrap w:val="0"/>
            <w:vAlign w:val="top"/>
          </w:tcPr>
          <w:p w14:paraId="6F1AFB9A">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1、价格分采用低价优先法计算，即满足招标文件通过资格性和形式性审查且投标价格最低的投标报价为评标基准价，其价格得分为满分30分。</w:t>
            </w:r>
          </w:p>
          <w:p w14:paraId="3C98A2B2">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2、其他供应商的价格分统一按照下列公式计算：</w:t>
            </w:r>
          </w:p>
          <w:p w14:paraId="5E1B45CE">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投标报价得分=(评标基准价／投标报价)×30</w:t>
            </w:r>
          </w:p>
          <w:p w14:paraId="055AB6DA">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3、价格扣除：</w:t>
            </w:r>
            <w:r>
              <w:rPr>
                <w:rFonts w:hint="eastAsia" w:ascii="宋体" w:hAnsi="宋体" w:eastAsia="宋体" w:cs="宋体"/>
                <w:b w:val="0"/>
                <w:bCs w:val="0"/>
                <w:sz w:val="24"/>
                <w:szCs w:val="24"/>
                <w:highlight w:val="none"/>
              </w:rPr>
              <w:t>1.根据《政府采购促进中小企业发展管理办法》（财库﹝2020﹞46 号）及《三门峡市财政局关于进一步优化提升政府采购营商环境有关事项通知》（三财购（2021）14号）及《三门峡市财政局关于进一步加大政府采购支持中小企业发展有关事项的通知》（三财购（2022）9号）的规定，对小型、微型企业产品的价格给予10%～20%的扣除，本项目小型、微型企业</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提供证明材料</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按</w:t>
            </w:r>
            <w:r>
              <w:rPr>
                <w:rFonts w:hint="eastAsia" w:ascii="宋体" w:hAnsi="宋体" w:eastAsia="宋体" w:cs="宋体"/>
                <w:b w:val="0"/>
                <w:bCs w:val="0"/>
                <w:sz w:val="24"/>
                <w:szCs w:val="24"/>
                <w:highlight w:val="none"/>
                <w:lang w:val="en-US" w:eastAsia="zh-CN"/>
              </w:rPr>
              <w:t>20</w:t>
            </w:r>
            <w:r>
              <w:rPr>
                <w:rFonts w:hint="eastAsia" w:ascii="宋体" w:hAnsi="宋体" w:eastAsia="宋体" w:cs="宋体"/>
                <w:b w:val="0"/>
                <w:bCs w:val="0"/>
                <w:sz w:val="24"/>
                <w:szCs w:val="24"/>
                <w:highlight w:val="none"/>
              </w:rPr>
              <w:t>%扣除，使用扣除后的价格参与评审。对于中型企业产品的价格不予扣除。</w:t>
            </w:r>
            <w:r>
              <w:rPr>
                <w:rFonts w:hint="eastAsia" w:ascii="宋体" w:hAnsi="宋体" w:eastAsia="宋体" w:cs="宋体"/>
                <w:b w:val="0"/>
                <w:bCs w:val="0"/>
                <w:sz w:val="24"/>
                <w:szCs w:val="24"/>
                <w:highlight w:val="none"/>
                <w:lang w:val="en-US" w:eastAsia="zh-CN"/>
              </w:rPr>
              <w:t>小微企业需完整填写小微企业声明函并提供证明资料。</w:t>
            </w:r>
          </w:p>
          <w:p w14:paraId="7B3B8EAD">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z w:val="24"/>
                <w:szCs w:val="24"/>
                <w:highlight w:val="none"/>
              </w:rPr>
              <w:t>所投小微企业产品报价=所投小微企业产品报价×（1-</w:t>
            </w:r>
            <w:r>
              <w:rPr>
                <w:rFonts w:hint="eastAsia" w:ascii="宋体" w:hAnsi="宋体" w:eastAsia="宋体" w:cs="宋体"/>
                <w:b w:val="0"/>
                <w:bCs w:val="0"/>
                <w:sz w:val="24"/>
                <w:szCs w:val="24"/>
                <w:highlight w:val="none"/>
                <w:lang w:val="en-US" w:eastAsia="zh-CN"/>
              </w:rPr>
              <w:t>20</w:t>
            </w:r>
            <w:r>
              <w:rPr>
                <w:rFonts w:hint="eastAsia" w:ascii="宋体" w:hAnsi="宋体" w:eastAsia="宋体" w:cs="宋体"/>
                <w:b w:val="0"/>
                <w:bCs w:val="0"/>
                <w:sz w:val="24"/>
                <w:szCs w:val="24"/>
                <w:highlight w:val="none"/>
              </w:rPr>
              <w:t>%）</w:t>
            </w:r>
          </w:p>
          <w:p w14:paraId="1FE7033C">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4、根据财政部司法部《关于政府采购支持监狱企业发展有关问题的通知》（财库〔2014〕68号）规定及《关于进一步加大政府采购支持中小企业发展有关事项的通知》（灵财[2022]97号）通知，本项目对监狱企业作为供应商所提供的本企业生产的产品的价格给予20%的扣除。监狱企业，应当提供由省级以上监狱管理局、戒毒管理局（含新疆生产建设兵团）出具的属于监狱企业的证明文件。</w:t>
            </w:r>
          </w:p>
          <w:p w14:paraId="2B2979F0">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5、</w:t>
            </w:r>
            <w:r>
              <w:rPr>
                <w:rFonts w:hint="eastAsia" w:ascii="宋体" w:hAnsi="宋体" w:eastAsia="宋体" w:cs="宋体"/>
                <w:b w:val="0"/>
                <w:bCs w:val="0"/>
                <w:sz w:val="24"/>
                <w:szCs w:val="24"/>
                <w:highlight w:val="none"/>
              </w:rPr>
              <w:t>根据财政部民政部中国残疾人联合会《关于促进残疾人就业政府采购政策的通知》（财库〔2017〕141号）规定，对于残疾人福利性单位视同为小型、微型企业，价格给予</w:t>
            </w:r>
            <w:r>
              <w:rPr>
                <w:rFonts w:hint="eastAsia" w:ascii="宋体" w:hAnsi="宋体" w:eastAsia="宋体" w:cs="宋体"/>
                <w:b w:val="0"/>
                <w:bCs w:val="0"/>
                <w:sz w:val="24"/>
                <w:szCs w:val="24"/>
                <w:highlight w:val="none"/>
                <w:lang w:val="en-US" w:eastAsia="zh-CN"/>
              </w:rPr>
              <w:t>20</w:t>
            </w:r>
            <w:r>
              <w:rPr>
                <w:rFonts w:hint="eastAsia" w:ascii="宋体" w:hAnsi="宋体" w:eastAsia="宋体" w:cs="宋体"/>
                <w:b w:val="0"/>
                <w:bCs w:val="0"/>
                <w:sz w:val="24"/>
                <w:szCs w:val="24"/>
                <w:highlight w:val="none"/>
              </w:rPr>
              <w:t>%的扣除</w:t>
            </w:r>
            <w:r>
              <w:rPr>
                <w:rFonts w:hint="eastAsia" w:ascii="宋体" w:hAnsi="宋体" w:eastAsia="宋体" w:cs="宋体"/>
                <w:b w:val="0"/>
                <w:bCs w:val="0"/>
                <w:snapToGrid w:val="0"/>
                <w:kern w:val="2"/>
                <w:sz w:val="24"/>
                <w:szCs w:val="24"/>
                <w:highlight w:val="none"/>
                <w:lang w:val="en-US" w:eastAsia="zh-CN"/>
              </w:rPr>
              <w:t>。</w:t>
            </w:r>
          </w:p>
          <w:p w14:paraId="71B76E62">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6、同一供应商，中小微企业产品和监狱企业产品价格扣除优惠只享受一次，不得重复享受。</w:t>
            </w:r>
          </w:p>
          <w:p w14:paraId="04677131">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注：价格分计算保留小数点后二位。</w:t>
            </w:r>
          </w:p>
          <w:p w14:paraId="13E747F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在评标过程中，评标委员会发现供应商的报价明显低于成本价时或明显低于其他通过初步审查供应商的报价，有可能影响产品质量或者不能诚信履约的，评标委员会可向该供应商提出询问， 要求该供应商作出书面说明并提供相关证明材料。供应商不能合理说明及不能提供相关证明材料的，评标委员会认定该供应商以低于成本价恶意竞标，其投标作废标处理。</w:t>
            </w:r>
          </w:p>
        </w:tc>
      </w:tr>
      <w:tr w14:paraId="13AB3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Merge w:val="restart"/>
            <w:noWrap w:val="0"/>
            <w:vAlign w:val="center"/>
          </w:tcPr>
          <w:p w14:paraId="15E789E3">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技术部分</w:t>
            </w:r>
          </w:p>
          <w:p w14:paraId="15F94CB5">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55分</w:t>
            </w:r>
            <w:r>
              <w:rPr>
                <w:rFonts w:hint="eastAsia" w:ascii="宋体" w:hAnsi="宋体" w:eastAsia="宋体" w:cs="宋体"/>
                <w:color w:val="auto"/>
                <w:sz w:val="24"/>
                <w:szCs w:val="24"/>
                <w:highlight w:val="none"/>
                <w:lang w:eastAsia="zh-CN"/>
              </w:rPr>
              <w:t>）</w:t>
            </w:r>
          </w:p>
        </w:tc>
        <w:tc>
          <w:tcPr>
            <w:tcW w:w="1530" w:type="dxa"/>
            <w:noWrap w:val="0"/>
            <w:vAlign w:val="center"/>
          </w:tcPr>
          <w:p w14:paraId="36480192">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技术指标响应情况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20分</w:t>
            </w:r>
            <w:r>
              <w:rPr>
                <w:rFonts w:hint="eastAsia" w:ascii="宋体" w:hAnsi="宋体" w:eastAsia="宋体" w:cs="宋体"/>
                <w:color w:val="auto"/>
                <w:sz w:val="24"/>
                <w:szCs w:val="24"/>
                <w:highlight w:val="none"/>
                <w:lang w:eastAsia="zh-CN"/>
              </w:rPr>
              <w:t>）</w:t>
            </w:r>
          </w:p>
        </w:tc>
        <w:tc>
          <w:tcPr>
            <w:tcW w:w="6239" w:type="dxa"/>
            <w:noWrap w:val="0"/>
            <w:vAlign w:val="center"/>
          </w:tcPr>
          <w:p w14:paraId="3E2D7AC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供应商所投主要产品参数要求完全满足招标文件要求的，得满分。</w:t>
            </w:r>
          </w:p>
          <w:p w14:paraId="0D032F0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带“★” 为关键参数，其中要求提供相关证明文件的，必须按要求提供，否则视为此项不满足技术要求。</w:t>
            </w:r>
          </w:p>
          <w:p w14:paraId="5E6236B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参数要求带“★”每有一项不满足的扣 1 分，其它每有一项不满足的扣 0.5分，扣完为止。</w:t>
            </w:r>
          </w:p>
        </w:tc>
      </w:tr>
      <w:tr w14:paraId="72C82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669" w:type="dxa"/>
            <w:vMerge w:val="continue"/>
            <w:noWrap w:val="0"/>
            <w:vAlign w:val="center"/>
          </w:tcPr>
          <w:p w14:paraId="49EB8045">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p>
        </w:tc>
        <w:tc>
          <w:tcPr>
            <w:tcW w:w="1530" w:type="dxa"/>
            <w:noWrap w:val="0"/>
            <w:vAlign w:val="center"/>
          </w:tcPr>
          <w:p w14:paraId="3308714D">
            <w:pPr>
              <w:pageBreakBefore w:val="0"/>
              <w:numPr>
                <w:ilvl w:val="0"/>
                <w:numId w:val="0"/>
              </w:numPr>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实施方案</w:t>
            </w:r>
          </w:p>
          <w:p w14:paraId="3DBCF04C">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（0-10分）</w:t>
            </w:r>
          </w:p>
        </w:tc>
        <w:tc>
          <w:tcPr>
            <w:tcW w:w="6239" w:type="dxa"/>
            <w:noWrap w:val="0"/>
            <w:vAlign w:val="top"/>
          </w:tcPr>
          <w:p w14:paraId="71CF4016">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提供项目组织实施方案，评委根据方案中人员组织、进度安排、实施步骤、保障措施等内容</w:t>
            </w:r>
            <w:r>
              <w:rPr>
                <w:rFonts w:hint="eastAsia" w:ascii="宋体" w:hAnsi="宋体" w:eastAsia="宋体" w:cs="宋体"/>
                <w:color w:val="auto"/>
                <w:sz w:val="24"/>
                <w:szCs w:val="24"/>
                <w:highlight w:val="none"/>
                <w:lang w:eastAsia="zh-CN"/>
              </w:rPr>
              <w:t>及优惠服务等内容进行对比，详细、完整、合理的得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分，较详细、完整、合理的得</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分，一般的得</w:t>
            </w:r>
            <w:r>
              <w:rPr>
                <w:rFonts w:hint="eastAsia" w:ascii="宋体" w:hAnsi="宋体" w:eastAsia="宋体" w:cs="宋体"/>
                <w:color w:val="auto"/>
                <w:sz w:val="24"/>
                <w:szCs w:val="24"/>
                <w:highlight w:val="none"/>
                <w:lang w:val="en-US" w:eastAsia="zh-CN"/>
              </w:rPr>
              <w:t>3分，</w:t>
            </w:r>
            <w:r>
              <w:rPr>
                <w:rFonts w:hint="eastAsia" w:ascii="宋体" w:hAnsi="宋体" w:eastAsia="宋体" w:cs="宋体"/>
                <w:color w:val="auto"/>
                <w:sz w:val="24"/>
                <w:szCs w:val="24"/>
                <w:highlight w:val="none"/>
                <w:lang w:eastAsia="zh-CN"/>
              </w:rPr>
              <w:t>否则不得分。</w:t>
            </w:r>
          </w:p>
        </w:tc>
      </w:tr>
      <w:tr w14:paraId="5AF62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Merge w:val="continue"/>
            <w:noWrap w:val="0"/>
            <w:vAlign w:val="center"/>
          </w:tcPr>
          <w:p w14:paraId="344E22A3">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p>
        </w:tc>
        <w:tc>
          <w:tcPr>
            <w:tcW w:w="1530" w:type="dxa"/>
            <w:noWrap w:val="0"/>
            <w:vAlign w:val="center"/>
          </w:tcPr>
          <w:p w14:paraId="2636399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000000"/>
                <w:sz w:val="24"/>
                <w:highlight w:val="none"/>
              </w:rPr>
              <w:t>质量保障措施</w:t>
            </w:r>
            <w:r>
              <w:rPr>
                <w:rFonts w:hint="eastAsia" w:ascii="宋体" w:hAnsi="宋体" w:eastAsia="宋体" w:cs="宋体"/>
                <w:sz w:val="24"/>
                <w:highlight w:val="none"/>
              </w:rPr>
              <w:t>（10分）</w:t>
            </w:r>
          </w:p>
        </w:tc>
        <w:tc>
          <w:tcPr>
            <w:tcW w:w="6239" w:type="dxa"/>
            <w:noWrap w:val="0"/>
            <w:vAlign w:val="center"/>
          </w:tcPr>
          <w:p w14:paraId="36E641D3">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根据供应商提供的质量保障措施是否科学、合理、可行。</w:t>
            </w:r>
          </w:p>
          <w:p w14:paraId="587484AD">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lang w:eastAsia="zh-CN"/>
              </w:rPr>
            </w:pPr>
            <w:r>
              <w:rPr>
                <w:rFonts w:hint="eastAsia" w:ascii="宋体" w:hAnsi="宋体" w:eastAsia="宋体" w:cs="宋体"/>
                <w:sz w:val="24"/>
                <w:highlight w:val="none"/>
              </w:rPr>
              <w:t>投标人提供的质量保证措施便于实施、具有针对性、完善程度高得10分</w:t>
            </w:r>
            <w:r>
              <w:rPr>
                <w:rFonts w:hint="eastAsia" w:ascii="宋体" w:hAnsi="宋体" w:eastAsia="宋体" w:cs="宋体"/>
                <w:sz w:val="24"/>
                <w:highlight w:val="none"/>
                <w:lang w:eastAsia="zh-CN"/>
              </w:rPr>
              <w:t>。</w:t>
            </w:r>
          </w:p>
          <w:p w14:paraId="14C2449C">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lang w:eastAsia="zh-CN"/>
              </w:rPr>
            </w:pPr>
            <w:r>
              <w:rPr>
                <w:rFonts w:hint="eastAsia" w:ascii="宋体" w:hAnsi="宋体" w:eastAsia="宋体" w:cs="宋体"/>
                <w:sz w:val="24"/>
                <w:highlight w:val="none"/>
              </w:rPr>
              <w:t>投标人提供的质量保证措施合理便于实施、但完善程度一般不够详尽的得7 分</w:t>
            </w:r>
            <w:r>
              <w:rPr>
                <w:rFonts w:hint="eastAsia" w:ascii="宋体" w:hAnsi="宋体" w:eastAsia="宋体" w:cs="宋体"/>
                <w:sz w:val="24"/>
                <w:highlight w:val="none"/>
                <w:lang w:eastAsia="zh-CN"/>
              </w:rPr>
              <w:t>。</w:t>
            </w:r>
          </w:p>
          <w:p w14:paraId="78931F0F">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投标人提供的质量保证措施合理性一般，不便于实施，完善程度一般不够详尽的得3分。</w:t>
            </w:r>
          </w:p>
          <w:p w14:paraId="5499C591">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sz w:val="24"/>
                <w:highlight w:val="none"/>
              </w:rPr>
              <w:t>投标人没有提供上述内容，或提供的不完整有缺项的得0 分</w:t>
            </w:r>
            <w:r>
              <w:rPr>
                <w:rFonts w:hint="eastAsia" w:ascii="宋体" w:hAnsi="宋体" w:eastAsia="宋体" w:cs="宋体"/>
                <w:sz w:val="24"/>
                <w:highlight w:val="none"/>
                <w:lang w:eastAsia="zh-CN"/>
              </w:rPr>
              <w:t>。</w:t>
            </w:r>
          </w:p>
        </w:tc>
      </w:tr>
      <w:tr w14:paraId="35286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Merge w:val="continue"/>
            <w:noWrap w:val="0"/>
            <w:vAlign w:val="center"/>
          </w:tcPr>
          <w:p w14:paraId="7CF67E82">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p>
        </w:tc>
        <w:tc>
          <w:tcPr>
            <w:tcW w:w="1530" w:type="dxa"/>
            <w:noWrap w:val="0"/>
            <w:vAlign w:val="center"/>
          </w:tcPr>
          <w:p w14:paraId="00DA37C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r>
              <w:rPr>
                <w:rFonts w:hint="eastAsia" w:ascii="宋体" w:hAnsi="宋体" w:eastAsia="宋体" w:cs="宋体"/>
                <w:sz w:val="24"/>
                <w:highlight w:val="none"/>
                <w:lang w:eastAsia="zh-CN"/>
              </w:rPr>
              <w:t>供货安装调试方案</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分）</w:t>
            </w:r>
          </w:p>
        </w:tc>
        <w:tc>
          <w:tcPr>
            <w:tcW w:w="6239" w:type="dxa"/>
            <w:noWrap w:val="0"/>
            <w:vAlign w:val="center"/>
          </w:tcPr>
          <w:p w14:paraId="0E017491">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根据供应商提供的</w:t>
            </w:r>
            <w:r>
              <w:rPr>
                <w:rFonts w:hint="eastAsia" w:ascii="宋体" w:hAnsi="宋体" w:eastAsia="宋体" w:cs="宋体"/>
                <w:sz w:val="24"/>
                <w:highlight w:val="none"/>
                <w:lang w:eastAsia="zh-CN"/>
              </w:rPr>
              <w:t>供货安装调试方案</w:t>
            </w:r>
            <w:r>
              <w:rPr>
                <w:rFonts w:hint="eastAsia" w:ascii="宋体" w:hAnsi="宋体" w:eastAsia="宋体" w:cs="宋体"/>
                <w:sz w:val="24"/>
                <w:highlight w:val="none"/>
              </w:rPr>
              <w:t>、供货时间、进度计划等，是否科学、合理、可行。</w:t>
            </w:r>
          </w:p>
          <w:p w14:paraId="4B144F68">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lang w:eastAsia="zh-CN"/>
              </w:rPr>
            </w:pPr>
            <w:r>
              <w:rPr>
                <w:rFonts w:hint="eastAsia" w:ascii="宋体" w:hAnsi="宋体" w:eastAsia="宋体" w:cs="宋体"/>
                <w:sz w:val="24"/>
                <w:highlight w:val="none"/>
              </w:rPr>
              <w:t>供应商有针对于本项目提供的</w:t>
            </w:r>
            <w:r>
              <w:rPr>
                <w:rFonts w:hint="eastAsia" w:ascii="宋体" w:hAnsi="宋体" w:eastAsia="宋体" w:cs="宋体"/>
                <w:sz w:val="24"/>
                <w:highlight w:val="none"/>
                <w:lang w:eastAsia="zh-CN"/>
              </w:rPr>
              <w:t>供货安装调试方案</w:t>
            </w:r>
            <w:r>
              <w:rPr>
                <w:rFonts w:hint="eastAsia" w:ascii="宋体" w:hAnsi="宋体" w:eastAsia="宋体" w:cs="宋体"/>
                <w:sz w:val="24"/>
                <w:highlight w:val="none"/>
              </w:rPr>
              <w:t>，方案便于实施、科学、合理、可行；有合理措施保障供货时间及进度计划，完善程度高，得</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分</w:t>
            </w:r>
            <w:r>
              <w:rPr>
                <w:rFonts w:hint="eastAsia" w:ascii="宋体" w:hAnsi="宋体" w:eastAsia="宋体" w:cs="宋体"/>
                <w:sz w:val="24"/>
                <w:highlight w:val="none"/>
                <w:lang w:eastAsia="zh-CN"/>
              </w:rPr>
              <w:t>。</w:t>
            </w:r>
          </w:p>
          <w:p w14:paraId="5FFCEDCD">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lang w:eastAsia="zh-CN"/>
              </w:rPr>
            </w:pPr>
            <w:r>
              <w:rPr>
                <w:rFonts w:hint="eastAsia" w:ascii="宋体" w:hAnsi="宋体" w:eastAsia="宋体" w:cs="宋体"/>
                <w:sz w:val="24"/>
                <w:highlight w:val="none"/>
              </w:rPr>
              <w:t>供应商有针对于本项目提供的</w:t>
            </w:r>
            <w:r>
              <w:rPr>
                <w:rFonts w:hint="eastAsia" w:ascii="宋体" w:hAnsi="宋体" w:eastAsia="宋体" w:cs="宋体"/>
                <w:sz w:val="24"/>
                <w:highlight w:val="none"/>
                <w:lang w:eastAsia="zh-CN"/>
              </w:rPr>
              <w:t>供货安装调试方案</w:t>
            </w:r>
            <w:r>
              <w:rPr>
                <w:rFonts w:hint="eastAsia" w:ascii="宋体" w:hAnsi="宋体" w:eastAsia="宋体" w:cs="宋体"/>
                <w:sz w:val="24"/>
                <w:highlight w:val="none"/>
              </w:rPr>
              <w:t>，方案便于实施；有合理措施保障供货时间及进度计划，完善程度不高，得</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分</w:t>
            </w:r>
            <w:r>
              <w:rPr>
                <w:rFonts w:hint="eastAsia" w:ascii="宋体" w:hAnsi="宋体" w:eastAsia="宋体" w:cs="宋体"/>
                <w:sz w:val="24"/>
                <w:highlight w:val="none"/>
                <w:lang w:eastAsia="zh-CN"/>
              </w:rPr>
              <w:t>。</w:t>
            </w:r>
          </w:p>
          <w:p w14:paraId="65CCED18">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供应商提供的</w:t>
            </w:r>
            <w:r>
              <w:rPr>
                <w:rFonts w:hint="eastAsia" w:ascii="宋体" w:hAnsi="宋体" w:eastAsia="宋体" w:cs="宋体"/>
                <w:sz w:val="24"/>
                <w:highlight w:val="none"/>
                <w:lang w:eastAsia="zh-CN"/>
              </w:rPr>
              <w:t>供货安装调试方案</w:t>
            </w:r>
            <w:r>
              <w:rPr>
                <w:rFonts w:hint="eastAsia" w:ascii="宋体" w:hAnsi="宋体" w:eastAsia="宋体" w:cs="宋体"/>
                <w:sz w:val="24"/>
                <w:highlight w:val="none"/>
              </w:rPr>
              <w:t>合理性一般，不便于实施，完善程度一般，不够详尽的，得</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分。</w:t>
            </w:r>
          </w:p>
          <w:p w14:paraId="32971F72">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sz w:val="24"/>
                <w:highlight w:val="none"/>
              </w:rPr>
              <w:t>投标人没有提供上述内容，或提供的不完整有缺项的得0 分</w:t>
            </w:r>
          </w:p>
        </w:tc>
      </w:tr>
      <w:tr w14:paraId="52C75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Merge w:val="continue"/>
            <w:noWrap w:val="0"/>
            <w:vAlign w:val="center"/>
          </w:tcPr>
          <w:p w14:paraId="43DCA8D5">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p>
        </w:tc>
        <w:tc>
          <w:tcPr>
            <w:tcW w:w="1530" w:type="dxa"/>
            <w:noWrap w:val="0"/>
            <w:vAlign w:val="center"/>
          </w:tcPr>
          <w:p w14:paraId="79A9289A">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center"/>
              <w:rPr>
                <w:rFonts w:hint="eastAsia" w:ascii="宋体" w:hAnsi="宋体" w:eastAsia="宋体" w:cs="宋体"/>
                <w:color w:val="auto"/>
                <w:sz w:val="24"/>
                <w:szCs w:val="24"/>
                <w:highlight w:val="none"/>
                <w:lang w:eastAsia="zh-CN"/>
              </w:rPr>
            </w:pPr>
            <w:r>
              <w:rPr>
                <w:rFonts w:hint="eastAsia" w:ascii="宋体" w:hAnsi="宋体" w:eastAsia="宋体" w:cs="宋体"/>
                <w:b w:val="0"/>
                <w:bCs w:val="0"/>
                <w:snapToGrid w:val="0"/>
                <w:kern w:val="2"/>
                <w:sz w:val="24"/>
                <w:szCs w:val="24"/>
                <w:highlight w:val="none"/>
                <w:lang w:val="en-US" w:eastAsia="zh-CN"/>
              </w:rPr>
              <w:t>人员及培训方案（10分）</w:t>
            </w:r>
          </w:p>
        </w:tc>
        <w:tc>
          <w:tcPr>
            <w:tcW w:w="6239" w:type="dxa"/>
            <w:noWrap w:val="0"/>
            <w:vAlign w:val="center"/>
          </w:tcPr>
          <w:p w14:paraId="55FA72DE">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依据投标人培训方案中的培训内容详实情况、培训时间长短、培训人员数量多少等对培训方案进行评分。</w:t>
            </w:r>
          </w:p>
          <w:p w14:paraId="0F1AF05E">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针对性强、非常完善、完全合理、完全满足招标人需求，得10分。</w:t>
            </w:r>
          </w:p>
          <w:p w14:paraId="1206661A">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针对性较强、比较完善、比较合理、基本满足招标人需求，得7分。</w:t>
            </w:r>
          </w:p>
          <w:p w14:paraId="53BDDE27">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针对性一般、不够完善、不够合理、不能满足招标人需求，得3分。</w:t>
            </w:r>
          </w:p>
          <w:p w14:paraId="120CDD53">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不提供得0分</w:t>
            </w:r>
          </w:p>
        </w:tc>
      </w:tr>
      <w:tr w14:paraId="65415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69" w:type="dxa"/>
            <w:vMerge w:val="restart"/>
            <w:noWrap w:val="0"/>
            <w:vAlign w:val="center"/>
          </w:tcPr>
          <w:p w14:paraId="72557464">
            <w:pPr>
              <w:pageBreakBefore w:val="0"/>
              <w:numPr>
                <w:ilvl w:val="0"/>
                <w:numId w:val="0"/>
              </w:numPr>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1530" w:type="dxa"/>
            <w:noWrap w:val="0"/>
            <w:vAlign w:val="center"/>
          </w:tcPr>
          <w:p w14:paraId="5FFEA2FD">
            <w:pPr>
              <w:pageBreakBefore w:val="0"/>
              <w:numPr>
                <w:ilvl w:val="0"/>
                <w:numId w:val="0"/>
              </w:numPr>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w:t>
            </w:r>
          </w:p>
          <w:p w14:paraId="32A5F289">
            <w:pPr>
              <w:pageBreakBefore w:val="0"/>
              <w:numPr>
                <w:ilvl w:val="0"/>
                <w:numId w:val="0"/>
              </w:numPr>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（0-4分）</w:t>
            </w:r>
          </w:p>
        </w:tc>
        <w:tc>
          <w:tcPr>
            <w:tcW w:w="6239" w:type="dxa"/>
            <w:noWrap w:val="0"/>
            <w:vAlign w:val="top"/>
          </w:tcPr>
          <w:p w14:paraId="4C4ADACA">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供应商自2022年1月1日以来（以合同签订时间为准）承担过同类或相关项目的，得2分，最多的4分。注：须提供项目合同扫描件并加盖供应商公章。</w:t>
            </w:r>
          </w:p>
        </w:tc>
      </w:tr>
      <w:tr w14:paraId="7288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69" w:type="dxa"/>
            <w:vMerge w:val="continue"/>
            <w:noWrap w:val="0"/>
            <w:vAlign w:val="center"/>
          </w:tcPr>
          <w:p w14:paraId="6ECA29B3">
            <w:pPr>
              <w:pageBreakBefore w:val="0"/>
              <w:numPr>
                <w:ilvl w:val="0"/>
                <w:numId w:val="0"/>
              </w:numPr>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 w:val="24"/>
                <w:szCs w:val="24"/>
                <w:highlight w:val="none"/>
              </w:rPr>
            </w:pPr>
          </w:p>
        </w:tc>
        <w:tc>
          <w:tcPr>
            <w:tcW w:w="1530" w:type="dxa"/>
            <w:noWrap w:val="0"/>
            <w:vAlign w:val="center"/>
          </w:tcPr>
          <w:p w14:paraId="185107E5">
            <w:pPr>
              <w:pageBreakBefore w:val="0"/>
              <w:kinsoku/>
              <w:wordWrap/>
              <w:overflowPunct/>
              <w:topLinePunct w:val="0"/>
              <w:bidi w:val="0"/>
              <w:adjustRightInd w:val="0"/>
              <w:snapToGrid w:val="0"/>
              <w:spacing w:beforeAutospacing="0" w:afterAutospacing="0" w:line="360" w:lineRule="auto"/>
              <w:ind w:left="2" w:leftChars="0" w:right="0" w:hanging="2" w:hangingChars="1"/>
              <w:jc w:val="center"/>
              <w:rPr>
                <w:rFonts w:hint="eastAsia" w:ascii="宋体" w:hAnsi="宋体" w:eastAsia="宋体" w:cs="宋体"/>
                <w:snapToGrid w:val="0"/>
                <w:kern w:val="2"/>
                <w:sz w:val="24"/>
                <w:szCs w:val="24"/>
                <w:highlight w:val="none"/>
                <w:lang w:val="en-US" w:eastAsia="zh-CN"/>
              </w:rPr>
            </w:pPr>
            <w:r>
              <w:rPr>
                <w:rFonts w:hint="eastAsia" w:ascii="宋体" w:hAnsi="宋体" w:eastAsia="宋体" w:cs="宋体"/>
                <w:snapToGrid w:val="0"/>
                <w:kern w:val="2"/>
                <w:sz w:val="24"/>
                <w:szCs w:val="24"/>
                <w:highlight w:val="none"/>
                <w:lang w:val="en-US" w:eastAsia="zh-CN"/>
              </w:rPr>
              <w:t>优惠承诺</w:t>
            </w:r>
          </w:p>
          <w:p w14:paraId="5D3E4D18">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center"/>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kern w:val="2"/>
                <w:sz w:val="24"/>
                <w:szCs w:val="24"/>
                <w:highlight w:val="none"/>
                <w:lang w:val="en-US" w:eastAsia="zh-CN"/>
              </w:rPr>
              <w:t>(0-4分)</w:t>
            </w:r>
          </w:p>
        </w:tc>
        <w:tc>
          <w:tcPr>
            <w:tcW w:w="6239" w:type="dxa"/>
            <w:noWrap w:val="0"/>
            <w:vAlign w:val="center"/>
          </w:tcPr>
          <w:p w14:paraId="784CE4AE">
            <w:pPr>
              <w:pageBreakBefore w:val="0"/>
              <w:bidi w:val="0"/>
              <w:adjustRightInd w:val="0"/>
              <w:snapToGrid w:val="0"/>
              <w:spacing w:beforeAutospacing="0" w:afterAutospacing="0" w:line="360" w:lineRule="auto"/>
              <w:ind w:left="0" w:leftChars="0" w:right="0"/>
              <w:jc w:val="left"/>
              <w:rPr>
                <w:rFonts w:hint="eastAsia" w:ascii="宋体" w:hAnsi="宋体" w:eastAsia="宋体" w:cs="宋体"/>
                <w:snapToGrid w:val="0"/>
                <w:kern w:val="2"/>
                <w:sz w:val="24"/>
                <w:szCs w:val="24"/>
                <w:highlight w:val="none"/>
                <w:lang w:val="zh-CN" w:eastAsia="zh-CN"/>
              </w:rPr>
            </w:pPr>
            <w:r>
              <w:rPr>
                <w:rFonts w:hint="eastAsia" w:ascii="宋体" w:hAnsi="宋体" w:eastAsia="宋体" w:cs="宋体"/>
                <w:snapToGrid w:val="0"/>
                <w:kern w:val="2"/>
                <w:sz w:val="24"/>
                <w:szCs w:val="24"/>
                <w:highlight w:val="none"/>
                <w:lang w:val="en-US" w:eastAsia="zh-CN"/>
              </w:rPr>
              <w:t>评标委员会根据</w:t>
            </w:r>
            <w:r>
              <w:rPr>
                <w:rFonts w:hint="eastAsia" w:ascii="宋体" w:hAnsi="宋体" w:eastAsia="宋体" w:cs="宋体"/>
                <w:snapToGrid w:val="0"/>
                <w:kern w:val="2"/>
                <w:sz w:val="24"/>
                <w:szCs w:val="24"/>
                <w:highlight w:val="none"/>
                <w:lang w:val="zh-CN" w:eastAsia="zh-CN"/>
              </w:rPr>
              <w:t>投标人</w:t>
            </w:r>
            <w:r>
              <w:rPr>
                <w:rFonts w:hint="eastAsia" w:ascii="宋体" w:hAnsi="宋体" w:eastAsia="宋体" w:cs="宋体"/>
                <w:snapToGrid w:val="0"/>
                <w:kern w:val="2"/>
                <w:sz w:val="24"/>
                <w:szCs w:val="24"/>
                <w:highlight w:val="none"/>
                <w:lang w:val="en-US" w:eastAsia="zh-CN"/>
              </w:rPr>
              <w:t>提供优惠承诺</w:t>
            </w:r>
            <w:r>
              <w:rPr>
                <w:rFonts w:hint="eastAsia" w:ascii="宋体" w:hAnsi="宋体" w:eastAsia="宋体" w:cs="宋体"/>
                <w:snapToGrid w:val="0"/>
                <w:kern w:val="2"/>
                <w:sz w:val="24"/>
                <w:szCs w:val="24"/>
                <w:highlight w:val="none"/>
                <w:lang w:val="zh-CN" w:eastAsia="zh-CN"/>
              </w:rPr>
              <w:t>内容详实，科学、合理，考虑周全，措施到位，针对性强，完全能够满足项目的需要。（</w:t>
            </w:r>
            <w:r>
              <w:rPr>
                <w:rFonts w:hint="eastAsia" w:ascii="宋体" w:hAnsi="宋体" w:eastAsia="宋体" w:cs="宋体"/>
                <w:snapToGrid w:val="0"/>
                <w:kern w:val="2"/>
                <w:sz w:val="24"/>
                <w:szCs w:val="24"/>
                <w:highlight w:val="none"/>
                <w:lang w:val="en-US" w:eastAsia="zh-CN"/>
              </w:rPr>
              <w:t>0-4分</w:t>
            </w:r>
            <w:r>
              <w:rPr>
                <w:rFonts w:hint="eastAsia" w:ascii="宋体" w:hAnsi="宋体" w:eastAsia="宋体" w:cs="宋体"/>
                <w:snapToGrid w:val="0"/>
                <w:kern w:val="2"/>
                <w:sz w:val="24"/>
                <w:szCs w:val="24"/>
                <w:highlight w:val="none"/>
                <w:lang w:val="zh-CN" w:eastAsia="zh-CN"/>
              </w:rPr>
              <w:t>）</w:t>
            </w:r>
          </w:p>
          <w:p w14:paraId="23B91835">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供应商</w:t>
            </w:r>
            <w:r>
              <w:rPr>
                <w:rFonts w:hint="eastAsia" w:ascii="宋体" w:hAnsi="宋体" w:eastAsia="宋体" w:cs="宋体"/>
                <w:sz w:val="24"/>
                <w:highlight w:val="none"/>
                <w:lang w:val="en-US" w:eastAsia="zh-CN"/>
              </w:rPr>
              <w:t>优惠服务承诺</w:t>
            </w:r>
            <w:r>
              <w:rPr>
                <w:rFonts w:hint="eastAsia" w:ascii="宋体" w:hAnsi="宋体" w:eastAsia="宋体" w:cs="宋体"/>
                <w:sz w:val="24"/>
                <w:highlight w:val="none"/>
              </w:rPr>
              <w:t>便于实施、科学、合理、可行</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分；</w:t>
            </w:r>
          </w:p>
          <w:p w14:paraId="75CA34D5">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供应商</w:t>
            </w:r>
            <w:r>
              <w:rPr>
                <w:rFonts w:hint="eastAsia" w:ascii="宋体" w:hAnsi="宋体" w:eastAsia="宋体" w:cs="宋体"/>
                <w:sz w:val="24"/>
                <w:highlight w:val="none"/>
                <w:lang w:val="en-US" w:eastAsia="zh-CN"/>
              </w:rPr>
              <w:t>优惠服务承诺</w:t>
            </w:r>
            <w:r>
              <w:rPr>
                <w:rFonts w:hint="eastAsia" w:ascii="宋体" w:hAnsi="宋体" w:eastAsia="宋体" w:cs="宋体"/>
                <w:sz w:val="24"/>
                <w:highlight w:val="none"/>
              </w:rPr>
              <w:t>合理性一般，不便于实施，完善程度一般，不够详尽的，得</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分。</w:t>
            </w:r>
          </w:p>
          <w:p w14:paraId="6F13F11F">
            <w:pPr>
              <w:pStyle w:val="37"/>
              <w:pageBreakBefore w:val="0"/>
              <w:bidi w:val="0"/>
              <w:adjustRightInd w:val="0"/>
              <w:snapToGrid w:val="0"/>
              <w:spacing w:beforeAutospacing="0" w:afterAutospacing="0" w:line="360" w:lineRule="auto"/>
              <w:ind w:left="0" w:leftChars="0" w:right="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不提供得0分。</w:t>
            </w:r>
          </w:p>
        </w:tc>
      </w:tr>
      <w:tr w14:paraId="1CA84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69" w:type="dxa"/>
            <w:vMerge w:val="continue"/>
            <w:noWrap w:val="0"/>
            <w:vAlign w:val="center"/>
          </w:tcPr>
          <w:p w14:paraId="69A9BDB0">
            <w:pPr>
              <w:pageBreakBefore w:val="0"/>
              <w:numPr>
                <w:ilvl w:val="0"/>
                <w:numId w:val="0"/>
              </w:numPr>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 w:val="24"/>
                <w:szCs w:val="24"/>
                <w:highlight w:val="none"/>
              </w:rPr>
            </w:pPr>
          </w:p>
        </w:tc>
        <w:tc>
          <w:tcPr>
            <w:tcW w:w="1530" w:type="dxa"/>
            <w:noWrap w:val="0"/>
            <w:vAlign w:val="center"/>
          </w:tcPr>
          <w:p w14:paraId="75A60C82">
            <w:pPr>
              <w:pageBreakBefore w:val="0"/>
              <w:numPr>
                <w:ilvl w:val="0"/>
                <w:numId w:val="0"/>
              </w:numPr>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售后服务（</w:t>
            </w:r>
            <w:r>
              <w:rPr>
                <w:rFonts w:hint="eastAsia" w:ascii="宋体" w:hAnsi="宋体" w:eastAsia="宋体" w:cs="宋体"/>
                <w:color w:val="auto"/>
                <w:sz w:val="24"/>
                <w:szCs w:val="24"/>
                <w:highlight w:val="none"/>
                <w:lang w:val="en-US" w:eastAsia="zh-CN"/>
              </w:rPr>
              <w:t>0-7分</w:t>
            </w:r>
            <w:r>
              <w:rPr>
                <w:rFonts w:hint="eastAsia" w:ascii="宋体" w:hAnsi="宋体" w:eastAsia="宋体" w:cs="宋体"/>
                <w:color w:val="auto"/>
                <w:sz w:val="24"/>
                <w:szCs w:val="24"/>
                <w:highlight w:val="none"/>
                <w:lang w:eastAsia="zh-CN"/>
              </w:rPr>
              <w:t>）</w:t>
            </w:r>
          </w:p>
        </w:tc>
        <w:tc>
          <w:tcPr>
            <w:tcW w:w="6239" w:type="dxa"/>
            <w:noWrap w:val="0"/>
            <w:vAlign w:val="top"/>
          </w:tcPr>
          <w:p w14:paraId="37A7A9D0">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 xml:space="preserve">供应商结合采购需求，针对本项目的实际情况， 提供详细的售后服务方案，包括但不限于售后服务内容、售后服务响应、售后服务人员配置及安排、服务 质量保证、定期巡检等。 </w:t>
            </w:r>
            <w:r>
              <w:rPr>
                <w:rFonts w:hint="eastAsia" w:ascii="宋体" w:hAnsi="宋体" w:eastAsia="宋体" w:cs="宋体"/>
                <w:sz w:val="24"/>
                <w:szCs w:val="24"/>
                <w:highlight w:val="none"/>
                <w:lang w:val="en-US" w:eastAsia="zh-CN"/>
              </w:rPr>
              <w:t>评标委员会</w:t>
            </w:r>
            <w:r>
              <w:rPr>
                <w:rFonts w:hint="eastAsia" w:ascii="宋体" w:hAnsi="宋体" w:eastAsia="宋体" w:cs="宋体"/>
                <w:sz w:val="24"/>
                <w:szCs w:val="24"/>
                <w:highlight w:val="none"/>
              </w:rPr>
              <w:t>根据供应商提供的售后服务方案的完整性、可行性等进行综合评价</w:t>
            </w:r>
            <w:r>
              <w:rPr>
                <w:rFonts w:hint="eastAsia" w:ascii="宋体" w:hAnsi="宋体" w:eastAsia="宋体" w:cs="宋体"/>
                <w:color w:val="auto"/>
                <w:sz w:val="24"/>
                <w:szCs w:val="24"/>
                <w:highlight w:val="none"/>
                <w:lang w:val="en-US" w:eastAsia="zh-CN"/>
              </w:rPr>
              <w:t>。</w:t>
            </w:r>
          </w:p>
          <w:p w14:paraId="6B151D23">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售后服务方案较详细，服务经验较丰富，符合采购人实际情况，有很强针对性和可行性，</w:t>
            </w:r>
            <w:r>
              <w:rPr>
                <w:rFonts w:hint="eastAsia" w:ascii="宋体" w:hAnsi="宋体" w:eastAsia="宋体" w:cs="宋体"/>
                <w:sz w:val="24"/>
                <w:szCs w:val="24"/>
                <w:highlight w:val="none"/>
              </w:rPr>
              <w:t>完全满足或优于项目需求</w:t>
            </w:r>
            <w:r>
              <w:rPr>
                <w:rFonts w:hint="eastAsia" w:ascii="宋体" w:hAnsi="宋体" w:eastAsia="宋体" w:cs="宋体"/>
                <w:color w:val="auto"/>
                <w:sz w:val="24"/>
                <w:szCs w:val="24"/>
                <w:highlight w:val="none"/>
                <w:lang w:val="en-US" w:eastAsia="zh-CN"/>
              </w:rPr>
              <w:t>，</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14:paraId="2630AA41">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val="en-US" w:eastAsia="zh-CN"/>
              </w:rPr>
              <w:t>售后服务方案</w:t>
            </w:r>
            <w:r>
              <w:rPr>
                <w:rFonts w:hint="eastAsia" w:ascii="宋体" w:hAnsi="宋体" w:eastAsia="宋体" w:cs="宋体"/>
                <w:sz w:val="24"/>
                <w:szCs w:val="24"/>
                <w:highlight w:val="none"/>
              </w:rPr>
              <w:t>综合考虑各方面需求</w:t>
            </w:r>
            <w:r>
              <w:rPr>
                <w:rFonts w:hint="eastAsia" w:ascii="宋体" w:hAnsi="宋体" w:eastAsia="宋体" w:cs="宋体"/>
                <w:color w:val="auto"/>
                <w:sz w:val="24"/>
                <w:szCs w:val="24"/>
                <w:highlight w:val="none"/>
                <w:lang w:val="en-US" w:eastAsia="zh-CN"/>
              </w:rPr>
              <w:t>比较完整、合理、可行，描述条理清晰，方案容易执行，</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14:paraId="1B73B9D4">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售后服务方案比较完整、合理，基本满足招标文件要求，</w:t>
            </w:r>
            <w:r>
              <w:rPr>
                <w:rFonts w:hint="eastAsia" w:ascii="宋体" w:hAnsi="宋体" w:eastAsia="宋体" w:cs="宋体"/>
                <w:sz w:val="24"/>
                <w:szCs w:val="24"/>
                <w:highlight w:val="none"/>
              </w:rPr>
              <w:t xml:space="preserve">得 </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w:t>
            </w:r>
          </w:p>
          <w:p w14:paraId="428CEFF8">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val="en-US" w:eastAsia="zh-CN"/>
              </w:rPr>
              <w:t>售后服务方案简单，基本满足招标文件要求，</w:t>
            </w:r>
            <w:r>
              <w:rPr>
                <w:rFonts w:hint="eastAsia" w:ascii="宋体" w:hAnsi="宋体" w:eastAsia="宋体" w:cs="宋体"/>
                <w:sz w:val="24"/>
                <w:szCs w:val="24"/>
                <w:highlight w:val="none"/>
              </w:rPr>
              <w:t xml:space="preserve">得 </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14:paraId="00602BCF">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缺项得 0 分。</w:t>
            </w:r>
          </w:p>
        </w:tc>
      </w:tr>
    </w:tbl>
    <w:p w14:paraId="48483F60">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三标段评标办法</w:t>
      </w:r>
    </w:p>
    <w:tbl>
      <w:tblPr>
        <w:tblStyle w:val="21"/>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30"/>
        <w:gridCol w:w="6239"/>
      </w:tblGrid>
      <w:tr w14:paraId="73EE6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noWrap w:val="0"/>
            <w:vAlign w:val="center"/>
          </w:tcPr>
          <w:p w14:paraId="10C5DCF4">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w:t>
            </w:r>
          </w:p>
        </w:tc>
        <w:tc>
          <w:tcPr>
            <w:tcW w:w="1530" w:type="dxa"/>
            <w:noWrap w:val="0"/>
            <w:vAlign w:val="center"/>
          </w:tcPr>
          <w:p w14:paraId="5AB6C1A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评审内容</w:t>
            </w:r>
          </w:p>
        </w:tc>
        <w:tc>
          <w:tcPr>
            <w:tcW w:w="6239" w:type="dxa"/>
            <w:noWrap w:val="0"/>
            <w:vAlign w:val="top"/>
          </w:tcPr>
          <w:p w14:paraId="2EDA3A95">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r>
      <w:tr w14:paraId="0B497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noWrap w:val="0"/>
            <w:vAlign w:val="center"/>
          </w:tcPr>
          <w:p w14:paraId="5904CDB9">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p>
          <w:p w14:paraId="519A1A0D">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w:t>
            </w:r>
          </w:p>
        </w:tc>
        <w:tc>
          <w:tcPr>
            <w:tcW w:w="1530" w:type="dxa"/>
            <w:noWrap w:val="0"/>
            <w:vAlign w:val="center"/>
          </w:tcPr>
          <w:p w14:paraId="36857419">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p w14:paraId="2EA238AF">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（30分）</w:t>
            </w:r>
          </w:p>
        </w:tc>
        <w:tc>
          <w:tcPr>
            <w:tcW w:w="6239" w:type="dxa"/>
            <w:noWrap w:val="0"/>
            <w:vAlign w:val="top"/>
          </w:tcPr>
          <w:p w14:paraId="660C4E7B">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1、价格分采用低价优先法计算，即满足招标文件通过资格性和形式性审查且投标价格最低的投标报价为评标基准价，其价格得分为满分30分。</w:t>
            </w:r>
          </w:p>
          <w:p w14:paraId="3E037CC3">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2、其他供应商的价格分统一按照下列公式计算：</w:t>
            </w:r>
          </w:p>
          <w:p w14:paraId="35E657A2">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投标报价得分=(评标基准价／投标报价)×30</w:t>
            </w:r>
          </w:p>
          <w:p w14:paraId="09617C90">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3、价格扣除：</w:t>
            </w:r>
            <w:r>
              <w:rPr>
                <w:rFonts w:hint="eastAsia" w:ascii="宋体" w:hAnsi="宋体" w:eastAsia="宋体" w:cs="宋体"/>
                <w:b w:val="0"/>
                <w:bCs w:val="0"/>
                <w:sz w:val="24"/>
                <w:szCs w:val="24"/>
                <w:highlight w:val="none"/>
              </w:rPr>
              <w:t>1.根据《政府采购促进中小企业发展管理办法》（财库﹝2020﹞46 号）及《三门峡市财政局关于进一步优化提升政府采购营商环境有关事项通知》（三财购（2021）14号）及《三门峡市财政局关于进一步加大政府采购支持中小企业发展有关事项的通知》（三财购（2022）9号）的规定，对小型、微型企业产品的价格给予10%～20%的扣除，本项目小型、微型企业</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提供证明材料</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按</w:t>
            </w:r>
            <w:r>
              <w:rPr>
                <w:rFonts w:hint="eastAsia" w:ascii="宋体" w:hAnsi="宋体" w:eastAsia="宋体" w:cs="宋体"/>
                <w:b w:val="0"/>
                <w:bCs w:val="0"/>
                <w:sz w:val="24"/>
                <w:szCs w:val="24"/>
                <w:highlight w:val="none"/>
                <w:lang w:val="en-US" w:eastAsia="zh-CN"/>
              </w:rPr>
              <w:t>20</w:t>
            </w:r>
            <w:r>
              <w:rPr>
                <w:rFonts w:hint="eastAsia" w:ascii="宋体" w:hAnsi="宋体" w:eastAsia="宋体" w:cs="宋体"/>
                <w:b w:val="0"/>
                <w:bCs w:val="0"/>
                <w:sz w:val="24"/>
                <w:szCs w:val="24"/>
                <w:highlight w:val="none"/>
              </w:rPr>
              <w:t>%扣除，使用扣除后的价格参与评审。对于中型企业产品的价格不予扣除。</w:t>
            </w:r>
            <w:r>
              <w:rPr>
                <w:rFonts w:hint="eastAsia" w:ascii="宋体" w:hAnsi="宋体" w:eastAsia="宋体" w:cs="宋体"/>
                <w:b w:val="0"/>
                <w:bCs w:val="0"/>
                <w:sz w:val="24"/>
                <w:szCs w:val="24"/>
                <w:highlight w:val="none"/>
                <w:lang w:val="en-US" w:eastAsia="zh-CN"/>
              </w:rPr>
              <w:t>小微企业需完整填写小微企业声明函并提供证明资料。</w:t>
            </w:r>
          </w:p>
          <w:p w14:paraId="7CAC6022">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z w:val="24"/>
                <w:szCs w:val="24"/>
                <w:highlight w:val="none"/>
              </w:rPr>
              <w:t>所投小微企业产品报价=所投小微企业产品报价×（1-</w:t>
            </w:r>
            <w:r>
              <w:rPr>
                <w:rFonts w:hint="eastAsia" w:ascii="宋体" w:hAnsi="宋体" w:eastAsia="宋体" w:cs="宋体"/>
                <w:b w:val="0"/>
                <w:bCs w:val="0"/>
                <w:sz w:val="24"/>
                <w:szCs w:val="24"/>
                <w:highlight w:val="none"/>
                <w:lang w:val="en-US" w:eastAsia="zh-CN"/>
              </w:rPr>
              <w:t>20</w:t>
            </w:r>
            <w:r>
              <w:rPr>
                <w:rFonts w:hint="eastAsia" w:ascii="宋体" w:hAnsi="宋体" w:eastAsia="宋体" w:cs="宋体"/>
                <w:b w:val="0"/>
                <w:bCs w:val="0"/>
                <w:sz w:val="24"/>
                <w:szCs w:val="24"/>
                <w:highlight w:val="none"/>
              </w:rPr>
              <w:t>%）</w:t>
            </w:r>
          </w:p>
          <w:p w14:paraId="48EE89F1">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4、根据财政部司法部《关于政府采购支持监狱企业发展有关问题的通知》（财库〔2014〕68号）规定及《关于进一步加大政府采购支持中小企业发展有关事项的通知》（灵财[2022]97号）通知，本项目对监狱企业作为供应商所提供的本企业生产的产品的价格给予20%的扣除。监狱企业，应当提供由省级以上监狱管理局、戒毒管理局（含新疆生产建设兵团）出具的属于监狱企业的证明文件。</w:t>
            </w:r>
          </w:p>
          <w:p w14:paraId="24FB1BD7">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5、</w:t>
            </w:r>
            <w:r>
              <w:rPr>
                <w:rFonts w:hint="eastAsia" w:ascii="宋体" w:hAnsi="宋体" w:eastAsia="宋体" w:cs="宋体"/>
                <w:b w:val="0"/>
                <w:bCs w:val="0"/>
                <w:sz w:val="24"/>
                <w:szCs w:val="24"/>
                <w:highlight w:val="none"/>
              </w:rPr>
              <w:t>根据财政部民政部中国残疾人联合会《关于促进残疾人就业政府采购政策的通知》（财库〔2017〕141号）规定，对于残疾人福利性单位视同为小型、微型企业，价格给予</w:t>
            </w:r>
            <w:r>
              <w:rPr>
                <w:rFonts w:hint="eastAsia" w:ascii="宋体" w:hAnsi="宋体" w:eastAsia="宋体" w:cs="宋体"/>
                <w:b w:val="0"/>
                <w:bCs w:val="0"/>
                <w:sz w:val="24"/>
                <w:szCs w:val="24"/>
                <w:highlight w:val="none"/>
                <w:lang w:val="en-US" w:eastAsia="zh-CN"/>
              </w:rPr>
              <w:t>20</w:t>
            </w:r>
            <w:r>
              <w:rPr>
                <w:rFonts w:hint="eastAsia" w:ascii="宋体" w:hAnsi="宋体" w:eastAsia="宋体" w:cs="宋体"/>
                <w:b w:val="0"/>
                <w:bCs w:val="0"/>
                <w:sz w:val="24"/>
                <w:szCs w:val="24"/>
                <w:highlight w:val="none"/>
              </w:rPr>
              <w:t>%的扣除</w:t>
            </w:r>
            <w:r>
              <w:rPr>
                <w:rFonts w:hint="eastAsia" w:ascii="宋体" w:hAnsi="宋体" w:eastAsia="宋体" w:cs="宋体"/>
                <w:b w:val="0"/>
                <w:bCs w:val="0"/>
                <w:snapToGrid w:val="0"/>
                <w:kern w:val="2"/>
                <w:sz w:val="24"/>
                <w:szCs w:val="24"/>
                <w:highlight w:val="none"/>
                <w:lang w:val="en-US" w:eastAsia="zh-CN"/>
              </w:rPr>
              <w:t>。</w:t>
            </w:r>
          </w:p>
          <w:p w14:paraId="766B9891">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6、同一供应商，中小微企业产品和监狱企业产品价格扣除优惠只享受一次，不得重复享受。</w:t>
            </w:r>
          </w:p>
          <w:p w14:paraId="40549FBD">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注：价格分计算保留小数点后二位。</w:t>
            </w:r>
          </w:p>
          <w:p w14:paraId="1FA7EE6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在评标过程中，评标委员会发现供应商的报价明显低于成本价时或明显低于其他通过初步审查供应商的报价，有可能影响产品质量或者不能诚信履约的，评标委员会可向该供应商提出询问， 要求该供应商作出书面说明并提供相关证明材料。供应商不能合理说明及不能提供相关证明材料的，评标委员会认定该供应商以低于成本价恶意竞标，其投标作废标处理。</w:t>
            </w:r>
          </w:p>
        </w:tc>
      </w:tr>
      <w:tr w14:paraId="1B726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Merge w:val="restart"/>
            <w:noWrap w:val="0"/>
            <w:vAlign w:val="center"/>
          </w:tcPr>
          <w:p w14:paraId="7C1E82A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技术部分</w:t>
            </w:r>
          </w:p>
          <w:p w14:paraId="23306A7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55分</w:t>
            </w:r>
            <w:r>
              <w:rPr>
                <w:rFonts w:hint="eastAsia" w:ascii="宋体" w:hAnsi="宋体" w:eastAsia="宋体" w:cs="宋体"/>
                <w:color w:val="auto"/>
                <w:sz w:val="24"/>
                <w:szCs w:val="24"/>
                <w:highlight w:val="none"/>
                <w:lang w:eastAsia="zh-CN"/>
              </w:rPr>
              <w:t>）</w:t>
            </w:r>
          </w:p>
        </w:tc>
        <w:tc>
          <w:tcPr>
            <w:tcW w:w="1530" w:type="dxa"/>
            <w:noWrap w:val="0"/>
            <w:vAlign w:val="center"/>
          </w:tcPr>
          <w:p w14:paraId="0CFC0016">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技术指标响应情况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20分</w:t>
            </w:r>
            <w:r>
              <w:rPr>
                <w:rFonts w:hint="eastAsia" w:ascii="宋体" w:hAnsi="宋体" w:eastAsia="宋体" w:cs="宋体"/>
                <w:color w:val="auto"/>
                <w:sz w:val="24"/>
                <w:szCs w:val="24"/>
                <w:highlight w:val="none"/>
                <w:lang w:eastAsia="zh-CN"/>
              </w:rPr>
              <w:t>）</w:t>
            </w:r>
          </w:p>
        </w:tc>
        <w:tc>
          <w:tcPr>
            <w:tcW w:w="6239" w:type="dxa"/>
            <w:noWrap w:val="0"/>
            <w:vAlign w:val="center"/>
          </w:tcPr>
          <w:p w14:paraId="761F957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供应商所投主要产品参数要求完全满足招标文件要求的，得满分。</w:t>
            </w:r>
          </w:p>
          <w:p w14:paraId="4066967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参数要求每有一项不满足的扣 0.5分，扣完为止。</w:t>
            </w:r>
          </w:p>
        </w:tc>
      </w:tr>
      <w:tr w14:paraId="4DB5E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669" w:type="dxa"/>
            <w:vMerge w:val="continue"/>
            <w:noWrap w:val="0"/>
            <w:vAlign w:val="center"/>
          </w:tcPr>
          <w:p w14:paraId="5E94770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p>
        </w:tc>
        <w:tc>
          <w:tcPr>
            <w:tcW w:w="1530" w:type="dxa"/>
            <w:noWrap w:val="0"/>
            <w:vAlign w:val="center"/>
          </w:tcPr>
          <w:p w14:paraId="024B4803">
            <w:pPr>
              <w:pageBreakBefore w:val="0"/>
              <w:numPr>
                <w:ilvl w:val="0"/>
                <w:numId w:val="0"/>
              </w:numPr>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实施方案</w:t>
            </w:r>
          </w:p>
          <w:p w14:paraId="6E9A3795">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（0-10分）</w:t>
            </w:r>
          </w:p>
        </w:tc>
        <w:tc>
          <w:tcPr>
            <w:tcW w:w="6239" w:type="dxa"/>
            <w:noWrap w:val="0"/>
            <w:vAlign w:val="top"/>
          </w:tcPr>
          <w:p w14:paraId="0E26F8A8">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提供项目组织实施方案，评委根据方案中人员组织、进度安排、实施步骤、保障措施等内容</w:t>
            </w:r>
            <w:r>
              <w:rPr>
                <w:rFonts w:hint="eastAsia" w:ascii="宋体" w:hAnsi="宋体" w:eastAsia="宋体" w:cs="宋体"/>
                <w:color w:val="auto"/>
                <w:sz w:val="24"/>
                <w:szCs w:val="24"/>
                <w:highlight w:val="none"/>
                <w:lang w:eastAsia="zh-CN"/>
              </w:rPr>
              <w:t>及优惠服务等内容进行对比，详细、完整、合理的得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分，较详细、完整、合理的得</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分，一般的得</w:t>
            </w:r>
            <w:r>
              <w:rPr>
                <w:rFonts w:hint="eastAsia" w:ascii="宋体" w:hAnsi="宋体" w:eastAsia="宋体" w:cs="宋体"/>
                <w:color w:val="auto"/>
                <w:sz w:val="24"/>
                <w:szCs w:val="24"/>
                <w:highlight w:val="none"/>
                <w:lang w:val="en-US" w:eastAsia="zh-CN"/>
              </w:rPr>
              <w:t>3分，</w:t>
            </w:r>
            <w:r>
              <w:rPr>
                <w:rFonts w:hint="eastAsia" w:ascii="宋体" w:hAnsi="宋体" w:eastAsia="宋体" w:cs="宋体"/>
                <w:color w:val="auto"/>
                <w:sz w:val="24"/>
                <w:szCs w:val="24"/>
                <w:highlight w:val="none"/>
                <w:lang w:eastAsia="zh-CN"/>
              </w:rPr>
              <w:t>否则不得分。</w:t>
            </w:r>
          </w:p>
        </w:tc>
      </w:tr>
      <w:tr w14:paraId="0304E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Merge w:val="continue"/>
            <w:noWrap w:val="0"/>
            <w:vAlign w:val="center"/>
          </w:tcPr>
          <w:p w14:paraId="41EDC0F5">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p>
        </w:tc>
        <w:tc>
          <w:tcPr>
            <w:tcW w:w="1530" w:type="dxa"/>
            <w:noWrap w:val="0"/>
            <w:vAlign w:val="center"/>
          </w:tcPr>
          <w:p w14:paraId="2E719AA4">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000000"/>
                <w:sz w:val="24"/>
                <w:highlight w:val="none"/>
              </w:rPr>
              <w:t>质量保障措施</w:t>
            </w:r>
            <w:r>
              <w:rPr>
                <w:rFonts w:hint="eastAsia" w:ascii="宋体" w:hAnsi="宋体" w:eastAsia="宋体" w:cs="宋体"/>
                <w:sz w:val="24"/>
                <w:highlight w:val="none"/>
              </w:rPr>
              <w:t>（10分）</w:t>
            </w:r>
          </w:p>
        </w:tc>
        <w:tc>
          <w:tcPr>
            <w:tcW w:w="6239" w:type="dxa"/>
            <w:noWrap w:val="0"/>
            <w:vAlign w:val="center"/>
          </w:tcPr>
          <w:p w14:paraId="332EFC49">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根据供应商提供的质量保障措施是否科学、合理、可行。</w:t>
            </w:r>
          </w:p>
          <w:p w14:paraId="73215D5F">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投标人提供的质量保证措施便于实施、具有针对性、完善程度高得10分；</w:t>
            </w:r>
          </w:p>
          <w:p w14:paraId="2266BC2E">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投标人提供的质量保证措施合理便于实施、但完善程度一般不够详尽的得7 分；</w:t>
            </w:r>
          </w:p>
          <w:p w14:paraId="6D4C4671">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投标人提供的质量保证措施合理性一般，不便于实施，完善程度一般不够详尽的得3分。</w:t>
            </w:r>
          </w:p>
          <w:p w14:paraId="47137DB0">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sz w:val="24"/>
                <w:highlight w:val="none"/>
              </w:rPr>
              <w:t>投标人没有提供上述内容，或提供的不完整有缺项的得0 分</w:t>
            </w:r>
            <w:r>
              <w:rPr>
                <w:rFonts w:hint="eastAsia" w:ascii="宋体" w:hAnsi="宋体" w:eastAsia="宋体" w:cs="宋体"/>
                <w:sz w:val="24"/>
                <w:highlight w:val="none"/>
                <w:lang w:eastAsia="zh-CN"/>
              </w:rPr>
              <w:t>。</w:t>
            </w:r>
          </w:p>
        </w:tc>
      </w:tr>
      <w:tr w14:paraId="1729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Merge w:val="continue"/>
            <w:noWrap w:val="0"/>
            <w:vAlign w:val="center"/>
          </w:tcPr>
          <w:p w14:paraId="3B16CA21">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p>
        </w:tc>
        <w:tc>
          <w:tcPr>
            <w:tcW w:w="1530" w:type="dxa"/>
            <w:noWrap w:val="0"/>
            <w:vAlign w:val="center"/>
          </w:tcPr>
          <w:p w14:paraId="1E1594D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r>
              <w:rPr>
                <w:rFonts w:hint="eastAsia" w:ascii="宋体" w:hAnsi="宋体" w:eastAsia="宋体" w:cs="宋体"/>
                <w:sz w:val="24"/>
                <w:highlight w:val="none"/>
                <w:lang w:eastAsia="zh-CN"/>
              </w:rPr>
              <w:t>供货安装调试方案</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分）</w:t>
            </w:r>
          </w:p>
        </w:tc>
        <w:tc>
          <w:tcPr>
            <w:tcW w:w="6239" w:type="dxa"/>
            <w:noWrap w:val="0"/>
            <w:vAlign w:val="center"/>
          </w:tcPr>
          <w:p w14:paraId="5C15580D">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根据供应商提供的</w:t>
            </w:r>
            <w:r>
              <w:rPr>
                <w:rFonts w:hint="eastAsia" w:ascii="宋体" w:hAnsi="宋体" w:eastAsia="宋体" w:cs="宋体"/>
                <w:sz w:val="24"/>
                <w:highlight w:val="none"/>
                <w:lang w:eastAsia="zh-CN"/>
              </w:rPr>
              <w:t>供货安装调试方案</w:t>
            </w:r>
            <w:r>
              <w:rPr>
                <w:rFonts w:hint="eastAsia" w:ascii="宋体" w:hAnsi="宋体" w:eastAsia="宋体" w:cs="宋体"/>
                <w:sz w:val="24"/>
                <w:highlight w:val="none"/>
              </w:rPr>
              <w:t>、供货时间、进度计划等，是否科学、合理、可行。</w:t>
            </w:r>
          </w:p>
          <w:p w14:paraId="3F4E7AB5">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lang w:eastAsia="zh-CN"/>
              </w:rPr>
            </w:pPr>
            <w:r>
              <w:rPr>
                <w:rFonts w:hint="eastAsia" w:ascii="宋体" w:hAnsi="宋体" w:eastAsia="宋体" w:cs="宋体"/>
                <w:sz w:val="24"/>
                <w:highlight w:val="none"/>
              </w:rPr>
              <w:t>供应商有针对于本项目提供的</w:t>
            </w:r>
            <w:r>
              <w:rPr>
                <w:rFonts w:hint="eastAsia" w:ascii="宋体" w:hAnsi="宋体" w:eastAsia="宋体" w:cs="宋体"/>
                <w:sz w:val="24"/>
                <w:highlight w:val="none"/>
                <w:lang w:eastAsia="zh-CN"/>
              </w:rPr>
              <w:t>供货安装调试方案</w:t>
            </w:r>
            <w:r>
              <w:rPr>
                <w:rFonts w:hint="eastAsia" w:ascii="宋体" w:hAnsi="宋体" w:eastAsia="宋体" w:cs="宋体"/>
                <w:sz w:val="24"/>
                <w:highlight w:val="none"/>
              </w:rPr>
              <w:t>，方案便于实施、科学、合理、可行；有合理措施保障供货时间及进度计划，完善程度高，得</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分</w:t>
            </w:r>
            <w:r>
              <w:rPr>
                <w:rFonts w:hint="eastAsia" w:ascii="宋体" w:hAnsi="宋体" w:eastAsia="宋体" w:cs="宋体"/>
                <w:sz w:val="24"/>
                <w:highlight w:val="none"/>
                <w:lang w:eastAsia="zh-CN"/>
              </w:rPr>
              <w:t>。</w:t>
            </w:r>
          </w:p>
          <w:p w14:paraId="57F103D7">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lang w:eastAsia="zh-CN"/>
              </w:rPr>
            </w:pPr>
            <w:r>
              <w:rPr>
                <w:rFonts w:hint="eastAsia" w:ascii="宋体" w:hAnsi="宋体" w:eastAsia="宋体" w:cs="宋体"/>
                <w:sz w:val="24"/>
                <w:highlight w:val="none"/>
              </w:rPr>
              <w:t>供应商有针对于本项目提供的</w:t>
            </w:r>
            <w:r>
              <w:rPr>
                <w:rFonts w:hint="eastAsia" w:ascii="宋体" w:hAnsi="宋体" w:eastAsia="宋体" w:cs="宋体"/>
                <w:sz w:val="24"/>
                <w:highlight w:val="none"/>
                <w:lang w:eastAsia="zh-CN"/>
              </w:rPr>
              <w:t>供货安装调试方案</w:t>
            </w:r>
            <w:r>
              <w:rPr>
                <w:rFonts w:hint="eastAsia" w:ascii="宋体" w:hAnsi="宋体" w:eastAsia="宋体" w:cs="宋体"/>
                <w:sz w:val="24"/>
                <w:highlight w:val="none"/>
              </w:rPr>
              <w:t>，方案便于实施；有合理措施保障供货时间及进度计划，完善程度不高，得</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分</w:t>
            </w:r>
            <w:r>
              <w:rPr>
                <w:rFonts w:hint="eastAsia" w:ascii="宋体" w:hAnsi="宋体" w:eastAsia="宋体" w:cs="宋体"/>
                <w:sz w:val="24"/>
                <w:highlight w:val="none"/>
                <w:lang w:val="en-US" w:eastAsia="zh-CN"/>
              </w:rPr>
              <w:t>.</w:t>
            </w:r>
          </w:p>
          <w:p w14:paraId="5EBC78CA">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供应商提供的</w:t>
            </w:r>
            <w:r>
              <w:rPr>
                <w:rFonts w:hint="eastAsia" w:ascii="宋体" w:hAnsi="宋体" w:eastAsia="宋体" w:cs="宋体"/>
                <w:sz w:val="24"/>
                <w:highlight w:val="none"/>
                <w:lang w:eastAsia="zh-CN"/>
              </w:rPr>
              <w:t>供货安装调试方案</w:t>
            </w:r>
            <w:r>
              <w:rPr>
                <w:rFonts w:hint="eastAsia" w:ascii="宋体" w:hAnsi="宋体" w:eastAsia="宋体" w:cs="宋体"/>
                <w:sz w:val="24"/>
                <w:highlight w:val="none"/>
              </w:rPr>
              <w:t>合理性一般，不便于实施，完善程度一般，不够详尽的，得</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分。</w:t>
            </w:r>
          </w:p>
          <w:p w14:paraId="38605BA3">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sz w:val="24"/>
                <w:highlight w:val="none"/>
              </w:rPr>
              <w:t>投标人没有提供上述内容，或提供的不完整有缺项的得0 分</w:t>
            </w:r>
          </w:p>
        </w:tc>
      </w:tr>
      <w:tr w14:paraId="46FEB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Merge w:val="continue"/>
            <w:noWrap w:val="0"/>
            <w:vAlign w:val="center"/>
          </w:tcPr>
          <w:p w14:paraId="7DC8235F">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p>
        </w:tc>
        <w:tc>
          <w:tcPr>
            <w:tcW w:w="1530" w:type="dxa"/>
            <w:noWrap w:val="0"/>
            <w:vAlign w:val="center"/>
          </w:tcPr>
          <w:p w14:paraId="1075A6A5">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center"/>
              <w:rPr>
                <w:rFonts w:hint="eastAsia" w:ascii="宋体" w:hAnsi="宋体" w:eastAsia="宋体" w:cs="宋体"/>
                <w:color w:val="auto"/>
                <w:sz w:val="24"/>
                <w:szCs w:val="24"/>
                <w:highlight w:val="none"/>
                <w:lang w:eastAsia="zh-CN"/>
              </w:rPr>
            </w:pPr>
            <w:r>
              <w:rPr>
                <w:rFonts w:hint="eastAsia" w:ascii="宋体" w:hAnsi="宋体" w:eastAsia="宋体" w:cs="宋体"/>
                <w:b w:val="0"/>
                <w:bCs w:val="0"/>
                <w:snapToGrid w:val="0"/>
                <w:kern w:val="2"/>
                <w:sz w:val="24"/>
                <w:szCs w:val="24"/>
                <w:highlight w:val="none"/>
                <w:lang w:val="en-US" w:eastAsia="zh-CN"/>
              </w:rPr>
              <w:t>人员及培训方案（10分）</w:t>
            </w:r>
          </w:p>
        </w:tc>
        <w:tc>
          <w:tcPr>
            <w:tcW w:w="6239" w:type="dxa"/>
            <w:noWrap w:val="0"/>
            <w:vAlign w:val="center"/>
          </w:tcPr>
          <w:p w14:paraId="09AD24D5">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依据投标人培训方案中的培训内容详实情况、培训时间长短、培训人员数量多少等对培训方案进行评分。</w:t>
            </w:r>
          </w:p>
          <w:p w14:paraId="2E593262">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针对性强、非常完善、完全合理、完全满足招标人需求，得10分。</w:t>
            </w:r>
          </w:p>
          <w:p w14:paraId="2EAECF8E">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针对性较强、比较完善、比较合理、基本满足招标人需求，得7分。</w:t>
            </w:r>
          </w:p>
          <w:p w14:paraId="1DABDDE4">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针对性一般、不够完善、不够合理、不能满足招标人需求，得3分。</w:t>
            </w:r>
          </w:p>
          <w:p w14:paraId="5787411B">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不提供得0分</w:t>
            </w:r>
          </w:p>
        </w:tc>
      </w:tr>
      <w:tr w14:paraId="4C0D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69" w:type="dxa"/>
            <w:vMerge w:val="restart"/>
            <w:noWrap w:val="0"/>
            <w:vAlign w:val="center"/>
          </w:tcPr>
          <w:p w14:paraId="14D740A8">
            <w:pPr>
              <w:pageBreakBefore w:val="0"/>
              <w:numPr>
                <w:ilvl w:val="0"/>
                <w:numId w:val="0"/>
              </w:numPr>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1530" w:type="dxa"/>
            <w:noWrap w:val="0"/>
            <w:vAlign w:val="center"/>
          </w:tcPr>
          <w:p w14:paraId="3315D7BB">
            <w:pPr>
              <w:pageBreakBefore w:val="0"/>
              <w:numPr>
                <w:ilvl w:val="0"/>
                <w:numId w:val="0"/>
              </w:numPr>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w:t>
            </w:r>
          </w:p>
          <w:p w14:paraId="0CF92BB2">
            <w:pPr>
              <w:pageBreakBefore w:val="0"/>
              <w:numPr>
                <w:ilvl w:val="0"/>
                <w:numId w:val="0"/>
              </w:numPr>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（0-4分）</w:t>
            </w:r>
          </w:p>
        </w:tc>
        <w:tc>
          <w:tcPr>
            <w:tcW w:w="6239" w:type="dxa"/>
            <w:noWrap w:val="0"/>
            <w:vAlign w:val="top"/>
          </w:tcPr>
          <w:p w14:paraId="1F2E2186">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供应商自2022年1月1日以来（以合同签订时间为准）承担过同类或相关项目的，得2分，最多的4分。注：须提供项目合同扫描件并加盖供应商公章。</w:t>
            </w:r>
          </w:p>
        </w:tc>
      </w:tr>
      <w:tr w14:paraId="0BC03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69" w:type="dxa"/>
            <w:vMerge w:val="continue"/>
            <w:noWrap w:val="0"/>
            <w:vAlign w:val="center"/>
          </w:tcPr>
          <w:p w14:paraId="6549834D">
            <w:pPr>
              <w:pageBreakBefore w:val="0"/>
              <w:numPr>
                <w:ilvl w:val="0"/>
                <w:numId w:val="0"/>
              </w:numPr>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 w:val="24"/>
                <w:szCs w:val="24"/>
                <w:highlight w:val="none"/>
              </w:rPr>
            </w:pPr>
          </w:p>
        </w:tc>
        <w:tc>
          <w:tcPr>
            <w:tcW w:w="1530" w:type="dxa"/>
            <w:noWrap w:val="0"/>
            <w:vAlign w:val="center"/>
          </w:tcPr>
          <w:p w14:paraId="58537864">
            <w:pPr>
              <w:pageBreakBefore w:val="0"/>
              <w:kinsoku/>
              <w:wordWrap/>
              <w:overflowPunct/>
              <w:topLinePunct w:val="0"/>
              <w:bidi w:val="0"/>
              <w:adjustRightInd w:val="0"/>
              <w:snapToGrid w:val="0"/>
              <w:spacing w:beforeAutospacing="0" w:afterAutospacing="0" w:line="360" w:lineRule="auto"/>
              <w:ind w:left="2" w:leftChars="0" w:right="0" w:hanging="2" w:hangingChars="1"/>
              <w:jc w:val="center"/>
              <w:rPr>
                <w:rFonts w:hint="eastAsia" w:ascii="宋体" w:hAnsi="宋体" w:eastAsia="宋体" w:cs="宋体"/>
                <w:snapToGrid w:val="0"/>
                <w:kern w:val="2"/>
                <w:sz w:val="24"/>
                <w:szCs w:val="24"/>
                <w:highlight w:val="none"/>
                <w:lang w:val="en-US" w:eastAsia="zh-CN"/>
              </w:rPr>
            </w:pPr>
            <w:r>
              <w:rPr>
                <w:rFonts w:hint="eastAsia" w:ascii="宋体" w:hAnsi="宋体" w:eastAsia="宋体" w:cs="宋体"/>
                <w:snapToGrid w:val="0"/>
                <w:kern w:val="2"/>
                <w:sz w:val="24"/>
                <w:szCs w:val="24"/>
                <w:highlight w:val="none"/>
                <w:lang w:val="en-US" w:eastAsia="zh-CN"/>
              </w:rPr>
              <w:t>优惠承诺</w:t>
            </w:r>
          </w:p>
          <w:p w14:paraId="5C4F2787">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center"/>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kern w:val="2"/>
                <w:sz w:val="24"/>
                <w:szCs w:val="24"/>
                <w:highlight w:val="none"/>
                <w:lang w:val="en-US" w:eastAsia="zh-CN"/>
              </w:rPr>
              <w:t>(0-4分)</w:t>
            </w:r>
          </w:p>
        </w:tc>
        <w:tc>
          <w:tcPr>
            <w:tcW w:w="6239" w:type="dxa"/>
            <w:noWrap w:val="0"/>
            <w:vAlign w:val="center"/>
          </w:tcPr>
          <w:p w14:paraId="4645A8EF">
            <w:pPr>
              <w:pageBreakBefore w:val="0"/>
              <w:bidi w:val="0"/>
              <w:adjustRightInd w:val="0"/>
              <w:snapToGrid w:val="0"/>
              <w:spacing w:beforeAutospacing="0" w:afterAutospacing="0" w:line="360" w:lineRule="auto"/>
              <w:ind w:left="0" w:leftChars="0" w:right="0"/>
              <w:jc w:val="left"/>
              <w:rPr>
                <w:rFonts w:hint="eastAsia" w:ascii="宋体" w:hAnsi="宋体" w:eastAsia="宋体" w:cs="宋体"/>
                <w:snapToGrid w:val="0"/>
                <w:kern w:val="2"/>
                <w:sz w:val="24"/>
                <w:szCs w:val="24"/>
                <w:highlight w:val="none"/>
                <w:lang w:val="zh-CN" w:eastAsia="zh-CN"/>
              </w:rPr>
            </w:pPr>
            <w:r>
              <w:rPr>
                <w:rFonts w:hint="eastAsia" w:ascii="宋体" w:hAnsi="宋体" w:eastAsia="宋体" w:cs="宋体"/>
                <w:snapToGrid w:val="0"/>
                <w:kern w:val="2"/>
                <w:sz w:val="24"/>
                <w:szCs w:val="24"/>
                <w:highlight w:val="none"/>
                <w:lang w:val="en-US" w:eastAsia="zh-CN"/>
              </w:rPr>
              <w:t>评标委员会根据</w:t>
            </w:r>
            <w:r>
              <w:rPr>
                <w:rFonts w:hint="eastAsia" w:ascii="宋体" w:hAnsi="宋体" w:eastAsia="宋体" w:cs="宋体"/>
                <w:snapToGrid w:val="0"/>
                <w:kern w:val="2"/>
                <w:sz w:val="24"/>
                <w:szCs w:val="24"/>
                <w:highlight w:val="none"/>
                <w:lang w:val="zh-CN" w:eastAsia="zh-CN"/>
              </w:rPr>
              <w:t>投标人</w:t>
            </w:r>
            <w:r>
              <w:rPr>
                <w:rFonts w:hint="eastAsia" w:ascii="宋体" w:hAnsi="宋体" w:eastAsia="宋体" w:cs="宋体"/>
                <w:snapToGrid w:val="0"/>
                <w:kern w:val="2"/>
                <w:sz w:val="24"/>
                <w:szCs w:val="24"/>
                <w:highlight w:val="none"/>
                <w:lang w:val="en-US" w:eastAsia="zh-CN"/>
              </w:rPr>
              <w:t>提供优惠承诺</w:t>
            </w:r>
            <w:r>
              <w:rPr>
                <w:rFonts w:hint="eastAsia" w:ascii="宋体" w:hAnsi="宋体" w:eastAsia="宋体" w:cs="宋体"/>
                <w:snapToGrid w:val="0"/>
                <w:kern w:val="2"/>
                <w:sz w:val="24"/>
                <w:szCs w:val="24"/>
                <w:highlight w:val="none"/>
                <w:lang w:val="zh-CN" w:eastAsia="zh-CN"/>
              </w:rPr>
              <w:t>内容详实，科学、合理，考虑周全，措施到位，针对性强，完全能够满足项目的需要。（</w:t>
            </w:r>
            <w:r>
              <w:rPr>
                <w:rFonts w:hint="eastAsia" w:ascii="宋体" w:hAnsi="宋体" w:eastAsia="宋体" w:cs="宋体"/>
                <w:snapToGrid w:val="0"/>
                <w:kern w:val="2"/>
                <w:sz w:val="24"/>
                <w:szCs w:val="24"/>
                <w:highlight w:val="none"/>
                <w:lang w:val="en-US" w:eastAsia="zh-CN"/>
              </w:rPr>
              <w:t>0-4分</w:t>
            </w:r>
            <w:r>
              <w:rPr>
                <w:rFonts w:hint="eastAsia" w:ascii="宋体" w:hAnsi="宋体" w:eastAsia="宋体" w:cs="宋体"/>
                <w:snapToGrid w:val="0"/>
                <w:kern w:val="2"/>
                <w:sz w:val="24"/>
                <w:szCs w:val="24"/>
                <w:highlight w:val="none"/>
                <w:lang w:val="zh-CN" w:eastAsia="zh-CN"/>
              </w:rPr>
              <w:t>）</w:t>
            </w:r>
          </w:p>
          <w:p w14:paraId="6F6EE47D">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供应商</w:t>
            </w:r>
            <w:r>
              <w:rPr>
                <w:rFonts w:hint="eastAsia" w:ascii="宋体" w:hAnsi="宋体" w:eastAsia="宋体" w:cs="宋体"/>
                <w:sz w:val="24"/>
                <w:highlight w:val="none"/>
                <w:lang w:val="en-US" w:eastAsia="zh-CN"/>
              </w:rPr>
              <w:t>优惠服务承诺</w:t>
            </w:r>
            <w:r>
              <w:rPr>
                <w:rFonts w:hint="eastAsia" w:ascii="宋体" w:hAnsi="宋体" w:eastAsia="宋体" w:cs="宋体"/>
                <w:sz w:val="24"/>
                <w:highlight w:val="none"/>
              </w:rPr>
              <w:t>便于实施、科学、合理、可行</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分；</w:t>
            </w:r>
          </w:p>
          <w:p w14:paraId="635BDB75">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供应商</w:t>
            </w:r>
            <w:r>
              <w:rPr>
                <w:rFonts w:hint="eastAsia" w:ascii="宋体" w:hAnsi="宋体" w:eastAsia="宋体" w:cs="宋体"/>
                <w:sz w:val="24"/>
                <w:highlight w:val="none"/>
                <w:lang w:val="en-US" w:eastAsia="zh-CN"/>
              </w:rPr>
              <w:t>优惠服务承诺</w:t>
            </w:r>
            <w:r>
              <w:rPr>
                <w:rFonts w:hint="eastAsia" w:ascii="宋体" w:hAnsi="宋体" w:eastAsia="宋体" w:cs="宋体"/>
                <w:sz w:val="24"/>
                <w:highlight w:val="none"/>
              </w:rPr>
              <w:t>合理性一般，不便于实施，完善程度一般，不够详尽的，得</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分。</w:t>
            </w:r>
          </w:p>
          <w:p w14:paraId="7615DC03">
            <w:pPr>
              <w:pStyle w:val="37"/>
              <w:pageBreakBefore w:val="0"/>
              <w:bidi w:val="0"/>
              <w:adjustRightInd w:val="0"/>
              <w:snapToGrid w:val="0"/>
              <w:spacing w:beforeAutospacing="0" w:afterAutospacing="0" w:line="360" w:lineRule="auto"/>
              <w:ind w:left="0" w:leftChars="0" w:right="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不提供得0分。</w:t>
            </w:r>
          </w:p>
        </w:tc>
      </w:tr>
      <w:tr w14:paraId="34948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69" w:type="dxa"/>
            <w:vMerge w:val="continue"/>
            <w:noWrap w:val="0"/>
            <w:vAlign w:val="center"/>
          </w:tcPr>
          <w:p w14:paraId="163611B3">
            <w:pPr>
              <w:pageBreakBefore w:val="0"/>
              <w:numPr>
                <w:ilvl w:val="0"/>
                <w:numId w:val="0"/>
              </w:numPr>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 w:val="24"/>
                <w:szCs w:val="24"/>
                <w:highlight w:val="none"/>
              </w:rPr>
            </w:pPr>
          </w:p>
        </w:tc>
        <w:tc>
          <w:tcPr>
            <w:tcW w:w="1530" w:type="dxa"/>
            <w:noWrap w:val="0"/>
            <w:vAlign w:val="center"/>
          </w:tcPr>
          <w:p w14:paraId="1BA8F51F">
            <w:pPr>
              <w:pageBreakBefore w:val="0"/>
              <w:numPr>
                <w:ilvl w:val="0"/>
                <w:numId w:val="0"/>
              </w:numPr>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售后服务（</w:t>
            </w:r>
            <w:r>
              <w:rPr>
                <w:rFonts w:hint="eastAsia" w:ascii="宋体" w:hAnsi="宋体" w:eastAsia="宋体" w:cs="宋体"/>
                <w:color w:val="auto"/>
                <w:sz w:val="24"/>
                <w:szCs w:val="24"/>
                <w:highlight w:val="none"/>
                <w:lang w:val="en-US" w:eastAsia="zh-CN"/>
              </w:rPr>
              <w:t>0-7分</w:t>
            </w:r>
            <w:r>
              <w:rPr>
                <w:rFonts w:hint="eastAsia" w:ascii="宋体" w:hAnsi="宋体" w:eastAsia="宋体" w:cs="宋体"/>
                <w:color w:val="auto"/>
                <w:sz w:val="24"/>
                <w:szCs w:val="24"/>
                <w:highlight w:val="none"/>
                <w:lang w:eastAsia="zh-CN"/>
              </w:rPr>
              <w:t>）</w:t>
            </w:r>
          </w:p>
        </w:tc>
        <w:tc>
          <w:tcPr>
            <w:tcW w:w="6239" w:type="dxa"/>
            <w:noWrap w:val="0"/>
            <w:vAlign w:val="top"/>
          </w:tcPr>
          <w:p w14:paraId="75AAEE74">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 xml:space="preserve">供应商结合采购需求，针对本项目的实际情况， 提供详细的售后服务方案，包括但不限于售后服务内容、售后服务响应、售后服务人员配置及安排、服务 质量保证、定期巡检等。 </w:t>
            </w:r>
            <w:r>
              <w:rPr>
                <w:rFonts w:hint="eastAsia" w:ascii="宋体" w:hAnsi="宋体" w:eastAsia="宋体" w:cs="宋体"/>
                <w:sz w:val="24"/>
                <w:szCs w:val="24"/>
                <w:highlight w:val="none"/>
                <w:lang w:val="en-US" w:eastAsia="zh-CN"/>
              </w:rPr>
              <w:t>评标委员会</w:t>
            </w:r>
            <w:r>
              <w:rPr>
                <w:rFonts w:hint="eastAsia" w:ascii="宋体" w:hAnsi="宋体" w:eastAsia="宋体" w:cs="宋体"/>
                <w:sz w:val="24"/>
                <w:szCs w:val="24"/>
                <w:highlight w:val="none"/>
              </w:rPr>
              <w:t>根据供应商提供的售后服务方案的完整性、可行性等进行综合评价</w:t>
            </w:r>
            <w:r>
              <w:rPr>
                <w:rFonts w:hint="eastAsia" w:ascii="宋体" w:hAnsi="宋体" w:eastAsia="宋体" w:cs="宋体"/>
                <w:color w:val="auto"/>
                <w:sz w:val="24"/>
                <w:szCs w:val="24"/>
                <w:highlight w:val="none"/>
                <w:lang w:val="en-US" w:eastAsia="zh-CN"/>
              </w:rPr>
              <w:t>。</w:t>
            </w:r>
          </w:p>
          <w:p w14:paraId="51BE11A8">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售后服务方案较详细，服务经验较丰富，符合采购人实际情况，有很强针对性和可行性，</w:t>
            </w:r>
            <w:r>
              <w:rPr>
                <w:rFonts w:hint="eastAsia" w:ascii="宋体" w:hAnsi="宋体" w:eastAsia="宋体" w:cs="宋体"/>
                <w:sz w:val="24"/>
                <w:szCs w:val="24"/>
                <w:highlight w:val="none"/>
              </w:rPr>
              <w:t>完全满足或优于项目需求</w:t>
            </w:r>
            <w:r>
              <w:rPr>
                <w:rFonts w:hint="eastAsia" w:ascii="宋体" w:hAnsi="宋体" w:eastAsia="宋体" w:cs="宋体"/>
                <w:color w:val="auto"/>
                <w:sz w:val="24"/>
                <w:szCs w:val="24"/>
                <w:highlight w:val="none"/>
                <w:lang w:val="en-US" w:eastAsia="zh-CN"/>
              </w:rPr>
              <w:t>，</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14:paraId="1EE77B22">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val="en-US" w:eastAsia="zh-CN"/>
              </w:rPr>
              <w:t>售后服务方案</w:t>
            </w:r>
            <w:r>
              <w:rPr>
                <w:rFonts w:hint="eastAsia" w:ascii="宋体" w:hAnsi="宋体" w:eastAsia="宋体" w:cs="宋体"/>
                <w:sz w:val="24"/>
                <w:szCs w:val="24"/>
                <w:highlight w:val="none"/>
              </w:rPr>
              <w:t>综合考虑各方面需求</w:t>
            </w:r>
            <w:r>
              <w:rPr>
                <w:rFonts w:hint="eastAsia" w:ascii="宋体" w:hAnsi="宋体" w:eastAsia="宋体" w:cs="宋体"/>
                <w:color w:val="auto"/>
                <w:sz w:val="24"/>
                <w:szCs w:val="24"/>
                <w:highlight w:val="none"/>
                <w:lang w:val="en-US" w:eastAsia="zh-CN"/>
              </w:rPr>
              <w:t>比较完整、合理、可行，描述条理清晰，方案容易执行，</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14:paraId="75B2E273">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售后服务方案比较完整、合理，基本满足招标文件要求，</w:t>
            </w:r>
            <w:r>
              <w:rPr>
                <w:rFonts w:hint="eastAsia" w:ascii="宋体" w:hAnsi="宋体" w:eastAsia="宋体" w:cs="宋体"/>
                <w:sz w:val="24"/>
                <w:szCs w:val="24"/>
                <w:highlight w:val="none"/>
              </w:rPr>
              <w:t xml:space="preserve">得 </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w:t>
            </w:r>
          </w:p>
          <w:p w14:paraId="118272BC">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val="en-US" w:eastAsia="zh-CN"/>
              </w:rPr>
              <w:t>售后服务方案简单，基本满足招标文件要求，</w:t>
            </w:r>
            <w:r>
              <w:rPr>
                <w:rFonts w:hint="eastAsia" w:ascii="宋体" w:hAnsi="宋体" w:eastAsia="宋体" w:cs="宋体"/>
                <w:sz w:val="24"/>
                <w:szCs w:val="24"/>
                <w:highlight w:val="none"/>
              </w:rPr>
              <w:t xml:space="preserve">得 </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14:paraId="7BFA8C4C">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缺项得 0 分。</w:t>
            </w:r>
          </w:p>
        </w:tc>
      </w:tr>
    </w:tbl>
    <w:p w14:paraId="4687D6B9">
      <w:pPr>
        <w:pageBreakBefore w:val="0"/>
        <w:bidi w:val="0"/>
        <w:adjustRightInd w:val="0"/>
        <w:snapToGrid w:val="0"/>
        <w:spacing w:beforeAutospacing="0" w:afterAutospacing="0" w:line="360" w:lineRule="auto"/>
        <w:ind w:left="0" w:leftChars="0" w:right="0" w:firstLine="240" w:firstLineChars="100"/>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24"/>
          <w:szCs w:val="24"/>
          <w:highlight w:val="none"/>
        </w:rPr>
        <w:t>以上项目若有缺项的，该项为0分；不缺项的，不低于最低分。</w:t>
      </w:r>
    </w:p>
    <w:p w14:paraId="73FFF5C2">
      <w:pPr>
        <w:pageBreakBefore w:val="0"/>
        <w:bidi w:val="0"/>
        <w:adjustRightInd w:val="0"/>
        <w:snapToGrid w:val="0"/>
        <w:spacing w:beforeAutospacing="0" w:afterAutospacing="0" w:line="360" w:lineRule="auto"/>
        <w:ind w:left="0" w:leftChars="0" w:right="0"/>
        <w:rPr>
          <w:rFonts w:hint="eastAsia" w:ascii="宋体" w:hAnsi="宋体" w:eastAsia="宋体" w:cs="宋体"/>
          <w:lang w:val="en-US" w:eastAsia="zh-CN"/>
        </w:rPr>
      </w:pPr>
      <w:r>
        <w:rPr>
          <w:rFonts w:hint="eastAsia" w:ascii="宋体" w:hAnsi="宋体" w:eastAsia="宋体" w:cs="宋体"/>
          <w:b w:val="0"/>
          <w:bCs w:val="0"/>
          <w:color w:val="auto"/>
          <w:sz w:val="24"/>
          <w:szCs w:val="24"/>
          <w:highlight w:val="none"/>
        </w:rPr>
        <w:t>注:评标打分部分仍按照100分制原则进行，涉及到资格审查、企业</w:t>
      </w:r>
      <w:r>
        <w:rPr>
          <w:rFonts w:hint="eastAsia" w:ascii="宋体" w:hAnsi="宋体" w:eastAsia="宋体" w:cs="宋体"/>
          <w:b w:val="0"/>
          <w:bCs w:val="0"/>
          <w:color w:val="auto"/>
          <w:sz w:val="24"/>
          <w:szCs w:val="24"/>
          <w:highlight w:val="none"/>
          <w:lang w:eastAsia="zh-CN"/>
        </w:rPr>
        <w:t>实力</w:t>
      </w:r>
      <w:r>
        <w:rPr>
          <w:rFonts w:hint="eastAsia" w:ascii="宋体" w:hAnsi="宋体" w:eastAsia="宋体" w:cs="宋体"/>
          <w:b w:val="0"/>
          <w:bCs w:val="0"/>
          <w:color w:val="auto"/>
          <w:sz w:val="24"/>
          <w:szCs w:val="24"/>
          <w:highlight w:val="none"/>
        </w:rPr>
        <w:t>、企业业绩等计分部分时，以投标单位自行上传到投标文件中的相应内容为准。</w:t>
      </w:r>
    </w:p>
    <w:p w14:paraId="113412F7">
      <w:pPr>
        <w:pageBreakBefore w:val="0"/>
        <w:bidi w:val="0"/>
        <w:adjustRightInd w:val="0"/>
        <w:snapToGrid w:val="0"/>
        <w:spacing w:beforeAutospacing="0" w:afterAutospacing="0" w:line="360" w:lineRule="auto"/>
        <w:ind w:left="0" w:leftChars="0" w:right="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4.计分办法</w:t>
      </w:r>
    </w:p>
    <w:p w14:paraId="68A419E8">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计分过程中按四舍五入的法则，取至小数点后2位，</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的最终得分为所有评标委员会打分的算术平均值，最终结果取至小数点后2位。评标委员会将按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得分由高到低的排序向采购人推荐前三名为中标候选供应商。</w:t>
      </w:r>
    </w:p>
    <w:p w14:paraId="0B8DDFFD">
      <w:pPr>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   5.定标</w:t>
      </w:r>
    </w:p>
    <w:p w14:paraId="5C7FA1B5">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按评委计分结果,评标委员会按照得分由高到低的顺序推荐</w:t>
      </w:r>
      <w:r>
        <w:rPr>
          <w:rFonts w:hint="eastAsia" w:ascii="宋体" w:hAnsi="宋体" w:eastAsia="宋体" w:cs="宋体"/>
          <w:color w:val="auto"/>
          <w:kern w:val="0"/>
          <w:sz w:val="24"/>
          <w:szCs w:val="24"/>
          <w:highlight w:val="none"/>
        </w:rPr>
        <w:t>3名</w:t>
      </w:r>
      <w:r>
        <w:rPr>
          <w:rFonts w:hint="eastAsia" w:ascii="宋体" w:hAnsi="宋体" w:eastAsia="宋体" w:cs="宋体"/>
          <w:color w:val="auto"/>
          <w:sz w:val="24"/>
          <w:szCs w:val="24"/>
          <w:highlight w:val="none"/>
        </w:rPr>
        <w:t>中标候选供应商，并向采购人提供书面评标报告。</w:t>
      </w:r>
    </w:p>
    <w:p w14:paraId="06B224E7">
      <w:pPr>
        <w:pStyle w:val="3"/>
        <w:keepNext w:val="0"/>
        <w:keepLines w:val="0"/>
        <w:pageBreakBefore w:val="0"/>
        <w:bidi w:val="0"/>
        <w:adjustRightInd w:val="0"/>
        <w:snapToGrid w:val="0"/>
        <w:spacing w:before="0" w:beforeAutospacing="0" w:after="0" w:afterAutospacing="0" w:line="360" w:lineRule="auto"/>
        <w:ind w:left="0" w:leftChars="0" w:right="0"/>
        <w:jc w:val="center"/>
        <w:rPr>
          <w:rFonts w:hint="eastAsia" w:ascii="宋体" w:hAnsi="宋体" w:eastAsia="宋体" w:cs="宋体"/>
          <w:b w:val="0"/>
          <w:bCs w:val="0"/>
          <w:color w:val="auto"/>
          <w:sz w:val="40"/>
          <w:szCs w:val="40"/>
          <w:highlight w:val="none"/>
        </w:rPr>
      </w:pPr>
      <w:r>
        <w:rPr>
          <w:rFonts w:hint="eastAsia" w:ascii="宋体" w:hAnsi="宋体" w:eastAsia="宋体" w:cs="宋体"/>
          <w:b w:val="0"/>
          <w:bCs w:val="0"/>
          <w:color w:val="auto"/>
          <w:sz w:val="40"/>
          <w:szCs w:val="40"/>
          <w:highlight w:val="none"/>
        </w:rPr>
        <w:br w:type="page"/>
      </w:r>
      <w:bookmarkStart w:id="44" w:name="_Toc10932"/>
      <w:r>
        <w:rPr>
          <w:rFonts w:hint="eastAsia" w:ascii="宋体" w:hAnsi="宋体" w:eastAsia="宋体" w:cs="宋体"/>
          <w:b/>
          <w:bCs/>
          <w:color w:val="auto"/>
          <w:kern w:val="2"/>
          <w:sz w:val="32"/>
          <w:szCs w:val="32"/>
          <w:highlight w:val="none"/>
          <w:lang w:val="en-US" w:eastAsia="zh-CN" w:bidi="ar-SA"/>
        </w:rPr>
        <w:t xml:space="preserve">第五章  </w:t>
      </w:r>
      <w:bookmarkStart w:id="45" w:name="_Toc269828236"/>
      <w:r>
        <w:rPr>
          <w:rFonts w:hint="eastAsia" w:ascii="宋体" w:hAnsi="宋体" w:eastAsia="宋体" w:cs="宋体"/>
          <w:b/>
          <w:bCs/>
          <w:color w:val="auto"/>
          <w:kern w:val="2"/>
          <w:sz w:val="32"/>
          <w:szCs w:val="32"/>
          <w:highlight w:val="none"/>
          <w:lang w:val="en-US" w:eastAsia="zh-CN" w:bidi="ar-SA"/>
        </w:rPr>
        <w:t>合同主要条款</w:t>
      </w:r>
      <w:bookmarkEnd w:id="45"/>
      <w:r>
        <w:rPr>
          <w:rFonts w:hint="eastAsia" w:ascii="宋体" w:hAnsi="宋体" w:eastAsia="宋体" w:cs="宋体"/>
          <w:b/>
          <w:bCs/>
          <w:color w:val="auto"/>
          <w:kern w:val="2"/>
          <w:sz w:val="32"/>
          <w:szCs w:val="32"/>
          <w:highlight w:val="none"/>
          <w:lang w:val="en-US" w:eastAsia="zh-CN" w:bidi="ar-SA"/>
        </w:rPr>
        <w:t>及格式</w:t>
      </w:r>
      <w:bookmarkEnd w:id="44"/>
      <w:r>
        <w:rPr>
          <w:rFonts w:hint="eastAsia" w:ascii="宋体" w:hAnsi="宋体" w:eastAsia="宋体" w:cs="宋体"/>
          <w:b/>
          <w:bCs/>
          <w:color w:val="auto"/>
          <w:kern w:val="2"/>
          <w:sz w:val="32"/>
          <w:szCs w:val="32"/>
          <w:highlight w:val="none"/>
          <w:lang w:val="en-US" w:eastAsia="zh-CN" w:bidi="ar-SA"/>
        </w:rPr>
        <w:t>（仅供参考）</w:t>
      </w:r>
    </w:p>
    <w:p w14:paraId="023A631B">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u w:val="single"/>
          <w:lang w:val="zh-CN"/>
        </w:rPr>
      </w:pPr>
      <w:r>
        <w:rPr>
          <w:rFonts w:hint="eastAsia" w:ascii="宋体" w:hAnsi="宋体" w:eastAsia="宋体" w:cs="宋体"/>
          <w:sz w:val="24"/>
          <w:szCs w:val="24"/>
          <w:lang w:val="zh-CN"/>
        </w:rPr>
        <w:t xml:space="preserve">    合同编号：</w:t>
      </w:r>
    </w:p>
    <w:p w14:paraId="79BB0220">
      <w:pPr>
        <w:pageBreakBefore w:val="0"/>
        <w:autoSpaceDE w:val="0"/>
        <w:autoSpaceDN w:val="0"/>
        <w:bidi w:val="0"/>
        <w:adjustRightInd w:val="0"/>
        <w:snapToGrid w:val="0"/>
        <w:spacing w:beforeAutospacing="0" w:afterAutospacing="0" w:line="360" w:lineRule="auto"/>
        <w:ind w:left="0" w:leftChars="0" w:right="0"/>
        <w:rPr>
          <w:rFonts w:hint="eastAsia" w:ascii="宋体" w:hAnsi="宋体" w:eastAsia="宋体" w:cs="宋体"/>
          <w:sz w:val="24"/>
          <w:szCs w:val="24"/>
          <w:u w:val="single"/>
          <w:lang w:val="zh-CN"/>
        </w:rPr>
      </w:pPr>
      <w:r>
        <w:rPr>
          <w:rFonts w:hint="eastAsia" w:ascii="宋体" w:hAnsi="宋体" w:eastAsia="宋体" w:cs="宋体"/>
          <w:sz w:val="24"/>
          <w:szCs w:val="24"/>
          <w:lang w:val="zh-CN"/>
        </w:rPr>
        <w:t>供方（中标供应商全称）：</w:t>
      </w:r>
      <w:r>
        <w:rPr>
          <w:rFonts w:hint="eastAsia" w:ascii="宋体" w:hAnsi="宋体" w:eastAsia="宋体" w:cs="宋体"/>
          <w:sz w:val="24"/>
          <w:szCs w:val="24"/>
          <w:u w:val="single"/>
          <w:lang w:val="zh-CN"/>
        </w:rPr>
        <w:t xml:space="preserve">             </w:t>
      </w:r>
    </w:p>
    <w:p w14:paraId="53754B07">
      <w:pPr>
        <w:pageBreakBefore w:val="0"/>
        <w:autoSpaceDE w:val="0"/>
        <w:autoSpaceDN w:val="0"/>
        <w:bidi w:val="0"/>
        <w:adjustRightInd w:val="0"/>
        <w:snapToGrid w:val="0"/>
        <w:spacing w:beforeAutospacing="0" w:afterAutospacing="0" w:line="360" w:lineRule="auto"/>
        <w:ind w:left="0" w:leftChars="0" w:right="0"/>
        <w:rPr>
          <w:rFonts w:hint="eastAsia" w:ascii="宋体" w:hAnsi="宋体" w:eastAsia="宋体" w:cs="宋体"/>
          <w:sz w:val="24"/>
          <w:szCs w:val="24"/>
          <w:u w:val="single"/>
          <w:lang w:val="zh-CN"/>
        </w:rPr>
      </w:pPr>
      <w:r>
        <w:rPr>
          <w:rFonts w:hint="eastAsia" w:ascii="宋体" w:hAnsi="宋体" w:eastAsia="宋体" w:cs="宋体"/>
          <w:sz w:val="24"/>
          <w:szCs w:val="24"/>
          <w:lang w:val="zh-CN"/>
        </w:rPr>
        <w:t>需方（采购人全称）：</w:t>
      </w:r>
      <w:r>
        <w:rPr>
          <w:rFonts w:hint="eastAsia" w:ascii="宋体" w:hAnsi="宋体" w:eastAsia="宋体" w:cs="宋体"/>
          <w:sz w:val="24"/>
          <w:szCs w:val="24"/>
          <w:u w:val="single"/>
          <w:lang w:val="zh-CN"/>
        </w:rPr>
        <w:t xml:space="preserve">             </w:t>
      </w:r>
    </w:p>
    <w:p w14:paraId="034D1C6E">
      <w:pPr>
        <w:pageBreakBefore w:val="0"/>
        <w:autoSpaceDE w:val="0"/>
        <w:autoSpaceDN w:val="0"/>
        <w:bidi w:val="0"/>
        <w:adjustRightInd w:val="0"/>
        <w:snapToGrid w:val="0"/>
        <w:spacing w:beforeAutospacing="0" w:afterAutospacing="0" w:line="360" w:lineRule="auto"/>
        <w:ind w:left="0" w:leftChars="0" w:right="0" w:firstLine="645"/>
        <w:rPr>
          <w:rFonts w:hint="eastAsia" w:ascii="宋体" w:hAnsi="宋体" w:eastAsia="宋体" w:cs="宋体"/>
          <w:sz w:val="24"/>
          <w:szCs w:val="24"/>
          <w:lang w:val="zh-CN"/>
        </w:rPr>
      </w:pPr>
      <w:r>
        <w:rPr>
          <w:rFonts w:hint="eastAsia" w:ascii="宋体" w:hAnsi="宋体" w:eastAsia="宋体" w:cs="宋体"/>
          <w:sz w:val="24"/>
          <w:szCs w:val="24"/>
          <w:lang w:val="zh-CN"/>
        </w:rPr>
        <w:t>供方持中标/成交通知书，根据招标文件、供方的投标/报价等文件[项目编号：</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]，按照《政府采购法》、《中华人民共和国民法典》等有关法律、法规，供需双方经协商一致，达成以下合同条款：</w:t>
      </w:r>
    </w:p>
    <w:p w14:paraId="1ABA5B40">
      <w:pPr>
        <w:pageBreakBefore w:val="0"/>
        <w:autoSpaceDE w:val="0"/>
        <w:autoSpaceDN w:val="0"/>
        <w:bidi w:val="0"/>
        <w:adjustRightInd w:val="0"/>
        <w:snapToGrid w:val="0"/>
        <w:spacing w:beforeAutospacing="0" w:afterAutospacing="0" w:line="360" w:lineRule="auto"/>
        <w:ind w:left="0" w:leftChars="0" w:right="0" w:firstLine="538"/>
        <w:rPr>
          <w:rFonts w:hint="eastAsia" w:ascii="宋体" w:hAnsi="宋体" w:eastAsia="宋体" w:cs="宋体"/>
          <w:sz w:val="24"/>
          <w:szCs w:val="24"/>
          <w:lang w:val="zh-CN"/>
        </w:rPr>
      </w:pPr>
      <w:r>
        <w:rPr>
          <w:rFonts w:hint="eastAsia" w:ascii="宋体" w:hAnsi="宋体" w:eastAsia="宋体" w:cs="宋体"/>
          <w:sz w:val="24"/>
          <w:szCs w:val="24"/>
          <w:lang w:val="zh-CN"/>
        </w:rPr>
        <w:t>一、本合同名称：</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w:t>
      </w:r>
    </w:p>
    <w:p w14:paraId="5187052D">
      <w:pPr>
        <w:pageBreakBefore w:val="0"/>
        <w:autoSpaceDE w:val="0"/>
        <w:autoSpaceDN w:val="0"/>
        <w:bidi w:val="0"/>
        <w:adjustRightInd w:val="0"/>
        <w:snapToGrid w:val="0"/>
        <w:spacing w:beforeAutospacing="0" w:afterAutospacing="0" w:line="360" w:lineRule="auto"/>
        <w:ind w:left="0" w:leftChars="0" w:right="0" w:firstLine="538"/>
        <w:rPr>
          <w:rFonts w:hint="eastAsia" w:ascii="宋体" w:hAnsi="宋体" w:eastAsia="宋体" w:cs="宋体"/>
          <w:sz w:val="24"/>
          <w:szCs w:val="24"/>
          <w:lang w:val="zh-CN"/>
        </w:rPr>
      </w:pPr>
      <w:r>
        <w:rPr>
          <w:rFonts w:hint="eastAsia" w:ascii="宋体" w:hAnsi="宋体" w:eastAsia="宋体" w:cs="宋体"/>
          <w:sz w:val="24"/>
          <w:szCs w:val="24"/>
          <w:lang w:val="zh-CN"/>
        </w:rPr>
        <w:t>二、本合同总价为人民币</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元（大写：</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w:t>
      </w:r>
    </w:p>
    <w:p w14:paraId="1E57B3FD">
      <w:pPr>
        <w:pageBreakBefore w:val="0"/>
        <w:autoSpaceDE w:val="0"/>
        <w:autoSpaceDN w:val="0"/>
        <w:bidi w:val="0"/>
        <w:adjustRightInd w:val="0"/>
        <w:snapToGrid w:val="0"/>
        <w:spacing w:beforeAutospacing="0" w:afterAutospacing="0" w:line="360" w:lineRule="auto"/>
        <w:ind w:left="0" w:leftChars="0" w:right="0" w:firstLine="538"/>
        <w:rPr>
          <w:rFonts w:hint="eastAsia" w:ascii="宋体" w:hAnsi="宋体" w:eastAsia="宋体" w:cs="宋体"/>
          <w:sz w:val="24"/>
          <w:szCs w:val="24"/>
          <w:lang w:val="zh-CN"/>
        </w:rPr>
      </w:pPr>
      <w:r>
        <w:rPr>
          <w:rFonts w:hint="eastAsia" w:ascii="宋体" w:hAnsi="宋体" w:eastAsia="宋体" w:cs="宋体"/>
          <w:sz w:val="24"/>
          <w:szCs w:val="24"/>
          <w:lang w:val="zh-CN"/>
        </w:rPr>
        <w:t xml:space="preserve">供货范围、技术规格、及分项价格如下：                           </w:t>
      </w:r>
    </w:p>
    <w:p w14:paraId="4B63B2CC">
      <w:pPr>
        <w:pageBreakBefore w:val="0"/>
        <w:autoSpaceDE w:val="0"/>
        <w:autoSpaceDN w:val="0"/>
        <w:bidi w:val="0"/>
        <w:adjustRightInd w:val="0"/>
        <w:snapToGrid w:val="0"/>
        <w:spacing w:beforeAutospacing="0" w:afterAutospacing="0" w:line="360" w:lineRule="auto"/>
        <w:ind w:left="0" w:leftChars="0" w:right="0" w:firstLine="538"/>
        <w:jc w:val="left"/>
        <w:rPr>
          <w:rFonts w:hint="eastAsia" w:ascii="宋体" w:hAnsi="宋体" w:eastAsia="宋体" w:cs="宋体"/>
          <w:sz w:val="24"/>
          <w:szCs w:val="24"/>
          <w:lang w:val="zh-CN"/>
        </w:rPr>
      </w:pPr>
      <w:r>
        <w:rPr>
          <w:rFonts w:hint="eastAsia" w:ascii="宋体" w:hAnsi="宋体" w:eastAsia="宋体" w:cs="宋体"/>
          <w:sz w:val="24"/>
          <w:szCs w:val="24"/>
          <w:lang w:val="zh-CN"/>
        </w:rPr>
        <w:t>单位：人民币元</w:t>
      </w:r>
    </w:p>
    <w:tbl>
      <w:tblPr>
        <w:tblStyle w:val="21"/>
        <w:tblW w:w="9537" w:type="dxa"/>
        <w:jc w:val="center"/>
        <w:tblLayout w:type="autofit"/>
        <w:tblCellMar>
          <w:top w:w="0" w:type="dxa"/>
          <w:left w:w="10" w:type="dxa"/>
          <w:bottom w:w="0" w:type="dxa"/>
          <w:right w:w="10" w:type="dxa"/>
        </w:tblCellMar>
      </w:tblPr>
      <w:tblGrid>
        <w:gridCol w:w="1089"/>
        <w:gridCol w:w="1275"/>
        <w:gridCol w:w="1274"/>
        <w:gridCol w:w="708"/>
        <w:gridCol w:w="566"/>
        <w:gridCol w:w="708"/>
        <w:gridCol w:w="566"/>
        <w:gridCol w:w="849"/>
        <w:gridCol w:w="1275"/>
        <w:gridCol w:w="1227"/>
      </w:tblGrid>
      <w:tr w14:paraId="66C36E0E">
        <w:tblPrEx>
          <w:tblCellMar>
            <w:top w:w="0" w:type="dxa"/>
            <w:left w:w="10" w:type="dxa"/>
            <w:bottom w:w="0" w:type="dxa"/>
            <w:right w:w="10" w:type="dxa"/>
          </w:tblCellMar>
        </w:tblPrEx>
        <w:trPr>
          <w:trHeight w:val="1748" w:hRule="atLeast"/>
          <w:jc w:val="center"/>
        </w:trPr>
        <w:tc>
          <w:tcPr>
            <w:tcW w:w="108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33A06DF">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r>
              <w:rPr>
                <w:rFonts w:hint="eastAsia" w:ascii="宋体" w:hAnsi="宋体" w:eastAsia="宋体" w:cs="宋体"/>
                <w:kern w:val="1"/>
                <w:sz w:val="24"/>
                <w:szCs w:val="24"/>
              </w:rPr>
              <w:t>名称</w:t>
            </w:r>
          </w:p>
        </w:tc>
        <w:tc>
          <w:tcPr>
            <w:tcW w:w="127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70E8721">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r>
              <w:rPr>
                <w:rFonts w:hint="eastAsia" w:ascii="宋体" w:hAnsi="宋体" w:eastAsia="宋体" w:cs="宋体"/>
                <w:kern w:val="1"/>
                <w:sz w:val="24"/>
                <w:szCs w:val="24"/>
              </w:rPr>
              <w:t>品牌/规格/型号</w:t>
            </w:r>
          </w:p>
        </w:tc>
        <w:tc>
          <w:tcPr>
            <w:tcW w:w="127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34F3B8F">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r>
              <w:rPr>
                <w:rFonts w:hint="eastAsia" w:ascii="宋体" w:hAnsi="宋体" w:eastAsia="宋体" w:cs="宋体"/>
                <w:kern w:val="1"/>
                <w:sz w:val="24"/>
                <w:szCs w:val="24"/>
              </w:rPr>
              <w:t>技术参数</w:t>
            </w:r>
          </w:p>
          <w:p w14:paraId="16219127">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r>
              <w:rPr>
                <w:rFonts w:hint="eastAsia" w:ascii="宋体" w:hAnsi="宋体" w:eastAsia="宋体" w:cs="宋体"/>
                <w:kern w:val="1"/>
                <w:sz w:val="24"/>
                <w:szCs w:val="24"/>
              </w:rPr>
              <w:t>(详细配置)</w:t>
            </w:r>
          </w:p>
        </w:tc>
        <w:tc>
          <w:tcPr>
            <w:tcW w:w="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1CC6150">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r>
              <w:rPr>
                <w:rFonts w:hint="eastAsia" w:ascii="宋体" w:hAnsi="宋体" w:eastAsia="宋体" w:cs="宋体"/>
                <w:kern w:val="1"/>
                <w:sz w:val="24"/>
                <w:szCs w:val="24"/>
              </w:rPr>
              <w:t>单位</w:t>
            </w:r>
          </w:p>
        </w:tc>
        <w:tc>
          <w:tcPr>
            <w:tcW w:w="56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3C59DB0">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r>
              <w:rPr>
                <w:rFonts w:hint="eastAsia" w:ascii="宋体" w:hAnsi="宋体" w:eastAsia="宋体" w:cs="宋体"/>
                <w:kern w:val="1"/>
                <w:sz w:val="24"/>
                <w:szCs w:val="24"/>
              </w:rPr>
              <w:t>单价</w:t>
            </w:r>
          </w:p>
        </w:tc>
        <w:tc>
          <w:tcPr>
            <w:tcW w:w="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E6C0FB0">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r>
              <w:rPr>
                <w:rFonts w:hint="eastAsia" w:ascii="宋体" w:hAnsi="宋体" w:eastAsia="宋体" w:cs="宋体"/>
                <w:kern w:val="1"/>
                <w:sz w:val="24"/>
                <w:szCs w:val="24"/>
              </w:rPr>
              <w:t>数量</w:t>
            </w:r>
          </w:p>
        </w:tc>
        <w:tc>
          <w:tcPr>
            <w:tcW w:w="56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01DC313">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r>
              <w:rPr>
                <w:rFonts w:hint="eastAsia" w:ascii="宋体" w:hAnsi="宋体" w:eastAsia="宋体" w:cs="宋体"/>
                <w:kern w:val="1"/>
                <w:sz w:val="24"/>
                <w:szCs w:val="24"/>
              </w:rPr>
              <w:t>合计</w:t>
            </w:r>
          </w:p>
          <w:p w14:paraId="7E25E2B8">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849"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tcPr>
          <w:p w14:paraId="3BECA875">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r>
              <w:rPr>
                <w:rFonts w:hint="eastAsia" w:ascii="宋体" w:hAnsi="宋体" w:eastAsia="宋体" w:cs="宋体"/>
                <w:kern w:val="1"/>
                <w:sz w:val="24"/>
                <w:szCs w:val="24"/>
              </w:rPr>
              <w:t>免费质保期</w:t>
            </w:r>
          </w:p>
        </w:tc>
        <w:tc>
          <w:tcPr>
            <w:tcW w:w="1275" w:type="dxa"/>
            <w:tcBorders>
              <w:top w:val="single" w:color="000000" w:sz="6" w:space="0"/>
              <w:left w:val="single" w:color="000000" w:sz="4" w:space="0"/>
              <w:bottom w:val="single" w:color="000000" w:sz="6" w:space="0"/>
              <w:right w:val="single" w:color="000000" w:sz="4" w:space="0"/>
            </w:tcBorders>
            <w:tcMar>
              <w:top w:w="0" w:type="dxa"/>
              <w:left w:w="108" w:type="dxa"/>
              <w:bottom w:w="0" w:type="dxa"/>
              <w:right w:w="108" w:type="dxa"/>
            </w:tcMar>
          </w:tcPr>
          <w:p w14:paraId="4841063C">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r>
              <w:rPr>
                <w:rFonts w:hint="eastAsia" w:ascii="宋体" w:hAnsi="宋体" w:eastAsia="宋体" w:cs="宋体"/>
                <w:kern w:val="1"/>
                <w:sz w:val="24"/>
                <w:szCs w:val="24"/>
              </w:rPr>
              <w:t>政府采购节能产品认证证书编号</w:t>
            </w:r>
          </w:p>
        </w:tc>
        <w:tc>
          <w:tcPr>
            <w:tcW w:w="1227"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tcPr>
          <w:p w14:paraId="72EA4EDD">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r>
              <w:rPr>
                <w:rFonts w:hint="eastAsia" w:ascii="宋体" w:hAnsi="宋体" w:eastAsia="宋体" w:cs="宋体"/>
                <w:kern w:val="1"/>
                <w:sz w:val="24"/>
                <w:szCs w:val="24"/>
              </w:rPr>
              <w:t>环保标专产品认证证书编号</w:t>
            </w:r>
          </w:p>
        </w:tc>
      </w:tr>
      <w:tr w14:paraId="00D84541">
        <w:tblPrEx>
          <w:tblCellMar>
            <w:top w:w="0" w:type="dxa"/>
            <w:left w:w="10" w:type="dxa"/>
            <w:bottom w:w="0" w:type="dxa"/>
            <w:right w:w="10" w:type="dxa"/>
          </w:tblCellMar>
        </w:tblPrEx>
        <w:trPr>
          <w:trHeight w:val="448" w:hRule="atLeast"/>
          <w:jc w:val="center"/>
        </w:trPr>
        <w:tc>
          <w:tcPr>
            <w:tcW w:w="108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6378A36">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127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0F63475">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127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9E90523">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C1B851B">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56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C78E4DA">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D16FF0C">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56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F393CC2">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849"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tcPr>
          <w:p w14:paraId="26EB5F93">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1275" w:type="dxa"/>
            <w:tcBorders>
              <w:top w:val="single" w:color="000000" w:sz="6" w:space="0"/>
              <w:left w:val="single" w:color="000000" w:sz="4" w:space="0"/>
              <w:bottom w:val="single" w:color="000000" w:sz="6" w:space="0"/>
              <w:right w:val="single" w:color="000000" w:sz="4" w:space="0"/>
            </w:tcBorders>
            <w:tcMar>
              <w:top w:w="0" w:type="dxa"/>
              <w:left w:w="108" w:type="dxa"/>
              <w:bottom w:w="0" w:type="dxa"/>
              <w:right w:w="108" w:type="dxa"/>
            </w:tcMar>
          </w:tcPr>
          <w:p w14:paraId="1752F0FD">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1227"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tcPr>
          <w:p w14:paraId="2F38740D">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r>
      <w:tr w14:paraId="373A7895">
        <w:tblPrEx>
          <w:tblCellMar>
            <w:top w:w="0" w:type="dxa"/>
            <w:left w:w="10" w:type="dxa"/>
            <w:bottom w:w="0" w:type="dxa"/>
            <w:right w:w="10" w:type="dxa"/>
          </w:tblCellMar>
        </w:tblPrEx>
        <w:trPr>
          <w:trHeight w:val="448" w:hRule="atLeast"/>
          <w:jc w:val="center"/>
        </w:trPr>
        <w:tc>
          <w:tcPr>
            <w:tcW w:w="108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9592A1C">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127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DECA1A9">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127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5074FDF">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C7EF75E">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56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6E194DF">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60DC834">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56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036B4B7">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849"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tcPr>
          <w:p w14:paraId="3B7CFF7D">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1275" w:type="dxa"/>
            <w:tcBorders>
              <w:top w:val="single" w:color="000000" w:sz="6" w:space="0"/>
              <w:left w:val="single" w:color="000000" w:sz="4" w:space="0"/>
              <w:bottom w:val="single" w:color="000000" w:sz="6" w:space="0"/>
              <w:right w:val="single" w:color="000000" w:sz="4" w:space="0"/>
            </w:tcBorders>
            <w:tcMar>
              <w:top w:w="0" w:type="dxa"/>
              <w:left w:w="108" w:type="dxa"/>
              <w:bottom w:w="0" w:type="dxa"/>
              <w:right w:w="108" w:type="dxa"/>
            </w:tcMar>
          </w:tcPr>
          <w:p w14:paraId="3E06741E">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1227"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tcPr>
          <w:p w14:paraId="71C58E8B">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r>
      <w:tr w14:paraId="7F05F111">
        <w:tblPrEx>
          <w:tblCellMar>
            <w:top w:w="0" w:type="dxa"/>
            <w:left w:w="10" w:type="dxa"/>
            <w:bottom w:w="0" w:type="dxa"/>
            <w:right w:w="10" w:type="dxa"/>
          </w:tblCellMar>
        </w:tblPrEx>
        <w:trPr>
          <w:trHeight w:val="448" w:hRule="atLeast"/>
          <w:jc w:val="center"/>
        </w:trPr>
        <w:tc>
          <w:tcPr>
            <w:tcW w:w="108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86D11C8">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127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F742F02">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127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6A7999C">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DC744E4">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56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B87C2D1">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2EAFA1D">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56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EC51D97">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849"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tcPr>
          <w:p w14:paraId="1AB156D3">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1275" w:type="dxa"/>
            <w:tcBorders>
              <w:top w:val="single" w:color="000000" w:sz="6" w:space="0"/>
              <w:left w:val="single" w:color="000000" w:sz="4" w:space="0"/>
              <w:bottom w:val="single" w:color="000000" w:sz="6" w:space="0"/>
              <w:right w:val="single" w:color="000000" w:sz="4" w:space="0"/>
            </w:tcBorders>
            <w:tcMar>
              <w:top w:w="0" w:type="dxa"/>
              <w:left w:w="108" w:type="dxa"/>
              <w:bottom w:w="0" w:type="dxa"/>
              <w:right w:w="108" w:type="dxa"/>
            </w:tcMar>
          </w:tcPr>
          <w:p w14:paraId="1B1C8531">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1227"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tcPr>
          <w:p w14:paraId="4A8BF1BE">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r>
      <w:tr w14:paraId="0F08AAF0">
        <w:tblPrEx>
          <w:tblCellMar>
            <w:top w:w="0" w:type="dxa"/>
            <w:left w:w="10" w:type="dxa"/>
            <w:bottom w:w="0" w:type="dxa"/>
            <w:right w:w="10" w:type="dxa"/>
          </w:tblCellMar>
        </w:tblPrEx>
        <w:trPr>
          <w:trHeight w:val="448" w:hRule="atLeast"/>
          <w:jc w:val="center"/>
        </w:trPr>
        <w:tc>
          <w:tcPr>
            <w:tcW w:w="1089"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67060E9">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r>
              <w:rPr>
                <w:rFonts w:hint="eastAsia" w:ascii="宋体" w:hAnsi="宋体" w:eastAsia="宋体" w:cs="宋体"/>
                <w:kern w:val="1"/>
                <w:sz w:val="24"/>
                <w:szCs w:val="24"/>
              </w:rPr>
              <w:t>总价（人民币）</w:t>
            </w:r>
          </w:p>
        </w:tc>
        <w:tc>
          <w:tcPr>
            <w:tcW w:w="8448" w:type="dxa"/>
            <w:gridSpan w:val="9"/>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491AEA1">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rPr>
                <w:rFonts w:hint="eastAsia" w:ascii="宋体" w:hAnsi="宋体" w:eastAsia="宋体" w:cs="宋体"/>
                <w:kern w:val="1"/>
                <w:sz w:val="24"/>
                <w:szCs w:val="24"/>
              </w:rPr>
            </w:pPr>
            <w:r>
              <w:rPr>
                <w:rFonts w:hint="eastAsia" w:ascii="宋体" w:hAnsi="宋体" w:eastAsia="宋体" w:cs="宋体"/>
                <w:kern w:val="1"/>
                <w:sz w:val="24"/>
                <w:szCs w:val="24"/>
              </w:rPr>
              <w:t>小写：</w:t>
            </w:r>
          </w:p>
        </w:tc>
      </w:tr>
      <w:tr w14:paraId="25DDC3FB">
        <w:tblPrEx>
          <w:tblCellMar>
            <w:top w:w="0" w:type="dxa"/>
            <w:left w:w="10" w:type="dxa"/>
            <w:bottom w:w="0" w:type="dxa"/>
            <w:right w:w="10" w:type="dxa"/>
          </w:tblCellMar>
        </w:tblPrEx>
        <w:trPr>
          <w:trHeight w:val="462" w:hRule="atLeast"/>
          <w:jc w:val="center"/>
        </w:trPr>
        <w:tc>
          <w:tcPr>
            <w:tcW w:w="1089"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892DE2A">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rPr>
                <w:rFonts w:hint="eastAsia" w:ascii="宋体" w:hAnsi="宋体" w:eastAsia="宋体" w:cs="宋体"/>
                <w:kern w:val="1"/>
                <w:sz w:val="24"/>
                <w:szCs w:val="24"/>
              </w:rPr>
            </w:pPr>
          </w:p>
        </w:tc>
        <w:tc>
          <w:tcPr>
            <w:tcW w:w="8448" w:type="dxa"/>
            <w:gridSpan w:val="9"/>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7E159F2">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rPr>
                <w:rFonts w:hint="eastAsia" w:ascii="宋体" w:hAnsi="宋体" w:eastAsia="宋体" w:cs="宋体"/>
                <w:kern w:val="1"/>
                <w:sz w:val="24"/>
                <w:szCs w:val="24"/>
              </w:rPr>
            </w:pPr>
            <w:r>
              <w:rPr>
                <w:rFonts w:hint="eastAsia" w:ascii="宋体" w:hAnsi="宋体" w:eastAsia="宋体" w:cs="宋体"/>
                <w:kern w:val="1"/>
                <w:sz w:val="24"/>
                <w:szCs w:val="24"/>
              </w:rPr>
              <w:t>大写： 佰</w:t>
            </w:r>
            <w:r>
              <w:rPr>
                <w:rFonts w:hint="eastAsia" w:ascii="宋体" w:hAnsi="宋体" w:eastAsia="宋体" w:cs="宋体"/>
                <w:kern w:val="1"/>
                <w:sz w:val="24"/>
                <w:szCs w:val="24"/>
                <w:lang w:val="en-US" w:eastAsia="zh-CN"/>
              </w:rPr>
              <w:t xml:space="preserve">  </w:t>
            </w:r>
            <w:r>
              <w:rPr>
                <w:rFonts w:hint="eastAsia" w:ascii="宋体" w:hAnsi="宋体" w:eastAsia="宋体" w:cs="宋体"/>
                <w:kern w:val="1"/>
                <w:sz w:val="24"/>
                <w:szCs w:val="24"/>
              </w:rPr>
              <w:t>拾</w:t>
            </w:r>
            <w:r>
              <w:rPr>
                <w:rFonts w:hint="eastAsia" w:ascii="宋体" w:hAnsi="宋体" w:eastAsia="宋体" w:cs="宋体"/>
                <w:kern w:val="1"/>
                <w:sz w:val="24"/>
                <w:szCs w:val="24"/>
                <w:lang w:val="en-US" w:eastAsia="zh-CN"/>
              </w:rPr>
              <w:t xml:space="preserve">  </w:t>
            </w:r>
            <w:r>
              <w:rPr>
                <w:rFonts w:hint="eastAsia" w:ascii="宋体" w:hAnsi="宋体" w:eastAsia="宋体" w:cs="宋体"/>
                <w:kern w:val="1"/>
                <w:sz w:val="24"/>
                <w:szCs w:val="24"/>
              </w:rPr>
              <w:t>万</w:t>
            </w:r>
            <w:r>
              <w:rPr>
                <w:rFonts w:hint="eastAsia" w:ascii="宋体" w:hAnsi="宋体" w:eastAsia="宋体" w:cs="宋体"/>
                <w:kern w:val="1"/>
                <w:sz w:val="24"/>
                <w:szCs w:val="24"/>
                <w:lang w:val="en-US" w:eastAsia="zh-CN"/>
              </w:rPr>
              <w:t xml:space="preserve">  </w:t>
            </w:r>
            <w:r>
              <w:rPr>
                <w:rFonts w:hint="eastAsia" w:ascii="宋体" w:hAnsi="宋体" w:eastAsia="宋体" w:cs="宋体"/>
                <w:kern w:val="1"/>
                <w:sz w:val="24"/>
                <w:szCs w:val="24"/>
              </w:rPr>
              <w:t>仟</w:t>
            </w:r>
            <w:r>
              <w:rPr>
                <w:rFonts w:hint="eastAsia" w:ascii="宋体" w:hAnsi="宋体" w:eastAsia="宋体" w:cs="宋体"/>
                <w:kern w:val="1"/>
                <w:sz w:val="24"/>
                <w:szCs w:val="24"/>
                <w:lang w:val="en-US" w:eastAsia="zh-CN"/>
              </w:rPr>
              <w:t xml:space="preserve">  </w:t>
            </w:r>
            <w:r>
              <w:rPr>
                <w:rFonts w:hint="eastAsia" w:ascii="宋体" w:hAnsi="宋体" w:eastAsia="宋体" w:cs="宋体"/>
                <w:kern w:val="1"/>
                <w:sz w:val="24"/>
                <w:szCs w:val="24"/>
              </w:rPr>
              <w:t>佰</w:t>
            </w:r>
            <w:r>
              <w:rPr>
                <w:rFonts w:hint="eastAsia" w:ascii="宋体" w:hAnsi="宋体" w:eastAsia="宋体" w:cs="宋体"/>
                <w:kern w:val="1"/>
                <w:sz w:val="24"/>
                <w:szCs w:val="24"/>
                <w:lang w:val="en-US" w:eastAsia="zh-CN"/>
              </w:rPr>
              <w:t xml:space="preserve">  </w:t>
            </w:r>
            <w:r>
              <w:rPr>
                <w:rFonts w:hint="eastAsia" w:ascii="宋体" w:hAnsi="宋体" w:eastAsia="宋体" w:cs="宋体"/>
                <w:kern w:val="1"/>
                <w:sz w:val="24"/>
                <w:szCs w:val="24"/>
              </w:rPr>
              <w:t>拾</w:t>
            </w:r>
            <w:r>
              <w:rPr>
                <w:rFonts w:hint="eastAsia" w:ascii="宋体" w:hAnsi="宋体" w:eastAsia="宋体" w:cs="宋体"/>
                <w:kern w:val="1"/>
                <w:sz w:val="24"/>
                <w:szCs w:val="24"/>
                <w:lang w:val="en-US" w:eastAsia="zh-CN"/>
              </w:rPr>
              <w:t xml:space="preserve">  </w:t>
            </w:r>
            <w:r>
              <w:rPr>
                <w:rFonts w:hint="eastAsia" w:ascii="宋体" w:hAnsi="宋体" w:eastAsia="宋体" w:cs="宋体"/>
                <w:kern w:val="1"/>
                <w:sz w:val="24"/>
                <w:szCs w:val="24"/>
              </w:rPr>
              <w:t>元   角   分</w:t>
            </w:r>
          </w:p>
        </w:tc>
      </w:tr>
    </w:tbl>
    <w:p w14:paraId="08CECA05">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p>
    <w:p w14:paraId="3865FCB6">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三、质量要求及供方对质量负责条件和期限：</w:t>
      </w:r>
    </w:p>
    <w:p w14:paraId="2C388866">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u w:val="none"/>
          <w:lang w:val="en-US" w:eastAsia="zh-CN"/>
        </w:rPr>
      </w:pPr>
      <w:r>
        <w:rPr>
          <w:rFonts w:hint="eastAsia" w:ascii="宋体" w:hAnsi="宋体" w:eastAsia="宋体" w:cs="宋体"/>
          <w:sz w:val="24"/>
          <w:szCs w:val="24"/>
        </w:rPr>
        <w:t>所供货物必须首先符合有关国家强制性规定、国家（行业）标准或相关法律法规要求</w:t>
      </w:r>
      <w:r>
        <w:rPr>
          <w:rFonts w:hint="eastAsia" w:ascii="宋体" w:hAnsi="宋体" w:eastAsia="宋体" w:cs="宋体"/>
          <w:sz w:val="24"/>
          <w:szCs w:val="24"/>
          <w:lang w:val="zh-CN"/>
        </w:rPr>
        <w:t>，同时符合招标文件规定的质量要求。供方应提供全新未拆封产品（包括零部件、附件、备品备件），如确需拆封的，应在供货前征得采购人同意，否则视为不能交货。供方保证全部按照合同规定的时间和方式向需方提供货物和服务，并负责可能的弥补缺陷。需方对货物规格、型号、质量有异议的应在收到货物后15日内以书面形式向供方提出，需安装调试成套设备的提出异议的期限为</w:t>
      </w:r>
      <w:r>
        <w:rPr>
          <w:rFonts w:hint="eastAsia" w:ascii="宋体" w:hAnsi="宋体" w:eastAsia="宋体" w:cs="宋体"/>
          <w:sz w:val="24"/>
          <w:szCs w:val="24"/>
          <w:u w:val="single"/>
          <w:lang w:val="zh-CN"/>
        </w:rPr>
        <w:t xml:space="preserve">     </w:t>
      </w:r>
      <w:r>
        <w:rPr>
          <w:rFonts w:hint="eastAsia" w:ascii="宋体" w:hAnsi="宋体" w:eastAsia="宋体" w:cs="宋体"/>
          <w:sz w:val="24"/>
          <w:szCs w:val="24"/>
          <w:u w:val="none"/>
          <w:lang w:val="en-US" w:eastAsia="zh-CN"/>
        </w:rPr>
        <w:t xml:space="preserve">      </w:t>
      </w:r>
    </w:p>
    <w:p w14:paraId="325BBECC">
      <w:pPr>
        <w:pageBreakBefore w:val="0"/>
        <w:autoSpaceDE w:val="0"/>
        <w:autoSpaceDN w:val="0"/>
        <w:bidi w:val="0"/>
        <w:adjustRightInd w:val="0"/>
        <w:snapToGrid w:val="0"/>
        <w:spacing w:beforeAutospacing="0" w:afterAutospacing="0" w:line="360" w:lineRule="auto"/>
        <w:ind w:left="0" w:leftChars="0" w:right="0"/>
        <w:rPr>
          <w:rFonts w:hint="eastAsia" w:ascii="宋体" w:hAnsi="宋体" w:eastAsia="宋体" w:cs="宋体"/>
          <w:sz w:val="24"/>
          <w:szCs w:val="24"/>
          <w:lang w:val="zh-CN"/>
        </w:rPr>
      </w:pP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日。</w:t>
      </w:r>
    </w:p>
    <w:p w14:paraId="6A6EE179">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四、售后服务承诺：</w:t>
      </w:r>
    </w:p>
    <w:p w14:paraId="3578DF37">
      <w:pPr>
        <w:pageBreakBefore w:val="0"/>
        <w:numPr>
          <w:ilvl w:val="0"/>
          <w:numId w:val="6"/>
        </w:numPr>
        <w:autoSpaceDE w:val="0"/>
        <w:autoSpaceDN w:val="0"/>
        <w:bidi w:val="0"/>
        <w:adjustRightInd w:val="0"/>
        <w:snapToGrid w:val="0"/>
        <w:spacing w:beforeAutospacing="0" w:afterAutospacing="0" w:line="360" w:lineRule="auto"/>
        <w:ind w:left="0" w:leftChars="0" w:right="0"/>
        <w:rPr>
          <w:rFonts w:hint="eastAsia" w:ascii="宋体" w:hAnsi="宋体" w:eastAsia="宋体" w:cs="宋体"/>
          <w:sz w:val="24"/>
          <w:szCs w:val="24"/>
          <w:lang w:val="zh-CN"/>
        </w:rPr>
      </w:pPr>
      <w:r>
        <w:rPr>
          <w:rFonts w:hint="eastAsia" w:ascii="宋体" w:hAnsi="宋体" w:eastAsia="宋体" w:cs="宋体"/>
          <w:sz w:val="24"/>
          <w:szCs w:val="24"/>
          <w:lang w:val="zh-CN"/>
        </w:rPr>
        <w:t>售后服务响应时间：</w:t>
      </w:r>
      <w:r>
        <w:rPr>
          <w:rFonts w:hint="eastAsia" w:ascii="宋体" w:hAnsi="宋体" w:eastAsia="宋体" w:cs="宋体"/>
          <w:sz w:val="24"/>
          <w:szCs w:val="24"/>
          <w:u w:val="single"/>
          <w:lang w:val="zh-CN"/>
        </w:rPr>
        <w:t xml:space="preserve">          </w:t>
      </w:r>
    </w:p>
    <w:p w14:paraId="2B6682F3">
      <w:pPr>
        <w:pageBreakBefore w:val="0"/>
        <w:numPr>
          <w:ilvl w:val="0"/>
          <w:numId w:val="6"/>
        </w:numPr>
        <w:autoSpaceDE w:val="0"/>
        <w:autoSpaceDN w:val="0"/>
        <w:bidi w:val="0"/>
        <w:adjustRightInd w:val="0"/>
        <w:snapToGrid w:val="0"/>
        <w:spacing w:beforeAutospacing="0" w:afterAutospacing="0" w:line="360" w:lineRule="auto"/>
        <w:ind w:left="0" w:leftChars="0" w:right="0"/>
        <w:rPr>
          <w:rFonts w:hint="eastAsia" w:ascii="宋体" w:hAnsi="宋体" w:eastAsia="宋体" w:cs="宋体"/>
          <w:sz w:val="24"/>
          <w:szCs w:val="24"/>
          <w:lang w:val="zh-CN"/>
        </w:rPr>
      </w:pPr>
      <w:r>
        <w:rPr>
          <w:rFonts w:hint="eastAsia" w:ascii="宋体" w:hAnsi="宋体" w:eastAsia="宋体" w:cs="宋体"/>
          <w:sz w:val="24"/>
          <w:szCs w:val="24"/>
          <w:lang w:val="zh-CN"/>
        </w:rPr>
        <w:t>解决问题时间：</w:t>
      </w:r>
      <w:r>
        <w:rPr>
          <w:rFonts w:hint="eastAsia" w:ascii="宋体" w:hAnsi="宋体" w:eastAsia="宋体" w:cs="宋体"/>
          <w:sz w:val="24"/>
          <w:szCs w:val="24"/>
          <w:u w:val="single"/>
          <w:lang w:val="zh-CN"/>
        </w:rPr>
        <w:t xml:space="preserve">                  </w:t>
      </w:r>
    </w:p>
    <w:p w14:paraId="7DBCFCB9">
      <w:pPr>
        <w:pageBreakBefore w:val="0"/>
        <w:numPr>
          <w:ilvl w:val="0"/>
          <w:numId w:val="6"/>
        </w:numPr>
        <w:autoSpaceDE w:val="0"/>
        <w:autoSpaceDN w:val="0"/>
        <w:bidi w:val="0"/>
        <w:adjustRightInd w:val="0"/>
        <w:snapToGrid w:val="0"/>
        <w:spacing w:beforeAutospacing="0" w:afterAutospacing="0" w:line="360" w:lineRule="auto"/>
        <w:ind w:left="0" w:leftChars="0" w:right="0"/>
        <w:rPr>
          <w:rFonts w:hint="eastAsia" w:ascii="宋体" w:hAnsi="宋体" w:eastAsia="宋体" w:cs="宋体"/>
          <w:sz w:val="24"/>
          <w:szCs w:val="24"/>
          <w:lang w:val="zh-CN"/>
        </w:rPr>
      </w:pPr>
      <w:r>
        <w:rPr>
          <w:rFonts w:hint="eastAsia" w:ascii="宋体" w:hAnsi="宋体" w:eastAsia="宋体" w:cs="宋体"/>
          <w:sz w:val="24"/>
          <w:szCs w:val="24"/>
          <w:lang w:val="zh-CN"/>
        </w:rPr>
        <w:t>售后服务机构名称、地址及联系方式：</w:t>
      </w:r>
      <w:r>
        <w:rPr>
          <w:rFonts w:hint="eastAsia" w:ascii="宋体" w:hAnsi="宋体" w:eastAsia="宋体" w:cs="宋体"/>
          <w:sz w:val="24"/>
          <w:szCs w:val="24"/>
          <w:u w:val="single"/>
          <w:lang w:val="zh-CN"/>
        </w:rPr>
        <w:t xml:space="preserve">                </w:t>
      </w:r>
    </w:p>
    <w:p w14:paraId="152D6370">
      <w:pPr>
        <w:pageBreakBefore w:val="0"/>
        <w:numPr>
          <w:ilvl w:val="0"/>
          <w:numId w:val="6"/>
        </w:numPr>
        <w:autoSpaceDE w:val="0"/>
        <w:autoSpaceDN w:val="0"/>
        <w:bidi w:val="0"/>
        <w:adjustRightInd w:val="0"/>
        <w:snapToGrid w:val="0"/>
        <w:spacing w:beforeAutospacing="0" w:afterAutospacing="0" w:line="360" w:lineRule="auto"/>
        <w:ind w:left="0" w:leftChars="0" w:right="0"/>
        <w:rPr>
          <w:rFonts w:hint="eastAsia" w:ascii="宋体" w:hAnsi="宋体" w:eastAsia="宋体" w:cs="宋体"/>
          <w:sz w:val="24"/>
          <w:szCs w:val="24"/>
          <w:lang w:val="zh-CN"/>
        </w:rPr>
      </w:pPr>
      <w:r>
        <w:rPr>
          <w:rFonts w:hint="eastAsia" w:ascii="宋体" w:hAnsi="宋体" w:eastAsia="宋体" w:cs="宋体"/>
          <w:sz w:val="24"/>
          <w:szCs w:val="24"/>
          <w:lang w:val="zh-CN"/>
        </w:rPr>
        <w:t>其他服务承诺：</w:t>
      </w:r>
      <w:r>
        <w:rPr>
          <w:rFonts w:hint="eastAsia" w:ascii="宋体" w:hAnsi="宋体" w:eastAsia="宋体" w:cs="宋体"/>
          <w:sz w:val="24"/>
          <w:szCs w:val="24"/>
          <w:u w:val="single"/>
          <w:lang w:val="zh-CN"/>
        </w:rPr>
        <w:t xml:space="preserve">               </w:t>
      </w:r>
    </w:p>
    <w:p w14:paraId="62617197">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五、合同履行地点及进度：合同生效后，供方应于</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年</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月</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日前按需方要求</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需方指定的地点）完成本项目的交货、安装、调试（或施工）。货物运送的费用由供方负责。需方应在货物到达指定地点后，提供符合安装条件的场地、电源、环境等。</w:t>
      </w:r>
    </w:p>
    <w:p w14:paraId="282C7454">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六、供方在交付货物时应向需方提供货物的使用说明、合格证书及其它相关资料，否则按不能交货对待。</w:t>
      </w:r>
    </w:p>
    <w:p w14:paraId="546A556F">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七、人员培训：供方免费对需方人员进行技术培训，直到需方人员熟练操作或掌握为准。</w:t>
      </w:r>
    </w:p>
    <w:p w14:paraId="08B11D9E">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培训地点：</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w:t>
      </w:r>
    </w:p>
    <w:p w14:paraId="5F9918F3">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u w:val="single"/>
          <w:lang w:val="zh-CN"/>
        </w:rPr>
      </w:pPr>
      <w:r>
        <w:rPr>
          <w:rFonts w:hint="eastAsia" w:ascii="宋体" w:hAnsi="宋体" w:eastAsia="宋体" w:cs="宋体"/>
          <w:sz w:val="24"/>
          <w:szCs w:val="24"/>
          <w:lang w:val="zh-CN"/>
        </w:rPr>
        <w:t>培训时间：</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w:t>
      </w:r>
    </w:p>
    <w:p w14:paraId="676BEC4A">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培训方式：</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w:t>
      </w:r>
    </w:p>
    <w:p w14:paraId="3CC4A015">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八、验收要求：</w:t>
      </w:r>
    </w:p>
    <w:p w14:paraId="0D70E6C6">
      <w:pPr>
        <w:pageBreakBefore w:val="0"/>
        <w:autoSpaceDE w:val="0"/>
        <w:autoSpaceDN w:val="0"/>
        <w:bidi w:val="0"/>
        <w:adjustRightInd w:val="0"/>
        <w:snapToGrid w:val="0"/>
        <w:spacing w:beforeAutospacing="0" w:afterAutospacing="0" w:line="360" w:lineRule="auto"/>
        <w:ind w:left="0" w:leftChars="0" w:right="0" w:firstLine="560"/>
        <w:rPr>
          <w:rFonts w:hint="eastAsia" w:ascii="宋体" w:hAnsi="宋体" w:eastAsia="宋体" w:cs="宋体"/>
          <w:sz w:val="24"/>
          <w:szCs w:val="24"/>
          <w:lang w:val="zh-CN"/>
        </w:rPr>
      </w:pPr>
      <w:r>
        <w:rPr>
          <w:rFonts w:hint="eastAsia" w:ascii="宋体" w:hAnsi="宋体" w:eastAsia="宋体" w:cs="宋体"/>
          <w:sz w:val="24"/>
          <w:szCs w:val="24"/>
          <w:lang w:val="zh-CN"/>
        </w:rPr>
        <w:t>1、供方履约完毕及时向需方提出验收申请。</w:t>
      </w:r>
    </w:p>
    <w:p w14:paraId="62DAEDF2">
      <w:pPr>
        <w:pageBreakBefore w:val="0"/>
        <w:autoSpaceDE w:val="0"/>
        <w:autoSpaceDN w:val="0"/>
        <w:bidi w:val="0"/>
        <w:adjustRightInd w:val="0"/>
        <w:snapToGrid w:val="0"/>
        <w:spacing w:beforeAutospacing="0" w:afterAutospacing="0" w:line="360" w:lineRule="auto"/>
        <w:ind w:left="0" w:leftChars="0" w:right="0" w:firstLine="560"/>
        <w:rPr>
          <w:rFonts w:hint="eastAsia" w:ascii="宋体" w:hAnsi="宋体" w:eastAsia="宋体" w:cs="宋体"/>
          <w:sz w:val="24"/>
          <w:szCs w:val="24"/>
          <w:lang w:val="zh-CN"/>
        </w:rPr>
      </w:pPr>
      <w:r>
        <w:rPr>
          <w:rFonts w:hint="eastAsia" w:ascii="宋体" w:hAnsi="宋体" w:eastAsia="宋体" w:cs="宋体"/>
          <w:sz w:val="24"/>
          <w:szCs w:val="24"/>
          <w:lang w:val="zh-CN"/>
        </w:rPr>
        <w:t>2、需方在收到供方验收申请后</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个工作日内组织验收。需方成立3人以上验收工作组，按照招标文件规定、中标供应商投标文件承诺，及国家有关规定认真组织验收工作。大型或者复杂的政府采购项目以及需方认为必要的项目，应当邀请国家认可的质量检测机构参加验收工作。如本项目属国家规定的强制性检测项目，需方必须委托国家认可的专业检测机构验收。</w:t>
      </w:r>
    </w:p>
    <w:p w14:paraId="460C90BC">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九、付款程序、方式及期限：</w:t>
      </w:r>
    </w:p>
    <w:p w14:paraId="2A80F890">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1、供方开具以需方单位名称为抬头的发票。</w:t>
      </w:r>
    </w:p>
    <w:p w14:paraId="4A0C8252">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u w:val="single"/>
          <w:lang w:val="zh-CN"/>
        </w:rPr>
      </w:pPr>
      <w:r>
        <w:rPr>
          <w:rFonts w:hint="eastAsia" w:ascii="宋体" w:hAnsi="宋体" w:eastAsia="宋体" w:cs="宋体"/>
          <w:sz w:val="24"/>
          <w:szCs w:val="24"/>
          <w:lang w:val="zh-CN"/>
        </w:rPr>
        <w:t>2、</w:t>
      </w:r>
      <w:r>
        <w:rPr>
          <w:rFonts w:hint="eastAsia" w:ascii="宋体" w:hAnsi="宋体" w:eastAsia="宋体" w:cs="宋体"/>
          <w:sz w:val="24"/>
          <w:szCs w:val="24"/>
          <w:u w:val="single"/>
          <w:lang w:val="zh-CN"/>
        </w:rPr>
        <w:t xml:space="preserve">    甲乙双方具体协商                 </w:t>
      </w:r>
    </w:p>
    <w:p w14:paraId="3AC5979F">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十、违约责任：</w:t>
      </w:r>
    </w:p>
    <w:p w14:paraId="021E4340">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供方所交付的货物品种、型号、规格、质量不符合国家规定标准及合同要求的，或者供方不能交付货物的，供方应向需方支付合同金额总值</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 xml:space="preserve"> %的违约金，需方有权解除合同，并要求赔偿损失。供方如逾期完成的，每逾期一日供方应向需方支付合同金额的</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 xml:space="preserve"> %违约金。</w:t>
      </w:r>
    </w:p>
    <w:p w14:paraId="601C4D7E">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需方无正当理由拒收货物、拒付货款，需方应向供方偿付拒收拒付部分设备款总额</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 xml:space="preserve"> %的违约金；需方如逾期付款的，每逾期付款一日的需方应向供方偿付所欠合同金额</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 xml:space="preserve"> %的违约金。</w:t>
      </w:r>
    </w:p>
    <w:p w14:paraId="1BF0E04F">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十一、供需双方应严格遵守招标文件要求，如有违反，按招标文件的规定处理。</w:t>
      </w:r>
    </w:p>
    <w:p w14:paraId="2C601B5B">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十二、因货物的质量问题发生争议，由灵宝市法定的质量检测机构进行质量检测或鉴定。</w:t>
      </w:r>
    </w:p>
    <w:p w14:paraId="2C6B3DD7">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十三、项目招标文件及其修改和澄清、及供方投标文件、供方在投标中的有关承诺及声明均为本合同的组成部分。</w:t>
      </w:r>
    </w:p>
    <w:p w14:paraId="6B0ECC5C">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十四、本合同签订和履行适用中华人民共和国法律，因履行合同发生的争议，由供需双方友好协商解决，如协商不成的，任何一方均可向签订合同地人民法院提起诉讼。</w:t>
      </w:r>
    </w:p>
    <w:p w14:paraId="20730041">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十五、本合同未尽事宜，供需双方可签订补充协议，与本合同具有同等法律效力，但不能违反招标文件及供方的投标或报价文件所规定的实质性条款。</w:t>
      </w:r>
    </w:p>
    <w:p w14:paraId="5FB2362A">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十六、知识产权：</w:t>
      </w:r>
    </w:p>
    <w:p w14:paraId="6BDC4094">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color w:val="000000"/>
          <w:sz w:val="24"/>
          <w:szCs w:val="24"/>
        </w:rPr>
        <w:t>供方须保障需方在使用该项目或其任何一部分时不受到第三方关于侵犯专利权、商标权或工业设计</w:t>
      </w:r>
      <w:r>
        <w:rPr>
          <w:rFonts w:hint="eastAsia" w:ascii="宋体" w:hAnsi="宋体" w:eastAsia="宋体" w:cs="宋体"/>
          <w:sz w:val="24"/>
          <w:szCs w:val="24"/>
          <w:lang w:val="zh-CN"/>
        </w:rPr>
        <w:t>权的指控。如果任何第三方提出侵权指控，供方须与第三方交涉并承担可能发生的一切费用。如需方因此而遭致损失的，供方应赔偿该损失。</w:t>
      </w:r>
    </w:p>
    <w:p w14:paraId="381FF3CD">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十七、合同生效、备案及其它</w:t>
      </w:r>
    </w:p>
    <w:p w14:paraId="5BFF830D">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1、本合同经双方代表签字并加盖公章后生效。</w:t>
      </w:r>
    </w:p>
    <w:p w14:paraId="112EFCF8">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lang w:val="zh-CN"/>
        </w:rPr>
        <w:t>2、本合同一式六份，供需双方各持三份</w:t>
      </w:r>
      <w:r>
        <w:rPr>
          <w:rFonts w:hint="eastAsia" w:ascii="宋体" w:hAnsi="宋体" w:eastAsia="宋体" w:cs="宋体"/>
          <w:sz w:val="24"/>
          <w:szCs w:val="24"/>
        </w:rPr>
        <w:t>。</w:t>
      </w:r>
    </w:p>
    <w:p w14:paraId="0D7CE2DE">
      <w:pPr>
        <w:pageBreakBefore w:val="0"/>
        <w:bidi w:val="0"/>
        <w:adjustRightInd w:val="0"/>
        <w:snapToGrid w:val="0"/>
        <w:spacing w:beforeAutospacing="0" w:afterAutospacing="0" w:line="360" w:lineRule="auto"/>
        <w:ind w:left="0" w:leftChars="0" w:right="0"/>
        <w:rPr>
          <w:rFonts w:hint="eastAsia" w:ascii="宋体" w:hAnsi="宋体" w:eastAsia="宋体" w:cs="宋体"/>
          <w:sz w:val="24"/>
          <w:szCs w:val="24"/>
        </w:rPr>
      </w:pPr>
      <w:r>
        <w:rPr>
          <w:rFonts w:hint="eastAsia" w:ascii="宋体" w:hAnsi="宋体" w:eastAsia="宋体" w:cs="宋体"/>
          <w:sz w:val="24"/>
          <w:szCs w:val="24"/>
        </w:rPr>
        <w:t>供方（公章）：                          需方（公章）：</w:t>
      </w:r>
    </w:p>
    <w:p w14:paraId="434C8113">
      <w:pPr>
        <w:pageBreakBefore w:val="0"/>
        <w:bidi w:val="0"/>
        <w:adjustRightInd w:val="0"/>
        <w:snapToGrid w:val="0"/>
        <w:spacing w:beforeAutospacing="0" w:afterAutospacing="0" w:line="360" w:lineRule="auto"/>
        <w:ind w:left="0" w:leftChars="0" w:right="0"/>
        <w:rPr>
          <w:rFonts w:hint="eastAsia" w:ascii="宋体" w:hAnsi="宋体" w:eastAsia="宋体" w:cs="宋体"/>
          <w:sz w:val="24"/>
          <w:szCs w:val="24"/>
        </w:rPr>
      </w:pPr>
      <w:r>
        <w:rPr>
          <w:rFonts w:hint="eastAsia" w:ascii="宋体" w:hAnsi="宋体" w:eastAsia="宋体" w:cs="宋体"/>
          <w:sz w:val="24"/>
          <w:szCs w:val="24"/>
        </w:rPr>
        <w:t>地址：                                  地址：</w:t>
      </w:r>
    </w:p>
    <w:p w14:paraId="5D626914">
      <w:pPr>
        <w:pageBreakBefore w:val="0"/>
        <w:bidi w:val="0"/>
        <w:adjustRightInd w:val="0"/>
        <w:snapToGrid w:val="0"/>
        <w:spacing w:beforeAutospacing="0" w:afterAutospacing="0" w:line="360" w:lineRule="auto"/>
        <w:ind w:left="0" w:leftChars="0" w:right="0"/>
        <w:rPr>
          <w:rFonts w:hint="eastAsia" w:ascii="宋体" w:hAnsi="宋体" w:eastAsia="宋体" w:cs="宋体"/>
          <w:sz w:val="24"/>
          <w:szCs w:val="24"/>
        </w:rPr>
      </w:pPr>
      <w:r>
        <w:rPr>
          <w:rFonts w:hint="eastAsia" w:ascii="宋体" w:hAnsi="宋体" w:eastAsia="宋体" w:cs="宋体"/>
          <w:sz w:val="24"/>
          <w:szCs w:val="24"/>
        </w:rPr>
        <w:t>法定代表人或授权委托                  法定代表人或授权委托</w:t>
      </w:r>
    </w:p>
    <w:p w14:paraId="27839D39">
      <w:pPr>
        <w:pageBreakBefore w:val="0"/>
        <w:bidi w:val="0"/>
        <w:adjustRightInd w:val="0"/>
        <w:snapToGrid w:val="0"/>
        <w:spacing w:beforeAutospacing="0" w:afterAutospacing="0" w:line="360" w:lineRule="auto"/>
        <w:ind w:left="0" w:leftChars="0" w:right="0"/>
        <w:rPr>
          <w:rFonts w:hint="eastAsia" w:ascii="宋体" w:hAnsi="宋体" w:eastAsia="宋体" w:cs="宋体"/>
          <w:color w:val="000000"/>
          <w:sz w:val="24"/>
          <w:szCs w:val="24"/>
        </w:rPr>
      </w:pPr>
      <w:r>
        <w:rPr>
          <w:rFonts w:hint="eastAsia" w:ascii="宋体" w:hAnsi="宋体" w:eastAsia="宋体" w:cs="宋体"/>
          <w:color w:val="000000"/>
          <w:sz w:val="24"/>
          <w:szCs w:val="24"/>
        </w:rPr>
        <w:t>人（签字）：                        人（签字）：</w:t>
      </w:r>
    </w:p>
    <w:p w14:paraId="1C5DFFEC">
      <w:pPr>
        <w:pageBreakBefore w:val="0"/>
        <w:bidi w:val="0"/>
        <w:adjustRightInd w:val="0"/>
        <w:snapToGrid w:val="0"/>
        <w:spacing w:beforeAutospacing="0" w:afterAutospacing="0" w:line="360" w:lineRule="auto"/>
        <w:ind w:left="0" w:leftChars="0" w:right="0"/>
        <w:rPr>
          <w:rFonts w:hint="eastAsia" w:ascii="宋体" w:hAnsi="宋体" w:eastAsia="宋体" w:cs="宋体"/>
          <w:sz w:val="24"/>
          <w:szCs w:val="24"/>
        </w:rPr>
      </w:pPr>
      <w:r>
        <w:rPr>
          <w:rFonts w:hint="eastAsia" w:ascii="宋体" w:hAnsi="宋体" w:eastAsia="宋体" w:cs="宋体"/>
          <w:sz w:val="24"/>
          <w:szCs w:val="24"/>
        </w:rPr>
        <w:t>电话：                                  电话：</w:t>
      </w:r>
    </w:p>
    <w:p w14:paraId="38AFF7DF">
      <w:pPr>
        <w:pageBreakBefore w:val="0"/>
        <w:bidi w:val="0"/>
        <w:adjustRightInd w:val="0"/>
        <w:snapToGrid w:val="0"/>
        <w:spacing w:beforeAutospacing="0" w:afterAutospacing="0" w:line="360" w:lineRule="auto"/>
        <w:ind w:left="0" w:leftChars="0" w:right="0"/>
        <w:rPr>
          <w:rFonts w:hint="eastAsia" w:ascii="宋体" w:hAnsi="宋体" w:eastAsia="宋体" w:cs="宋体"/>
          <w:sz w:val="24"/>
          <w:szCs w:val="24"/>
        </w:rPr>
      </w:pPr>
      <w:r>
        <w:rPr>
          <w:rFonts w:hint="eastAsia" w:ascii="宋体" w:hAnsi="宋体" w:eastAsia="宋体" w:cs="宋体"/>
          <w:sz w:val="24"/>
          <w:szCs w:val="24"/>
        </w:rPr>
        <w:t>开户银行：                              开户银行：</w:t>
      </w:r>
    </w:p>
    <w:p w14:paraId="2B0D1F1D">
      <w:pPr>
        <w:pageBreakBefore w:val="0"/>
        <w:bidi w:val="0"/>
        <w:adjustRightInd w:val="0"/>
        <w:snapToGrid w:val="0"/>
        <w:spacing w:beforeAutospacing="0" w:afterAutospacing="0" w:line="360" w:lineRule="auto"/>
        <w:ind w:left="0" w:leftChars="0" w:right="0"/>
        <w:rPr>
          <w:rFonts w:hint="eastAsia" w:ascii="宋体" w:hAnsi="宋体" w:eastAsia="宋体" w:cs="宋体"/>
          <w:sz w:val="24"/>
          <w:szCs w:val="24"/>
        </w:rPr>
      </w:pPr>
      <w:r>
        <w:rPr>
          <w:rFonts w:hint="eastAsia" w:ascii="宋体" w:hAnsi="宋体" w:eastAsia="宋体" w:cs="宋体"/>
          <w:sz w:val="24"/>
          <w:szCs w:val="24"/>
        </w:rPr>
        <w:t>账号：                                  账号:</w:t>
      </w:r>
    </w:p>
    <w:p w14:paraId="6E229B12">
      <w:pPr>
        <w:pageBreakBefore w:val="0"/>
        <w:bidi w:val="0"/>
        <w:adjustRightInd w:val="0"/>
        <w:snapToGrid w:val="0"/>
        <w:spacing w:beforeAutospacing="0" w:afterAutospacing="0" w:line="360" w:lineRule="auto"/>
        <w:ind w:left="0" w:leftChars="0" w:right="0"/>
        <w:rPr>
          <w:rFonts w:hint="eastAsia" w:ascii="宋体" w:hAnsi="宋体" w:eastAsia="宋体" w:cs="宋体"/>
          <w:sz w:val="24"/>
          <w:szCs w:val="24"/>
        </w:rPr>
      </w:pPr>
      <w:r>
        <w:rPr>
          <w:rFonts w:hint="eastAsia" w:ascii="宋体" w:hAnsi="宋体" w:eastAsia="宋体" w:cs="宋体"/>
          <w:sz w:val="24"/>
          <w:szCs w:val="24"/>
        </w:rPr>
        <w:t>签约时间：   年    月     日</w:t>
      </w:r>
    </w:p>
    <w:p w14:paraId="169B0E17">
      <w:pPr>
        <w:pageBreakBefore w:val="0"/>
        <w:bidi w:val="0"/>
        <w:adjustRightInd w:val="0"/>
        <w:snapToGrid w:val="0"/>
        <w:spacing w:beforeAutospacing="0" w:afterAutospacing="0" w:line="360" w:lineRule="auto"/>
        <w:ind w:left="0" w:leftChars="0" w:right="0"/>
        <w:rPr>
          <w:rFonts w:hint="eastAsia" w:ascii="宋体" w:hAnsi="宋体" w:eastAsia="宋体" w:cs="宋体"/>
          <w:sz w:val="24"/>
          <w:szCs w:val="24"/>
        </w:rPr>
      </w:pPr>
      <w:r>
        <w:rPr>
          <w:rFonts w:hint="eastAsia" w:ascii="宋体" w:hAnsi="宋体" w:eastAsia="宋体" w:cs="宋体"/>
          <w:b/>
          <w:sz w:val="24"/>
          <w:szCs w:val="24"/>
        </w:rPr>
        <w:t>本合同仅供参考，中标后甲乙双方可根据实际情况自行修改。</w:t>
      </w:r>
    </w:p>
    <w:p w14:paraId="0CF33A48">
      <w:pPr>
        <w:pageBreakBefore w:val="0"/>
        <w:bidi w:val="0"/>
        <w:adjustRightInd w:val="0"/>
        <w:snapToGrid w:val="0"/>
        <w:spacing w:beforeAutospacing="0" w:afterAutospacing="0" w:line="360" w:lineRule="auto"/>
        <w:ind w:left="0" w:leftChars="0" w:right="0"/>
        <w:jc w:val="center"/>
        <w:outlineLvl w:val="0"/>
        <w:rPr>
          <w:rFonts w:hint="eastAsia" w:ascii="宋体" w:hAnsi="宋体" w:eastAsia="宋体" w:cs="宋体"/>
          <w:b/>
          <w:bCs/>
          <w:color w:val="auto"/>
          <w:sz w:val="32"/>
          <w:szCs w:val="32"/>
          <w:highlight w:val="none"/>
        </w:rPr>
      </w:pPr>
      <w:bookmarkStart w:id="46" w:name="_Toc21772"/>
    </w:p>
    <w:p w14:paraId="1A36C0D2">
      <w:pPr>
        <w:pageBreakBefore w:val="0"/>
        <w:bidi w:val="0"/>
        <w:adjustRightInd w:val="0"/>
        <w:snapToGrid w:val="0"/>
        <w:spacing w:beforeAutospacing="0" w:afterAutospacing="0" w:line="360" w:lineRule="auto"/>
        <w:ind w:left="0" w:leftChars="0" w:right="0"/>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第六章   投标文件格式</w:t>
      </w:r>
      <w:bookmarkEnd w:id="46"/>
    </w:p>
    <w:p w14:paraId="7298B8FE">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kern w:val="0"/>
          <w:sz w:val="36"/>
          <w:szCs w:val="36"/>
          <w:highlight w:val="none"/>
        </w:rPr>
      </w:pPr>
    </w:p>
    <w:p w14:paraId="333EFA08">
      <w:pPr>
        <w:pStyle w:val="19"/>
        <w:pageBreakBefore w:val="0"/>
        <w:bidi w:val="0"/>
        <w:adjustRightInd w:val="0"/>
        <w:snapToGrid w:val="0"/>
        <w:spacing w:beforeAutospacing="0" w:after="0" w:afterAutospacing="0" w:line="360" w:lineRule="auto"/>
        <w:ind w:left="0" w:leftChars="0" w:right="0" w:firstLine="2240" w:firstLineChars="800"/>
        <w:rPr>
          <w:rFonts w:hint="eastAsia" w:ascii="宋体" w:hAnsi="宋体" w:eastAsia="宋体" w:cs="宋体"/>
          <w:kern w:val="0"/>
          <w:sz w:val="28"/>
          <w:szCs w:val="32"/>
        </w:rPr>
      </w:pPr>
      <w:r>
        <w:rPr>
          <w:rFonts w:hint="eastAsia" w:ascii="宋体" w:hAnsi="宋体" w:eastAsia="宋体" w:cs="宋体"/>
          <w:sz w:val="28"/>
          <w:szCs w:val="32"/>
          <w:u w:val="single"/>
          <w:lang w:val="zh-CN"/>
        </w:rPr>
        <w:t xml:space="preserve">             </w:t>
      </w:r>
      <w:r>
        <w:rPr>
          <w:rFonts w:hint="eastAsia" w:ascii="宋体" w:hAnsi="宋体" w:eastAsia="宋体" w:cs="宋体"/>
          <w:sz w:val="28"/>
          <w:szCs w:val="32"/>
        </w:rPr>
        <w:t>（项目名称）</w:t>
      </w:r>
      <w:r>
        <w:rPr>
          <w:rFonts w:hint="eastAsia" w:ascii="宋体" w:hAnsi="宋体" w:eastAsia="宋体" w:cs="宋体"/>
          <w:sz w:val="28"/>
          <w:szCs w:val="32"/>
          <w:u w:val="single"/>
          <w:lang w:val="zh-CN"/>
        </w:rPr>
        <w:t xml:space="preserve">          </w:t>
      </w:r>
      <w:r>
        <w:rPr>
          <w:rFonts w:hint="eastAsia" w:ascii="宋体" w:hAnsi="宋体" w:eastAsia="宋体" w:cs="宋体"/>
          <w:kern w:val="0"/>
          <w:sz w:val="28"/>
          <w:szCs w:val="32"/>
          <w:u w:val="single"/>
        </w:rPr>
        <w:t xml:space="preserve"> （</w:t>
      </w:r>
      <w:r>
        <w:rPr>
          <w:rFonts w:hint="eastAsia" w:ascii="宋体" w:hAnsi="宋体" w:eastAsia="宋体" w:cs="宋体"/>
          <w:kern w:val="0"/>
          <w:sz w:val="28"/>
          <w:szCs w:val="32"/>
        </w:rPr>
        <w:t>标段）</w:t>
      </w:r>
    </w:p>
    <w:p w14:paraId="7859932A">
      <w:pPr>
        <w:pStyle w:val="19"/>
        <w:pageBreakBefore w:val="0"/>
        <w:bidi w:val="0"/>
        <w:adjustRightInd w:val="0"/>
        <w:snapToGrid w:val="0"/>
        <w:spacing w:beforeAutospacing="0" w:after="0" w:afterAutospacing="0" w:line="360" w:lineRule="auto"/>
        <w:ind w:left="0" w:leftChars="0" w:right="0" w:firstLine="200"/>
        <w:rPr>
          <w:rFonts w:hint="eastAsia" w:ascii="宋体" w:hAnsi="宋体" w:eastAsia="宋体" w:cs="宋体"/>
          <w:kern w:val="0"/>
          <w:szCs w:val="21"/>
        </w:rPr>
      </w:pPr>
    </w:p>
    <w:p w14:paraId="6E47F2E7">
      <w:pPr>
        <w:pageBreakBefore w:val="0"/>
        <w:widowControl/>
        <w:bidi w:val="0"/>
        <w:adjustRightInd w:val="0"/>
        <w:snapToGrid w:val="0"/>
        <w:spacing w:beforeAutospacing="0" w:afterAutospacing="0" w:line="360" w:lineRule="auto"/>
        <w:ind w:left="0" w:leftChars="0" w:right="0"/>
        <w:jc w:val="center"/>
        <w:rPr>
          <w:rFonts w:hint="eastAsia" w:ascii="宋体" w:hAnsi="宋体" w:eastAsia="宋体" w:cs="宋体"/>
          <w:b/>
          <w:bCs/>
          <w:color w:val="auto"/>
          <w:kern w:val="0"/>
          <w:sz w:val="72"/>
          <w:szCs w:val="72"/>
          <w:highlight w:val="none"/>
        </w:rPr>
      </w:pPr>
      <w:r>
        <w:rPr>
          <w:rFonts w:hint="eastAsia" w:ascii="宋体" w:hAnsi="宋体" w:eastAsia="宋体" w:cs="宋体"/>
          <w:b/>
          <w:bCs/>
          <w:color w:val="auto"/>
          <w:kern w:val="0"/>
          <w:sz w:val="72"/>
          <w:szCs w:val="72"/>
          <w:highlight w:val="none"/>
        </w:rPr>
        <w:t>投 标 文 件</w:t>
      </w:r>
    </w:p>
    <w:p w14:paraId="7B94C4AA">
      <w:pPr>
        <w:pageBreakBefore w:val="0"/>
        <w:bidi w:val="0"/>
        <w:adjustRightInd w:val="0"/>
        <w:snapToGrid w:val="0"/>
        <w:spacing w:beforeAutospacing="0" w:afterAutospacing="0" w:line="360" w:lineRule="auto"/>
        <w:ind w:left="0" w:leftChars="0" w:right="0"/>
        <w:outlineLvl w:val="0"/>
        <w:rPr>
          <w:rFonts w:hint="eastAsia" w:ascii="宋体" w:hAnsi="宋体" w:eastAsia="宋体" w:cs="宋体"/>
          <w:b/>
          <w:bCs/>
          <w:color w:val="auto"/>
          <w:sz w:val="32"/>
          <w:szCs w:val="32"/>
          <w:highlight w:val="none"/>
        </w:rPr>
      </w:pPr>
    </w:p>
    <w:p w14:paraId="094FD50E">
      <w:pPr>
        <w:pageBreakBefore w:val="0"/>
        <w:bidi w:val="0"/>
        <w:adjustRightInd w:val="0"/>
        <w:snapToGrid w:val="0"/>
        <w:spacing w:beforeAutospacing="0" w:afterAutospacing="0" w:line="360" w:lineRule="auto"/>
        <w:ind w:left="0" w:leftChars="0" w:right="0" w:firstLine="2801" w:firstLineChars="872"/>
        <w:rPr>
          <w:rFonts w:hint="eastAsia" w:ascii="宋体" w:hAnsi="宋体" w:eastAsia="宋体" w:cs="宋体"/>
          <w:b/>
          <w:bCs/>
          <w:color w:val="auto"/>
          <w:sz w:val="30"/>
          <w:szCs w:val="30"/>
          <w:highlight w:val="none"/>
          <w:u w:val="single"/>
          <w:lang w:val="en-US" w:eastAsia="zh-CN"/>
        </w:rPr>
      </w:pPr>
      <w:r>
        <w:rPr>
          <w:rFonts w:hint="eastAsia" w:ascii="宋体" w:hAnsi="宋体" w:eastAsia="宋体" w:cs="宋体"/>
          <w:b/>
          <w:bCs/>
          <w:color w:val="auto"/>
          <w:sz w:val="32"/>
          <w:szCs w:val="32"/>
          <w:highlight w:val="none"/>
        </w:rPr>
        <w:t>项目编号:</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lang w:val="en-US" w:eastAsia="zh-CN"/>
        </w:rPr>
        <w:t xml:space="preserve">                     </w:t>
      </w:r>
    </w:p>
    <w:p w14:paraId="1848CE6F">
      <w:pPr>
        <w:pageBreakBefore w:val="0"/>
        <w:bidi w:val="0"/>
        <w:adjustRightInd w:val="0"/>
        <w:snapToGrid w:val="0"/>
        <w:spacing w:beforeAutospacing="0" w:afterAutospacing="0" w:line="360" w:lineRule="auto"/>
        <w:ind w:left="0" w:leftChars="0" w:right="0" w:firstLine="3463" w:firstLineChars="115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 xml:space="preserve">         </w:t>
      </w:r>
    </w:p>
    <w:p w14:paraId="0A3F5D9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sz w:val="32"/>
          <w:szCs w:val="32"/>
          <w:highlight w:val="none"/>
        </w:rPr>
      </w:pPr>
    </w:p>
    <w:p w14:paraId="1500389B">
      <w:pPr>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30"/>
          <w:szCs w:val="30"/>
          <w:highlight w:val="none"/>
        </w:rPr>
      </w:pPr>
    </w:p>
    <w:p w14:paraId="70206A9C">
      <w:pPr>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32"/>
          <w:szCs w:val="32"/>
          <w:highlight w:val="none"/>
        </w:rPr>
      </w:pPr>
    </w:p>
    <w:p w14:paraId="66EB7CC8">
      <w:pPr>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8"/>
          <w:szCs w:val="28"/>
          <w:highlight w:val="none"/>
        </w:rPr>
      </w:pPr>
    </w:p>
    <w:p w14:paraId="25D70EF3">
      <w:pPr>
        <w:pStyle w:val="19"/>
        <w:pageBreakBefore w:val="0"/>
        <w:bidi w:val="0"/>
        <w:adjustRightInd w:val="0"/>
        <w:snapToGrid w:val="0"/>
        <w:spacing w:beforeAutospacing="0" w:after="0" w:afterAutospacing="0" w:line="360" w:lineRule="auto"/>
        <w:ind w:left="0" w:leftChars="0" w:right="0" w:firstLine="200"/>
        <w:rPr>
          <w:rFonts w:hint="eastAsia" w:ascii="宋体" w:hAnsi="宋体" w:eastAsia="宋体" w:cs="宋体"/>
          <w:color w:val="auto"/>
          <w:highlight w:val="none"/>
        </w:rPr>
      </w:pPr>
    </w:p>
    <w:p w14:paraId="7BDA46D3">
      <w:pPr>
        <w:pStyle w:val="19"/>
        <w:pageBreakBefore w:val="0"/>
        <w:bidi w:val="0"/>
        <w:adjustRightInd w:val="0"/>
        <w:snapToGrid w:val="0"/>
        <w:spacing w:beforeAutospacing="0" w:after="0" w:afterAutospacing="0" w:line="360" w:lineRule="auto"/>
        <w:ind w:left="0" w:leftChars="0" w:right="0" w:firstLine="200"/>
        <w:rPr>
          <w:rFonts w:hint="eastAsia" w:ascii="宋体" w:hAnsi="宋体" w:eastAsia="宋体" w:cs="宋体"/>
          <w:color w:val="auto"/>
          <w:highlight w:val="none"/>
        </w:rPr>
      </w:pPr>
    </w:p>
    <w:p w14:paraId="744B9692">
      <w:pPr>
        <w:pStyle w:val="19"/>
        <w:pageBreakBefore w:val="0"/>
        <w:bidi w:val="0"/>
        <w:adjustRightInd w:val="0"/>
        <w:snapToGrid w:val="0"/>
        <w:spacing w:beforeAutospacing="0" w:after="0" w:afterAutospacing="0" w:line="360" w:lineRule="auto"/>
        <w:ind w:left="0" w:leftChars="0" w:right="0" w:firstLine="200"/>
        <w:rPr>
          <w:rFonts w:hint="eastAsia" w:ascii="宋体" w:hAnsi="宋体" w:eastAsia="宋体" w:cs="宋体"/>
          <w:color w:val="auto"/>
          <w:highlight w:val="none"/>
        </w:rPr>
      </w:pPr>
    </w:p>
    <w:p w14:paraId="0258CE22">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8"/>
          <w:szCs w:val="28"/>
          <w:highlight w:val="none"/>
        </w:rPr>
      </w:pPr>
    </w:p>
    <w:p w14:paraId="36CCC664">
      <w:pPr>
        <w:pStyle w:val="19"/>
        <w:pageBreakBefore w:val="0"/>
        <w:bidi w:val="0"/>
        <w:adjustRightInd w:val="0"/>
        <w:snapToGrid w:val="0"/>
        <w:spacing w:beforeAutospacing="0" w:after="0" w:afterAutospacing="0" w:line="360" w:lineRule="auto"/>
        <w:ind w:left="0" w:leftChars="0" w:right="0" w:firstLine="200"/>
        <w:rPr>
          <w:rFonts w:hint="eastAsia" w:ascii="宋体" w:hAnsi="宋体" w:eastAsia="宋体" w:cs="宋体"/>
          <w:color w:val="auto"/>
          <w:highlight w:val="none"/>
        </w:rPr>
      </w:pPr>
    </w:p>
    <w:p w14:paraId="6F76DFB7">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8"/>
          <w:szCs w:val="28"/>
          <w:highlight w:val="none"/>
        </w:rPr>
      </w:pPr>
    </w:p>
    <w:p w14:paraId="2C7BC78D">
      <w:pPr>
        <w:pageBreakBefore w:val="0"/>
        <w:bidi w:val="0"/>
        <w:adjustRightInd w:val="0"/>
        <w:snapToGrid w:val="0"/>
        <w:spacing w:beforeAutospacing="0" w:afterAutospacing="0" w:line="360" w:lineRule="auto"/>
        <w:ind w:left="0" w:leftChars="0" w:right="0" w:firstLine="1405" w:firstLineChars="500"/>
        <w:rPr>
          <w:rFonts w:hint="eastAsia" w:ascii="宋体" w:hAnsi="宋体" w:eastAsia="宋体" w:cs="宋体"/>
          <w:b/>
          <w:bCs/>
          <w:color w:val="auto"/>
          <w:sz w:val="28"/>
          <w:szCs w:val="20"/>
          <w:highlight w:val="none"/>
        </w:rPr>
      </w:pPr>
      <w:r>
        <w:rPr>
          <w:rFonts w:hint="eastAsia" w:ascii="宋体" w:hAnsi="宋体" w:eastAsia="宋体" w:cs="宋体"/>
          <w:b/>
          <w:bCs/>
          <w:color w:val="auto"/>
          <w:sz w:val="28"/>
          <w:szCs w:val="28"/>
          <w:highlight w:val="none"/>
        </w:rPr>
        <w:t>供</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应</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商</w:t>
      </w:r>
      <w:r>
        <w:rPr>
          <w:rFonts w:hint="eastAsia" w:ascii="宋体" w:hAnsi="宋体" w:eastAsia="宋体" w:cs="宋体"/>
          <w:b/>
          <w:bCs/>
          <w:color w:val="auto"/>
          <w:sz w:val="28"/>
          <w:szCs w:val="20"/>
          <w:highlight w:val="none"/>
        </w:rPr>
        <w:t>：</w:t>
      </w:r>
      <w:r>
        <w:rPr>
          <w:rFonts w:hint="eastAsia" w:ascii="宋体" w:hAnsi="宋体" w:eastAsia="宋体" w:cs="宋体"/>
          <w:b/>
          <w:bCs/>
          <w:color w:val="auto"/>
          <w:sz w:val="28"/>
          <w:szCs w:val="20"/>
          <w:highlight w:val="none"/>
          <w:u w:val="single"/>
        </w:rPr>
        <w:t xml:space="preserve">                     </w:t>
      </w:r>
      <w:r>
        <w:rPr>
          <w:rFonts w:hint="eastAsia" w:ascii="宋体" w:hAnsi="宋体" w:eastAsia="宋体" w:cs="宋体"/>
          <w:b/>
          <w:bCs/>
          <w:color w:val="auto"/>
          <w:sz w:val="28"/>
          <w:szCs w:val="20"/>
          <w:highlight w:val="none"/>
        </w:rPr>
        <w:t>（电子签章）</w:t>
      </w:r>
    </w:p>
    <w:p w14:paraId="4B99CA81">
      <w:pPr>
        <w:pageBreakBefore w:val="0"/>
        <w:bidi w:val="0"/>
        <w:adjustRightInd w:val="0"/>
        <w:snapToGrid w:val="0"/>
        <w:spacing w:beforeAutospacing="0" w:afterAutospacing="0" w:line="360" w:lineRule="auto"/>
        <w:ind w:left="0" w:leftChars="0" w:right="0" w:firstLine="1405" w:firstLineChars="500"/>
        <w:jc w:val="left"/>
        <w:rPr>
          <w:rFonts w:hint="eastAsia" w:ascii="宋体" w:hAnsi="宋体" w:eastAsia="宋体" w:cs="宋体"/>
          <w:b/>
          <w:bCs/>
          <w:color w:val="auto"/>
          <w:sz w:val="28"/>
          <w:szCs w:val="20"/>
          <w:highlight w:val="none"/>
        </w:rPr>
      </w:pPr>
      <w:r>
        <w:rPr>
          <w:rFonts w:hint="eastAsia" w:ascii="宋体" w:hAnsi="宋体" w:eastAsia="宋体" w:cs="宋体"/>
          <w:b/>
          <w:bCs/>
          <w:color w:val="auto"/>
          <w:sz w:val="28"/>
          <w:szCs w:val="20"/>
          <w:highlight w:val="none"/>
        </w:rPr>
        <w:t>法定代表人：</w:t>
      </w:r>
      <w:r>
        <w:rPr>
          <w:rFonts w:hint="eastAsia" w:ascii="宋体" w:hAnsi="宋体" w:eastAsia="宋体" w:cs="宋体"/>
          <w:b/>
          <w:bCs/>
          <w:color w:val="auto"/>
          <w:sz w:val="28"/>
          <w:szCs w:val="20"/>
          <w:highlight w:val="none"/>
          <w:u w:val="single"/>
        </w:rPr>
        <w:t xml:space="preserve">                     </w:t>
      </w:r>
      <w:r>
        <w:rPr>
          <w:rFonts w:hint="eastAsia" w:ascii="宋体" w:hAnsi="宋体" w:eastAsia="宋体" w:cs="宋体"/>
          <w:b/>
          <w:bCs/>
          <w:color w:val="auto"/>
          <w:sz w:val="28"/>
          <w:szCs w:val="20"/>
          <w:highlight w:val="none"/>
        </w:rPr>
        <w:t>（电子签章）</w:t>
      </w:r>
    </w:p>
    <w:p w14:paraId="105F574B">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sz w:val="28"/>
          <w:szCs w:val="20"/>
          <w:highlight w:val="none"/>
        </w:rPr>
      </w:pPr>
      <w:r>
        <w:rPr>
          <w:rFonts w:hint="eastAsia" w:ascii="宋体" w:hAnsi="宋体" w:eastAsia="宋体" w:cs="宋体"/>
          <w:b/>
          <w:bCs/>
          <w:color w:val="auto"/>
          <w:sz w:val="28"/>
          <w:szCs w:val="20"/>
          <w:highlight w:val="none"/>
          <w:u w:val="single"/>
        </w:rPr>
        <w:t xml:space="preserve">         </w:t>
      </w:r>
      <w:r>
        <w:rPr>
          <w:rFonts w:hint="eastAsia" w:ascii="宋体" w:hAnsi="宋体" w:eastAsia="宋体" w:cs="宋体"/>
          <w:b/>
          <w:bCs/>
          <w:color w:val="auto"/>
          <w:sz w:val="28"/>
          <w:szCs w:val="20"/>
          <w:highlight w:val="none"/>
        </w:rPr>
        <w:t>年</w:t>
      </w:r>
      <w:r>
        <w:rPr>
          <w:rFonts w:hint="eastAsia" w:ascii="宋体" w:hAnsi="宋体" w:eastAsia="宋体" w:cs="宋体"/>
          <w:b/>
          <w:bCs/>
          <w:color w:val="auto"/>
          <w:sz w:val="28"/>
          <w:szCs w:val="20"/>
          <w:highlight w:val="none"/>
          <w:u w:val="single"/>
        </w:rPr>
        <w:t xml:space="preserve">    </w:t>
      </w:r>
      <w:r>
        <w:rPr>
          <w:rFonts w:hint="eastAsia" w:ascii="宋体" w:hAnsi="宋体" w:eastAsia="宋体" w:cs="宋体"/>
          <w:b/>
          <w:bCs/>
          <w:color w:val="auto"/>
          <w:sz w:val="28"/>
          <w:szCs w:val="20"/>
          <w:highlight w:val="none"/>
        </w:rPr>
        <w:t>月</w:t>
      </w:r>
      <w:r>
        <w:rPr>
          <w:rFonts w:hint="eastAsia" w:ascii="宋体" w:hAnsi="宋体" w:eastAsia="宋体" w:cs="宋体"/>
          <w:b/>
          <w:bCs/>
          <w:color w:val="auto"/>
          <w:sz w:val="28"/>
          <w:szCs w:val="20"/>
          <w:highlight w:val="none"/>
          <w:u w:val="single"/>
        </w:rPr>
        <w:t xml:space="preserve">    </w:t>
      </w:r>
      <w:r>
        <w:rPr>
          <w:rFonts w:hint="eastAsia" w:ascii="宋体" w:hAnsi="宋体" w:eastAsia="宋体" w:cs="宋体"/>
          <w:b/>
          <w:bCs/>
          <w:color w:val="auto"/>
          <w:sz w:val="28"/>
          <w:szCs w:val="20"/>
          <w:highlight w:val="none"/>
        </w:rPr>
        <w:t>日</w:t>
      </w:r>
    </w:p>
    <w:p w14:paraId="69AB640E">
      <w:pPr>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0C438CE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录（自拟）</w:t>
      </w:r>
    </w:p>
    <w:p w14:paraId="457F1414">
      <w:pPr>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32"/>
          <w:szCs w:val="32"/>
          <w:highlight w:val="none"/>
        </w:rPr>
      </w:pPr>
      <w:bookmarkStart w:id="47" w:name="_Toc171073209"/>
      <w:bookmarkEnd w:id="47"/>
      <w:bookmarkStart w:id="48" w:name="_Toc171073044"/>
      <w:bookmarkEnd w:id="48"/>
      <w:bookmarkStart w:id="49" w:name="_Toc169921409"/>
      <w:bookmarkEnd w:id="49"/>
      <w:bookmarkStart w:id="50" w:name="_Toc223432389"/>
      <w:r>
        <w:rPr>
          <w:rFonts w:hint="eastAsia" w:ascii="宋体" w:hAnsi="宋体" w:eastAsia="宋体" w:cs="宋体"/>
          <w:b/>
          <w:bCs/>
          <w:color w:val="auto"/>
          <w:sz w:val="32"/>
          <w:szCs w:val="32"/>
          <w:highlight w:val="none"/>
        </w:rPr>
        <w:br w:type="page"/>
      </w:r>
    </w:p>
    <w:bookmarkEnd w:id="50"/>
    <w:p w14:paraId="5B6FA127">
      <w:pPr>
        <w:pStyle w:val="2"/>
        <w:keepLines w:val="0"/>
        <w:pageBreakBefore w:val="0"/>
        <w:widowControl/>
        <w:bidi w:val="0"/>
        <w:adjustRightInd w:val="0"/>
        <w:snapToGrid w:val="0"/>
        <w:spacing w:before="0" w:beforeAutospacing="0" w:after="0" w:afterAutospacing="0" w:line="360" w:lineRule="auto"/>
        <w:ind w:left="0" w:leftChars="0" w:right="0" w:firstLine="0"/>
        <w:jc w:val="center"/>
        <w:rPr>
          <w:rFonts w:hint="eastAsia" w:ascii="宋体" w:hAnsi="宋体" w:eastAsia="宋体" w:cs="宋体"/>
          <w:b/>
          <w:bCs/>
          <w:color w:val="auto"/>
          <w:sz w:val="24"/>
          <w:szCs w:val="24"/>
          <w:highlight w:val="none"/>
          <w:lang w:eastAsia="zh-CN"/>
        </w:rPr>
      </w:pPr>
      <w:bookmarkStart w:id="51" w:name="_Toc31114"/>
      <w:r>
        <w:rPr>
          <w:rFonts w:hint="eastAsia" w:ascii="宋体" w:hAnsi="宋体" w:eastAsia="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lang w:eastAsia="zh-CN"/>
        </w:rPr>
        <w:t>法定代表人身份证明或（和）法定代表人授权委托书</w:t>
      </w:r>
      <w:bookmarkEnd w:id="51"/>
    </w:p>
    <w:p w14:paraId="7BA5D85D">
      <w:pPr>
        <w:pStyle w:val="4"/>
        <w:pageBreakBefore w:val="0"/>
        <w:bidi w:val="0"/>
        <w:adjustRightInd w:val="0"/>
        <w:snapToGrid w:val="0"/>
        <w:spacing w:before="0" w:beforeAutospacing="0" w:after="0" w:afterAutospacing="0" w:line="360" w:lineRule="auto"/>
        <w:ind w:left="0" w:leftChars="0" w:right="0"/>
        <w:jc w:val="center"/>
        <w:rPr>
          <w:rFonts w:hint="eastAsia" w:ascii="宋体" w:hAnsi="宋体" w:eastAsia="宋体" w:cs="宋体"/>
          <w:color w:val="auto"/>
          <w:sz w:val="28"/>
          <w:szCs w:val="28"/>
          <w:highlight w:val="none"/>
        </w:rPr>
      </w:pPr>
      <w:bookmarkStart w:id="52" w:name="_Toc10031"/>
      <w:bookmarkStart w:id="53" w:name="_Toc5579"/>
      <w:bookmarkStart w:id="54" w:name="_Toc15339"/>
      <w:bookmarkStart w:id="55" w:name="_Toc20568"/>
      <w:bookmarkStart w:id="56" w:name="_Toc44448184"/>
      <w:r>
        <w:rPr>
          <w:rFonts w:hint="eastAsia" w:ascii="宋体" w:hAnsi="宋体" w:eastAsia="宋体" w:cs="宋体"/>
          <w:color w:val="auto"/>
          <w:sz w:val="28"/>
          <w:szCs w:val="28"/>
          <w:highlight w:val="none"/>
        </w:rPr>
        <w:t>（一）法定代表人身份证明</w:t>
      </w:r>
      <w:bookmarkEnd w:id="52"/>
      <w:bookmarkEnd w:id="53"/>
      <w:bookmarkEnd w:id="54"/>
      <w:bookmarkEnd w:id="55"/>
      <w:bookmarkEnd w:id="56"/>
    </w:p>
    <w:p w14:paraId="28C9EF1C">
      <w:pPr>
        <w:pageBreakBefore w:val="0"/>
        <w:tabs>
          <w:tab w:val="left" w:pos="4785"/>
        </w:tabs>
        <w:autoSpaceDE w:val="0"/>
        <w:autoSpaceDN w:val="0"/>
        <w:bidi w:val="0"/>
        <w:adjustRightInd w:val="0"/>
        <w:snapToGrid w:val="0"/>
        <w:spacing w:beforeAutospacing="0" w:afterAutospacing="0" w:line="360" w:lineRule="auto"/>
        <w:ind w:left="0" w:leftChars="0" w:right="0"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u w:val="single"/>
        </w:rPr>
        <w:tab/>
      </w:r>
    </w:p>
    <w:p w14:paraId="5E4D9D80">
      <w:pPr>
        <w:pageBreakBefore w:val="0"/>
        <w:tabs>
          <w:tab w:val="left" w:pos="4785"/>
        </w:tabs>
        <w:autoSpaceDE w:val="0"/>
        <w:autoSpaceDN w:val="0"/>
        <w:bidi w:val="0"/>
        <w:adjustRightInd w:val="0"/>
        <w:snapToGrid w:val="0"/>
        <w:spacing w:beforeAutospacing="0" w:afterAutospacing="0" w:line="360" w:lineRule="auto"/>
        <w:ind w:left="0" w:leftChars="0" w:right="0"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单位性质：</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u w:val="single"/>
        </w:rPr>
        <w:tab/>
      </w:r>
    </w:p>
    <w:p w14:paraId="7C9453B2">
      <w:pPr>
        <w:pageBreakBefore w:val="0"/>
        <w:tabs>
          <w:tab w:val="left" w:pos="4785"/>
        </w:tabs>
        <w:autoSpaceDE w:val="0"/>
        <w:autoSpaceDN w:val="0"/>
        <w:bidi w:val="0"/>
        <w:adjustRightInd w:val="0"/>
        <w:snapToGrid w:val="0"/>
        <w:spacing w:beforeAutospacing="0" w:afterAutospacing="0" w:line="360" w:lineRule="auto"/>
        <w:ind w:left="0" w:leftChars="0" w:right="0"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地    址：</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u w:val="single"/>
        </w:rPr>
        <w:tab/>
      </w:r>
    </w:p>
    <w:p w14:paraId="475E5076">
      <w:pPr>
        <w:pageBreakBefore w:val="0"/>
        <w:tabs>
          <w:tab w:val="left" w:pos="2460"/>
          <w:tab w:val="left" w:pos="3160"/>
          <w:tab w:val="left" w:pos="4200"/>
        </w:tabs>
        <w:autoSpaceDE w:val="0"/>
        <w:autoSpaceDN w:val="0"/>
        <w:bidi w:val="0"/>
        <w:adjustRightInd w:val="0"/>
        <w:snapToGrid w:val="0"/>
        <w:spacing w:beforeAutospacing="0" w:afterAutospacing="0" w:line="360" w:lineRule="auto"/>
        <w:ind w:left="0" w:leftChars="0" w:right="0"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成立时间：</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u w:val="single"/>
        </w:rPr>
        <w:tab/>
      </w:r>
      <w:r>
        <w:rPr>
          <w:rFonts w:hint="eastAsia" w:ascii="宋体" w:hAnsi="宋体" w:eastAsia="宋体" w:cs="宋体"/>
          <w:color w:val="auto"/>
          <w:kern w:val="0"/>
          <w:sz w:val="24"/>
          <w:szCs w:val="20"/>
          <w:highlight w:val="none"/>
        </w:rPr>
        <w:t xml:space="preserve"> 年</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u w:val="single"/>
        </w:rPr>
        <w:tab/>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rPr>
        <w:t>日</w:t>
      </w:r>
    </w:p>
    <w:p w14:paraId="406BED79">
      <w:pPr>
        <w:pageBreakBefore w:val="0"/>
        <w:tabs>
          <w:tab w:val="left" w:pos="4785"/>
        </w:tabs>
        <w:autoSpaceDE w:val="0"/>
        <w:autoSpaceDN w:val="0"/>
        <w:bidi w:val="0"/>
        <w:adjustRightInd w:val="0"/>
        <w:snapToGrid w:val="0"/>
        <w:spacing w:beforeAutospacing="0" w:afterAutospacing="0" w:line="360" w:lineRule="auto"/>
        <w:ind w:left="0" w:leftChars="0" w:right="0"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u w:val="single"/>
        </w:rPr>
        <w:tab/>
      </w:r>
    </w:p>
    <w:p w14:paraId="5557025D">
      <w:pPr>
        <w:pageBreakBefore w:val="0"/>
        <w:tabs>
          <w:tab w:val="left" w:pos="1580"/>
          <w:tab w:val="left" w:pos="3615"/>
          <w:tab w:val="left" w:pos="4840"/>
          <w:tab w:val="left" w:pos="6300"/>
        </w:tabs>
        <w:autoSpaceDE w:val="0"/>
        <w:autoSpaceDN w:val="0"/>
        <w:bidi w:val="0"/>
        <w:adjustRightInd w:val="0"/>
        <w:snapToGrid w:val="0"/>
        <w:spacing w:beforeAutospacing="0" w:afterAutospacing="0" w:line="360" w:lineRule="auto"/>
        <w:ind w:left="0" w:leftChars="0" w:right="0" w:firstLine="480" w:firstLineChars="200"/>
        <w:jc w:val="left"/>
        <w:rPr>
          <w:rFonts w:hint="eastAsia" w:ascii="宋体" w:hAnsi="宋体" w:eastAsia="宋体" w:cs="宋体"/>
          <w:color w:val="auto"/>
          <w:kern w:val="0"/>
          <w:sz w:val="24"/>
          <w:szCs w:val="20"/>
          <w:highlight w:val="none"/>
          <w:u w:val="single"/>
        </w:rPr>
      </w:pPr>
      <w:r>
        <w:rPr>
          <w:rFonts w:hint="eastAsia" w:ascii="宋体" w:hAnsi="宋体" w:eastAsia="宋体" w:cs="宋体"/>
          <w:color w:val="auto"/>
          <w:kern w:val="0"/>
          <w:sz w:val="24"/>
          <w:szCs w:val="20"/>
          <w:highlight w:val="none"/>
        </w:rPr>
        <w:t>姓    名：</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rPr>
        <w:t xml:space="preserve"> 年龄：</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 w:val="24"/>
          <w:szCs w:val="20"/>
          <w:highlight w:val="none"/>
          <w:u w:val="single"/>
        </w:rPr>
        <w:t xml:space="preserve">          </w:t>
      </w:r>
    </w:p>
    <w:p w14:paraId="55A17EE1">
      <w:pPr>
        <w:pageBreakBefore w:val="0"/>
        <w:tabs>
          <w:tab w:val="left" w:pos="4080"/>
        </w:tabs>
        <w:autoSpaceDE w:val="0"/>
        <w:autoSpaceDN w:val="0"/>
        <w:bidi w:val="0"/>
        <w:adjustRightInd w:val="0"/>
        <w:snapToGrid w:val="0"/>
        <w:spacing w:beforeAutospacing="0" w:afterAutospacing="0" w:line="360" w:lineRule="auto"/>
        <w:ind w:left="0" w:leftChars="0" w:right="0"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u w:val="single"/>
        </w:rPr>
        <w:tab/>
      </w:r>
      <w:r>
        <w:rPr>
          <w:rFonts w:hint="eastAsia" w:ascii="宋体" w:hAnsi="宋体" w:eastAsia="宋体" w:cs="宋体"/>
          <w:color w:val="auto"/>
          <w:kern w:val="0"/>
          <w:sz w:val="24"/>
          <w:szCs w:val="20"/>
          <w:highlight w:val="none"/>
        </w:rPr>
        <w:t>（投标人名称）的法定代表人。</w:t>
      </w:r>
    </w:p>
    <w:p w14:paraId="522B9206">
      <w:pPr>
        <w:pageBreakBefore w:val="0"/>
        <w:autoSpaceDE w:val="0"/>
        <w:autoSpaceDN w:val="0"/>
        <w:bidi w:val="0"/>
        <w:adjustRightInd w:val="0"/>
        <w:snapToGrid w:val="0"/>
        <w:spacing w:beforeAutospacing="0" w:afterAutospacing="0" w:line="360" w:lineRule="auto"/>
        <w:ind w:left="0" w:leftChars="0" w:right="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6E2F985E">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szCs w:val="18"/>
          <w:highlight w:val="none"/>
        </w:rPr>
      </w:pPr>
      <w:r>
        <w:rPr>
          <w:rFonts w:hint="eastAsia" w:ascii="宋体" w:hAnsi="宋体" w:eastAsia="宋体" w:cs="宋体"/>
          <w:b w:val="0"/>
          <w:bCs w:val="0"/>
          <w:color w:val="auto"/>
          <w:sz w:val="24"/>
          <w:szCs w:val="24"/>
          <w:highlight w:val="none"/>
        </w:rPr>
        <w:t>供</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应</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商</w:t>
      </w:r>
      <w:r>
        <w:rPr>
          <w:rFonts w:hint="eastAsia" w:ascii="宋体" w:hAnsi="宋体" w:eastAsia="宋体" w:cs="宋体"/>
          <w:b w:val="0"/>
          <w:bCs w:val="0"/>
          <w:color w:val="auto"/>
          <w:sz w:val="24"/>
          <w:szCs w:val="18"/>
          <w:highlight w:val="none"/>
        </w:rPr>
        <w:t>：</w:t>
      </w:r>
      <w:r>
        <w:rPr>
          <w:rFonts w:hint="eastAsia" w:ascii="宋体" w:hAnsi="宋体" w:eastAsia="宋体" w:cs="宋体"/>
          <w:b w:val="0"/>
          <w:bCs w:val="0"/>
          <w:color w:val="auto"/>
          <w:sz w:val="24"/>
          <w:szCs w:val="18"/>
          <w:highlight w:val="none"/>
          <w:u w:val="single"/>
        </w:rPr>
        <w:t xml:space="preserve">                     </w:t>
      </w:r>
      <w:r>
        <w:rPr>
          <w:rFonts w:hint="eastAsia" w:ascii="宋体" w:hAnsi="宋体" w:eastAsia="宋体" w:cs="宋体"/>
          <w:b w:val="0"/>
          <w:bCs w:val="0"/>
          <w:color w:val="auto"/>
          <w:sz w:val="24"/>
          <w:szCs w:val="18"/>
          <w:highlight w:val="none"/>
        </w:rPr>
        <w:t>（电子签章）</w:t>
      </w:r>
    </w:p>
    <w:p w14:paraId="41EF2076">
      <w:pPr>
        <w:pageBreakBefore w:val="0"/>
        <w:autoSpaceDE w:val="0"/>
        <w:autoSpaceDN w:val="0"/>
        <w:bidi w:val="0"/>
        <w:adjustRightInd w:val="0"/>
        <w:snapToGrid w:val="0"/>
        <w:spacing w:beforeAutospacing="0" w:afterAutospacing="0" w:line="360" w:lineRule="auto"/>
        <w:ind w:left="0" w:leftChars="0" w:right="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w:t>
      </w:r>
    </w:p>
    <w:p w14:paraId="7781A58B">
      <w:pPr>
        <w:pageBreakBefore w:val="0"/>
        <w:autoSpaceDE w:val="0"/>
        <w:autoSpaceDN w:val="0"/>
        <w:bidi w:val="0"/>
        <w:adjustRightInd w:val="0"/>
        <w:snapToGrid w:val="0"/>
        <w:spacing w:beforeAutospacing="0" w:afterAutospacing="0" w:line="360" w:lineRule="auto"/>
        <w:ind w:left="0" w:leftChars="0" w:right="0"/>
        <w:jc w:val="left"/>
        <w:rPr>
          <w:rFonts w:hint="eastAsia" w:ascii="宋体" w:hAnsi="宋体" w:eastAsia="宋体" w:cs="宋体"/>
          <w:color w:val="auto"/>
          <w:kern w:val="0"/>
          <w:sz w:val="24"/>
          <w:highlight w:val="none"/>
        </w:rPr>
      </w:pPr>
    </w:p>
    <w:tbl>
      <w:tblPr>
        <w:tblStyle w:val="21"/>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961"/>
        <w:gridCol w:w="4961"/>
      </w:tblGrid>
      <w:tr w14:paraId="6FC12608">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3266" w:hRule="atLeast"/>
          <w:jc w:val="center"/>
        </w:trPr>
        <w:tc>
          <w:tcPr>
            <w:tcW w:w="4961" w:type="dxa"/>
            <w:noWrap w:val="0"/>
            <w:vAlign w:val="center"/>
          </w:tcPr>
          <w:p w14:paraId="7905448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0"/>
                <w:highlight w:val="none"/>
              </w:rPr>
            </w:pPr>
            <w:r>
              <w:rPr>
                <w:rFonts w:hint="eastAsia" w:ascii="宋体" w:hAnsi="宋体" w:eastAsia="宋体" w:cs="宋体"/>
                <w:color w:val="auto"/>
                <w:spacing w:val="8"/>
                <w:sz w:val="24"/>
                <w:szCs w:val="20"/>
                <w:highlight w:val="none"/>
              </w:rPr>
              <w:t>法定代表人身份证扫描件（正面）</w:t>
            </w:r>
          </w:p>
          <w:p w14:paraId="2822BC77">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0"/>
                <w:highlight w:val="none"/>
              </w:rPr>
            </w:pPr>
          </w:p>
        </w:tc>
        <w:tc>
          <w:tcPr>
            <w:tcW w:w="4961" w:type="dxa"/>
            <w:noWrap w:val="0"/>
            <w:vAlign w:val="center"/>
          </w:tcPr>
          <w:p w14:paraId="7E729AF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0"/>
                <w:highlight w:val="none"/>
              </w:rPr>
            </w:pPr>
            <w:r>
              <w:rPr>
                <w:rFonts w:hint="eastAsia" w:ascii="宋体" w:hAnsi="宋体" w:eastAsia="宋体" w:cs="宋体"/>
                <w:color w:val="auto"/>
                <w:spacing w:val="8"/>
                <w:sz w:val="24"/>
                <w:szCs w:val="20"/>
                <w:highlight w:val="none"/>
              </w:rPr>
              <w:t>法定代表人身份证扫描件（反面）</w:t>
            </w:r>
          </w:p>
          <w:p w14:paraId="6D8F4D19">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0"/>
                <w:highlight w:val="none"/>
              </w:rPr>
            </w:pPr>
          </w:p>
        </w:tc>
      </w:tr>
    </w:tbl>
    <w:p w14:paraId="5E576EF8">
      <w:pPr>
        <w:pageBreakBefore w:val="0"/>
        <w:widowControl/>
        <w:bidi w:val="0"/>
        <w:adjustRightInd w:val="0"/>
        <w:snapToGrid w:val="0"/>
        <w:spacing w:beforeAutospacing="0" w:afterAutospacing="0" w:line="360" w:lineRule="auto"/>
        <w:ind w:left="0" w:leftChars="0" w:right="0"/>
        <w:jc w:val="left"/>
        <w:rPr>
          <w:rFonts w:hint="eastAsia" w:ascii="宋体" w:hAnsi="宋体" w:eastAsia="宋体" w:cs="宋体"/>
          <w:b/>
          <w:bCs/>
          <w:color w:val="auto"/>
          <w:sz w:val="30"/>
          <w:szCs w:val="30"/>
          <w:highlight w:val="none"/>
        </w:rPr>
      </w:pPr>
      <w:bookmarkStart w:id="57" w:name="_Toc10052"/>
    </w:p>
    <w:p w14:paraId="1D268AFF">
      <w:pPr>
        <w:pageBreakBefore w:val="0"/>
        <w:widowControl/>
        <w:bidi w:val="0"/>
        <w:adjustRightInd w:val="0"/>
        <w:snapToGrid w:val="0"/>
        <w:spacing w:beforeAutospacing="0" w:afterAutospacing="0" w:line="360" w:lineRule="auto"/>
        <w:ind w:left="0" w:leftChars="0" w:right="0"/>
        <w:jc w:val="left"/>
        <w:rPr>
          <w:rFonts w:hint="eastAsia" w:ascii="宋体" w:hAnsi="宋体" w:eastAsia="宋体" w:cs="宋体"/>
          <w:b/>
          <w:bCs/>
          <w:color w:val="auto"/>
          <w:sz w:val="24"/>
          <w:szCs w:val="24"/>
          <w:highlight w:val="none"/>
        </w:rPr>
      </w:pPr>
    </w:p>
    <w:p w14:paraId="5C029E5E">
      <w:pPr>
        <w:pageBreakBefore w:val="0"/>
        <w:widowControl/>
        <w:bidi w:val="0"/>
        <w:adjustRightInd w:val="0"/>
        <w:snapToGrid w:val="0"/>
        <w:spacing w:beforeAutospacing="0" w:afterAutospacing="0" w:line="360" w:lineRule="auto"/>
        <w:ind w:left="0" w:leftChars="0" w:right="0"/>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2F052612">
      <w:pPr>
        <w:pStyle w:val="4"/>
        <w:pageBreakBefore w:val="0"/>
        <w:bidi w:val="0"/>
        <w:adjustRightInd w:val="0"/>
        <w:snapToGrid w:val="0"/>
        <w:spacing w:before="0" w:beforeAutospacing="0" w:after="0" w:afterAutospacing="0" w:line="360" w:lineRule="auto"/>
        <w:ind w:left="0" w:leftChars="0" w:right="0"/>
        <w:jc w:val="center"/>
        <w:rPr>
          <w:rFonts w:hint="eastAsia" w:ascii="宋体" w:hAnsi="宋体" w:eastAsia="宋体" w:cs="宋体"/>
          <w:color w:val="auto"/>
          <w:sz w:val="28"/>
          <w:szCs w:val="28"/>
          <w:highlight w:val="none"/>
        </w:rPr>
      </w:pPr>
      <w:bookmarkStart w:id="58" w:name="_Toc12835"/>
      <w:bookmarkStart w:id="59" w:name="_Toc26437"/>
      <w:bookmarkStart w:id="60" w:name="_Toc31698"/>
      <w:bookmarkStart w:id="61" w:name="_Toc29413"/>
      <w:bookmarkStart w:id="62" w:name="_Toc44448185"/>
      <w:r>
        <w:rPr>
          <w:rFonts w:hint="eastAsia" w:ascii="宋体" w:hAnsi="宋体" w:eastAsia="宋体" w:cs="宋体"/>
          <w:color w:val="auto"/>
          <w:sz w:val="28"/>
          <w:szCs w:val="28"/>
          <w:highlight w:val="none"/>
        </w:rPr>
        <w:t>（二）法定代表人授权委托书</w:t>
      </w:r>
      <w:bookmarkEnd w:id="57"/>
      <w:bookmarkEnd w:id="58"/>
      <w:bookmarkEnd w:id="59"/>
      <w:bookmarkEnd w:id="60"/>
      <w:bookmarkEnd w:id="61"/>
      <w:bookmarkEnd w:id="62"/>
    </w:p>
    <w:p w14:paraId="149B6C6D">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pacing w:val="24"/>
          <w:sz w:val="24"/>
          <w:szCs w:val="24"/>
          <w:highlight w:val="none"/>
          <w:u w:val="single"/>
        </w:rPr>
        <w:t xml:space="preserve">     </w:t>
      </w:r>
      <w:r>
        <w:rPr>
          <w:rFonts w:hint="eastAsia" w:ascii="宋体" w:hAnsi="宋体" w:eastAsia="宋体" w:cs="宋体"/>
          <w:color w:val="auto"/>
          <w:spacing w:val="24"/>
          <w:sz w:val="24"/>
          <w:szCs w:val="24"/>
          <w:highlight w:val="none"/>
          <w:u w:val="single"/>
          <w:lang w:val="en-US" w:eastAsia="zh-CN"/>
        </w:rPr>
        <w:t xml:space="preserve">  </w:t>
      </w:r>
      <w:r>
        <w:rPr>
          <w:rFonts w:hint="eastAsia" w:ascii="宋体" w:hAnsi="宋体" w:eastAsia="宋体" w:cs="宋体"/>
          <w:color w:val="auto"/>
          <w:spacing w:val="24"/>
          <w:sz w:val="24"/>
          <w:szCs w:val="24"/>
          <w:highlight w:val="none"/>
          <w:u w:val="none"/>
        </w:rPr>
        <w:t>（采购人）</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 xml:space="preserve"> </w:t>
      </w:r>
    </w:p>
    <w:p w14:paraId="19D7A165">
      <w:pPr>
        <w:pageBreakBefore w:val="0"/>
        <w:tabs>
          <w:tab w:val="left" w:pos="2040"/>
          <w:tab w:val="left" w:pos="4785"/>
          <w:tab w:val="left" w:pos="4815"/>
          <w:tab w:val="left" w:pos="8000"/>
        </w:tabs>
        <w:autoSpaceDE w:val="0"/>
        <w:autoSpaceDN w:val="0"/>
        <w:bidi w:val="0"/>
        <w:adjustRightInd w:val="0"/>
        <w:snapToGrid w:val="0"/>
        <w:spacing w:beforeAutospacing="0" w:afterAutospacing="0" w:line="360" w:lineRule="auto"/>
        <w:ind w:left="0" w:leftChars="0" w:right="0" w:firstLine="420"/>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本人</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rPr>
        <w:t>（姓名）系</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名称）的法定代表人，现委托</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rPr>
        <w:t>（姓名）为我方代理人。代理人根据授权，以我方名义签署、澄清、说明、补正、递交、撤回、 修改</w:t>
      </w:r>
      <w:r>
        <w:rPr>
          <w:rFonts w:hint="eastAsia" w:ascii="宋体" w:hAnsi="宋体" w:eastAsia="宋体" w:cs="宋体"/>
          <w:color w:val="auto"/>
          <w:kern w:val="0"/>
          <w:sz w:val="24"/>
          <w:szCs w:val="20"/>
          <w:highlight w:val="none"/>
          <w:u w:val="single"/>
          <w:lang w:val="zh-CN"/>
        </w:rPr>
        <w:t xml:space="preserve">             </w:t>
      </w:r>
      <w:r>
        <w:rPr>
          <w:rFonts w:hint="eastAsia" w:ascii="宋体" w:hAnsi="宋体" w:eastAsia="宋体" w:cs="宋体"/>
          <w:color w:val="auto"/>
          <w:kern w:val="0"/>
          <w:sz w:val="24"/>
          <w:szCs w:val="20"/>
          <w:highlight w:val="none"/>
        </w:rPr>
        <w:t>（项目名称）</w:t>
      </w:r>
      <w:r>
        <w:rPr>
          <w:rFonts w:hint="eastAsia" w:ascii="宋体" w:hAnsi="宋体" w:eastAsia="宋体" w:cs="宋体"/>
          <w:color w:val="auto"/>
          <w:kern w:val="0"/>
          <w:sz w:val="24"/>
          <w:szCs w:val="20"/>
          <w:highlight w:val="none"/>
          <w:u w:val="single"/>
          <w:lang w:val="zh-CN"/>
        </w:rPr>
        <w:t xml:space="preserve">          </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rPr>
        <w:t>（标段）投标文件、签订合同和处理有关事宜，其法律后果由我方承担。</w:t>
      </w:r>
    </w:p>
    <w:p w14:paraId="2B25D96C">
      <w:pPr>
        <w:pageBreakBefore w:val="0"/>
        <w:tabs>
          <w:tab w:val="left" w:pos="2940"/>
        </w:tabs>
        <w:autoSpaceDE w:val="0"/>
        <w:autoSpaceDN w:val="0"/>
        <w:bidi w:val="0"/>
        <w:adjustRightInd w:val="0"/>
        <w:snapToGrid w:val="0"/>
        <w:spacing w:beforeAutospacing="0" w:afterAutospacing="0" w:line="360" w:lineRule="auto"/>
        <w:ind w:left="0" w:leftChars="0" w:right="0" w:firstLine="1"/>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 xml:space="preserve">代理人无转委托权。 </w:t>
      </w:r>
    </w:p>
    <w:p w14:paraId="23F7E143">
      <w:pPr>
        <w:pageBreakBefore w:val="0"/>
        <w:tabs>
          <w:tab w:val="left" w:pos="2040"/>
          <w:tab w:val="left" w:pos="4785"/>
          <w:tab w:val="left" w:pos="4815"/>
          <w:tab w:val="left" w:pos="8000"/>
        </w:tabs>
        <w:autoSpaceDE w:val="0"/>
        <w:autoSpaceDN w:val="0"/>
        <w:bidi w:val="0"/>
        <w:adjustRightInd w:val="0"/>
        <w:snapToGrid w:val="0"/>
        <w:spacing w:beforeAutospacing="0" w:afterAutospacing="0" w:line="360" w:lineRule="auto"/>
        <w:ind w:left="0" w:leftChars="0" w:right="0" w:firstLine="420"/>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附：法定代表人及委托代理人有效身份证复印件</w:t>
      </w:r>
    </w:p>
    <w:p w14:paraId="58BFF089">
      <w:pPr>
        <w:pageBreakBefore w:val="0"/>
        <w:tabs>
          <w:tab w:val="left" w:pos="2040"/>
          <w:tab w:val="left" w:pos="4785"/>
          <w:tab w:val="left" w:pos="4815"/>
          <w:tab w:val="left" w:pos="8000"/>
        </w:tabs>
        <w:autoSpaceDE w:val="0"/>
        <w:autoSpaceDN w:val="0"/>
        <w:bidi w:val="0"/>
        <w:adjustRightInd w:val="0"/>
        <w:snapToGrid w:val="0"/>
        <w:spacing w:beforeAutospacing="0" w:afterAutospacing="0" w:line="360" w:lineRule="auto"/>
        <w:ind w:left="0" w:leftChars="0" w:right="0" w:firstLine="420"/>
        <w:rPr>
          <w:rFonts w:hint="eastAsia" w:ascii="宋体" w:hAnsi="宋体" w:eastAsia="宋体" w:cs="宋体"/>
          <w:color w:val="auto"/>
          <w:kern w:val="0"/>
          <w:sz w:val="24"/>
          <w:szCs w:val="20"/>
          <w:highlight w:val="none"/>
        </w:rPr>
      </w:pPr>
    </w:p>
    <w:p w14:paraId="5BAB320B">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b w:val="0"/>
          <w:bCs w:val="0"/>
          <w:color w:val="auto"/>
          <w:sz w:val="24"/>
          <w:szCs w:val="18"/>
          <w:highlight w:val="none"/>
        </w:rPr>
      </w:pPr>
      <w:r>
        <w:rPr>
          <w:rFonts w:hint="eastAsia" w:ascii="宋体" w:hAnsi="宋体" w:eastAsia="宋体" w:cs="宋体"/>
          <w:b w:val="0"/>
          <w:bCs w:val="0"/>
          <w:color w:val="auto"/>
          <w:sz w:val="24"/>
          <w:szCs w:val="24"/>
          <w:highlight w:val="none"/>
        </w:rPr>
        <w:t>供</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应</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商</w:t>
      </w:r>
      <w:r>
        <w:rPr>
          <w:rFonts w:hint="eastAsia" w:ascii="宋体" w:hAnsi="宋体" w:eastAsia="宋体" w:cs="宋体"/>
          <w:b w:val="0"/>
          <w:bCs w:val="0"/>
          <w:color w:val="auto"/>
          <w:sz w:val="24"/>
          <w:szCs w:val="18"/>
          <w:highlight w:val="none"/>
        </w:rPr>
        <w:t>：</w:t>
      </w:r>
      <w:r>
        <w:rPr>
          <w:rFonts w:hint="eastAsia" w:ascii="宋体" w:hAnsi="宋体" w:eastAsia="宋体" w:cs="宋体"/>
          <w:b w:val="0"/>
          <w:bCs w:val="0"/>
          <w:color w:val="auto"/>
          <w:sz w:val="24"/>
          <w:szCs w:val="18"/>
          <w:highlight w:val="none"/>
          <w:u w:val="single"/>
        </w:rPr>
        <w:t xml:space="preserve">                     </w:t>
      </w:r>
      <w:r>
        <w:rPr>
          <w:rFonts w:hint="eastAsia" w:ascii="宋体" w:hAnsi="宋体" w:eastAsia="宋体" w:cs="宋体"/>
          <w:b w:val="0"/>
          <w:bCs w:val="0"/>
          <w:color w:val="auto"/>
          <w:sz w:val="24"/>
          <w:szCs w:val="18"/>
          <w:highlight w:val="none"/>
        </w:rPr>
        <w:t>（电子签章）</w:t>
      </w:r>
    </w:p>
    <w:p w14:paraId="393437E3">
      <w:pPr>
        <w:pageBreakBefore w:val="0"/>
        <w:bidi w:val="0"/>
        <w:adjustRightInd w:val="0"/>
        <w:snapToGrid w:val="0"/>
        <w:spacing w:beforeAutospacing="0" w:afterAutospacing="0" w:line="360" w:lineRule="auto"/>
        <w:ind w:left="0" w:leftChars="0" w:right="0" w:firstLine="480" w:firstLineChars="200"/>
        <w:jc w:val="left"/>
        <w:rPr>
          <w:rFonts w:hint="eastAsia" w:ascii="宋体" w:hAnsi="宋体" w:eastAsia="宋体" w:cs="宋体"/>
          <w:b w:val="0"/>
          <w:bCs w:val="0"/>
          <w:color w:val="auto"/>
          <w:sz w:val="24"/>
          <w:szCs w:val="18"/>
          <w:highlight w:val="none"/>
        </w:rPr>
      </w:pPr>
      <w:r>
        <w:rPr>
          <w:rFonts w:hint="eastAsia" w:ascii="宋体" w:hAnsi="宋体" w:eastAsia="宋体" w:cs="宋体"/>
          <w:b w:val="0"/>
          <w:bCs w:val="0"/>
          <w:color w:val="auto"/>
          <w:sz w:val="24"/>
          <w:szCs w:val="18"/>
          <w:highlight w:val="none"/>
        </w:rPr>
        <w:t>法定代表人：</w:t>
      </w:r>
      <w:r>
        <w:rPr>
          <w:rFonts w:hint="eastAsia" w:ascii="宋体" w:hAnsi="宋体" w:eastAsia="宋体" w:cs="宋体"/>
          <w:b w:val="0"/>
          <w:bCs w:val="0"/>
          <w:color w:val="auto"/>
          <w:sz w:val="24"/>
          <w:szCs w:val="18"/>
          <w:highlight w:val="none"/>
          <w:u w:val="single"/>
        </w:rPr>
        <w:t xml:space="preserve">                     </w:t>
      </w:r>
      <w:r>
        <w:rPr>
          <w:rFonts w:hint="eastAsia" w:ascii="宋体" w:hAnsi="宋体" w:eastAsia="宋体" w:cs="宋体"/>
          <w:b w:val="0"/>
          <w:bCs w:val="0"/>
          <w:color w:val="auto"/>
          <w:sz w:val="24"/>
          <w:szCs w:val="18"/>
          <w:highlight w:val="none"/>
        </w:rPr>
        <w:t>（电子签章）</w:t>
      </w:r>
    </w:p>
    <w:p w14:paraId="12F7EB81">
      <w:pPr>
        <w:pageBreakBefore w:val="0"/>
        <w:autoSpaceDE w:val="0"/>
        <w:autoSpaceDN w:val="0"/>
        <w:bidi w:val="0"/>
        <w:adjustRightInd w:val="0"/>
        <w:snapToGrid w:val="0"/>
        <w:spacing w:beforeAutospacing="0" w:afterAutospacing="0" w:line="360" w:lineRule="auto"/>
        <w:ind w:left="0" w:leftChars="0" w:right="0"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日期：</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u w:val="single"/>
          <w:lang w:val="en-US" w:eastAsia="zh-CN"/>
        </w:rPr>
        <w:t xml:space="preserve">  </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u w:val="single"/>
          <w:lang w:val="en-US" w:eastAsia="zh-CN"/>
        </w:rPr>
        <w:t xml:space="preserve">  </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rPr>
        <w:t>日</w:t>
      </w:r>
    </w:p>
    <w:p w14:paraId="7F4AFD2E">
      <w:pPr>
        <w:pageBreakBefore w:val="0"/>
        <w:autoSpaceDE w:val="0"/>
        <w:autoSpaceDN w:val="0"/>
        <w:bidi w:val="0"/>
        <w:adjustRightInd w:val="0"/>
        <w:snapToGrid w:val="0"/>
        <w:spacing w:beforeAutospacing="0" w:afterAutospacing="0" w:line="360" w:lineRule="auto"/>
        <w:ind w:left="0" w:leftChars="0" w:right="0" w:firstLine="480" w:firstLineChars="200"/>
        <w:jc w:val="left"/>
        <w:rPr>
          <w:rFonts w:hint="eastAsia" w:ascii="宋体" w:hAnsi="宋体" w:eastAsia="宋体" w:cs="宋体"/>
          <w:color w:val="auto"/>
          <w:kern w:val="0"/>
          <w:sz w:val="24"/>
          <w:szCs w:val="20"/>
          <w:highlight w:val="none"/>
        </w:rPr>
      </w:pPr>
    </w:p>
    <w:tbl>
      <w:tblPr>
        <w:tblStyle w:val="21"/>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796"/>
        <w:gridCol w:w="4796"/>
      </w:tblGrid>
      <w:tr w14:paraId="619892A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19" w:hRule="atLeast"/>
          <w:jc w:val="center"/>
        </w:trPr>
        <w:tc>
          <w:tcPr>
            <w:tcW w:w="4796" w:type="dxa"/>
            <w:noWrap w:val="0"/>
            <w:vAlign w:val="center"/>
          </w:tcPr>
          <w:p w14:paraId="3BEC11EE">
            <w:pPr>
              <w:pageBreakBefore w:val="0"/>
              <w:autoSpaceDE w:val="0"/>
              <w:autoSpaceDN w:val="0"/>
              <w:bidi w:val="0"/>
              <w:adjustRightInd w:val="0"/>
              <w:snapToGrid w:val="0"/>
              <w:spacing w:beforeAutospacing="0" w:afterAutospacing="0" w:line="360" w:lineRule="auto"/>
              <w:ind w:left="0" w:leftChars="0" w:right="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法定代表人身份证</w:t>
            </w:r>
            <w:r>
              <w:rPr>
                <w:rFonts w:hint="eastAsia" w:ascii="宋体" w:hAnsi="宋体" w:eastAsia="宋体" w:cs="宋体"/>
                <w:color w:val="auto"/>
                <w:spacing w:val="8"/>
                <w:sz w:val="24"/>
                <w:szCs w:val="20"/>
                <w:highlight w:val="none"/>
              </w:rPr>
              <w:t>扫描件（正面）</w:t>
            </w:r>
          </w:p>
          <w:p w14:paraId="1BE58F0A">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0"/>
                <w:highlight w:val="none"/>
              </w:rPr>
            </w:pPr>
          </w:p>
        </w:tc>
        <w:tc>
          <w:tcPr>
            <w:tcW w:w="4796" w:type="dxa"/>
            <w:noWrap w:val="0"/>
            <w:vAlign w:val="center"/>
          </w:tcPr>
          <w:p w14:paraId="02A00ED1">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法定代表人身份证</w:t>
            </w:r>
            <w:r>
              <w:rPr>
                <w:rFonts w:hint="eastAsia" w:ascii="宋体" w:hAnsi="宋体" w:eastAsia="宋体" w:cs="宋体"/>
                <w:color w:val="auto"/>
                <w:spacing w:val="8"/>
                <w:sz w:val="24"/>
                <w:szCs w:val="20"/>
                <w:highlight w:val="none"/>
              </w:rPr>
              <w:t>扫描件（反面）</w:t>
            </w:r>
          </w:p>
          <w:p w14:paraId="3B841319">
            <w:pPr>
              <w:pageBreakBefore w:val="0"/>
              <w:autoSpaceDE w:val="0"/>
              <w:autoSpaceDN w:val="0"/>
              <w:bidi w:val="0"/>
              <w:adjustRightInd w:val="0"/>
              <w:snapToGrid w:val="0"/>
              <w:spacing w:beforeAutospacing="0" w:afterAutospacing="0" w:line="360" w:lineRule="auto"/>
              <w:ind w:left="0" w:leftChars="0" w:right="0"/>
              <w:jc w:val="left"/>
              <w:rPr>
                <w:rFonts w:hint="eastAsia" w:ascii="宋体" w:hAnsi="宋体" w:eastAsia="宋体" w:cs="宋体"/>
                <w:color w:val="auto"/>
                <w:kern w:val="0"/>
                <w:sz w:val="24"/>
                <w:szCs w:val="20"/>
                <w:highlight w:val="none"/>
              </w:rPr>
            </w:pPr>
          </w:p>
        </w:tc>
      </w:tr>
    </w:tbl>
    <w:p w14:paraId="0BA4EFA7">
      <w:pPr>
        <w:pageBreakBefore w:val="0"/>
        <w:bidi w:val="0"/>
        <w:adjustRightInd w:val="0"/>
        <w:snapToGrid w:val="0"/>
        <w:spacing w:beforeAutospacing="0" w:afterAutospacing="0" w:line="360" w:lineRule="auto"/>
        <w:ind w:left="0" w:leftChars="0" w:right="0"/>
        <w:rPr>
          <w:rFonts w:hint="eastAsia" w:ascii="宋体" w:hAnsi="宋体" w:eastAsia="宋体" w:cs="宋体"/>
          <w:vanish/>
          <w:color w:val="auto"/>
          <w:highlight w:val="none"/>
        </w:rPr>
      </w:pPr>
    </w:p>
    <w:tbl>
      <w:tblPr>
        <w:tblStyle w:val="21"/>
        <w:tblpPr w:leftFromText="180" w:rightFromText="180" w:vertAnchor="text" w:horzAnchor="margin" w:tblpY="258"/>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781"/>
        <w:gridCol w:w="4781"/>
      </w:tblGrid>
      <w:tr w14:paraId="060A2AF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48" w:hRule="atLeast"/>
        </w:trPr>
        <w:tc>
          <w:tcPr>
            <w:tcW w:w="4781" w:type="dxa"/>
            <w:noWrap w:val="0"/>
            <w:vAlign w:val="center"/>
          </w:tcPr>
          <w:p w14:paraId="38EB60BB">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spacing w:val="8"/>
                <w:sz w:val="24"/>
                <w:szCs w:val="20"/>
                <w:highlight w:val="none"/>
              </w:rPr>
            </w:pPr>
            <w:r>
              <w:rPr>
                <w:rFonts w:hint="eastAsia" w:ascii="宋体" w:hAnsi="宋体" w:eastAsia="宋体" w:cs="宋体"/>
                <w:color w:val="auto"/>
                <w:spacing w:val="8"/>
                <w:sz w:val="24"/>
                <w:szCs w:val="20"/>
                <w:highlight w:val="none"/>
              </w:rPr>
              <w:t>被授权委托人身份证扫描件（正面）</w:t>
            </w:r>
          </w:p>
          <w:p w14:paraId="49FF6171">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0"/>
                <w:highlight w:val="none"/>
              </w:rPr>
            </w:pPr>
          </w:p>
        </w:tc>
        <w:tc>
          <w:tcPr>
            <w:tcW w:w="4781" w:type="dxa"/>
            <w:noWrap w:val="0"/>
            <w:vAlign w:val="center"/>
          </w:tcPr>
          <w:p w14:paraId="78914E2B">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spacing w:val="8"/>
                <w:sz w:val="24"/>
                <w:szCs w:val="20"/>
                <w:highlight w:val="none"/>
              </w:rPr>
            </w:pPr>
            <w:r>
              <w:rPr>
                <w:rFonts w:hint="eastAsia" w:ascii="宋体" w:hAnsi="宋体" w:eastAsia="宋体" w:cs="宋体"/>
                <w:color w:val="auto"/>
                <w:spacing w:val="8"/>
                <w:sz w:val="24"/>
                <w:szCs w:val="20"/>
                <w:highlight w:val="none"/>
              </w:rPr>
              <w:t>被授权委托人身份证扫描件（反面）</w:t>
            </w:r>
          </w:p>
          <w:p w14:paraId="0F46BC37">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0"/>
                <w:highlight w:val="none"/>
              </w:rPr>
            </w:pPr>
          </w:p>
        </w:tc>
      </w:tr>
    </w:tbl>
    <w:p w14:paraId="06DEFA86">
      <w:pPr>
        <w:pageBreakBefore w:val="0"/>
        <w:tabs>
          <w:tab w:val="left" w:pos="5835"/>
        </w:tabs>
        <w:autoSpaceDE w:val="0"/>
        <w:autoSpaceDN w:val="0"/>
        <w:bidi w:val="0"/>
        <w:adjustRightInd w:val="0"/>
        <w:snapToGrid w:val="0"/>
        <w:spacing w:beforeAutospacing="0" w:afterAutospacing="0" w:line="360" w:lineRule="auto"/>
        <w:ind w:left="0" w:leftChars="0" w:right="0"/>
        <w:jc w:val="left"/>
        <w:rPr>
          <w:rFonts w:hint="eastAsia" w:ascii="宋体" w:hAnsi="宋体" w:eastAsia="宋体" w:cs="宋体"/>
          <w:color w:val="auto"/>
          <w:kern w:val="0"/>
          <w:sz w:val="24"/>
          <w:szCs w:val="20"/>
          <w:highlight w:val="none"/>
        </w:rPr>
      </w:pPr>
    </w:p>
    <w:p w14:paraId="170FC237">
      <w:pPr>
        <w:pageBreakBefore w:val="0"/>
        <w:bidi w:val="0"/>
        <w:adjustRightInd w:val="0"/>
        <w:snapToGrid w:val="0"/>
        <w:spacing w:beforeAutospacing="0" w:afterAutospacing="0" w:line="360" w:lineRule="auto"/>
        <w:ind w:left="0" w:leftChars="0" w:right="0"/>
        <w:rPr>
          <w:rFonts w:hint="eastAsia" w:ascii="宋体" w:hAnsi="宋体" w:eastAsia="宋体" w:cs="宋体"/>
          <w:b/>
          <w:color w:val="auto"/>
          <w:sz w:val="24"/>
          <w:szCs w:val="24"/>
          <w:highlight w:val="none"/>
        </w:rPr>
        <w:sectPr>
          <w:footerReference r:id="rId7" w:type="first"/>
          <w:footerReference r:id="rId6" w:type="default"/>
          <w:pgSz w:w="11906" w:h="16838"/>
          <w:pgMar w:top="1440" w:right="1417" w:bottom="1440" w:left="1417" w:header="720" w:footer="720" w:gutter="0"/>
          <w:pgNumType w:fmt="decimal"/>
          <w:cols w:space="0" w:num="1"/>
          <w:rtlGutter w:val="0"/>
          <w:docGrid w:type="lines" w:linePitch="312" w:charSpace="0"/>
        </w:sectPr>
      </w:pPr>
    </w:p>
    <w:p w14:paraId="2D0EDB72">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auto"/>
          <w:sz w:val="32"/>
          <w:szCs w:val="32"/>
          <w:highlight w:val="none"/>
        </w:rPr>
      </w:pPr>
      <w:bookmarkStart w:id="63" w:name="_Toc6240"/>
      <w:r>
        <w:rPr>
          <w:rFonts w:hint="eastAsia" w:ascii="宋体" w:hAnsi="宋体" w:eastAsia="宋体" w:cs="宋体"/>
          <w:b/>
          <w:bCs/>
          <w:color w:val="auto"/>
          <w:sz w:val="32"/>
          <w:szCs w:val="32"/>
          <w:highlight w:val="none"/>
          <w:lang w:val="en-US" w:eastAsia="zh-CN"/>
        </w:rPr>
        <w:t>二、</w:t>
      </w:r>
      <w:r>
        <w:rPr>
          <w:rFonts w:hint="eastAsia" w:ascii="宋体" w:hAnsi="宋体" w:eastAsia="宋体" w:cs="宋体"/>
          <w:b/>
          <w:bCs/>
          <w:color w:val="auto"/>
          <w:sz w:val="32"/>
          <w:szCs w:val="32"/>
          <w:highlight w:val="none"/>
        </w:rPr>
        <w:t>投 标 函</w:t>
      </w:r>
      <w:bookmarkEnd w:id="63"/>
    </w:p>
    <w:p w14:paraId="0E1CD482">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pacing w:val="24"/>
          <w:sz w:val="24"/>
          <w:szCs w:val="24"/>
          <w:highlight w:val="none"/>
        </w:rPr>
      </w:pPr>
      <w:r>
        <w:rPr>
          <w:rFonts w:hint="eastAsia" w:ascii="宋体" w:hAnsi="宋体" w:eastAsia="宋体" w:cs="宋体"/>
          <w:color w:val="auto"/>
          <w:spacing w:val="24"/>
          <w:sz w:val="24"/>
          <w:szCs w:val="24"/>
          <w:highlight w:val="none"/>
        </w:rPr>
        <w:t>致</w:t>
      </w:r>
      <w:r>
        <w:rPr>
          <w:rFonts w:hint="eastAsia" w:ascii="宋体" w:hAnsi="宋体" w:eastAsia="宋体" w:cs="宋体"/>
          <w:color w:val="auto"/>
          <w:spacing w:val="24"/>
          <w:sz w:val="24"/>
          <w:szCs w:val="24"/>
          <w:highlight w:val="none"/>
          <w:u w:val="single"/>
        </w:rPr>
        <w:t xml:space="preserve">          </w:t>
      </w:r>
      <w:r>
        <w:rPr>
          <w:rFonts w:hint="eastAsia" w:ascii="宋体" w:hAnsi="宋体" w:eastAsia="宋体" w:cs="宋体"/>
          <w:color w:val="auto"/>
          <w:spacing w:val="23"/>
          <w:sz w:val="24"/>
          <w:szCs w:val="24"/>
          <w:highlight w:val="none"/>
          <w:u w:val="none"/>
        </w:rPr>
        <w:t>（采购人）</w:t>
      </w:r>
      <w:r>
        <w:rPr>
          <w:rFonts w:hint="eastAsia" w:ascii="宋体" w:hAnsi="宋体" w:eastAsia="宋体" w:cs="宋体"/>
          <w:color w:val="auto"/>
          <w:spacing w:val="24"/>
          <w:sz w:val="24"/>
          <w:szCs w:val="24"/>
          <w:highlight w:val="none"/>
        </w:rPr>
        <w:t>：</w:t>
      </w:r>
    </w:p>
    <w:p w14:paraId="38753DEF">
      <w:pPr>
        <w:pageBreakBefore w:val="0"/>
        <w:bidi w:val="0"/>
        <w:adjustRightInd w:val="0"/>
        <w:snapToGrid w:val="0"/>
        <w:spacing w:beforeAutospacing="0" w:afterAutospacing="0" w:line="360" w:lineRule="auto"/>
        <w:ind w:left="0" w:leftChars="0" w:right="0"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根据已收到贵方的</w:t>
      </w:r>
      <w:r>
        <w:rPr>
          <w:rFonts w:hint="eastAsia" w:ascii="宋体" w:hAnsi="宋体" w:eastAsia="宋体" w:cs="宋体"/>
          <w:color w:val="auto"/>
          <w:kern w:val="0"/>
          <w:sz w:val="24"/>
          <w:szCs w:val="20"/>
          <w:highlight w:val="none"/>
          <w:u w:val="single"/>
          <w:lang w:val="zh-CN"/>
        </w:rPr>
        <w:t xml:space="preserve">             </w:t>
      </w:r>
      <w:r>
        <w:rPr>
          <w:rFonts w:hint="eastAsia" w:ascii="宋体" w:hAnsi="宋体" w:eastAsia="宋体" w:cs="宋体"/>
          <w:color w:val="auto"/>
          <w:kern w:val="0"/>
          <w:sz w:val="24"/>
          <w:szCs w:val="20"/>
          <w:highlight w:val="none"/>
        </w:rPr>
        <w:t>（项目名称）</w:t>
      </w:r>
      <w:r>
        <w:rPr>
          <w:rFonts w:hint="eastAsia" w:ascii="宋体" w:hAnsi="宋体" w:eastAsia="宋体" w:cs="宋体"/>
          <w:color w:val="auto"/>
          <w:kern w:val="0"/>
          <w:sz w:val="24"/>
          <w:szCs w:val="20"/>
          <w:highlight w:val="none"/>
          <w:u w:val="single"/>
          <w:lang w:val="zh-CN"/>
        </w:rPr>
        <w:t xml:space="preserve">          </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rPr>
        <w:t>（标段）</w:t>
      </w:r>
      <w:r>
        <w:rPr>
          <w:rFonts w:hint="eastAsia" w:ascii="宋体" w:hAnsi="宋体" w:eastAsia="宋体" w:cs="宋体"/>
          <w:color w:val="auto"/>
          <w:sz w:val="24"/>
          <w:szCs w:val="24"/>
          <w:highlight w:val="none"/>
        </w:rPr>
        <w:t>的招标文件，遵照《中华人民共和国政府采购法》等有关规定，我单位经研究上述招标文件的投标须知、合同条款、技术参数及其它有关文件后，我方愿以人民币（大写：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元）的投标报价；交货期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质量要求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,质保期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,承包上述项目的采购及安装、调试、验收、培训、质保期服务、与货物有关的运输和保险及其他伴随服务</w:t>
      </w:r>
      <w:r>
        <w:rPr>
          <w:rFonts w:hint="eastAsia" w:ascii="宋体" w:hAnsi="宋体" w:eastAsia="宋体" w:cs="宋体"/>
          <w:color w:val="auto"/>
          <w:sz w:val="24"/>
          <w:szCs w:val="24"/>
          <w:highlight w:val="none"/>
          <w:shd w:val="clear" w:color="auto" w:fill="FFFFFF"/>
        </w:rPr>
        <w:t>。</w:t>
      </w:r>
    </w:p>
    <w:p w14:paraId="2CCFEF11">
      <w:pPr>
        <w:pageBreakBefore w:val="0"/>
        <w:bidi w:val="0"/>
        <w:adjustRightInd w:val="0"/>
        <w:snapToGrid w:val="0"/>
        <w:spacing w:beforeAutospacing="0" w:afterAutospacing="0" w:line="360" w:lineRule="auto"/>
        <w:ind w:left="0" w:leftChars="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已详细审核全部招标文件，包括修改文件（如有）及有关附件，已充分理解并掌握了本招标项目的全部有关情况，认为招标文件符合法律、法规的要求，充分体现了公开、公平、公正和诚实信用原则，我方对招标文件没有任何异议。同意接受招标文件的全部内容和条件。</w:t>
      </w:r>
    </w:p>
    <w:p w14:paraId="1C2F1591">
      <w:pPr>
        <w:pageBreakBefore w:val="0"/>
        <w:bidi w:val="0"/>
        <w:adjustRightInd w:val="0"/>
        <w:snapToGrid w:val="0"/>
        <w:spacing w:beforeAutospacing="0" w:afterAutospacing="0" w:line="360" w:lineRule="auto"/>
        <w:ind w:left="0" w:leftChars="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2、我方承认投标函附表是我方投标函的组成部分。</w:t>
      </w:r>
    </w:p>
    <w:p w14:paraId="3A4EAE56">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3、如我方中标，我方承诺在收到中标通知书后，在中标通知书规定的期限内，根据招标文件、我方的投标文件及有关澄清承诺书的要求，与采购人订立书面合同，并按照合同约定承担完成合同的责任和义务。</w:t>
      </w:r>
    </w:p>
    <w:p w14:paraId="6A47CC22">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kern w:val="0"/>
          <w:sz w:val="24"/>
          <w:szCs w:val="24"/>
          <w:highlight w:val="none"/>
        </w:rPr>
        <w:t>我方同意自本项目招</w:t>
      </w:r>
      <w:r>
        <w:rPr>
          <w:rFonts w:hint="eastAsia" w:ascii="宋体" w:hAnsi="宋体" w:eastAsia="宋体" w:cs="宋体"/>
          <w:color w:val="auto"/>
          <w:sz w:val="24"/>
          <w:szCs w:val="24"/>
          <w:highlight w:val="none"/>
        </w:rPr>
        <w:t>标文件中规定的投标有效期内有效，并承诺在投标有效期内不修改、撤销投标文件。</w:t>
      </w:r>
    </w:p>
    <w:p w14:paraId="7B49F9AB">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5、我方完全理解贵方不一定接受投标报价最低的供应商为中标供应商的行为。</w:t>
      </w:r>
    </w:p>
    <w:p w14:paraId="33148760">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6、我方在此声明，所递交的投标文件及有关资料内容完整、真实和准确。</w:t>
      </w:r>
    </w:p>
    <w:p w14:paraId="17591BC6">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本项目的联系人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AD4802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3600" w:firstLineChars="1500"/>
        <w:textAlignment w:val="auto"/>
        <w:rPr>
          <w:rFonts w:hint="eastAsia" w:ascii="宋体" w:hAnsi="宋体" w:eastAsia="宋体" w:cs="宋体"/>
          <w:b w:val="0"/>
          <w:bCs w:val="0"/>
          <w:color w:val="auto"/>
          <w:sz w:val="24"/>
          <w:szCs w:val="18"/>
          <w:highlight w:val="none"/>
        </w:rPr>
      </w:pPr>
      <w:r>
        <w:rPr>
          <w:rFonts w:hint="eastAsia" w:ascii="宋体" w:hAnsi="宋体" w:eastAsia="宋体" w:cs="宋体"/>
          <w:b w:val="0"/>
          <w:bCs w:val="0"/>
          <w:color w:val="auto"/>
          <w:sz w:val="24"/>
          <w:szCs w:val="24"/>
          <w:highlight w:val="none"/>
        </w:rPr>
        <w:t>供</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应</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商</w:t>
      </w:r>
      <w:r>
        <w:rPr>
          <w:rFonts w:hint="eastAsia" w:ascii="宋体" w:hAnsi="宋体" w:eastAsia="宋体" w:cs="宋体"/>
          <w:b w:val="0"/>
          <w:bCs w:val="0"/>
          <w:color w:val="auto"/>
          <w:sz w:val="24"/>
          <w:szCs w:val="18"/>
          <w:highlight w:val="none"/>
        </w:rPr>
        <w:t>：</w:t>
      </w:r>
      <w:r>
        <w:rPr>
          <w:rFonts w:hint="eastAsia" w:ascii="宋体" w:hAnsi="宋体" w:eastAsia="宋体" w:cs="宋体"/>
          <w:b w:val="0"/>
          <w:bCs w:val="0"/>
          <w:color w:val="auto"/>
          <w:sz w:val="24"/>
          <w:szCs w:val="18"/>
          <w:highlight w:val="none"/>
          <w:u w:val="single"/>
        </w:rPr>
        <w:t xml:space="preserve">                     </w:t>
      </w:r>
      <w:r>
        <w:rPr>
          <w:rFonts w:hint="eastAsia" w:ascii="宋体" w:hAnsi="宋体" w:eastAsia="宋体" w:cs="宋体"/>
          <w:b w:val="0"/>
          <w:bCs w:val="0"/>
          <w:color w:val="auto"/>
          <w:sz w:val="24"/>
          <w:szCs w:val="18"/>
          <w:highlight w:val="none"/>
        </w:rPr>
        <w:t>（电子签章）</w:t>
      </w:r>
    </w:p>
    <w:p w14:paraId="2E11D32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3600" w:firstLineChars="1500"/>
        <w:jc w:val="left"/>
        <w:textAlignment w:val="auto"/>
        <w:rPr>
          <w:rFonts w:hint="eastAsia" w:ascii="宋体" w:hAnsi="宋体" w:eastAsia="宋体" w:cs="宋体"/>
          <w:b w:val="0"/>
          <w:bCs w:val="0"/>
          <w:color w:val="auto"/>
          <w:sz w:val="24"/>
          <w:szCs w:val="18"/>
          <w:highlight w:val="none"/>
        </w:rPr>
      </w:pPr>
      <w:r>
        <w:rPr>
          <w:rFonts w:hint="eastAsia" w:ascii="宋体" w:hAnsi="宋体" w:eastAsia="宋体" w:cs="宋体"/>
          <w:b w:val="0"/>
          <w:bCs w:val="0"/>
          <w:color w:val="auto"/>
          <w:sz w:val="24"/>
          <w:szCs w:val="18"/>
          <w:highlight w:val="none"/>
        </w:rPr>
        <w:t>法定代表人：</w:t>
      </w:r>
      <w:r>
        <w:rPr>
          <w:rFonts w:hint="eastAsia" w:ascii="宋体" w:hAnsi="宋体" w:eastAsia="宋体" w:cs="宋体"/>
          <w:b w:val="0"/>
          <w:bCs w:val="0"/>
          <w:color w:val="auto"/>
          <w:sz w:val="24"/>
          <w:szCs w:val="18"/>
          <w:highlight w:val="none"/>
          <w:u w:val="single"/>
        </w:rPr>
        <w:t xml:space="preserve">                     </w:t>
      </w:r>
      <w:r>
        <w:rPr>
          <w:rFonts w:hint="eastAsia" w:ascii="宋体" w:hAnsi="宋体" w:eastAsia="宋体" w:cs="宋体"/>
          <w:b w:val="0"/>
          <w:bCs w:val="0"/>
          <w:color w:val="auto"/>
          <w:sz w:val="24"/>
          <w:szCs w:val="18"/>
          <w:highlight w:val="none"/>
        </w:rPr>
        <w:t>（电子签章）</w:t>
      </w:r>
    </w:p>
    <w:p w14:paraId="711F4C2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240" w:firstLineChars="100"/>
        <w:textAlignment w:val="auto"/>
        <w:rPr>
          <w:rFonts w:hint="eastAsia"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rPr>
        <w:t>地    址：</w:t>
      </w:r>
      <w:r>
        <w:rPr>
          <w:rFonts w:hint="eastAsia" w:ascii="宋体" w:hAnsi="宋体" w:eastAsia="宋体" w:cs="宋体"/>
          <w:color w:val="auto"/>
          <w:sz w:val="24"/>
          <w:szCs w:val="20"/>
          <w:highlight w:val="none"/>
          <w:u w:val="single"/>
        </w:rPr>
        <w:t xml:space="preserve">                                    </w:t>
      </w:r>
    </w:p>
    <w:p w14:paraId="4E24B14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240" w:firstLineChars="100"/>
        <w:textAlignment w:val="auto"/>
        <w:rPr>
          <w:rFonts w:hint="eastAsia"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rPr>
        <w:t>邮    编：</w:t>
      </w:r>
      <w:r>
        <w:rPr>
          <w:rFonts w:hint="eastAsia" w:ascii="宋体" w:hAnsi="宋体" w:eastAsia="宋体" w:cs="宋体"/>
          <w:color w:val="auto"/>
          <w:sz w:val="24"/>
          <w:szCs w:val="20"/>
          <w:highlight w:val="none"/>
          <w:u w:val="single"/>
        </w:rPr>
        <w:t xml:space="preserve">                                    </w:t>
      </w:r>
    </w:p>
    <w:p w14:paraId="79741AD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240" w:firstLineChars="100"/>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电    话：</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 xml:space="preserve">  </w:t>
      </w:r>
    </w:p>
    <w:p w14:paraId="7945A5C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jc w:val="center"/>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日</w:t>
      </w: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期：</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年</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月</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日</w:t>
      </w:r>
    </w:p>
    <w:p w14:paraId="18E16BCF">
      <w:pPr>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3E44AFDF">
      <w:pPr>
        <w:pageBreakBefore w:val="0"/>
        <w:numPr>
          <w:ilvl w:val="0"/>
          <w:numId w:val="7"/>
        </w:numPr>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auto"/>
          <w:sz w:val="32"/>
          <w:szCs w:val="32"/>
          <w:highlight w:val="none"/>
        </w:rPr>
      </w:pPr>
      <w:bookmarkStart w:id="64" w:name="_Toc6595"/>
      <w:r>
        <w:rPr>
          <w:rFonts w:hint="eastAsia" w:ascii="宋体" w:hAnsi="宋体" w:eastAsia="宋体" w:cs="宋体"/>
          <w:b/>
          <w:bCs/>
          <w:color w:val="auto"/>
          <w:sz w:val="32"/>
          <w:szCs w:val="32"/>
          <w:highlight w:val="none"/>
        </w:rPr>
        <w:t>投标函附表</w:t>
      </w:r>
      <w:bookmarkEnd w:id="64"/>
    </w:p>
    <w:p w14:paraId="28EEA066">
      <w:pPr>
        <w:pStyle w:val="37"/>
        <w:pageBreakBefore w:val="0"/>
        <w:numPr>
          <w:ilvl w:val="0"/>
          <w:numId w:val="0"/>
        </w:numPr>
        <w:bidi w:val="0"/>
        <w:adjustRightInd w:val="0"/>
        <w:snapToGrid w:val="0"/>
        <w:spacing w:beforeAutospacing="0" w:afterAutospacing="0" w:line="360" w:lineRule="auto"/>
        <w:ind w:left="0" w:leftChars="0" w:right="0"/>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一</w:t>
      </w:r>
      <w:r>
        <w:rPr>
          <w:rFonts w:hint="eastAsia" w:ascii="宋体" w:hAnsi="宋体" w:eastAsia="宋体" w:cs="宋体"/>
          <w:b/>
          <w:bCs/>
          <w:sz w:val="28"/>
          <w:szCs w:val="28"/>
          <w:lang w:eastAsia="zh-CN"/>
        </w:rPr>
        <w:t>）</w:t>
      </w:r>
    </w:p>
    <w:tbl>
      <w:tblPr>
        <w:tblStyle w:val="21"/>
        <w:tblW w:w="0" w:type="auto"/>
        <w:jc w:val="center"/>
        <w:tblLayout w:type="fixed"/>
        <w:tblCellMar>
          <w:top w:w="0" w:type="dxa"/>
          <w:left w:w="0" w:type="dxa"/>
          <w:bottom w:w="0" w:type="dxa"/>
          <w:right w:w="0" w:type="dxa"/>
        </w:tblCellMar>
      </w:tblPr>
      <w:tblGrid>
        <w:gridCol w:w="2248"/>
        <w:gridCol w:w="2009"/>
        <w:gridCol w:w="2233"/>
        <w:gridCol w:w="2309"/>
      </w:tblGrid>
      <w:tr w14:paraId="24DCCE5B">
        <w:tblPrEx>
          <w:tblCellMar>
            <w:top w:w="0" w:type="dxa"/>
            <w:left w:w="0" w:type="dxa"/>
            <w:bottom w:w="0" w:type="dxa"/>
            <w:right w:w="0" w:type="dxa"/>
          </w:tblCellMar>
        </w:tblPrEx>
        <w:trPr>
          <w:trHeight w:val="1052" w:hRule="atLeast"/>
          <w:jc w:val="center"/>
        </w:trPr>
        <w:tc>
          <w:tcPr>
            <w:tcW w:w="2248" w:type="dxa"/>
            <w:tcBorders>
              <w:top w:val="single" w:color="auto" w:sz="4" w:space="0"/>
              <w:left w:val="single" w:color="auto" w:sz="4" w:space="0"/>
              <w:bottom w:val="single" w:color="auto" w:sz="4" w:space="0"/>
              <w:right w:val="single" w:color="auto" w:sz="4" w:space="0"/>
            </w:tcBorders>
            <w:noWrap w:val="0"/>
            <w:vAlign w:val="center"/>
          </w:tcPr>
          <w:p w14:paraId="1C6ABD13">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项目名称</w:t>
            </w:r>
          </w:p>
        </w:tc>
        <w:tc>
          <w:tcPr>
            <w:tcW w:w="6551" w:type="dxa"/>
            <w:gridSpan w:val="3"/>
            <w:tcBorders>
              <w:top w:val="single" w:color="auto" w:sz="4" w:space="0"/>
              <w:left w:val="nil"/>
              <w:bottom w:val="single" w:color="auto" w:sz="4" w:space="0"/>
              <w:right w:val="single" w:color="auto" w:sz="4" w:space="0"/>
            </w:tcBorders>
            <w:noWrap w:val="0"/>
            <w:vAlign w:val="center"/>
          </w:tcPr>
          <w:p w14:paraId="728FF3CA">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p>
        </w:tc>
      </w:tr>
      <w:tr w14:paraId="4AB26513">
        <w:tblPrEx>
          <w:tblCellMar>
            <w:top w:w="0" w:type="dxa"/>
            <w:left w:w="0" w:type="dxa"/>
            <w:bottom w:w="0" w:type="dxa"/>
            <w:right w:w="0" w:type="dxa"/>
          </w:tblCellMar>
        </w:tblPrEx>
        <w:trPr>
          <w:trHeight w:val="1052" w:hRule="atLeast"/>
          <w:jc w:val="center"/>
        </w:trPr>
        <w:tc>
          <w:tcPr>
            <w:tcW w:w="2248" w:type="dxa"/>
            <w:tcBorders>
              <w:top w:val="single" w:color="auto" w:sz="4" w:space="0"/>
              <w:left w:val="single" w:color="auto" w:sz="4" w:space="0"/>
              <w:bottom w:val="single" w:color="auto" w:sz="4" w:space="0"/>
              <w:right w:val="single" w:color="auto" w:sz="4" w:space="0"/>
            </w:tcBorders>
            <w:noWrap w:val="0"/>
            <w:vAlign w:val="center"/>
          </w:tcPr>
          <w:p w14:paraId="630A6896">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标段</w:t>
            </w:r>
          </w:p>
        </w:tc>
        <w:tc>
          <w:tcPr>
            <w:tcW w:w="6551" w:type="dxa"/>
            <w:gridSpan w:val="3"/>
            <w:tcBorders>
              <w:top w:val="single" w:color="auto" w:sz="4" w:space="0"/>
              <w:left w:val="nil"/>
              <w:bottom w:val="single" w:color="auto" w:sz="4" w:space="0"/>
              <w:right w:val="single" w:color="auto" w:sz="4" w:space="0"/>
            </w:tcBorders>
            <w:noWrap w:val="0"/>
            <w:vAlign w:val="center"/>
          </w:tcPr>
          <w:p w14:paraId="6584E44A">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p>
        </w:tc>
      </w:tr>
      <w:tr w14:paraId="23603639">
        <w:tblPrEx>
          <w:tblCellMar>
            <w:top w:w="0" w:type="dxa"/>
            <w:left w:w="0" w:type="dxa"/>
            <w:bottom w:w="0" w:type="dxa"/>
            <w:right w:w="0" w:type="dxa"/>
          </w:tblCellMar>
        </w:tblPrEx>
        <w:trPr>
          <w:trHeight w:val="1052" w:hRule="atLeast"/>
          <w:jc w:val="center"/>
        </w:trPr>
        <w:tc>
          <w:tcPr>
            <w:tcW w:w="2248" w:type="dxa"/>
            <w:tcBorders>
              <w:top w:val="single" w:color="auto" w:sz="4" w:space="0"/>
              <w:left w:val="single" w:color="auto" w:sz="4" w:space="0"/>
              <w:bottom w:val="single" w:color="auto" w:sz="4" w:space="0"/>
              <w:right w:val="single" w:color="auto" w:sz="4" w:space="0"/>
            </w:tcBorders>
            <w:noWrap w:val="0"/>
            <w:vAlign w:val="center"/>
          </w:tcPr>
          <w:p w14:paraId="24F9EAB5">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p>
        </w:tc>
        <w:tc>
          <w:tcPr>
            <w:tcW w:w="6551" w:type="dxa"/>
            <w:gridSpan w:val="3"/>
            <w:tcBorders>
              <w:top w:val="single" w:color="auto" w:sz="4" w:space="0"/>
              <w:left w:val="nil"/>
              <w:bottom w:val="single" w:color="auto" w:sz="4" w:space="0"/>
              <w:right w:val="single" w:color="auto" w:sz="4" w:space="0"/>
            </w:tcBorders>
            <w:noWrap w:val="0"/>
            <w:vAlign w:val="center"/>
          </w:tcPr>
          <w:p w14:paraId="4408CC97">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p>
        </w:tc>
      </w:tr>
      <w:tr w14:paraId="0AC99CA0">
        <w:tblPrEx>
          <w:tblCellMar>
            <w:top w:w="0" w:type="dxa"/>
            <w:left w:w="0" w:type="dxa"/>
            <w:bottom w:w="0" w:type="dxa"/>
            <w:right w:w="0" w:type="dxa"/>
          </w:tblCellMar>
        </w:tblPrEx>
        <w:trPr>
          <w:trHeight w:val="1052" w:hRule="atLeast"/>
          <w:jc w:val="center"/>
        </w:trPr>
        <w:tc>
          <w:tcPr>
            <w:tcW w:w="2248" w:type="dxa"/>
            <w:tcBorders>
              <w:top w:val="single" w:color="auto" w:sz="4" w:space="0"/>
              <w:left w:val="single" w:color="auto" w:sz="4" w:space="0"/>
              <w:bottom w:val="single" w:color="auto" w:sz="4" w:space="0"/>
              <w:right w:val="single" w:color="auto" w:sz="4" w:space="0"/>
            </w:tcBorders>
            <w:noWrap w:val="0"/>
            <w:vAlign w:val="center"/>
          </w:tcPr>
          <w:p w14:paraId="7FCDA540">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000000"/>
                <w:sz w:val="24"/>
                <w:highlight w:val="none"/>
              </w:rPr>
              <w:t>项目负责人</w:t>
            </w:r>
          </w:p>
        </w:tc>
        <w:tc>
          <w:tcPr>
            <w:tcW w:w="2009" w:type="dxa"/>
            <w:tcBorders>
              <w:top w:val="single" w:color="auto" w:sz="4" w:space="0"/>
              <w:left w:val="nil"/>
              <w:bottom w:val="single" w:color="auto" w:sz="4" w:space="0"/>
              <w:right w:val="single" w:color="auto" w:sz="4" w:space="0"/>
            </w:tcBorders>
            <w:noWrap w:val="0"/>
            <w:vAlign w:val="center"/>
          </w:tcPr>
          <w:p w14:paraId="1EA1864F">
            <w:pPr>
              <w:pageBreakBefore w:val="0"/>
              <w:autoSpaceDE w:val="0"/>
              <w:autoSpaceDN w:val="0"/>
              <w:bidi w:val="0"/>
              <w:adjustRightInd w:val="0"/>
              <w:snapToGrid w:val="0"/>
              <w:spacing w:beforeAutospacing="0" w:afterAutospacing="0" w:line="360" w:lineRule="auto"/>
              <w:ind w:left="0" w:leftChars="0" w:right="0" w:firstLine="120" w:firstLineChars="50"/>
              <w:jc w:val="center"/>
              <w:rPr>
                <w:rFonts w:hint="eastAsia" w:ascii="宋体" w:hAnsi="宋体" w:eastAsia="宋体" w:cs="宋体"/>
                <w:color w:val="auto"/>
                <w:kern w:val="0"/>
                <w:sz w:val="24"/>
                <w:szCs w:val="24"/>
                <w:highlight w:val="none"/>
              </w:rPr>
            </w:pPr>
          </w:p>
        </w:tc>
        <w:tc>
          <w:tcPr>
            <w:tcW w:w="2233" w:type="dxa"/>
            <w:tcBorders>
              <w:top w:val="single" w:color="auto" w:sz="4" w:space="0"/>
              <w:left w:val="single" w:color="auto" w:sz="4" w:space="0"/>
              <w:bottom w:val="single" w:color="auto" w:sz="4" w:space="0"/>
              <w:right w:val="single" w:color="auto" w:sz="4" w:space="0"/>
            </w:tcBorders>
            <w:noWrap w:val="0"/>
            <w:vAlign w:val="center"/>
          </w:tcPr>
          <w:p w14:paraId="640F60CD">
            <w:pPr>
              <w:pageBreakBefore w:val="0"/>
              <w:autoSpaceDE w:val="0"/>
              <w:autoSpaceDN w:val="0"/>
              <w:bidi w:val="0"/>
              <w:adjustRightInd w:val="0"/>
              <w:snapToGrid w:val="0"/>
              <w:spacing w:beforeAutospacing="0" w:afterAutospacing="0" w:line="360" w:lineRule="auto"/>
              <w:ind w:left="0" w:leftChars="0" w:right="0" w:firstLine="120" w:firstLineChars="50"/>
              <w:jc w:val="center"/>
              <w:rPr>
                <w:rFonts w:hint="eastAsia" w:ascii="宋体" w:hAnsi="宋体" w:eastAsia="宋体" w:cs="宋体"/>
                <w:color w:val="auto"/>
                <w:kern w:val="0"/>
                <w:sz w:val="24"/>
                <w:szCs w:val="24"/>
                <w:highlight w:val="none"/>
              </w:rPr>
            </w:pPr>
            <w:r>
              <w:rPr>
                <w:rFonts w:hint="eastAsia" w:ascii="宋体" w:hAnsi="宋体" w:eastAsia="宋体" w:cs="宋体"/>
                <w:color w:val="000000"/>
                <w:sz w:val="24"/>
                <w:highlight w:val="none"/>
              </w:rPr>
              <w:t>联系电话</w:t>
            </w:r>
          </w:p>
        </w:tc>
        <w:tc>
          <w:tcPr>
            <w:tcW w:w="2309" w:type="dxa"/>
            <w:tcBorders>
              <w:top w:val="single" w:color="auto" w:sz="4" w:space="0"/>
              <w:left w:val="single" w:color="auto" w:sz="4" w:space="0"/>
              <w:bottom w:val="single" w:color="auto" w:sz="4" w:space="0"/>
              <w:right w:val="single" w:color="auto" w:sz="4" w:space="0"/>
            </w:tcBorders>
            <w:noWrap w:val="0"/>
            <w:vAlign w:val="center"/>
          </w:tcPr>
          <w:p w14:paraId="057F20FB">
            <w:pPr>
              <w:pageBreakBefore w:val="0"/>
              <w:autoSpaceDE w:val="0"/>
              <w:autoSpaceDN w:val="0"/>
              <w:bidi w:val="0"/>
              <w:adjustRightInd w:val="0"/>
              <w:snapToGrid w:val="0"/>
              <w:spacing w:beforeAutospacing="0" w:afterAutospacing="0" w:line="360" w:lineRule="auto"/>
              <w:ind w:left="0" w:leftChars="0" w:right="0" w:firstLine="120" w:firstLineChars="50"/>
              <w:rPr>
                <w:rFonts w:hint="eastAsia" w:ascii="宋体" w:hAnsi="宋体" w:eastAsia="宋体" w:cs="宋体"/>
                <w:color w:val="auto"/>
                <w:kern w:val="0"/>
                <w:sz w:val="24"/>
                <w:szCs w:val="24"/>
                <w:highlight w:val="none"/>
              </w:rPr>
            </w:pPr>
          </w:p>
        </w:tc>
      </w:tr>
      <w:tr w14:paraId="5024CB41">
        <w:tblPrEx>
          <w:tblCellMar>
            <w:top w:w="0" w:type="dxa"/>
            <w:left w:w="0" w:type="dxa"/>
            <w:bottom w:w="0" w:type="dxa"/>
            <w:right w:w="0" w:type="dxa"/>
          </w:tblCellMar>
        </w:tblPrEx>
        <w:trPr>
          <w:trHeight w:val="1052" w:hRule="atLeast"/>
          <w:jc w:val="center"/>
        </w:trPr>
        <w:tc>
          <w:tcPr>
            <w:tcW w:w="2248" w:type="dxa"/>
            <w:tcBorders>
              <w:top w:val="single" w:color="auto" w:sz="4" w:space="0"/>
              <w:left w:val="single" w:color="auto" w:sz="4" w:space="0"/>
              <w:bottom w:val="single" w:color="auto" w:sz="4" w:space="0"/>
              <w:right w:val="single" w:color="auto" w:sz="4" w:space="0"/>
            </w:tcBorders>
            <w:noWrap w:val="0"/>
            <w:vAlign w:val="center"/>
          </w:tcPr>
          <w:p w14:paraId="05032242">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投标报价</w:t>
            </w:r>
          </w:p>
        </w:tc>
        <w:tc>
          <w:tcPr>
            <w:tcW w:w="6551" w:type="dxa"/>
            <w:gridSpan w:val="3"/>
            <w:tcBorders>
              <w:top w:val="single" w:color="auto" w:sz="4" w:space="0"/>
              <w:left w:val="nil"/>
              <w:bottom w:val="single" w:color="auto" w:sz="4" w:space="0"/>
              <w:right w:val="single" w:color="auto" w:sz="4" w:space="0"/>
            </w:tcBorders>
            <w:noWrap w:val="0"/>
            <w:vAlign w:val="center"/>
          </w:tcPr>
          <w:p w14:paraId="653B159C">
            <w:pPr>
              <w:pageBreakBefore w:val="0"/>
              <w:autoSpaceDE w:val="0"/>
              <w:autoSpaceDN w:val="0"/>
              <w:bidi w:val="0"/>
              <w:adjustRightInd w:val="0"/>
              <w:snapToGrid w:val="0"/>
              <w:spacing w:beforeAutospacing="0" w:afterAutospacing="0" w:line="360" w:lineRule="auto"/>
              <w:ind w:left="0" w:leftChars="0" w:right="0" w:firstLine="120" w:firstLineChars="5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（大写）：</w:t>
            </w:r>
          </w:p>
          <w:p w14:paraId="762422BE">
            <w:pPr>
              <w:pageBreakBefore w:val="0"/>
              <w:autoSpaceDE w:val="0"/>
              <w:autoSpaceDN w:val="0"/>
              <w:bidi w:val="0"/>
              <w:adjustRightInd w:val="0"/>
              <w:snapToGrid w:val="0"/>
              <w:spacing w:beforeAutospacing="0" w:afterAutospacing="0" w:line="360" w:lineRule="auto"/>
              <w:ind w:left="0" w:leftChars="0" w:right="0" w:firstLine="120" w:firstLineChars="5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 xml:space="preserve">（小写）： </w:t>
            </w:r>
          </w:p>
        </w:tc>
      </w:tr>
      <w:tr w14:paraId="00DB75F8">
        <w:tblPrEx>
          <w:tblCellMar>
            <w:top w:w="0" w:type="dxa"/>
            <w:left w:w="0" w:type="dxa"/>
            <w:bottom w:w="0" w:type="dxa"/>
            <w:right w:w="0" w:type="dxa"/>
          </w:tblCellMar>
        </w:tblPrEx>
        <w:trPr>
          <w:trHeight w:val="1052" w:hRule="atLeast"/>
          <w:jc w:val="center"/>
        </w:trPr>
        <w:tc>
          <w:tcPr>
            <w:tcW w:w="2248" w:type="dxa"/>
            <w:tcBorders>
              <w:top w:val="single" w:color="auto" w:sz="4" w:space="0"/>
              <w:left w:val="single" w:color="auto" w:sz="4" w:space="0"/>
              <w:bottom w:val="single" w:color="auto" w:sz="4" w:space="0"/>
              <w:right w:val="single" w:color="auto" w:sz="4" w:space="0"/>
            </w:tcBorders>
            <w:noWrap w:val="0"/>
            <w:vAlign w:val="center"/>
          </w:tcPr>
          <w:p w14:paraId="2BF57C96">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质量要求</w:t>
            </w:r>
          </w:p>
        </w:tc>
        <w:tc>
          <w:tcPr>
            <w:tcW w:w="6551" w:type="dxa"/>
            <w:gridSpan w:val="3"/>
            <w:tcBorders>
              <w:top w:val="single" w:color="auto" w:sz="4" w:space="0"/>
              <w:left w:val="nil"/>
              <w:bottom w:val="single" w:color="auto" w:sz="4" w:space="0"/>
              <w:right w:val="single" w:color="auto" w:sz="4" w:space="0"/>
            </w:tcBorders>
            <w:noWrap w:val="0"/>
            <w:vAlign w:val="center"/>
          </w:tcPr>
          <w:p w14:paraId="5105F32D">
            <w:pPr>
              <w:pageBreakBefore w:val="0"/>
              <w:autoSpaceDE w:val="0"/>
              <w:autoSpaceDN w:val="0"/>
              <w:bidi w:val="0"/>
              <w:adjustRightInd w:val="0"/>
              <w:snapToGrid w:val="0"/>
              <w:spacing w:beforeAutospacing="0" w:afterAutospacing="0" w:line="360" w:lineRule="auto"/>
              <w:ind w:left="0" w:leftChars="0" w:right="0" w:firstLine="120" w:firstLineChars="50"/>
              <w:rPr>
                <w:rFonts w:hint="eastAsia" w:ascii="宋体" w:hAnsi="宋体" w:eastAsia="宋体" w:cs="宋体"/>
                <w:color w:val="auto"/>
                <w:kern w:val="0"/>
                <w:sz w:val="24"/>
                <w:szCs w:val="24"/>
                <w:highlight w:val="none"/>
              </w:rPr>
            </w:pPr>
          </w:p>
        </w:tc>
      </w:tr>
      <w:tr w14:paraId="5BBE4A58">
        <w:tblPrEx>
          <w:tblCellMar>
            <w:top w:w="0" w:type="dxa"/>
            <w:left w:w="0" w:type="dxa"/>
            <w:bottom w:w="0" w:type="dxa"/>
            <w:right w:w="0" w:type="dxa"/>
          </w:tblCellMar>
        </w:tblPrEx>
        <w:trPr>
          <w:trHeight w:val="926" w:hRule="atLeast"/>
          <w:jc w:val="center"/>
        </w:trPr>
        <w:tc>
          <w:tcPr>
            <w:tcW w:w="2248" w:type="dxa"/>
            <w:tcBorders>
              <w:top w:val="single" w:color="auto" w:sz="4" w:space="0"/>
              <w:left w:val="single" w:color="auto" w:sz="4" w:space="0"/>
              <w:bottom w:val="single" w:color="auto" w:sz="4" w:space="0"/>
              <w:right w:val="single" w:color="auto" w:sz="4" w:space="0"/>
            </w:tcBorders>
            <w:noWrap w:val="0"/>
            <w:vAlign w:val="center"/>
          </w:tcPr>
          <w:p w14:paraId="4B3FBE93">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 货 期</w:t>
            </w:r>
          </w:p>
        </w:tc>
        <w:tc>
          <w:tcPr>
            <w:tcW w:w="6551" w:type="dxa"/>
            <w:gridSpan w:val="3"/>
            <w:tcBorders>
              <w:top w:val="single" w:color="auto" w:sz="4" w:space="0"/>
              <w:left w:val="nil"/>
              <w:bottom w:val="single" w:color="auto" w:sz="4" w:space="0"/>
              <w:right w:val="single" w:color="auto" w:sz="4" w:space="0"/>
            </w:tcBorders>
            <w:noWrap w:val="0"/>
            <w:vAlign w:val="center"/>
          </w:tcPr>
          <w:p w14:paraId="09B3DC1E">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 </w:t>
            </w:r>
          </w:p>
        </w:tc>
      </w:tr>
      <w:tr w14:paraId="7AFE7DC3">
        <w:tblPrEx>
          <w:tblCellMar>
            <w:top w:w="0" w:type="dxa"/>
            <w:left w:w="0" w:type="dxa"/>
            <w:bottom w:w="0" w:type="dxa"/>
            <w:right w:w="0" w:type="dxa"/>
          </w:tblCellMar>
        </w:tblPrEx>
        <w:trPr>
          <w:trHeight w:val="926" w:hRule="atLeast"/>
          <w:jc w:val="center"/>
        </w:trPr>
        <w:tc>
          <w:tcPr>
            <w:tcW w:w="2248" w:type="dxa"/>
            <w:tcBorders>
              <w:top w:val="single" w:color="auto" w:sz="4" w:space="0"/>
              <w:left w:val="single" w:color="auto" w:sz="4" w:space="0"/>
              <w:bottom w:val="single" w:color="auto" w:sz="4" w:space="0"/>
              <w:right w:val="single" w:color="auto" w:sz="4" w:space="0"/>
            </w:tcBorders>
            <w:noWrap w:val="0"/>
            <w:vAlign w:val="center"/>
          </w:tcPr>
          <w:p w14:paraId="22083D8A">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质保期</w:t>
            </w:r>
          </w:p>
        </w:tc>
        <w:tc>
          <w:tcPr>
            <w:tcW w:w="6551" w:type="dxa"/>
            <w:gridSpan w:val="3"/>
            <w:tcBorders>
              <w:top w:val="single" w:color="auto" w:sz="4" w:space="0"/>
              <w:left w:val="nil"/>
              <w:bottom w:val="single" w:color="auto" w:sz="4" w:space="0"/>
              <w:right w:val="single" w:color="auto" w:sz="4" w:space="0"/>
            </w:tcBorders>
            <w:noWrap w:val="0"/>
            <w:vAlign w:val="center"/>
          </w:tcPr>
          <w:p w14:paraId="04DCB609">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p>
        </w:tc>
      </w:tr>
      <w:tr w14:paraId="58E41144">
        <w:tblPrEx>
          <w:tblCellMar>
            <w:top w:w="0" w:type="dxa"/>
            <w:left w:w="0" w:type="dxa"/>
            <w:bottom w:w="0" w:type="dxa"/>
            <w:right w:w="0" w:type="dxa"/>
          </w:tblCellMar>
        </w:tblPrEx>
        <w:trPr>
          <w:trHeight w:val="926" w:hRule="atLeast"/>
          <w:jc w:val="center"/>
        </w:trPr>
        <w:tc>
          <w:tcPr>
            <w:tcW w:w="2248" w:type="dxa"/>
            <w:tcBorders>
              <w:top w:val="single" w:color="auto" w:sz="4" w:space="0"/>
              <w:left w:val="single" w:color="auto" w:sz="4" w:space="0"/>
              <w:bottom w:val="single" w:color="auto" w:sz="4" w:space="0"/>
              <w:right w:val="single" w:color="auto" w:sz="4" w:space="0"/>
            </w:tcBorders>
            <w:noWrap w:val="0"/>
            <w:vAlign w:val="center"/>
          </w:tcPr>
          <w:p w14:paraId="49993D49">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投标有效期</w:t>
            </w:r>
          </w:p>
        </w:tc>
        <w:tc>
          <w:tcPr>
            <w:tcW w:w="6551" w:type="dxa"/>
            <w:gridSpan w:val="3"/>
            <w:tcBorders>
              <w:top w:val="single" w:color="auto" w:sz="4" w:space="0"/>
              <w:left w:val="nil"/>
              <w:bottom w:val="single" w:color="auto" w:sz="4" w:space="0"/>
              <w:right w:val="single" w:color="auto" w:sz="4" w:space="0"/>
            </w:tcBorders>
            <w:noWrap w:val="0"/>
            <w:vAlign w:val="center"/>
          </w:tcPr>
          <w:p w14:paraId="3678F3D5">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p>
        </w:tc>
      </w:tr>
      <w:tr w14:paraId="2D095D9D">
        <w:tblPrEx>
          <w:tblCellMar>
            <w:top w:w="0" w:type="dxa"/>
            <w:left w:w="0" w:type="dxa"/>
            <w:bottom w:w="0" w:type="dxa"/>
            <w:right w:w="0" w:type="dxa"/>
          </w:tblCellMar>
        </w:tblPrEx>
        <w:trPr>
          <w:trHeight w:val="935" w:hRule="atLeast"/>
          <w:jc w:val="center"/>
        </w:trPr>
        <w:tc>
          <w:tcPr>
            <w:tcW w:w="2248" w:type="dxa"/>
            <w:tcBorders>
              <w:top w:val="single" w:color="auto" w:sz="4" w:space="0"/>
              <w:left w:val="single" w:color="auto" w:sz="4" w:space="0"/>
              <w:bottom w:val="single" w:color="auto" w:sz="4" w:space="0"/>
              <w:right w:val="single" w:color="auto" w:sz="4" w:space="0"/>
            </w:tcBorders>
            <w:noWrap w:val="0"/>
            <w:vAlign w:val="center"/>
          </w:tcPr>
          <w:p w14:paraId="5E0D0460">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  注</w:t>
            </w:r>
          </w:p>
        </w:tc>
        <w:tc>
          <w:tcPr>
            <w:tcW w:w="6551" w:type="dxa"/>
            <w:gridSpan w:val="3"/>
            <w:tcBorders>
              <w:top w:val="single" w:color="auto" w:sz="4" w:space="0"/>
              <w:left w:val="nil"/>
              <w:bottom w:val="single" w:color="auto" w:sz="4" w:space="0"/>
              <w:right w:val="single" w:color="auto" w:sz="4" w:space="0"/>
            </w:tcBorders>
            <w:noWrap w:val="0"/>
            <w:vAlign w:val="center"/>
          </w:tcPr>
          <w:p w14:paraId="4D749E51">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p>
        </w:tc>
      </w:tr>
    </w:tbl>
    <w:p w14:paraId="65F6D202">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sz w:val="24"/>
          <w:szCs w:val="24"/>
          <w:highlight w:val="none"/>
        </w:rPr>
      </w:pPr>
    </w:p>
    <w:p w14:paraId="476CA07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3600" w:firstLineChars="15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应</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商：</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（电子签章）</w:t>
      </w:r>
    </w:p>
    <w:p w14:paraId="140F426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3600" w:firstLineChars="15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法定代表人：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（电子签章）</w:t>
      </w:r>
    </w:p>
    <w:p w14:paraId="15F51D8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3600" w:firstLineChars="15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期：</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日</w:t>
      </w:r>
    </w:p>
    <w:p w14:paraId="40DB0FB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color w:val="000000"/>
          <w:kern w:val="0"/>
          <w:sz w:val="28"/>
          <w:szCs w:val="28"/>
          <w:highlight w:val="none"/>
          <w:lang w:val="en-US" w:eastAsia="zh-CN" w:bidi="ar-SA"/>
        </w:rPr>
      </w:pPr>
      <w:bookmarkStart w:id="65" w:name="_Toc23848"/>
    </w:p>
    <w:p w14:paraId="6004A8B4">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color w:val="000000"/>
          <w:kern w:val="0"/>
          <w:sz w:val="28"/>
          <w:szCs w:val="28"/>
          <w:highlight w:val="none"/>
          <w:lang w:val="en-US" w:eastAsia="zh-CN" w:bidi="ar-SA"/>
        </w:rPr>
      </w:pPr>
      <w:r>
        <w:rPr>
          <w:rFonts w:hint="eastAsia" w:ascii="宋体" w:hAnsi="宋体" w:eastAsia="宋体" w:cs="宋体"/>
          <w:b/>
          <w:color w:val="000000"/>
          <w:kern w:val="0"/>
          <w:sz w:val="28"/>
          <w:szCs w:val="28"/>
          <w:highlight w:val="none"/>
          <w:lang w:val="en-US" w:eastAsia="zh-CN" w:bidi="ar-SA"/>
        </w:rPr>
        <w:t>（二）报价明细表</w:t>
      </w:r>
    </w:p>
    <w:p w14:paraId="0042598D">
      <w:pPr>
        <w:pageBreakBefore w:val="0"/>
        <w:bidi w:val="0"/>
        <w:adjustRightInd w:val="0"/>
        <w:snapToGrid w:val="0"/>
        <w:spacing w:beforeAutospacing="0" w:afterAutospacing="0" w:line="360" w:lineRule="auto"/>
        <w:ind w:left="0" w:leftChars="0" w:right="0"/>
        <w:jc w:val="center"/>
        <w:outlineLvl w:val="0"/>
        <w:rPr>
          <w:rFonts w:hint="eastAsia" w:ascii="宋体" w:hAnsi="宋体" w:eastAsia="宋体" w:cs="宋体"/>
          <w:b/>
          <w:bCs/>
          <w:color w:val="auto"/>
          <w:kern w:val="0"/>
          <w:sz w:val="32"/>
          <w:szCs w:val="32"/>
          <w:highlight w:val="none"/>
        </w:rPr>
      </w:pPr>
    </w:p>
    <w:tbl>
      <w:tblPr>
        <w:tblStyle w:val="21"/>
        <w:tblW w:w="501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0"/>
        <w:gridCol w:w="1575"/>
        <w:gridCol w:w="4280"/>
        <w:gridCol w:w="554"/>
        <w:gridCol w:w="449"/>
        <w:gridCol w:w="743"/>
        <w:gridCol w:w="732"/>
        <w:gridCol w:w="450"/>
      </w:tblGrid>
      <w:tr w14:paraId="11DFA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18B3B96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一标段采购清单（货物需在备注里标明产品品牌型号）</w:t>
            </w:r>
          </w:p>
        </w:tc>
      </w:tr>
      <w:tr w14:paraId="59CF7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6E7A4A1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845" w:type="pct"/>
            <w:tcBorders>
              <w:top w:val="single" w:color="000000" w:sz="4" w:space="0"/>
              <w:left w:val="single" w:color="000000" w:sz="4" w:space="0"/>
              <w:bottom w:val="single" w:color="000000" w:sz="4" w:space="0"/>
              <w:right w:val="single" w:color="000000" w:sz="4" w:space="0"/>
            </w:tcBorders>
            <w:noWrap/>
            <w:vAlign w:val="center"/>
          </w:tcPr>
          <w:p w14:paraId="5CBFDAA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产品名称</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5B009F3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技术参数</w:t>
            </w: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6401323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434DF6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236C8608">
            <w:pPr>
              <w:keepNext w:val="0"/>
              <w:keepLines w:val="0"/>
              <w:pageBreakBefore w:val="0"/>
              <w:widowControl/>
              <w:suppressLineNumbers w:val="0"/>
              <w:bidi w:val="0"/>
              <w:adjustRightInd w:val="0"/>
              <w:snapToGrid w:val="0"/>
              <w:spacing w:beforeAutospacing="0" w:afterAutospacing="0" w:line="360" w:lineRule="auto"/>
              <w:ind w:left="0" w:leftChars="0" w:right="0"/>
              <w:jc w:val="both"/>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单价（元）</w:t>
            </w: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2C464A8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总价（元）</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4B03FA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备注</w:t>
            </w:r>
          </w:p>
        </w:tc>
      </w:tr>
      <w:tr w14:paraId="378A7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2E6E8C5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养老评估实训室</w:t>
            </w:r>
          </w:p>
        </w:tc>
      </w:tr>
      <w:tr w14:paraId="3B05F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7B8B0C1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074CEE9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健康一体机</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6DA58B35">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006FEFB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C1817A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1E94864F">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002893C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98A8B29">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5DBB4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63FBD59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6334161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老年功能性体适能测评包</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46FB597B">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23E5DCB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3D773A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6D60DC8B">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700F321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5BCC02B">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02908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27F9A14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7BF1E70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疼痛脸谱评分尺</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78C03613">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383529D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0A5FC6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76E38B0F">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38021A3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F549CCD">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2666A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285C9F6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1BAB734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多功能关节活动测量表</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3BA67FCD">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7F4D171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6C0291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272EE902">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0D24DAC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2DF4A4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06D20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329FCBA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0AB3DBB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角度尺</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48E2403C">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33F3D04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6DCC6E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2EE85C62">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615F7B6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37BD49B">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39329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5DAC400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64C8808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一次性压舌板</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16D43386">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22BF45C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15A6FD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7803E03F">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107680A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A01359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304F8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464ED2E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70CF3E0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评估穿衣、取物测评包</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1173CA3F">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262BA75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9A8988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4084B8EF">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58864E0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E2D3069">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38205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53F7397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3532583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辅助测评洗漱包</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5DB0FDAC">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4024C28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4A0CAF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588517AF">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16F51E0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C1886E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10C24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792A48A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48C27DA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评估沐浴椅</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182A889A">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0FEB070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98437E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39D8E08F">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64949A3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6ADAA89">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796CB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568000A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0F18C48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辅助测评进食包</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269CB7B9">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510EEF8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4C6322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3E7D3F37">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6503286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F5D280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38701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0FBDE49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63678EB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辅助评估长者认知功能包</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50A00D88">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67FA262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08B09E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283B18D1">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6293B12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5BD03CF">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1F93A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65E0B60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04ED29D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步行测量贴纸</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35EECFEA">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1169E06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2282B8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17176B39">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5783822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4CFA02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43B6B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494ACAD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50BCF07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跨越障碍架</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22B8A42B">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0985F27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 </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3688E7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124B6048">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4858B0B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3D2BEF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02AF4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3CAFDFA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1AC47A0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心智健康测评系统</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18028E55">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7FB681A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5925AF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583E909D">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33E42E1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C64BE59">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461B3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061656A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6BA39F8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实训室环境气氛改造</w:t>
            </w:r>
          </w:p>
        </w:tc>
        <w:tc>
          <w:tcPr>
            <w:tcW w:w="2297" w:type="pct"/>
            <w:tcBorders>
              <w:top w:val="single" w:color="000000" w:sz="4" w:space="0"/>
              <w:left w:val="single" w:color="000000" w:sz="4" w:space="0"/>
              <w:bottom w:val="single" w:color="000000" w:sz="4" w:space="0"/>
              <w:right w:val="single" w:color="000000" w:sz="4" w:space="0"/>
            </w:tcBorders>
            <w:noWrap/>
            <w:vAlign w:val="center"/>
          </w:tcPr>
          <w:p w14:paraId="254CDC54">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6F7972F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B039ED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22BBFE91">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7DD9A2E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A30CF9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2C5B8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1326D97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33B6E6EB">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c>
          <w:tcPr>
            <w:tcW w:w="2297" w:type="pct"/>
            <w:tcBorders>
              <w:top w:val="single" w:color="000000" w:sz="4" w:space="0"/>
              <w:left w:val="single" w:color="000000" w:sz="4" w:space="0"/>
              <w:bottom w:val="single" w:color="000000" w:sz="4" w:space="0"/>
              <w:right w:val="single" w:color="000000" w:sz="4" w:space="0"/>
            </w:tcBorders>
            <w:noWrap/>
            <w:vAlign w:val="center"/>
          </w:tcPr>
          <w:p w14:paraId="19158543">
            <w:pPr>
              <w:pageBreakBefore w:val="0"/>
              <w:bidi w:val="0"/>
              <w:adjustRightInd w:val="0"/>
              <w:snapToGrid w:val="0"/>
              <w:spacing w:beforeAutospacing="0" w:afterAutospacing="0" w:line="360" w:lineRule="auto"/>
              <w:ind w:left="0" w:leftChars="0" w:right="0"/>
              <w:jc w:val="left"/>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小计</w:t>
            </w: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6F337BEB">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1AE508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6CA845CA">
            <w:pPr>
              <w:pageBreakBefore w:val="0"/>
              <w:bidi w:val="0"/>
              <w:adjustRightInd w:val="0"/>
              <w:snapToGrid w:val="0"/>
              <w:spacing w:beforeAutospacing="0" w:afterAutospacing="0" w:line="360" w:lineRule="auto"/>
              <w:ind w:left="0" w:leftChars="0" w:right="0"/>
              <w:jc w:val="right"/>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34F1522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51B08A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498A3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3D8B7EE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养老照护实训室</w:t>
            </w:r>
          </w:p>
        </w:tc>
      </w:tr>
      <w:tr w14:paraId="78FB5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2182A54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3764632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多功能护理床</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5C499469">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06BCC1F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0ADA83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203CE7B7">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70D0E4A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AD297D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22B28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19D9D45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265E81E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智能监测床垫</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6E813C13">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2BC5159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592DB2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539456DC">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0CE5813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A94E45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05B3F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4EB854F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00219DC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床上用品</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34B314BA">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56B592E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3E4DBF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16D4A9F8">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712FE84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3F6C38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19132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22CA29F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5EAB835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床头柜</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6103203F">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3E78FF3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91F232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558C3ED5">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4ED01AC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B9BB06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4C90A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240E3EE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3CD7D1E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床头设备带</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59D4AF05">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173090B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E7E156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床</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6148ED84">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7471212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25DF305">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458AC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333326C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3806051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全功能护理模拟人</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59A96735">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66B5650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8CB459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02E84E25">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153502D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056793B">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6DF3E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8CE6E2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E66A99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体位转移实操</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5291548">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2A6651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FB8D3D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19EE9DD">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7ED192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1DE7713">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44AD2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D7E753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596B3F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喂食实操</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9123AAC">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2F0C6C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B74E4B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92D0F35">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808382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21A0E2B">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57A30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906C04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C6019F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口腔护理实操</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CD4E1FA">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452D1D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FF7FB4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2B3454E">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2538AC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93EBA0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1D9B2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43DF80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AEF809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排泄护理实操</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2EBB9D6">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F705E2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C53183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21240EC">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F039A6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8F8D394">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30561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60C142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75A361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清洁护理实操</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5D558E4">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692BEC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F5673C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272B12B">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235800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3C3C76C">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6BF90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1AB778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AE0B27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医疗照护包</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8C5159C">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96F481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348871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BC42159">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8D5B15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402BE4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32C61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0E2D2D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62A430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智能药盒</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39FB13E">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498B36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4CCF5F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B19A3B2">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F2DCA2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DB6F409">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52B4E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E58CFF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1297D56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智能成人纸尿裤</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1055DC26">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0113F9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B843AA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A6866DB">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719E4F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0B80D7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544D2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DFAE01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AF7F0A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智能尿湿报警器</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429EEC2">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123299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7E7588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2D4FAFF">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CA40D7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DA619C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38456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1692DB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090C72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折叠洗澡椅</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9BC5364">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0B7DCA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FDD23B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5BF958C">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39F9B3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A12B15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77CC0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DC2091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75DED5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适老座便器</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588D0C0">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8DF213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9B496C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7E899D0">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48F1CE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8C0D05B">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26775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BC9DFF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49BBA0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落地上翻扶手</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B6C2209">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6DFD35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AAA369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0067E94">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59D0FF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4F0AB01">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3044C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24DEC5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F38D37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《老年健康照护》课程资源</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A472651">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1B25568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D3FEA9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FA13102">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CD683A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ACEC7BF">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63688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2C17E0D">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226700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c>
          <w:tcPr>
            <w:tcW w:w="2297" w:type="pct"/>
            <w:tcBorders>
              <w:top w:val="single" w:color="000000" w:sz="4" w:space="0"/>
              <w:left w:val="single" w:color="000000" w:sz="4" w:space="0"/>
              <w:bottom w:val="single" w:color="000000" w:sz="4" w:space="0"/>
              <w:right w:val="nil"/>
            </w:tcBorders>
            <w:shd w:val="clear" w:color="FFFFFF" w:fill="auto"/>
            <w:noWrap/>
            <w:vAlign w:val="center"/>
          </w:tcPr>
          <w:p w14:paraId="03B9774D">
            <w:pPr>
              <w:pageBreakBefore w:val="0"/>
              <w:bidi w:val="0"/>
              <w:adjustRightInd w:val="0"/>
              <w:snapToGrid w:val="0"/>
              <w:spacing w:beforeAutospacing="0" w:afterAutospacing="0" w:line="360" w:lineRule="auto"/>
              <w:ind w:left="0" w:leftChars="0" w:right="0"/>
              <w:jc w:val="left"/>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小计</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9A9B46D">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77A741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A44A5DE">
            <w:pPr>
              <w:pageBreakBefore w:val="0"/>
              <w:bidi w:val="0"/>
              <w:adjustRightInd w:val="0"/>
              <w:snapToGrid w:val="0"/>
              <w:spacing w:beforeAutospacing="0" w:afterAutospacing="0" w:line="360" w:lineRule="auto"/>
              <w:ind w:left="0" w:leftChars="0" w:right="0"/>
              <w:jc w:val="right"/>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1E9257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nil"/>
              <w:bottom w:val="single" w:color="000000" w:sz="4" w:space="0"/>
              <w:right w:val="single" w:color="000000" w:sz="4" w:space="0"/>
            </w:tcBorders>
            <w:shd w:val="clear" w:color="FFFFFF" w:fill="auto"/>
            <w:noWrap/>
            <w:vAlign w:val="center"/>
          </w:tcPr>
          <w:p w14:paraId="2E3E1D4C">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16099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B3D161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养老康复实训室</w:t>
            </w:r>
          </w:p>
        </w:tc>
      </w:tr>
      <w:tr w14:paraId="469C4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23852E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F58BD6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多功能护理床</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DB5534C">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3EC7ED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B87A27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2282598">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B420E4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A45F453">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193F5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38BDDC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36DB18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床上用品</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8D4356E">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696DDD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C4BCCC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4F74257">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6B6F54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62EE9E4">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64766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B0D47E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B8C0CC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床头柜</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16D162FA">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0B8917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05E036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7393CFF">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F77607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534B275">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703F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957C64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0D8896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自助式轮椅</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2C01183">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C056B6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3A3745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4F05928">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3C0F0F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2B2E46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524C2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74CEB0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9DC674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助行器</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21E027C">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EB3641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EBBDEF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879D41D">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29F065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40871A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138C9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193B97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3CAFE6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拐杖</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3B86593">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4E8163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EA0A58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117BF3A">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A22C42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1DFCC99">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43E99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7514A6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D6AE1E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马桶</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4BF22FB">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FF0FAE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996CF5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9E0D700">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438807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9E55C19">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6F327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460914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3E2E61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坐便椅</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1A3AEF22">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1F1D14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586C0F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0E02CC4">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90B78D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00C0D4F">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5011A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45639B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C07692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上翻扶手</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9C7A9D1">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024B3E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508A6B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1685D50">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BDC463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04131C3">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5C36F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670964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8D85D0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OT综合训练台</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93BAAAC">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A6667C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825EA8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6BC63CE">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B2FC4C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3C4A7B2">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74186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D3B8FD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11</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90A90A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认知功能障碍筛查或成套测试量表及用具</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B936EC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B3D5E9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0D9BFA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2B70CA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DD6EB5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EF11EB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r>
      <w:tr w14:paraId="2D8B2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7A7700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D11800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PT床</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8288AA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D97982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 </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CEB3AB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0DEA47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4EFE66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538304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0AF5A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194FFF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BC28F6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PT凳</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9A6F36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2CEDD2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 </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085A04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BF5B34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1C1D996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0D21C0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7C690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092499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14</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148D577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辅助行走机器人</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D49B6A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5F613A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 xml:space="preserve">1 </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CB5AAD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台</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1717EBA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A5C52D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75AAE6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r>
      <w:tr w14:paraId="5D367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EB7362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03D5F3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小蜜蜂扩音器</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32015B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F7A089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 xml:space="preserve">120 </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12B1D12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台</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E558C7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53592B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061032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r>
      <w:tr w14:paraId="73653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179796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16</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46D6BC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手提音箱</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518F2B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A8896A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 xml:space="preserve">7 </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AA4B95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台</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287188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7EA190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1D5D071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r>
      <w:tr w14:paraId="5272C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99DDA0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17</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8214AE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拉杆音箱</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1683AC7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CAD84D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 xml:space="preserve">1 </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33AF33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台</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EA5064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83904B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EE3D5E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r>
      <w:tr w14:paraId="59196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8FA28C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18</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5E79AD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实训推车车体</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DC5D5B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89921F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2CD35D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台</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BCB5B5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8826E0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A5DD8F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r>
      <w:tr w14:paraId="0AE74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318794F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22AD208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示教互动软件</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7060743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59E9C51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5F69CA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3DF572D2">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63F307A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7FF469C">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56FA9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0508226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6D1AFB9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4K高清采集摄像机</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0B7B1BA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184B382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AFB0AA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00644CD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3C8DBE5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35CB29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00A75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12AE215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5FDFAC2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示教直播系统软件</w:t>
            </w:r>
          </w:p>
        </w:tc>
        <w:tc>
          <w:tcPr>
            <w:tcW w:w="2297" w:type="pct"/>
            <w:tcBorders>
              <w:top w:val="single" w:color="000000" w:sz="4" w:space="0"/>
              <w:left w:val="single" w:color="000000" w:sz="4" w:space="0"/>
              <w:bottom w:val="single" w:color="000000" w:sz="4" w:space="0"/>
              <w:right w:val="single" w:color="000000" w:sz="4" w:space="0"/>
            </w:tcBorders>
            <w:noWrap w:val="0"/>
            <w:vAlign w:val="top"/>
          </w:tcPr>
          <w:p w14:paraId="6254337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7ACD51E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8F56D0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6E5CD2A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480A429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8B0E6C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2146C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45AC859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1276F03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297" w:type="pct"/>
            <w:tcBorders>
              <w:top w:val="single" w:color="000000" w:sz="4" w:space="0"/>
              <w:left w:val="single" w:color="000000" w:sz="4" w:space="0"/>
              <w:bottom w:val="single" w:color="000000" w:sz="4" w:space="0"/>
              <w:right w:val="nil"/>
            </w:tcBorders>
            <w:noWrap/>
            <w:vAlign w:val="center"/>
          </w:tcPr>
          <w:p w14:paraId="29C29A7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小计</w:t>
            </w: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3F61E46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40B228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5627686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0E6D3E3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41" w:type="pct"/>
            <w:tcBorders>
              <w:top w:val="single" w:color="000000" w:sz="4" w:space="0"/>
              <w:left w:val="nil"/>
              <w:bottom w:val="single" w:color="000000" w:sz="4" w:space="0"/>
              <w:right w:val="single" w:color="000000" w:sz="4" w:space="0"/>
            </w:tcBorders>
            <w:noWrap/>
            <w:vAlign w:val="center"/>
          </w:tcPr>
          <w:p w14:paraId="2A1706A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3E329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966" w:type="pct"/>
            <w:gridSpan w:val="5"/>
            <w:tcBorders>
              <w:top w:val="single" w:color="000000" w:sz="4" w:space="0"/>
              <w:left w:val="single" w:color="000000" w:sz="4" w:space="0"/>
              <w:bottom w:val="single" w:color="000000" w:sz="4" w:space="0"/>
              <w:right w:val="nil"/>
            </w:tcBorders>
            <w:noWrap/>
            <w:vAlign w:val="center"/>
          </w:tcPr>
          <w:p w14:paraId="0FAD7D2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合计</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53A07ADB">
            <w:pPr>
              <w:pageBreakBefore w:val="0"/>
              <w:bidi w:val="0"/>
              <w:adjustRightInd w:val="0"/>
              <w:snapToGrid w:val="0"/>
              <w:spacing w:beforeAutospacing="0" w:afterAutospacing="0" w:line="360" w:lineRule="auto"/>
              <w:ind w:left="0" w:leftChars="0" w:right="0"/>
              <w:rPr>
                <w:rFonts w:hint="eastAsia" w:ascii="宋体" w:hAnsi="宋体" w:eastAsia="宋体" w:cs="宋体"/>
                <w:b/>
                <w:bCs/>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4900DEC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nil"/>
              <w:bottom w:val="single" w:color="000000" w:sz="4" w:space="0"/>
              <w:right w:val="single" w:color="000000" w:sz="4" w:space="0"/>
            </w:tcBorders>
            <w:noWrap/>
            <w:vAlign w:val="center"/>
          </w:tcPr>
          <w:p w14:paraId="06883453">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bl>
    <w:p w14:paraId="2F2B9174">
      <w:pPr>
        <w:pageBreakBefore w:val="0"/>
        <w:bidi w:val="0"/>
        <w:adjustRightInd w:val="0"/>
        <w:snapToGrid w:val="0"/>
        <w:spacing w:beforeAutospacing="0" w:afterAutospacing="0" w:line="360" w:lineRule="auto"/>
        <w:ind w:left="0" w:leftChars="0" w:right="0"/>
        <w:rPr>
          <w:rFonts w:hint="eastAsia" w:ascii="宋体" w:hAnsi="宋体" w:eastAsia="宋体" w:cs="宋体"/>
        </w:rPr>
      </w:pPr>
    </w:p>
    <w:tbl>
      <w:tblPr>
        <w:tblStyle w:val="21"/>
        <w:tblW w:w="9438" w:type="dxa"/>
        <w:tblInd w:w="96" w:type="dxa"/>
        <w:tblLayout w:type="fixed"/>
        <w:tblCellMar>
          <w:top w:w="0" w:type="dxa"/>
          <w:left w:w="108" w:type="dxa"/>
          <w:bottom w:w="0" w:type="dxa"/>
          <w:right w:w="108" w:type="dxa"/>
        </w:tblCellMar>
      </w:tblPr>
      <w:tblGrid>
        <w:gridCol w:w="638"/>
        <w:gridCol w:w="1333"/>
        <w:gridCol w:w="1754"/>
        <w:gridCol w:w="2271"/>
        <w:gridCol w:w="638"/>
        <w:gridCol w:w="638"/>
        <w:gridCol w:w="849"/>
        <w:gridCol w:w="849"/>
        <w:gridCol w:w="468"/>
      </w:tblGrid>
      <w:tr w14:paraId="692C7A70">
        <w:tblPrEx>
          <w:tblCellMar>
            <w:top w:w="0" w:type="dxa"/>
            <w:left w:w="108" w:type="dxa"/>
            <w:bottom w:w="0" w:type="dxa"/>
            <w:right w:w="108" w:type="dxa"/>
          </w:tblCellMar>
        </w:tblPrEx>
        <w:trPr>
          <w:trHeight w:val="23" w:hRule="atLeast"/>
        </w:trPr>
        <w:tc>
          <w:tcPr>
            <w:tcW w:w="8970" w:type="dxa"/>
            <w:gridSpan w:val="8"/>
            <w:tcBorders>
              <w:top w:val="single" w:color="000000" w:sz="8" w:space="0"/>
              <w:left w:val="single" w:color="000000" w:sz="8" w:space="0"/>
              <w:bottom w:val="single" w:color="000000" w:sz="4" w:space="0"/>
              <w:right w:val="single" w:color="000000" w:sz="4" w:space="0"/>
            </w:tcBorders>
            <w:shd w:val="clear" w:color="auto" w:fill="auto"/>
            <w:noWrap/>
            <w:vAlign w:val="center"/>
          </w:tcPr>
          <w:p w14:paraId="14C9EDE0">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kern w:val="0"/>
                <w:sz w:val="21"/>
                <w:szCs w:val="21"/>
                <w:lang w:val="en-US" w:eastAsia="zh-CN" w:bidi="ar"/>
              </w:rPr>
              <w:t>二标段采购清单</w:t>
            </w:r>
            <w:r>
              <w:rPr>
                <w:rFonts w:hint="eastAsia" w:ascii="宋体" w:hAnsi="宋体" w:eastAsia="宋体" w:cs="宋体"/>
                <w:b/>
                <w:bCs/>
                <w:i w:val="0"/>
                <w:iCs w:val="0"/>
                <w:color w:val="auto"/>
                <w:kern w:val="0"/>
                <w:sz w:val="21"/>
                <w:szCs w:val="21"/>
                <w:u w:val="none"/>
                <w:lang w:val="en-US" w:eastAsia="zh-CN" w:bidi="ar"/>
              </w:rPr>
              <w:t>（货物需在备注里表明产品品牌型号）</w:t>
            </w:r>
          </w:p>
        </w:tc>
        <w:tc>
          <w:tcPr>
            <w:tcW w:w="468" w:type="dxa"/>
            <w:tcBorders>
              <w:top w:val="single" w:color="000000" w:sz="8" w:space="0"/>
              <w:left w:val="single" w:color="000000" w:sz="8" w:space="0"/>
              <w:bottom w:val="single" w:color="000000" w:sz="4" w:space="0"/>
              <w:right w:val="single" w:color="000000" w:sz="4" w:space="0"/>
            </w:tcBorders>
            <w:shd w:val="clear" w:color="auto" w:fill="auto"/>
            <w:noWrap/>
            <w:vAlign w:val="center"/>
          </w:tcPr>
          <w:p w14:paraId="2E095428">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val="en-US" w:eastAsia="zh-CN" w:bidi="ar"/>
              </w:rPr>
            </w:pPr>
          </w:p>
        </w:tc>
      </w:tr>
      <w:tr w14:paraId="2A6B35D5">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6429911">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序号</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9ADB2">
            <w:pPr>
              <w:pageBreakBefore w:val="0"/>
              <w:widowControl/>
              <w:bidi w:val="0"/>
              <w:adjustRightInd w:val="0"/>
              <w:snapToGrid w:val="0"/>
              <w:spacing w:beforeAutospacing="0" w:afterAutospacing="0" w:line="360" w:lineRule="auto"/>
              <w:ind w:left="0" w:leftChars="0" w:right="0"/>
              <w:jc w:val="center"/>
              <w:textAlignment w:val="center"/>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产品名称</w:t>
            </w:r>
          </w:p>
        </w:tc>
        <w:tc>
          <w:tcPr>
            <w:tcW w:w="40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CB4A4">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lang w:eastAsia="zh-CN"/>
              </w:rPr>
            </w:pPr>
            <w:r>
              <w:rPr>
                <w:rFonts w:hint="eastAsia" w:ascii="宋体" w:hAnsi="宋体" w:eastAsia="宋体" w:cs="宋体"/>
                <w:b/>
                <w:bCs/>
                <w:color w:val="auto"/>
                <w:kern w:val="0"/>
                <w:sz w:val="21"/>
                <w:szCs w:val="21"/>
                <w:lang w:bidi="ar"/>
              </w:rPr>
              <w:t>技术</w:t>
            </w:r>
            <w:r>
              <w:rPr>
                <w:rFonts w:hint="eastAsia" w:ascii="宋体" w:hAnsi="宋体" w:eastAsia="宋体" w:cs="宋体"/>
                <w:b/>
                <w:bCs/>
                <w:color w:val="auto"/>
                <w:kern w:val="0"/>
                <w:sz w:val="21"/>
                <w:szCs w:val="21"/>
                <w:lang w:val="en-US" w:eastAsia="zh-CN" w:bidi="ar"/>
              </w:rPr>
              <w:t>参数</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3D21B">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数量</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584F7">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单位</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141E6">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单价</w:t>
            </w:r>
          </w:p>
          <w:p w14:paraId="25265BE9">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（元）</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D4781">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总价</w:t>
            </w:r>
          </w:p>
          <w:p w14:paraId="479D95C0">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（元）</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CEA2B">
            <w:pPr>
              <w:pageBreakBefore w:val="0"/>
              <w:widowControl/>
              <w:bidi w:val="0"/>
              <w:adjustRightInd w:val="0"/>
              <w:snapToGrid w:val="0"/>
              <w:spacing w:beforeAutospacing="0" w:afterAutospacing="0" w:line="360" w:lineRule="auto"/>
              <w:ind w:left="0" w:leftChars="0" w:right="0"/>
              <w:jc w:val="both"/>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备注</w:t>
            </w:r>
          </w:p>
        </w:tc>
      </w:tr>
      <w:tr w14:paraId="0177D87B">
        <w:tblPrEx>
          <w:tblCellMar>
            <w:top w:w="0" w:type="dxa"/>
            <w:left w:w="108" w:type="dxa"/>
            <w:bottom w:w="0" w:type="dxa"/>
            <w:right w:w="108" w:type="dxa"/>
          </w:tblCellMar>
        </w:tblPrEx>
        <w:trPr>
          <w:trHeight w:val="23" w:hRule="atLeast"/>
        </w:trPr>
        <w:tc>
          <w:tcPr>
            <w:tcW w:w="8970" w:type="dxa"/>
            <w:gridSpan w:val="8"/>
            <w:tcBorders>
              <w:top w:val="single" w:color="000000" w:sz="4" w:space="0"/>
              <w:left w:val="single" w:color="000000" w:sz="8" w:space="0"/>
              <w:bottom w:val="single" w:color="000000" w:sz="4" w:space="0"/>
              <w:right w:val="single" w:color="000000" w:sz="4" w:space="0"/>
            </w:tcBorders>
            <w:shd w:val="clear" w:color="auto" w:fill="auto"/>
            <w:noWrap/>
            <w:vAlign w:val="center"/>
          </w:tcPr>
          <w:p w14:paraId="5A247597">
            <w:pPr>
              <w:pageBreakBefore w:val="0"/>
              <w:widowControl/>
              <w:bidi w:val="0"/>
              <w:adjustRightInd w:val="0"/>
              <w:snapToGrid w:val="0"/>
              <w:spacing w:beforeAutospacing="0" w:afterAutospacing="0" w:line="360" w:lineRule="auto"/>
              <w:ind w:left="0" w:leftChars="0" w:right="0"/>
              <w:jc w:val="both"/>
              <w:textAlignment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一、大思政教育教学中心软件</w:t>
            </w:r>
          </w:p>
        </w:tc>
        <w:tc>
          <w:tcPr>
            <w:tcW w:w="46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E685EAF">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bidi="ar"/>
              </w:rPr>
            </w:pPr>
          </w:p>
        </w:tc>
      </w:tr>
      <w:tr w14:paraId="3A322AA3">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4B36CE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6A95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党建思政资源中心</w:t>
            </w:r>
          </w:p>
        </w:tc>
        <w:tc>
          <w:tcPr>
            <w:tcW w:w="4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6DA9B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7906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8669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16A3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039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F3EE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6ABC4B91">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1144AB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1A1E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思政课程教学资源（中职）</w:t>
            </w:r>
          </w:p>
        </w:tc>
        <w:tc>
          <w:tcPr>
            <w:tcW w:w="4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223D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8BD0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B54D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7173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9AAF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F250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275466EF">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5A45B2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BC83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WEB端仿真资源（中职）</w:t>
            </w:r>
          </w:p>
        </w:tc>
        <w:tc>
          <w:tcPr>
            <w:tcW w:w="4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C4663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6358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A7B9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B43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0484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60A1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682BCCEC">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AE40B9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DC2E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全景思政资源</w:t>
            </w:r>
          </w:p>
        </w:tc>
        <w:tc>
          <w:tcPr>
            <w:tcW w:w="4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A33A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FCA4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0E2F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0268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C2BF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D1ED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1FC2EE94">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98087F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2AE5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党的精神谱系资源</w:t>
            </w:r>
          </w:p>
        </w:tc>
        <w:tc>
          <w:tcPr>
            <w:tcW w:w="4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7625A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A018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845D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E572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0ED1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32E7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6C248464">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EF7166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63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327E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小计：</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097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92D7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C07F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58E0D8CF">
        <w:tblPrEx>
          <w:tblCellMar>
            <w:top w:w="0" w:type="dxa"/>
            <w:left w:w="108" w:type="dxa"/>
            <w:bottom w:w="0" w:type="dxa"/>
            <w:right w:w="108" w:type="dxa"/>
          </w:tblCellMar>
        </w:tblPrEx>
        <w:trPr>
          <w:trHeight w:val="23" w:hRule="atLeast"/>
        </w:trPr>
        <w:tc>
          <w:tcPr>
            <w:tcW w:w="8970" w:type="dxa"/>
            <w:gridSpan w:val="8"/>
            <w:tcBorders>
              <w:top w:val="single" w:color="000000" w:sz="4" w:space="0"/>
              <w:left w:val="single" w:color="000000" w:sz="8" w:space="0"/>
              <w:bottom w:val="single" w:color="000000" w:sz="4" w:space="0"/>
              <w:right w:val="single" w:color="000000" w:sz="4" w:space="0"/>
            </w:tcBorders>
            <w:shd w:val="clear" w:color="auto" w:fill="auto"/>
            <w:noWrap/>
            <w:vAlign w:val="center"/>
          </w:tcPr>
          <w:p w14:paraId="7BF74F9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二、vr党建思政培育中心（党建会议室）</w:t>
            </w:r>
          </w:p>
        </w:tc>
        <w:tc>
          <w:tcPr>
            <w:tcW w:w="46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1905A5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529D52BD">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5B0CCD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E206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VR一体机</w:t>
            </w:r>
          </w:p>
        </w:tc>
        <w:tc>
          <w:tcPr>
            <w:tcW w:w="4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78878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BB35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DF37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752D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AEC2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1E21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7E2363DE">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8100DF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C9D0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党建工作站</w:t>
            </w:r>
          </w:p>
        </w:tc>
        <w:tc>
          <w:tcPr>
            <w:tcW w:w="4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FFB9D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683D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7062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3C75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5171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4C5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665106E2">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3CBBA2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63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F9FA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小计：</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C276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916F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D09B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69C9CA4B">
        <w:tblPrEx>
          <w:tblCellMar>
            <w:top w:w="0" w:type="dxa"/>
            <w:left w:w="108" w:type="dxa"/>
            <w:bottom w:w="0" w:type="dxa"/>
            <w:right w:w="108" w:type="dxa"/>
          </w:tblCellMar>
        </w:tblPrEx>
        <w:trPr>
          <w:trHeight w:val="23" w:hRule="atLeast"/>
        </w:trPr>
        <w:tc>
          <w:tcPr>
            <w:tcW w:w="8970" w:type="dxa"/>
            <w:gridSpan w:val="8"/>
            <w:tcBorders>
              <w:top w:val="single" w:color="000000" w:sz="4" w:space="0"/>
              <w:left w:val="single" w:color="000000" w:sz="8" w:space="0"/>
              <w:bottom w:val="single" w:color="000000" w:sz="4" w:space="0"/>
              <w:right w:val="single" w:color="000000" w:sz="4" w:space="0"/>
            </w:tcBorders>
            <w:shd w:val="clear" w:color="auto" w:fill="auto"/>
            <w:noWrap/>
            <w:vAlign w:val="center"/>
          </w:tcPr>
          <w:p w14:paraId="292EE24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三、党建思政红色教育基地（大礼堂）</w:t>
            </w:r>
          </w:p>
        </w:tc>
        <w:tc>
          <w:tcPr>
            <w:tcW w:w="46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D47F51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01372804">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6A792F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250E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场地翻新与红色氛围打造</w:t>
            </w:r>
          </w:p>
        </w:tc>
        <w:tc>
          <w:tcPr>
            <w:tcW w:w="4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D4F10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7BDE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529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03B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E3C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1E0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22B15AC5">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DCECE3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7294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AR智慧党建沙盘系统</w:t>
            </w:r>
          </w:p>
        </w:tc>
        <w:tc>
          <w:tcPr>
            <w:tcW w:w="4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033CD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60EE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56C5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81A2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100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715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50088BC7">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EE5A1A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10DC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三门峡本地红色资源不少于5个。</w:t>
            </w:r>
          </w:p>
        </w:tc>
        <w:tc>
          <w:tcPr>
            <w:tcW w:w="4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DAA8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BCD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9C9B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3D40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2A9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393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55D70813">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B718E8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30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2488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35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D474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小计</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F9D3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4967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B4D7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5D666756">
        <w:tblPrEx>
          <w:tblCellMar>
            <w:top w:w="0" w:type="dxa"/>
            <w:left w:w="108" w:type="dxa"/>
            <w:bottom w:w="0" w:type="dxa"/>
            <w:right w:w="108" w:type="dxa"/>
          </w:tblCellMar>
        </w:tblPrEx>
        <w:trPr>
          <w:trHeight w:val="23" w:hRule="atLeast"/>
        </w:trPr>
        <w:tc>
          <w:tcPr>
            <w:tcW w:w="8970" w:type="dxa"/>
            <w:gridSpan w:val="8"/>
            <w:tcBorders>
              <w:top w:val="single" w:color="000000" w:sz="4" w:space="0"/>
              <w:left w:val="single" w:color="000000" w:sz="8" w:space="0"/>
              <w:bottom w:val="nil"/>
              <w:right w:val="single" w:color="000000" w:sz="4" w:space="0"/>
            </w:tcBorders>
            <w:shd w:val="clear" w:color="auto" w:fill="auto"/>
            <w:noWrap/>
            <w:vAlign w:val="center"/>
          </w:tcPr>
          <w:p w14:paraId="6299E0B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四、教学楼红色文化打造</w:t>
            </w:r>
          </w:p>
        </w:tc>
        <w:tc>
          <w:tcPr>
            <w:tcW w:w="468" w:type="dxa"/>
            <w:tcBorders>
              <w:top w:val="single" w:color="000000" w:sz="4" w:space="0"/>
              <w:left w:val="single" w:color="000000" w:sz="8" w:space="0"/>
              <w:bottom w:val="nil"/>
              <w:right w:val="single" w:color="000000" w:sz="4" w:space="0"/>
            </w:tcBorders>
            <w:shd w:val="clear" w:color="auto" w:fill="auto"/>
            <w:noWrap/>
            <w:vAlign w:val="center"/>
          </w:tcPr>
          <w:p w14:paraId="3D999FA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36A15E87">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nil"/>
              <w:right w:val="single" w:color="000000" w:sz="4" w:space="0"/>
            </w:tcBorders>
            <w:shd w:val="clear" w:color="auto" w:fill="auto"/>
            <w:noWrap/>
            <w:vAlign w:val="center"/>
          </w:tcPr>
          <w:p w14:paraId="66322EE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33" w:type="dxa"/>
            <w:tcBorders>
              <w:top w:val="single" w:color="000000" w:sz="4" w:space="0"/>
              <w:left w:val="single" w:color="000000" w:sz="4" w:space="0"/>
              <w:bottom w:val="nil"/>
              <w:right w:val="single" w:color="000000" w:sz="4" w:space="0"/>
            </w:tcBorders>
            <w:shd w:val="clear" w:color="auto" w:fill="auto"/>
            <w:noWrap/>
            <w:vAlign w:val="center"/>
          </w:tcPr>
          <w:p w14:paraId="10AD9E4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一二楼走廊</w:t>
            </w:r>
          </w:p>
        </w:tc>
        <w:tc>
          <w:tcPr>
            <w:tcW w:w="4025" w:type="dxa"/>
            <w:gridSpan w:val="2"/>
            <w:tcBorders>
              <w:top w:val="single" w:color="000000" w:sz="4" w:space="0"/>
              <w:left w:val="single" w:color="000000" w:sz="4" w:space="0"/>
              <w:bottom w:val="nil"/>
              <w:right w:val="single" w:color="000000" w:sz="4" w:space="0"/>
            </w:tcBorders>
            <w:shd w:val="clear" w:color="auto" w:fill="auto"/>
            <w:vAlign w:val="center"/>
          </w:tcPr>
          <w:p w14:paraId="64A350B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614EAB7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0D971BF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0C5DDAD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3D21C52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nil"/>
              <w:right w:val="single" w:color="000000" w:sz="4" w:space="0"/>
            </w:tcBorders>
            <w:shd w:val="clear" w:color="auto" w:fill="auto"/>
            <w:noWrap/>
            <w:vAlign w:val="center"/>
          </w:tcPr>
          <w:p w14:paraId="53BDA36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4BA11DA1">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nil"/>
              <w:right w:val="single" w:color="000000" w:sz="4" w:space="0"/>
            </w:tcBorders>
            <w:shd w:val="clear" w:color="auto" w:fill="auto"/>
            <w:noWrap/>
            <w:vAlign w:val="center"/>
          </w:tcPr>
          <w:p w14:paraId="378DB84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p w14:paraId="4EA3F61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333" w:type="dxa"/>
            <w:tcBorders>
              <w:top w:val="single" w:color="000000" w:sz="4" w:space="0"/>
              <w:left w:val="single" w:color="000000" w:sz="4" w:space="0"/>
              <w:bottom w:val="nil"/>
              <w:right w:val="single" w:color="000000" w:sz="4" w:space="0"/>
            </w:tcBorders>
            <w:shd w:val="clear" w:color="auto" w:fill="auto"/>
            <w:noWrap/>
            <w:vAlign w:val="center"/>
          </w:tcPr>
          <w:p w14:paraId="73BC642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思政文化智能宣传栏</w:t>
            </w:r>
          </w:p>
        </w:tc>
        <w:tc>
          <w:tcPr>
            <w:tcW w:w="4025" w:type="dxa"/>
            <w:gridSpan w:val="2"/>
            <w:tcBorders>
              <w:top w:val="single" w:color="000000" w:sz="4" w:space="0"/>
              <w:left w:val="single" w:color="000000" w:sz="4" w:space="0"/>
              <w:bottom w:val="nil"/>
              <w:right w:val="single" w:color="000000" w:sz="4" w:space="0"/>
            </w:tcBorders>
            <w:shd w:val="clear" w:color="auto" w:fill="auto"/>
            <w:vAlign w:val="center"/>
          </w:tcPr>
          <w:p w14:paraId="6B2C2CD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1A6B7FB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502FE23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58E78EB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5BFF62E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nil"/>
              <w:right w:val="single" w:color="000000" w:sz="4" w:space="0"/>
            </w:tcBorders>
            <w:shd w:val="clear" w:color="auto" w:fill="auto"/>
            <w:noWrap/>
            <w:vAlign w:val="center"/>
          </w:tcPr>
          <w:p w14:paraId="3CA5855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3042546A">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nil"/>
              <w:right w:val="single" w:color="000000" w:sz="4" w:space="0"/>
            </w:tcBorders>
            <w:shd w:val="clear" w:color="auto" w:fill="auto"/>
            <w:noWrap/>
            <w:vAlign w:val="center"/>
          </w:tcPr>
          <w:p w14:paraId="2131121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333" w:type="dxa"/>
            <w:tcBorders>
              <w:top w:val="single" w:color="000000" w:sz="4" w:space="0"/>
              <w:left w:val="single" w:color="000000" w:sz="4" w:space="0"/>
              <w:bottom w:val="nil"/>
              <w:right w:val="single" w:color="000000" w:sz="4" w:space="0"/>
            </w:tcBorders>
            <w:shd w:val="clear" w:color="auto" w:fill="auto"/>
            <w:noWrap/>
            <w:vAlign w:val="center"/>
          </w:tcPr>
          <w:p w14:paraId="2E2F961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思政文化智能垃圾箱</w:t>
            </w:r>
          </w:p>
        </w:tc>
        <w:tc>
          <w:tcPr>
            <w:tcW w:w="4025" w:type="dxa"/>
            <w:gridSpan w:val="2"/>
            <w:tcBorders>
              <w:top w:val="single" w:color="000000" w:sz="4" w:space="0"/>
              <w:left w:val="single" w:color="000000" w:sz="4" w:space="0"/>
              <w:bottom w:val="nil"/>
              <w:right w:val="single" w:color="000000" w:sz="4" w:space="0"/>
            </w:tcBorders>
            <w:shd w:val="clear" w:color="auto" w:fill="auto"/>
            <w:vAlign w:val="center"/>
          </w:tcPr>
          <w:p w14:paraId="23A297D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237AF19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60</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2B1126C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2FD1414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6F6901C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nil"/>
              <w:right w:val="single" w:color="000000" w:sz="4" w:space="0"/>
            </w:tcBorders>
            <w:shd w:val="clear" w:color="auto" w:fill="auto"/>
            <w:noWrap/>
            <w:vAlign w:val="center"/>
          </w:tcPr>
          <w:p w14:paraId="20C458B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139788DD">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nil"/>
              <w:right w:val="single" w:color="000000" w:sz="4" w:space="0"/>
            </w:tcBorders>
            <w:shd w:val="clear" w:color="auto" w:fill="auto"/>
            <w:noWrap/>
            <w:vAlign w:val="center"/>
          </w:tcPr>
          <w:p w14:paraId="4F8B5DA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333" w:type="dxa"/>
            <w:tcBorders>
              <w:top w:val="single" w:color="000000" w:sz="4" w:space="0"/>
              <w:left w:val="single" w:color="000000" w:sz="4" w:space="0"/>
              <w:bottom w:val="nil"/>
              <w:right w:val="single" w:color="000000" w:sz="4" w:space="0"/>
            </w:tcBorders>
            <w:shd w:val="clear" w:color="auto" w:fill="auto"/>
            <w:noWrap/>
            <w:vAlign w:val="center"/>
          </w:tcPr>
          <w:p w14:paraId="62D9A88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思政堂桌</w:t>
            </w:r>
          </w:p>
        </w:tc>
        <w:tc>
          <w:tcPr>
            <w:tcW w:w="4025" w:type="dxa"/>
            <w:gridSpan w:val="2"/>
            <w:tcBorders>
              <w:top w:val="single" w:color="000000" w:sz="4" w:space="0"/>
              <w:left w:val="single" w:color="000000" w:sz="4" w:space="0"/>
              <w:bottom w:val="nil"/>
              <w:right w:val="single" w:color="000000" w:sz="4" w:space="0"/>
            </w:tcBorders>
            <w:shd w:val="clear" w:color="auto" w:fill="auto"/>
            <w:vAlign w:val="center"/>
          </w:tcPr>
          <w:p w14:paraId="658654A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1C7B0F0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46BDA0D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5B6F4F2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61AFAA7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nil"/>
              <w:right w:val="single" w:color="000000" w:sz="4" w:space="0"/>
            </w:tcBorders>
            <w:shd w:val="clear" w:color="auto" w:fill="auto"/>
            <w:noWrap/>
            <w:vAlign w:val="center"/>
          </w:tcPr>
          <w:p w14:paraId="75C523B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767635AB">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nil"/>
              <w:right w:val="single" w:color="000000" w:sz="4" w:space="0"/>
            </w:tcBorders>
            <w:shd w:val="clear" w:color="auto" w:fill="auto"/>
            <w:noWrap/>
            <w:vAlign w:val="center"/>
          </w:tcPr>
          <w:p w14:paraId="684357A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333" w:type="dxa"/>
            <w:tcBorders>
              <w:top w:val="single" w:color="000000" w:sz="4" w:space="0"/>
              <w:left w:val="single" w:color="000000" w:sz="4" w:space="0"/>
              <w:bottom w:val="nil"/>
              <w:right w:val="single" w:color="000000" w:sz="4" w:space="0"/>
            </w:tcBorders>
            <w:shd w:val="clear" w:color="auto" w:fill="auto"/>
            <w:noWrap/>
            <w:vAlign w:val="center"/>
          </w:tcPr>
          <w:p w14:paraId="5F9B331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空调</w:t>
            </w:r>
          </w:p>
        </w:tc>
        <w:tc>
          <w:tcPr>
            <w:tcW w:w="4025" w:type="dxa"/>
            <w:gridSpan w:val="2"/>
            <w:tcBorders>
              <w:top w:val="single" w:color="000000" w:sz="4" w:space="0"/>
              <w:left w:val="single" w:color="000000" w:sz="4" w:space="0"/>
              <w:bottom w:val="nil"/>
              <w:right w:val="single" w:color="000000" w:sz="4" w:space="0"/>
            </w:tcBorders>
            <w:shd w:val="clear" w:color="auto" w:fill="auto"/>
            <w:vAlign w:val="center"/>
          </w:tcPr>
          <w:p w14:paraId="69AF9E1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39C3013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77DC5BE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52F454C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1262CF5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nil"/>
              <w:right w:val="single" w:color="000000" w:sz="4" w:space="0"/>
            </w:tcBorders>
            <w:shd w:val="clear" w:color="auto" w:fill="auto"/>
            <w:noWrap/>
            <w:vAlign w:val="center"/>
          </w:tcPr>
          <w:p w14:paraId="4F51CD7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6577FEB6">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nil"/>
              <w:right w:val="single" w:color="000000" w:sz="4" w:space="0"/>
            </w:tcBorders>
            <w:shd w:val="clear" w:color="auto" w:fill="auto"/>
            <w:noWrap/>
            <w:vAlign w:val="center"/>
          </w:tcPr>
          <w:p w14:paraId="0560F33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333" w:type="dxa"/>
            <w:tcBorders>
              <w:top w:val="single" w:color="000000" w:sz="4" w:space="0"/>
              <w:left w:val="single" w:color="000000" w:sz="4" w:space="0"/>
              <w:bottom w:val="nil"/>
              <w:right w:val="single" w:color="000000" w:sz="4" w:space="0"/>
            </w:tcBorders>
            <w:shd w:val="clear" w:color="auto" w:fill="auto"/>
            <w:noWrap/>
            <w:vAlign w:val="center"/>
          </w:tcPr>
          <w:p w14:paraId="5B0043C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校门面房思政版面更新</w:t>
            </w:r>
          </w:p>
        </w:tc>
        <w:tc>
          <w:tcPr>
            <w:tcW w:w="4025" w:type="dxa"/>
            <w:gridSpan w:val="2"/>
            <w:tcBorders>
              <w:top w:val="single" w:color="000000" w:sz="4" w:space="0"/>
              <w:left w:val="single" w:color="000000" w:sz="4" w:space="0"/>
              <w:bottom w:val="nil"/>
              <w:right w:val="single" w:color="000000" w:sz="4" w:space="0"/>
            </w:tcBorders>
            <w:shd w:val="clear" w:color="auto" w:fill="auto"/>
            <w:vAlign w:val="center"/>
          </w:tcPr>
          <w:p w14:paraId="7F9C248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6B84AD8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627DEAD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块</w:t>
            </w: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26EA58D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2FBBE5B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nil"/>
              <w:right w:val="single" w:color="000000" w:sz="4" w:space="0"/>
            </w:tcBorders>
            <w:shd w:val="clear" w:color="auto" w:fill="auto"/>
            <w:noWrap/>
            <w:vAlign w:val="center"/>
          </w:tcPr>
          <w:p w14:paraId="1687E92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179E79E7">
        <w:tblPrEx>
          <w:tblCellMar>
            <w:top w:w="0" w:type="dxa"/>
            <w:left w:w="108" w:type="dxa"/>
            <w:bottom w:w="0" w:type="dxa"/>
            <w:right w:w="108" w:type="dxa"/>
          </w:tblCellMar>
        </w:tblPrEx>
        <w:trPr>
          <w:trHeight w:val="710" w:hRule="atLeast"/>
        </w:trPr>
        <w:tc>
          <w:tcPr>
            <w:tcW w:w="638" w:type="dxa"/>
            <w:tcBorders>
              <w:top w:val="single" w:color="000000" w:sz="4" w:space="0"/>
              <w:left w:val="single" w:color="000000" w:sz="8" w:space="0"/>
              <w:bottom w:val="nil"/>
              <w:right w:val="single" w:color="000000" w:sz="4" w:space="0"/>
            </w:tcBorders>
            <w:shd w:val="clear" w:color="auto" w:fill="auto"/>
            <w:noWrap/>
            <w:vAlign w:val="top"/>
          </w:tcPr>
          <w:p w14:paraId="7D6D895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p w14:paraId="1782C8F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7</w:t>
            </w:r>
          </w:p>
        </w:tc>
        <w:tc>
          <w:tcPr>
            <w:tcW w:w="1333" w:type="dxa"/>
            <w:tcBorders>
              <w:top w:val="single" w:color="000000" w:sz="4" w:space="0"/>
              <w:left w:val="single" w:color="000000" w:sz="4" w:space="0"/>
              <w:bottom w:val="nil"/>
              <w:right w:val="single" w:color="000000" w:sz="4" w:space="0"/>
            </w:tcBorders>
            <w:shd w:val="clear" w:color="auto" w:fill="auto"/>
            <w:noWrap/>
            <w:vAlign w:val="top"/>
          </w:tcPr>
          <w:p w14:paraId="6D2AECB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多功能校园垃圾车</w:t>
            </w:r>
          </w:p>
          <w:p w14:paraId="1E84D8B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en-US"/>
              </w:rPr>
            </w:pPr>
          </w:p>
        </w:tc>
        <w:tc>
          <w:tcPr>
            <w:tcW w:w="4025" w:type="dxa"/>
            <w:gridSpan w:val="2"/>
            <w:tcBorders>
              <w:top w:val="single" w:color="000000" w:sz="4" w:space="0"/>
              <w:left w:val="single" w:color="000000" w:sz="4" w:space="0"/>
              <w:bottom w:val="nil"/>
              <w:right w:val="single" w:color="000000" w:sz="4" w:space="0"/>
            </w:tcBorders>
            <w:shd w:val="clear" w:color="auto" w:fill="auto"/>
            <w:vAlign w:val="top"/>
          </w:tcPr>
          <w:p w14:paraId="2B47A4A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nil"/>
              <w:right w:val="single" w:color="000000" w:sz="4" w:space="0"/>
            </w:tcBorders>
            <w:shd w:val="clear" w:color="auto" w:fill="auto"/>
            <w:noWrap/>
            <w:vAlign w:val="top"/>
          </w:tcPr>
          <w:p w14:paraId="36C594E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nil"/>
              <w:right w:val="single" w:color="000000" w:sz="4" w:space="0"/>
            </w:tcBorders>
            <w:shd w:val="clear" w:color="auto" w:fill="auto"/>
            <w:noWrap/>
            <w:vAlign w:val="top"/>
          </w:tcPr>
          <w:p w14:paraId="4AA45D3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849" w:type="dxa"/>
            <w:tcBorders>
              <w:top w:val="single" w:color="000000" w:sz="4" w:space="0"/>
              <w:left w:val="single" w:color="000000" w:sz="4" w:space="0"/>
              <w:bottom w:val="nil"/>
              <w:right w:val="single" w:color="000000" w:sz="4" w:space="0"/>
            </w:tcBorders>
            <w:shd w:val="clear" w:color="auto" w:fill="auto"/>
            <w:noWrap/>
            <w:vAlign w:val="top"/>
          </w:tcPr>
          <w:p w14:paraId="0C3B03F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top"/>
          </w:tcPr>
          <w:p w14:paraId="111FBEF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nil"/>
              <w:right w:val="single" w:color="000000" w:sz="4" w:space="0"/>
            </w:tcBorders>
            <w:shd w:val="clear" w:color="auto" w:fill="auto"/>
            <w:noWrap/>
            <w:vAlign w:val="top"/>
          </w:tcPr>
          <w:p w14:paraId="51314CB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4B61F64C">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nil"/>
              <w:right w:val="single" w:color="000000" w:sz="4" w:space="0"/>
            </w:tcBorders>
            <w:shd w:val="clear" w:color="auto" w:fill="auto"/>
            <w:noWrap/>
            <w:vAlign w:val="top"/>
          </w:tcPr>
          <w:p w14:paraId="7B49567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8</w:t>
            </w:r>
          </w:p>
        </w:tc>
        <w:tc>
          <w:tcPr>
            <w:tcW w:w="1333" w:type="dxa"/>
            <w:tcBorders>
              <w:top w:val="single" w:color="000000" w:sz="4" w:space="0"/>
              <w:left w:val="single" w:color="000000" w:sz="4" w:space="0"/>
              <w:bottom w:val="nil"/>
              <w:right w:val="single" w:color="000000" w:sz="4" w:space="0"/>
            </w:tcBorders>
            <w:shd w:val="clear" w:color="auto" w:fill="auto"/>
            <w:noWrap/>
            <w:vAlign w:val="top"/>
          </w:tcPr>
          <w:p w14:paraId="676A0D9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党建资料室 桌、椅、柜</w:t>
            </w:r>
          </w:p>
        </w:tc>
        <w:tc>
          <w:tcPr>
            <w:tcW w:w="4025" w:type="dxa"/>
            <w:gridSpan w:val="2"/>
            <w:tcBorders>
              <w:top w:val="single" w:color="000000" w:sz="4" w:space="0"/>
              <w:left w:val="single" w:color="000000" w:sz="4" w:space="0"/>
              <w:bottom w:val="nil"/>
              <w:right w:val="single" w:color="000000" w:sz="4" w:space="0"/>
            </w:tcBorders>
            <w:shd w:val="clear" w:color="auto" w:fill="auto"/>
            <w:vAlign w:val="top"/>
          </w:tcPr>
          <w:p w14:paraId="1BA27A8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nil"/>
              <w:right w:val="single" w:color="000000" w:sz="4" w:space="0"/>
            </w:tcBorders>
            <w:shd w:val="clear" w:color="auto" w:fill="auto"/>
            <w:noWrap/>
            <w:vAlign w:val="top"/>
          </w:tcPr>
          <w:p w14:paraId="1A68B9F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nil"/>
              <w:right w:val="single" w:color="000000" w:sz="4" w:space="0"/>
            </w:tcBorders>
            <w:shd w:val="clear" w:color="auto" w:fill="auto"/>
            <w:noWrap/>
            <w:vAlign w:val="top"/>
          </w:tcPr>
          <w:p w14:paraId="7A4AD2C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49" w:type="dxa"/>
            <w:tcBorders>
              <w:top w:val="single" w:color="000000" w:sz="4" w:space="0"/>
              <w:left w:val="single" w:color="000000" w:sz="4" w:space="0"/>
              <w:bottom w:val="nil"/>
              <w:right w:val="single" w:color="000000" w:sz="4" w:space="0"/>
            </w:tcBorders>
            <w:shd w:val="clear" w:color="auto" w:fill="auto"/>
            <w:noWrap/>
            <w:vAlign w:val="top"/>
          </w:tcPr>
          <w:p w14:paraId="523BCDB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top"/>
          </w:tcPr>
          <w:p w14:paraId="1651C9B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nil"/>
              <w:right w:val="single" w:color="000000" w:sz="4" w:space="0"/>
            </w:tcBorders>
            <w:shd w:val="clear" w:color="auto" w:fill="auto"/>
            <w:noWrap/>
            <w:vAlign w:val="top"/>
          </w:tcPr>
          <w:p w14:paraId="371640D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38F06930">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nil"/>
              <w:right w:val="single" w:color="000000" w:sz="4" w:space="0"/>
            </w:tcBorders>
            <w:shd w:val="clear" w:color="auto" w:fill="auto"/>
            <w:noWrap/>
            <w:vAlign w:val="center"/>
          </w:tcPr>
          <w:p w14:paraId="7A46C4C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1333" w:type="dxa"/>
            <w:tcBorders>
              <w:top w:val="single" w:color="000000" w:sz="4" w:space="0"/>
              <w:left w:val="single" w:color="000000" w:sz="4" w:space="0"/>
              <w:bottom w:val="nil"/>
              <w:right w:val="single" w:color="000000" w:sz="4" w:space="0"/>
            </w:tcBorders>
            <w:shd w:val="clear" w:color="auto" w:fill="auto"/>
            <w:noWrap/>
            <w:vAlign w:val="center"/>
          </w:tcPr>
          <w:p w14:paraId="33F18F4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025" w:type="dxa"/>
            <w:gridSpan w:val="2"/>
            <w:tcBorders>
              <w:top w:val="single" w:color="000000" w:sz="4" w:space="0"/>
              <w:left w:val="single" w:color="000000" w:sz="4" w:space="0"/>
              <w:bottom w:val="nil"/>
              <w:right w:val="single" w:color="000000" w:sz="4" w:space="0"/>
            </w:tcBorders>
            <w:shd w:val="clear" w:color="auto" w:fill="auto"/>
            <w:vAlign w:val="center"/>
          </w:tcPr>
          <w:p w14:paraId="4B7C8C1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小计</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11698CD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5FCBCCE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0FDB16A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53323AF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nil"/>
              <w:right w:val="single" w:color="000000" w:sz="4" w:space="0"/>
            </w:tcBorders>
            <w:shd w:val="clear" w:color="auto" w:fill="auto"/>
            <w:noWrap/>
            <w:vAlign w:val="center"/>
          </w:tcPr>
          <w:p w14:paraId="7613D22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476E7203">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8" w:space="0"/>
              <w:right w:val="single" w:color="000000" w:sz="4" w:space="0"/>
            </w:tcBorders>
            <w:shd w:val="clear" w:color="auto" w:fill="auto"/>
            <w:noWrap/>
            <w:vAlign w:val="center"/>
          </w:tcPr>
          <w:p w14:paraId="23B0A7F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634" w:type="dxa"/>
            <w:gridSpan w:val="5"/>
            <w:tcBorders>
              <w:top w:val="single" w:color="000000" w:sz="4" w:space="0"/>
              <w:left w:val="single" w:color="000000" w:sz="4" w:space="0"/>
              <w:bottom w:val="single" w:color="000000" w:sz="8" w:space="0"/>
              <w:right w:val="single" w:color="000000" w:sz="4" w:space="0"/>
            </w:tcBorders>
            <w:shd w:val="clear" w:color="auto" w:fill="auto"/>
            <w:noWrap/>
            <w:vAlign w:val="center"/>
          </w:tcPr>
          <w:p w14:paraId="1E65815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合计</w:t>
            </w:r>
          </w:p>
        </w:tc>
        <w:tc>
          <w:tcPr>
            <w:tcW w:w="849"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184E400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1F71783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47F618B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bl>
    <w:p w14:paraId="3809AE37">
      <w:pPr>
        <w:pageBreakBefore w:val="0"/>
        <w:bidi w:val="0"/>
        <w:adjustRightInd w:val="0"/>
        <w:snapToGrid w:val="0"/>
        <w:spacing w:beforeAutospacing="0" w:afterAutospacing="0" w:line="360" w:lineRule="auto"/>
        <w:ind w:left="0" w:leftChars="0" w:right="0"/>
        <w:rPr>
          <w:rFonts w:hint="eastAsia" w:ascii="宋体" w:hAnsi="宋体" w:eastAsia="宋体" w:cs="宋体"/>
          <w:lang w:val="en-US" w:eastAsia="zh-CN"/>
        </w:rPr>
      </w:pPr>
    </w:p>
    <w:p w14:paraId="7FAD5103">
      <w:pPr>
        <w:pageBreakBefore w:val="0"/>
        <w:bidi w:val="0"/>
        <w:adjustRightInd w:val="0"/>
        <w:snapToGrid w:val="0"/>
        <w:spacing w:beforeAutospacing="0" w:afterAutospacing="0" w:line="360" w:lineRule="auto"/>
        <w:ind w:left="0" w:leftChars="0" w:right="0"/>
        <w:rPr>
          <w:rFonts w:hint="eastAsia" w:ascii="宋体" w:hAnsi="宋体" w:eastAsia="宋体" w:cs="宋体"/>
          <w:lang w:val="en-US" w:eastAsia="zh-CN"/>
        </w:rPr>
      </w:pPr>
    </w:p>
    <w:tbl>
      <w:tblPr>
        <w:tblStyle w:val="21"/>
        <w:tblW w:w="0" w:type="auto"/>
        <w:tblInd w:w="96" w:type="dxa"/>
        <w:tblLayout w:type="autofit"/>
        <w:tblCellMar>
          <w:top w:w="0" w:type="dxa"/>
          <w:left w:w="108" w:type="dxa"/>
          <w:bottom w:w="0" w:type="dxa"/>
          <w:right w:w="108" w:type="dxa"/>
        </w:tblCellMar>
      </w:tblPr>
      <w:tblGrid>
        <w:gridCol w:w="590"/>
        <w:gridCol w:w="1418"/>
        <w:gridCol w:w="3043"/>
        <w:gridCol w:w="613"/>
        <w:gridCol w:w="590"/>
        <w:gridCol w:w="1174"/>
        <w:gridCol w:w="1174"/>
        <w:gridCol w:w="590"/>
      </w:tblGrid>
      <w:tr w14:paraId="6BB73E21">
        <w:tblPrEx>
          <w:tblCellMar>
            <w:top w:w="0" w:type="dxa"/>
            <w:left w:w="108" w:type="dxa"/>
            <w:bottom w:w="0" w:type="dxa"/>
            <w:right w:w="108" w:type="dxa"/>
          </w:tblCellMar>
        </w:tblPrEx>
        <w:trPr>
          <w:trHeight w:val="932"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266C6AE">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kern w:val="0"/>
                <w:sz w:val="21"/>
                <w:szCs w:val="21"/>
                <w:lang w:bidi="ar"/>
              </w:rPr>
            </w:pPr>
            <w:r>
              <w:rPr>
                <w:rFonts w:hint="eastAsia" w:ascii="宋体" w:hAnsi="宋体" w:eastAsia="宋体" w:cs="宋体"/>
                <w:b/>
                <w:bCs/>
                <w:sz w:val="21"/>
                <w:szCs w:val="21"/>
                <w:lang w:val="en-US" w:eastAsia="zh-CN"/>
              </w:rPr>
              <w:t>三标段采购清单</w:t>
            </w:r>
            <w:r>
              <w:rPr>
                <w:rFonts w:hint="eastAsia" w:ascii="宋体" w:hAnsi="宋体" w:eastAsia="宋体" w:cs="宋体"/>
                <w:b/>
                <w:bCs/>
                <w:i w:val="0"/>
                <w:iCs w:val="0"/>
                <w:color w:val="auto"/>
                <w:kern w:val="0"/>
                <w:sz w:val="21"/>
                <w:szCs w:val="21"/>
                <w:u w:val="none"/>
                <w:lang w:val="en-US" w:eastAsia="zh-CN" w:bidi="ar"/>
              </w:rPr>
              <w:t>（货物需在备注里表明产品品牌型号）</w:t>
            </w:r>
          </w:p>
        </w:tc>
      </w:tr>
      <w:tr w14:paraId="6A0DC08E">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13A0FE">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序号</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094A">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产品名称</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7816">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288154">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0"/>
                <w:sz w:val="21"/>
                <w:szCs w:val="21"/>
                <w:lang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6C2B3A">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758B70">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lang w:eastAsia="zh-CN"/>
              </w:rPr>
            </w:pPr>
            <w:r>
              <w:rPr>
                <w:rFonts w:hint="eastAsia" w:ascii="宋体" w:hAnsi="宋体" w:eastAsia="宋体" w:cs="宋体"/>
                <w:b/>
                <w:bCs/>
                <w:color w:val="auto"/>
                <w:kern w:val="0"/>
                <w:sz w:val="21"/>
                <w:szCs w:val="21"/>
                <w:lang w:bidi="ar"/>
              </w:rPr>
              <w:t>单价</w:t>
            </w:r>
            <w:r>
              <w:rPr>
                <w:rFonts w:hint="eastAsia" w:ascii="宋体" w:hAnsi="宋体" w:eastAsia="宋体" w:cs="宋体"/>
                <w:b/>
                <w:bCs/>
                <w:color w:val="auto"/>
                <w:kern w:val="0"/>
                <w:sz w:val="21"/>
                <w:szCs w:val="21"/>
                <w:lang w:eastAsia="zh-CN" w:bidi="ar"/>
              </w:rPr>
              <w:t>（</w:t>
            </w:r>
            <w:r>
              <w:rPr>
                <w:rFonts w:hint="eastAsia" w:ascii="宋体" w:hAnsi="宋体" w:eastAsia="宋体" w:cs="宋体"/>
                <w:b/>
                <w:bCs/>
                <w:color w:val="auto"/>
                <w:kern w:val="0"/>
                <w:sz w:val="21"/>
                <w:szCs w:val="21"/>
                <w:lang w:val="en-US" w:eastAsia="zh-CN" w:bidi="ar"/>
              </w:rPr>
              <w:t>元</w:t>
            </w:r>
            <w:r>
              <w:rPr>
                <w:rFonts w:hint="eastAsia" w:ascii="宋体" w:hAnsi="宋体" w:eastAsia="宋体" w:cs="宋体"/>
                <w:b/>
                <w:bCs/>
                <w:color w:val="auto"/>
                <w:kern w:val="0"/>
                <w:sz w:val="21"/>
                <w:szCs w:val="21"/>
                <w:lang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BC50E3">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总价（元）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12E196">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备注</w:t>
            </w:r>
          </w:p>
        </w:tc>
      </w:tr>
      <w:tr w14:paraId="140F1E94">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75D55B">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6F76">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b w:val="0"/>
                <w:bCs w:val="0"/>
                <w:color w:val="auto"/>
                <w:kern w:val="0"/>
                <w:sz w:val="21"/>
                <w:szCs w:val="21"/>
                <w:lang w:bidi="ar"/>
              </w:rPr>
              <w:t>教学能力大赛</w:t>
            </w:r>
            <w:r>
              <w:rPr>
                <w:rFonts w:hint="eastAsia" w:ascii="宋体" w:hAnsi="宋体" w:eastAsia="宋体" w:cs="宋体"/>
                <w:b w:val="0"/>
                <w:bCs w:val="0"/>
                <w:color w:val="auto"/>
                <w:kern w:val="0"/>
                <w:sz w:val="21"/>
                <w:szCs w:val="21"/>
                <w:lang w:eastAsia="zh-CN" w:bidi="ar"/>
              </w:rPr>
              <w:t>每年</w:t>
            </w:r>
            <w:r>
              <w:rPr>
                <w:rFonts w:hint="eastAsia" w:ascii="宋体" w:hAnsi="宋体" w:eastAsia="宋体" w:cs="宋体"/>
                <w:b w:val="0"/>
                <w:bCs w:val="0"/>
                <w:color w:val="auto"/>
                <w:kern w:val="0"/>
                <w:sz w:val="21"/>
                <w:szCs w:val="21"/>
                <w:lang w:bidi="ar"/>
              </w:rPr>
              <w:t>3个作品的参赛资源</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E467">
            <w:pPr>
              <w:pageBreakBefore w:val="0"/>
              <w:widowControl/>
              <w:numPr>
                <w:ilvl w:val="0"/>
                <w:numId w:val="0"/>
              </w:numPr>
              <w:bidi w:val="0"/>
              <w:adjustRightInd w:val="0"/>
              <w:snapToGrid w:val="0"/>
              <w:spacing w:beforeAutospacing="0" w:afterAutospacing="0" w:line="360" w:lineRule="auto"/>
              <w:ind w:left="0" w:leftChars="0" w:right="0" w:firstLine="422" w:firstLineChars="200"/>
              <w:jc w:val="left"/>
              <w:textAlignment w:val="center"/>
              <w:rPr>
                <w:rFonts w:hint="eastAsia" w:ascii="宋体" w:hAnsi="宋体" w:eastAsia="宋体" w:cs="宋体"/>
                <w:b/>
                <w:bCs/>
                <w:color w:val="auto"/>
                <w:kern w:val="0"/>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FF8658">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9597CB">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989F25">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1D728B">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C860C2">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r>
      <w:tr w14:paraId="1B54E570">
        <w:tblPrEx>
          <w:tblCellMar>
            <w:top w:w="0" w:type="dxa"/>
            <w:left w:w="108" w:type="dxa"/>
            <w:bottom w:w="0" w:type="dxa"/>
            <w:right w:w="108" w:type="dxa"/>
          </w:tblCellMar>
        </w:tblPrEx>
        <w:trPr>
          <w:trHeight w:val="18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B1F0E1">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BDDC">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b w:val="0"/>
                <w:bCs w:val="0"/>
                <w:color w:val="auto"/>
                <w:kern w:val="0"/>
                <w:sz w:val="21"/>
                <w:szCs w:val="21"/>
                <w:lang w:bidi="ar"/>
              </w:rPr>
              <w:t>班主任能力大赛</w:t>
            </w:r>
            <w:r>
              <w:rPr>
                <w:rFonts w:hint="eastAsia" w:ascii="宋体" w:hAnsi="宋体" w:eastAsia="宋体" w:cs="宋体"/>
                <w:b w:val="0"/>
                <w:bCs w:val="0"/>
                <w:color w:val="auto"/>
                <w:kern w:val="0"/>
                <w:sz w:val="21"/>
                <w:szCs w:val="21"/>
                <w:lang w:eastAsia="zh-CN" w:bidi="ar"/>
              </w:rPr>
              <w:t>每年</w:t>
            </w:r>
            <w:r>
              <w:rPr>
                <w:rFonts w:hint="eastAsia" w:ascii="宋体" w:hAnsi="宋体" w:eastAsia="宋体" w:cs="宋体"/>
                <w:b w:val="0"/>
                <w:bCs w:val="0"/>
                <w:color w:val="auto"/>
                <w:kern w:val="0"/>
                <w:sz w:val="21"/>
                <w:szCs w:val="21"/>
                <w:lang w:bidi="ar"/>
              </w:rPr>
              <w:t>2个参赛作品的参赛资源</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95FF">
            <w:pPr>
              <w:pageBreakBefore w:val="0"/>
              <w:widowControl/>
              <w:numPr>
                <w:ilvl w:val="0"/>
                <w:numId w:val="0"/>
              </w:numPr>
              <w:bidi w:val="0"/>
              <w:adjustRightInd w:val="0"/>
              <w:snapToGrid w:val="0"/>
              <w:spacing w:beforeAutospacing="0" w:afterAutospacing="0" w:line="360" w:lineRule="auto"/>
              <w:ind w:left="0" w:leftChars="0" w:right="0"/>
              <w:jc w:val="left"/>
              <w:textAlignment w:val="center"/>
              <w:rPr>
                <w:rFonts w:hint="eastAsia" w:ascii="宋体" w:hAnsi="宋体" w:eastAsia="宋体" w:cs="宋体"/>
                <w:color w:val="auto"/>
                <w:kern w:val="0"/>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0C4A12">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BE904B">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414660">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8897F3">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5643A1">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r>
      <w:tr w14:paraId="6616CB8B">
        <w:tblPrEx>
          <w:tblCellMar>
            <w:top w:w="0" w:type="dxa"/>
            <w:left w:w="108" w:type="dxa"/>
            <w:bottom w:w="0" w:type="dxa"/>
            <w:right w:w="108" w:type="dxa"/>
          </w:tblCellMar>
        </w:tblPrEx>
        <w:trPr>
          <w:trHeight w:val="10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0333F0">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3</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70BA">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师生技能竞赛</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69D8">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DCD580">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color w:val="auto"/>
                <w:kern w:val="0"/>
                <w:sz w:val="21"/>
                <w:szCs w:val="21"/>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1071B8">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color w:val="auto"/>
                <w:kern w:val="0"/>
                <w:sz w:val="21"/>
                <w:szCs w:val="21"/>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259FA8">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14592B">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19D70E">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r>
      <w:tr w14:paraId="46704ED8">
        <w:tblPrEx>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C4D176">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A9AD">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“文明风采”竞赛</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3620">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32B441">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color w:val="auto"/>
                <w:kern w:val="0"/>
                <w:sz w:val="21"/>
                <w:szCs w:val="21"/>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1AA09E">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color w:val="auto"/>
                <w:kern w:val="0"/>
                <w:sz w:val="21"/>
                <w:szCs w:val="21"/>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ED8260">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94FEB6">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7FACA0">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r>
      <w:tr w14:paraId="6D70760D">
        <w:tblPrEx>
          <w:tblCellMar>
            <w:top w:w="0" w:type="dxa"/>
            <w:left w:w="108" w:type="dxa"/>
            <w:bottom w:w="0" w:type="dxa"/>
            <w:right w:w="108" w:type="dxa"/>
          </w:tblCellMar>
        </w:tblPrEx>
        <w:trPr>
          <w:trHeight w:val="5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EC0317">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17F3">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AI教学平台技术服务</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88E2">
            <w:pPr>
              <w:pageBreakBefore w:val="0"/>
              <w:widowControl/>
              <w:numPr>
                <w:ilvl w:val="0"/>
                <w:numId w:val="0"/>
              </w:numPr>
              <w:bidi w:val="0"/>
              <w:adjustRightInd w:val="0"/>
              <w:snapToGrid w:val="0"/>
              <w:spacing w:beforeAutospacing="0" w:afterAutospacing="0" w:line="360" w:lineRule="auto"/>
              <w:ind w:left="0" w:leftChars="0" w:right="0"/>
              <w:jc w:val="left"/>
              <w:textAlignment w:val="center"/>
              <w:rPr>
                <w:rFonts w:hint="eastAsia" w:ascii="宋体" w:hAnsi="宋体" w:eastAsia="宋体" w:cs="宋体"/>
                <w:color w:val="auto"/>
                <w:kern w:val="0"/>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02EFFB">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color w:val="auto"/>
                <w:kern w:val="0"/>
                <w:sz w:val="21"/>
                <w:szCs w:val="21"/>
                <w:lang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78CBD5">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color w:val="auto"/>
                <w:kern w:val="0"/>
                <w:sz w:val="21"/>
                <w:szCs w:val="21"/>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27C684">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767193">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5943B4">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r>
      <w:tr w14:paraId="4FFB381A">
        <w:tblPrEx>
          <w:tblCellMar>
            <w:top w:w="0" w:type="dxa"/>
            <w:left w:w="108" w:type="dxa"/>
            <w:bottom w:w="0" w:type="dxa"/>
            <w:right w:w="108" w:type="dxa"/>
          </w:tblCellMar>
        </w:tblPrEx>
        <w:trPr>
          <w:trHeight w:val="5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B8817A">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4ED3">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展板</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82AC">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59EB0B">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D1ADAA">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5968B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9BED6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98CA8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kern w:val="0"/>
                <w:sz w:val="21"/>
                <w:szCs w:val="21"/>
                <w:u w:val="none"/>
                <w:lang w:val="en-US" w:eastAsia="zh-CN" w:bidi="ar"/>
              </w:rPr>
            </w:pPr>
          </w:p>
        </w:tc>
      </w:tr>
      <w:tr w14:paraId="369ACCC7">
        <w:tblPrEx>
          <w:tblCellMar>
            <w:top w:w="0" w:type="dxa"/>
            <w:left w:w="108" w:type="dxa"/>
            <w:bottom w:w="0" w:type="dxa"/>
            <w:right w:w="108" w:type="dxa"/>
          </w:tblCellMar>
        </w:tblPrEx>
        <w:trPr>
          <w:trHeight w:val="5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E25589">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80DC">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桌椅</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D978">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color w:val="auto"/>
                <w:kern w:val="0"/>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C25C54">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55BE3C">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9F7DC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ACB6F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C4AA5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kern w:val="0"/>
                <w:sz w:val="21"/>
                <w:szCs w:val="21"/>
                <w:u w:val="none"/>
                <w:lang w:val="en-US" w:eastAsia="zh-CN" w:bidi="ar"/>
              </w:rPr>
            </w:pPr>
          </w:p>
        </w:tc>
      </w:tr>
      <w:tr w14:paraId="204245D5">
        <w:tblPrEx>
          <w:tblCellMar>
            <w:top w:w="0" w:type="dxa"/>
            <w:left w:w="108" w:type="dxa"/>
            <w:bottom w:w="0" w:type="dxa"/>
            <w:right w:w="108" w:type="dxa"/>
          </w:tblCellMar>
        </w:tblPrEx>
        <w:trPr>
          <w:trHeight w:val="5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18A8DD">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val="en-US" w:eastAsia="zh-CN" w:bidi="ar"/>
              </w:rPr>
              <w:t>8</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2842">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空调</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F367">
            <w:pPr>
              <w:pageBreakBefore w:val="0"/>
              <w:widowControl/>
              <w:bidi w:val="0"/>
              <w:adjustRightInd w:val="0"/>
              <w:snapToGrid w:val="0"/>
              <w:spacing w:beforeAutospacing="0" w:afterAutospacing="0" w:line="360" w:lineRule="auto"/>
              <w:ind w:left="0" w:leftChars="0" w:right="0"/>
              <w:textAlignment w:val="center"/>
              <w:rPr>
                <w:rFonts w:hint="eastAsia" w:ascii="宋体" w:hAnsi="宋体" w:eastAsia="宋体" w:cs="宋体"/>
                <w:color w:val="auto"/>
                <w:kern w:val="0"/>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669247">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749609">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EBF52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EF85A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DEE52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kern w:val="0"/>
                <w:sz w:val="21"/>
                <w:szCs w:val="21"/>
                <w:u w:val="none"/>
                <w:lang w:val="en-US" w:eastAsia="zh-CN" w:bidi="ar"/>
              </w:rPr>
            </w:pPr>
          </w:p>
        </w:tc>
      </w:tr>
      <w:tr w14:paraId="48AC8BEF">
        <w:tblPrEx>
          <w:tblCellMar>
            <w:top w:w="0" w:type="dxa"/>
            <w:left w:w="108" w:type="dxa"/>
            <w:bottom w:w="0" w:type="dxa"/>
            <w:right w:w="108" w:type="dxa"/>
          </w:tblCellMar>
        </w:tblPrEx>
        <w:trPr>
          <w:trHeight w:val="5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DDD3AE">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A9AC">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bidi="ar"/>
              </w:rPr>
            </w:pP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A0CF">
            <w:pPr>
              <w:pageBreakBefore w:val="0"/>
              <w:widowControl/>
              <w:bidi w:val="0"/>
              <w:adjustRightInd w:val="0"/>
              <w:snapToGrid w:val="0"/>
              <w:spacing w:beforeAutospacing="0" w:afterAutospacing="0" w:line="360" w:lineRule="auto"/>
              <w:ind w:left="0" w:leftChars="0" w:right="0"/>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FA0DE3">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EB4050">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82111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95FC3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DDE4A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kern w:val="0"/>
                <w:sz w:val="21"/>
                <w:szCs w:val="21"/>
                <w:u w:val="none"/>
                <w:lang w:val="en-US" w:eastAsia="zh-CN" w:bidi="ar"/>
              </w:rPr>
            </w:pPr>
          </w:p>
        </w:tc>
      </w:tr>
    </w:tbl>
    <w:p w14:paraId="0F5ABB6B">
      <w:pPr>
        <w:pageBreakBefore w:val="0"/>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p w14:paraId="7386618E">
      <w:pPr>
        <w:pageBreakBefore w:val="0"/>
        <w:bidi w:val="0"/>
        <w:adjustRightInd w:val="0"/>
        <w:snapToGrid w:val="0"/>
        <w:spacing w:beforeAutospacing="0" w:afterAutospacing="0" w:line="360" w:lineRule="auto"/>
        <w:ind w:left="0" w:leftChars="0" w:right="0"/>
        <w:rPr>
          <w:rFonts w:hint="eastAsia" w:ascii="宋体" w:hAnsi="宋体" w:eastAsia="宋体" w:cs="宋体"/>
          <w:sz w:val="24"/>
          <w:highlight w:val="none"/>
        </w:rPr>
      </w:pPr>
      <w:r>
        <w:rPr>
          <w:rFonts w:hint="eastAsia" w:ascii="宋体" w:hAnsi="宋体" w:eastAsia="宋体" w:cs="宋体"/>
          <w:sz w:val="24"/>
          <w:highlight w:val="none"/>
        </w:rPr>
        <w:t xml:space="preserve">注:1.如果按单价计算的结果与总价不一致,以单价为准修正总价。 </w:t>
      </w:r>
    </w:p>
    <w:p w14:paraId="603E380A">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highlight w:val="none"/>
        </w:rPr>
      </w:pPr>
      <w:r>
        <w:rPr>
          <w:rFonts w:hint="eastAsia" w:ascii="宋体" w:hAnsi="宋体" w:eastAsia="宋体" w:cs="宋体"/>
          <w:sz w:val="24"/>
          <w:highlight w:val="none"/>
        </w:rPr>
        <w:t>2.费用本项目应以人民币报价，供应商应就该项目完整投标报价（包括设备货款、标准附件、备品备件、专用工具、人工费、服务费、包装费、运输费、装卸费、保险费、采购保管、安装调试费、设备维护、检测验收费、税金、培训费、利润、售后服务</w:t>
      </w:r>
      <w:r>
        <w:rPr>
          <w:rFonts w:hint="eastAsia" w:ascii="宋体" w:hAnsi="宋体" w:eastAsia="宋体" w:cs="宋体"/>
          <w:sz w:val="24"/>
          <w:highlight w:val="none"/>
          <w:lang w:val="en-US" w:eastAsia="zh-CN"/>
        </w:rPr>
        <w:t>及质保期相关伴随服务</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资源使用、技术支持</w:t>
      </w:r>
      <w:r>
        <w:rPr>
          <w:rFonts w:hint="eastAsia" w:ascii="宋体" w:hAnsi="宋体" w:eastAsia="宋体" w:cs="宋体"/>
          <w:sz w:val="24"/>
          <w:highlight w:val="none"/>
        </w:rPr>
        <w:t>等各项与此项目有关的一切费用），采购人不另外支付其他任何费用</w:t>
      </w:r>
      <w:r>
        <w:rPr>
          <w:rFonts w:hint="eastAsia" w:ascii="宋体" w:hAnsi="宋体" w:eastAsia="宋体" w:cs="宋体"/>
          <w:sz w:val="24"/>
          <w:highlight w:val="none"/>
          <w:lang w:eastAsia="zh-CN"/>
        </w:rPr>
        <w:t>。</w:t>
      </w:r>
    </w:p>
    <w:p w14:paraId="0CC837BB">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highlight w:val="none"/>
        </w:rPr>
      </w:pPr>
      <w:r>
        <w:rPr>
          <w:rFonts w:hint="eastAsia" w:ascii="宋体" w:hAnsi="宋体" w:eastAsia="宋体" w:cs="宋体"/>
          <w:color w:val="0C0C0C"/>
          <w:kern w:val="0"/>
          <w:sz w:val="24"/>
          <w:szCs w:val="24"/>
          <w:highlight w:val="none"/>
          <w:shd w:val="clear" w:color="auto" w:fill="FFFFFF"/>
          <w:lang w:val="en-US" w:eastAsia="zh-CN"/>
        </w:rPr>
        <w:t>。</w:t>
      </w:r>
    </w:p>
    <w:p w14:paraId="67FC0EC2">
      <w:pPr>
        <w:pageBreakBefore w:val="0"/>
        <w:bidi w:val="0"/>
        <w:adjustRightInd w:val="0"/>
        <w:snapToGrid w:val="0"/>
        <w:spacing w:beforeAutospacing="0" w:afterAutospacing="0" w:line="360" w:lineRule="auto"/>
        <w:ind w:left="0" w:leftChars="0" w:right="0" w:firstLine="3360" w:firstLineChars="1400"/>
        <w:rPr>
          <w:rFonts w:hint="eastAsia" w:ascii="宋体" w:hAnsi="宋体" w:eastAsia="宋体" w:cs="宋体"/>
          <w:sz w:val="24"/>
          <w:highlight w:val="none"/>
        </w:rPr>
      </w:pPr>
      <w:r>
        <w:rPr>
          <w:rFonts w:hint="eastAsia" w:ascii="宋体" w:hAnsi="宋体" w:eastAsia="宋体" w:cs="宋体"/>
          <w:sz w:val="24"/>
          <w:highlight w:val="none"/>
        </w:rPr>
        <w:t>供应商：</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（盖单位章）</w:t>
      </w:r>
    </w:p>
    <w:p w14:paraId="35B2324C">
      <w:pPr>
        <w:pageBreakBefore w:val="0"/>
        <w:bidi w:val="0"/>
        <w:adjustRightInd w:val="0"/>
        <w:snapToGrid w:val="0"/>
        <w:spacing w:beforeAutospacing="0" w:afterAutospacing="0" w:line="360" w:lineRule="auto"/>
        <w:ind w:left="0" w:leftChars="0" w:right="0"/>
        <w:rPr>
          <w:rFonts w:hint="eastAsia" w:ascii="宋体" w:hAnsi="宋体" w:eastAsia="宋体" w:cs="宋体"/>
          <w:sz w:val="24"/>
          <w:highlight w:val="none"/>
        </w:rPr>
      </w:pPr>
      <w:r>
        <w:rPr>
          <w:rFonts w:hint="eastAsia" w:ascii="宋体" w:hAnsi="宋体" w:eastAsia="宋体" w:cs="宋体"/>
          <w:sz w:val="24"/>
          <w:highlight w:val="none"/>
        </w:rPr>
        <w:t xml:space="preserve">                            法定代表人：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（电子签章）</w:t>
      </w:r>
    </w:p>
    <w:p w14:paraId="08E71B89">
      <w:pPr>
        <w:pageBreakBefore w:val="0"/>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p w14:paraId="7F2B525D">
      <w:pPr>
        <w:pageBreakBefore w:val="0"/>
        <w:bidi w:val="0"/>
        <w:adjustRightInd w:val="0"/>
        <w:snapToGrid w:val="0"/>
        <w:spacing w:beforeAutospacing="0" w:afterAutospacing="0" w:line="360" w:lineRule="auto"/>
        <w:ind w:left="0" w:leftChars="0" w:right="0"/>
        <w:rPr>
          <w:rFonts w:hint="eastAsia" w:ascii="宋体" w:hAnsi="宋体" w:eastAsia="宋体" w:cs="宋体"/>
          <w:b/>
          <w:sz w:val="24"/>
          <w:highlight w:val="none"/>
        </w:rPr>
      </w:pPr>
      <w:r>
        <w:rPr>
          <w:rFonts w:hint="eastAsia" w:ascii="宋体" w:hAnsi="宋体" w:eastAsia="宋体" w:cs="宋体"/>
          <w:sz w:val="24"/>
          <w:highlight w:val="none"/>
        </w:rPr>
        <w:t xml:space="preserve">                                                     年    月    日</w:t>
      </w:r>
    </w:p>
    <w:p w14:paraId="59F11BA5">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auto"/>
          <w:sz w:val="32"/>
          <w:szCs w:val="32"/>
          <w:highlight w:val="none"/>
        </w:rPr>
      </w:pPr>
    </w:p>
    <w:p w14:paraId="2D86700F">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32"/>
          <w:szCs w:val="32"/>
          <w:highlight w:val="none"/>
        </w:rPr>
      </w:pPr>
    </w:p>
    <w:p w14:paraId="22B33628">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32"/>
          <w:szCs w:val="32"/>
          <w:highlight w:val="none"/>
        </w:rPr>
      </w:pPr>
    </w:p>
    <w:p w14:paraId="16A550DD">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32"/>
          <w:szCs w:val="32"/>
          <w:highlight w:val="none"/>
        </w:rPr>
      </w:pPr>
    </w:p>
    <w:p w14:paraId="68911BF9">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32"/>
          <w:szCs w:val="32"/>
          <w:highlight w:val="none"/>
        </w:rPr>
      </w:pPr>
    </w:p>
    <w:p w14:paraId="44FF0B2F">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32"/>
          <w:szCs w:val="32"/>
          <w:highlight w:val="none"/>
        </w:rPr>
      </w:pPr>
    </w:p>
    <w:p w14:paraId="17CFE7DA">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32"/>
          <w:szCs w:val="32"/>
          <w:highlight w:val="none"/>
        </w:rPr>
      </w:pPr>
    </w:p>
    <w:p w14:paraId="0E63054B">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32"/>
          <w:szCs w:val="32"/>
          <w:highlight w:val="none"/>
        </w:rPr>
      </w:pPr>
    </w:p>
    <w:p w14:paraId="4519D1C3">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32"/>
          <w:szCs w:val="32"/>
          <w:highlight w:val="none"/>
        </w:rPr>
      </w:pPr>
    </w:p>
    <w:p w14:paraId="6A705F3A">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32"/>
          <w:szCs w:val="32"/>
          <w:highlight w:val="none"/>
        </w:rPr>
      </w:pPr>
    </w:p>
    <w:p w14:paraId="4D02C81D">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color w:val="000000"/>
          <w:kern w:val="0"/>
          <w:sz w:val="28"/>
          <w:szCs w:val="28"/>
          <w:highlight w:val="none"/>
          <w:lang w:val="en-US" w:eastAsia="zh-CN" w:bidi="ar-SA"/>
        </w:rPr>
      </w:pPr>
      <w:r>
        <w:rPr>
          <w:rFonts w:hint="eastAsia" w:ascii="宋体" w:hAnsi="宋体" w:eastAsia="宋体" w:cs="宋体"/>
          <w:b/>
          <w:color w:val="000000"/>
          <w:kern w:val="0"/>
          <w:sz w:val="28"/>
          <w:szCs w:val="28"/>
          <w:highlight w:val="none"/>
          <w:lang w:val="en-US" w:eastAsia="zh-CN" w:bidi="ar-SA"/>
        </w:rPr>
        <w:t>（三）参数偏离表</w:t>
      </w:r>
    </w:p>
    <w:p w14:paraId="1AC209A9">
      <w:pPr>
        <w:pageBreakBefore w:val="0"/>
        <w:bidi w:val="0"/>
        <w:adjustRightInd w:val="0"/>
        <w:snapToGrid w:val="0"/>
        <w:spacing w:beforeAutospacing="0" w:afterAutospacing="0" w:line="360" w:lineRule="auto"/>
        <w:ind w:left="0" w:leftChars="0" w:right="0" w:firstLine="630"/>
        <w:rPr>
          <w:rFonts w:hint="eastAsia" w:ascii="宋体" w:hAnsi="宋体" w:eastAsia="宋体" w:cs="宋体"/>
          <w:sz w:val="28"/>
          <w:szCs w:val="28"/>
          <w:highlight w:val="none"/>
        </w:rPr>
      </w:pPr>
    </w:p>
    <w:tbl>
      <w:tblPr>
        <w:tblStyle w:val="21"/>
        <w:tblW w:w="89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418"/>
        <w:gridCol w:w="1415"/>
        <w:gridCol w:w="1428"/>
        <w:gridCol w:w="2532"/>
        <w:gridCol w:w="1039"/>
      </w:tblGrid>
      <w:tr w14:paraId="7EAAC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165" w:type="dxa"/>
            <w:tcBorders>
              <w:tl2br w:val="nil"/>
              <w:tr2bl w:val="nil"/>
            </w:tcBorders>
            <w:noWrap w:val="0"/>
            <w:vAlign w:val="center"/>
          </w:tcPr>
          <w:p w14:paraId="3DAB730D">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1418" w:type="dxa"/>
            <w:tcBorders>
              <w:tl2br w:val="nil"/>
              <w:tr2bl w:val="nil"/>
            </w:tcBorders>
            <w:noWrap w:val="0"/>
            <w:vAlign w:val="center"/>
          </w:tcPr>
          <w:p w14:paraId="6B7B00BD">
            <w:pPr>
              <w:pageBreakBefore w:val="0"/>
              <w:bidi w:val="0"/>
              <w:adjustRightInd w:val="0"/>
              <w:snapToGrid w:val="0"/>
              <w:spacing w:beforeAutospacing="0" w:afterAutospacing="0" w:line="360" w:lineRule="auto"/>
              <w:ind w:left="0" w:leftChars="0" w:right="0"/>
              <w:jc w:val="center"/>
              <w:rPr>
                <w:rFonts w:hint="default" w:ascii="宋体" w:hAnsi="宋体" w:eastAsia="宋体" w:cs="宋体"/>
                <w:b/>
                <w:bCs/>
                <w:sz w:val="24"/>
                <w:highlight w:val="none"/>
                <w:lang w:val="en-US" w:eastAsia="zh-CN"/>
              </w:rPr>
            </w:pPr>
            <w:r>
              <w:rPr>
                <w:rFonts w:hint="eastAsia" w:ascii="宋体" w:hAnsi="宋体" w:cs="宋体"/>
                <w:b/>
                <w:bCs/>
                <w:color w:val="auto"/>
                <w:kern w:val="0"/>
                <w:sz w:val="21"/>
                <w:szCs w:val="21"/>
                <w:lang w:val="en-US" w:eastAsia="zh-CN" w:bidi="ar"/>
              </w:rPr>
              <w:t>产品名称</w:t>
            </w:r>
          </w:p>
        </w:tc>
        <w:tc>
          <w:tcPr>
            <w:tcW w:w="1415" w:type="dxa"/>
            <w:tcBorders>
              <w:tl2br w:val="nil"/>
              <w:tr2bl w:val="nil"/>
            </w:tcBorders>
            <w:noWrap w:val="0"/>
            <w:vAlign w:val="center"/>
          </w:tcPr>
          <w:p w14:paraId="7DC42250">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sz w:val="24"/>
                <w:highlight w:val="none"/>
                <w:lang w:val="en-US"/>
              </w:rPr>
            </w:pPr>
            <w:r>
              <w:rPr>
                <w:rFonts w:hint="eastAsia" w:ascii="宋体" w:hAnsi="宋体" w:eastAsia="宋体" w:cs="宋体"/>
                <w:b/>
                <w:bCs/>
                <w:sz w:val="24"/>
                <w:highlight w:val="none"/>
                <w:lang w:val="en-US" w:eastAsia="zh-CN"/>
              </w:rPr>
              <w:t>招标参数要求</w:t>
            </w:r>
          </w:p>
        </w:tc>
        <w:tc>
          <w:tcPr>
            <w:tcW w:w="1428" w:type="dxa"/>
            <w:tcBorders>
              <w:tl2br w:val="nil"/>
              <w:tr2bl w:val="nil"/>
            </w:tcBorders>
            <w:noWrap w:val="0"/>
            <w:vAlign w:val="center"/>
          </w:tcPr>
          <w:p w14:paraId="368AB1EC">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sz w:val="24"/>
                <w:highlight w:val="none"/>
              </w:rPr>
            </w:pPr>
            <w:r>
              <w:rPr>
                <w:rFonts w:hint="eastAsia" w:ascii="宋体" w:hAnsi="宋体" w:eastAsia="宋体" w:cs="宋体"/>
                <w:b/>
                <w:bCs/>
                <w:sz w:val="24"/>
                <w:highlight w:val="none"/>
              </w:rPr>
              <w:t>投标</w:t>
            </w:r>
            <w:r>
              <w:rPr>
                <w:rFonts w:hint="eastAsia" w:ascii="宋体" w:hAnsi="宋体" w:eastAsia="宋体" w:cs="宋体"/>
                <w:b/>
                <w:bCs/>
                <w:sz w:val="24"/>
                <w:highlight w:val="none"/>
                <w:lang w:val="en-US" w:eastAsia="zh-CN"/>
              </w:rPr>
              <w:t>参数</w:t>
            </w:r>
          </w:p>
        </w:tc>
        <w:tc>
          <w:tcPr>
            <w:tcW w:w="2532" w:type="dxa"/>
            <w:tcBorders>
              <w:tl2br w:val="nil"/>
              <w:tr2bl w:val="nil"/>
            </w:tcBorders>
            <w:noWrap w:val="0"/>
            <w:vAlign w:val="center"/>
          </w:tcPr>
          <w:p w14:paraId="7C80019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sz w:val="24"/>
                <w:highlight w:val="none"/>
              </w:rPr>
            </w:pPr>
            <w:r>
              <w:rPr>
                <w:rFonts w:hint="eastAsia" w:ascii="宋体" w:hAnsi="宋体" w:eastAsia="宋体" w:cs="宋体"/>
                <w:b/>
                <w:bCs/>
                <w:sz w:val="24"/>
                <w:highlight w:val="none"/>
              </w:rPr>
              <w:t>偏离</w:t>
            </w:r>
          </w:p>
        </w:tc>
        <w:tc>
          <w:tcPr>
            <w:tcW w:w="1039" w:type="dxa"/>
            <w:tcBorders>
              <w:tl2br w:val="nil"/>
              <w:tr2bl w:val="nil"/>
            </w:tcBorders>
            <w:noWrap w:val="0"/>
            <w:vAlign w:val="center"/>
          </w:tcPr>
          <w:p w14:paraId="380F49C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sz w:val="24"/>
                <w:highlight w:val="none"/>
              </w:rPr>
            </w:pPr>
            <w:r>
              <w:rPr>
                <w:rFonts w:hint="eastAsia" w:ascii="宋体" w:hAnsi="宋体" w:eastAsia="宋体" w:cs="宋体"/>
                <w:b/>
                <w:bCs/>
                <w:sz w:val="24"/>
                <w:highlight w:val="none"/>
              </w:rPr>
              <w:t>说 明</w:t>
            </w:r>
          </w:p>
        </w:tc>
      </w:tr>
      <w:tr w14:paraId="30131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65" w:type="dxa"/>
            <w:tcBorders>
              <w:tl2br w:val="nil"/>
              <w:tr2bl w:val="nil"/>
            </w:tcBorders>
            <w:noWrap w:val="0"/>
            <w:vAlign w:val="center"/>
          </w:tcPr>
          <w:p w14:paraId="54612D51">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418" w:type="dxa"/>
            <w:tcBorders>
              <w:tl2br w:val="nil"/>
              <w:tr2bl w:val="nil"/>
            </w:tcBorders>
            <w:noWrap w:val="0"/>
            <w:vAlign w:val="center"/>
          </w:tcPr>
          <w:p w14:paraId="0115732F">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415" w:type="dxa"/>
            <w:tcBorders>
              <w:tl2br w:val="nil"/>
              <w:tr2bl w:val="nil"/>
            </w:tcBorders>
            <w:noWrap w:val="0"/>
            <w:vAlign w:val="center"/>
          </w:tcPr>
          <w:p w14:paraId="53BB0E6C">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428" w:type="dxa"/>
            <w:tcBorders>
              <w:tl2br w:val="nil"/>
              <w:tr2bl w:val="nil"/>
            </w:tcBorders>
            <w:noWrap w:val="0"/>
            <w:vAlign w:val="center"/>
          </w:tcPr>
          <w:p w14:paraId="761EE7B0">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2532" w:type="dxa"/>
            <w:tcBorders>
              <w:tl2br w:val="nil"/>
              <w:tr2bl w:val="nil"/>
            </w:tcBorders>
            <w:noWrap w:val="0"/>
            <w:vAlign w:val="center"/>
          </w:tcPr>
          <w:p w14:paraId="75DC854A">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039" w:type="dxa"/>
            <w:tcBorders>
              <w:tl2br w:val="nil"/>
              <w:tr2bl w:val="nil"/>
            </w:tcBorders>
            <w:noWrap w:val="0"/>
            <w:vAlign w:val="center"/>
          </w:tcPr>
          <w:p w14:paraId="4F608DB4">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r>
      <w:tr w14:paraId="346AB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65" w:type="dxa"/>
            <w:tcBorders>
              <w:tl2br w:val="nil"/>
              <w:tr2bl w:val="nil"/>
            </w:tcBorders>
            <w:noWrap w:val="0"/>
            <w:vAlign w:val="center"/>
          </w:tcPr>
          <w:p w14:paraId="289F4B14">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418" w:type="dxa"/>
            <w:tcBorders>
              <w:tl2br w:val="nil"/>
              <w:tr2bl w:val="nil"/>
            </w:tcBorders>
            <w:noWrap w:val="0"/>
            <w:vAlign w:val="center"/>
          </w:tcPr>
          <w:p w14:paraId="7920CBD3">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415" w:type="dxa"/>
            <w:tcBorders>
              <w:tl2br w:val="nil"/>
              <w:tr2bl w:val="nil"/>
            </w:tcBorders>
            <w:noWrap w:val="0"/>
            <w:vAlign w:val="center"/>
          </w:tcPr>
          <w:p w14:paraId="7629F307">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428" w:type="dxa"/>
            <w:tcBorders>
              <w:tl2br w:val="nil"/>
              <w:tr2bl w:val="nil"/>
            </w:tcBorders>
            <w:noWrap w:val="0"/>
            <w:vAlign w:val="center"/>
          </w:tcPr>
          <w:p w14:paraId="48E3FA62">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2532" w:type="dxa"/>
            <w:tcBorders>
              <w:tl2br w:val="nil"/>
              <w:tr2bl w:val="nil"/>
            </w:tcBorders>
            <w:noWrap w:val="0"/>
            <w:vAlign w:val="center"/>
          </w:tcPr>
          <w:p w14:paraId="38357FDF">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039" w:type="dxa"/>
            <w:tcBorders>
              <w:tl2br w:val="nil"/>
              <w:tr2bl w:val="nil"/>
            </w:tcBorders>
            <w:noWrap w:val="0"/>
            <w:vAlign w:val="center"/>
          </w:tcPr>
          <w:p w14:paraId="44D6B868">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r>
      <w:tr w14:paraId="7C168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165" w:type="dxa"/>
            <w:tcBorders>
              <w:tl2br w:val="nil"/>
              <w:tr2bl w:val="nil"/>
            </w:tcBorders>
            <w:noWrap w:val="0"/>
            <w:vAlign w:val="center"/>
          </w:tcPr>
          <w:p w14:paraId="698BD19B">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418" w:type="dxa"/>
            <w:tcBorders>
              <w:tl2br w:val="nil"/>
              <w:tr2bl w:val="nil"/>
            </w:tcBorders>
            <w:noWrap w:val="0"/>
            <w:vAlign w:val="center"/>
          </w:tcPr>
          <w:p w14:paraId="102EAE1A">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415" w:type="dxa"/>
            <w:tcBorders>
              <w:tl2br w:val="nil"/>
              <w:tr2bl w:val="nil"/>
            </w:tcBorders>
            <w:noWrap w:val="0"/>
            <w:vAlign w:val="center"/>
          </w:tcPr>
          <w:p w14:paraId="716BC8F9">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428" w:type="dxa"/>
            <w:tcBorders>
              <w:tl2br w:val="nil"/>
              <w:tr2bl w:val="nil"/>
            </w:tcBorders>
            <w:noWrap w:val="0"/>
            <w:vAlign w:val="center"/>
          </w:tcPr>
          <w:p w14:paraId="22F6D2CF">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2532" w:type="dxa"/>
            <w:tcBorders>
              <w:tl2br w:val="nil"/>
              <w:tr2bl w:val="nil"/>
            </w:tcBorders>
            <w:noWrap w:val="0"/>
            <w:vAlign w:val="center"/>
          </w:tcPr>
          <w:p w14:paraId="7B7965B4">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039" w:type="dxa"/>
            <w:tcBorders>
              <w:tl2br w:val="nil"/>
              <w:tr2bl w:val="nil"/>
            </w:tcBorders>
            <w:noWrap w:val="0"/>
            <w:vAlign w:val="center"/>
          </w:tcPr>
          <w:p w14:paraId="15C03DD4">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r>
      <w:tr w14:paraId="3F900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65" w:type="dxa"/>
            <w:tcBorders>
              <w:tl2br w:val="nil"/>
              <w:tr2bl w:val="nil"/>
            </w:tcBorders>
            <w:noWrap w:val="0"/>
            <w:vAlign w:val="center"/>
          </w:tcPr>
          <w:p w14:paraId="0ED91CA9">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418" w:type="dxa"/>
            <w:tcBorders>
              <w:tl2br w:val="nil"/>
              <w:tr2bl w:val="nil"/>
            </w:tcBorders>
            <w:noWrap w:val="0"/>
            <w:vAlign w:val="center"/>
          </w:tcPr>
          <w:p w14:paraId="54A4568D">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415" w:type="dxa"/>
            <w:tcBorders>
              <w:tl2br w:val="nil"/>
              <w:tr2bl w:val="nil"/>
            </w:tcBorders>
            <w:noWrap w:val="0"/>
            <w:vAlign w:val="center"/>
          </w:tcPr>
          <w:p w14:paraId="6AE12485">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428" w:type="dxa"/>
            <w:tcBorders>
              <w:tl2br w:val="nil"/>
              <w:tr2bl w:val="nil"/>
            </w:tcBorders>
            <w:noWrap w:val="0"/>
            <w:vAlign w:val="center"/>
          </w:tcPr>
          <w:p w14:paraId="60816C50">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2532" w:type="dxa"/>
            <w:tcBorders>
              <w:tl2br w:val="nil"/>
              <w:tr2bl w:val="nil"/>
            </w:tcBorders>
            <w:noWrap w:val="0"/>
            <w:vAlign w:val="center"/>
          </w:tcPr>
          <w:p w14:paraId="54B49C16">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039" w:type="dxa"/>
            <w:tcBorders>
              <w:tl2br w:val="nil"/>
              <w:tr2bl w:val="nil"/>
            </w:tcBorders>
            <w:noWrap w:val="0"/>
            <w:vAlign w:val="center"/>
          </w:tcPr>
          <w:p w14:paraId="3F0F0925">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r>
      <w:tr w14:paraId="3BB8E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65" w:type="dxa"/>
            <w:tcBorders>
              <w:tl2br w:val="nil"/>
              <w:tr2bl w:val="nil"/>
            </w:tcBorders>
            <w:noWrap w:val="0"/>
            <w:vAlign w:val="center"/>
          </w:tcPr>
          <w:p w14:paraId="2C23A7A7">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418" w:type="dxa"/>
            <w:tcBorders>
              <w:tl2br w:val="nil"/>
              <w:tr2bl w:val="nil"/>
            </w:tcBorders>
            <w:noWrap w:val="0"/>
            <w:vAlign w:val="center"/>
          </w:tcPr>
          <w:p w14:paraId="1B786E68">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415" w:type="dxa"/>
            <w:tcBorders>
              <w:tl2br w:val="nil"/>
              <w:tr2bl w:val="nil"/>
            </w:tcBorders>
            <w:noWrap w:val="0"/>
            <w:vAlign w:val="center"/>
          </w:tcPr>
          <w:p w14:paraId="3F36D99E">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428" w:type="dxa"/>
            <w:tcBorders>
              <w:tl2br w:val="nil"/>
              <w:tr2bl w:val="nil"/>
            </w:tcBorders>
            <w:noWrap w:val="0"/>
            <w:vAlign w:val="center"/>
          </w:tcPr>
          <w:p w14:paraId="5D17D613">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2532" w:type="dxa"/>
            <w:tcBorders>
              <w:tl2br w:val="nil"/>
              <w:tr2bl w:val="nil"/>
            </w:tcBorders>
            <w:noWrap w:val="0"/>
            <w:vAlign w:val="center"/>
          </w:tcPr>
          <w:p w14:paraId="1F705EDC">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039" w:type="dxa"/>
            <w:tcBorders>
              <w:tl2br w:val="nil"/>
              <w:tr2bl w:val="nil"/>
            </w:tcBorders>
            <w:noWrap w:val="0"/>
            <w:vAlign w:val="center"/>
          </w:tcPr>
          <w:p w14:paraId="2602EB81">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r>
      <w:tr w14:paraId="64C96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165" w:type="dxa"/>
            <w:tcBorders>
              <w:tl2br w:val="nil"/>
              <w:tr2bl w:val="nil"/>
            </w:tcBorders>
            <w:noWrap w:val="0"/>
            <w:vAlign w:val="center"/>
          </w:tcPr>
          <w:p w14:paraId="6DA63192">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418" w:type="dxa"/>
            <w:tcBorders>
              <w:tl2br w:val="nil"/>
              <w:tr2bl w:val="nil"/>
            </w:tcBorders>
            <w:noWrap w:val="0"/>
            <w:vAlign w:val="center"/>
          </w:tcPr>
          <w:p w14:paraId="013E9952">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415" w:type="dxa"/>
            <w:tcBorders>
              <w:tl2br w:val="nil"/>
              <w:tr2bl w:val="nil"/>
            </w:tcBorders>
            <w:noWrap w:val="0"/>
            <w:vAlign w:val="center"/>
          </w:tcPr>
          <w:p w14:paraId="2B20DC70">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428" w:type="dxa"/>
            <w:tcBorders>
              <w:tl2br w:val="nil"/>
              <w:tr2bl w:val="nil"/>
            </w:tcBorders>
            <w:noWrap w:val="0"/>
            <w:vAlign w:val="center"/>
          </w:tcPr>
          <w:p w14:paraId="571EE932">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2532" w:type="dxa"/>
            <w:tcBorders>
              <w:tl2br w:val="nil"/>
              <w:tr2bl w:val="nil"/>
            </w:tcBorders>
            <w:noWrap w:val="0"/>
            <w:vAlign w:val="center"/>
          </w:tcPr>
          <w:p w14:paraId="2BD23567">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039" w:type="dxa"/>
            <w:tcBorders>
              <w:tl2br w:val="nil"/>
              <w:tr2bl w:val="nil"/>
            </w:tcBorders>
            <w:noWrap w:val="0"/>
            <w:vAlign w:val="center"/>
          </w:tcPr>
          <w:p w14:paraId="594704D0">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r>
    </w:tbl>
    <w:p w14:paraId="28DCDE36">
      <w:pPr>
        <w:pageBreakBefore w:val="0"/>
        <w:bidi w:val="0"/>
        <w:adjustRightInd w:val="0"/>
        <w:snapToGrid w:val="0"/>
        <w:spacing w:beforeAutospacing="0" w:afterAutospacing="0" w:line="360" w:lineRule="auto"/>
        <w:ind w:left="0" w:leftChars="0" w:right="0"/>
        <w:jc w:val="left"/>
        <w:rPr>
          <w:rFonts w:hint="eastAsia" w:ascii="宋体" w:hAnsi="宋体" w:eastAsia="宋体" w:cs="宋体"/>
          <w:szCs w:val="24"/>
          <w:highlight w:val="none"/>
          <w:lang w:eastAsia="zh-CN"/>
        </w:rPr>
      </w:pPr>
      <w:r>
        <w:rPr>
          <w:rFonts w:hint="eastAsia" w:ascii="宋体" w:hAnsi="宋体" w:eastAsia="宋体" w:cs="宋体"/>
          <w:szCs w:val="24"/>
          <w:highlight w:val="none"/>
        </w:rPr>
        <w:t>注：1、该表左列列明了</w:t>
      </w:r>
      <w:r>
        <w:rPr>
          <w:rFonts w:hint="eastAsia" w:ascii="宋体" w:hAnsi="宋体" w:eastAsia="宋体" w:cs="宋体"/>
          <w:szCs w:val="24"/>
          <w:highlight w:val="none"/>
          <w:lang w:val="en-US" w:eastAsia="zh-CN"/>
        </w:rPr>
        <w:t>招标</w:t>
      </w:r>
      <w:r>
        <w:rPr>
          <w:rFonts w:hint="eastAsia" w:ascii="宋体" w:hAnsi="宋体" w:eastAsia="宋体" w:cs="宋体"/>
          <w:szCs w:val="24"/>
          <w:highlight w:val="none"/>
        </w:rPr>
        <w:t>文件的要求，供应商须在右列对相应的内容进行填报</w:t>
      </w:r>
      <w:r>
        <w:rPr>
          <w:rFonts w:hint="eastAsia" w:ascii="宋体" w:hAnsi="宋体" w:eastAsia="宋体" w:cs="宋体"/>
          <w:szCs w:val="24"/>
          <w:highlight w:val="none"/>
          <w:lang w:eastAsia="zh-CN"/>
        </w:rPr>
        <w:t>。</w:t>
      </w:r>
    </w:p>
    <w:p w14:paraId="750861E9">
      <w:pPr>
        <w:pageBreakBefore w:val="0"/>
        <w:bidi w:val="0"/>
        <w:adjustRightInd w:val="0"/>
        <w:snapToGrid w:val="0"/>
        <w:spacing w:beforeAutospacing="0" w:afterAutospacing="0" w:line="360" w:lineRule="auto"/>
        <w:ind w:left="0" w:leftChars="0" w:right="0"/>
        <w:jc w:val="left"/>
        <w:rPr>
          <w:rFonts w:hint="eastAsia" w:ascii="宋体" w:hAnsi="宋体" w:eastAsia="宋体" w:cs="宋体"/>
          <w:szCs w:val="24"/>
          <w:highlight w:val="none"/>
          <w:lang w:eastAsia="zh-CN"/>
        </w:rPr>
      </w:pPr>
      <w:r>
        <w:rPr>
          <w:rFonts w:hint="eastAsia" w:ascii="宋体" w:hAnsi="宋体" w:eastAsia="宋体" w:cs="宋体"/>
          <w:szCs w:val="24"/>
          <w:highlight w:val="none"/>
        </w:rPr>
        <w:t>2、“有无偏离”一栏中供应商应对所投产品的技术指标与</w:t>
      </w:r>
      <w:r>
        <w:rPr>
          <w:rFonts w:hint="eastAsia" w:ascii="宋体" w:hAnsi="宋体" w:eastAsia="宋体" w:cs="宋体"/>
          <w:szCs w:val="24"/>
          <w:highlight w:val="none"/>
          <w:lang w:val="en-US" w:eastAsia="zh-CN"/>
        </w:rPr>
        <w:t>招标</w:t>
      </w:r>
      <w:r>
        <w:rPr>
          <w:rFonts w:hint="eastAsia" w:ascii="宋体" w:hAnsi="宋体" w:eastAsia="宋体" w:cs="宋体"/>
          <w:szCs w:val="24"/>
          <w:highlight w:val="none"/>
        </w:rPr>
        <w:t>文件的要求进行对比，如无偏离请填写“符合”的字样，如有偏差请注明“正偏离”或“负偏离”字样</w:t>
      </w:r>
      <w:r>
        <w:rPr>
          <w:rFonts w:hint="eastAsia" w:ascii="宋体" w:hAnsi="宋体" w:eastAsia="宋体" w:cs="宋体"/>
          <w:szCs w:val="24"/>
          <w:highlight w:val="none"/>
          <w:lang w:eastAsia="zh-CN"/>
        </w:rPr>
        <w:t>。</w:t>
      </w:r>
    </w:p>
    <w:p w14:paraId="0BDDF8A9">
      <w:pPr>
        <w:pageBreakBefore w:val="0"/>
        <w:bidi w:val="0"/>
        <w:adjustRightInd w:val="0"/>
        <w:snapToGrid w:val="0"/>
        <w:spacing w:beforeAutospacing="0" w:afterAutospacing="0" w:line="360" w:lineRule="auto"/>
        <w:ind w:left="0" w:leftChars="0" w:right="0"/>
        <w:jc w:val="left"/>
        <w:rPr>
          <w:rFonts w:hint="eastAsia" w:ascii="宋体" w:hAnsi="宋体" w:eastAsia="宋体" w:cs="宋体"/>
          <w:szCs w:val="24"/>
          <w:highlight w:val="none"/>
          <w:lang w:eastAsia="zh-CN"/>
        </w:rPr>
      </w:pPr>
      <w:r>
        <w:rPr>
          <w:rFonts w:hint="eastAsia" w:ascii="宋体" w:hAnsi="宋体" w:eastAsia="宋体" w:cs="宋体"/>
          <w:szCs w:val="24"/>
          <w:highlight w:val="none"/>
          <w:lang w:val="en-US" w:eastAsia="zh-CN"/>
        </w:rPr>
        <w:t>3、</w:t>
      </w:r>
      <w:r>
        <w:rPr>
          <w:rFonts w:hint="eastAsia" w:ascii="宋体" w:hAnsi="宋体" w:eastAsia="宋体" w:cs="宋体"/>
          <w:szCs w:val="24"/>
          <w:highlight w:val="none"/>
        </w:rPr>
        <w:t>本项目所涉及的技术参数，供应商可提供相应的证明文件附后。证明文件可以是产品彩页、网页公告、检测报告或投标产品详细参数说明等资料</w:t>
      </w:r>
      <w:r>
        <w:rPr>
          <w:rFonts w:hint="eastAsia" w:ascii="宋体" w:hAnsi="宋体" w:eastAsia="宋体" w:cs="宋体"/>
          <w:szCs w:val="24"/>
          <w:highlight w:val="none"/>
          <w:lang w:eastAsia="zh-CN"/>
        </w:rPr>
        <w:t>。</w:t>
      </w:r>
    </w:p>
    <w:p w14:paraId="5B7B5B87">
      <w:pPr>
        <w:pageBreakBefore w:val="0"/>
        <w:bidi w:val="0"/>
        <w:adjustRightInd w:val="0"/>
        <w:snapToGrid w:val="0"/>
        <w:spacing w:beforeAutospacing="0" w:afterAutospacing="0" w:line="360" w:lineRule="auto"/>
        <w:ind w:left="0" w:leftChars="0" w:right="0" w:firstLine="630"/>
        <w:rPr>
          <w:rFonts w:hint="eastAsia" w:ascii="宋体" w:hAnsi="宋体" w:eastAsia="宋体" w:cs="宋体"/>
          <w:sz w:val="24"/>
          <w:highlight w:val="none"/>
        </w:rPr>
      </w:pPr>
    </w:p>
    <w:p w14:paraId="393E125F">
      <w:pPr>
        <w:pageBreakBefore w:val="0"/>
        <w:bidi w:val="0"/>
        <w:adjustRightInd w:val="0"/>
        <w:snapToGrid w:val="0"/>
        <w:spacing w:beforeAutospacing="0" w:afterAutospacing="0" w:line="360" w:lineRule="auto"/>
        <w:ind w:left="0" w:leftChars="0" w:right="0" w:firstLine="630"/>
        <w:rPr>
          <w:rFonts w:hint="eastAsia" w:ascii="宋体" w:hAnsi="宋体" w:eastAsia="宋体" w:cs="宋体"/>
          <w:sz w:val="24"/>
          <w:highlight w:val="none"/>
        </w:rPr>
      </w:pPr>
    </w:p>
    <w:p w14:paraId="7D4D5430">
      <w:pPr>
        <w:pageBreakBefore w:val="0"/>
        <w:bidi w:val="0"/>
        <w:adjustRightInd w:val="0"/>
        <w:snapToGrid w:val="0"/>
        <w:spacing w:beforeAutospacing="0" w:afterAutospacing="0" w:line="360" w:lineRule="auto"/>
        <w:ind w:left="0" w:leftChars="0" w:right="0" w:firstLine="3360" w:firstLineChars="1400"/>
        <w:rPr>
          <w:rFonts w:hint="eastAsia" w:ascii="宋体" w:hAnsi="宋体" w:eastAsia="宋体" w:cs="宋体"/>
          <w:sz w:val="24"/>
          <w:highlight w:val="none"/>
        </w:rPr>
      </w:pPr>
      <w:r>
        <w:rPr>
          <w:rFonts w:hint="eastAsia" w:ascii="宋体" w:hAnsi="宋体" w:eastAsia="宋体" w:cs="宋体"/>
          <w:sz w:val="24"/>
          <w:highlight w:val="none"/>
        </w:rPr>
        <w:t>供应商：</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（盖单位章）</w:t>
      </w:r>
    </w:p>
    <w:p w14:paraId="50ED5349">
      <w:pPr>
        <w:pageBreakBefore w:val="0"/>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p w14:paraId="110C178A">
      <w:pPr>
        <w:pageBreakBefore w:val="0"/>
        <w:bidi w:val="0"/>
        <w:adjustRightInd w:val="0"/>
        <w:snapToGrid w:val="0"/>
        <w:spacing w:beforeAutospacing="0" w:afterAutospacing="0" w:line="360" w:lineRule="auto"/>
        <w:ind w:left="0" w:leftChars="0" w:right="0"/>
        <w:rPr>
          <w:rFonts w:hint="eastAsia" w:ascii="宋体" w:hAnsi="宋体" w:eastAsia="宋体" w:cs="宋体"/>
          <w:sz w:val="24"/>
          <w:highlight w:val="none"/>
        </w:rPr>
      </w:pPr>
      <w:r>
        <w:rPr>
          <w:rFonts w:hint="eastAsia" w:ascii="宋体" w:hAnsi="宋体" w:eastAsia="宋体" w:cs="宋体"/>
          <w:sz w:val="24"/>
          <w:highlight w:val="none"/>
        </w:rPr>
        <w:t xml:space="preserve">                            法定代表人：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（电子签章）</w:t>
      </w:r>
    </w:p>
    <w:p w14:paraId="42EE6339">
      <w:pPr>
        <w:pageBreakBefore w:val="0"/>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p w14:paraId="5DEE54F2">
      <w:pPr>
        <w:pageBreakBefore w:val="0"/>
        <w:bidi w:val="0"/>
        <w:adjustRightInd w:val="0"/>
        <w:snapToGrid w:val="0"/>
        <w:spacing w:beforeAutospacing="0" w:afterAutospacing="0" w:line="360" w:lineRule="auto"/>
        <w:ind w:left="0" w:leftChars="0" w:right="0"/>
        <w:rPr>
          <w:rFonts w:hint="eastAsia" w:ascii="宋体" w:hAnsi="宋体" w:eastAsia="宋体" w:cs="宋体"/>
          <w:b/>
          <w:sz w:val="24"/>
          <w:highlight w:val="none"/>
        </w:rPr>
      </w:pPr>
      <w:r>
        <w:rPr>
          <w:rFonts w:hint="eastAsia" w:ascii="宋体" w:hAnsi="宋体" w:eastAsia="宋体" w:cs="宋体"/>
          <w:sz w:val="24"/>
          <w:highlight w:val="none"/>
        </w:rPr>
        <w:t xml:space="preserve">                                                     年    月    日</w:t>
      </w:r>
    </w:p>
    <w:p w14:paraId="7D525C36">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auto"/>
          <w:sz w:val="32"/>
          <w:szCs w:val="32"/>
          <w:highlight w:val="none"/>
        </w:rPr>
      </w:pPr>
    </w:p>
    <w:p w14:paraId="66391B10">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auto"/>
          <w:sz w:val="32"/>
          <w:szCs w:val="32"/>
          <w:highlight w:val="none"/>
          <w:lang w:val="en-US" w:eastAsia="zh-CN"/>
        </w:rPr>
      </w:pPr>
    </w:p>
    <w:p w14:paraId="0770A2E0">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auto"/>
          <w:sz w:val="32"/>
          <w:szCs w:val="32"/>
          <w:highlight w:val="none"/>
          <w:lang w:val="en-US" w:eastAsia="zh-CN"/>
        </w:rPr>
      </w:pPr>
    </w:p>
    <w:p w14:paraId="33A46603">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auto"/>
          <w:sz w:val="32"/>
          <w:szCs w:val="32"/>
          <w:highlight w:val="none"/>
          <w:lang w:val="en-US" w:eastAsia="zh-CN"/>
        </w:rPr>
      </w:pPr>
    </w:p>
    <w:p w14:paraId="1BF4E575">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auto"/>
          <w:sz w:val="32"/>
          <w:szCs w:val="32"/>
          <w:highlight w:val="none"/>
          <w:lang w:val="en-US" w:eastAsia="zh-CN"/>
        </w:rPr>
      </w:pPr>
    </w:p>
    <w:p w14:paraId="2E305F29">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四、</w:t>
      </w:r>
      <w:r>
        <w:rPr>
          <w:rFonts w:hint="eastAsia" w:ascii="宋体" w:hAnsi="宋体" w:eastAsia="宋体" w:cs="宋体"/>
          <w:b/>
          <w:bCs/>
          <w:color w:val="auto"/>
          <w:sz w:val="32"/>
          <w:szCs w:val="32"/>
          <w:highlight w:val="none"/>
        </w:rPr>
        <w:t>投标承诺函</w:t>
      </w:r>
      <w:bookmarkEnd w:id="65"/>
    </w:p>
    <w:p w14:paraId="1202B83B">
      <w:pPr>
        <w:pageBreakBefore w:val="0"/>
        <w:bidi w:val="0"/>
        <w:adjustRightInd w:val="0"/>
        <w:snapToGrid w:val="0"/>
        <w:spacing w:beforeAutospacing="0" w:afterAutospacing="0" w:line="360" w:lineRule="auto"/>
        <w:ind w:left="0" w:leftChars="0" w:right="0"/>
        <w:rPr>
          <w:rFonts w:hint="eastAsia" w:ascii="宋体" w:hAnsi="宋体" w:eastAsia="宋体" w:cs="宋体"/>
          <w:b/>
          <w:color w:val="auto"/>
          <w:sz w:val="28"/>
          <w:szCs w:val="28"/>
          <w:highlight w:val="none"/>
          <w:u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rPr>
        <w:t>（采购人名称）</w:t>
      </w:r>
      <w:r>
        <w:rPr>
          <w:rFonts w:hint="eastAsia" w:ascii="宋体" w:hAnsi="宋体" w:eastAsia="宋体" w:cs="宋体"/>
          <w:b/>
          <w:color w:val="auto"/>
          <w:sz w:val="28"/>
          <w:szCs w:val="28"/>
          <w:highlight w:val="none"/>
          <w:u w:val="none"/>
        </w:rPr>
        <w:t xml:space="preserve">  </w:t>
      </w:r>
    </w:p>
    <w:p w14:paraId="270B464B">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我公司作为本次采购项目的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，根据招标文件要求，现郑重承诺如下：</w:t>
      </w:r>
    </w:p>
    <w:p w14:paraId="408A5848">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58B0C52C">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参加本次招标采购活动，不存在与单位负责人为同一人或者存在直接控股、管理关系的其他供应商参与同一合同项下的政府采购活动的行为。</w:t>
      </w:r>
    </w:p>
    <w:p w14:paraId="190C2CAD">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参加本次招标采购活动，不存在和其他供应商在同一合同项下的采购项目中，同时委托同一个自然人、同一家庭的人员、同一单位的人员作为代理人的行为。</w:t>
      </w:r>
    </w:p>
    <w:p w14:paraId="1557F225">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供应商参加本次政府采购活动要求在近三年内供应商和其法定代表人没有行贿犯罪行为。</w:t>
      </w:r>
    </w:p>
    <w:p w14:paraId="2AA79233">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rPr>
        <w:t>参加本项目不接受联合体</w:t>
      </w:r>
      <w:r>
        <w:rPr>
          <w:rFonts w:hint="eastAsia" w:ascii="宋体" w:hAnsi="宋体" w:eastAsia="宋体" w:cs="宋体"/>
          <w:sz w:val="24"/>
          <w:highlight w:val="none"/>
          <w:lang w:val="en-US" w:eastAsia="zh-CN"/>
        </w:rPr>
        <w:t>投标</w:t>
      </w:r>
      <w:r>
        <w:rPr>
          <w:rFonts w:hint="eastAsia" w:ascii="宋体" w:hAnsi="宋体" w:eastAsia="宋体" w:cs="宋体"/>
          <w:sz w:val="24"/>
          <w:highlight w:val="none"/>
        </w:rPr>
        <w:t>，不允许转包。</w:t>
      </w:r>
    </w:p>
    <w:p w14:paraId="6D388F23">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.我方参加政府采购活动无商业贿赂和不正当竞争行为。</w:t>
      </w:r>
    </w:p>
    <w:p w14:paraId="03D3D139">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.存在以下行为之一的愿意接受相关部门的处理：</w:t>
      </w:r>
    </w:p>
    <w:p w14:paraId="42F8268B">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（1）投标有效期内撤回投标文件的；</w:t>
      </w:r>
    </w:p>
    <w:p w14:paraId="1C71422E">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（2）在采购人确定中标供应商以前放弃中标候选资格的；</w:t>
      </w:r>
    </w:p>
    <w:p w14:paraId="0BE679F1">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（3）除不可抗力的因素外，由于中标供应商的原因未能按照招标文件的规定与采购人签订合同；</w:t>
      </w:r>
    </w:p>
    <w:p w14:paraId="74FFB3B8">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（4）在招标文件中提供虚假材料谋取中标；</w:t>
      </w:r>
    </w:p>
    <w:p w14:paraId="66F69716">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（5）与采购人、其他供应商或者采购代理机构恶意串通的；</w:t>
      </w:r>
    </w:p>
    <w:p w14:paraId="3762E0CF">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（6）投标有效期内，</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在政府采购活动中有违法、违规、违纪行为。</w:t>
      </w:r>
    </w:p>
    <w:p w14:paraId="75BFB893">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由此产生的一切法律后果和责任由我公司承担。我公司声明放弃对此提出任何异议和追索的权利。</w:t>
      </w:r>
    </w:p>
    <w:p w14:paraId="4738BC6D">
      <w:pPr>
        <w:pageBreakBefore w:val="0"/>
        <w:bidi w:val="0"/>
        <w:adjustRightInd w:val="0"/>
        <w:snapToGrid w:val="0"/>
        <w:spacing w:beforeAutospacing="0" w:afterAutospacing="0" w:line="360" w:lineRule="auto"/>
        <w:ind w:left="0" w:leftChars="0" w:right="0" w:firstLine="480"/>
        <w:rPr>
          <w:rFonts w:hint="eastAsia" w:ascii="宋体" w:hAnsi="宋体" w:eastAsia="宋体" w:cs="宋体"/>
          <w:b/>
          <w:bCs/>
          <w:color w:val="auto"/>
          <w:kern w:val="0"/>
          <w:sz w:val="30"/>
          <w:highlight w:val="none"/>
          <w:shd w:val="clear" w:color="auto" w:fill="FFFFFF"/>
        </w:rPr>
      </w:pPr>
      <w:r>
        <w:rPr>
          <w:rFonts w:hint="eastAsia" w:ascii="宋体" w:hAnsi="宋体" w:eastAsia="宋体" w:cs="宋体"/>
          <w:color w:val="auto"/>
          <w:sz w:val="24"/>
          <w:szCs w:val="24"/>
          <w:highlight w:val="none"/>
        </w:rPr>
        <w:t>本公司对上述承诺的内容事项真实性负责。如经查实上述承诺的内容事项存在虚假，我公司愿意接受以提供虚假材料谋取中标追究法律责任。</w:t>
      </w:r>
    </w:p>
    <w:p w14:paraId="379A0E3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3600" w:firstLineChars="15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val="0"/>
          <w:bCs w:val="0"/>
          <w:color w:val="auto"/>
          <w:sz w:val="24"/>
          <w:szCs w:val="24"/>
          <w:highlight w:val="none"/>
        </w:rPr>
        <w:t>供</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应</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商：</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（电子签章）</w:t>
      </w:r>
    </w:p>
    <w:p w14:paraId="017571F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3600" w:firstLineChars="15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法定代表人：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（电子签章）</w:t>
      </w:r>
    </w:p>
    <w:p w14:paraId="6381830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3600" w:firstLineChars="15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期：</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日</w:t>
      </w:r>
    </w:p>
    <w:p w14:paraId="5F83FD8A">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auto"/>
          <w:sz w:val="28"/>
          <w:szCs w:val="28"/>
          <w:highlight w:val="none"/>
        </w:rPr>
      </w:pPr>
      <w:bookmarkStart w:id="66" w:name="_Toc5694"/>
      <w:r>
        <w:rPr>
          <w:rFonts w:hint="eastAsia" w:ascii="宋体" w:hAnsi="宋体" w:eastAsia="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rPr>
        <w:t>供应商资格审查证明文件</w:t>
      </w:r>
      <w:bookmarkEnd w:id="66"/>
    </w:p>
    <w:p w14:paraId="625971B0">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color w:val="000000"/>
          <w:kern w:val="0"/>
          <w:sz w:val="28"/>
          <w:szCs w:val="28"/>
          <w:highlight w:val="none"/>
          <w:lang w:val="en-US" w:eastAsia="zh-CN" w:bidi="ar-SA"/>
        </w:rPr>
      </w:pPr>
      <w:r>
        <w:rPr>
          <w:rFonts w:hint="eastAsia" w:ascii="宋体" w:hAnsi="宋体" w:eastAsia="宋体" w:cs="宋体"/>
          <w:b/>
          <w:color w:val="000000"/>
          <w:kern w:val="0"/>
          <w:sz w:val="28"/>
          <w:szCs w:val="28"/>
          <w:highlight w:val="none"/>
          <w:lang w:val="en-US" w:eastAsia="zh-CN" w:bidi="ar-SA"/>
        </w:rPr>
        <w:t>（一）供应商基本情况一览表</w:t>
      </w:r>
    </w:p>
    <w:p w14:paraId="2A50F2D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color w:val="000000"/>
          <w:sz w:val="24"/>
          <w:highlight w:val="none"/>
        </w:rPr>
      </w:pPr>
    </w:p>
    <w:tbl>
      <w:tblPr>
        <w:tblStyle w:val="21"/>
        <w:tblW w:w="8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034"/>
        <w:gridCol w:w="2485"/>
        <w:gridCol w:w="1243"/>
        <w:gridCol w:w="2488"/>
      </w:tblGrid>
      <w:tr w14:paraId="450F3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449" w:type="dxa"/>
            <w:noWrap w:val="0"/>
            <w:vAlign w:val="center"/>
          </w:tcPr>
          <w:p w14:paraId="693DAE68">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lang w:eastAsia="zh-CN"/>
              </w:rPr>
              <w:t>供应商</w:t>
            </w:r>
            <w:r>
              <w:rPr>
                <w:rFonts w:hint="eastAsia" w:ascii="宋体" w:hAnsi="宋体" w:eastAsia="宋体" w:cs="宋体"/>
                <w:kern w:val="0"/>
                <w:szCs w:val="21"/>
                <w:highlight w:val="none"/>
              </w:rPr>
              <w:t>名称</w:t>
            </w:r>
          </w:p>
        </w:tc>
        <w:tc>
          <w:tcPr>
            <w:tcW w:w="7250" w:type="dxa"/>
            <w:gridSpan w:val="4"/>
            <w:noWrap w:val="0"/>
            <w:vAlign w:val="center"/>
          </w:tcPr>
          <w:p w14:paraId="039DF7F2">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30838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449" w:type="dxa"/>
            <w:noWrap w:val="0"/>
            <w:vAlign w:val="center"/>
          </w:tcPr>
          <w:p w14:paraId="4AA09E35">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注册地址</w:t>
            </w:r>
          </w:p>
        </w:tc>
        <w:tc>
          <w:tcPr>
            <w:tcW w:w="3519" w:type="dxa"/>
            <w:gridSpan w:val="2"/>
            <w:noWrap w:val="0"/>
            <w:vAlign w:val="center"/>
          </w:tcPr>
          <w:p w14:paraId="6DD2D404">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c>
          <w:tcPr>
            <w:tcW w:w="1243" w:type="dxa"/>
            <w:noWrap w:val="0"/>
            <w:vAlign w:val="center"/>
          </w:tcPr>
          <w:p w14:paraId="72A454D1">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邮政编码</w:t>
            </w:r>
          </w:p>
        </w:tc>
        <w:tc>
          <w:tcPr>
            <w:tcW w:w="2488" w:type="dxa"/>
            <w:noWrap w:val="0"/>
            <w:vAlign w:val="center"/>
          </w:tcPr>
          <w:p w14:paraId="1E66C1F9">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68380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449" w:type="dxa"/>
            <w:noWrap w:val="0"/>
            <w:vAlign w:val="center"/>
          </w:tcPr>
          <w:p w14:paraId="36A7DA24">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联系方式</w:t>
            </w:r>
          </w:p>
        </w:tc>
        <w:tc>
          <w:tcPr>
            <w:tcW w:w="1034" w:type="dxa"/>
            <w:noWrap w:val="0"/>
            <w:vAlign w:val="center"/>
          </w:tcPr>
          <w:p w14:paraId="47964A35">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联系人</w:t>
            </w:r>
          </w:p>
        </w:tc>
        <w:tc>
          <w:tcPr>
            <w:tcW w:w="2485" w:type="dxa"/>
            <w:noWrap w:val="0"/>
            <w:vAlign w:val="center"/>
          </w:tcPr>
          <w:p w14:paraId="1C2040D7">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c>
          <w:tcPr>
            <w:tcW w:w="1243" w:type="dxa"/>
            <w:noWrap w:val="0"/>
            <w:vAlign w:val="center"/>
          </w:tcPr>
          <w:p w14:paraId="2311FF83">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电 话</w:t>
            </w:r>
          </w:p>
        </w:tc>
        <w:tc>
          <w:tcPr>
            <w:tcW w:w="2488" w:type="dxa"/>
            <w:noWrap w:val="0"/>
            <w:vAlign w:val="center"/>
          </w:tcPr>
          <w:p w14:paraId="4F247A28">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2817D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449" w:type="dxa"/>
            <w:noWrap w:val="0"/>
            <w:vAlign w:val="center"/>
          </w:tcPr>
          <w:p w14:paraId="470F8F96">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法定代表人</w:t>
            </w:r>
          </w:p>
        </w:tc>
        <w:tc>
          <w:tcPr>
            <w:tcW w:w="1034" w:type="dxa"/>
            <w:noWrap w:val="0"/>
            <w:vAlign w:val="center"/>
          </w:tcPr>
          <w:p w14:paraId="611389C9">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姓名</w:t>
            </w:r>
          </w:p>
        </w:tc>
        <w:tc>
          <w:tcPr>
            <w:tcW w:w="2485" w:type="dxa"/>
            <w:noWrap w:val="0"/>
            <w:vAlign w:val="center"/>
          </w:tcPr>
          <w:p w14:paraId="63688D40">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c>
          <w:tcPr>
            <w:tcW w:w="1243" w:type="dxa"/>
            <w:noWrap w:val="0"/>
            <w:vAlign w:val="center"/>
          </w:tcPr>
          <w:p w14:paraId="282AEF6A">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电话</w:t>
            </w:r>
          </w:p>
        </w:tc>
        <w:tc>
          <w:tcPr>
            <w:tcW w:w="2488" w:type="dxa"/>
            <w:noWrap w:val="0"/>
            <w:vAlign w:val="center"/>
          </w:tcPr>
          <w:p w14:paraId="3A6236CE">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4F191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449" w:type="dxa"/>
            <w:noWrap w:val="0"/>
            <w:vAlign w:val="center"/>
          </w:tcPr>
          <w:p w14:paraId="2B0698BF">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成立时间</w:t>
            </w:r>
          </w:p>
        </w:tc>
        <w:tc>
          <w:tcPr>
            <w:tcW w:w="7250" w:type="dxa"/>
            <w:gridSpan w:val="4"/>
            <w:noWrap w:val="0"/>
            <w:vAlign w:val="center"/>
          </w:tcPr>
          <w:p w14:paraId="5C7B20EE">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7ADD1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1449" w:type="dxa"/>
            <w:noWrap w:val="0"/>
            <w:vAlign w:val="center"/>
          </w:tcPr>
          <w:p w14:paraId="15DABD2B">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lang w:val="en-US" w:eastAsia="zh-CN"/>
              </w:rPr>
            </w:pPr>
            <w:r>
              <w:rPr>
                <w:rFonts w:hint="eastAsia" w:ascii="宋体" w:hAnsi="宋体" w:eastAsia="宋体" w:cs="宋体"/>
                <w:kern w:val="0"/>
                <w:szCs w:val="21"/>
                <w:highlight w:val="none"/>
                <w:lang w:val="en-US" w:eastAsia="zh-CN"/>
              </w:rPr>
              <w:t>统一社会信用代码</w:t>
            </w:r>
          </w:p>
        </w:tc>
        <w:tc>
          <w:tcPr>
            <w:tcW w:w="7250" w:type="dxa"/>
            <w:gridSpan w:val="4"/>
            <w:noWrap w:val="0"/>
            <w:vAlign w:val="center"/>
          </w:tcPr>
          <w:p w14:paraId="46DB7968">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2BEBC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1449" w:type="dxa"/>
            <w:noWrap w:val="0"/>
            <w:vAlign w:val="center"/>
          </w:tcPr>
          <w:p w14:paraId="54BF3EB5">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lang w:val="en-US" w:eastAsia="zh-CN"/>
              </w:rPr>
              <w:t>注册</w:t>
            </w:r>
            <w:r>
              <w:rPr>
                <w:rFonts w:hint="eastAsia" w:ascii="宋体" w:hAnsi="宋体" w:eastAsia="宋体" w:cs="宋体"/>
                <w:kern w:val="0"/>
                <w:szCs w:val="21"/>
                <w:highlight w:val="none"/>
              </w:rPr>
              <w:t>资金</w:t>
            </w:r>
          </w:p>
        </w:tc>
        <w:tc>
          <w:tcPr>
            <w:tcW w:w="7250" w:type="dxa"/>
            <w:gridSpan w:val="4"/>
            <w:noWrap w:val="0"/>
            <w:vAlign w:val="center"/>
          </w:tcPr>
          <w:p w14:paraId="27587440">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5078A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1449" w:type="dxa"/>
            <w:noWrap w:val="0"/>
            <w:vAlign w:val="center"/>
          </w:tcPr>
          <w:p w14:paraId="7FC1A8A0">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开户银行</w:t>
            </w:r>
          </w:p>
        </w:tc>
        <w:tc>
          <w:tcPr>
            <w:tcW w:w="7250" w:type="dxa"/>
            <w:gridSpan w:val="4"/>
            <w:noWrap w:val="0"/>
            <w:vAlign w:val="center"/>
          </w:tcPr>
          <w:p w14:paraId="599B6A2F">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28A76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449" w:type="dxa"/>
            <w:noWrap w:val="0"/>
            <w:vAlign w:val="center"/>
          </w:tcPr>
          <w:p w14:paraId="034F0A6E">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账号</w:t>
            </w:r>
          </w:p>
        </w:tc>
        <w:tc>
          <w:tcPr>
            <w:tcW w:w="7250" w:type="dxa"/>
            <w:gridSpan w:val="4"/>
            <w:noWrap w:val="0"/>
            <w:vAlign w:val="center"/>
          </w:tcPr>
          <w:p w14:paraId="64F84C03">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0D72F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7" w:hRule="atLeast"/>
          <w:jc w:val="center"/>
        </w:trPr>
        <w:tc>
          <w:tcPr>
            <w:tcW w:w="1449" w:type="dxa"/>
            <w:noWrap w:val="0"/>
            <w:vAlign w:val="center"/>
          </w:tcPr>
          <w:p w14:paraId="1AAE7AF3">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lang w:val="en-US" w:eastAsia="zh-CN"/>
              </w:rPr>
              <w:t>经营</w:t>
            </w:r>
            <w:r>
              <w:rPr>
                <w:rFonts w:hint="eastAsia" w:ascii="宋体" w:hAnsi="宋体" w:eastAsia="宋体" w:cs="宋体"/>
                <w:kern w:val="0"/>
                <w:szCs w:val="21"/>
                <w:highlight w:val="none"/>
              </w:rPr>
              <w:t>范围</w:t>
            </w:r>
          </w:p>
        </w:tc>
        <w:tc>
          <w:tcPr>
            <w:tcW w:w="7250" w:type="dxa"/>
            <w:gridSpan w:val="4"/>
            <w:noWrap w:val="0"/>
            <w:vAlign w:val="center"/>
          </w:tcPr>
          <w:p w14:paraId="74C54094">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15821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449" w:type="dxa"/>
            <w:noWrap w:val="0"/>
            <w:vAlign w:val="center"/>
          </w:tcPr>
          <w:p w14:paraId="0FBB2464">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备注</w:t>
            </w:r>
          </w:p>
        </w:tc>
        <w:tc>
          <w:tcPr>
            <w:tcW w:w="7250" w:type="dxa"/>
            <w:gridSpan w:val="4"/>
            <w:noWrap w:val="0"/>
            <w:vAlign w:val="center"/>
          </w:tcPr>
          <w:p w14:paraId="476B0E0B">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bl>
    <w:p w14:paraId="51B40791">
      <w:pPr>
        <w:pStyle w:val="67"/>
        <w:pageBreakBefore w:val="0"/>
        <w:bidi w:val="0"/>
        <w:adjustRightInd w:val="0"/>
        <w:snapToGrid w:val="0"/>
        <w:spacing w:beforeAutospacing="0" w:after="0" w:afterAutospacing="0" w:line="360" w:lineRule="auto"/>
        <w:ind w:left="0" w:leftChars="0" w:right="0" w:firstLine="240"/>
        <w:rPr>
          <w:rFonts w:hint="eastAsia" w:ascii="宋体" w:hAnsi="宋体" w:eastAsia="宋体" w:cs="宋体"/>
          <w:color w:val="000000"/>
          <w:sz w:val="24"/>
          <w:highlight w:val="none"/>
          <w:u w:val="single"/>
        </w:rPr>
      </w:pPr>
    </w:p>
    <w:p w14:paraId="16C16C59">
      <w:pPr>
        <w:pStyle w:val="67"/>
        <w:pageBreakBefore w:val="0"/>
        <w:bidi w:val="0"/>
        <w:adjustRightInd w:val="0"/>
        <w:snapToGrid w:val="0"/>
        <w:spacing w:beforeAutospacing="0" w:after="0" w:afterAutospacing="0" w:line="360" w:lineRule="auto"/>
        <w:ind w:left="0" w:leftChars="0" w:right="0" w:firstLine="240"/>
        <w:rPr>
          <w:rFonts w:hint="eastAsia" w:ascii="宋体" w:hAnsi="宋体" w:eastAsia="宋体" w:cs="宋体"/>
          <w:color w:val="000000"/>
          <w:sz w:val="24"/>
          <w:highlight w:val="none"/>
          <w:u w:val="single"/>
        </w:rPr>
      </w:pPr>
    </w:p>
    <w:p w14:paraId="7FD92DF8">
      <w:pPr>
        <w:pStyle w:val="67"/>
        <w:pageBreakBefore w:val="0"/>
        <w:bidi w:val="0"/>
        <w:adjustRightInd w:val="0"/>
        <w:snapToGrid w:val="0"/>
        <w:spacing w:beforeAutospacing="0" w:after="0" w:afterAutospacing="0" w:line="360" w:lineRule="auto"/>
        <w:ind w:left="0" w:leftChars="0" w:right="0" w:firstLine="240"/>
        <w:rPr>
          <w:rFonts w:hint="eastAsia" w:ascii="宋体" w:hAnsi="宋体" w:eastAsia="宋体" w:cs="宋体"/>
          <w:color w:val="000000"/>
          <w:sz w:val="24"/>
          <w:highlight w:val="none"/>
          <w:u w:val="single"/>
          <w:lang w:eastAsia="zh-CN"/>
        </w:rPr>
      </w:pPr>
    </w:p>
    <w:p w14:paraId="423DC455">
      <w:pPr>
        <w:pStyle w:val="67"/>
        <w:pageBreakBefore w:val="0"/>
        <w:bidi w:val="0"/>
        <w:adjustRightInd w:val="0"/>
        <w:snapToGrid w:val="0"/>
        <w:spacing w:beforeAutospacing="0" w:after="0" w:afterAutospacing="0" w:line="360" w:lineRule="auto"/>
        <w:ind w:left="0" w:leftChars="0" w:right="0" w:firstLine="240"/>
        <w:rPr>
          <w:rFonts w:hint="eastAsia" w:ascii="宋体" w:hAnsi="宋体" w:eastAsia="宋体" w:cs="宋体"/>
          <w:color w:val="000000"/>
          <w:sz w:val="24"/>
          <w:highlight w:val="none"/>
          <w:u w:val="single"/>
          <w:lang w:eastAsia="zh-CN"/>
        </w:rPr>
      </w:pPr>
    </w:p>
    <w:p w14:paraId="220A5AC7">
      <w:pPr>
        <w:pStyle w:val="67"/>
        <w:pageBreakBefore w:val="0"/>
        <w:bidi w:val="0"/>
        <w:adjustRightInd w:val="0"/>
        <w:snapToGrid w:val="0"/>
        <w:spacing w:beforeAutospacing="0" w:after="0" w:afterAutospacing="0" w:line="360" w:lineRule="auto"/>
        <w:ind w:left="0" w:leftChars="0" w:right="0" w:firstLine="240"/>
        <w:rPr>
          <w:rFonts w:hint="eastAsia" w:ascii="宋体" w:hAnsi="宋体" w:eastAsia="宋体" w:cs="宋体"/>
          <w:color w:val="000000"/>
          <w:sz w:val="24"/>
          <w:highlight w:val="none"/>
          <w:u w:val="single"/>
          <w:lang w:eastAsia="zh-CN"/>
        </w:rPr>
      </w:pPr>
    </w:p>
    <w:p w14:paraId="09C0605B">
      <w:pPr>
        <w:pStyle w:val="67"/>
        <w:pageBreakBefore w:val="0"/>
        <w:bidi w:val="0"/>
        <w:adjustRightInd w:val="0"/>
        <w:snapToGrid w:val="0"/>
        <w:spacing w:beforeAutospacing="0" w:after="0" w:afterAutospacing="0" w:line="360" w:lineRule="auto"/>
        <w:ind w:left="0" w:leftChars="0" w:right="0" w:firstLine="240"/>
        <w:rPr>
          <w:rFonts w:hint="eastAsia" w:ascii="宋体" w:hAnsi="宋体" w:eastAsia="宋体" w:cs="宋体"/>
          <w:color w:val="000000"/>
          <w:sz w:val="24"/>
          <w:highlight w:val="none"/>
          <w:u w:val="single"/>
        </w:rPr>
      </w:pPr>
    </w:p>
    <w:p w14:paraId="3B7DA38D">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color w:val="000000"/>
          <w:kern w:val="0"/>
          <w:sz w:val="28"/>
          <w:szCs w:val="28"/>
          <w:highlight w:val="none"/>
          <w:lang w:val="en-US" w:eastAsia="zh-CN" w:bidi="ar-SA"/>
        </w:rPr>
      </w:pPr>
      <w:r>
        <w:rPr>
          <w:rFonts w:hint="eastAsia" w:ascii="宋体" w:hAnsi="宋体" w:eastAsia="宋体" w:cs="宋体"/>
          <w:b/>
          <w:color w:val="000000"/>
          <w:kern w:val="0"/>
          <w:sz w:val="28"/>
          <w:szCs w:val="28"/>
          <w:highlight w:val="none"/>
          <w:lang w:val="en-US" w:eastAsia="zh-CN" w:bidi="ar-SA"/>
        </w:rPr>
        <w:t>（二）供应商资格审查资料</w:t>
      </w:r>
    </w:p>
    <w:p w14:paraId="061A16F3">
      <w:pPr>
        <w:pageBreakBefore w:val="0"/>
        <w:widowControl/>
        <w:shd w:val="clear" w:color="auto" w:fill="FFFFFF"/>
        <w:bidi w:val="0"/>
        <w:adjustRightInd w:val="0"/>
        <w:snapToGrid w:val="0"/>
        <w:spacing w:beforeAutospacing="0" w:afterAutospacing="0" w:line="360" w:lineRule="auto"/>
        <w:ind w:left="0" w:leftChars="0" w:right="0" w:firstLine="640"/>
        <w:jc w:val="left"/>
        <w:rPr>
          <w:rFonts w:hint="eastAsia" w:ascii="宋体" w:hAnsi="宋体" w:eastAsia="宋体" w:cs="宋体"/>
          <w:color w:val="000000"/>
          <w:sz w:val="28"/>
          <w:szCs w:val="28"/>
          <w:highlight w:val="none"/>
        </w:rPr>
      </w:pPr>
      <w:r>
        <w:rPr>
          <w:rFonts w:hint="eastAsia" w:ascii="宋体" w:hAnsi="宋体" w:eastAsia="宋体" w:cs="宋体"/>
          <w:kern w:val="0"/>
          <w:sz w:val="24"/>
          <w:highlight w:val="none"/>
          <w:shd w:val="clear" w:color="auto" w:fill="FFFFFF"/>
        </w:rPr>
        <w:t>供应商资格要求</w:t>
      </w:r>
    </w:p>
    <w:p w14:paraId="01A104ED">
      <w:pPr>
        <w:pStyle w:val="2"/>
        <w:pageBreakBefore w:val="0"/>
        <w:numPr>
          <w:ilvl w:val="1"/>
          <w:numId w:val="0"/>
        </w:numPr>
        <w:bidi w:val="0"/>
        <w:adjustRightInd w:val="0"/>
        <w:snapToGrid w:val="0"/>
        <w:spacing w:before="0" w:beforeAutospacing="0" w:after="0" w:afterAutospacing="0" w:line="360" w:lineRule="auto"/>
        <w:ind w:left="0" w:leftChars="0" w:right="0"/>
        <w:jc w:val="center"/>
        <w:rPr>
          <w:rFonts w:hint="eastAsia" w:ascii="宋体" w:hAnsi="宋体" w:eastAsia="宋体" w:cs="宋体"/>
          <w:color w:val="000000"/>
          <w:sz w:val="28"/>
          <w:szCs w:val="28"/>
          <w:highlight w:val="none"/>
        </w:rPr>
      </w:pPr>
    </w:p>
    <w:p w14:paraId="2FFF8239">
      <w:pPr>
        <w:pStyle w:val="2"/>
        <w:pageBreakBefore w:val="0"/>
        <w:numPr>
          <w:ilvl w:val="1"/>
          <w:numId w:val="0"/>
        </w:numPr>
        <w:bidi w:val="0"/>
        <w:adjustRightInd w:val="0"/>
        <w:snapToGrid w:val="0"/>
        <w:spacing w:before="0" w:beforeAutospacing="0" w:after="0" w:afterAutospacing="0" w:line="360" w:lineRule="auto"/>
        <w:ind w:left="0" w:leftChars="0" w:right="0"/>
        <w:jc w:val="center"/>
        <w:rPr>
          <w:rFonts w:hint="eastAsia" w:ascii="宋体" w:hAnsi="宋体" w:eastAsia="宋体" w:cs="宋体"/>
          <w:color w:val="000000"/>
          <w:sz w:val="28"/>
          <w:szCs w:val="28"/>
          <w:highlight w:val="none"/>
        </w:rPr>
      </w:pPr>
    </w:p>
    <w:p w14:paraId="3D5E3ECD">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76847C0E">
      <w:pPr>
        <w:pageBreakBefore w:val="0"/>
        <w:bidi w:val="0"/>
        <w:adjustRightInd w:val="0"/>
        <w:snapToGrid w:val="0"/>
        <w:spacing w:beforeAutospacing="0" w:afterAutospacing="0" w:line="360" w:lineRule="auto"/>
        <w:ind w:left="0" w:leftChars="0" w:right="0"/>
        <w:jc w:val="left"/>
        <w:rPr>
          <w:rFonts w:hint="eastAsia" w:ascii="宋体" w:hAnsi="宋体" w:eastAsia="宋体" w:cs="宋体"/>
          <w:b/>
          <w:bCs/>
          <w:color w:val="auto"/>
          <w:sz w:val="28"/>
          <w:szCs w:val="28"/>
          <w:highlight w:val="none"/>
        </w:rPr>
      </w:pPr>
      <w:bookmarkStart w:id="67" w:name="_Hlk136874878"/>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w:t>
      </w:r>
    </w:p>
    <w:p w14:paraId="17DCEAEC">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满足《中华人民共和国政府采购法》第二十二条规定的承诺书</w:t>
      </w:r>
    </w:p>
    <w:p w14:paraId="783EAD53">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b/>
          <w:color w:val="auto"/>
          <w:sz w:val="28"/>
          <w:szCs w:val="28"/>
          <w:highlight w:val="none"/>
          <w:u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rPr>
        <w:t>（采购人名称）</w:t>
      </w:r>
      <w:r>
        <w:rPr>
          <w:rFonts w:hint="eastAsia" w:ascii="宋体" w:hAnsi="宋体" w:eastAsia="宋体" w:cs="宋体"/>
          <w:b/>
          <w:color w:val="auto"/>
          <w:sz w:val="28"/>
          <w:szCs w:val="28"/>
          <w:highlight w:val="none"/>
          <w:u w:val="none"/>
        </w:rPr>
        <w:t xml:space="preserve"> </w:t>
      </w:r>
    </w:p>
    <w:p w14:paraId="46992091">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我单位自愿参加本次采购活动，严格遵守《中华人民共和国政府采购法》及相关法律法规，依法诚信经营，依法遵守本次政府采购活动的各项规定。我单位郑重承诺声明如下：</w:t>
      </w:r>
    </w:p>
    <w:p w14:paraId="742852C3">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一、我单位全称为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，注册地点为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，统一社会信用代码为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法定代表人（主要负责人）为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联系方式为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60E46AF">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二、我单位具有独立承担民事责任的能力(如分公司参加投标的，其民事责任由总公司承担)。</w:t>
      </w:r>
    </w:p>
    <w:p w14:paraId="2734E026">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三、我单位具有良好的商业信誉和健全的财务会计制度。 </w:t>
      </w:r>
    </w:p>
    <w:p w14:paraId="4FF71B13">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四、我单位具有履行合同所必需的设备和专业技术能力。 </w:t>
      </w:r>
    </w:p>
    <w:p w14:paraId="42B0B252">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五、我单位有依法缴纳税收和社会保障资金的良好记录。</w:t>
      </w:r>
    </w:p>
    <w:p w14:paraId="6525F6F6">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六、我单位参加政府采购活动前三年内，在经营活动中没有重大违法记录。（重大违法记录，是指供应商因违法经营受到刑事处罚或者责令停产停业、吊销许可证或者执照、较大数额罚款等行政处罚。）</w:t>
      </w:r>
    </w:p>
    <w:p w14:paraId="27DCBC7E">
      <w:pPr>
        <w:pageBreakBefore w:val="0"/>
        <w:bidi w:val="0"/>
        <w:adjustRightInd w:val="0"/>
        <w:snapToGrid w:val="0"/>
        <w:spacing w:beforeAutospacing="0" w:afterAutospacing="0" w:line="360" w:lineRule="auto"/>
        <w:ind w:left="0" w:leftChars="0" w:right="0" w:firstLine="480" w:firstLineChars="200"/>
        <w:outlineLvl w:val="1"/>
        <w:rPr>
          <w:rFonts w:hint="eastAsia" w:ascii="宋体" w:hAnsi="宋体" w:eastAsia="宋体" w:cs="宋体"/>
          <w:color w:val="auto"/>
          <w:sz w:val="24"/>
          <w:szCs w:val="24"/>
          <w:highlight w:val="none"/>
        </w:rPr>
      </w:pPr>
      <w:bookmarkStart w:id="68" w:name="_Toc4968"/>
      <w:bookmarkStart w:id="69" w:name="_Toc27798"/>
      <w:bookmarkStart w:id="70" w:name="_Toc4952"/>
      <w:bookmarkStart w:id="71" w:name="_Toc7612"/>
      <w:bookmarkStart w:id="72" w:name="_Toc7848"/>
      <w:bookmarkStart w:id="73" w:name="_Toc12051"/>
      <w:r>
        <w:rPr>
          <w:rFonts w:hint="eastAsia" w:ascii="宋体" w:hAnsi="宋体" w:eastAsia="宋体" w:cs="宋体"/>
          <w:color w:val="auto"/>
          <w:sz w:val="24"/>
          <w:szCs w:val="24"/>
          <w:highlight w:val="none"/>
        </w:rPr>
        <w:t>七、我单位具备法律、行政法规规定的其他条件。</w:t>
      </w:r>
      <w:bookmarkEnd w:id="68"/>
      <w:bookmarkEnd w:id="69"/>
      <w:bookmarkEnd w:id="70"/>
      <w:bookmarkEnd w:id="71"/>
      <w:bookmarkEnd w:id="72"/>
      <w:bookmarkEnd w:id="73"/>
    </w:p>
    <w:p w14:paraId="355B07BA">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保证上述声明的事项都是真实的，符合《中华人民共和国政府采购法》规定的供应商资格条件。如有弄虚作假，我单位愿意按照“提供虚假材料谋取中标”承担相应的法律责任，同意将违背承诺行为作为失信行为记录到社会信用信息平台，并承担因此所造成的一切损失。</w:t>
      </w:r>
    </w:p>
    <w:p w14:paraId="5DF7EA6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3600" w:firstLineChars="15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应</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商：</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（电子签章）</w:t>
      </w:r>
    </w:p>
    <w:p w14:paraId="144607A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3600" w:firstLineChars="15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法定代表人：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（电子签章）</w:t>
      </w:r>
    </w:p>
    <w:p w14:paraId="2EF5DE9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3600" w:firstLineChars="15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期：</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日</w:t>
      </w:r>
    </w:p>
    <w:p w14:paraId="248E60B0">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注：1.供应商须在投标文件中按此模板提供承诺函，未提供视为未实质性响应招标文件要求，按无效投标处理。</w:t>
      </w:r>
    </w:p>
    <w:p w14:paraId="08C80FF1">
      <w:pPr>
        <w:pageBreakBefore w:val="0"/>
        <w:widowControl/>
        <w:numPr>
          <w:ilvl w:val="0"/>
          <w:numId w:val="2"/>
        </w:numPr>
        <w:shd w:val="clear" w:color="auto" w:fill="FFFFFF"/>
        <w:bidi w:val="0"/>
        <w:adjustRightInd w:val="0"/>
        <w:snapToGrid w:val="0"/>
        <w:spacing w:beforeAutospacing="0" w:afterAutospacing="0" w:line="360" w:lineRule="auto"/>
        <w:ind w:left="0" w:leftChars="0" w:right="0" w:firstLine="0" w:firstLineChars="0"/>
        <w:jc w:val="left"/>
        <w:textAlignment w:val="baseline"/>
        <w:rPr>
          <w:rFonts w:hint="eastAsia" w:ascii="宋体" w:hAnsi="宋体" w:eastAsia="宋体" w:cs="宋体"/>
          <w:color w:val="auto"/>
          <w:sz w:val="24"/>
          <w:szCs w:val="24"/>
          <w:highlight w:val="none"/>
        </w:rPr>
      </w:pPr>
      <w:bookmarkStart w:id="74" w:name="_Toc19559"/>
      <w:r>
        <w:rPr>
          <w:rFonts w:hint="eastAsia" w:ascii="宋体" w:hAnsi="宋体" w:eastAsia="宋体" w:cs="宋体"/>
          <w:color w:val="auto"/>
          <w:sz w:val="24"/>
          <w:szCs w:val="24"/>
          <w:highlight w:val="none"/>
        </w:rPr>
        <w:t>供应商的法定代表人（主要负责人）或者授权代表的签字或盖章应真实、有效。</w:t>
      </w:r>
      <w:bookmarkEnd w:id="67"/>
    </w:p>
    <w:p w14:paraId="44BB3A83">
      <w:pPr>
        <w:pageBreakBefore w:val="0"/>
        <w:widowControl/>
        <w:numPr>
          <w:ilvl w:val="0"/>
          <w:numId w:val="0"/>
        </w:numPr>
        <w:shd w:val="clear" w:color="auto" w:fill="FFFFFF"/>
        <w:bidi w:val="0"/>
        <w:adjustRightInd w:val="0"/>
        <w:snapToGrid w:val="0"/>
        <w:spacing w:beforeAutospacing="0" w:afterAutospacing="0" w:line="360" w:lineRule="auto"/>
        <w:ind w:left="0" w:leftChars="0" w:right="0" w:rightChars="0"/>
        <w:jc w:val="left"/>
        <w:textAlignment w:val="baseline"/>
        <w:rPr>
          <w:rFonts w:hint="eastAsia" w:ascii="宋体" w:hAnsi="宋体" w:eastAsia="宋体" w:cs="宋体"/>
          <w:b/>
          <w:kern w:val="0"/>
          <w:sz w:val="28"/>
          <w:szCs w:val="28"/>
          <w:highlight w:val="none"/>
        </w:rPr>
      </w:pPr>
    </w:p>
    <w:p w14:paraId="14392B0B">
      <w:pPr>
        <w:pageBreakBefore w:val="0"/>
        <w:widowControl/>
        <w:numPr>
          <w:ilvl w:val="0"/>
          <w:numId w:val="0"/>
        </w:numPr>
        <w:shd w:val="clear" w:color="auto" w:fill="FFFFFF"/>
        <w:bidi w:val="0"/>
        <w:adjustRightInd w:val="0"/>
        <w:snapToGrid w:val="0"/>
        <w:spacing w:beforeAutospacing="0" w:afterAutospacing="0" w:line="360" w:lineRule="auto"/>
        <w:ind w:left="0" w:leftChars="0" w:right="0" w:rightChars="0"/>
        <w:jc w:val="left"/>
        <w:textAlignment w:val="baseline"/>
        <w:rPr>
          <w:rFonts w:hint="eastAsia" w:ascii="宋体" w:hAnsi="宋体" w:eastAsia="宋体" w:cs="宋体"/>
          <w:b/>
          <w:kern w:val="0"/>
          <w:sz w:val="28"/>
          <w:szCs w:val="28"/>
          <w:highlight w:val="none"/>
        </w:rPr>
      </w:pPr>
    </w:p>
    <w:p w14:paraId="5F94C21D">
      <w:pPr>
        <w:pageBreakBefore w:val="0"/>
        <w:widowControl/>
        <w:numPr>
          <w:ilvl w:val="0"/>
          <w:numId w:val="0"/>
        </w:numPr>
        <w:shd w:val="clear" w:color="auto" w:fill="FFFFFF"/>
        <w:bidi w:val="0"/>
        <w:adjustRightInd w:val="0"/>
        <w:snapToGrid w:val="0"/>
        <w:spacing w:beforeAutospacing="0" w:afterAutospacing="0" w:line="360" w:lineRule="auto"/>
        <w:ind w:left="0" w:leftChars="0" w:right="0" w:rightChars="0"/>
        <w:jc w:val="left"/>
        <w:textAlignment w:val="baseline"/>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 xml:space="preserve">附件2： </w:t>
      </w:r>
    </w:p>
    <w:p w14:paraId="0255AC7D">
      <w:pPr>
        <w:pageBreakBefore w:val="0"/>
        <w:widowControl/>
        <w:shd w:val="clear" w:color="auto" w:fill="FFFFFF"/>
        <w:bidi w:val="0"/>
        <w:adjustRightInd w:val="0"/>
        <w:snapToGrid w:val="0"/>
        <w:spacing w:beforeAutospacing="0" w:afterAutospacing="0" w:line="360" w:lineRule="auto"/>
        <w:ind w:left="0" w:leftChars="0" w:right="0"/>
        <w:jc w:val="center"/>
        <w:textAlignment w:val="baseline"/>
        <w:rPr>
          <w:rFonts w:hint="eastAsia" w:ascii="宋体" w:hAnsi="宋体" w:eastAsia="宋体" w:cs="宋体"/>
          <w:b/>
          <w:kern w:val="0"/>
          <w:sz w:val="24"/>
          <w:highlight w:val="none"/>
          <w:lang w:val="en-US" w:eastAsia="zh-CN"/>
        </w:rPr>
      </w:pPr>
      <w:r>
        <w:rPr>
          <w:rFonts w:hint="eastAsia" w:ascii="宋体" w:hAnsi="宋体" w:eastAsia="宋体" w:cs="宋体"/>
          <w:b/>
          <w:kern w:val="0"/>
          <w:sz w:val="24"/>
          <w:highlight w:val="none"/>
          <w:lang w:val="en-US" w:eastAsia="zh-CN"/>
        </w:rPr>
        <w:t>非联合体投标承诺书</w:t>
      </w:r>
    </w:p>
    <w:p w14:paraId="52EE064C">
      <w:pPr>
        <w:pageBreakBefore w:val="0"/>
        <w:widowControl/>
        <w:shd w:val="clear" w:color="auto" w:fill="FFFFFF"/>
        <w:bidi w:val="0"/>
        <w:adjustRightInd w:val="0"/>
        <w:snapToGrid w:val="0"/>
        <w:spacing w:beforeAutospacing="0" w:afterAutospacing="0" w:line="360" w:lineRule="auto"/>
        <w:ind w:left="0" w:leftChars="0" w:right="0"/>
        <w:jc w:val="center"/>
        <w:textAlignment w:val="baseline"/>
        <w:rPr>
          <w:rFonts w:hint="eastAsia" w:ascii="宋体" w:hAnsi="宋体" w:eastAsia="宋体" w:cs="宋体"/>
          <w:b/>
          <w:kern w:val="0"/>
          <w:sz w:val="24"/>
          <w:highlight w:val="none"/>
          <w:lang w:val="zh-CN" w:eastAsia="zh-CN"/>
        </w:rPr>
      </w:pPr>
    </w:p>
    <w:p w14:paraId="051ACBF0">
      <w:pPr>
        <w:pageBreakBefore w:val="0"/>
        <w:bidi w:val="0"/>
        <w:adjustRightInd w:val="0"/>
        <w:snapToGrid w:val="0"/>
        <w:spacing w:beforeAutospacing="0" w:afterAutospacing="0" w:line="360" w:lineRule="auto"/>
        <w:ind w:left="0" w:leftChars="0" w:right="0"/>
        <w:rPr>
          <w:rFonts w:hint="eastAsia" w:ascii="宋体" w:hAnsi="宋体" w:eastAsia="宋体" w:cs="宋体"/>
          <w:sz w:val="24"/>
          <w:szCs w:val="24"/>
          <w:highlight w:val="none"/>
        </w:rPr>
      </w:pPr>
      <w:r>
        <w:rPr>
          <w:rFonts w:hint="eastAsia" w:ascii="宋体" w:hAnsi="宋体" w:eastAsia="宋体" w:cs="宋体"/>
          <w:sz w:val="24"/>
          <w:szCs w:val="24"/>
          <w:highlight w:val="none"/>
        </w:rPr>
        <w:t>致（采购单位）：</w:t>
      </w:r>
    </w:p>
    <w:p w14:paraId="1316171F">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我单位参与本次采购活动中，非联合体投标，特此承诺。 </w:t>
      </w:r>
    </w:p>
    <w:p w14:paraId="2FC2C257">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若承诺不实，同意取消投标资格，接受相关处理。</w:t>
      </w:r>
    </w:p>
    <w:p w14:paraId="35D07A89">
      <w:pPr>
        <w:pageBreakBefore w:val="0"/>
        <w:bidi w:val="0"/>
        <w:adjustRightInd w:val="0"/>
        <w:snapToGrid w:val="0"/>
        <w:spacing w:beforeAutospacing="0" w:afterAutospacing="0" w:line="360" w:lineRule="auto"/>
        <w:ind w:left="0" w:leftChars="0" w:right="0"/>
        <w:jc w:val="right"/>
        <w:rPr>
          <w:rFonts w:hint="eastAsia" w:ascii="宋体" w:hAnsi="宋体" w:eastAsia="宋体" w:cs="宋体"/>
          <w:sz w:val="24"/>
          <w:szCs w:val="24"/>
          <w:highlight w:val="none"/>
        </w:rPr>
      </w:pPr>
    </w:p>
    <w:p w14:paraId="4C916CB4">
      <w:pPr>
        <w:pageBreakBefore w:val="0"/>
        <w:bidi w:val="0"/>
        <w:adjustRightInd w:val="0"/>
        <w:snapToGrid w:val="0"/>
        <w:spacing w:beforeAutospacing="0" w:afterAutospacing="0" w:line="360" w:lineRule="auto"/>
        <w:ind w:left="0" w:leftChars="0" w:right="0"/>
        <w:jc w:val="right"/>
        <w:rPr>
          <w:rFonts w:hint="eastAsia" w:ascii="宋体" w:hAnsi="宋体" w:eastAsia="宋体" w:cs="宋体"/>
          <w:sz w:val="24"/>
          <w:szCs w:val="24"/>
          <w:highlight w:val="none"/>
        </w:rPr>
      </w:pPr>
    </w:p>
    <w:p w14:paraId="6AA0BD13">
      <w:pPr>
        <w:pageBreakBefore w:val="0"/>
        <w:bidi w:val="0"/>
        <w:adjustRightInd w:val="0"/>
        <w:snapToGrid w:val="0"/>
        <w:spacing w:beforeAutospacing="0" w:afterAutospacing="0" w:line="360" w:lineRule="auto"/>
        <w:ind w:left="0" w:leftChars="0" w:right="0"/>
        <w:jc w:val="righ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kern w:val="0"/>
          <w:sz w:val="24"/>
          <w:highlight w:val="none"/>
        </w:rPr>
        <w:t>供应商：</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电子签章</w:t>
      </w:r>
      <w:r>
        <w:rPr>
          <w:rFonts w:hint="eastAsia" w:ascii="宋体" w:hAnsi="宋体" w:eastAsia="宋体" w:cs="宋体"/>
          <w:kern w:val="0"/>
          <w:sz w:val="24"/>
          <w:szCs w:val="24"/>
          <w:highlight w:val="none"/>
        </w:rPr>
        <w:t>)</w:t>
      </w:r>
    </w:p>
    <w:p w14:paraId="686BC6B8">
      <w:pPr>
        <w:pageBreakBefore w:val="0"/>
        <w:wordWrap w:val="0"/>
        <w:bidi w:val="0"/>
        <w:adjustRightInd w:val="0"/>
        <w:snapToGrid w:val="0"/>
        <w:spacing w:beforeAutospacing="0" w:afterAutospacing="0" w:line="360" w:lineRule="auto"/>
        <w:ind w:left="0" w:leftChars="0" w:right="0"/>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电子签章</w:t>
      </w:r>
      <w:r>
        <w:rPr>
          <w:rFonts w:hint="eastAsia" w:ascii="宋体" w:hAnsi="宋体" w:eastAsia="宋体" w:cs="宋体"/>
          <w:kern w:val="0"/>
          <w:sz w:val="24"/>
          <w:szCs w:val="24"/>
          <w:highlight w:val="none"/>
        </w:rPr>
        <w:t>）</w:t>
      </w:r>
    </w:p>
    <w:p w14:paraId="0F73D2FA">
      <w:pPr>
        <w:pStyle w:val="8"/>
        <w:pageBreakBefore w:val="0"/>
        <w:bidi w:val="0"/>
        <w:adjustRightInd w:val="0"/>
        <w:snapToGrid w:val="0"/>
        <w:spacing w:beforeAutospacing="0" w:afterAutospacing="0" w:line="360" w:lineRule="auto"/>
        <w:ind w:left="0" w:leftChars="0" w:right="0"/>
        <w:jc w:val="right"/>
        <w:rPr>
          <w:rFonts w:hint="eastAsia" w:ascii="宋体" w:hAnsi="宋体" w:eastAsia="宋体" w:cs="宋体"/>
          <w:kern w:val="0"/>
          <w:szCs w:val="24"/>
          <w:highlight w:val="none"/>
          <w:lang w:val="en-US" w:eastAsia="zh-CN"/>
        </w:rPr>
      </w:pPr>
      <w:r>
        <w:rPr>
          <w:rFonts w:hint="eastAsia" w:ascii="宋体" w:hAnsi="宋体" w:eastAsia="宋体" w:cs="宋体"/>
          <w:kern w:val="0"/>
          <w:szCs w:val="24"/>
          <w:highlight w:val="none"/>
          <w:lang w:val="en-US" w:eastAsia="zh-CN"/>
        </w:rPr>
        <w:t xml:space="preserve">                             年     月     日</w:t>
      </w:r>
    </w:p>
    <w:p w14:paraId="237DD227">
      <w:pPr>
        <w:pStyle w:val="2"/>
        <w:pageBreakBefore w:val="0"/>
        <w:bidi w:val="0"/>
        <w:adjustRightInd w:val="0"/>
        <w:snapToGrid w:val="0"/>
        <w:spacing w:before="0" w:beforeAutospacing="0" w:after="0" w:afterAutospacing="0" w:line="360" w:lineRule="auto"/>
        <w:ind w:left="0" w:leftChars="0" w:right="0"/>
        <w:rPr>
          <w:rFonts w:hint="eastAsia" w:ascii="宋体" w:hAnsi="宋体" w:eastAsia="宋体" w:cs="宋体"/>
          <w:highlight w:val="none"/>
        </w:rPr>
      </w:pPr>
    </w:p>
    <w:p w14:paraId="69464ACA">
      <w:pPr>
        <w:pageBreakBefore w:val="0"/>
        <w:widowControl/>
        <w:shd w:val="clear" w:color="auto" w:fill="FFFFFF"/>
        <w:bidi w:val="0"/>
        <w:adjustRightInd w:val="0"/>
        <w:snapToGrid w:val="0"/>
        <w:spacing w:beforeAutospacing="0" w:afterAutospacing="0" w:line="360" w:lineRule="auto"/>
        <w:ind w:left="0" w:leftChars="0" w:right="0" w:rightChars="0"/>
        <w:jc w:val="left"/>
        <w:textAlignment w:val="baseline"/>
        <w:rPr>
          <w:rFonts w:hint="eastAsia" w:ascii="宋体" w:hAnsi="宋体" w:eastAsia="宋体" w:cs="宋体"/>
          <w:b/>
          <w:kern w:val="0"/>
          <w:sz w:val="28"/>
          <w:szCs w:val="28"/>
          <w:highlight w:val="none"/>
        </w:rPr>
      </w:pPr>
      <w:r>
        <w:rPr>
          <w:rFonts w:hint="eastAsia" w:ascii="宋体" w:hAnsi="宋体" w:eastAsia="宋体" w:cs="宋体"/>
          <w:kern w:val="0"/>
          <w:szCs w:val="21"/>
          <w:highlight w:val="none"/>
        </w:rPr>
        <w:br w:type="page"/>
      </w:r>
      <w:r>
        <w:rPr>
          <w:rFonts w:hint="eastAsia" w:ascii="宋体" w:hAnsi="宋体" w:eastAsia="宋体" w:cs="宋体"/>
          <w:b/>
          <w:kern w:val="0"/>
          <w:sz w:val="28"/>
          <w:szCs w:val="28"/>
          <w:highlight w:val="none"/>
        </w:rPr>
        <w:t>附件</w:t>
      </w:r>
      <w:r>
        <w:rPr>
          <w:rFonts w:hint="eastAsia" w:ascii="宋体" w:hAnsi="宋体" w:eastAsia="宋体" w:cs="宋体"/>
          <w:b/>
          <w:kern w:val="0"/>
          <w:sz w:val="28"/>
          <w:szCs w:val="28"/>
          <w:highlight w:val="none"/>
          <w:lang w:val="en-US" w:eastAsia="zh-CN"/>
        </w:rPr>
        <w:t>3</w:t>
      </w:r>
      <w:r>
        <w:rPr>
          <w:rFonts w:hint="eastAsia" w:ascii="宋体" w:hAnsi="宋体" w:eastAsia="宋体" w:cs="宋体"/>
          <w:b/>
          <w:kern w:val="0"/>
          <w:sz w:val="28"/>
          <w:szCs w:val="28"/>
          <w:highlight w:val="none"/>
        </w:rPr>
        <w:t xml:space="preserve">： </w:t>
      </w:r>
    </w:p>
    <w:p w14:paraId="5B8F1628">
      <w:pPr>
        <w:pageBreakBefore w:val="0"/>
        <w:widowControl/>
        <w:shd w:val="clear" w:color="auto" w:fill="FFFFFF"/>
        <w:bidi w:val="0"/>
        <w:adjustRightInd w:val="0"/>
        <w:snapToGrid w:val="0"/>
        <w:spacing w:beforeAutospacing="0" w:afterAutospacing="0" w:line="360" w:lineRule="auto"/>
        <w:ind w:left="0" w:leftChars="0" w:right="0" w:rightChars="0" w:firstLine="482" w:firstLineChars="200"/>
        <w:jc w:val="center"/>
        <w:textAlignment w:val="baseline"/>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无商业贿赂</w:t>
      </w:r>
      <w:r>
        <w:rPr>
          <w:rFonts w:hint="eastAsia" w:ascii="宋体" w:hAnsi="宋体" w:eastAsia="宋体" w:cs="宋体"/>
          <w:b/>
          <w:kern w:val="0"/>
          <w:sz w:val="24"/>
          <w:highlight w:val="none"/>
          <w:lang w:val="en-US" w:eastAsia="zh-CN"/>
        </w:rPr>
        <w:t>及</w:t>
      </w:r>
      <w:r>
        <w:rPr>
          <w:rFonts w:hint="eastAsia" w:ascii="宋体" w:hAnsi="宋体" w:eastAsia="宋体" w:cs="宋体"/>
          <w:b/>
          <w:kern w:val="0"/>
          <w:sz w:val="24"/>
          <w:highlight w:val="none"/>
          <w:lang w:val="zh-CN"/>
        </w:rPr>
        <w:t>无不正当竞争行为的承诺书</w:t>
      </w:r>
    </w:p>
    <w:p w14:paraId="2520459B">
      <w:pPr>
        <w:pageBreakBefore w:val="0"/>
        <w:widowControl/>
        <w:bidi w:val="0"/>
        <w:adjustRightInd w:val="0"/>
        <w:snapToGrid w:val="0"/>
        <w:spacing w:beforeAutospacing="0" w:afterAutospacing="0" w:line="360" w:lineRule="auto"/>
        <w:ind w:left="0" w:leftChars="0" w:right="0" w:rightChars="0"/>
        <w:jc w:val="left"/>
        <w:rPr>
          <w:rFonts w:hint="eastAsia" w:ascii="宋体" w:hAnsi="宋体" w:eastAsia="宋体" w:cs="宋体"/>
          <w:sz w:val="24"/>
          <w:szCs w:val="24"/>
          <w:highlight w:val="none"/>
        </w:rPr>
      </w:pPr>
    </w:p>
    <w:p w14:paraId="1B806CCE">
      <w:pPr>
        <w:pageBreakBefore w:val="0"/>
        <w:widowControl/>
        <w:bidi w:val="0"/>
        <w:adjustRightInd w:val="0"/>
        <w:snapToGrid w:val="0"/>
        <w:spacing w:beforeAutospacing="0" w:afterAutospacing="0" w:line="360" w:lineRule="auto"/>
        <w:ind w:left="0" w:leftChars="0" w:right="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我公司承诺：</w:t>
      </w:r>
    </w:p>
    <w:p w14:paraId="113B04EC">
      <w:pPr>
        <w:pageBreakBefore w:val="0"/>
        <w:widowControl/>
        <w:bidi w:val="0"/>
        <w:adjustRightInd w:val="0"/>
        <w:snapToGrid w:val="0"/>
        <w:spacing w:beforeAutospacing="0" w:afterAutospacing="0" w:line="360" w:lineRule="auto"/>
        <w:ind w:left="0" w:leftChars="0" w:right="0" w:rightChars="0" w:firstLine="46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一、我公司</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及法人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自成立以来，在参与政府采购活动中，从无商业贿赂及不正当竞争行为。</w:t>
      </w:r>
    </w:p>
    <w:p w14:paraId="45DFA77C">
      <w:pPr>
        <w:pageBreakBefore w:val="0"/>
        <w:widowControl/>
        <w:bidi w:val="0"/>
        <w:adjustRightInd w:val="0"/>
        <w:snapToGrid w:val="0"/>
        <w:spacing w:beforeAutospacing="0" w:afterAutospacing="0" w:line="360" w:lineRule="auto"/>
        <w:ind w:left="0" w:leftChars="0" w:right="0" w:rightChars="0" w:firstLine="46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二、公平竞争参加本次采购活动。</w:t>
      </w:r>
    </w:p>
    <w:p w14:paraId="2FE7B462">
      <w:pPr>
        <w:pageBreakBefore w:val="0"/>
        <w:widowControl/>
        <w:bidi w:val="0"/>
        <w:adjustRightInd w:val="0"/>
        <w:snapToGrid w:val="0"/>
        <w:spacing w:beforeAutospacing="0" w:afterAutospacing="0" w:line="360" w:lineRule="auto"/>
        <w:ind w:left="0" w:leftChars="0" w:right="0" w:rightChars="0" w:firstLine="46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三、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 </w:t>
      </w:r>
    </w:p>
    <w:p w14:paraId="5F1B6AC3">
      <w:pPr>
        <w:pageBreakBefore w:val="0"/>
        <w:widowControl/>
        <w:bidi w:val="0"/>
        <w:adjustRightInd w:val="0"/>
        <w:snapToGrid w:val="0"/>
        <w:spacing w:beforeAutospacing="0" w:afterAutospacing="0" w:line="360" w:lineRule="auto"/>
        <w:ind w:left="0" w:leftChars="0" w:right="0" w:rightChars="0" w:firstLine="46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四、坚持投标独立性，保证不以任何手段了解或意图了解其他投标参与人情况及其报价信息。除公开渠道获取相关信息外，保证不以其它方式刺探或意图刺探贵司评标、议标信息及其进展。</w:t>
      </w:r>
    </w:p>
    <w:p w14:paraId="2BE1ACC6">
      <w:pPr>
        <w:pageBreakBefore w:val="0"/>
        <w:widowControl/>
        <w:bidi w:val="0"/>
        <w:adjustRightInd w:val="0"/>
        <w:snapToGrid w:val="0"/>
        <w:spacing w:beforeAutospacing="0" w:afterAutospacing="0" w:line="360" w:lineRule="auto"/>
        <w:ind w:left="0" w:leftChars="0" w:right="0" w:rightChars="0" w:firstLine="46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五、若出现上述行为，与投标的工作人员愿意接受按照国家法律法规等有关规定给子的处罚。</w:t>
      </w:r>
    </w:p>
    <w:p w14:paraId="4459D948">
      <w:pPr>
        <w:pageBreakBefore w:val="0"/>
        <w:widowControl/>
        <w:bidi w:val="0"/>
        <w:adjustRightInd w:val="0"/>
        <w:snapToGrid w:val="0"/>
        <w:spacing w:beforeAutospacing="0" w:afterAutospacing="0" w:line="360" w:lineRule="auto"/>
        <w:ind w:left="0" w:leftChars="0" w:right="0" w:rightChars="0" w:firstLine="46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14:paraId="185A2679">
      <w:pPr>
        <w:pStyle w:val="19"/>
        <w:pageBreakBefore w:val="0"/>
        <w:bidi w:val="0"/>
        <w:adjustRightInd w:val="0"/>
        <w:snapToGrid w:val="0"/>
        <w:spacing w:beforeAutospacing="0" w:after="0" w:afterAutospacing="0" w:line="360" w:lineRule="auto"/>
        <w:ind w:left="0" w:leftChars="0" w:right="0" w:rightChars="0" w:firstLine="200"/>
        <w:rPr>
          <w:rFonts w:hint="eastAsia" w:ascii="宋体" w:hAnsi="宋体" w:eastAsia="宋体" w:cs="宋体"/>
          <w:highlight w:val="none"/>
        </w:rPr>
      </w:pPr>
    </w:p>
    <w:p w14:paraId="02F7E7EC">
      <w:pPr>
        <w:pageBreakBefore w:val="0"/>
        <w:bidi w:val="0"/>
        <w:adjustRightInd w:val="0"/>
        <w:snapToGrid w:val="0"/>
        <w:spacing w:beforeAutospacing="0" w:afterAutospacing="0" w:line="360" w:lineRule="auto"/>
        <w:ind w:left="0" w:leftChars="0" w:right="0" w:rightChars="0"/>
        <w:jc w:val="righ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kern w:val="0"/>
          <w:sz w:val="24"/>
          <w:highlight w:val="none"/>
        </w:rPr>
        <w:t>供应商：</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电子签章</w:t>
      </w:r>
      <w:r>
        <w:rPr>
          <w:rFonts w:hint="eastAsia" w:ascii="宋体" w:hAnsi="宋体" w:eastAsia="宋体" w:cs="宋体"/>
          <w:kern w:val="0"/>
          <w:sz w:val="24"/>
          <w:szCs w:val="24"/>
          <w:highlight w:val="none"/>
        </w:rPr>
        <w:t>)</w:t>
      </w:r>
    </w:p>
    <w:p w14:paraId="03B2BD86">
      <w:pPr>
        <w:pageBreakBefore w:val="0"/>
        <w:wordWrap w:val="0"/>
        <w:bidi w:val="0"/>
        <w:adjustRightInd w:val="0"/>
        <w:snapToGrid w:val="0"/>
        <w:spacing w:beforeAutospacing="0" w:afterAutospacing="0" w:line="360" w:lineRule="auto"/>
        <w:ind w:left="0" w:leftChars="0" w:right="0" w:rightChars="0"/>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电子签章</w:t>
      </w:r>
      <w:r>
        <w:rPr>
          <w:rFonts w:hint="eastAsia" w:ascii="宋体" w:hAnsi="宋体" w:eastAsia="宋体" w:cs="宋体"/>
          <w:kern w:val="0"/>
          <w:sz w:val="24"/>
          <w:szCs w:val="24"/>
          <w:highlight w:val="none"/>
        </w:rPr>
        <w:t>）</w:t>
      </w:r>
    </w:p>
    <w:p w14:paraId="077D760D">
      <w:pPr>
        <w:pStyle w:val="8"/>
        <w:pageBreakBefore w:val="0"/>
        <w:bidi w:val="0"/>
        <w:adjustRightInd w:val="0"/>
        <w:snapToGrid w:val="0"/>
        <w:spacing w:beforeAutospacing="0" w:afterAutospacing="0" w:line="360" w:lineRule="auto"/>
        <w:ind w:left="0" w:leftChars="0" w:right="0" w:rightChars="0"/>
        <w:jc w:val="right"/>
        <w:rPr>
          <w:rFonts w:hint="eastAsia" w:ascii="宋体" w:hAnsi="宋体" w:eastAsia="宋体" w:cs="宋体"/>
          <w:kern w:val="0"/>
          <w:szCs w:val="24"/>
          <w:highlight w:val="none"/>
          <w:lang w:val="en-US" w:eastAsia="zh-CN"/>
        </w:rPr>
      </w:pPr>
      <w:r>
        <w:rPr>
          <w:rFonts w:hint="eastAsia" w:ascii="宋体" w:hAnsi="宋体" w:eastAsia="宋体" w:cs="宋体"/>
          <w:kern w:val="0"/>
          <w:szCs w:val="24"/>
          <w:highlight w:val="none"/>
          <w:lang w:val="en-US" w:eastAsia="zh-CN"/>
        </w:rPr>
        <w:t xml:space="preserve">                             年     月     日</w:t>
      </w:r>
    </w:p>
    <w:p w14:paraId="7C52C118">
      <w:pPr>
        <w:pageBreakBefore w:val="0"/>
        <w:bidi w:val="0"/>
        <w:adjustRightInd w:val="0"/>
        <w:snapToGrid w:val="0"/>
        <w:spacing w:beforeAutospacing="0" w:afterAutospacing="0" w:line="360" w:lineRule="auto"/>
        <w:ind w:left="0" w:leftChars="0" w:right="0"/>
        <w:jc w:val="both"/>
        <w:rPr>
          <w:rFonts w:hint="eastAsia" w:ascii="宋体" w:hAnsi="宋体" w:eastAsia="宋体" w:cs="宋体"/>
          <w:b/>
          <w:kern w:val="0"/>
          <w:sz w:val="28"/>
          <w:szCs w:val="28"/>
          <w:highlight w:val="none"/>
        </w:rPr>
      </w:pPr>
    </w:p>
    <w:p w14:paraId="497F0E97">
      <w:pPr>
        <w:pStyle w:val="67"/>
        <w:pageBreakBefore w:val="0"/>
        <w:bidi w:val="0"/>
        <w:adjustRightInd w:val="0"/>
        <w:snapToGrid w:val="0"/>
        <w:spacing w:beforeAutospacing="0" w:after="0" w:afterAutospacing="0" w:line="360" w:lineRule="auto"/>
        <w:ind w:left="0" w:leftChars="0" w:right="0" w:firstLine="281"/>
        <w:jc w:val="center"/>
        <w:rPr>
          <w:rFonts w:hint="eastAsia" w:ascii="宋体" w:hAnsi="宋体" w:eastAsia="宋体" w:cs="宋体"/>
          <w:b/>
          <w:color w:val="000000"/>
          <w:kern w:val="0"/>
          <w:sz w:val="28"/>
          <w:szCs w:val="28"/>
          <w:highlight w:val="none"/>
          <w:lang w:val="en-US" w:eastAsia="zh-CN" w:bidi="ar-SA"/>
        </w:rPr>
      </w:pPr>
      <w:r>
        <w:rPr>
          <w:rFonts w:hint="eastAsia" w:ascii="宋体" w:hAnsi="宋体" w:eastAsia="宋体" w:cs="宋体"/>
          <w:b/>
          <w:color w:val="auto"/>
          <w:sz w:val="32"/>
          <w:szCs w:val="32"/>
          <w:highlight w:val="none"/>
        </w:rPr>
        <w:br w:type="page"/>
      </w:r>
      <w:r>
        <w:rPr>
          <w:rFonts w:hint="eastAsia" w:ascii="宋体" w:hAnsi="宋体" w:eastAsia="宋体" w:cs="宋体"/>
          <w:b/>
          <w:color w:val="000000"/>
          <w:kern w:val="0"/>
          <w:sz w:val="28"/>
          <w:szCs w:val="28"/>
          <w:highlight w:val="none"/>
          <w:lang w:val="en-US" w:eastAsia="zh-CN" w:bidi="ar-SA"/>
        </w:rPr>
        <w:t>六、2022年1月1日以来企业已完成的类似项目业绩表</w:t>
      </w:r>
    </w:p>
    <w:p w14:paraId="43B7434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000000"/>
          <w:sz w:val="24"/>
          <w:highlight w:val="none"/>
        </w:rPr>
      </w:pPr>
    </w:p>
    <w:tbl>
      <w:tblPr>
        <w:tblStyle w:val="21"/>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4"/>
        <w:gridCol w:w="6545"/>
      </w:tblGrid>
      <w:tr w14:paraId="6863B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2574" w:type="dxa"/>
            <w:noWrap w:val="0"/>
            <w:vAlign w:val="center"/>
          </w:tcPr>
          <w:p w14:paraId="34FE70B1">
            <w:pPr>
              <w:pageBreakBefore w:val="0"/>
              <w:topLinePunct/>
              <w:bidi w:val="0"/>
              <w:adjustRightInd w:val="0"/>
              <w:snapToGrid w:val="0"/>
              <w:spacing w:beforeAutospacing="0" w:afterAutospacing="0" w:line="360" w:lineRule="auto"/>
              <w:ind w:left="0" w:leftChars="0" w:right="0"/>
              <w:jc w:val="center"/>
              <w:rPr>
                <w:rFonts w:hint="eastAsia" w:ascii="宋体" w:hAnsi="宋体" w:eastAsia="宋体" w:cs="宋体"/>
                <w:sz w:val="24"/>
                <w:highlight w:val="none"/>
              </w:rPr>
            </w:pPr>
            <w:r>
              <w:rPr>
                <w:rFonts w:hint="eastAsia" w:ascii="宋体" w:hAnsi="宋体" w:eastAsia="宋体" w:cs="宋体"/>
                <w:sz w:val="24"/>
                <w:highlight w:val="none"/>
              </w:rPr>
              <w:t>项目名称</w:t>
            </w:r>
          </w:p>
        </w:tc>
        <w:tc>
          <w:tcPr>
            <w:tcW w:w="6545" w:type="dxa"/>
            <w:noWrap w:val="0"/>
            <w:vAlign w:val="top"/>
          </w:tcPr>
          <w:p w14:paraId="09D99885">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tc>
      </w:tr>
      <w:tr w14:paraId="3D461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574" w:type="dxa"/>
            <w:noWrap w:val="0"/>
            <w:vAlign w:val="center"/>
          </w:tcPr>
          <w:p w14:paraId="759C4E98">
            <w:pPr>
              <w:pageBreakBefore w:val="0"/>
              <w:topLinePunct/>
              <w:bidi w:val="0"/>
              <w:adjustRightInd w:val="0"/>
              <w:snapToGrid w:val="0"/>
              <w:spacing w:beforeAutospacing="0" w:afterAutospacing="0" w:line="360" w:lineRule="auto"/>
              <w:ind w:left="0" w:leftChars="0" w:right="0"/>
              <w:jc w:val="center"/>
              <w:rPr>
                <w:rFonts w:hint="eastAsia" w:ascii="宋体" w:hAnsi="宋体" w:eastAsia="宋体" w:cs="宋体"/>
                <w:sz w:val="24"/>
                <w:highlight w:val="none"/>
              </w:rPr>
            </w:pPr>
            <w:r>
              <w:rPr>
                <w:rFonts w:hint="eastAsia" w:ascii="宋体" w:hAnsi="宋体" w:eastAsia="宋体" w:cs="宋体"/>
                <w:sz w:val="24"/>
                <w:highlight w:val="none"/>
              </w:rPr>
              <w:t>项目所在地</w:t>
            </w:r>
          </w:p>
        </w:tc>
        <w:tc>
          <w:tcPr>
            <w:tcW w:w="6545" w:type="dxa"/>
            <w:noWrap w:val="0"/>
            <w:vAlign w:val="top"/>
          </w:tcPr>
          <w:p w14:paraId="3C824628">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tc>
      </w:tr>
      <w:tr w14:paraId="1A55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574" w:type="dxa"/>
            <w:noWrap w:val="0"/>
            <w:vAlign w:val="center"/>
          </w:tcPr>
          <w:p w14:paraId="0EACAAD2">
            <w:pPr>
              <w:pageBreakBefore w:val="0"/>
              <w:topLinePunct/>
              <w:bidi w:val="0"/>
              <w:adjustRightInd w:val="0"/>
              <w:snapToGrid w:val="0"/>
              <w:spacing w:beforeAutospacing="0" w:afterAutospacing="0" w:line="360" w:lineRule="auto"/>
              <w:ind w:left="0" w:leftChars="0" w:right="0"/>
              <w:jc w:val="center"/>
              <w:rPr>
                <w:rFonts w:hint="eastAsia" w:ascii="宋体" w:hAnsi="宋体" w:eastAsia="宋体" w:cs="宋体"/>
                <w:sz w:val="24"/>
                <w:highlight w:val="none"/>
              </w:rPr>
            </w:pPr>
            <w:r>
              <w:rPr>
                <w:rFonts w:hint="eastAsia" w:ascii="宋体" w:hAnsi="宋体" w:eastAsia="宋体" w:cs="宋体"/>
                <w:sz w:val="24"/>
                <w:highlight w:val="none"/>
              </w:rPr>
              <w:t>委托人名称</w:t>
            </w:r>
          </w:p>
        </w:tc>
        <w:tc>
          <w:tcPr>
            <w:tcW w:w="6545" w:type="dxa"/>
            <w:noWrap w:val="0"/>
            <w:vAlign w:val="top"/>
          </w:tcPr>
          <w:p w14:paraId="20C3820A">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tc>
      </w:tr>
      <w:tr w14:paraId="2951F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574" w:type="dxa"/>
            <w:noWrap w:val="0"/>
            <w:vAlign w:val="center"/>
          </w:tcPr>
          <w:p w14:paraId="2B197DD3">
            <w:pPr>
              <w:pageBreakBefore w:val="0"/>
              <w:topLinePunct/>
              <w:bidi w:val="0"/>
              <w:adjustRightInd w:val="0"/>
              <w:snapToGrid w:val="0"/>
              <w:spacing w:beforeAutospacing="0" w:afterAutospacing="0" w:line="360" w:lineRule="auto"/>
              <w:ind w:left="0" w:leftChars="0" w:right="0"/>
              <w:jc w:val="center"/>
              <w:rPr>
                <w:rFonts w:hint="eastAsia" w:ascii="宋体" w:hAnsi="宋体" w:eastAsia="宋体" w:cs="宋体"/>
                <w:sz w:val="24"/>
                <w:highlight w:val="none"/>
              </w:rPr>
            </w:pPr>
            <w:r>
              <w:rPr>
                <w:rFonts w:hint="eastAsia" w:ascii="宋体" w:hAnsi="宋体" w:eastAsia="宋体" w:cs="宋体"/>
                <w:sz w:val="24"/>
                <w:highlight w:val="none"/>
              </w:rPr>
              <w:t>委托人地址</w:t>
            </w:r>
          </w:p>
        </w:tc>
        <w:tc>
          <w:tcPr>
            <w:tcW w:w="6545" w:type="dxa"/>
            <w:noWrap w:val="0"/>
            <w:vAlign w:val="top"/>
          </w:tcPr>
          <w:p w14:paraId="47261E36">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tc>
      </w:tr>
      <w:tr w14:paraId="5BFA3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2574" w:type="dxa"/>
            <w:noWrap w:val="0"/>
            <w:vAlign w:val="center"/>
          </w:tcPr>
          <w:p w14:paraId="269CDFD1">
            <w:pPr>
              <w:pageBreakBefore w:val="0"/>
              <w:topLinePunct/>
              <w:bidi w:val="0"/>
              <w:adjustRightInd w:val="0"/>
              <w:snapToGrid w:val="0"/>
              <w:spacing w:beforeAutospacing="0" w:afterAutospacing="0" w:line="360" w:lineRule="auto"/>
              <w:ind w:left="0" w:leftChars="0" w:right="0"/>
              <w:jc w:val="center"/>
              <w:rPr>
                <w:rFonts w:hint="eastAsia" w:ascii="宋体" w:hAnsi="宋体" w:eastAsia="宋体" w:cs="宋体"/>
                <w:sz w:val="24"/>
                <w:highlight w:val="none"/>
              </w:rPr>
            </w:pPr>
            <w:r>
              <w:rPr>
                <w:rFonts w:hint="eastAsia" w:ascii="宋体" w:hAnsi="宋体" w:eastAsia="宋体" w:cs="宋体"/>
                <w:sz w:val="24"/>
                <w:highlight w:val="none"/>
              </w:rPr>
              <w:t>委托人电话</w:t>
            </w:r>
          </w:p>
        </w:tc>
        <w:tc>
          <w:tcPr>
            <w:tcW w:w="6545" w:type="dxa"/>
            <w:noWrap w:val="0"/>
            <w:vAlign w:val="top"/>
          </w:tcPr>
          <w:p w14:paraId="3E7939D1">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tc>
      </w:tr>
      <w:tr w14:paraId="54725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574" w:type="dxa"/>
            <w:noWrap w:val="0"/>
            <w:vAlign w:val="center"/>
          </w:tcPr>
          <w:p w14:paraId="69A7D9BD">
            <w:pPr>
              <w:pageBreakBefore w:val="0"/>
              <w:topLinePunct/>
              <w:bidi w:val="0"/>
              <w:adjustRightInd w:val="0"/>
              <w:snapToGrid w:val="0"/>
              <w:spacing w:beforeAutospacing="0" w:afterAutospacing="0" w:line="360" w:lineRule="auto"/>
              <w:ind w:left="0" w:leftChars="0" w:right="0"/>
              <w:jc w:val="center"/>
              <w:rPr>
                <w:rFonts w:hint="eastAsia" w:ascii="宋体" w:hAnsi="宋体" w:eastAsia="宋体" w:cs="宋体"/>
                <w:sz w:val="24"/>
                <w:highlight w:val="none"/>
              </w:rPr>
            </w:pPr>
            <w:r>
              <w:rPr>
                <w:rFonts w:hint="eastAsia" w:ascii="宋体" w:hAnsi="宋体" w:eastAsia="宋体" w:cs="宋体"/>
                <w:sz w:val="24"/>
                <w:highlight w:val="none"/>
              </w:rPr>
              <w:t>承担的工作</w:t>
            </w:r>
          </w:p>
        </w:tc>
        <w:tc>
          <w:tcPr>
            <w:tcW w:w="6545" w:type="dxa"/>
            <w:noWrap w:val="0"/>
            <w:vAlign w:val="top"/>
          </w:tcPr>
          <w:p w14:paraId="7B84D6DC">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tc>
      </w:tr>
      <w:tr w14:paraId="691E3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574" w:type="dxa"/>
            <w:noWrap w:val="0"/>
            <w:vAlign w:val="center"/>
          </w:tcPr>
          <w:p w14:paraId="03CD4AFC">
            <w:pPr>
              <w:pageBreakBefore w:val="0"/>
              <w:topLinePunct/>
              <w:bidi w:val="0"/>
              <w:adjustRightInd w:val="0"/>
              <w:snapToGrid w:val="0"/>
              <w:spacing w:beforeAutospacing="0" w:afterAutospacing="0" w:line="360" w:lineRule="auto"/>
              <w:ind w:left="0" w:leftChars="0" w:right="0"/>
              <w:jc w:val="center"/>
              <w:rPr>
                <w:rFonts w:hint="eastAsia" w:ascii="宋体" w:hAnsi="宋体" w:eastAsia="宋体" w:cs="宋体"/>
                <w:sz w:val="24"/>
                <w:highlight w:val="none"/>
              </w:rPr>
            </w:pPr>
            <w:r>
              <w:rPr>
                <w:rFonts w:hint="eastAsia" w:ascii="宋体" w:hAnsi="宋体" w:eastAsia="宋体" w:cs="宋体"/>
                <w:sz w:val="24"/>
                <w:highlight w:val="none"/>
              </w:rPr>
              <w:t>项目负责人</w:t>
            </w:r>
          </w:p>
        </w:tc>
        <w:tc>
          <w:tcPr>
            <w:tcW w:w="6545" w:type="dxa"/>
            <w:noWrap w:val="0"/>
            <w:vAlign w:val="top"/>
          </w:tcPr>
          <w:p w14:paraId="3735DC20">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tc>
      </w:tr>
      <w:tr w14:paraId="0694C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7" w:hRule="atLeast"/>
        </w:trPr>
        <w:tc>
          <w:tcPr>
            <w:tcW w:w="2574" w:type="dxa"/>
            <w:noWrap w:val="0"/>
            <w:vAlign w:val="center"/>
          </w:tcPr>
          <w:p w14:paraId="4FCE1315">
            <w:pPr>
              <w:pageBreakBefore w:val="0"/>
              <w:topLinePunct/>
              <w:bidi w:val="0"/>
              <w:adjustRightInd w:val="0"/>
              <w:snapToGrid w:val="0"/>
              <w:spacing w:beforeAutospacing="0" w:afterAutospacing="0" w:line="360" w:lineRule="auto"/>
              <w:ind w:left="0" w:leftChars="0" w:right="0"/>
              <w:jc w:val="center"/>
              <w:rPr>
                <w:rFonts w:hint="eastAsia" w:ascii="宋体" w:hAnsi="宋体" w:eastAsia="宋体" w:cs="宋体"/>
                <w:sz w:val="24"/>
                <w:highlight w:val="none"/>
              </w:rPr>
            </w:pPr>
            <w:r>
              <w:rPr>
                <w:rFonts w:hint="eastAsia" w:ascii="宋体" w:hAnsi="宋体" w:eastAsia="宋体" w:cs="宋体"/>
                <w:sz w:val="24"/>
                <w:highlight w:val="none"/>
              </w:rPr>
              <w:t>项目描述</w:t>
            </w:r>
          </w:p>
        </w:tc>
        <w:tc>
          <w:tcPr>
            <w:tcW w:w="6545" w:type="dxa"/>
            <w:noWrap w:val="0"/>
            <w:vAlign w:val="top"/>
          </w:tcPr>
          <w:p w14:paraId="731A2F78">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p w14:paraId="16440AB6">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p w14:paraId="5F50B9A0">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p w14:paraId="0D03F092">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p w14:paraId="7A87A697">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p w14:paraId="0D34E93D">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p w14:paraId="701C3CE6">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tc>
      </w:tr>
      <w:tr w14:paraId="3CDC0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574" w:type="dxa"/>
            <w:noWrap w:val="0"/>
            <w:vAlign w:val="center"/>
          </w:tcPr>
          <w:p w14:paraId="28BC9E42">
            <w:pPr>
              <w:pageBreakBefore w:val="0"/>
              <w:topLinePunct/>
              <w:bidi w:val="0"/>
              <w:adjustRightInd w:val="0"/>
              <w:snapToGrid w:val="0"/>
              <w:spacing w:beforeAutospacing="0" w:afterAutospacing="0" w:line="360" w:lineRule="auto"/>
              <w:ind w:left="0" w:leftChars="0" w:right="0"/>
              <w:jc w:val="center"/>
              <w:rPr>
                <w:rFonts w:hint="eastAsia" w:ascii="宋体" w:hAnsi="宋体" w:eastAsia="宋体" w:cs="宋体"/>
                <w:sz w:val="24"/>
                <w:highlight w:val="none"/>
              </w:rPr>
            </w:pPr>
            <w:r>
              <w:rPr>
                <w:rFonts w:hint="eastAsia" w:ascii="宋体" w:hAnsi="宋体" w:eastAsia="宋体" w:cs="宋体"/>
                <w:sz w:val="24"/>
                <w:highlight w:val="none"/>
              </w:rPr>
              <w:t>备注</w:t>
            </w:r>
          </w:p>
        </w:tc>
        <w:tc>
          <w:tcPr>
            <w:tcW w:w="6545" w:type="dxa"/>
            <w:noWrap w:val="0"/>
            <w:vAlign w:val="top"/>
          </w:tcPr>
          <w:p w14:paraId="40F33301">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tc>
      </w:tr>
    </w:tbl>
    <w:p w14:paraId="5CA489D8">
      <w:pPr>
        <w:pageBreakBefore w:val="0"/>
        <w:bidi w:val="0"/>
        <w:adjustRightInd w:val="0"/>
        <w:snapToGrid w:val="0"/>
        <w:spacing w:beforeAutospacing="0" w:afterAutospacing="0" w:line="360" w:lineRule="auto"/>
        <w:ind w:left="0" w:leftChars="0" w:right="0"/>
        <w:rPr>
          <w:rFonts w:hint="eastAsia" w:ascii="宋体" w:hAnsi="宋体" w:eastAsia="宋体" w:cs="宋体"/>
          <w:color w:val="000000"/>
          <w:sz w:val="24"/>
          <w:highlight w:val="none"/>
          <w:lang w:val="zh-CN"/>
        </w:rPr>
      </w:pPr>
    </w:p>
    <w:p w14:paraId="033AE52C">
      <w:pPr>
        <w:pageBreakBefore w:val="0"/>
        <w:bidi w:val="0"/>
        <w:adjustRightInd w:val="0"/>
        <w:snapToGrid w:val="0"/>
        <w:spacing w:beforeAutospacing="0" w:afterAutospacing="0" w:line="360" w:lineRule="auto"/>
        <w:ind w:left="480" w:leftChars="0" w:right="0" w:hanging="480" w:hangingChars="200"/>
        <w:rPr>
          <w:rFonts w:hint="eastAsia" w:ascii="宋体" w:hAnsi="宋体" w:eastAsia="宋体" w:cs="宋体"/>
          <w:sz w:val="24"/>
          <w:highlight w:val="none"/>
        </w:rPr>
      </w:pPr>
      <w:r>
        <w:rPr>
          <w:rFonts w:hint="eastAsia" w:ascii="宋体" w:hAnsi="宋体" w:eastAsia="宋体" w:cs="宋体"/>
          <w:color w:val="000000"/>
          <w:sz w:val="24"/>
          <w:highlight w:val="none"/>
        </w:rPr>
        <w:t>注：</w:t>
      </w:r>
      <w:r>
        <w:rPr>
          <w:rFonts w:hint="eastAsia" w:ascii="宋体" w:hAnsi="宋体" w:eastAsia="宋体" w:cs="宋体"/>
          <w:sz w:val="24"/>
          <w:highlight w:val="none"/>
        </w:rPr>
        <w:t>合同</w:t>
      </w:r>
      <w:r>
        <w:rPr>
          <w:rFonts w:hint="eastAsia" w:ascii="宋体" w:hAnsi="宋体" w:eastAsia="宋体" w:cs="宋体"/>
          <w:sz w:val="24"/>
          <w:highlight w:val="none"/>
          <w:lang w:val="en-US" w:eastAsia="zh-CN"/>
        </w:rPr>
        <w:t>等</w:t>
      </w:r>
      <w:r>
        <w:rPr>
          <w:rFonts w:hint="eastAsia" w:ascii="宋体" w:hAnsi="宋体" w:eastAsia="宋体" w:cs="宋体"/>
          <w:sz w:val="24"/>
          <w:highlight w:val="none"/>
        </w:rPr>
        <w:t>相关证明材料</w:t>
      </w:r>
      <w:r>
        <w:rPr>
          <w:rFonts w:hint="eastAsia" w:ascii="宋体" w:hAnsi="宋体" w:eastAsia="宋体" w:cs="宋体"/>
          <w:sz w:val="24"/>
          <w:highlight w:val="none"/>
          <w:lang w:eastAsia="zh-CN"/>
        </w:rPr>
        <w:t>扫描件</w:t>
      </w:r>
      <w:r>
        <w:rPr>
          <w:rFonts w:hint="eastAsia" w:ascii="宋体" w:hAnsi="宋体" w:eastAsia="宋体" w:cs="宋体"/>
          <w:sz w:val="24"/>
          <w:highlight w:val="none"/>
        </w:rPr>
        <w:t>附后</w:t>
      </w:r>
    </w:p>
    <w:p w14:paraId="20C2C1E1">
      <w:pPr>
        <w:pStyle w:val="37"/>
        <w:pageBreakBefore w:val="0"/>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p w14:paraId="69C69616">
      <w:pPr>
        <w:pStyle w:val="37"/>
        <w:pageBreakBefore w:val="0"/>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p w14:paraId="6E0B56B0">
      <w:pPr>
        <w:pStyle w:val="37"/>
        <w:pageBreakBefore w:val="0"/>
        <w:bidi w:val="0"/>
        <w:adjustRightInd w:val="0"/>
        <w:snapToGrid w:val="0"/>
        <w:spacing w:beforeAutospacing="0" w:afterAutospacing="0" w:line="360" w:lineRule="auto"/>
        <w:ind w:left="0" w:leftChars="0" w:right="0"/>
        <w:rPr>
          <w:rFonts w:hint="eastAsia" w:ascii="宋体" w:hAnsi="宋体" w:eastAsia="宋体" w:cs="宋体"/>
        </w:rPr>
      </w:pPr>
    </w:p>
    <w:p w14:paraId="554B1577">
      <w:pPr>
        <w:pStyle w:val="2"/>
        <w:pageBreakBefore w:val="0"/>
        <w:numPr>
          <w:ilvl w:val="0"/>
          <w:numId w:val="0"/>
        </w:numPr>
        <w:bidi w:val="0"/>
        <w:adjustRightInd w:val="0"/>
        <w:snapToGrid w:val="0"/>
        <w:spacing w:before="0" w:beforeAutospacing="0" w:after="0" w:afterAutospacing="0" w:line="360" w:lineRule="auto"/>
        <w:ind w:left="0" w:leftChars="0" w:right="0" w:rightChars="0"/>
        <w:jc w:val="center"/>
        <w:rPr>
          <w:rFonts w:hint="eastAsia" w:ascii="宋体" w:hAnsi="宋体" w:eastAsia="宋体" w:cs="宋体"/>
          <w:b/>
          <w:color w:val="000000"/>
          <w:kern w:val="0"/>
          <w:sz w:val="28"/>
          <w:szCs w:val="28"/>
          <w:highlight w:val="none"/>
          <w:lang w:val="en-US" w:eastAsia="zh-CN" w:bidi="ar-SA"/>
        </w:rPr>
      </w:pPr>
      <w:r>
        <w:rPr>
          <w:rFonts w:hint="eastAsia" w:ascii="宋体" w:hAnsi="宋体" w:eastAsia="宋体" w:cs="宋体"/>
          <w:b/>
          <w:color w:val="000000"/>
          <w:kern w:val="0"/>
          <w:sz w:val="28"/>
          <w:szCs w:val="28"/>
          <w:highlight w:val="none"/>
          <w:lang w:val="en-US" w:eastAsia="zh-CN" w:bidi="ar-SA"/>
        </w:rPr>
        <w:t>七、技术部分</w:t>
      </w:r>
    </w:p>
    <w:p w14:paraId="5BC97468">
      <w:pPr>
        <w:pageBreakBefore w:val="0"/>
        <w:kinsoku/>
        <w:overflowPunct/>
        <w:bidi w:val="0"/>
        <w:adjustRightInd w:val="0"/>
        <w:snapToGrid w:val="0"/>
        <w:spacing w:beforeAutospacing="0" w:afterAutospacing="0" w:line="360" w:lineRule="auto"/>
        <w:ind w:left="0" w:leftChars="0" w:right="0" w:rightChars="0"/>
        <w:jc w:val="center"/>
        <w:textAlignment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根据招标文件</w:t>
      </w:r>
      <w:r>
        <w:rPr>
          <w:rFonts w:hint="eastAsia" w:ascii="宋体" w:hAnsi="宋体" w:eastAsia="宋体" w:cs="宋体"/>
          <w:b/>
          <w:bCs/>
          <w:color w:val="auto"/>
          <w:sz w:val="24"/>
          <w:highlight w:val="none"/>
        </w:rPr>
        <w:t>评标办法及评分标准</w:t>
      </w:r>
      <w:r>
        <w:rPr>
          <w:rFonts w:hint="eastAsia" w:ascii="宋体" w:hAnsi="宋体" w:eastAsia="宋体" w:cs="宋体"/>
          <w:b/>
          <w:bCs/>
          <w:color w:val="auto"/>
          <w:sz w:val="24"/>
          <w:highlight w:val="none"/>
          <w:lang w:val="en-US" w:eastAsia="zh-CN"/>
        </w:rPr>
        <w:t>自行编制，格式自拟</w:t>
      </w:r>
    </w:p>
    <w:p w14:paraId="4E6513FE">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392377C6">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44C8D41C">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2BCB7C5B">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579BDDA4">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77A892FC">
      <w:pPr>
        <w:pStyle w:val="37"/>
        <w:pageBreakBefore w:val="0"/>
        <w:bidi w:val="0"/>
        <w:adjustRightInd w:val="0"/>
        <w:snapToGrid w:val="0"/>
        <w:spacing w:beforeAutospacing="0" w:afterAutospacing="0" w:line="360" w:lineRule="auto"/>
        <w:ind w:left="0" w:leftChars="0" w:right="0" w:firstLine="0"/>
        <w:rPr>
          <w:rFonts w:hint="eastAsia" w:ascii="宋体" w:hAnsi="宋体" w:eastAsia="宋体" w:cs="宋体"/>
          <w:b/>
          <w:bCs/>
          <w:color w:val="auto"/>
          <w:sz w:val="24"/>
          <w:highlight w:val="none"/>
          <w:lang w:val="en-US" w:eastAsia="zh-CN"/>
        </w:rPr>
      </w:pPr>
    </w:p>
    <w:p w14:paraId="708C1443">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6E37C2EA">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0D0907EB">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141B3C68">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2C094AED">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4E01A652">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6DC5A5CF">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0395C337">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0744D0E3">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09DF7055">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196CA039">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12FEBE51">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3DDA9375">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5CBD0C51">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0EF44514">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2EF662E1">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7EDBB4BE">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65913806">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21B467B7">
      <w:pPr>
        <w:pStyle w:val="2"/>
        <w:pageBreakBefore w:val="0"/>
        <w:numPr>
          <w:ilvl w:val="0"/>
          <w:numId w:val="0"/>
        </w:numPr>
        <w:bidi w:val="0"/>
        <w:adjustRightInd w:val="0"/>
        <w:snapToGrid w:val="0"/>
        <w:spacing w:before="0" w:beforeAutospacing="0" w:after="0" w:afterAutospacing="0" w:line="360" w:lineRule="auto"/>
        <w:ind w:left="0" w:leftChars="0" w:right="0" w:rightChars="0"/>
        <w:jc w:val="center"/>
        <w:rPr>
          <w:rFonts w:hint="eastAsia" w:ascii="宋体" w:hAnsi="宋体" w:eastAsia="宋体" w:cs="宋体"/>
          <w:b/>
          <w:color w:val="000000"/>
          <w:kern w:val="0"/>
          <w:sz w:val="28"/>
          <w:szCs w:val="28"/>
          <w:highlight w:val="none"/>
          <w:lang w:val="en-US" w:eastAsia="zh-CN" w:bidi="ar-SA"/>
        </w:rPr>
      </w:pPr>
    </w:p>
    <w:p w14:paraId="69E68CCA">
      <w:pPr>
        <w:pStyle w:val="2"/>
        <w:pageBreakBefore w:val="0"/>
        <w:numPr>
          <w:ilvl w:val="0"/>
          <w:numId w:val="0"/>
        </w:numPr>
        <w:bidi w:val="0"/>
        <w:adjustRightInd w:val="0"/>
        <w:snapToGrid w:val="0"/>
        <w:spacing w:before="0" w:beforeAutospacing="0" w:after="0" w:afterAutospacing="0" w:line="360" w:lineRule="auto"/>
        <w:ind w:left="0" w:leftChars="0" w:right="0" w:rightChars="0"/>
        <w:jc w:val="center"/>
        <w:rPr>
          <w:rFonts w:hint="eastAsia" w:ascii="宋体" w:hAnsi="宋体" w:eastAsia="宋体" w:cs="宋体"/>
          <w:b/>
          <w:color w:val="000000"/>
          <w:kern w:val="0"/>
          <w:sz w:val="28"/>
          <w:szCs w:val="28"/>
          <w:highlight w:val="none"/>
          <w:lang w:val="en-US" w:eastAsia="zh-CN" w:bidi="ar-SA"/>
        </w:rPr>
      </w:pPr>
      <w:r>
        <w:rPr>
          <w:rFonts w:hint="eastAsia" w:ascii="宋体" w:hAnsi="宋体" w:eastAsia="宋体" w:cs="宋体"/>
          <w:b/>
          <w:color w:val="000000"/>
          <w:kern w:val="0"/>
          <w:sz w:val="28"/>
          <w:szCs w:val="28"/>
          <w:highlight w:val="none"/>
          <w:lang w:val="en-US" w:eastAsia="zh-CN" w:bidi="ar-SA"/>
        </w:rPr>
        <w:t>八、商务部分</w:t>
      </w:r>
    </w:p>
    <w:p w14:paraId="528A7F8F">
      <w:pPr>
        <w:pStyle w:val="2"/>
        <w:pageBreakBefore w:val="0"/>
        <w:numPr>
          <w:ilvl w:val="0"/>
          <w:numId w:val="0"/>
        </w:numPr>
        <w:bidi w:val="0"/>
        <w:adjustRightInd w:val="0"/>
        <w:snapToGrid w:val="0"/>
        <w:spacing w:before="0" w:beforeAutospacing="0" w:after="0" w:afterAutospacing="0" w:line="360" w:lineRule="auto"/>
        <w:ind w:left="0" w:leftChars="0" w:right="0" w:rightChars="0"/>
        <w:jc w:val="center"/>
        <w:rPr>
          <w:rFonts w:hint="eastAsia" w:ascii="宋体" w:hAnsi="宋体" w:eastAsia="宋体" w:cs="宋体"/>
          <w:b/>
          <w:color w:val="000000"/>
          <w:kern w:val="0"/>
          <w:sz w:val="28"/>
          <w:szCs w:val="28"/>
          <w:highlight w:val="none"/>
          <w:lang w:val="en-US" w:eastAsia="zh-CN" w:bidi="ar-SA"/>
        </w:rPr>
      </w:pPr>
      <w:r>
        <w:rPr>
          <w:rFonts w:hint="eastAsia" w:ascii="宋体" w:hAnsi="宋体" w:eastAsia="宋体" w:cs="宋体"/>
          <w:b/>
          <w:color w:val="000000"/>
          <w:kern w:val="0"/>
          <w:sz w:val="28"/>
          <w:szCs w:val="28"/>
          <w:highlight w:val="none"/>
          <w:lang w:val="en-US" w:eastAsia="zh-CN" w:bidi="ar-SA"/>
        </w:rPr>
        <w:t>根据招标文件评标办法及评分标准自行编制，格式自拟</w:t>
      </w:r>
    </w:p>
    <w:p w14:paraId="12073069">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color w:val="auto"/>
          <w:sz w:val="28"/>
          <w:szCs w:val="28"/>
          <w:highlight w:val="none"/>
          <w:lang w:val="en-US" w:eastAsia="zh-CN"/>
        </w:rPr>
      </w:pPr>
    </w:p>
    <w:p w14:paraId="59CC4ED9">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color w:val="auto"/>
          <w:sz w:val="28"/>
          <w:szCs w:val="28"/>
          <w:highlight w:val="none"/>
          <w:lang w:val="en-US" w:eastAsia="zh-CN"/>
        </w:rPr>
      </w:pPr>
    </w:p>
    <w:p w14:paraId="1DE826CE">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color w:val="auto"/>
          <w:sz w:val="28"/>
          <w:szCs w:val="28"/>
          <w:highlight w:val="none"/>
          <w:lang w:val="en-US" w:eastAsia="zh-CN"/>
        </w:rPr>
      </w:pPr>
    </w:p>
    <w:p w14:paraId="11A6F16F">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color w:val="auto"/>
          <w:sz w:val="28"/>
          <w:szCs w:val="28"/>
          <w:highlight w:val="none"/>
          <w:lang w:val="en-US" w:eastAsia="zh-CN"/>
        </w:rPr>
      </w:pPr>
    </w:p>
    <w:p w14:paraId="366DF481">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color w:val="auto"/>
          <w:sz w:val="28"/>
          <w:szCs w:val="28"/>
          <w:highlight w:val="none"/>
          <w:lang w:val="en-US" w:eastAsia="zh-CN"/>
        </w:rPr>
      </w:pPr>
    </w:p>
    <w:p w14:paraId="63E7935E">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color w:val="auto"/>
          <w:sz w:val="28"/>
          <w:szCs w:val="28"/>
          <w:highlight w:val="none"/>
          <w:lang w:val="en-US" w:eastAsia="zh-CN"/>
        </w:rPr>
      </w:pPr>
    </w:p>
    <w:p w14:paraId="6D8EA006">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color w:val="auto"/>
          <w:sz w:val="28"/>
          <w:szCs w:val="28"/>
          <w:highlight w:val="none"/>
          <w:lang w:val="en-US" w:eastAsia="zh-CN"/>
        </w:rPr>
      </w:pPr>
    </w:p>
    <w:p w14:paraId="757702E6">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color w:val="auto"/>
          <w:sz w:val="28"/>
          <w:szCs w:val="28"/>
          <w:highlight w:val="none"/>
          <w:lang w:val="en-US" w:eastAsia="zh-CN"/>
        </w:rPr>
      </w:pPr>
    </w:p>
    <w:p w14:paraId="7B72AEAE">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color w:val="auto"/>
          <w:sz w:val="28"/>
          <w:szCs w:val="28"/>
          <w:highlight w:val="none"/>
          <w:lang w:val="en-US" w:eastAsia="zh-CN"/>
        </w:rPr>
      </w:pPr>
    </w:p>
    <w:p w14:paraId="297A0B83">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color w:val="auto"/>
          <w:sz w:val="28"/>
          <w:szCs w:val="28"/>
          <w:highlight w:val="none"/>
          <w:lang w:val="en-US" w:eastAsia="zh-CN"/>
        </w:rPr>
      </w:pPr>
    </w:p>
    <w:p w14:paraId="707A9174">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color w:val="auto"/>
          <w:sz w:val="28"/>
          <w:szCs w:val="28"/>
          <w:highlight w:val="none"/>
          <w:lang w:val="en-US" w:eastAsia="zh-CN"/>
        </w:rPr>
      </w:pPr>
    </w:p>
    <w:p w14:paraId="601BF25C">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color w:val="auto"/>
          <w:sz w:val="28"/>
          <w:szCs w:val="28"/>
          <w:highlight w:val="none"/>
          <w:lang w:val="en-US" w:eastAsia="zh-CN"/>
        </w:rPr>
      </w:pPr>
    </w:p>
    <w:p w14:paraId="014929FB">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color w:val="auto"/>
          <w:sz w:val="28"/>
          <w:szCs w:val="28"/>
          <w:highlight w:val="none"/>
          <w:lang w:val="en-US" w:eastAsia="zh-CN"/>
        </w:rPr>
      </w:pPr>
    </w:p>
    <w:p w14:paraId="3E514B08">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color w:val="auto"/>
          <w:sz w:val="28"/>
          <w:szCs w:val="28"/>
          <w:highlight w:val="none"/>
          <w:lang w:val="en-US" w:eastAsia="zh-CN"/>
        </w:rPr>
      </w:pPr>
    </w:p>
    <w:p w14:paraId="1000DD64">
      <w:pPr>
        <w:pStyle w:val="2"/>
        <w:rPr>
          <w:rFonts w:hint="eastAsia" w:ascii="宋体" w:hAnsi="宋体" w:eastAsia="宋体" w:cs="宋体"/>
          <w:b/>
          <w:color w:val="auto"/>
          <w:sz w:val="28"/>
          <w:szCs w:val="28"/>
          <w:highlight w:val="none"/>
          <w:lang w:val="en-US" w:eastAsia="zh-CN"/>
        </w:rPr>
      </w:pPr>
    </w:p>
    <w:p w14:paraId="0AEF4E64">
      <w:pPr>
        <w:rPr>
          <w:rFonts w:hint="eastAsia" w:ascii="宋体" w:hAnsi="宋体" w:eastAsia="宋体" w:cs="宋体"/>
          <w:b/>
          <w:color w:val="auto"/>
          <w:sz w:val="28"/>
          <w:szCs w:val="28"/>
          <w:highlight w:val="none"/>
          <w:lang w:val="en-US" w:eastAsia="zh-CN"/>
        </w:rPr>
      </w:pPr>
    </w:p>
    <w:p w14:paraId="60CBCACF">
      <w:pPr>
        <w:pStyle w:val="2"/>
        <w:rPr>
          <w:rFonts w:hint="eastAsia"/>
          <w:lang w:val="en-US" w:eastAsia="zh-CN"/>
        </w:rPr>
      </w:pPr>
    </w:p>
    <w:p w14:paraId="6BBE295C">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color w:val="auto"/>
          <w:sz w:val="28"/>
          <w:szCs w:val="28"/>
          <w:highlight w:val="none"/>
          <w:lang w:val="en-US" w:eastAsia="zh-CN"/>
        </w:rPr>
      </w:pPr>
    </w:p>
    <w:p w14:paraId="61CB7E54">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color w:val="auto"/>
          <w:sz w:val="28"/>
          <w:szCs w:val="28"/>
          <w:highlight w:val="none"/>
          <w:lang w:val="en-US" w:eastAsia="zh-CN"/>
        </w:rPr>
      </w:pPr>
    </w:p>
    <w:p w14:paraId="35C318CC">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color w:val="auto"/>
          <w:sz w:val="28"/>
          <w:szCs w:val="28"/>
          <w:highlight w:val="none"/>
          <w:lang w:val="en-US" w:eastAsia="zh-CN"/>
        </w:rPr>
      </w:pPr>
    </w:p>
    <w:p w14:paraId="6A289D5A">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28"/>
          <w:szCs w:val="28"/>
          <w:highlight w:val="none"/>
          <w:lang w:val="en-US" w:eastAsia="zh-CN"/>
        </w:rPr>
        <w:t>九</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中小企业声明函</w:t>
      </w:r>
      <w:bookmarkEnd w:id="74"/>
    </w:p>
    <w:p w14:paraId="26EF6250">
      <w:pPr>
        <w:pageBreakBefore w:val="0"/>
        <w:bidi w:val="0"/>
        <w:adjustRightInd w:val="0"/>
        <w:snapToGrid w:val="0"/>
        <w:spacing w:beforeAutospacing="0" w:afterAutospacing="0" w:line="360" w:lineRule="auto"/>
        <w:ind w:left="0" w:leftChars="0" w:right="0"/>
        <w:outlineLvl w:val="0"/>
        <w:rPr>
          <w:rFonts w:hint="eastAsia" w:ascii="宋体" w:hAnsi="宋体" w:eastAsia="宋体" w:cs="宋体"/>
          <w:color w:val="auto"/>
          <w:sz w:val="24"/>
          <w:highlight w:val="none"/>
        </w:rPr>
      </w:pPr>
    </w:p>
    <w:p w14:paraId="059B9F3B">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rPr>
      </w:pPr>
      <w:bookmarkStart w:id="75" w:name="_Toc141079823"/>
      <w:bookmarkStart w:id="76" w:name="_Toc122004269"/>
      <w:r>
        <w:rPr>
          <w:rFonts w:hint="eastAsia" w:ascii="宋体" w:hAnsi="宋体" w:eastAsia="宋体" w:cs="宋体"/>
          <w:b/>
          <w:bCs/>
          <w:color w:val="000000"/>
          <w:kern w:val="10"/>
          <w:sz w:val="28"/>
          <w:szCs w:val="28"/>
          <w:highlight w:val="none"/>
        </w:rPr>
        <w:t>（一）中小企业声明函</w:t>
      </w:r>
      <w:bookmarkEnd w:id="75"/>
      <w:bookmarkEnd w:id="76"/>
    </w:p>
    <w:p w14:paraId="01DE1299">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rPr>
      </w:pPr>
      <w:r>
        <w:rPr>
          <w:rFonts w:hint="eastAsia" w:ascii="宋体" w:hAnsi="宋体" w:eastAsia="宋体" w:cs="宋体"/>
          <w:spacing w:val="6"/>
          <w:sz w:val="24"/>
          <w:highlight w:val="none"/>
        </w:rPr>
        <w:t>本公司郑重声明，根据《政府采购促进中小企业发展管理办法》（财库﹝2020﹞46 号）的规定，本公司参加（单位名称）的（项目名称）采购活动，提供的货物全部由符合政策要求的中小企业制造。相关企业的具体情况如下：</w:t>
      </w:r>
    </w:p>
    <w:p w14:paraId="4FD981E6">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rPr>
      </w:pPr>
      <w:r>
        <w:rPr>
          <w:rFonts w:hint="eastAsia" w:ascii="宋体" w:hAnsi="宋体" w:eastAsia="宋体" w:cs="宋体"/>
          <w:spacing w:val="6"/>
          <w:sz w:val="24"/>
          <w:highlight w:val="none"/>
          <w:u w:val="single"/>
        </w:rPr>
        <w:t xml:space="preserve">  （标的名称）     </w:t>
      </w:r>
      <w:r>
        <w:rPr>
          <w:rFonts w:hint="eastAsia" w:ascii="宋体" w:hAnsi="宋体" w:eastAsia="宋体" w:cs="宋体"/>
          <w:spacing w:val="6"/>
          <w:sz w:val="24"/>
          <w:highlight w:val="none"/>
        </w:rPr>
        <w:t>，属于</w:t>
      </w:r>
      <w:r>
        <w:rPr>
          <w:rFonts w:hint="eastAsia" w:ascii="宋体" w:hAnsi="宋体" w:eastAsia="宋体" w:cs="宋体"/>
          <w:spacing w:val="6"/>
          <w:sz w:val="24"/>
          <w:highlight w:val="none"/>
          <w:u w:val="single"/>
        </w:rPr>
        <w:t xml:space="preserve">  其他未列明行业 </w:t>
      </w:r>
      <w:r>
        <w:rPr>
          <w:rFonts w:hint="eastAsia" w:ascii="宋体" w:hAnsi="宋体" w:eastAsia="宋体" w:cs="宋体"/>
          <w:spacing w:val="6"/>
          <w:sz w:val="24"/>
          <w:highlight w:val="none"/>
          <w:u w:val="single"/>
          <w:lang w:val="en-US" w:eastAsia="zh-CN"/>
        </w:rPr>
        <w:t xml:space="preserve"> </w:t>
      </w:r>
      <w:r>
        <w:rPr>
          <w:rFonts w:hint="eastAsia" w:ascii="宋体" w:hAnsi="宋体" w:eastAsia="宋体" w:cs="宋体"/>
          <w:spacing w:val="6"/>
          <w:sz w:val="24"/>
          <w:highlight w:val="none"/>
          <w:u w:val="single"/>
        </w:rPr>
        <w:t xml:space="preserve">（采购文件中明确的所属行业）       </w:t>
      </w:r>
      <w:r>
        <w:rPr>
          <w:rFonts w:hint="eastAsia" w:ascii="宋体" w:hAnsi="宋体" w:eastAsia="宋体" w:cs="宋体"/>
          <w:spacing w:val="6"/>
          <w:sz w:val="24"/>
          <w:highlight w:val="none"/>
        </w:rPr>
        <w:t xml:space="preserve"> 行业；制造商为</w:t>
      </w:r>
      <w:r>
        <w:rPr>
          <w:rFonts w:hint="eastAsia" w:ascii="宋体" w:hAnsi="宋体" w:eastAsia="宋体" w:cs="宋体"/>
          <w:spacing w:val="6"/>
          <w:sz w:val="24"/>
          <w:highlight w:val="none"/>
          <w:u w:val="single"/>
        </w:rPr>
        <w:t xml:space="preserve"> （企业名称） </w:t>
      </w:r>
      <w:r>
        <w:rPr>
          <w:rFonts w:hint="eastAsia" w:ascii="宋体" w:hAnsi="宋体" w:eastAsia="宋体" w:cs="宋体"/>
          <w:spacing w:val="6"/>
          <w:sz w:val="24"/>
          <w:highlight w:val="none"/>
        </w:rPr>
        <w:t>，从业人员</w:t>
      </w:r>
      <w:r>
        <w:rPr>
          <w:rFonts w:hint="eastAsia" w:ascii="宋体" w:hAnsi="宋体" w:eastAsia="宋体" w:cs="宋体"/>
          <w:spacing w:val="6"/>
          <w:sz w:val="24"/>
          <w:highlight w:val="none"/>
          <w:u w:val="single"/>
        </w:rPr>
        <w:t xml:space="preserve">      </w:t>
      </w:r>
      <w:r>
        <w:rPr>
          <w:rFonts w:hint="eastAsia" w:ascii="宋体" w:hAnsi="宋体" w:eastAsia="宋体" w:cs="宋体"/>
          <w:spacing w:val="6"/>
          <w:sz w:val="24"/>
          <w:highlight w:val="none"/>
        </w:rPr>
        <w:t>人；营业收入为</w:t>
      </w:r>
      <w:r>
        <w:rPr>
          <w:rFonts w:hint="eastAsia" w:ascii="宋体" w:hAnsi="宋体" w:eastAsia="宋体" w:cs="宋体"/>
          <w:spacing w:val="6"/>
          <w:sz w:val="24"/>
          <w:highlight w:val="none"/>
          <w:u w:val="single"/>
        </w:rPr>
        <w:t xml:space="preserve">        </w:t>
      </w:r>
      <w:r>
        <w:rPr>
          <w:rFonts w:hint="eastAsia" w:ascii="宋体" w:hAnsi="宋体" w:eastAsia="宋体" w:cs="宋体"/>
          <w:spacing w:val="6"/>
          <w:sz w:val="24"/>
          <w:highlight w:val="none"/>
        </w:rPr>
        <w:t>万元，资产总额为</w:t>
      </w:r>
      <w:r>
        <w:rPr>
          <w:rFonts w:hint="eastAsia" w:ascii="宋体" w:hAnsi="宋体" w:eastAsia="宋体" w:cs="宋体"/>
          <w:spacing w:val="6"/>
          <w:sz w:val="24"/>
          <w:highlight w:val="none"/>
          <w:u w:val="single"/>
        </w:rPr>
        <w:t xml:space="preserve">        </w:t>
      </w:r>
      <w:r>
        <w:rPr>
          <w:rFonts w:hint="eastAsia" w:ascii="宋体" w:hAnsi="宋体" w:eastAsia="宋体" w:cs="宋体"/>
          <w:spacing w:val="6"/>
          <w:sz w:val="24"/>
          <w:highlight w:val="none"/>
        </w:rPr>
        <w:t xml:space="preserve"> 万元，属于</w:t>
      </w:r>
      <w:r>
        <w:rPr>
          <w:rFonts w:hint="eastAsia" w:ascii="宋体" w:hAnsi="宋体" w:eastAsia="宋体" w:cs="宋体"/>
          <w:spacing w:val="6"/>
          <w:sz w:val="24"/>
          <w:highlight w:val="none"/>
          <w:u w:val="single"/>
          <w:lang w:val="en-US" w:eastAsia="zh-CN"/>
        </w:rPr>
        <w:t xml:space="preserve">       </w:t>
      </w:r>
      <w:r>
        <w:rPr>
          <w:rFonts w:hint="eastAsia" w:ascii="宋体" w:hAnsi="宋体" w:eastAsia="宋体" w:cs="宋体"/>
          <w:spacing w:val="6"/>
          <w:sz w:val="24"/>
          <w:highlight w:val="none"/>
          <w:u w:val="single"/>
        </w:rPr>
        <w:t>（中型企业、小型企业、微型企业）</w:t>
      </w:r>
      <w:r>
        <w:rPr>
          <w:rFonts w:hint="eastAsia" w:ascii="宋体" w:hAnsi="宋体" w:eastAsia="宋体" w:cs="宋体"/>
          <w:spacing w:val="6"/>
          <w:sz w:val="24"/>
          <w:highlight w:val="none"/>
        </w:rPr>
        <w:t>；</w:t>
      </w:r>
    </w:p>
    <w:p w14:paraId="672F123B">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rPr>
      </w:pPr>
      <w:r>
        <w:rPr>
          <w:rFonts w:hint="eastAsia" w:ascii="宋体" w:hAnsi="宋体" w:eastAsia="宋体" w:cs="宋体"/>
          <w:spacing w:val="6"/>
          <w:sz w:val="24"/>
          <w:highlight w:val="none"/>
        </w:rPr>
        <w:t>以上企业，不属于大企业的分支机构，不存在控股股东为大企业的情形，也不存在与大企业的负责人为同一人的情形。</w:t>
      </w:r>
    </w:p>
    <w:p w14:paraId="1ABA8FF2">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z w:val="24"/>
          <w:highlight w:val="none"/>
        </w:rPr>
      </w:pPr>
      <w:r>
        <w:rPr>
          <w:rFonts w:hint="eastAsia" w:ascii="宋体" w:hAnsi="宋体" w:eastAsia="宋体" w:cs="宋体"/>
          <w:spacing w:val="6"/>
          <w:sz w:val="24"/>
          <w:highlight w:val="none"/>
        </w:rPr>
        <w:t>本公司对上述声明的真实性负责。如有虚假，将承担相应的法律责任。</w:t>
      </w:r>
    </w:p>
    <w:p w14:paraId="434450D0">
      <w:pPr>
        <w:pageBreakBefore w:val="0"/>
        <w:bidi w:val="0"/>
        <w:adjustRightInd w:val="0"/>
        <w:snapToGrid w:val="0"/>
        <w:spacing w:beforeAutospacing="0" w:afterAutospacing="0" w:line="360" w:lineRule="auto"/>
        <w:ind w:left="0" w:leftChars="0" w:right="0" w:firstLine="42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注：（属于中小微企业的填写</w:t>
      </w:r>
      <w:r>
        <w:rPr>
          <w:rFonts w:hint="eastAsia" w:ascii="宋体" w:hAnsi="宋体" w:eastAsia="宋体" w:cs="宋体"/>
          <w:b/>
          <w:bCs/>
          <w:szCs w:val="24"/>
          <w:highlight w:val="none"/>
          <w:lang w:val="en-US" w:eastAsia="zh-CN"/>
        </w:rPr>
        <w:t>并提供证明材料</w:t>
      </w:r>
      <w:r>
        <w:rPr>
          <w:rFonts w:hint="eastAsia" w:ascii="宋体" w:hAnsi="宋体" w:eastAsia="宋体" w:cs="宋体"/>
          <w:b/>
          <w:bCs/>
          <w:szCs w:val="24"/>
          <w:highlight w:val="none"/>
        </w:rPr>
        <w:t>，不属于的无需填写此项内容</w:t>
      </w:r>
      <w:r>
        <w:rPr>
          <w:rFonts w:hint="eastAsia" w:ascii="宋体" w:hAnsi="宋体" w:eastAsia="宋体" w:cs="宋体"/>
          <w:b/>
          <w:bCs/>
          <w:szCs w:val="24"/>
          <w:highlight w:val="none"/>
          <w:lang w:eastAsia="zh-CN"/>
        </w:rPr>
        <w:t>，</w:t>
      </w:r>
      <w:r>
        <w:rPr>
          <w:rFonts w:hint="eastAsia" w:ascii="宋体" w:hAnsi="宋体" w:eastAsia="宋体" w:cs="宋体"/>
          <w:b/>
          <w:bCs/>
          <w:szCs w:val="24"/>
          <w:highlight w:val="none"/>
          <w:lang w:val="en-US" w:eastAsia="zh-CN"/>
        </w:rPr>
        <w:t>不删除本项，标明不属于中小企业</w:t>
      </w:r>
      <w:r>
        <w:rPr>
          <w:rFonts w:hint="eastAsia" w:ascii="宋体" w:hAnsi="宋体" w:eastAsia="宋体" w:cs="宋体"/>
          <w:b/>
          <w:bCs/>
          <w:szCs w:val="24"/>
          <w:highlight w:val="none"/>
        </w:rPr>
        <w:t>）</w:t>
      </w:r>
    </w:p>
    <w:p w14:paraId="2DB806D6">
      <w:pPr>
        <w:pageBreakBefore w:val="0"/>
        <w:bidi w:val="0"/>
        <w:adjustRightInd w:val="0"/>
        <w:snapToGrid w:val="0"/>
        <w:spacing w:beforeAutospacing="0" w:afterAutospacing="0" w:line="360" w:lineRule="auto"/>
        <w:ind w:left="0" w:leftChars="0" w:right="0" w:firstLine="422" w:firstLineChars="200"/>
        <w:rPr>
          <w:rFonts w:hint="eastAsia" w:ascii="宋体" w:hAnsi="宋体" w:eastAsia="宋体" w:cs="宋体"/>
          <w:b/>
          <w:bCs/>
          <w:sz w:val="24"/>
          <w:highlight w:val="none"/>
        </w:rPr>
      </w:pPr>
      <w:r>
        <w:rPr>
          <w:rFonts w:hint="eastAsia" w:ascii="宋体" w:hAnsi="宋体" w:eastAsia="宋体" w:cs="宋体"/>
          <w:b/>
          <w:bCs/>
          <w:szCs w:val="24"/>
          <w:highlight w:val="none"/>
        </w:rPr>
        <w:t>从业人员、 营业收入、 资产总额填报上一年度数据， 无上一年度数据的新成立企业可不填报。</w:t>
      </w:r>
    </w:p>
    <w:p w14:paraId="48814BCE">
      <w:pPr>
        <w:pageBreakBefore w:val="0"/>
        <w:wordWrap w:val="0"/>
        <w:bidi w:val="0"/>
        <w:adjustRightInd w:val="0"/>
        <w:snapToGrid w:val="0"/>
        <w:spacing w:beforeAutospacing="0" w:afterAutospacing="0" w:line="360" w:lineRule="auto"/>
        <w:ind w:left="0" w:leftChars="0" w:right="0"/>
        <w:jc w:val="right"/>
        <w:rPr>
          <w:rFonts w:hint="eastAsia" w:ascii="宋体" w:hAnsi="宋体" w:eastAsia="宋体" w:cs="宋体"/>
          <w:sz w:val="24"/>
          <w:highlight w:val="none"/>
        </w:rPr>
      </w:pP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电子签章</w:t>
      </w:r>
      <w:r>
        <w:rPr>
          <w:rFonts w:hint="eastAsia" w:ascii="宋体" w:hAnsi="宋体" w:eastAsia="宋体" w:cs="宋体"/>
          <w:sz w:val="24"/>
          <w:highlight w:val="none"/>
        </w:rPr>
        <w:t>）</w:t>
      </w:r>
    </w:p>
    <w:p w14:paraId="46593AD6">
      <w:pPr>
        <w:pageBreakBefore w:val="0"/>
        <w:bidi w:val="0"/>
        <w:adjustRightInd w:val="0"/>
        <w:snapToGrid w:val="0"/>
        <w:spacing w:beforeAutospacing="0" w:afterAutospacing="0" w:line="360" w:lineRule="auto"/>
        <w:ind w:left="0" w:leftChars="0" w:right="0" w:firstLine="480" w:firstLineChars="200"/>
        <w:jc w:val="right"/>
        <w:rPr>
          <w:rFonts w:hint="eastAsia" w:ascii="宋体" w:hAnsi="宋体" w:eastAsia="宋体" w:cs="宋体"/>
          <w:sz w:val="24"/>
          <w:highlight w:val="none"/>
        </w:rPr>
      </w:pPr>
      <w:r>
        <w:rPr>
          <w:rFonts w:hint="eastAsia" w:ascii="宋体" w:hAnsi="宋体" w:eastAsia="宋体" w:cs="宋体"/>
          <w:sz w:val="24"/>
          <w:highlight w:val="none"/>
        </w:rPr>
        <w:t>法定代表人：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电子签章</w:t>
      </w:r>
      <w:r>
        <w:rPr>
          <w:rFonts w:hint="eastAsia" w:ascii="宋体" w:hAnsi="宋体" w:eastAsia="宋体" w:cs="宋体"/>
          <w:sz w:val="24"/>
          <w:highlight w:val="none"/>
        </w:rPr>
        <w:t>）</w:t>
      </w:r>
    </w:p>
    <w:p w14:paraId="4F7831C0">
      <w:pPr>
        <w:pageBreakBefore w:val="0"/>
        <w:bidi w:val="0"/>
        <w:adjustRightInd w:val="0"/>
        <w:snapToGrid w:val="0"/>
        <w:spacing w:beforeAutospacing="0" w:afterAutospacing="0" w:line="360" w:lineRule="auto"/>
        <w:ind w:left="0" w:leftChars="0" w:right="0"/>
        <w:rPr>
          <w:rFonts w:hint="eastAsia" w:ascii="宋体" w:hAnsi="宋体" w:eastAsia="宋体" w:cs="宋体"/>
          <w:color w:val="000000"/>
          <w:kern w:val="10"/>
          <w:sz w:val="24"/>
          <w:highlight w:val="none"/>
        </w:rPr>
      </w:pPr>
      <w:r>
        <w:rPr>
          <w:rFonts w:hint="eastAsia" w:ascii="宋体" w:hAnsi="宋体" w:eastAsia="宋体" w:cs="宋体"/>
          <w:sz w:val="24"/>
          <w:highlight w:val="none"/>
        </w:rPr>
        <w:t xml:space="preserve">                                        </w:t>
      </w:r>
      <w:r>
        <w:rPr>
          <w:rFonts w:hint="eastAsia" w:ascii="宋体" w:hAnsi="宋体" w:eastAsia="宋体" w:cs="宋体"/>
          <w:spacing w:val="6"/>
          <w:sz w:val="24"/>
          <w:highlight w:val="none"/>
          <w:shd w:val="clear" w:color="auto" w:fill="FFFFFF"/>
        </w:rPr>
        <w:t>日</w:t>
      </w:r>
      <w:r>
        <w:rPr>
          <w:rFonts w:hint="eastAsia" w:ascii="宋体" w:hAnsi="宋体" w:eastAsia="宋体" w:cs="宋体"/>
          <w:spacing w:val="6"/>
          <w:sz w:val="24"/>
          <w:highlight w:val="none"/>
          <w:shd w:val="clear" w:color="auto" w:fill="FFFFFF"/>
          <w:lang w:val="en-US" w:eastAsia="zh-CN"/>
        </w:rPr>
        <w:t xml:space="preserve"> </w:t>
      </w:r>
      <w:r>
        <w:rPr>
          <w:rFonts w:hint="eastAsia" w:ascii="宋体" w:hAnsi="宋体" w:eastAsia="宋体" w:cs="宋体"/>
          <w:spacing w:val="6"/>
          <w:sz w:val="24"/>
          <w:highlight w:val="none"/>
          <w:shd w:val="clear" w:color="auto" w:fill="FFFFFF"/>
        </w:rPr>
        <w:t xml:space="preserve">  期</w:t>
      </w:r>
      <w:r>
        <w:rPr>
          <w:rFonts w:hint="eastAsia" w:ascii="宋体" w:hAnsi="宋体" w:eastAsia="宋体" w:cs="宋体"/>
          <w:spacing w:val="6"/>
          <w:sz w:val="24"/>
          <w:highlight w:val="none"/>
          <w:shd w:val="clear" w:color="auto" w:fill="FFFFFF"/>
          <w:lang w:val="en-US" w:eastAsia="zh-CN"/>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17FAA26C">
      <w:pPr>
        <w:pageBreakBefore w:val="0"/>
        <w:bidi w:val="0"/>
        <w:adjustRightInd w:val="0"/>
        <w:snapToGrid w:val="0"/>
        <w:spacing w:beforeAutospacing="0" w:afterAutospacing="0" w:line="360" w:lineRule="auto"/>
        <w:ind w:left="0" w:leftChars="0" w:right="0"/>
        <w:rPr>
          <w:rFonts w:hint="eastAsia" w:ascii="宋体" w:hAnsi="宋体" w:eastAsia="宋体" w:cs="宋体"/>
          <w:color w:val="000000"/>
          <w:kern w:val="10"/>
          <w:sz w:val="22"/>
          <w:szCs w:val="22"/>
          <w:highlight w:val="none"/>
          <w:shd w:val="clear" w:color="auto" w:fill="FFFFFF"/>
        </w:rPr>
      </w:pPr>
      <w:r>
        <w:rPr>
          <w:rFonts w:hint="eastAsia" w:ascii="宋体" w:hAnsi="宋体" w:eastAsia="宋体" w:cs="宋体"/>
          <w:color w:val="000000"/>
          <w:kern w:val="10"/>
          <w:sz w:val="22"/>
          <w:szCs w:val="22"/>
          <w:highlight w:val="none"/>
          <w:shd w:val="clear" w:color="auto" w:fill="FFFFFF"/>
        </w:rPr>
        <w:t>注：①从业人员、营业收入、资产总额填报上一年度数据，无上一年度数据的新成立企业可不填报。</w:t>
      </w:r>
    </w:p>
    <w:p w14:paraId="2B717ACA">
      <w:pPr>
        <w:pageBreakBefore w:val="0"/>
        <w:bidi w:val="0"/>
        <w:adjustRightInd w:val="0"/>
        <w:snapToGrid w:val="0"/>
        <w:spacing w:beforeAutospacing="0" w:afterAutospacing="0" w:line="360" w:lineRule="auto"/>
        <w:ind w:left="0" w:leftChars="0" w:right="0" w:firstLine="440" w:firstLineChars="200"/>
        <w:rPr>
          <w:rFonts w:hint="eastAsia" w:ascii="宋体" w:hAnsi="宋体" w:eastAsia="宋体" w:cs="宋体"/>
          <w:color w:val="000000"/>
          <w:kern w:val="10"/>
          <w:sz w:val="22"/>
          <w:szCs w:val="22"/>
          <w:highlight w:val="none"/>
          <w:shd w:val="clear" w:color="auto" w:fill="FFFFFF"/>
        </w:rPr>
      </w:pPr>
      <w:r>
        <w:rPr>
          <w:rFonts w:hint="eastAsia" w:ascii="宋体" w:hAnsi="宋体" w:eastAsia="宋体" w:cs="宋体"/>
          <w:color w:val="000000"/>
          <w:kern w:val="10"/>
          <w:sz w:val="22"/>
          <w:szCs w:val="22"/>
          <w:highlight w:val="none"/>
          <w:shd w:val="clear" w:color="auto" w:fill="FFFFFF"/>
        </w:rPr>
        <w:t>②供应商提供的货物既有中小企业制造货物，也有大型企业制造货物的，不享受《政府采购促进中小企业发展管理办法》规定的中小企业扶持政策。</w:t>
      </w:r>
    </w:p>
    <w:p w14:paraId="0D372EA5">
      <w:pPr>
        <w:pageBreakBefore w:val="0"/>
        <w:bidi w:val="0"/>
        <w:adjustRightInd w:val="0"/>
        <w:snapToGrid w:val="0"/>
        <w:spacing w:beforeAutospacing="0" w:afterAutospacing="0" w:line="360" w:lineRule="auto"/>
        <w:ind w:left="0" w:leftChars="0" w:right="0" w:firstLine="440" w:firstLineChars="200"/>
        <w:rPr>
          <w:rFonts w:hint="eastAsia" w:ascii="宋体" w:hAnsi="宋体" w:eastAsia="宋体" w:cs="宋体"/>
          <w:color w:val="000000"/>
          <w:kern w:val="10"/>
          <w:sz w:val="22"/>
          <w:szCs w:val="22"/>
          <w:highlight w:val="none"/>
          <w:shd w:val="clear" w:color="auto" w:fill="FFFFFF"/>
        </w:rPr>
      </w:pPr>
      <w:r>
        <w:rPr>
          <w:rFonts w:hint="eastAsia" w:ascii="宋体" w:hAnsi="宋体" w:eastAsia="宋体" w:cs="宋体"/>
          <w:color w:val="000000"/>
          <w:kern w:val="10"/>
          <w:sz w:val="22"/>
          <w:szCs w:val="22"/>
          <w:highlight w:val="none"/>
          <w:shd w:val="clear" w:color="auto" w:fill="FFFFFF"/>
        </w:rPr>
        <w:t xml:space="preserve">③以联合体形式参加政府采购活动，联合体各方均为中小企业的，联合体视同中小企业。其中，联合体各方均为小微企业的，联合体视同小微企业。 </w:t>
      </w:r>
    </w:p>
    <w:p w14:paraId="230F7B82">
      <w:pPr>
        <w:pageBreakBefore w:val="0"/>
        <w:bidi w:val="0"/>
        <w:adjustRightInd w:val="0"/>
        <w:snapToGrid w:val="0"/>
        <w:spacing w:beforeAutospacing="0" w:afterAutospacing="0" w:line="360" w:lineRule="auto"/>
        <w:ind w:left="0" w:leftChars="0" w:right="0" w:firstLine="440" w:firstLineChars="200"/>
        <w:rPr>
          <w:rFonts w:hint="eastAsia" w:ascii="宋体" w:hAnsi="宋体" w:eastAsia="宋体" w:cs="宋体"/>
          <w:color w:val="000000"/>
          <w:kern w:val="10"/>
          <w:sz w:val="22"/>
          <w:szCs w:val="22"/>
          <w:highlight w:val="none"/>
          <w:shd w:val="clear" w:color="auto" w:fill="FFFFFF"/>
        </w:rPr>
      </w:pPr>
      <w:r>
        <w:rPr>
          <w:rFonts w:hint="eastAsia" w:ascii="宋体" w:hAnsi="宋体" w:eastAsia="宋体" w:cs="宋体"/>
          <w:color w:val="000000"/>
          <w:kern w:val="10"/>
          <w:sz w:val="22"/>
          <w:szCs w:val="22"/>
          <w:highlight w:val="none"/>
          <w:shd w:val="clear" w:color="auto" w:fill="FFFFFF"/>
        </w:rPr>
        <w:t>④在政府采购活动中，供应商提供的所有货物由小微企业制造，即货物由小微企业生产且使用该小微企业商号或者注册商标的，才能享受《政府采购促进中小企业发展管理办法》规定的价格扣减。</w:t>
      </w:r>
    </w:p>
    <w:p w14:paraId="46B51226">
      <w:pPr>
        <w:pageBreakBefore w:val="0"/>
        <w:bidi w:val="0"/>
        <w:adjustRightInd w:val="0"/>
        <w:snapToGrid w:val="0"/>
        <w:spacing w:beforeAutospacing="0" w:afterAutospacing="0" w:line="360" w:lineRule="auto"/>
        <w:ind w:left="0" w:leftChars="0" w:right="0" w:firstLine="440" w:firstLineChars="200"/>
        <w:rPr>
          <w:rFonts w:hint="eastAsia" w:ascii="宋体" w:hAnsi="宋体" w:eastAsia="宋体" w:cs="宋体"/>
          <w:color w:val="000000"/>
          <w:kern w:val="10"/>
          <w:sz w:val="22"/>
          <w:szCs w:val="22"/>
          <w:highlight w:val="none"/>
          <w:shd w:val="clear" w:color="auto" w:fill="FFFFFF"/>
        </w:rPr>
      </w:pPr>
      <w:r>
        <w:rPr>
          <w:rFonts w:hint="eastAsia" w:ascii="宋体" w:hAnsi="宋体" w:eastAsia="宋体" w:cs="宋体"/>
          <w:color w:val="000000"/>
          <w:kern w:val="10"/>
          <w:sz w:val="22"/>
          <w:szCs w:val="22"/>
          <w:highlight w:val="none"/>
          <w:shd w:val="clear" w:color="auto" w:fill="FFFFFF"/>
        </w:rPr>
        <w:t>⑤中小企业声明函格式应严格按照</w:t>
      </w:r>
      <w:r>
        <w:rPr>
          <w:rFonts w:hint="eastAsia" w:ascii="宋体" w:hAnsi="宋体" w:eastAsia="宋体" w:cs="宋体"/>
          <w:color w:val="000000"/>
          <w:kern w:val="10"/>
          <w:sz w:val="22"/>
          <w:szCs w:val="22"/>
          <w:highlight w:val="none"/>
          <w:shd w:val="clear" w:color="auto" w:fill="FFFFFF"/>
          <w:lang w:val="en-US" w:eastAsia="zh-CN"/>
        </w:rPr>
        <w:t>招标</w:t>
      </w:r>
      <w:r>
        <w:rPr>
          <w:rFonts w:hint="eastAsia" w:ascii="宋体" w:hAnsi="宋体" w:eastAsia="宋体" w:cs="宋体"/>
          <w:color w:val="000000"/>
          <w:kern w:val="10"/>
          <w:sz w:val="22"/>
          <w:szCs w:val="22"/>
          <w:highlight w:val="none"/>
          <w:shd w:val="clear" w:color="auto" w:fill="FFFFFF"/>
        </w:rPr>
        <w:t>文件提供的格式填写。非单一产品采购的，设备制造商不止一家时，中小企业声明函中须列出所有的设备及制造商，罗列不全的中小企业声明函不予认可。</w:t>
      </w:r>
    </w:p>
    <w:p w14:paraId="196CBCAB">
      <w:pPr>
        <w:pStyle w:val="7"/>
        <w:pageBreakBefore w:val="0"/>
        <w:tabs>
          <w:tab w:val="left" w:pos="219"/>
        </w:tabs>
        <w:bidi w:val="0"/>
        <w:adjustRightInd w:val="0"/>
        <w:snapToGrid w:val="0"/>
        <w:spacing w:beforeAutospacing="0" w:after="0" w:afterAutospacing="0" w:line="360" w:lineRule="auto"/>
        <w:ind w:left="0" w:leftChars="0" w:right="0" w:rightChars="0"/>
        <w:rPr>
          <w:rFonts w:hint="eastAsia" w:ascii="宋体" w:hAnsi="宋体" w:eastAsia="宋体" w:cs="宋体"/>
          <w:spacing w:val="-14"/>
          <w:sz w:val="31"/>
          <w:szCs w:val="31"/>
          <w:highlight w:val="none"/>
        </w:rPr>
      </w:pPr>
      <w:r>
        <w:rPr>
          <w:rFonts w:hint="eastAsia" w:ascii="宋体" w:hAnsi="宋体" w:eastAsia="宋体" w:cs="宋体"/>
          <w:color w:val="000000"/>
          <w:kern w:val="10"/>
          <w:sz w:val="22"/>
          <w:szCs w:val="22"/>
          <w:highlight w:val="none"/>
          <w:shd w:val="clear" w:color="auto" w:fill="FFFFFF"/>
        </w:rPr>
        <w:t>⑥在货物采购项目中，货物应当由中小企业制造，不对其中涉及的服务的承接商作出要求。</w:t>
      </w:r>
    </w:p>
    <w:p w14:paraId="62062B38">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bookmarkStart w:id="77" w:name="_Toc121749381"/>
      <w:bookmarkStart w:id="78" w:name="_Toc141079824"/>
      <w:bookmarkStart w:id="79" w:name="_Toc122004270"/>
      <w:r>
        <w:rPr>
          <w:rFonts w:hint="eastAsia" w:ascii="宋体" w:hAnsi="宋体" w:eastAsia="宋体" w:cs="宋体"/>
          <w:b/>
          <w:bCs/>
          <w:color w:val="000000"/>
          <w:kern w:val="10"/>
          <w:sz w:val="28"/>
          <w:szCs w:val="28"/>
          <w:highlight w:val="none"/>
          <w:shd w:val="clear" w:color="auto" w:fill="FFFFFF"/>
        </w:rPr>
        <w:t>（二）监狱企业证明材料</w:t>
      </w:r>
      <w:bookmarkEnd w:id="77"/>
      <w:bookmarkEnd w:id="78"/>
      <w:bookmarkEnd w:id="79"/>
    </w:p>
    <w:p w14:paraId="16FA4E82">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p>
    <w:p w14:paraId="70FBCFB8">
      <w:pPr>
        <w:pageBreakBefore w:val="0"/>
        <w:bidi w:val="0"/>
        <w:adjustRightInd w:val="0"/>
        <w:snapToGrid w:val="0"/>
        <w:spacing w:beforeAutospacing="0" w:afterAutospacing="0" w:line="360" w:lineRule="auto"/>
        <w:ind w:left="0" w:leftChars="0" w:right="0" w:firstLine="504" w:firstLineChars="200"/>
        <w:jc w:val="left"/>
        <w:outlineLvl w:val="1"/>
        <w:rPr>
          <w:rFonts w:hint="eastAsia" w:ascii="宋体" w:hAnsi="宋体" w:eastAsia="宋体" w:cs="宋体"/>
          <w:spacing w:val="6"/>
          <w:sz w:val="24"/>
          <w:highlight w:val="none"/>
          <w:shd w:val="clear" w:color="auto" w:fill="FFFFFF"/>
        </w:rPr>
      </w:pPr>
      <w:bookmarkStart w:id="80" w:name="_Toc141079825"/>
      <w:bookmarkStart w:id="81" w:name="_Toc121749382"/>
      <w:bookmarkStart w:id="82" w:name="_Toc122004271"/>
      <w:r>
        <w:rPr>
          <w:rFonts w:hint="eastAsia" w:ascii="宋体" w:hAnsi="宋体" w:eastAsia="宋体" w:cs="宋体"/>
          <w:spacing w:val="6"/>
          <w:sz w:val="24"/>
          <w:highlight w:val="none"/>
          <w:shd w:val="clear" w:color="auto" w:fill="FFFFFF"/>
        </w:rPr>
        <w:t>监狱企业参加政府采购活动时，应当提供由省级以上监狱管理局、戒毒管理局（含新疆生产建设兵团）出具的属于监狱企业的证明文件。</w:t>
      </w:r>
      <w:bookmarkEnd w:id="80"/>
      <w:bookmarkEnd w:id="81"/>
      <w:bookmarkEnd w:id="82"/>
    </w:p>
    <w:p w14:paraId="69FEAA34">
      <w:pPr>
        <w:pageBreakBefore w:val="0"/>
        <w:bidi w:val="0"/>
        <w:adjustRightInd w:val="0"/>
        <w:snapToGrid w:val="0"/>
        <w:spacing w:beforeAutospacing="0" w:afterAutospacing="0" w:line="360" w:lineRule="auto"/>
        <w:ind w:left="0" w:leftChars="0" w:right="0" w:firstLine="562" w:firstLineChars="200"/>
        <w:jc w:val="left"/>
        <w:outlineLvl w:val="1"/>
        <w:rPr>
          <w:rFonts w:hint="eastAsia" w:ascii="宋体" w:hAnsi="宋体" w:eastAsia="宋体" w:cs="宋体"/>
          <w:b/>
          <w:bCs/>
          <w:color w:val="000000"/>
          <w:kern w:val="10"/>
          <w:sz w:val="28"/>
          <w:szCs w:val="28"/>
          <w:highlight w:val="none"/>
          <w:shd w:val="clear" w:color="auto" w:fill="FFFFFF"/>
          <w:lang w:val="en-GB"/>
        </w:rPr>
      </w:pPr>
    </w:p>
    <w:p w14:paraId="19D2D68E">
      <w:pPr>
        <w:pageBreakBefore w:val="0"/>
        <w:widowControl/>
        <w:bidi w:val="0"/>
        <w:adjustRightInd w:val="0"/>
        <w:snapToGrid w:val="0"/>
        <w:spacing w:beforeAutospacing="0" w:afterAutospacing="0" w:line="360" w:lineRule="auto"/>
        <w:ind w:left="0" w:leftChars="0" w:right="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（提醒：如果投标人</w:t>
      </w:r>
      <w:r>
        <w:rPr>
          <w:rFonts w:hint="eastAsia" w:ascii="宋体" w:hAnsi="宋体" w:eastAsia="宋体" w:cs="宋体"/>
          <w:b/>
          <w:color w:val="000000"/>
          <w:spacing w:val="10"/>
          <w:kern w:val="0"/>
          <w:sz w:val="24"/>
          <w:highlight w:val="none"/>
        </w:rPr>
        <w:t>不是</w:t>
      </w:r>
      <w:r>
        <w:rPr>
          <w:rFonts w:hint="eastAsia" w:ascii="宋体" w:hAnsi="宋体" w:eastAsia="宋体" w:cs="宋体"/>
          <w:b/>
          <w:bCs/>
          <w:color w:val="000000"/>
          <w:sz w:val="24"/>
          <w:highlight w:val="none"/>
          <w:lang w:val="en-GB"/>
        </w:rPr>
        <w:t>监狱企业</w:t>
      </w:r>
      <w:r>
        <w:rPr>
          <w:rFonts w:hint="eastAsia" w:ascii="宋体" w:hAnsi="宋体" w:eastAsia="宋体" w:cs="宋体"/>
          <w:b/>
          <w:color w:val="000000"/>
          <w:sz w:val="24"/>
          <w:highlight w:val="none"/>
        </w:rPr>
        <w:t>，则不需要提供</w:t>
      </w:r>
      <w:r>
        <w:rPr>
          <w:rFonts w:hint="eastAsia" w:ascii="宋体" w:hAnsi="宋体" w:eastAsia="宋体" w:cs="宋体"/>
          <w:b/>
          <w:color w:val="000000"/>
          <w:sz w:val="24"/>
          <w:highlight w:val="none"/>
          <w:lang w:val="en-GB"/>
        </w:rPr>
        <w:t>证明材料</w:t>
      </w:r>
      <w:r>
        <w:rPr>
          <w:rFonts w:hint="eastAsia" w:ascii="宋体" w:hAnsi="宋体" w:eastAsia="宋体" w:cs="宋体"/>
          <w:b/>
          <w:color w:val="000000"/>
          <w:sz w:val="24"/>
          <w:highlight w:val="none"/>
          <w:lang w:val="en-GB" w:eastAsia="zh-CN"/>
        </w:rPr>
        <w:t>，</w:t>
      </w:r>
      <w:r>
        <w:rPr>
          <w:rFonts w:hint="eastAsia" w:ascii="宋体" w:hAnsi="宋体" w:eastAsia="宋体" w:cs="宋体"/>
          <w:b/>
          <w:color w:val="000000"/>
          <w:sz w:val="24"/>
          <w:highlight w:val="none"/>
          <w:lang w:val="en-US" w:eastAsia="zh-CN"/>
        </w:rPr>
        <w:t>不删除本项，标明不属于监狱企业</w:t>
      </w:r>
      <w:r>
        <w:rPr>
          <w:rFonts w:hint="eastAsia" w:ascii="宋体" w:hAnsi="宋体" w:eastAsia="宋体" w:cs="宋体"/>
          <w:b/>
          <w:color w:val="000000"/>
          <w:sz w:val="24"/>
          <w:highlight w:val="none"/>
        </w:rPr>
        <w:t>）</w:t>
      </w:r>
    </w:p>
    <w:p w14:paraId="4C1740B7">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121FBC53">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3EF81431">
      <w:pPr>
        <w:pageBreakBefore w:val="0"/>
        <w:wordWrap w:val="0"/>
        <w:bidi w:val="0"/>
        <w:adjustRightInd w:val="0"/>
        <w:snapToGrid w:val="0"/>
        <w:spacing w:beforeAutospacing="0" w:afterAutospacing="0" w:line="360" w:lineRule="auto"/>
        <w:ind w:left="0" w:leftChars="0" w:right="0"/>
        <w:jc w:val="right"/>
        <w:rPr>
          <w:rFonts w:hint="eastAsia" w:ascii="宋体" w:hAnsi="宋体" w:eastAsia="宋体" w:cs="宋体"/>
          <w:sz w:val="24"/>
          <w:highlight w:val="none"/>
        </w:rPr>
      </w:pP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电子签章</w:t>
      </w:r>
      <w:r>
        <w:rPr>
          <w:rFonts w:hint="eastAsia" w:ascii="宋体" w:hAnsi="宋体" w:eastAsia="宋体" w:cs="宋体"/>
          <w:sz w:val="24"/>
          <w:highlight w:val="none"/>
        </w:rPr>
        <w:t>）</w:t>
      </w:r>
    </w:p>
    <w:p w14:paraId="24FF5873">
      <w:pPr>
        <w:pageBreakBefore w:val="0"/>
        <w:bidi w:val="0"/>
        <w:adjustRightInd w:val="0"/>
        <w:snapToGrid w:val="0"/>
        <w:spacing w:beforeAutospacing="0" w:afterAutospacing="0" w:line="360" w:lineRule="auto"/>
        <w:ind w:left="0" w:leftChars="0" w:right="0"/>
        <w:rPr>
          <w:rFonts w:hint="eastAsia" w:ascii="宋体" w:hAnsi="宋体" w:eastAsia="宋体" w:cs="宋体"/>
          <w:color w:val="000000"/>
          <w:kern w:val="10"/>
          <w:sz w:val="24"/>
          <w:highlight w:val="none"/>
        </w:rPr>
      </w:pPr>
      <w:r>
        <w:rPr>
          <w:rFonts w:hint="eastAsia" w:ascii="宋体" w:hAnsi="宋体" w:eastAsia="宋体" w:cs="宋体"/>
          <w:sz w:val="24"/>
          <w:highlight w:val="none"/>
        </w:rPr>
        <w:t xml:space="preserve">                                       </w:t>
      </w:r>
      <w:r>
        <w:rPr>
          <w:rFonts w:hint="eastAsia" w:ascii="宋体" w:hAnsi="宋体" w:eastAsia="宋体" w:cs="宋体"/>
          <w:spacing w:val="6"/>
          <w:sz w:val="24"/>
          <w:highlight w:val="none"/>
          <w:shd w:val="clear" w:color="auto" w:fill="FFFFFF"/>
        </w:rPr>
        <w:t>日</w:t>
      </w:r>
      <w:r>
        <w:rPr>
          <w:rFonts w:hint="eastAsia" w:ascii="宋体" w:hAnsi="宋体" w:eastAsia="宋体" w:cs="宋体"/>
          <w:spacing w:val="6"/>
          <w:sz w:val="24"/>
          <w:highlight w:val="none"/>
          <w:shd w:val="clear" w:color="auto" w:fill="FFFFFF"/>
          <w:lang w:val="en-US" w:eastAsia="zh-CN"/>
        </w:rPr>
        <w:t xml:space="preserve"> </w:t>
      </w:r>
      <w:r>
        <w:rPr>
          <w:rFonts w:hint="eastAsia" w:ascii="宋体" w:hAnsi="宋体" w:eastAsia="宋体" w:cs="宋体"/>
          <w:spacing w:val="6"/>
          <w:sz w:val="24"/>
          <w:highlight w:val="none"/>
          <w:shd w:val="clear" w:color="auto" w:fill="FFFFFF"/>
        </w:rPr>
        <w:t xml:space="preserve">  期</w:t>
      </w:r>
      <w:r>
        <w:rPr>
          <w:rFonts w:hint="eastAsia" w:ascii="宋体" w:hAnsi="宋体" w:eastAsia="宋体" w:cs="宋体"/>
          <w:spacing w:val="6"/>
          <w:sz w:val="24"/>
          <w:highlight w:val="none"/>
          <w:shd w:val="clear" w:color="auto" w:fill="FFFFFF"/>
          <w:lang w:val="en-US" w:eastAsia="zh-CN"/>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48AE3CC5">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42861475">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70F0F1DA">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106D0482">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068D9335">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bookmarkStart w:id="83" w:name="_Toc121749383"/>
      <w:bookmarkStart w:id="84" w:name="_Toc122004272"/>
      <w:bookmarkStart w:id="85" w:name="_Toc141079826"/>
    </w:p>
    <w:p w14:paraId="01BDC571">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2C00C24C">
      <w:pPr>
        <w:pageBreakBefore w:val="0"/>
        <w:bidi w:val="0"/>
        <w:adjustRightInd w:val="0"/>
        <w:snapToGrid w:val="0"/>
        <w:spacing w:beforeAutospacing="0" w:afterAutospacing="0" w:line="360" w:lineRule="auto"/>
        <w:ind w:left="0" w:leftChars="0" w:right="0"/>
        <w:jc w:val="both"/>
        <w:outlineLvl w:val="1"/>
        <w:rPr>
          <w:rFonts w:hint="eastAsia" w:ascii="宋体" w:hAnsi="宋体" w:eastAsia="宋体" w:cs="宋体"/>
          <w:b/>
          <w:bCs/>
          <w:color w:val="000000"/>
          <w:kern w:val="10"/>
          <w:sz w:val="28"/>
          <w:szCs w:val="28"/>
          <w:highlight w:val="none"/>
          <w:shd w:val="clear" w:color="auto" w:fill="FFFFFF"/>
        </w:rPr>
      </w:pPr>
    </w:p>
    <w:p w14:paraId="65845332">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5584284E">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552B27FF">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213AB2F7">
      <w:pPr>
        <w:pStyle w:val="2"/>
        <w:rPr>
          <w:rFonts w:hint="eastAsia"/>
        </w:rPr>
      </w:pPr>
    </w:p>
    <w:p w14:paraId="7D80006F">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000000"/>
          <w:kern w:val="10"/>
          <w:sz w:val="28"/>
          <w:szCs w:val="28"/>
          <w:highlight w:val="none"/>
          <w:shd w:val="clear" w:color="auto" w:fill="FFFFFF"/>
        </w:rPr>
      </w:pPr>
    </w:p>
    <w:p w14:paraId="14E19F0F">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000000"/>
          <w:kern w:val="10"/>
          <w:sz w:val="28"/>
          <w:szCs w:val="28"/>
          <w:highlight w:val="none"/>
          <w:shd w:val="clear" w:color="auto" w:fill="FFFFFF"/>
        </w:rPr>
      </w:pPr>
    </w:p>
    <w:p w14:paraId="611236EE">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65557852">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3F445BF2">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r>
        <w:rPr>
          <w:rFonts w:hint="eastAsia" w:ascii="宋体" w:hAnsi="宋体" w:eastAsia="宋体" w:cs="宋体"/>
          <w:b/>
          <w:bCs/>
          <w:color w:val="000000"/>
          <w:kern w:val="10"/>
          <w:sz w:val="28"/>
          <w:szCs w:val="28"/>
          <w:highlight w:val="none"/>
          <w:shd w:val="clear" w:color="auto" w:fill="FFFFFF"/>
        </w:rPr>
        <w:t>（三）残疾人福利性单位声明函</w:t>
      </w:r>
      <w:bookmarkEnd w:id="83"/>
      <w:bookmarkEnd w:id="84"/>
      <w:bookmarkEnd w:id="85"/>
    </w:p>
    <w:p w14:paraId="0E0100EE">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spacing w:val="6"/>
          <w:sz w:val="24"/>
          <w:highlight w:val="none"/>
          <w:u w:val="single"/>
          <w:shd w:val="clear" w:color="auto" w:fill="FFFFFF"/>
        </w:rPr>
        <w:t xml:space="preserve">       </w:t>
      </w:r>
      <w:r>
        <w:rPr>
          <w:rFonts w:hint="eastAsia" w:ascii="宋体" w:hAnsi="宋体" w:eastAsia="宋体" w:cs="宋体"/>
          <w:spacing w:val="6"/>
          <w:sz w:val="24"/>
          <w:highlight w:val="none"/>
          <w:shd w:val="clear" w:color="auto" w:fill="FFFFFF"/>
        </w:rPr>
        <w:t>单位的</w:t>
      </w:r>
      <w:r>
        <w:rPr>
          <w:rFonts w:hint="eastAsia" w:ascii="宋体" w:hAnsi="宋体" w:eastAsia="宋体" w:cs="宋体"/>
          <w:spacing w:val="6"/>
          <w:sz w:val="24"/>
          <w:highlight w:val="none"/>
          <w:u w:val="single"/>
          <w:shd w:val="clear" w:color="auto" w:fill="FFFFFF"/>
        </w:rPr>
        <w:t xml:space="preserve">      </w:t>
      </w:r>
      <w:r>
        <w:rPr>
          <w:rFonts w:hint="eastAsia" w:ascii="宋体" w:hAnsi="宋体" w:eastAsia="宋体" w:cs="宋体"/>
          <w:spacing w:val="6"/>
          <w:sz w:val="24"/>
          <w:highlight w:val="none"/>
          <w:shd w:val="clear" w:color="auto" w:fill="FFFFFF"/>
        </w:rPr>
        <w:t>项目采购活动提供本单位制造的货物（由本单位承担工程/提供服务），或者提供其他残疾人福利性单位制造的货物（不包括使用非残疾人福利性单位注册商标的货物）。</w:t>
      </w:r>
    </w:p>
    <w:p w14:paraId="6500012D">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本单位对上述声明的真实性负责。如有虚假，将依法承担相应责任。</w:t>
      </w:r>
    </w:p>
    <w:p w14:paraId="6262D434">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p>
    <w:p w14:paraId="4531D11B">
      <w:pPr>
        <w:pageBreakBefore w:val="0"/>
        <w:wordWrap w:val="0"/>
        <w:bidi w:val="0"/>
        <w:adjustRightInd w:val="0"/>
        <w:snapToGrid w:val="0"/>
        <w:spacing w:beforeAutospacing="0" w:afterAutospacing="0" w:line="360" w:lineRule="auto"/>
        <w:ind w:left="0" w:leftChars="0" w:right="0"/>
        <w:jc w:val="right"/>
        <w:rPr>
          <w:rFonts w:hint="eastAsia" w:ascii="宋体" w:hAnsi="宋体" w:eastAsia="宋体" w:cs="宋体"/>
          <w:sz w:val="24"/>
          <w:highlight w:val="none"/>
        </w:rPr>
      </w:pPr>
      <w:r>
        <w:rPr>
          <w:rFonts w:hint="eastAsia" w:ascii="宋体" w:hAnsi="宋体" w:eastAsia="宋体" w:cs="宋体"/>
          <w:spacing w:val="6"/>
          <w:sz w:val="24"/>
          <w:highlight w:val="none"/>
          <w:shd w:val="clear" w:color="auto" w:fill="FFFFFF"/>
        </w:rPr>
        <w:t xml:space="preserve">        </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电子签章</w:t>
      </w:r>
      <w:r>
        <w:rPr>
          <w:rFonts w:hint="eastAsia" w:ascii="宋体" w:hAnsi="宋体" w:eastAsia="宋体" w:cs="宋体"/>
          <w:sz w:val="24"/>
          <w:highlight w:val="none"/>
        </w:rPr>
        <w:t>）</w:t>
      </w:r>
    </w:p>
    <w:p w14:paraId="75C03DA4">
      <w:pPr>
        <w:pageBreakBefore w:val="0"/>
        <w:bidi w:val="0"/>
        <w:adjustRightInd w:val="0"/>
        <w:snapToGrid w:val="0"/>
        <w:spacing w:beforeAutospacing="0" w:afterAutospacing="0" w:line="360" w:lineRule="auto"/>
        <w:ind w:left="0" w:leftChars="0" w:right="0"/>
        <w:rPr>
          <w:rFonts w:hint="eastAsia" w:ascii="宋体" w:hAnsi="宋体" w:eastAsia="宋体" w:cs="宋体"/>
          <w:color w:val="000000"/>
          <w:kern w:val="10"/>
          <w:sz w:val="24"/>
          <w:highlight w:val="none"/>
        </w:rPr>
      </w:pPr>
      <w:r>
        <w:rPr>
          <w:rFonts w:hint="eastAsia" w:ascii="宋体" w:hAnsi="宋体" w:eastAsia="宋体" w:cs="宋体"/>
          <w:sz w:val="24"/>
          <w:highlight w:val="none"/>
        </w:rPr>
        <w:t xml:space="preserve">                                       </w:t>
      </w:r>
      <w:r>
        <w:rPr>
          <w:rFonts w:hint="eastAsia" w:ascii="宋体" w:hAnsi="宋体" w:eastAsia="宋体" w:cs="宋体"/>
          <w:spacing w:val="6"/>
          <w:sz w:val="24"/>
          <w:highlight w:val="none"/>
          <w:shd w:val="clear" w:color="auto" w:fill="FFFFFF"/>
        </w:rPr>
        <w:t>日</w:t>
      </w:r>
      <w:r>
        <w:rPr>
          <w:rFonts w:hint="eastAsia" w:ascii="宋体" w:hAnsi="宋体" w:eastAsia="宋体" w:cs="宋体"/>
          <w:spacing w:val="6"/>
          <w:sz w:val="24"/>
          <w:highlight w:val="none"/>
          <w:shd w:val="clear" w:color="auto" w:fill="FFFFFF"/>
          <w:lang w:val="en-US" w:eastAsia="zh-CN"/>
        </w:rPr>
        <w:t xml:space="preserve"> </w:t>
      </w:r>
      <w:r>
        <w:rPr>
          <w:rFonts w:hint="eastAsia" w:ascii="宋体" w:hAnsi="宋体" w:eastAsia="宋体" w:cs="宋体"/>
          <w:spacing w:val="6"/>
          <w:sz w:val="24"/>
          <w:highlight w:val="none"/>
          <w:shd w:val="clear" w:color="auto" w:fill="FFFFFF"/>
        </w:rPr>
        <w:t xml:space="preserve">  期</w:t>
      </w:r>
      <w:r>
        <w:rPr>
          <w:rFonts w:hint="eastAsia" w:ascii="宋体" w:hAnsi="宋体" w:eastAsia="宋体" w:cs="宋体"/>
          <w:spacing w:val="6"/>
          <w:sz w:val="24"/>
          <w:highlight w:val="none"/>
          <w:shd w:val="clear" w:color="auto" w:fill="FFFFFF"/>
          <w:lang w:val="en-US" w:eastAsia="zh-CN"/>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72277D95">
      <w:pPr>
        <w:pageBreakBefore w:val="0"/>
        <w:widowControl/>
        <w:bidi w:val="0"/>
        <w:adjustRightInd w:val="0"/>
        <w:snapToGrid w:val="0"/>
        <w:spacing w:beforeAutospacing="0" w:afterAutospacing="0" w:line="360" w:lineRule="auto"/>
        <w:ind w:left="0" w:leftChars="0" w:right="0"/>
        <w:rPr>
          <w:rFonts w:hint="eastAsia" w:ascii="宋体" w:hAnsi="宋体" w:eastAsia="宋体" w:cs="宋体"/>
          <w:b/>
          <w:color w:val="000000"/>
          <w:sz w:val="24"/>
          <w:highlight w:val="none"/>
        </w:rPr>
      </w:pPr>
      <w:r>
        <w:rPr>
          <w:rFonts w:hint="eastAsia" w:ascii="宋体" w:hAnsi="宋体" w:eastAsia="宋体" w:cs="宋体"/>
          <w:b/>
          <w:spacing w:val="6"/>
          <w:sz w:val="24"/>
          <w:highlight w:val="none"/>
          <w:shd w:val="clear" w:color="auto" w:fill="FFFFFF"/>
        </w:rPr>
        <w:t>（提醒：如果投标人不是残疾人福利性单位，则不需要提供</w:t>
      </w:r>
      <w:r>
        <w:rPr>
          <w:rFonts w:hint="eastAsia" w:ascii="宋体" w:hAnsi="宋体" w:eastAsia="宋体" w:cs="宋体"/>
          <w:b/>
          <w:spacing w:val="6"/>
          <w:sz w:val="24"/>
          <w:highlight w:val="none"/>
          <w:shd w:val="clear" w:color="auto" w:fill="FFFFFF"/>
          <w:lang w:val="en-US" w:eastAsia="zh-CN"/>
        </w:rPr>
        <w:t>证明材料，</w:t>
      </w:r>
      <w:r>
        <w:rPr>
          <w:rFonts w:hint="eastAsia" w:ascii="宋体" w:hAnsi="宋体" w:eastAsia="宋体" w:cs="宋体"/>
          <w:b/>
          <w:color w:val="000000"/>
          <w:sz w:val="24"/>
          <w:highlight w:val="none"/>
          <w:lang w:val="en-US" w:eastAsia="zh-CN"/>
        </w:rPr>
        <w:t>不删除本项，标明不属于残疾人福利性单位</w:t>
      </w:r>
      <w:r>
        <w:rPr>
          <w:rFonts w:hint="eastAsia" w:ascii="宋体" w:hAnsi="宋体" w:eastAsia="宋体" w:cs="宋体"/>
          <w:b/>
          <w:color w:val="000000"/>
          <w:sz w:val="24"/>
          <w:highlight w:val="none"/>
        </w:rPr>
        <w:t>）</w:t>
      </w:r>
    </w:p>
    <w:p w14:paraId="46D84ACC">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《财政部民政部中国残疾人联合会关于促进残疾人就业政府采购政策的通知》（财库（2017〔141〕号）的规定：</w:t>
      </w:r>
    </w:p>
    <w:p w14:paraId="7DA06D13">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1. 享受政府采购支持政策的残疾人福利性单位应当同时满足以下条件：</w:t>
      </w:r>
    </w:p>
    <w:p w14:paraId="6D97880C">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（1）安置的残疾人占本单位在职职工人数的比例不低于25%（含25%），并且安置的残疾人人数不少于10人（含10人）；</w:t>
      </w:r>
    </w:p>
    <w:p w14:paraId="4D405E81">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（2）依法与安置的每位残疾人签订了一年以上（含一年）的劳动合同或服务协议；</w:t>
      </w:r>
    </w:p>
    <w:p w14:paraId="0F0EEAEB">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（3）为安置的每位残疾人按月足额缴纳了基本养老保险、基本医疗保险、失业保险、工伤保险和生育保险等社会保险费；</w:t>
      </w:r>
    </w:p>
    <w:p w14:paraId="402D862C">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（4）通过银行等金融机构向安置的每位残疾人，按月支付了不低于单位所在区县适用的经省级人民政府批准的月最低工资标准的工资；</w:t>
      </w:r>
    </w:p>
    <w:p w14:paraId="251B03C1">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（5）提供本单位制造的货物、承担的工程或者服务（以下简称产品），或者提供其他残疾人福利性单位制造的货物（不包括使用非残疾人福利性单位注册商标的货物）。</w:t>
      </w:r>
    </w:p>
    <w:p w14:paraId="435EEE1B">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highlight w:val="none"/>
          <w:lang w:eastAsia="zh-CN"/>
        </w:rPr>
      </w:pPr>
      <w:r>
        <w:rPr>
          <w:rFonts w:hint="eastAsia" w:ascii="宋体" w:hAnsi="宋体" w:eastAsia="宋体" w:cs="宋体"/>
          <w:spacing w:val="6"/>
          <w:sz w:val="24"/>
          <w:highlight w:val="none"/>
          <w:shd w:val="clear" w:color="auto" w:fill="FFFFFF"/>
        </w:rPr>
        <w:t>2. 中标人为残疾人福利性单位的，采购人或者其委托的采购代理机构应当随中标、成交结果同时公告其《残疾人福利性单位声明函》，接受社会监督。</w:t>
      </w:r>
    </w:p>
    <w:p w14:paraId="20B7413B">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auto"/>
          <w:sz w:val="28"/>
          <w:szCs w:val="28"/>
          <w:highlight w:val="none"/>
          <w:lang w:val="en-US" w:eastAsia="zh-CN"/>
        </w:rPr>
      </w:pPr>
      <w:bookmarkStart w:id="86" w:name="_Toc26270"/>
      <w:r>
        <w:rPr>
          <w:rFonts w:hint="eastAsia" w:ascii="宋体" w:hAnsi="宋体" w:eastAsia="宋体" w:cs="宋体"/>
          <w:b/>
          <w:bCs/>
          <w:color w:val="auto"/>
          <w:sz w:val="28"/>
          <w:szCs w:val="28"/>
          <w:highlight w:val="none"/>
          <w:lang w:val="en-US" w:eastAsia="zh-CN"/>
        </w:rPr>
        <w:t>十、供应商可提交的其他资料</w:t>
      </w:r>
      <w:bookmarkEnd w:id="86"/>
    </w:p>
    <w:p w14:paraId="6D117659">
      <w:pPr>
        <w:pageBreakBefore w:val="0"/>
        <w:numPr>
          <w:ilvl w:val="0"/>
          <w:numId w:val="0"/>
        </w:numPr>
        <w:bidi w:val="0"/>
        <w:adjustRightInd w:val="0"/>
        <w:snapToGrid w:val="0"/>
        <w:spacing w:beforeAutospacing="0" w:afterAutospacing="0" w:line="360" w:lineRule="auto"/>
        <w:ind w:left="0" w:leftChars="0" w:right="0"/>
        <w:jc w:val="both"/>
        <w:outlineLvl w:val="1"/>
        <w:rPr>
          <w:rFonts w:hint="eastAsia" w:ascii="宋体" w:hAnsi="宋体" w:eastAsia="宋体" w:cs="宋体"/>
          <w:b/>
          <w:bCs/>
          <w:color w:val="auto"/>
          <w:sz w:val="28"/>
          <w:szCs w:val="28"/>
          <w:highlight w:val="none"/>
          <w:lang w:val="en-US" w:eastAsia="zh-CN"/>
        </w:rPr>
      </w:pPr>
    </w:p>
    <w:p w14:paraId="54274DF6">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highlight w:val="none"/>
        </w:rPr>
      </w:pPr>
    </w:p>
    <w:p w14:paraId="24727492">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highlight w:val="none"/>
        </w:rPr>
      </w:pPr>
    </w:p>
    <w:sectPr>
      <w:footerReference r:id="rId8" w:type="default"/>
      <w:pgSz w:w="11906" w:h="16838"/>
      <w:pgMar w:top="1440" w:right="1417" w:bottom="1440" w:left="1417" w:header="720" w:footer="72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ingFang SC">
    <w:altName w:val="宋体"/>
    <w:panose1 w:val="020B0400000000000000"/>
    <w:charset w:val="86"/>
    <w:family w:val="auto"/>
    <w:pitch w:val="default"/>
    <w:sig w:usb0="00000000" w:usb1="00000000" w:usb2="00000017"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FA834">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10409">
    <w:pPr>
      <w:pStyle w:val="14"/>
      <w:tabs>
        <w:tab w:val="center" w:pos="4153"/>
        <w:tab w:val="right" w:pos="8306"/>
      </w:tabs>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D02C4">
    <w:pPr>
      <w:pStyle w:val="14"/>
      <w:tabs>
        <w:tab w:val="center" w:pos="4153"/>
        <w:tab w:val="right" w:pos="8306"/>
      </w:tabs>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60E84D">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960E84D">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11894">
    <w:pPr>
      <w:pStyle w:val="14"/>
      <w:tabs>
        <w:tab w:val="center" w:pos="4153"/>
        <w:tab w:val="right" w:pos="8306"/>
      </w:tabs>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BBF147">
                          <w:pPr>
                            <w:pStyle w:val="14"/>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8BBF147">
                    <w:pPr>
                      <w:pStyle w:val="14"/>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1F803">
    <w:pPr>
      <w:pStyle w:val="14"/>
      <w:tabs>
        <w:tab w:val="center" w:pos="4153"/>
        <w:tab w:val="right" w:pos="8306"/>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3A4C3A">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13A4C3A">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46D46">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E86DD9">
                          <w:pPr>
                            <w:pStyle w:val="14"/>
                          </w:pPr>
                          <w:r>
                            <w:fldChar w:fldCharType="begin"/>
                          </w:r>
                          <w:r>
                            <w:instrText xml:space="preserve"> PAGE  \* MERGEFORMAT </w:instrText>
                          </w:r>
                          <w:r>
                            <w:fldChar w:fldCharType="separate"/>
                          </w:r>
                          <w:r>
                            <w:t>126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DE86DD9">
                    <w:pPr>
                      <w:pStyle w:val="14"/>
                    </w:pPr>
                    <w:r>
                      <w:fldChar w:fldCharType="begin"/>
                    </w:r>
                    <w:r>
                      <w:instrText xml:space="preserve"> PAGE  \* MERGEFORMAT </w:instrText>
                    </w:r>
                    <w:r>
                      <w:fldChar w:fldCharType="separate"/>
                    </w:r>
                    <w:r>
                      <w:t>126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32536"/>
    <w:multiLevelType w:val="singleLevel"/>
    <w:tmpl w:val="84E32536"/>
    <w:lvl w:ilvl="0" w:tentative="0">
      <w:start w:val="1"/>
      <w:numFmt w:val="decimal"/>
      <w:suff w:val="nothing"/>
      <w:lvlText w:val="%1．"/>
      <w:lvlJc w:val="left"/>
    </w:lvl>
  </w:abstractNum>
  <w:abstractNum w:abstractNumId="1">
    <w:nsid w:val="91B3F728"/>
    <w:multiLevelType w:val="singleLevel"/>
    <w:tmpl w:val="91B3F728"/>
    <w:lvl w:ilvl="0" w:tentative="0">
      <w:start w:val="2"/>
      <w:numFmt w:val="decimal"/>
      <w:lvlText w:val="%1."/>
      <w:lvlJc w:val="left"/>
      <w:pPr>
        <w:tabs>
          <w:tab w:val="left" w:pos="312"/>
        </w:tabs>
      </w:pPr>
    </w:lvl>
  </w:abstractNum>
  <w:abstractNum w:abstractNumId="2">
    <w:nsid w:val="BFC3A0B7"/>
    <w:multiLevelType w:val="singleLevel"/>
    <w:tmpl w:val="BFC3A0B7"/>
    <w:lvl w:ilvl="0" w:tentative="0">
      <w:start w:val="3"/>
      <w:numFmt w:val="decimal"/>
      <w:suff w:val="space"/>
      <w:lvlText w:val="%1."/>
      <w:lvlJc w:val="left"/>
    </w:lvl>
  </w:abstractNum>
  <w:abstractNum w:abstractNumId="3">
    <w:nsid w:val="C08E5BD3"/>
    <w:multiLevelType w:val="singleLevel"/>
    <w:tmpl w:val="C08E5BD3"/>
    <w:lvl w:ilvl="0" w:tentative="0">
      <w:start w:val="1"/>
      <w:numFmt w:val="decimal"/>
      <w:lvlText w:val="%1."/>
      <w:lvlJc w:val="left"/>
      <w:pPr>
        <w:ind w:left="425" w:hanging="425"/>
      </w:pPr>
      <w:rPr>
        <w:rFonts w:hint="default"/>
      </w:rPr>
    </w:lvl>
  </w:abstractNum>
  <w:abstractNum w:abstractNumId="4">
    <w:nsid w:val="33D2E624"/>
    <w:multiLevelType w:val="singleLevel"/>
    <w:tmpl w:val="33D2E624"/>
    <w:lvl w:ilvl="0" w:tentative="0">
      <w:start w:val="3"/>
      <w:numFmt w:val="chineseCounting"/>
      <w:suff w:val="nothing"/>
      <w:lvlText w:val="%1、"/>
      <w:lvlJc w:val="left"/>
      <w:rPr>
        <w:rFonts w:hint="eastAsia"/>
      </w:rPr>
    </w:lvl>
  </w:abstractNum>
  <w:abstractNum w:abstractNumId="5">
    <w:nsid w:val="64334728"/>
    <w:multiLevelType w:val="multilevel"/>
    <w:tmpl w:val="64334728"/>
    <w:lvl w:ilvl="0" w:tentative="0">
      <w:start w:val="1"/>
      <w:numFmt w:val="decimal"/>
      <w:lvlText w:val="%1、"/>
      <w:lvlJc w:val="left"/>
      <w:pPr>
        <w:tabs>
          <w:tab w:val="left" w:pos="1065"/>
        </w:tabs>
        <w:ind w:left="1065" w:hanging="435"/>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6">
    <w:nsid w:val="7D94ADFA"/>
    <w:multiLevelType w:val="singleLevel"/>
    <w:tmpl w:val="7D94ADFA"/>
    <w:lvl w:ilvl="0" w:tentative="0">
      <w:start w:val="5"/>
      <w:numFmt w:val="decimal"/>
      <w:lvlText w:val="%1."/>
      <w:lvlJc w:val="left"/>
      <w:pPr>
        <w:tabs>
          <w:tab w:val="left" w:pos="312"/>
        </w:tabs>
      </w:pPr>
    </w:lvl>
  </w:abstractNum>
  <w:num w:numId="1">
    <w:abstractNumId w:val="3"/>
  </w:num>
  <w:num w:numId="2">
    <w:abstractNumId w:val="0"/>
  </w:num>
  <w:num w:numId="3">
    <w:abstractNumId w:val="6"/>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VKd3Kc2ybZP5MWm/msIvi2O8FsI=" w:salt="Z/FkR5R6CA0izHuiEUWBT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xMzcxMzNkMjI2MDZlYjUwOWVmOGNkY2Q5NjE5ZjMifQ=="/>
  </w:docVars>
  <w:rsids>
    <w:rsidRoot w:val="109E7F5D"/>
    <w:rsid w:val="0146392C"/>
    <w:rsid w:val="0167511D"/>
    <w:rsid w:val="016C4331"/>
    <w:rsid w:val="04377A52"/>
    <w:rsid w:val="047C4550"/>
    <w:rsid w:val="04ED0D07"/>
    <w:rsid w:val="05283716"/>
    <w:rsid w:val="0555214E"/>
    <w:rsid w:val="056404A0"/>
    <w:rsid w:val="05AE29B2"/>
    <w:rsid w:val="05BC72AC"/>
    <w:rsid w:val="06604E4C"/>
    <w:rsid w:val="068A01DD"/>
    <w:rsid w:val="07174993"/>
    <w:rsid w:val="08E02CC5"/>
    <w:rsid w:val="08E54C37"/>
    <w:rsid w:val="09C81AEC"/>
    <w:rsid w:val="09FE05C0"/>
    <w:rsid w:val="0BF14EDA"/>
    <w:rsid w:val="0C7A253D"/>
    <w:rsid w:val="0D071FCF"/>
    <w:rsid w:val="0D2C3CDA"/>
    <w:rsid w:val="0D5857EF"/>
    <w:rsid w:val="0D5A6872"/>
    <w:rsid w:val="0D7362A5"/>
    <w:rsid w:val="0D7717A5"/>
    <w:rsid w:val="0D82278A"/>
    <w:rsid w:val="0E645822"/>
    <w:rsid w:val="0E797755"/>
    <w:rsid w:val="0EA3552E"/>
    <w:rsid w:val="0EF44175"/>
    <w:rsid w:val="0F2C1D70"/>
    <w:rsid w:val="0F670FFA"/>
    <w:rsid w:val="0F9E2E3C"/>
    <w:rsid w:val="10526803"/>
    <w:rsid w:val="109E7F5D"/>
    <w:rsid w:val="10D94595"/>
    <w:rsid w:val="11FB4122"/>
    <w:rsid w:val="123E24E6"/>
    <w:rsid w:val="1283439D"/>
    <w:rsid w:val="13327380"/>
    <w:rsid w:val="135A2B61"/>
    <w:rsid w:val="136A7C0C"/>
    <w:rsid w:val="13912E4B"/>
    <w:rsid w:val="1411669F"/>
    <w:rsid w:val="143A26C7"/>
    <w:rsid w:val="14E557B8"/>
    <w:rsid w:val="15424B6D"/>
    <w:rsid w:val="15E10FC5"/>
    <w:rsid w:val="161642F0"/>
    <w:rsid w:val="16A11295"/>
    <w:rsid w:val="18211E42"/>
    <w:rsid w:val="18316114"/>
    <w:rsid w:val="187F4775"/>
    <w:rsid w:val="189D2FC8"/>
    <w:rsid w:val="19257F5C"/>
    <w:rsid w:val="1A357C45"/>
    <w:rsid w:val="1A6F2B62"/>
    <w:rsid w:val="1ABA1213"/>
    <w:rsid w:val="1AFB25FD"/>
    <w:rsid w:val="1B3A75C2"/>
    <w:rsid w:val="1BC44D83"/>
    <w:rsid w:val="1C330A15"/>
    <w:rsid w:val="1C33298F"/>
    <w:rsid w:val="1E91399D"/>
    <w:rsid w:val="1F1617FC"/>
    <w:rsid w:val="1FDB0E53"/>
    <w:rsid w:val="210A10A9"/>
    <w:rsid w:val="21402E17"/>
    <w:rsid w:val="217041B3"/>
    <w:rsid w:val="217E2179"/>
    <w:rsid w:val="22941CAE"/>
    <w:rsid w:val="236773C3"/>
    <w:rsid w:val="238B30B1"/>
    <w:rsid w:val="245E2574"/>
    <w:rsid w:val="24867886"/>
    <w:rsid w:val="24C525F3"/>
    <w:rsid w:val="24CB4284"/>
    <w:rsid w:val="25E2005A"/>
    <w:rsid w:val="260C637D"/>
    <w:rsid w:val="260D506B"/>
    <w:rsid w:val="269249E2"/>
    <w:rsid w:val="26940F9E"/>
    <w:rsid w:val="2763525C"/>
    <w:rsid w:val="285869F6"/>
    <w:rsid w:val="28CB1D1E"/>
    <w:rsid w:val="290A4A78"/>
    <w:rsid w:val="29347D47"/>
    <w:rsid w:val="29A0718A"/>
    <w:rsid w:val="2A825F9D"/>
    <w:rsid w:val="2B604598"/>
    <w:rsid w:val="2B9D6077"/>
    <w:rsid w:val="2BDA0AD2"/>
    <w:rsid w:val="2D8B5A6B"/>
    <w:rsid w:val="2D952400"/>
    <w:rsid w:val="2E7E4A50"/>
    <w:rsid w:val="2F0C44D9"/>
    <w:rsid w:val="2F30293F"/>
    <w:rsid w:val="2F6F5785"/>
    <w:rsid w:val="2F794705"/>
    <w:rsid w:val="2F9C21A2"/>
    <w:rsid w:val="2FE12B15"/>
    <w:rsid w:val="301F4194"/>
    <w:rsid w:val="302202B4"/>
    <w:rsid w:val="30586A11"/>
    <w:rsid w:val="306D09F6"/>
    <w:rsid w:val="309A1B0B"/>
    <w:rsid w:val="30FB0FBA"/>
    <w:rsid w:val="30FE7DB5"/>
    <w:rsid w:val="312D1193"/>
    <w:rsid w:val="3281224F"/>
    <w:rsid w:val="332116F0"/>
    <w:rsid w:val="33726B5D"/>
    <w:rsid w:val="344A1390"/>
    <w:rsid w:val="35151DC2"/>
    <w:rsid w:val="358F5BF0"/>
    <w:rsid w:val="36DF7544"/>
    <w:rsid w:val="36FF0EB7"/>
    <w:rsid w:val="37284B97"/>
    <w:rsid w:val="373C3BA7"/>
    <w:rsid w:val="37564D7A"/>
    <w:rsid w:val="3788694D"/>
    <w:rsid w:val="37BD09EA"/>
    <w:rsid w:val="37C32872"/>
    <w:rsid w:val="388678D9"/>
    <w:rsid w:val="38DF5E2F"/>
    <w:rsid w:val="3924419F"/>
    <w:rsid w:val="397C76EC"/>
    <w:rsid w:val="39E03896"/>
    <w:rsid w:val="39E40D3C"/>
    <w:rsid w:val="3A9E7716"/>
    <w:rsid w:val="3AE15B6B"/>
    <w:rsid w:val="3AF55768"/>
    <w:rsid w:val="3B091009"/>
    <w:rsid w:val="3B0C28D2"/>
    <w:rsid w:val="3B4674A2"/>
    <w:rsid w:val="3B806A12"/>
    <w:rsid w:val="3B8B032E"/>
    <w:rsid w:val="3C074E47"/>
    <w:rsid w:val="3C265C15"/>
    <w:rsid w:val="3C2B6908"/>
    <w:rsid w:val="3C3C0F95"/>
    <w:rsid w:val="3C7572B9"/>
    <w:rsid w:val="3D3B749E"/>
    <w:rsid w:val="3D9318FB"/>
    <w:rsid w:val="3DD65243"/>
    <w:rsid w:val="3DF53169"/>
    <w:rsid w:val="3F824221"/>
    <w:rsid w:val="40A23390"/>
    <w:rsid w:val="40E13EB9"/>
    <w:rsid w:val="42A02C26"/>
    <w:rsid w:val="42BA0E65"/>
    <w:rsid w:val="42D02437"/>
    <w:rsid w:val="42F63720"/>
    <w:rsid w:val="432F3960"/>
    <w:rsid w:val="43641712"/>
    <w:rsid w:val="44092D88"/>
    <w:rsid w:val="44AD6ED3"/>
    <w:rsid w:val="44C26E74"/>
    <w:rsid w:val="44D07056"/>
    <w:rsid w:val="44F062F7"/>
    <w:rsid w:val="46C454CA"/>
    <w:rsid w:val="47FC0DB5"/>
    <w:rsid w:val="480A5FB4"/>
    <w:rsid w:val="48513CEC"/>
    <w:rsid w:val="48755A36"/>
    <w:rsid w:val="49282FCC"/>
    <w:rsid w:val="49C861A9"/>
    <w:rsid w:val="4A183041"/>
    <w:rsid w:val="4A6A4F1F"/>
    <w:rsid w:val="4AE340A0"/>
    <w:rsid w:val="4AF2548D"/>
    <w:rsid w:val="4B2E23F0"/>
    <w:rsid w:val="4BE015FA"/>
    <w:rsid w:val="4BE96C9A"/>
    <w:rsid w:val="4C0010D8"/>
    <w:rsid w:val="4C3F4E06"/>
    <w:rsid w:val="4C450BC4"/>
    <w:rsid w:val="4C6B32C4"/>
    <w:rsid w:val="4C714E75"/>
    <w:rsid w:val="4CB0462C"/>
    <w:rsid w:val="4E195943"/>
    <w:rsid w:val="4E3F4F66"/>
    <w:rsid w:val="4E7B05CC"/>
    <w:rsid w:val="4EA03209"/>
    <w:rsid w:val="502624B5"/>
    <w:rsid w:val="50900CEC"/>
    <w:rsid w:val="50A15412"/>
    <w:rsid w:val="50AE6CE7"/>
    <w:rsid w:val="516201A5"/>
    <w:rsid w:val="52304CA0"/>
    <w:rsid w:val="524D6706"/>
    <w:rsid w:val="529911CF"/>
    <w:rsid w:val="535B4141"/>
    <w:rsid w:val="54047AC0"/>
    <w:rsid w:val="54930741"/>
    <w:rsid w:val="54D53860"/>
    <w:rsid w:val="55C84191"/>
    <w:rsid w:val="55D25CF5"/>
    <w:rsid w:val="55EB09B2"/>
    <w:rsid w:val="56503C3D"/>
    <w:rsid w:val="568C7275"/>
    <w:rsid w:val="570D3802"/>
    <w:rsid w:val="57113981"/>
    <w:rsid w:val="57192232"/>
    <w:rsid w:val="573878F3"/>
    <w:rsid w:val="578C4941"/>
    <w:rsid w:val="582C3FCC"/>
    <w:rsid w:val="58474D51"/>
    <w:rsid w:val="58A52424"/>
    <w:rsid w:val="5932703B"/>
    <w:rsid w:val="59605E6B"/>
    <w:rsid w:val="59A3669B"/>
    <w:rsid w:val="5A203F0F"/>
    <w:rsid w:val="5A753B98"/>
    <w:rsid w:val="5AEC5896"/>
    <w:rsid w:val="5B12588A"/>
    <w:rsid w:val="5B1C4013"/>
    <w:rsid w:val="5B4C0FC2"/>
    <w:rsid w:val="5B706BB5"/>
    <w:rsid w:val="5B8B59C3"/>
    <w:rsid w:val="5B993C33"/>
    <w:rsid w:val="5BA54992"/>
    <w:rsid w:val="5C6428E1"/>
    <w:rsid w:val="5D9872B5"/>
    <w:rsid w:val="5D9F3769"/>
    <w:rsid w:val="5DB449D7"/>
    <w:rsid w:val="5DDD1290"/>
    <w:rsid w:val="5DDE70AE"/>
    <w:rsid w:val="5E215F9B"/>
    <w:rsid w:val="5E817BA2"/>
    <w:rsid w:val="5E9A1E1F"/>
    <w:rsid w:val="5F440FE2"/>
    <w:rsid w:val="5F556B40"/>
    <w:rsid w:val="5F8A1A6C"/>
    <w:rsid w:val="600C6024"/>
    <w:rsid w:val="60C44DAC"/>
    <w:rsid w:val="613D62CD"/>
    <w:rsid w:val="61BF360C"/>
    <w:rsid w:val="62032009"/>
    <w:rsid w:val="6275687F"/>
    <w:rsid w:val="62FF4946"/>
    <w:rsid w:val="63636DBE"/>
    <w:rsid w:val="640815D9"/>
    <w:rsid w:val="646332EF"/>
    <w:rsid w:val="64CB3E9A"/>
    <w:rsid w:val="64DB1D80"/>
    <w:rsid w:val="65053876"/>
    <w:rsid w:val="652245DC"/>
    <w:rsid w:val="65851029"/>
    <w:rsid w:val="65F86668"/>
    <w:rsid w:val="66A4300B"/>
    <w:rsid w:val="66AB0A26"/>
    <w:rsid w:val="66CD035B"/>
    <w:rsid w:val="676D24BC"/>
    <w:rsid w:val="67EA4979"/>
    <w:rsid w:val="68387D64"/>
    <w:rsid w:val="68D20407"/>
    <w:rsid w:val="691C093F"/>
    <w:rsid w:val="696F58A5"/>
    <w:rsid w:val="697274F4"/>
    <w:rsid w:val="697F63FF"/>
    <w:rsid w:val="6994390F"/>
    <w:rsid w:val="69EA2BD4"/>
    <w:rsid w:val="6A6D08D3"/>
    <w:rsid w:val="6BB4664D"/>
    <w:rsid w:val="6C0D0F9F"/>
    <w:rsid w:val="6C6677E4"/>
    <w:rsid w:val="6E1D3ED3"/>
    <w:rsid w:val="6E69536A"/>
    <w:rsid w:val="6FC614C4"/>
    <w:rsid w:val="6FFE5F86"/>
    <w:rsid w:val="700A66D9"/>
    <w:rsid w:val="70223A22"/>
    <w:rsid w:val="70BD653B"/>
    <w:rsid w:val="717E5165"/>
    <w:rsid w:val="71E14BC5"/>
    <w:rsid w:val="72105ED8"/>
    <w:rsid w:val="72697A37"/>
    <w:rsid w:val="72B63B74"/>
    <w:rsid w:val="732E31FC"/>
    <w:rsid w:val="737775A1"/>
    <w:rsid w:val="73972065"/>
    <w:rsid w:val="739F3D64"/>
    <w:rsid w:val="73B01345"/>
    <w:rsid w:val="74464F59"/>
    <w:rsid w:val="74E42AB4"/>
    <w:rsid w:val="76C021E7"/>
    <w:rsid w:val="76CE66B2"/>
    <w:rsid w:val="77D3065E"/>
    <w:rsid w:val="7824321F"/>
    <w:rsid w:val="794D3566"/>
    <w:rsid w:val="79F3650F"/>
    <w:rsid w:val="7A412AB0"/>
    <w:rsid w:val="7A8D1125"/>
    <w:rsid w:val="7A8E7600"/>
    <w:rsid w:val="7AC22BC6"/>
    <w:rsid w:val="7AE75C03"/>
    <w:rsid w:val="7AF644A8"/>
    <w:rsid w:val="7B4C2625"/>
    <w:rsid w:val="7BC12142"/>
    <w:rsid w:val="7C521773"/>
    <w:rsid w:val="7C5D2A17"/>
    <w:rsid w:val="7D5207C0"/>
    <w:rsid w:val="7D983576"/>
    <w:rsid w:val="7DF804B8"/>
    <w:rsid w:val="7E6478FC"/>
    <w:rsid w:val="7F3B3790"/>
    <w:rsid w:val="7F5F40FF"/>
    <w:rsid w:val="7F786826"/>
    <w:rsid w:val="7FA576BD"/>
    <w:rsid w:val="7FB8311B"/>
    <w:rsid w:val="7FC33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rFonts w:ascii="Calibri" w:hAnsi="Calibri"/>
      <w:b/>
      <w:bCs/>
      <w:kern w:val="44"/>
      <w:sz w:val="44"/>
      <w:szCs w:val="44"/>
    </w:rPr>
  </w:style>
  <w:style w:type="paragraph" w:styleId="2">
    <w:name w:val="heading 2"/>
    <w:basedOn w:val="1"/>
    <w:next w:val="1"/>
    <w:autoRedefine/>
    <w:qFormat/>
    <w:uiPriority w:val="99"/>
    <w:pPr>
      <w:keepNext/>
      <w:keepLines/>
      <w:spacing w:before="100" w:beforeAutospacing="1" w:after="100" w:afterAutospacing="1" w:line="240" w:lineRule="atLeast"/>
      <w:ind w:left="851" w:hanging="284"/>
      <w:textAlignment w:val="baseline"/>
      <w:outlineLvl w:val="1"/>
    </w:pPr>
    <w:rPr>
      <w:rFonts w:ascii="黑体" w:hAnsi="Arial" w:eastAsia="黑体"/>
      <w:kern w:val="0"/>
      <w:sz w:val="28"/>
      <w:szCs w:val="28"/>
    </w:rPr>
  </w:style>
  <w:style w:type="paragraph" w:styleId="4">
    <w:name w:val="heading 3"/>
    <w:basedOn w:val="1"/>
    <w:next w:val="1"/>
    <w:autoRedefine/>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3">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6"/>
    <w:autoRedefine/>
    <w:unhideWhenUsed/>
    <w:qFormat/>
    <w:uiPriority w:val="99"/>
    <w:pPr>
      <w:ind w:firstLine="420"/>
    </w:pPr>
    <w:rPr>
      <w:sz w:val="28"/>
      <w:szCs w:val="28"/>
    </w:rPr>
  </w:style>
  <w:style w:type="paragraph" w:styleId="6">
    <w:name w:val="Body Text 2"/>
    <w:basedOn w:val="1"/>
    <w:next w:val="7"/>
    <w:autoRedefine/>
    <w:qFormat/>
    <w:uiPriority w:val="99"/>
    <w:pPr>
      <w:spacing w:line="900" w:lineRule="exact"/>
      <w:jc w:val="center"/>
    </w:pPr>
    <w:rPr>
      <w:rFonts w:eastAsia="楷体_GB2312"/>
      <w:b/>
      <w:bCs/>
      <w:sz w:val="36"/>
      <w:szCs w:val="36"/>
    </w:rPr>
  </w:style>
  <w:style w:type="paragraph" w:styleId="7">
    <w:name w:val="Body Text"/>
    <w:basedOn w:val="1"/>
    <w:next w:val="6"/>
    <w:autoRedefine/>
    <w:unhideWhenUsed/>
    <w:qFormat/>
    <w:uiPriority w:val="99"/>
    <w:pPr>
      <w:spacing w:after="120"/>
    </w:pPr>
    <w:rPr>
      <w:kern w:val="0"/>
      <w:sz w:val="20"/>
    </w:rPr>
  </w:style>
  <w:style w:type="paragraph" w:styleId="8">
    <w:name w:val="Body Text 3"/>
    <w:basedOn w:val="1"/>
    <w:qFormat/>
    <w:uiPriority w:val="0"/>
    <w:rPr>
      <w:rFonts w:ascii="宋体"/>
      <w:sz w:val="24"/>
      <w:szCs w:val="20"/>
    </w:rPr>
  </w:style>
  <w:style w:type="paragraph" w:styleId="9">
    <w:name w:val="Body Text Indent"/>
    <w:basedOn w:val="1"/>
    <w:next w:val="10"/>
    <w:autoRedefine/>
    <w:qFormat/>
    <w:uiPriority w:val="0"/>
    <w:pPr>
      <w:adjustRightInd w:val="0"/>
      <w:spacing w:after="120" w:line="360" w:lineRule="atLeast"/>
      <w:ind w:left="420" w:leftChars="200"/>
      <w:jc w:val="left"/>
      <w:textAlignment w:val="baseline"/>
    </w:pPr>
    <w:rPr>
      <w:sz w:val="24"/>
    </w:rPr>
  </w:style>
  <w:style w:type="paragraph" w:styleId="10">
    <w:name w:val="envelope return"/>
    <w:basedOn w:val="1"/>
    <w:autoRedefine/>
    <w:unhideWhenUsed/>
    <w:qFormat/>
    <w:uiPriority w:val="99"/>
    <w:pPr>
      <w:snapToGrid w:val="0"/>
    </w:pPr>
    <w:rPr>
      <w:rFonts w:ascii="等线 Light" w:hAnsi="等线 Light" w:eastAsia="等线 Light" w:cs="Times New Roman"/>
    </w:rPr>
  </w:style>
  <w:style w:type="paragraph" w:styleId="11">
    <w:name w:val="toc 3"/>
    <w:basedOn w:val="1"/>
    <w:next w:val="1"/>
    <w:qFormat/>
    <w:uiPriority w:val="0"/>
    <w:pPr>
      <w:ind w:left="840" w:leftChars="400"/>
    </w:pPr>
  </w:style>
  <w:style w:type="paragraph" w:styleId="12">
    <w:name w:val="Plain Text"/>
    <w:basedOn w:val="1"/>
    <w:autoRedefine/>
    <w:qFormat/>
    <w:uiPriority w:val="99"/>
    <w:pPr>
      <w:adjustRightInd w:val="0"/>
      <w:textAlignment w:val="baseline"/>
    </w:pPr>
    <w:rPr>
      <w:rFonts w:ascii="宋体" w:hAnsi="Courier New"/>
      <w:kern w:val="0"/>
      <w:sz w:val="20"/>
      <w:szCs w:val="20"/>
    </w:rPr>
  </w:style>
  <w:style w:type="paragraph" w:styleId="13">
    <w:name w:val="Date"/>
    <w:basedOn w:val="1"/>
    <w:next w:val="1"/>
    <w:autoRedefine/>
    <w:unhideWhenUsed/>
    <w:qFormat/>
    <w:uiPriority w:val="99"/>
    <w:rPr>
      <w:rFonts w:ascii="宋体" w:hAnsi="宋体"/>
      <w:kern w:val="0"/>
      <w:sz w:val="32"/>
      <w:szCs w:val="32"/>
    </w:rPr>
  </w:style>
  <w:style w:type="paragraph" w:styleId="14">
    <w:name w:val="footer"/>
    <w:basedOn w:val="1"/>
    <w:autoRedefine/>
    <w:unhideWhenUsed/>
    <w:qFormat/>
    <w:uiPriority w:val="0"/>
    <w:pPr>
      <w:snapToGrid w:val="0"/>
      <w:jc w:val="left"/>
    </w:pPr>
    <w:rPr>
      <w:kern w:val="0"/>
      <w:sz w:val="18"/>
      <w:szCs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Normal (Web)"/>
    <w:basedOn w:val="1"/>
    <w:next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9">
    <w:name w:val="Body Text First Indent"/>
    <w:basedOn w:val="7"/>
    <w:next w:val="20"/>
    <w:autoRedefine/>
    <w:unhideWhenUsed/>
    <w:qFormat/>
    <w:uiPriority w:val="99"/>
    <w:pPr>
      <w:ind w:firstLine="420" w:firstLineChars="100"/>
    </w:pPr>
  </w:style>
  <w:style w:type="paragraph" w:styleId="20">
    <w:name w:val="Body Text First Indent 2"/>
    <w:basedOn w:val="9"/>
    <w:next w:val="1"/>
    <w:autoRedefine/>
    <w:qFormat/>
    <w:uiPriority w:val="0"/>
    <w:pPr>
      <w:ind w:firstLine="420" w:firstLineChars="200"/>
    </w:pPr>
    <w:rPr>
      <w:sz w:val="21"/>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bCs/>
    </w:rPr>
  </w:style>
  <w:style w:type="character" w:styleId="25">
    <w:name w:val="FollowedHyperlink"/>
    <w:basedOn w:val="23"/>
    <w:autoRedefine/>
    <w:qFormat/>
    <w:uiPriority w:val="0"/>
    <w:rPr>
      <w:color w:val="800080"/>
      <w:u w:val="none"/>
    </w:rPr>
  </w:style>
  <w:style w:type="character" w:styleId="26">
    <w:name w:val="Emphasis"/>
    <w:basedOn w:val="23"/>
    <w:autoRedefine/>
    <w:qFormat/>
    <w:uiPriority w:val="0"/>
    <w:rPr>
      <w:b/>
      <w:bCs/>
    </w:rPr>
  </w:style>
  <w:style w:type="character" w:styleId="27">
    <w:name w:val="HTML Definition"/>
    <w:basedOn w:val="23"/>
    <w:autoRedefine/>
    <w:qFormat/>
    <w:uiPriority w:val="0"/>
  </w:style>
  <w:style w:type="character" w:styleId="28">
    <w:name w:val="HTML Typewriter"/>
    <w:basedOn w:val="23"/>
    <w:autoRedefine/>
    <w:qFormat/>
    <w:uiPriority w:val="0"/>
    <w:rPr>
      <w:rFonts w:hint="default" w:ascii="monospace" w:hAnsi="monospace" w:eastAsia="monospace" w:cs="monospace"/>
      <w:sz w:val="20"/>
    </w:rPr>
  </w:style>
  <w:style w:type="character" w:styleId="29">
    <w:name w:val="HTML Acronym"/>
    <w:basedOn w:val="23"/>
    <w:autoRedefine/>
    <w:qFormat/>
    <w:uiPriority w:val="0"/>
  </w:style>
  <w:style w:type="character" w:styleId="30">
    <w:name w:val="HTML Variable"/>
    <w:basedOn w:val="23"/>
    <w:autoRedefine/>
    <w:qFormat/>
    <w:uiPriority w:val="0"/>
  </w:style>
  <w:style w:type="character" w:styleId="31">
    <w:name w:val="Hyperlink"/>
    <w:autoRedefine/>
    <w:unhideWhenUsed/>
    <w:qFormat/>
    <w:uiPriority w:val="99"/>
    <w:rPr>
      <w:color w:val="0000FF"/>
      <w:u w:val="single"/>
    </w:rPr>
  </w:style>
  <w:style w:type="character" w:styleId="32">
    <w:name w:val="HTML Code"/>
    <w:basedOn w:val="23"/>
    <w:autoRedefine/>
    <w:qFormat/>
    <w:uiPriority w:val="0"/>
    <w:rPr>
      <w:rFonts w:ascii="monospace" w:hAnsi="monospace" w:eastAsia="monospace" w:cs="monospace"/>
      <w:sz w:val="20"/>
    </w:rPr>
  </w:style>
  <w:style w:type="character" w:styleId="33">
    <w:name w:val="annotation reference"/>
    <w:basedOn w:val="23"/>
    <w:autoRedefine/>
    <w:semiHidden/>
    <w:unhideWhenUsed/>
    <w:qFormat/>
    <w:uiPriority w:val="99"/>
    <w:rPr>
      <w:sz w:val="21"/>
      <w:szCs w:val="21"/>
    </w:rPr>
  </w:style>
  <w:style w:type="character" w:styleId="34">
    <w:name w:val="HTML Cite"/>
    <w:basedOn w:val="23"/>
    <w:autoRedefine/>
    <w:qFormat/>
    <w:uiPriority w:val="0"/>
  </w:style>
  <w:style w:type="character" w:styleId="35">
    <w:name w:val="HTML Keyboard"/>
    <w:basedOn w:val="23"/>
    <w:autoRedefine/>
    <w:qFormat/>
    <w:uiPriority w:val="0"/>
    <w:rPr>
      <w:rFonts w:hint="default" w:ascii="monospace" w:hAnsi="monospace" w:eastAsia="monospace" w:cs="monospace"/>
      <w:sz w:val="20"/>
    </w:rPr>
  </w:style>
  <w:style w:type="character" w:styleId="36">
    <w:name w:val="HTML Sample"/>
    <w:basedOn w:val="23"/>
    <w:autoRedefine/>
    <w:qFormat/>
    <w:uiPriority w:val="0"/>
    <w:rPr>
      <w:rFonts w:hint="default" w:ascii="monospace" w:hAnsi="monospace" w:eastAsia="monospace" w:cs="monospace"/>
    </w:rPr>
  </w:style>
  <w:style w:type="paragraph" w:customStyle="1" w:styleId="37">
    <w:name w:val="Default"/>
    <w:qFormat/>
    <w:uiPriority w:val="0"/>
    <w:pPr>
      <w:widowControl w:val="0"/>
      <w:autoSpaceDE w:val="0"/>
      <w:autoSpaceDN w:val="0"/>
      <w:adjustRightInd w:val="0"/>
      <w:ind w:firstLine="360"/>
    </w:pPr>
    <w:rPr>
      <w:rFonts w:ascii="宋体" w:hAnsi="Times New Roman" w:eastAsia="宋体" w:cs="宋体"/>
      <w:color w:val="000000"/>
      <w:sz w:val="24"/>
      <w:szCs w:val="24"/>
      <w:lang w:val="en-US" w:eastAsia="zh-CN" w:bidi="ar-SA"/>
    </w:rPr>
  </w:style>
  <w:style w:type="paragraph" w:customStyle="1" w:styleId="38">
    <w:name w:val="Blockquote"/>
    <w:basedOn w:val="1"/>
    <w:next w:val="1"/>
    <w:autoRedefine/>
    <w:qFormat/>
    <w:uiPriority w:val="99"/>
    <w:pPr>
      <w:widowControl w:val="0"/>
      <w:autoSpaceDE w:val="0"/>
      <w:autoSpaceDN w:val="0"/>
      <w:adjustRightInd w:val="0"/>
      <w:spacing w:before="100" w:after="100" w:line="240" w:lineRule="auto"/>
      <w:ind w:left="360" w:right="360"/>
    </w:pPr>
    <w:rPr>
      <w:color w:val="auto"/>
      <w:sz w:val="24"/>
    </w:rPr>
  </w:style>
  <w:style w:type="paragraph" w:customStyle="1" w:styleId="39">
    <w:name w:val="_Style 114"/>
    <w:basedOn w:val="7"/>
    <w:next w:val="19"/>
    <w:autoRedefine/>
    <w:unhideWhenUsed/>
    <w:qFormat/>
    <w:uiPriority w:val="99"/>
    <w:pPr>
      <w:ind w:firstLine="420" w:firstLineChars="100"/>
    </w:pPr>
    <w:rPr>
      <w:szCs w:val="20"/>
    </w:rPr>
  </w:style>
  <w:style w:type="paragraph" w:customStyle="1" w:styleId="40">
    <w:name w:val="列出段落1"/>
    <w:basedOn w:val="1"/>
    <w:autoRedefine/>
    <w:qFormat/>
    <w:uiPriority w:val="34"/>
    <w:pPr>
      <w:ind w:firstLine="420" w:firstLineChars="200"/>
    </w:pPr>
    <w:rPr>
      <w:rFonts w:ascii="Calibri" w:hAnsi="Calibri"/>
    </w:rPr>
  </w:style>
  <w:style w:type="paragraph" w:customStyle="1" w:styleId="41">
    <w:name w:val="a0"/>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42">
    <w:name w:val="layui-layer-tabnow"/>
    <w:basedOn w:val="23"/>
    <w:autoRedefine/>
    <w:qFormat/>
    <w:uiPriority w:val="0"/>
    <w:rPr>
      <w:bdr w:val="single" w:color="CCCCCC" w:sz="6" w:space="0"/>
      <w:shd w:val="clear" w:fill="FFFFFF"/>
    </w:rPr>
  </w:style>
  <w:style w:type="character" w:customStyle="1" w:styleId="43">
    <w:name w:val="first-child"/>
    <w:basedOn w:val="23"/>
    <w:autoRedefine/>
    <w:qFormat/>
    <w:uiPriority w:val="0"/>
  </w:style>
  <w:style w:type="character" w:customStyle="1" w:styleId="44">
    <w:name w:val="xiadan"/>
    <w:basedOn w:val="23"/>
    <w:autoRedefine/>
    <w:qFormat/>
    <w:uiPriority w:val="0"/>
    <w:rPr>
      <w:shd w:val="clear" w:fill="E4393C"/>
    </w:rPr>
  </w:style>
  <w:style w:type="character" w:customStyle="1" w:styleId="45">
    <w:name w:val="fr"/>
    <w:basedOn w:val="23"/>
    <w:autoRedefine/>
    <w:qFormat/>
    <w:uiPriority w:val="0"/>
  </w:style>
  <w:style w:type="character" w:customStyle="1" w:styleId="46">
    <w:name w:val="first-child1"/>
    <w:basedOn w:val="23"/>
    <w:autoRedefine/>
    <w:qFormat/>
    <w:uiPriority w:val="0"/>
    <w:rPr>
      <w:color w:val="1F3149"/>
      <w:sz w:val="24"/>
      <w:szCs w:val="24"/>
    </w:rPr>
  </w:style>
  <w:style w:type="character" w:customStyle="1" w:styleId="47">
    <w:name w:val="icon_gys"/>
    <w:basedOn w:val="23"/>
    <w:autoRedefine/>
    <w:qFormat/>
    <w:uiPriority w:val="0"/>
    <w:rPr>
      <w:sz w:val="21"/>
      <w:szCs w:val="21"/>
    </w:rPr>
  </w:style>
  <w:style w:type="character" w:customStyle="1" w:styleId="48">
    <w:name w:val="icon_ds"/>
    <w:basedOn w:val="23"/>
    <w:autoRedefine/>
    <w:qFormat/>
    <w:uiPriority w:val="0"/>
  </w:style>
  <w:style w:type="character" w:customStyle="1" w:styleId="49">
    <w:name w:val="icon_ds1"/>
    <w:basedOn w:val="23"/>
    <w:autoRedefine/>
    <w:qFormat/>
    <w:uiPriority w:val="0"/>
    <w:rPr>
      <w:sz w:val="21"/>
      <w:szCs w:val="21"/>
    </w:rPr>
  </w:style>
  <w:style w:type="character" w:customStyle="1" w:styleId="50">
    <w:name w:val="hover1"/>
    <w:basedOn w:val="23"/>
    <w:autoRedefine/>
    <w:qFormat/>
    <w:uiPriority w:val="0"/>
  </w:style>
  <w:style w:type="character" w:customStyle="1" w:styleId="51">
    <w:name w:val="hover2"/>
    <w:basedOn w:val="23"/>
    <w:autoRedefine/>
    <w:qFormat/>
    <w:uiPriority w:val="0"/>
    <w:rPr>
      <w:color w:val="2590EB"/>
    </w:rPr>
  </w:style>
  <w:style w:type="character" w:customStyle="1" w:styleId="52">
    <w:name w:val="hover3"/>
    <w:basedOn w:val="23"/>
    <w:autoRedefine/>
    <w:qFormat/>
    <w:uiPriority w:val="0"/>
    <w:rPr>
      <w:color w:val="2590EB"/>
    </w:rPr>
  </w:style>
  <w:style w:type="character" w:customStyle="1" w:styleId="53">
    <w:name w:val="mini-outputtext1"/>
    <w:basedOn w:val="23"/>
    <w:autoRedefine/>
    <w:qFormat/>
    <w:uiPriority w:val="0"/>
  </w:style>
  <w:style w:type="character" w:customStyle="1" w:styleId="54">
    <w:name w:val="first-child2"/>
    <w:basedOn w:val="23"/>
    <w:autoRedefine/>
    <w:qFormat/>
    <w:uiPriority w:val="0"/>
    <w:rPr>
      <w:color w:val="1F3149"/>
      <w:sz w:val="24"/>
      <w:szCs w:val="24"/>
    </w:rPr>
  </w:style>
  <w:style w:type="paragraph" w:styleId="55">
    <w:name w:val="List Paragraph"/>
    <w:basedOn w:val="1"/>
    <w:autoRedefine/>
    <w:qFormat/>
    <w:uiPriority w:val="34"/>
    <w:pPr>
      <w:ind w:firstLine="420" w:firstLineChars="200"/>
    </w:pPr>
    <w:rPr>
      <w:rFonts w:ascii="Calibri" w:hAnsi="Calibri"/>
      <w:szCs w:val="22"/>
    </w:rPr>
  </w:style>
  <w:style w:type="paragraph" w:customStyle="1" w:styleId="56">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57">
    <w:name w:val="正文格式"/>
    <w:autoRedefine/>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58">
    <w:name w:val="List Paragraph_33527ac6-d90d-4dad-b489-6b3388008c3f"/>
    <w:basedOn w:val="1"/>
    <w:autoRedefine/>
    <w:qFormat/>
    <w:uiPriority w:val="0"/>
    <w:pPr>
      <w:ind w:firstLine="420" w:firstLineChars="200"/>
    </w:pPr>
    <w:rPr>
      <w:rFonts w:ascii="Calibri" w:hAnsi="Calibri" w:eastAsia="宋体" w:cs="Times New Roman"/>
    </w:rPr>
  </w:style>
  <w:style w:type="character" w:customStyle="1" w:styleId="59">
    <w:name w:val="font11"/>
    <w:basedOn w:val="23"/>
    <w:autoRedefine/>
    <w:qFormat/>
    <w:uiPriority w:val="0"/>
    <w:rPr>
      <w:rFonts w:hint="eastAsia" w:ascii="宋体" w:hAnsi="宋体" w:eastAsia="宋体" w:cs="宋体"/>
      <w:color w:val="000000"/>
      <w:sz w:val="22"/>
      <w:szCs w:val="22"/>
      <w:u w:val="none"/>
    </w:rPr>
  </w:style>
  <w:style w:type="character" w:customStyle="1" w:styleId="60">
    <w:name w:val="font51"/>
    <w:basedOn w:val="23"/>
    <w:qFormat/>
    <w:uiPriority w:val="0"/>
    <w:rPr>
      <w:rFonts w:hint="eastAsia" w:ascii="宋体" w:hAnsi="宋体" w:eastAsia="宋体" w:cs="宋体"/>
      <w:b/>
      <w:bCs/>
      <w:color w:val="000000"/>
      <w:sz w:val="20"/>
      <w:szCs w:val="20"/>
      <w:u w:val="none"/>
    </w:rPr>
  </w:style>
  <w:style w:type="character" w:customStyle="1" w:styleId="61">
    <w:name w:val="font31"/>
    <w:basedOn w:val="23"/>
    <w:qFormat/>
    <w:uiPriority w:val="0"/>
    <w:rPr>
      <w:rFonts w:hint="eastAsia" w:ascii="宋体" w:hAnsi="宋体" w:eastAsia="宋体" w:cs="宋体"/>
      <w:color w:val="000000"/>
      <w:sz w:val="20"/>
      <w:szCs w:val="20"/>
      <w:u w:val="none"/>
    </w:rPr>
  </w:style>
  <w:style w:type="character" w:customStyle="1" w:styleId="62">
    <w:name w:val="font21"/>
    <w:basedOn w:val="23"/>
    <w:qFormat/>
    <w:uiPriority w:val="0"/>
    <w:rPr>
      <w:rFonts w:hint="eastAsia" w:ascii="宋体" w:hAnsi="宋体" w:eastAsia="宋体" w:cs="宋体"/>
      <w:color w:val="000000"/>
      <w:sz w:val="20"/>
      <w:szCs w:val="20"/>
      <w:u w:val="none"/>
    </w:rPr>
  </w:style>
  <w:style w:type="character" w:customStyle="1" w:styleId="63">
    <w:name w:val="hover"/>
    <w:basedOn w:val="23"/>
    <w:qFormat/>
    <w:uiPriority w:val="0"/>
    <w:rPr>
      <w:color w:val="2590EB"/>
    </w:rPr>
  </w:style>
  <w:style w:type="character" w:customStyle="1" w:styleId="64">
    <w:name w:val="hover18"/>
    <w:basedOn w:val="23"/>
    <w:qFormat/>
    <w:uiPriority w:val="0"/>
  </w:style>
  <w:style w:type="paragraph" w:customStyle="1" w:styleId="65">
    <w:name w:val="Table Text"/>
    <w:basedOn w:val="1"/>
    <w:semiHidden/>
    <w:qFormat/>
    <w:uiPriority w:val="0"/>
    <w:rPr>
      <w:rFonts w:ascii="PingFang SC" w:hAnsi="PingFang SC" w:eastAsia="PingFang SC" w:cs="PingFang SC"/>
      <w:sz w:val="24"/>
      <w:szCs w:val="24"/>
      <w:lang w:val="en-US" w:eastAsia="en-US" w:bidi="ar-SA"/>
    </w:rPr>
  </w:style>
  <w:style w:type="paragraph" w:customStyle="1" w:styleId="66">
    <w:name w:val="DAS正文"/>
    <w:basedOn w:val="1"/>
    <w:qFormat/>
    <w:uiPriority w:val="0"/>
    <w:pPr>
      <w:ind w:right="181" w:firstLine="480" w:firstLineChars="200"/>
    </w:pPr>
    <w:rPr>
      <w:rFonts w:ascii="Verdana" w:hAnsi="Verdana"/>
    </w:rPr>
  </w:style>
  <w:style w:type="paragraph" w:customStyle="1" w:styleId="67">
    <w:name w:val="BodyText1I"/>
    <w:basedOn w:val="68"/>
    <w:qFormat/>
    <w:uiPriority w:val="99"/>
    <w:pPr>
      <w:ind w:firstLine="420" w:firstLineChars="100"/>
    </w:pPr>
  </w:style>
  <w:style w:type="paragraph" w:customStyle="1" w:styleId="68">
    <w:name w:val="BodyText"/>
    <w:basedOn w:val="1"/>
    <w:qFormat/>
    <w:uiPriority w:val="99"/>
    <w:pPr>
      <w:spacing w:after="120"/>
    </w:pPr>
  </w:style>
  <w:style w:type="table" w:customStyle="1" w:styleId="69">
    <w:name w:val="Table Normal"/>
    <w:unhideWhenUsed/>
    <w:qFormat/>
    <w:uiPriority w:val="0"/>
    <w:tblPr>
      <w:tblCellMar>
        <w:top w:w="0" w:type="dxa"/>
        <w:left w:w="0" w:type="dxa"/>
        <w:bottom w:w="0" w:type="dxa"/>
        <w:right w:w="0" w:type="dxa"/>
      </w:tblCellMar>
    </w:tblPr>
  </w:style>
  <w:style w:type="paragraph" w:customStyle="1" w:styleId="70">
    <w:name w:val="无间隔1"/>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150</Pages>
  <Words>24801</Words>
  <Characters>27939</Characters>
  <Lines>0</Lines>
  <Paragraphs>0</Paragraphs>
  <TotalTime>10</TotalTime>
  <ScaleCrop>false</ScaleCrop>
  <LinksUpToDate>false</LinksUpToDate>
  <CharactersWithSpaces>28188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2023-08-30T05:50:00Z</dcterms:created>
  <dc:creator>煜林招标</dc:creator>
  <cp:lastModifiedBy>Administrator</cp:lastModifiedBy>
  <cp:lastPrinted>2024-06-05T21:31:00Z</cp:lastPrinted>
  <dcterms:modified xsi:type="dcterms:W3CDTF">2025-07-01T14:48:07Z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E4D106CF838A4F95A9AFE17D30F17462_13</vt:lpwstr>
  </property>
  <property fmtid="{D5CDD505-2E9C-101B-9397-08002B2CF9AE}" pid="4" name="KSOTemplateDocerSaveRecord">
    <vt:lpwstr>eyJoZGlkIjoiZWE5M2RjOTdlMzM5NzdmNzhkMzk5ZjQ3NTI0YTM0MTQiLCJ1c2VySWQiOiIzODU3OTk2NjgifQ==</vt:lpwstr>
  </property>
</Properties>
</file>