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E384B">
      <w:pPr>
        <w:jc w:val="center"/>
        <w:rPr>
          <w:rFonts w:hint="eastAsia" w:ascii="宋体" w:hAnsi="宋体" w:eastAsia="宋体" w:cs="宋体"/>
          <w:bCs/>
          <w:color w:val="auto"/>
          <w:sz w:val="52"/>
          <w:szCs w:val="52"/>
          <w:lang w:eastAsia="zh-CN"/>
        </w:rPr>
      </w:pPr>
    </w:p>
    <w:p w14:paraId="0F98B35B">
      <w:pPr>
        <w:jc w:val="center"/>
        <w:rPr>
          <w:rFonts w:hint="eastAsia" w:ascii="宋体" w:hAnsi="宋体" w:eastAsia="宋体" w:cs="宋体"/>
          <w:bCs/>
          <w:color w:val="auto"/>
          <w:sz w:val="52"/>
          <w:szCs w:val="52"/>
          <w:lang w:val="en-US" w:eastAsia="zh-CN"/>
        </w:rPr>
      </w:pPr>
      <w:r>
        <w:rPr>
          <w:rFonts w:hint="eastAsia" w:ascii="宋体" w:hAnsi="宋体" w:eastAsia="宋体" w:cs="宋体"/>
          <w:bCs/>
          <w:color w:val="auto"/>
          <w:sz w:val="52"/>
          <w:szCs w:val="52"/>
          <w:lang w:val="en-US" w:eastAsia="zh-CN"/>
        </w:rPr>
        <w:t>渑池县机器人产业园建设项目地勘服务项目</w:t>
      </w:r>
    </w:p>
    <w:p w14:paraId="2DEE32F2">
      <w:pPr>
        <w:jc w:val="center"/>
        <w:rPr>
          <w:rFonts w:hint="eastAsia" w:ascii="宋体" w:hAnsi="宋体" w:eastAsia="宋体" w:cs="宋体"/>
          <w:bCs/>
          <w:color w:val="auto"/>
          <w:sz w:val="52"/>
          <w:szCs w:val="52"/>
        </w:rPr>
      </w:pPr>
    </w:p>
    <w:p w14:paraId="54EFDB95">
      <w:pPr>
        <w:jc w:val="center"/>
        <w:rPr>
          <w:rFonts w:hint="eastAsia" w:ascii="宋体" w:hAnsi="宋体" w:eastAsia="宋体" w:cs="宋体"/>
          <w:bCs/>
          <w:color w:val="auto"/>
          <w:sz w:val="52"/>
          <w:szCs w:val="52"/>
        </w:rPr>
      </w:pPr>
      <w:r>
        <w:rPr>
          <w:rFonts w:hint="eastAsia" w:ascii="宋体" w:hAnsi="宋体" w:eastAsia="宋体" w:cs="宋体"/>
          <w:bCs/>
          <w:color w:val="auto"/>
          <w:sz w:val="52"/>
          <w:szCs w:val="52"/>
        </w:rPr>
        <w:t>竞争性磋商文件</w:t>
      </w:r>
    </w:p>
    <w:p w14:paraId="27CEDBD6">
      <w:pPr>
        <w:ind w:firstLine="1280" w:firstLineChars="400"/>
        <w:jc w:val="both"/>
        <w:rPr>
          <w:rFonts w:hint="eastAsia" w:ascii="宋体" w:hAnsi="宋体" w:eastAsia="宋体" w:cs="宋体"/>
          <w:bCs/>
          <w:color w:val="auto"/>
          <w:sz w:val="32"/>
          <w:szCs w:val="32"/>
          <w:lang w:val="en-US" w:eastAsia="zh-CN"/>
        </w:rPr>
      </w:pPr>
    </w:p>
    <w:p w14:paraId="0678C8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lang w:val="en-US" w:eastAsia="zh-CN"/>
        </w:rPr>
        <w:t>项目编号：MCGZ[2025]011-ZC009、渑池竞磋采购-2025-80</w:t>
      </w:r>
    </w:p>
    <w:p w14:paraId="5E5E105D">
      <w:pPr>
        <w:jc w:val="both"/>
        <w:rPr>
          <w:rFonts w:hint="eastAsia" w:ascii="宋体" w:hAnsi="宋体" w:eastAsia="宋体" w:cs="宋体"/>
          <w:color w:val="auto"/>
          <w:szCs w:val="28"/>
        </w:rPr>
      </w:pPr>
    </w:p>
    <w:p w14:paraId="1A014903">
      <w:pPr>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32"/>
          <w:szCs w:val="32"/>
          <w:lang w:eastAsia="zh-CN"/>
        </w:rPr>
        <w:drawing>
          <wp:inline distT="0" distB="0" distL="114300" distR="114300">
            <wp:extent cx="2439670" cy="2439670"/>
            <wp:effectExtent l="0" t="0" r="17780" b="17780"/>
            <wp:docPr id="1" name="图片 3" descr="664c9594ac10231bcaa9c63e2f67a5c2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664c9594ac10231bcaa9c63e2f67a5c2_1"/>
                    <pic:cNvPicPr>
                      <a:picLocks noChangeAspect="1"/>
                    </pic:cNvPicPr>
                  </pic:nvPicPr>
                  <pic:blipFill>
                    <a:blip r:embed="rId8"/>
                    <a:stretch>
                      <a:fillRect/>
                    </a:stretch>
                  </pic:blipFill>
                  <pic:spPr>
                    <a:xfrm>
                      <a:off x="0" y="0"/>
                      <a:ext cx="2439670" cy="2439670"/>
                    </a:xfrm>
                    <a:prstGeom prst="rect">
                      <a:avLst/>
                    </a:prstGeom>
                    <a:noFill/>
                    <a:ln>
                      <a:noFill/>
                    </a:ln>
                  </pic:spPr>
                </pic:pic>
              </a:graphicData>
            </a:graphic>
          </wp:inline>
        </w:drawing>
      </w:r>
    </w:p>
    <w:p w14:paraId="7D36011C">
      <w:pPr>
        <w:ind w:firstLine="1260" w:firstLineChars="450"/>
        <w:rPr>
          <w:rFonts w:hint="eastAsia" w:ascii="宋体" w:hAnsi="宋体" w:eastAsia="宋体" w:cs="宋体"/>
          <w:color w:val="auto"/>
          <w:sz w:val="28"/>
          <w:szCs w:val="28"/>
        </w:rPr>
      </w:pPr>
    </w:p>
    <w:p w14:paraId="6C2D523D">
      <w:pPr>
        <w:ind w:firstLine="1260" w:firstLineChars="450"/>
        <w:rPr>
          <w:rFonts w:hint="eastAsia" w:ascii="宋体" w:hAnsi="宋体" w:eastAsia="宋体" w:cs="宋体"/>
          <w:color w:val="auto"/>
          <w:sz w:val="28"/>
          <w:szCs w:val="28"/>
        </w:rPr>
      </w:pPr>
      <w:r>
        <w:rPr>
          <w:rFonts w:hint="eastAsia" w:ascii="宋体" w:hAnsi="宋体" w:eastAsia="宋体" w:cs="宋体"/>
          <w:color w:val="auto"/>
          <w:sz w:val="28"/>
          <w:szCs w:val="28"/>
        </w:rPr>
        <w:t>采  购  人：</w:t>
      </w:r>
      <w:r>
        <w:rPr>
          <w:rFonts w:hint="eastAsia" w:ascii="宋体" w:hAnsi="宋体" w:eastAsia="宋体" w:cs="宋体"/>
          <w:color w:val="auto"/>
          <w:sz w:val="28"/>
          <w:szCs w:val="28"/>
          <w:lang w:val="en-US" w:eastAsia="zh-CN"/>
        </w:rPr>
        <w:t>河南韶润建设开发有限公司</w:t>
      </w:r>
    </w:p>
    <w:p w14:paraId="7FDCFB9E">
      <w:pPr>
        <w:ind w:firstLine="1260" w:firstLineChars="45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代 理 机 构：</w:t>
      </w:r>
      <w:r>
        <w:rPr>
          <w:rFonts w:hint="eastAsia" w:ascii="宋体" w:hAnsi="宋体" w:eastAsia="宋体" w:cs="宋体"/>
          <w:color w:val="auto"/>
          <w:sz w:val="28"/>
          <w:szCs w:val="28"/>
          <w:lang w:eastAsia="zh-CN"/>
        </w:rPr>
        <w:t>河南古基工程管理有限公司</w:t>
      </w:r>
    </w:p>
    <w:p w14:paraId="41EEB1DC">
      <w:pPr>
        <w:ind w:firstLine="1260" w:firstLineChars="450"/>
        <w:rPr>
          <w:rFonts w:hint="eastAsia" w:ascii="宋体" w:hAnsi="宋体" w:eastAsia="宋体" w:cs="宋体"/>
          <w:color w:val="auto"/>
          <w:sz w:val="28"/>
          <w:szCs w:val="28"/>
        </w:rPr>
      </w:pPr>
      <w:r>
        <w:rPr>
          <w:rFonts w:hint="eastAsia" w:ascii="宋体" w:hAnsi="宋体" w:eastAsia="宋体" w:cs="宋体"/>
          <w:color w:val="auto"/>
          <w:sz w:val="28"/>
          <w:szCs w:val="28"/>
        </w:rPr>
        <w:t>日       期：二〇二</w:t>
      </w:r>
      <w:r>
        <w:rPr>
          <w:rFonts w:hint="eastAsia" w:ascii="宋体" w:hAnsi="宋体" w:eastAsia="宋体" w:cs="宋体"/>
          <w:color w:val="auto"/>
          <w:sz w:val="28"/>
          <w:szCs w:val="28"/>
          <w:lang w:val="en-US" w:eastAsia="zh-CN"/>
        </w:rPr>
        <w:t>五</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七</w:t>
      </w:r>
      <w:r>
        <w:rPr>
          <w:rFonts w:hint="eastAsia" w:ascii="宋体" w:hAnsi="宋体" w:eastAsia="宋体" w:cs="宋体"/>
          <w:color w:val="auto"/>
          <w:sz w:val="28"/>
          <w:szCs w:val="28"/>
        </w:rPr>
        <w:t>月</w:t>
      </w:r>
    </w:p>
    <w:p w14:paraId="48D2F0CC">
      <w:pPr>
        <w:jc w:val="center"/>
        <w:rPr>
          <w:rFonts w:hint="eastAsia" w:ascii="宋体" w:hAnsi="宋体" w:eastAsia="宋体" w:cs="宋体"/>
          <w:b/>
          <w:color w:val="auto"/>
          <w:sz w:val="28"/>
          <w:szCs w:val="28"/>
        </w:rPr>
        <w:sectPr>
          <w:pgSz w:w="11906" w:h="16838"/>
          <w:pgMar w:top="1440" w:right="1689" w:bottom="1440" w:left="1689" w:header="851" w:footer="992" w:gutter="0"/>
          <w:cols w:space="0" w:num="1"/>
          <w:docGrid w:type="lines" w:linePitch="312" w:charSpace="0"/>
        </w:sectPr>
      </w:pPr>
    </w:p>
    <w:p w14:paraId="1F23349F">
      <w:pPr>
        <w:jc w:val="center"/>
        <w:rPr>
          <w:rFonts w:hint="eastAsia" w:ascii="宋体" w:hAnsi="宋体" w:eastAsia="宋体" w:cs="宋体"/>
          <w:b/>
          <w:color w:val="auto"/>
          <w:sz w:val="28"/>
          <w:szCs w:val="28"/>
        </w:rPr>
      </w:pPr>
      <w:r>
        <w:rPr>
          <w:rFonts w:hint="eastAsia" w:ascii="宋体" w:hAnsi="宋体" w:eastAsia="宋体" w:cs="宋体"/>
          <w:b/>
          <w:color w:val="auto"/>
          <w:sz w:val="28"/>
          <w:szCs w:val="28"/>
        </w:rPr>
        <w:t>目  录</w:t>
      </w:r>
    </w:p>
    <w:p w14:paraId="7118A07C">
      <w:pPr>
        <w:pStyle w:val="16"/>
        <w:tabs>
          <w:tab w:val="right" w:leader="dot" w:pos="8528"/>
        </w:tabs>
        <w:rPr>
          <w:rFonts w:hint="eastAsia" w:ascii="宋体" w:hAnsi="宋体" w:eastAsia="宋体" w:cs="宋体"/>
          <w:color w:val="auto"/>
          <w:sz w:val="32"/>
          <w:szCs w:val="28"/>
        </w:rPr>
      </w:pPr>
      <w:r>
        <w:rPr>
          <w:rFonts w:hint="eastAsia" w:ascii="宋体" w:hAnsi="宋体" w:eastAsia="宋体" w:cs="宋体"/>
          <w:bCs/>
          <w:color w:val="auto"/>
          <w:kern w:val="0"/>
          <w:sz w:val="36"/>
          <w:szCs w:val="36"/>
        </w:rPr>
        <w:fldChar w:fldCharType="begin"/>
      </w:r>
      <w:r>
        <w:rPr>
          <w:rFonts w:hint="eastAsia" w:ascii="宋体" w:hAnsi="宋体" w:eastAsia="宋体" w:cs="宋体"/>
          <w:bCs/>
          <w:color w:val="auto"/>
          <w:kern w:val="0"/>
          <w:sz w:val="36"/>
          <w:szCs w:val="36"/>
        </w:rPr>
        <w:instrText xml:space="preserve"> TOC \o "1-2" \h \z \u </w:instrText>
      </w:r>
      <w:r>
        <w:rPr>
          <w:rFonts w:hint="eastAsia" w:ascii="宋体" w:hAnsi="宋体" w:eastAsia="宋体" w:cs="宋体"/>
          <w:bCs/>
          <w:color w:val="auto"/>
          <w:kern w:val="0"/>
          <w:sz w:val="36"/>
          <w:szCs w:val="36"/>
        </w:rPr>
        <w:fldChar w:fldCharType="separate"/>
      </w:r>
      <w:r>
        <w:rPr>
          <w:rFonts w:hint="eastAsia" w:ascii="宋体" w:hAnsi="宋体" w:eastAsia="宋体" w:cs="宋体"/>
          <w:bCs/>
          <w:color w:val="auto"/>
          <w:kern w:val="0"/>
          <w:sz w:val="32"/>
          <w:szCs w:val="36"/>
        </w:rPr>
        <w:fldChar w:fldCharType="begin"/>
      </w:r>
      <w:r>
        <w:rPr>
          <w:rFonts w:hint="eastAsia" w:ascii="宋体" w:hAnsi="宋体" w:eastAsia="宋体" w:cs="宋体"/>
          <w:bCs/>
          <w:color w:val="auto"/>
          <w:kern w:val="0"/>
          <w:sz w:val="32"/>
          <w:szCs w:val="36"/>
        </w:rPr>
        <w:instrText xml:space="preserve"> HYPERLINK \l _Toc14233 </w:instrText>
      </w:r>
      <w:r>
        <w:rPr>
          <w:rFonts w:hint="eastAsia" w:ascii="宋体" w:hAnsi="宋体" w:eastAsia="宋体" w:cs="宋体"/>
          <w:bCs/>
          <w:color w:val="auto"/>
          <w:kern w:val="0"/>
          <w:sz w:val="32"/>
          <w:szCs w:val="36"/>
        </w:rPr>
        <w:fldChar w:fldCharType="separate"/>
      </w:r>
      <w:r>
        <w:rPr>
          <w:rFonts w:hint="eastAsia" w:ascii="宋体" w:hAnsi="宋体" w:eastAsia="宋体" w:cs="宋体"/>
          <w:bCs/>
          <w:color w:val="auto"/>
          <w:kern w:val="0"/>
          <w:sz w:val="32"/>
          <w:szCs w:val="44"/>
        </w:rPr>
        <w:t>第一章 竞争性磋商公告</w:t>
      </w:r>
      <w:r>
        <w:rPr>
          <w:rFonts w:hint="eastAsia" w:ascii="宋体" w:hAnsi="宋体" w:eastAsia="宋体" w:cs="宋体"/>
          <w:color w:val="auto"/>
          <w:sz w:val="32"/>
          <w:szCs w:val="28"/>
        </w:rPr>
        <w:tab/>
      </w:r>
      <w:r>
        <w:rPr>
          <w:rFonts w:hint="eastAsia" w:ascii="宋体" w:hAnsi="宋体" w:eastAsia="宋体" w:cs="宋体"/>
          <w:color w:val="auto"/>
          <w:sz w:val="32"/>
          <w:szCs w:val="28"/>
        </w:rPr>
        <w:fldChar w:fldCharType="begin"/>
      </w:r>
      <w:r>
        <w:rPr>
          <w:rFonts w:hint="eastAsia" w:ascii="宋体" w:hAnsi="宋体" w:eastAsia="宋体" w:cs="宋体"/>
          <w:color w:val="auto"/>
          <w:sz w:val="32"/>
          <w:szCs w:val="28"/>
        </w:rPr>
        <w:instrText xml:space="preserve"> PAGEREF _Toc14233 \h </w:instrText>
      </w:r>
      <w:r>
        <w:rPr>
          <w:rFonts w:hint="eastAsia" w:ascii="宋体" w:hAnsi="宋体" w:eastAsia="宋体" w:cs="宋体"/>
          <w:color w:val="auto"/>
          <w:sz w:val="32"/>
          <w:szCs w:val="28"/>
        </w:rPr>
        <w:fldChar w:fldCharType="separate"/>
      </w:r>
      <w:r>
        <w:rPr>
          <w:rFonts w:hint="eastAsia" w:ascii="宋体" w:hAnsi="宋体" w:eastAsia="宋体" w:cs="宋体"/>
          <w:color w:val="auto"/>
          <w:sz w:val="32"/>
          <w:szCs w:val="28"/>
        </w:rPr>
        <w:t>3</w:t>
      </w:r>
      <w:r>
        <w:rPr>
          <w:rFonts w:hint="eastAsia" w:ascii="宋体" w:hAnsi="宋体" w:eastAsia="宋体" w:cs="宋体"/>
          <w:color w:val="auto"/>
          <w:sz w:val="32"/>
          <w:szCs w:val="28"/>
        </w:rPr>
        <w:fldChar w:fldCharType="end"/>
      </w:r>
      <w:r>
        <w:rPr>
          <w:rFonts w:hint="eastAsia" w:ascii="宋体" w:hAnsi="宋体" w:eastAsia="宋体" w:cs="宋体"/>
          <w:bCs/>
          <w:color w:val="auto"/>
          <w:kern w:val="0"/>
          <w:sz w:val="32"/>
          <w:szCs w:val="36"/>
        </w:rPr>
        <w:fldChar w:fldCharType="end"/>
      </w:r>
    </w:p>
    <w:p w14:paraId="3FEC8F33">
      <w:pPr>
        <w:pStyle w:val="16"/>
        <w:tabs>
          <w:tab w:val="right" w:leader="dot" w:pos="8528"/>
        </w:tabs>
        <w:rPr>
          <w:rFonts w:hint="eastAsia" w:ascii="宋体" w:hAnsi="宋体" w:eastAsia="宋体" w:cs="宋体"/>
          <w:color w:val="auto"/>
          <w:sz w:val="32"/>
          <w:szCs w:val="28"/>
        </w:rPr>
      </w:pPr>
      <w:r>
        <w:rPr>
          <w:rFonts w:hint="eastAsia" w:ascii="宋体" w:hAnsi="宋体" w:eastAsia="宋体" w:cs="宋体"/>
          <w:color w:val="auto"/>
          <w:kern w:val="0"/>
          <w:sz w:val="32"/>
          <w:szCs w:val="28"/>
        </w:rPr>
        <w:fldChar w:fldCharType="begin"/>
      </w:r>
      <w:r>
        <w:rPr>
          <w:rFonts w:hint="eastAsia" w:ascii="宋体" w:hAnsi="宋体" w:eastAsia="宋体" w:cs="宋体"/>
          <w:color w:val="auto"/>
          <w:kern w:val="0"/>
          <w:sz w:val="32"/>
          <w:szCs w:val="28"/>
        </w:rPr>
        <w:instrText xml:space="preserve"> HYPERLINK \l _Toc30833 </w:instrText>
      </w:r>
      <w:r>
        <w:rPr>
          <w:rFonts w:hint="eastAsia" w:ascii="宋体" w:hAnsi="宋体" w:eastAsia="宋体" w:cs="宋体"/>
          <w:color w:val="auto"/>
          <w:kern w:val="0"/>
          <w:sz w:val="32"/>
          <w:szCs w:val="28"/>
        </w:rPr>
        <w:fldChar w:fldCharType="separate"/>
      </w:r>
      <w:r>
        <w:rPr>
          <w:rFonts w:hint="eastAsia" w:ascii="宋体" w:hAnsi="宋体" w:eastAsia="宋体" w:cs="宋体"/>
          <w:bCs/>
          <w:color w:val="auto"/>
          <w:sz w:val="32"/>
          <w:szCs w:val="44"/>
        </w:rPr>
        <w:t>第二章 供应商须知</w:t>
      </w:r>
      <w:r>
        <w:rPr>
          <w:rFonts w:hint="eastAsia" w:ascii="宋体" w:hAnsi="宋体" w:eastAsia="宋体" w:cs="宋体"/>
          <w:color w:val="auto"/>
          <w:sz w:val="32"/>
          <w:szCs w:val="28"/>
        </w:rPr>
        <w:tab/>
      </w:r>
      <w:r>
        <w:rPr>
          <w:rFonts w:hint="eastAsia" w:ascii="宋体" w:hAnsi="宋体" w:eastAsia="宋体" w:cs="宋体"/>
          <w:color w:val="auto"/>
          <w:sz w:val="32"/>
          <w:szCs w:val="28"/>
        </w:rPr>
        <w:fldChar w:fldCharType="begin"/>
      </w:r>
      <w:r>
        <w:rPr>
          <w:rFonts w:hint="eastAsia" w:ascii="宋体" w:hAnsi="宋体" w:eastAsia="宋体" w:cs="宋体"/>
          <w:color w:val="auto"/>
          <w:sz w:val="32"/>
          <w:szCs w:val="28"/>
        </w:rPr>
        <w:instrText xml:space="preserve"> PAGEREF _Toc30833 \h </w:instrText>
      </w:r>
      <w:r>
        <w:rPr>
          <w:rFonts w:hint="eastAsia" w:ascii="宋体" w:hAnsi="宋体" w:eastAsia="宋体" w:cs="宋体"/>
          <w:color w:val="auto"/>
          <w:sz w:val="32"/>
          <w:szCs w:val="28"/>
        </w:rPr>
        <w:fldChar w:fldCharType="separate"/>
      </w:r>
      <w:r>
        <w:rPr>
          <w:rFonts w:hint="eastAsia" w:ascii="宋体" w:hAnsi="宋体" w:eastAsia="宋体" w:cs="宋体"/>
          <w:color w:val="auto"/>
          <w:sz w:val="32"/>
          <w:szCs w:val="28"/>
        </w:rPr>
        <w:t>9</w:t>
      </w:r>
      <w:r>
        <w:rPr>
          <w:rFonts w:hint="eastAsia" w:ascii="宋体" w:hAnsi="宋体" w:eastAsia="宋体" w:cs="宋体"/>
          <w:color w:val="auto"/>
          <w:sz w:val="32"/>
          <w:szCs w:val="28"/>
        </w:rPr>
        <w:fldChar w:fldCharType="end"/>
      </w:r>
      <w:r>
        <w:rPr>
          <w:rFonts w:hint="eastAsia" w:ascii="宋体" w:hAnsi="宋体" w:eastAsia="宋体" w:cs="宋体"/>
          <w:color w:val="auto"/>
          <w:kern w:val="0"/>
          <w:sz w:val="32"/>
          <w:szCs w:val="28"/>
        </w:rPr>
        <w:fldChar w:fldCharType="end"/>
      </w:r>
    </w:p>
    <w:p w14:paraId="74056938">
      <w:pPr>
        <w:pStyle w:val="16"/>
        <w:tabs>
          <w:tab w:val="right" w:leader="dot" w:pos="8528"/>
        </w:tabs>
        <w:rPr>
          <w:rFonts w:hint="eastAsia" w:ascii="宋体" w:hAnsi="宋体" w:eastAsia="宋体" w:cs="宋体"/>
          <w:color w:val="auto"/>
          <w:sz w:val="32"/>
          <w:szCs w:val="28"/>
        </w:rPr>
      </w:pPr>
      <w:r>
        <w:rPr>
          <w:rFonts w:hint="eastAsia" w:ascii="宋体" w:hAnsi="宋体" w:eastAsia="宋体" w:cs="宋体"/>
          <w:color w:val="auto"/>
          <w:kern w:val="0"/>
          <w:sz w:val="32"/>
          <w:szCs w:val="28"/>
        </w:rPr>
        <w:fldChar w:fldCharType="begin"/>
      </w:r>
      <w:r>
        <w:rPr>
          <w:rFonts w:hint="eastAsia" w:ascii="宋体" w:hAnsi="宋体" w:eastAsia="宋体" w:cs="宋体"/>
          <w:color w:val="auto"/>
          <w:kern w:val="0"/>
          <w:sz w:val="32"/>
          <w:szCs w:val="28"/>
        </w:rPr>
        <w:instrText xml:space="preserve"> HYPERLINK \l _Toc15637 </w:instrText>
      </w:r>
      <w:r>
        <w:rPr>
          <w:rFonts w:hint="eastAsia" w:ascii="宋体" w:hAnsi="宋体" w:eastAsia="宋体" w:cs="宋体"/>
          <w:color w:val="auto"/>
          <w:kern w:val="0"/>
          <w:sz w:val="32"/>
          <w:szCs w:val="28"/>
        </w:rPr>
        <w:fldChar w:fldCharType="separate"/>
      </w:r>
      <w:r>
        <w:rPr>
          <w:rFonts w:hint="eastAsia" w:ascii="宋体" w:hAnsi="宋体" w:eastAsia="宋体" w:cs="宋体"/>
          <w:bCs/>
          <w:color w:val="auto"/>
          <w:sz w:val="32"/>
          <w:szCs w:val="44"/>
        </w:rPr>
        <w:t>第三章 采购需求</w:t>
      </w:r>
      <w:r>
        <w:rPr>
          <w:rFonts w:hint="eastAsia" w:ascii="宋体" w:hAnsi="宋体" w:eastAsia="宋体" w:cs="宋体"/>
          <w:color w:val="auto"/>
          <w:sz w:val="32"/>
          <w:szCs w:val="28"/>
        </w:rPr>
        <w:tab/>
      </w:r>
      <w:r>
        <w:rPr>
          <w:rFonts w:hint="eastAsia" w:ascii="宋体" w:hAnsi="宋体" w:eastAsia="宋体" w:cs="宋体"/>
          <w:color w:val="auto"/>
          <w:sz w:val="32"/>
          <w:szCs w:val="28"/>
        </w:rPr>
        <w:fldChar w:fldCharType="begin"/>
      </w:r>
      <w:r>
        <w:rPr>
          <w:rFonts w:hint="eastAsia" w:ascii="宋体" w:hAnsi="宋体" w:eastAsia="宋体" w:cs="宋体"/>
          <w:color w:val="auto"/>
          <w:sz w:val="32"/>
          <w:szCs w:val="28"/>
        </w:rPr>
        <w:instrText xml:space="preserve"> PAGEREF _Toc15637 \h </w:instrText>
      </w:r>
      <w:r>
        <w:rPr>
          <w:rFonts w:hint="eastAsia" w:ascii="宋体" w:hAnsi="宋体" w:eastAsia="宋体" w:cs="宋体"/>
          <w:color w:val="auto"/>
          <w:sz w:val="32"/>
          <w:szCs w:val="28"/>
        </w:rPr>
        <w:fldChar w:fldCharType="separate"/>
      </w:r>
      <w:r>
        <w:rPr>
          <w:rFonts w:hint="eastAsia" w:ascii="宋体" w:hAnsi="宋体" w:eastAsia="宋体" w:cs="宋体"/>
          <w:color w:val="auto"/>
          <w:sz w:val="32"/>
          <w:szCs w:val="28"/>
        </w:rPr>
        <w:t>22</w:t>
      </w:r>
      <w:r>
        <w:rPr>
          <w:rFonts w:hint="eastAsia" w:ascii="宋体" w:hAnsi="宋体" w:eastAsia="宋体" w:cs="宋体"/>
          <w:color w:val="auto"/>
          <w:sz w:val="32"/>
          <w:szCs w:val="28"/>
        </w:rPr>
        <w:fldChar w:fldCharType="end"/>
      </w:r>
      <w:r>
        <w:rPr>
          <w:rFonts w:hint="eastAsia" w:ascii="宋体" w:hAnsi="宋体" w:eastAsia="宋体" w:cs="宋体"/>
          <w:color w:val="auto"/>
          <w:kern w:val="0"/>
          <w:sz w:val="32"/>
          <w:szCs w:val="28"/>
        </w:rPr>
        <w:fldChar w:fldCharType="end"/>
      </w:r>
    </w:p>
    <w:p w14:paraId="2AFFE3C0">
      <w:pPr>
        <w:pStyle w:val="16"/>
        <w:tabs>
          <w:tab w:val="right" w:leader="dot" w:pos="8528"/>
        </w:tabs>
        <w:rPr>
          <w:rFonts w:hint="eastAsia" w:ascii="宋体" w:hAnsi="宋体" w:eastAsia="宋体" w:cs="宋体"/>
          <w:color w:val="auto"/>
          <w:sz w:val="32"/>
          <w:szCs w:val="28"/>
        </w:rPr>
      </w:pPr>
      <w:r>
        <w:rPr>
          <w:rFonts w:hint="eastAsia" w:ascii="宋体" w:hAnsi="宋体" w:eastAsia="宋体" w:cs="宋体"/>
          <w:color w:val="auto"/>
          <w:kern w:val="0"/>
          <w:sz w:val="32"/>
          <w:szCs w:val="28"/>
        </w:rPr>
        <w:fldChar w:fldCharType="begin"/>
      </w:r>
      <w:r>
        <w:rPr>
          <w:rFonts w:hint="eastAsia" w:ascii="宋体" w:hAnsi="宋体" w:eastAsia="宋体" w:cs="宋体"/>
          <w:color w:val="auto"/>
          <w:kern w:val="0"/>
          <w:sz w:val="32"/>
          <w:szCs w:val="28"/>
        </w:rPr>
        <w:instrText xml:space="preserve"> HYPERLINK \l _Toc28561 </w:instrText>
      </w:r>
      <w:r>
        <w:rPr>
          <w:rFonts w:hint="eastAsia" w:ascii="宋体" w:hAnsi="宋体" w:eastAsia="宋体" w:cs="宋体"/>
          <w:color w:val="auto"/>
          <w:kern w:val="0"/>
          <w:sz w:val="32"/>
          <w:szCs w:val="28"/>
        </w:rPr>
        <w:fldChar w:fldCharType="separate"/>
      </w:r>
      <w:r>
        <w:rPr>
          <w:rFonts w:hint="eastAsia" w:ascii="宋体" w:hAnsi="宋体" w:eastAsia="宋体" w:cs="宋体"/>
          <w:bCs/>
          <w:color w:val="auto"/>
          <w:sz w:val="32"/>
          <w:szCs w:val="44"/>
        </w:rPr>
        <w:t>第四章 合同条款</w:t>
      </w:r>
      <w:r>
        <w:rPr>
          <w:rFonts w:hint="eastAsia" w:ascii="宋体" w:hAnsi="宋体" w:eastAsia="宋体" w:cs="宋体"/>
          <w:color w:val="auto"/>
          <w:sz w:val="32"/>
          <w:szCs w:val="28"/>
        </w:rPr>
        <w:tab/>
      </w:r>
      <w:r>
        <w:rPr>
          <w:rFonts w:hint="eastAsia" w:ascii="宋体" w:hAnsi="宋体" w:eastAsia="宋体" w:cs="宋体"/>
          <w:color w:val="auto"/>
          <w:sz w:val="32"/>
          <w:szCs w:val="28"/>
        </w:rPr>
        <w:fldChar w:fldCharType="begin"/>
      </w:r>
      <w:r>
        <w:rPr>
          <w:rFonts w:hint="eastAsia" w:ascii="宋体" w:hAnsi="宋体" w:eastAsia="宋体" w:cs="宋体"/>
          <w:color w:val="auto"/>
          <w:sz w:val="32"/>
          <w:szCs w:val="28"/>
        </w:rPr>
        <w:instrText xml:space="preserve"> PAGEREF _Toc28561 \h </w:instrText>
      </w:r>
      <w:r>
        <w:rPr>
          <w:rFonts w:hint="eastAsia" w:ascii="宋体" w:hAnsi="宋体" w:eastAsia="宋体" w:cs="宋体"/>
          <w:color w:val="auto"/>
          <w:sz w:val="32"/>
          <w:szCs w:val="28"/>
        </w:rPr>
        <w:fldChar w:fldCharType="separate"/>
      </w:r>
      <w:r>
        <w:rPr>
          <w:rFonts w:hint="eastAsia" w:ascii="宋体" w:hAnsi="宋体" w:eastAsia="宋体" w:cs="宋体"/>
          <w:color w:val="auto"/>
          <w:sz w:val="32"/>
          <w:szCs w:val="28"/>
        </w:rPr>
        <w:t>25</w:t>
      </w:r>
      <w:r>
        <w:rPr>
          <w:rFonts w:hint="eastAsia" w:ascii="宋体" w:hAnsi="宋体" w:eastAsia="宋体" w:cs="宋体"/>
          <w:color w:val="auto"/>
          <w:sz w:val="32"/>
          <w:szCs w:val="28"/>
        </w:rPr>
        <w:fldChar w:fldCharType="end"/>
      </w:r>
      <w:r>
        <w:rPr>
          <w:rFonts w:hint="eastAsia" w:ascii="宋体" w:hAnsi="宋体" w:eastAsia="宋体" w:cs="宋体"/>
          <w:color w:val="auto"/>
          <w:kern w:val="0"/>
          <w:sz w:val="32"/>
          <w:szCs w:val="28"/>
        </w:rPr>
        <w:fldChar w:fldCharType="end"/>
      </w:r>
    </w:p>
    <w:p w14:paraId="62386572">
      <w:pPr>
        <w:pStyle w:val="16"/>
        <w:tabs>
          <w:tab w:val="right" w:leader="dot" w:pos="8528"/>
        </w:tabs>
        <w:rPr>
          <w:rFonts w:hint="eastAsia" w:ascii="宋体" w:hAnsi="宋体" w:eastAsia="宋体" w:cs="宋体"/>
          <w:color w:val="auto"/>
          <w:sz w:val="32"/>
          <w:szCs w:val="28"/>
        </w:rPr>
      </w:pPr>
      <w:r>
        <w:rPr>
          <w:rFonts w:hint="eastAsia" w:ascii="宋体" w:hAnsi="宋体" w:eastAsia="宋体" w:cs="宋体"/>
          <w:color w:val="auto"/>
          <w:kern w:val="0"/>
          <w:sz w:val="32"/>
          <w:szCs w:val="28"/>
        </w:rPr>
        <w:fldChar w:fldCharType="begin"/>
      </w:r>
      <w:r>
        <w:rPr>
          <w:rFonts w:hint="eastAsia" w:ascii="宋体" w:hAnsi="宋体" w:eastAsia="宋体" w:cs="宋体"/>
          <w:color w:val="auto"/>
          <w:kern w:val="0"/>
          <w:sz w:val="32"/>
          <w:szCs w:val="28"/>
        </w:rPr>
        <w:instrText xml:space="preserve"> HYPERLINK \l _Toc21776 </w:instrText>
      </w:r>
      <w:r>
        <w:rPr>
          <w:rFonts w:hint="eastAsia" w:ascii="宋体" w:hAnsi="宋体" w:eastAsia="宋体" w:cs="宋体"/>
          <w:color w:val="auto"/>
          <w:kern w:val="0"/>
          <w:sz w:val="32"/>
          <w:szCs w:val="28"/>
        </w:rPr>
        <w:fldChar w:fldCharType="separate"/>
      </w:r>
      <w:r>
        <w:rPr>
          <w:rFonts w:hint="eastAsia" w:ascii="宋体" w:hAnsi="宋体" w:eastAsia="宋体" w:cs="宋体"/>
          <w:color w:val="auto"/>
          <w:sz w:val="32"/>
          <w:szCs w:val="40"/>
        </w:rPr>
        <w:t>第五章 评审标准</w:t>
      </w:r>
      <w:r>
        <w:rPr>
          <w:rFonts w:hint="eastAsia" w:ascii="宋体" w:hAnsi="宋体" w:eastAsia="宋体" w:cs="宋体"/>
          <w:color w:val="auto"/>
          <w:sz w:val="32"/>
          <w:szCs w:val="28"/>
        </w:rPr>
        <w:tab/>
      </w:r>
      <w:r>
        <w:rPr>
          <w:rFonts w:hint="eastAsia" w:ascii="宋体" w:hAnsi="宋体" w:eastAsia="宋体" w:cs="宋体"/>
          <w:color w:val="auto"/>
          <w:sz w:val="32"/>
          <w:szCs w:val="28"/>
        </w:rPr>
        <w:fldChar w:fldCharType="begin"/>
      </w:r>
      <w:r>
        <w:rPr>
          <w:rFonts w:hint="eastAsia" w:ascii="宋体" w:hAnsi="宋体" w:eastAsia="宋体" w:cs="宋体"/>
          <w:color w:val="auto"/>
          <w:sz w:val="32"/>
          <w:szCs w:val="28"/>
        </w:rPr>
        <w:instrText xml:space="preserve"> PAGEREF _Toc21776 \h </w:instrText>
      </w:r>
      <w:r>
        <w:rPr>
          <w:rFonts w:hint="eastAsia" w:ascii="宋体" w:hAnsi="宋体" w:eastAsia="宋体" w:cs="宋体"/>
          <w:color w:val="auto"/>
          <w:sz w:val="32"/>
          <w:szCs w:val="28"/>
        </w:rPr>
        <w:fldChar w:fldCharType="separate"/>
      </w:r>
      <w:r>
        <w:rPr>
          <w:rFonts w:hint="eastAsia" w:ascii="宋体" w:hAnsi="宋体" w:eastAsia="宋体" w:cs="宋体"/>
          <w:color w:val="auto"/>
          <w:sz w:val="32"/>
          <w:szCs w:val="28"/>
        </w:rPr>
        <w:t>26</w:t>
      </w:r>
      <w:r>
        <w:rPr>
          <w:rFonts w:hint="eastAsia" w:ascii="宋体" w:hAnsi="宋体" w:eastAsia="宋体" w:cs="宋体"/>
          <w:color w:val="auto"/>
          <w:sz w:val="32"/>
          <w:szCs w:val="28"/>
        </w:rPr>
        <w:fldChar w:fldCharType="end"/>
      </w:r>
      <w:r>
        <w:rPr>
          <w:rFonts w:hint="eastAsia" w:ascii="宋体" w:hAnsi="宋体" w:eastAsia="宋体" w:cs="宋体"/>
          <w:color w:val="auto"/>
          <w:kern w:val="0"/>
          <w:sz w:val="32"/>
          <w:szCs w:val="28"/>
        </w:rPr>
        <w:fldChar w:fldCharType="end"/>
      </w:r>
    </w:p>
    <w:p w14:paraId="1E6578E7">
      <w:pPr>
        <w:pStyle w:val="16"/>
        <w:tabs>
          <w:tab w:val="right" w:leader="dot" w:pos="8528"/>
        </w:tabs>
        <w:rPr>
          <w:rFonts w:hint="eastAsia" w:ascii="宋体" w:hAnsi="宋体" w:eastAsia="宋体" w:cs="宋体"/>
          <w:color w:val="auto"/>
          <w:sz w:val="32"/>
          <w:szCs w:val="28"/>
        </w:rPr>
      </w:pPr>
      <w:r>
        <w:rPr>
          <w:rFonts w:hint="eastAsia" w:ascii="宋体" w:hAnsi="宋体" w:eastAsia="宋体" w:cs="宋体"/>
          <w:color w:val="auto"/>
          <w:kern w:val="0"/>
          <w:sz w:val="32"/>
          <w:szCs w:val="28"/>
        </w:rPr>
        <w:fldChar w:fldCharType="begin"/>
      </w:r>
      <w:r>
        <w:rPr>
          <w:rFonts w:hint="eastAsia" w:ascii="宋体" w:hAnsi="宋体" w:eastAsia="宋体" w:cs="宋体"/>
          <w:color w:val="auto"/>
          <w:kern w:val="0"/>
          <w:sz w:val="32"/>
          <w:szCs w:val="28"/>
        </w:rPr>
        <w:instrText xml:space="preserve"> HYPERLINK \l _Toc29484 </w:instrText>
      </w:r>
      <w:r>
        <w:rPr>
          <w:rFonts w:hint="eastAsia" w:ascii="宋体" w:hAnsi="宋体" w:eastAsia="宋体" w:cs="宋体"/>
          <w:color w:val="auto"/>
          <w:kern w:val="0"/>
          <w:sz w:val="32"/>
          <w:szCs w:val="28"/>
        </w:rPr>
        <w:fldChar w:fldCharType="separate"/>
      </w:r>
      <w:r>
        <w:rPr>
          <w:rFonts w:hint="eastAsia" w:ascii="宋体" w:hAnsi="宋体" w:eastAsia="宋体" w:cs="宋体"/>
          <w:color w:val="auto"/>
          <w:sz w:val="32"/>
          <w:szCs w:val="40"/>
        </w:rPr>
        <w:t xml:space="preserve">第六章 竞争性磋商响应文件格式 </w:t>
      </w:r>
      <w:r>
        <w:rPr>
          <w:rFonts w:hint="eastAsia" w:ascii="宋体" w:hAnsi="宋体" w:eastAsia="宋体" w:cs="宋体"/>
          <w:color w:val="auto"/>
          <w:sz w:val="32"/>
          <w:szCs w:val="28"/>
        </w:rPr>
        <w:tab/>
      </w:r>
      <w:r>
        <w:rPr>
          <w:rFonts w:hint="eastAsia" w:ascii="宋体" w:hAnsi="宋体" w:eastAsia="宋体" w:cs="宋体"/>
          <w:color w:val="auto"/>
          <w:sz w:val="32"/>
          <w:szCs w:val="28"/>
        </w:rPr>
        <w:fldChar w:fldCharType="begin"/>
      </w:r>
      <w:r>
        <w:rPr>
          <w:rFonts w:hint="eastAsia" w:ascii="宋体" w:hAnsi="宋体" w:eastAsia="宋体" w:cs="宋体"/>
          <w:color w:val="auto"/>
          <w:sz w:val="32"/>
          <w:szCs w:val="28"/>
        </w:rPr>
        <w:instrText xml:space="preserve"> PAGEREF _Toc29484 \h </w:instrText>
      </w:r>
      <w:r>
        <w:rPr>
          <w:rFonts w:hint="eastAsia" w:ascii="宋体" w:hAnsi="宋体" w:eastAsia="宋体" w:cs="宋体"/>
          <w:color w:val="auto"/>
          <w:sz w:val="32"/>
          <w:szCs w:val="28"/>
        </w:rPr>
        <w:fldChar w:fldCharType="separate"/>
      </w:r>
      <w:r>
        <w:rPr>
          <w:rFonts w:hint="eastAsia" w:ascii="宋体" w:hAnsi="宋体" w:eastAsia="宋体" w:cs="宋体"/>
          <w:color w:val="auto"/>
          <w:sz w:val="32"/>
          <w:szCs w:val="28"/>
        </w:rPr>
        <w:t>34</w:t>
      </w:r>
      <w:r>
        <w:rPr>
          <w:rFonts w:hint="eastAsia" w:ascii="宋体" w:hAnsi="宋体" w:eastAsia="宋体" w:cs="宋体"/>
          <w:color w:val="auto"/>
          <w:sz w:val="32"/>
          <w:szCs w:val="28"/>
        </w:rPr>
        <w:fldChar w:fldCharType="end"/>
      </w:r>
      <w:r>
        <w:rPr>
          <w:rFonts w:hint="eastAsia" w:ascii="宋体" w:hAnsi="宋体" w:eastAsia="宋体" w:cs="宋体"/>
          <w:color w:val="auto"/>
          <w:kern w:val="0"/>
          <w:sz w:val="32"/>
          <w:szCs w:val="28"/>
        </w:rPr>
        <w:fldChar w:fldCharType="end"/>
      </w:r>
    </w:p>
    <w:p w14:paraId="5AA93805">
      <w:pPr>
        <w:spacing w:line="520" w:lineRule="exact"/>
        <w:rPr>
          <w:rFonts w:hint="eastAsia" w:ascii="宋体" w:hAnsi="宋体" w:eastAsia="宋体" w:cs="宋体"/>
          <w:color w:val="auto"/>
          <w:kern w:val="0"/>
          <w:sz w:val="36"/>
          <w:szCs w:val="32"/>
        </w:rPr>
      </w:pPr>
      <w:r>
        <w:rPr>
          <w:rFonts w:hint="eastAsia" w:ascii="宋体" w:hAnsi="宋体" w:eastAsia="宋体" w:cs="宋体"/>
          <w:color w:val="auto"/>
          <w:kern w:val="0"/>
          <w:sz w:val="24"/>
          <w:szCs w:val="28"/>
        </w:rPr>
        <w:fldChar w:fldCharType="end"/>
      </w:r>
    </w:p>
    <w:p w14:paraId="7ED01A47">
      <w:pPr>
        <w:spacing w:line="520" w:lineRule="exact"/>
        <w:rPr>
          <w:rFonts w:hint="eastAsia" w:ascii="宋体" w:hAnsi="宋体" w:eastAsia="宋体" w:cs="宋体"/>
          <w:color w:val="auto"/>
          <w:kern w:val="0"/>
          <w:sz w:val="28"/>
          <w:szCs w:val="24"/>
        </w:rPr>
      </w:pPr>
    </w:p>
    <w:p w14:paraId="56AD5890">
      <w:pPr>
        <w:spacing w:line="520" w:lineRule="exact"/>
        <w:rPr>
          <w:rFonts w:hint="eastAsia" w:ascii="宋体" w:hAnsi="宋体" w:eastAsia="宋体" w:cs="宋体"/>
          <w:color w:val="auto"/>
          <w:kern w:val="0"/>
          <w:sz w:val="28"/>
          <w:szCs w:val="24"/>
        </w:rPr>
      </w:pPr>
    </w:p>
    <w:p w14:paraId="6E7F4271">
      <w:pPr>
        <w:spacing w:line="520" w:lineRule="exact"/>
        <w:rPr>
          <w:rFonts w:hint="eastAsia" w:ascii="宋体" w:hAnsi="宋体" w:eastAsia="宋体" w:cs="宋体"/>
          <w:color w:val="auto"/>
          <w:kern w:val="0"/>
          <w:sz w:val="28"/>
          <w:szCs w:val="24"/>
        </w:rPr>
      </w:pPr>
    </w:p>
    <w:p w14:paraId="3E2CF17D">
      <w:pPr>
        <w:spacing w:line="520" w:lineRule="exact"/>
        <w:rPr>
          <w:rFonts w:hint="eastAsia" w:ascii="宋体" w:hAnsi="宋体" w:eastAsia="宋体" w:cs="宋体"/>
          <w:color w:val="auto"/>
          <w:kern w:val="0"/>
          <w:sz w:val="28"/>
          <w:szCs w:val="24"/>
        </w:rPr>
      </w:pPr>
    </w:p>
    <w:p w14:paraId="4762C7FB">
      <w:pPr>
        <w:spacing w:line="520" w:lineRule="exact"/>
        <w:rPr>
          <w:rFonts w:hint="eastAsia" w:ascii="宋体" w:hAnsi="宋体" w:eastAsia="宋体" w:cs="宋体"/>
          <w:color w:val="auto"/>
          <w:kern w:val="0"/>
          <w:sz w:val="28"/>
          <w:szCs w:val="24"/>
        </w:rPr>
      </w:pPr>
    </w:p>
    <w:p w14:paraId="6D80A39B">
      <w:pPr>
        <w:spacing w:line="520" w:lineRule="exact"/>
        <w:rPr>
          <w:rFonts w:hint="eastAsia" w:ascii="宋体" w:hAnsi="宋体" w:eastAsia="宋体" w:cs="宋体"/>
          <w:color w:val="auto"/>
          <w:kern w:val="0"/>
          <w:sz w:val="28"/>
          <w:szCs w:val="24"/>
        </w:rPr>
      </w:pPr>
    </w:p>
    <w:p w14:paraId="3BDA50E5">
      <w:pPr>
        <w:spacing w:line="520" w:lineRule="exact"/>
        <w:rPr>
          <w:rFonts w:hint="eastAsia" w:ascii="宋体" w:hAnsi="宋体" w:eastAsia="宋体" w:cs="宋体"/>
          <w:color w:val="auto"/>
          <w:kern w:val="0"/>
          <w:sz w:val="28"/>
          <w:szCs w:val="24"/>
        </w:rPr>
      </w:pPr>
    </w:p>
    <w:p w14:paraId="057723C8">
      <w:pPr>
        <w:spacing w:line="520" w:lineRule="exact"/>
        <w:rPr>
          <w:rFonts w:hint="eastAsia" w:ascii="宋体" w:hAnsi="宋体" w:eastAsia="宋体" w:cs="宋体"/>
          <w:color w:val="auto"/>
          <w:kern w:val="0"/>
          <w:sz w:val="28"/>
          <w:szCs w:val="24"/>
        </w:rPr>
      </w:pPr>
    </w:p>
    <w:p w14:paraId="267D5240">
      <w:pPr>
        <w:spacing w:line="520" w:lineRule="exact"/>
        <w:rPr>
          <w:rFonts w:hint="eastAsia" w:ascii="宋体" w:hAnsi="宋体" w:eastAsia="宋体" w:cs="宋体"/>
          <w:color w:val="auto"/>
          <w:kern w:val="0"/>
          <w:sz w:val="28"/>
          <w:szCs w:val="24"/>
        </w:rPr>
      </w:pPr>
    </w:p>
    <w:p w14:paraId="694D5C43">
      <w:pPr>
        <w:spacing w:line="520" w:lineRule="exact"/>
        <w:rPr>
          <w:rFonts w:hint="eastAsia" w:ascii="宋体" w:hAnsi="宋体" w:eastAsia="宋体" w:cs="宋体"/>
          <w:color w:val="auto"/>
          <w:kern w:val="0"/>
          <w:sz w:val="28"/>
          <w:szCs w:val="24"/>
        </w:rPr>
      </w:pPr>
    </w:p>
    <w:p w14:paraId="70F53C32">
      <w:pPr>
        <w:spacing w:line="520" w:lineRule="exact"/>
        <w:rPr>
          <w:rFonts w:hint="eastAsia" w:ascii="宋体" w:hAnsi="宋体" w:eastAsia="宋体" w:cs="宋体"/>
          <w:color w:val="auto"/>
        </w:rPr>
      </w:pPr>
      <w:r>
        <w:rPr>
          <w:rFonts w:hint="eastAsia" w:ascii="宋体" w:hAnsi="宋体" w:eastAsia="宋体" w:cs="宋体"/>
          <w:color w:val="auto"/>
          <w:kern w:val="0"/>
          <w:sz w:val="28"/>
          <w:szCs w:val="24"/>
        </w:rPr>
        <w:br w:type="textWrapping"/>
      </w:r>
    </w:p>
    <w:p w14:paraId="3A53F5A7">
      <w:pPr>
        <w:rPr>
          <w:rFonts w:hint="eastAsia" w:ascii="宋体" w:hAnsi="宋体" w:eastAsia="宋体" w:cs="宋体"/>
          <w:color w:val="auto"/>
          <w:kern w:val="0"/>
          <w:sz w:val="28"/>
          <w:szCs w:val="24"/>
        </w:rPr>
      </w:pPr>
      <w:r>
        <w:rPr>
          <w:rFonts w:hint="eastAsia" w:ascii="宋体" w:hAnsi="宋体" w:eastAsia="宋体" w:cs="宋体"/>
          <w:color w:val="auto"/>
          <w:kern w:val="0"/>
          <w:sz w:val="28"/>
          <w:szCs w:val="24"/>
        </w:rPr>
        <w:br w:type="page"/>
      </w:r>
    </w:p>
    <w:p w14:paraId="5AC91CE7">
      <w:pPr>
        <w:pStyle w:val="33"/>
        <w:ind w:firstLine="420"/>
        <w:rPr>
          <w:rFonts w:hint="eastAsia" w:ascii="宋体" w:hAnsi="宋体" w:eastAsia="宋体" w:cs="宋体"/>
          <w:color w:val="auto"/>
        </w:rPr>
      </w:pPr>
    </w:p>
    <w:p w14:paraId="7923CC8D">
      <w:pPr>
        <w:widowControl/>
        <w:numPr>
          <w:ilvl w:val="0"/>
          <w:numId w:val="3"/>
        </w:numPr>
        <w:shd w:val="clear" w:color="auto" w:fill="FFFFFF"/>
        <w:spacing w:line="420" w:lineRule="atLeast"/>
        <w:jc w:val="center"/>
        <w:outlineLvl w:val="0"/>
        <w:rPr>
          <w:rFonts w:hint="eastAsia" w:ascii="宋体" w:hAnsi="宋体" w:eastAsia="宋体" w:cs="宋体"/>
          <w:b/>
          <w:bCs/>
          <w:color w:val="auto"/>
          <w:kern w:val="0"/>
          <w:sz w:val="36"/>
          <w:szCs w:val="36"/>
        </w:rPr>
      </w:pPr>
      <w:bookmarkStart w:id="0" w:name="_Toc14233"/>
      <w:bookmarkStart w:id="1" w:name="_Toc109675032"/>
      <w:r>
        <w:rPr>
          <w:rFonts w:hint="eastAsia" w:ascii="宋体" w:hAnsi="宋体" w:eastAsia="宋体" w:cs="宋体"/>
          <w:b/>
          <w:bCs/>
          <w:color w:val="auto"/>
          <w:kern w:val="0"/>
          <w:sz w:val="36"/>
          <w:szCs w:val="36"/>
        </w:rPr>
        <w:t>竞争性磋商公告</w:t>
      </w:r>
      <w:bookmarkEnd w:id="0"/>
      <w:bookmarkEnd w:id="1"/>
    </w:p>
    <w:p w14:paraId="449FCF55">
      <w:pPr>
        <w:bidi w:val="0"/>
        <w:rPr>
          <w:rFonts w:hint="eastAsia" w:ascii="宋体" w:hAnsi="宋体" w:eastAsia="宋体" w:cs="宋体"/>
          <w:color w:val="auto"/>
          <w:sz w:val="28"/>
          <w:szCs w:val="28"/>
        </w:rPr>
      </w:pPr>
      <w:r>
        <w:rPr>
          <w:rFonts w:hint="eastAsia" w:ascii="宋体" w:hAnsi="宋体" w:eastAsia="宋体" w:cs="宋体"/>
          <w:color w:val="auto"/>
          <w:sz w:val="28"/>
          <w:szCs w:val="28"/>
        </w:rPr>
        <w:t>项目概况</w:t>
      </w:r>
    </w:p>
    <w:p w14:paraId="569BFC1E">
      <w:pPr>
        <w:bidi w:val="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渑池县机器人产业园建设项目地勘服务项目</w:t>
      </w:r>
      <w:r>
        <w:rPr>
          <w:rFonts w:hint="eastAsia" w:ascii="宋体" w:hAnsi="宋体" w:eastAsia="宋体" w:cs="宋体"/>
          <w:color w:val="auto"/>
          <w:sz w:val="28"/>
          <w:szCs w:val="28"/>
        </w:rPr>
        <w:t>的潜在投标人应在三门峡市公共资源交易中心网获取磋商文件，并于</w:t>
      </w: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21</w:t>
      </w:r>
      <w:r>
        <w:rPr>
          <w:rFonts w:hint="eastAsia" w:ascii="宋体" w:hAnsi="宋体" w:eastAsia="宋体" w:cs="宋体"/>
          <w:color w:val="auto"/>
          <w:sz w:val="28"/>
          <w:szCs w:val="28"/>
        </w:rPr>
        <w:t>日08时</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0分（北京时间）前递交响应文件。</w:t>
      </w:r>
    </w:p>
    <w:p w14:paraId="0402CB32">
      <w:pPr>
        <w:bidi w:val="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一、项目基本情况</w:t>
      </w:r>
    </w:p>
    <w:p w14:paraId="6A1921A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560" w:firstLineChars="200"/>
        <w:jc w:val="left"/>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1</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项目编</w:t>
      </w:r>
      <w:r>
        <w:rPr>
          <w:rFonts w:hint="eastAsia" w:ascii="宋体" w:hAnsi="宋体" w:eastAsia="宋体" w:cs="宋体"/>
          <w:color w:val="auto"/>
          <w:sz w:val="28"/>
          <w:szCs w:val="28"/>
          <w:lang w:eastAsia="zh-CN"/>
        </w:rPr>
        <w:t>号</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lang w:eastAsia="zh-CN"/>
        </w:rPr>
        <w:t>MCGZ[2025]011-ZC009、渑池竞磋采购-2025-80</w:t>
      </w:r>
    </w:p>
    <w:p w14:paraId="33EC4869">
      <w:pPr>
        <w:bidi w:val="0"/>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项目名称：</w:t>
      </w:r>
      <w:r>
        <w:rPr>
          <w:rFonts w:hint="eastAsia" w:ascii="宋体" w:hAnsi="宋体" w:eastAsia="宋体" w:cs="宋体"/>
          <w:color w:val="auto"/>
          <w:sz w:val="28"/>
          <w:szCs w:val="28"/>
          <w:lang w:eastAsia="zh-CN"/>
        </w:rPr>
        <w:t>渑池县机器人产业园建设项目地勘服务项目</w:t>
      </w:r>
    </w:p>
    <w:p w14:paraId="2680D9B7">
      <w:pPr>
        <w:bidi w:val="0"/>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3、采购方式：竞争性磋商</w:t>
      </w:r>
    </w:p>
    <w:p w14:paraId="3FE677B7">
      <w:pPr>
        <w:bidi w:val="0"/>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4、预算金额：</w:t>
      </w:r>
      <w:r>
        <w:rPr>
          <w:rFonts w:hint="eastAsia" w:ascii="宋体" w:hAnsi="宋体" w:eastAsia="宋体" w:cs="宋体"/>
          <w:color w:val="auto"/>
          <w:sz w:val="28"/>
          <w:szCs w:val="28"/>
          <w:lang w:val="en-US" w:eastAsia="zh-CN"/>
        </w:rPr>
        <w:t>450000.00</w:t>
      </w:r>
      <w:r>
        <w:rPr>
          <w:rFonts w:hint="eastAsia" w:ascii="宋体" w:hAnsi="宋体" w:eastAsia="宋体" w:cs="宋体"/>
          <w:color w:val="auto"/>
          <w:sz w:val="28"/>
          <w:szCs w:val="28"/>
          <w:lang w:eastAsia="zh-CN"/>
        </w:rPr>
        <w:t>元</w:t>
      </w:r>
    </w:p>
    <w:p w14:paraId="5F974648">
      <w:pPr>
        <w:bidi w:val="0"/>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最高限价：</w:t>
      </w:r>
      <w:r>
        <w:rPr>
          <w:rFonts w:hint="eastAsia" w:ascii="宋体" w:hAnsi="宋体" w:eastAsia="宋体" w:cs="宋体"/>
          <w:color w:val="auto"/>
          <w:sz w:val="28"/>
          <w:szCs w:val="28"/>
          <w:lang w:val="en-US" w:eastAsia="zh-CN"/>
        </w:rPr>
        <w:t>450000.00</w:t>
      </w:r>
      <w:r>
        <w:rPr>
          <w:rFonts w:hint="eastAsia" w:ascii="宋体" w:hAnsi="宋体" w:eastAsia="宋体" w:cs="宋体"/>
          <w:color w:val="auto"/>
          <w:sz w:val="28"/>
          <w:szCs w:val="28"/>
          <w:lang w:eastAsia="zh-CN"/>
        </w:rPr>
        <w:t>元</w:t>
      </w:r>
    </w:p>
    <w:tbl>
      <w:tblPr>
        <w:tblStyle w:val="19"/>
        <w:tblW w:w="111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2226"/>
        <w:gridCol w:w="4214"/>
        <w:gridCol w:w="1629"/>
        <w:gridCol w:w="2285"/>
      </w:tblGrid>
      <w:tr w14:paraId="74E86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807" w:type="dxa"/>
            <w:vAlign w:val="center"/>
          </w:tcPr>
          <w:p w14:paraId="7C1792AF">
            <w:pPr>
              <w:bidi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序号</w:t>
            </w:r>
          </w:p>
        </w:tc>
        <w:tc>
          <w:tcPr>
            <w:tcW w:w="2226" w:type="dxa"/>
            <w:vAlign w:val="center"/>
          </w:tcPr>
          <w:p w14:paraId="10074CDB">
            <w:pPr>
              <w:bidi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包号</w:t>
            </w:r>
          </w:p>
        </w:tc>
        <w:tc>
          <w:tcPr>
            <w:tcW w:w="4214" w:type="dxa"/>
            <w:vAlign w:val="center"/>
          </w:tcPr>
          <w:p w14:paraId="0DB7F796">
            <w:pPr>
              <w:bidi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包名称</w:t>
            </w:r>
          </w:p>
        </w:tc>
        <w:tc>
          <w:tcPr>
            <w:tcW w:w="1629" w:type="dxa"/>
            <w:vAlign w:val="center"/>
          </w:tcPr>
          <w:p w14:paraId="22BD7E00">
            <w:pPr>
              <w:bidi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包预算（元）</w:t>
            </w:r>
          </w:p>
        </w:tc>
        <w:tc>
          <w:tcPr>
            <w:tcW w:w="2285" w:type="dxa"/>
            <w:vAlign w:val="center"/>
          </w:tcPr>
          <w:p w14:paraId="72E28CE1">
            <w:pPr>
              <w:bidi w:val="0"/>
              <w:jc w:val="left"/>
              <w:rPr>
                <w:rFonts w:hint="eastAsia" w:ascii="宋体" w:hAnsi="宋体" w:eastAsia="宋体" w:cs="宋体"/>
                <w:color w:val="auto"/>
                <w:sz w:val="28"/>
                <w:szCs w:val="28"/>
              </w:rPr>
            </w:pPr>
            <w:r>
              <w:rPr>
                <w:rFonts w:hint="eastAsia" w:ascii="宋体" w:hAnsi="宋体" w:eastAsia="宋体" w:cs="宋体"/>
                <w:color w:val="auto"/>
                <w:sz w:val="28"/>
                <w:szCs w:val="28"/>
              </w:rPr>
              <w:t>包最高限价（元）</w:t>
            </w:r>
          </w:p>
        </w:tc>
      </w:tr>
      <w:tr w14:paraId="2FADF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807" w:type="dxa"/>
            <w:vAlign w:val="center"/>
          </w:tcPr>
          <w:p w14:paraId="692B0C10">
            <w:pPr>
              <w:bidi w:val="0"/>
              <w:jc w:val="center"/>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2226" w:type="dxa"/>
            <w:vAlign w:val="center"/>
          </w:tcPr>
          <w:p w14:paraId="0D6A5E0A">
            <w:pPr>
              <w:bidi w:val="0"/>
              <w:jc w:val="center"/>
              <w:rPr>
                <w:rFonts w:hint="default" w:ascii="宋体" w:hAnsi="宋体" w:eastAsia="微软雅黑" w:cs="宋体"/>
                <w:color w:val="auto"/>
                <w:sz w:val="28"/>
                <w:szCs w:val="28"/>
                <w:lang w:val="en-US" w:eastAsia="zh-CN"/>
              </w:rPr>
            </w:pPr>
            <w:r>
              <w:rPr>
                <w:rFonts w:hint="eastAsia" w:ascii="宋体" w:hAnsi="宋体" w:eastAsia="宋体" w:cs="宋体"/>
                <w:color w:val="auto"/>
                <w:sz w:val="28"/>
                <w:szCs w:val="28"/>
              </w:rPr>
              <w:t>MCGZ[2025]011-ZC009</w:t>
            </w:r>
            <w:r>
              <w:rPr>
                <w:rFonts w:hint="eastAsia" w:ascii="宋体" w:hAnsi="宋体" w:eastAsia="宋体" w:cs="宋体"/>
                <w:color w:val="auto"/>
                <w:sz w:val="28"/>
                <w:szCs w:val="28"/>
                <w:lang w:val="en-US" w:eastAsia="zh-CN"/>
              </w:rPr>
              <w:t>-1</w:t>
            </w:r>
          </w:p>
        </w:tc>
        <w:tc>
          <w:tcPr>
            <w:tcW w:w="4214" w:type="dxa"/>
            <w:vAlign w:val="center"/>
          </w:tcPr>
          <w:p w14:paraId="2A448F3A">
            <w:pPr>
              <w:bidi w:val="0"/>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渑池县机器人产业园建设项目地勘服务项目</w:t>
            </w:r>
          </w:p>
        </w:tc>
        <w:tc>
          <w:tcPr>
            <w:tcW w:w="1629" w:type="dxa"/>
            <w:vAlign w:val="center"/>
          </w:tcPr>
          <w:p w14:paraId="57178B1F">
            <w:pPr>
              <w:bidi w:val="0"/>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450000.00</w:t>
            </w:r>
          </w:p>
        </w:tc>
        <w:tc>
          <w:tcPr>
            <w:tcW w:w="2285" w:type="dxa"/>
            <w:vAlign w:val="center"/>
          </w:tcPr>
          <w:p w14:paraId="4688563E">
            <w:pPr>
              <w:bidi w:val="0"/>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450000.00</w:t>
            </w:r>
          </w:p>
        </w:tc>
      </w:tr>
    </w:tbl>
    <w:p w14:paraId="0AE342E5">
      <w:pPr>
        <w:bidi w:val="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5、采购需求（包括但不限于标的的名称、数量、简要技术需求或</w:t>
      </w:r>
      <w:r>
        <w:rPr>
          <w:rFonts w:hint="eastAsia" w:ascii="宋体" w:hAnsi="宋体" w:eastAsia="宋体" w:cs="宋体"/>
          <w:color w:val="auto"/>
          <w:sz w:val="28"/>
          <w:szCs w:val="28"/>
          <w:lang w:eastAsia="zh-CN"/>
        </w:rPr>
        <w:t>质量要求</w:t>
      </w:r>
      <w:r>
        <w:rPr>
          <w:rFonts w:hint="eastAsia" w:ascii="宋体" w:hAnsi="宋体" w:eastAsia="宋体" w:cs="宋体"/>
          <w:color w:val="auto"/>
          <w:sz w:val="28"/>
          <w:szCs w:val="28"/>
        </w:rPr>
        <w:t>等）</w:t>
      </w:r>
    </w:p>
    <w:p w14:paraId="68164636">
      <w:pPr>
        <w:bidi w:val="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5.1采购内容：</w:t>
      </w:r>
      <w:r>
        <w:rPr>
          <w:rFonts w:hint="eastAsia" w:ascii="宋体" w:hAnsi="宋体" w:eastAsia="宋体" w:cs="宋体"/>
          <w:color w:val="auto"/>
          <w:sz w:val="28"/>
          <w:szCs w:val="28"/>
          <w:lang w:val="en-US" w:eastAsia="zh-CN"/>
        </w:rPr>
        <w:t>渑池县机器人产业园建设项目地勘服务项目区域内的地质勘察及后续验收服务工作，包括但不仅限于收集资料、现场踏勘、制订勘察纲要、进行测绘、勘探、取样、钻探、试验等勘察作业；编制工程勘察报告，与设计单位、施工单位的配合服务。</w:t>
      </w:r>
    </w:p>
    <w:p w14:paraId="7BB0A804">
      <w:pPr>
        <w:bidi w:val="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资金来源：财政资金，已落实。</w:t>
      </w:r>
    </w:p>
    <w:p w14:paraId="56036445">
      <w:pPr>
        <w:bidi w:val="0"/>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5.</w:t>
      </w:r>
      <w:r>
        <w:rPr>
          <w:rFonts w:hint="eastAsia" w:ascii="宋体" w:hAnsi="宋体" w:eastAsia="宋体" w:cs="宋体"/>
          <w:color w:val="auto"/>
          <w:sz w:val="28"/>
          <w:szCs w:val="28"/>
          <w:lang w:val="en-US" w:eastAsia="zh-CN"/>
        </w:rPr>
        <w:t>3服务周期：</w:t>
      </w:r>
      <w:r>
        <w:rPr>
          <w:rFonts w:hint="eastAsia" w:ascii="宋体" w:hAnsi="宋体" w:eastAsia="宋体" w:cs="宋体"/>
          <w:color w:val="auto"/>
          <w:kern w:val="0"/>
          <w:sz w:val="28"/>
          <w:szCs w:val="28"/>
          <w:lang w:eastAsia="zh-CN"/>
        </w:rPr>
        <w:t>自签订合同起20日历天内</w:t>
      </w:r>
    </w:p>
    <w:p w14:paraId="25549414">
      <w:pPr>
        <w:bidi w:val="0"/>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5.</w:t>
      </w:r>
      <w:r>
        <w:rPr>
          <w:rFonts w:hint="eastAsia" w:ascii="宋体" w:hAnsi="宋体" w:eastAsia="宋体" w:cs="宋体"/>
          <w:color w:val="auto"/>
          <w:sz w:val="28"/>
          <w:szCs w:val="28"/>
          <w:lang w:val="en-US" w:eastAsia="zh-CN"/>
        </w:rPr>
        <w:t>4质量要求：符合国家相关技术规范、规程和有关技术规定</w:t>
      </w:r>
    </w:p>
    <w:p w14:paraId="6033BACB">
      <w:pPr>
        <w:bidi w:val="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6、合同履行期限：按合同约定执行。</w:t>
      </w:r>
    </w:p>
    <w:p w14:paraId="4A14630F">
      <w:pPr>
        <w:bidi w:val="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7、本项目是否接受联合体投标：否</w:t>
      </w:r>
    </w:p>
    <w:p w14:paraId="0A429201">
      <w:pPr>
        <w:bidi w:val="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8、是否接受进口产品：否</w:t>
      </w:r>
    </w:p>
    <w:p w14:paraId="6F65F2EC">
      <w:pPr>
        <w:bidi w:val="0"/>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rPr>
        <w:t>9、是否为只面向中小企业采购：</w:t>
      </w:r>
      <w:r>
        <w:rPr>
          <w:rFonts w:hint="eastAsia" w:ascii="宋体" w:hAnsi="宋体" w:eastAsia="宋体" w:cs="宋体"/>
          <w:color w:val="auto"/>
          <w:sz w:val="28"/>
          <w:szCs w:val="28"/>
          <w:lang w:eastAsia="zh-CN"/>
        </w:rPr>
        <w:t>否</w:t>
      </w:r>
    </w:p>
    <w:p w14:paraId="7A91768D">
      <w:pPr>
        <w:bidi w:val="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二、申请人资格要求</w:t>
      </w:r>
    </w:p>
    <w:p w14:paraId="4C10F51E">
      <w:pPr>
        <w:bidi w:val="0"/>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1、满足《中华人民共和国政府采购法》第二十二条的规定：</w:t>
      </w:r>
    </w:p>
    <w:p w14:paraId="3CB912AD">
      <w:pPr>
        <w:bidi w:val="0"/>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（一）具有独立承担民事责任的能力；</w:t>
      </w:r>
    </w:p>
    <w:p w14:paraId="4A9D36A2">
      <w:pPr>
        <w:bidi w:val="0"/>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（二）具有良好的商业信誉和健全的财务会计制度；</w:t>
      </w:r>
    </w:p>
    <w:p w14:paraId="5BE3B35C">
      <w:pPr>
        <w:bidi w:val="0"/>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（三）具有履行合同所必需的设备和专业技术能力；</w:t>
      </w:r>
    </w:p>
    <w:p w14:paraId="28532892">
      <w:pPr>
        <w:bidi w:val="0"/>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（四）有依法缴纳税收和社会保障资金的良好记录；</w:t>
      </w:r>
    </w:p>
    <w:p w14:paraId="6D18D08A">
      <w:pPr>
        <w:bidi w:val="0"/>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（五）参加政府采购活动前三年内，在经营活动中没有重大违法记录；</w:t>
      </w:r>
    </w:p>
    <w:p w14:paraId="2E707BC7">
      <w:pPr>
        <w:bidi w:val="0"/>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（六）法律、行政法规规定的其他条件。</w:t>
      </w:r>
    </w:p>
    <w:p w14:paraId="2BB212E2">
      <w:pPr>
        <w:bidi w:val="0"/>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注：供应商在投标（响应）时，提供相关承诺函，无需提供上述证明材料；采购人有权在签订合同前要求成交供应商提供相关证明材料以核实成交供应商承诺事项的真实性。</w:t>
      </w:r>
    </w:p>
    <w:p w14:paraId="6E3A01EC">
      <w:pPr>
        <w:bidi w:val="0"/>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2、落实政府采购政策满足的资格要求：本项目执行促进中小型企业（残疾人福利性企业、监狱企业）发展政策、优先采购节能环保产品等政府采购政策。</w:t>
      </w:r>
    </w:p>
    <w:p w14:paraId="1E2B61F0">
      <w:pPr>
        <w:bidi w:val="0"/>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3、本项目的特定资格要求：</w:t>
      </w:r>
    </w:p>
    <w:p w14:paraId="14E614AD">
      <w:pPr>
        <w:bidi w:val="0"/>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（1）具备合法有效的营业执照、税务登记证、组织机构代码证（三证合一的仅提供营业执照）。</w:t>
      </w:r>
    </w:p>
    <w:p w14:paraId="2CACC4D7">
      <w:pPr>
        <w:bidi w:val="0"/>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（2）供应商应具备建设行政主管部门颁发的工程勘察专业资质（岩土工程）乙级以上资质或工程勘察综合资质。</w:t>
      </w:r>
    </w:p>
    <w:p w14:paraId="75CDD211">
      <w:pPr>
        <w:bidi w:val="0"/>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）拟派项目负责人应具有注册岩土工程师执业资格，且为本单位人员，在本单位缴纳社保，提供劳动合同、社保证明资料。</w:t>
      </w:r>
    </w:p>
    <w:p w14:paraId="5B3DBBA6">
      <w:pPr>
        <w:bidi w:val="0"/>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eastAsia="zh-CN"/>
        </w:rPr>
        <w:t>供应商出具无商业贿赂及无不正当竞争行为的承诺书</w:t>
      </w:r>
      <w:r>
        <w:rPr>
          <w:rFonts w:hint="eastAsia" w:ascii="宋体" w:hAnsi="宋体" w:eastAsia="宋体" w:cs="宋体"/>
          <w:color w:val="auto"/>
          <w:sz w:val="28"/>
          <w:szCs w:val="28"/>
          <w:lang w:val="en-US" w:eastAsia="zh-CN"/>
        </w:rPr>
        <w:t>。</w:t>
      </w:r>
    </w:p>
    <w:p w14:paraId="2E2210E9">
      <w:pPr>
        <w:bidi w:val="0"/>
        <w:ind w:firstLine="560" w:firstLineChars="20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供应商须出具无行贿犯罪记录在中国裁判文书网自行查询结果或自行承诺（查询对象：企业、法定代表人、拟派项目负责人）</w:t>
      </w:r>
      <w:r>
        <w:rPr>
          <w:rFonts w:hint="eastAsia" w:ascii="宋体" w:hAnsi="宋体" w:eastAsia="宋体" w:cs="宋体"/>
          <w:color w:val="auto"/>
          <w:sz w:val="28"/>
          <w:szCs w:val="28"/>
          <w:lang w:eastAsia="zh-CN"/>
        </w:rPr>
        <w:t>。</w:t>
      </w:r>
    </w:p>
    <w:p w14:paraId="72A24953">
      <w:pPr>
        <w:bidi w:val="0"/>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失信被执行人查询渠道：“中国执行信息公开网”http://zxgk.court.gov.cn、重大税收违法失信主体、政府采购严重违法失信行为记录名单查询渠道：“信用中国”网站www.creditchina.gov.cn、政府采购严重违法失信行为记录名单查询渠道：中国政府采购网（www.ccgp.gov.cn）】；提供查询结果截图。（查询日期为本项目查询时间自公告发布之日起至响应文件递交截止之日止）。</w:t>
      </w:r>
    </w:p>
    <w:p w14:paraId="7549F2BF">
      <w:pPr>
        <w:bidi w:val="0"/>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单位负责人为同一人或者存在直接控股、管理关系的不同供应商，不得参加同一合同项下的采购活动；提供“国家企业信用信息公示系统”http://www.gsxt.gov.cn/index.html网页查询,需包含公司基本信息、股东信息及股权变更信息内容，（查询日期为本项目查询时间自公告发布之日起至响应文件递交截止之日止）。</w:t>
      </w:r>
    </w:p>
    <w:p w14:paraId="3BB3DFAC">
      <w:pPr>
        <w:bidi w:val="0"/>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本项目不接收联合体投标。</w:t>
      </w:r>
    </w:p>
    <w:p w14:paraId="308CD58E">
      <w:pPr>
        <w:numPr>
          <w:ilvl w:val="0"/>
          <w:numId w:val="0"/>
        </w:numPr>
        <w:bidi w:val="0"/>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温馨提醒：本项目为资格后审，资格审查由采购人依法组建的磋商小组负责。各供应商应认真阅读本项目供应商资格要求，避免无资格投标而造成不必要的损失。</w:t>
      </w:r>
    </w:p>
    <w:p w14:paraId="55F6A550">
      <w:pPr>
        <w:bidi w:val="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三、获取采购文件</w:t>
      </w:r>
    </w:p>
    <w:p w14:paraId="1DCA3B84">
      <w:pPr>
        <w:bidi w:val="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时间：</w:t>
      </w:r>
      <w:r>
        <w:rPr>
          <w:rFonts w:hint="eastAsia" w:ascii="宋体" w:hAnsi="宋体" w:eastAsia="宋体" w:cs="宋体"/>
          <w:color w:val="auto"/>
          <w:sz w:val="28"/>
          <w:szCs w:val="28"/>
        </w:rPr>
        <w:t>202</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日至202</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21</w:t>
      </w:r>
      <w:r>
        <w:rPr>
          <w:rFonts w:hint="eastAsia" w:ascii="宋体" w:hAnsi="宋体" w:eastAsia="宋体" w:cs="宋体"/>
          <w:color w:val="auto"/>
          <w:sz w:val="28"/>
          <w:szCs w:val="28"/>
        </w:rPr>
        <w:t>日</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8时</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0分(北京时间)。</w:t>
      </w:r>
    </w:p>
    <w:p w14:paraId="1A67F156">
      <w:pPr>
        <w:bidi w:val="0"/>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2、地点：</w:t>
      </w:r>
      <w:r>
        <w:rPr>
          <w:rFonts w:hint="eastAsia" w:ascii="宋体" w:hAnsi="宋体" w:eastAsia="宋体" w:cs="宋体"/>
          <w:color w:val="auto"/>
          <w:sz w:val="28"/>
          <w:szCs w:val="28"/>
        </w:rPr>
        <w:t>三门峡市公共资源交易中心网（网址：http://gzjy.smx.gov.cn）</w:t>
      </w:r>
    </w:p>
    <w:p w14:paraId="0FF68AA9">
      <w:pPr>
        <w:bidi w:val="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3、方式：</w:t>
      </w:r>
      <w:r>
        <w:rPr>
          <w:rFonts w:hint="eastAsia" w:ascii="宋体" w:hAnsi="宋体" w:eastAsia="宋体" w:cs="宋体"/>
          <w:color w:val="auto"/>
          <w:sz w:val="28"/>
          <w:szCs w:val="28"/>
        </w:rPr>
        <w:t>本项目没有报名环节，供应商凭CA数字证书通过三门峡市公共资源交易中心网（网址：http://gzjy.smx.gov.cn/），点击公共资源交易平台选择“交易主体登录”，在所参与项目右侧点击参与投标，即可直接下载本项目</w:t>
      </w:r>
      <w:r>
        <w:rPr>
          <w:rFonts w:hint="eastAsia" w:ascii="宋体" w:hAnsi="宋体" w:eastAsia="宋体" w:cs="宋体"/>
          <w:color w:val="auto"/>
          <w:sz w:val="28"/>
          <w:szCs w:val="28"/>
          <w:lang w:val="en-US" w:eastAsia="zh-CN"/>
        </w:rPr>
        <w:t>磋商</w:t>
      </w:r>
      <w:r>
        <w:rPr>
          <w:rFonts w:hint="eastAsia" w:ascii="宋体" w:hAnsi="宋体" w:eastAsia="宋体" w:cs="宋体"/>
          <w:color w:val="auto"/>
          <w:sz w:val="28"/>
          <w:szCs w:val="28"/>
        </w:rPr>
        <w:t>文件。</w:t>
      </w:r>
    </w:p>
    <w:p w14:paraId="0D362EBD">
      <w:pPr>
        <w:bidi w:val="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具体操作请查看以下链接：http://gzjy.smx.gov.cn/bzzx/008001/20200325/1d4d9bd4-82a2-4284-b2f7-428c4c69ef58.html</w:t>
      </w:r>
    </w:p>
    <w:p w14:paraId="5C3DEC87">
      <w:pPr>
        <w:bidi w:val="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CA证书操作手册：http://gzjy.smx.gov.cn/fwzn/004003/20210114/62052444-fa5b-47bb-8c75-c669600e56a8.html</w:t>
      </w:r>
    </w:p>
    <w:p w14:paraId="24A1B926">
      <w:pPr>
        <w:bidi w:val="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根据《关于进一步加强公共资源交易管理持续优化营商环境的通知》（三公管办[2020]2号）文件的要求，磋商文件费用不再收取。</w:t>
      </w:r>
    </w:p>
    <w:p w14:paraId="34E25FE5">
      <w:pPr>
        <w:bidi w:val="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售价：0元</w:t>
      </w:r>
    </w:p>
    <w:p w14:paraId="0F14FD25">
      <w:pPr>
        <w:bidi w:val="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四、响应文件提交</w:t>
      </w:r>
    </w:p>
    <w:p w14:paraId="697700F4">
      <w:pPr>
        <w:bidi w:val="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1、截止时间：202</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年</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21</w:t>
      </w:r>
      <w:r>
        <w:rPr>
          <w:rFonts w:hint="eastAsia" w:ascii="宋体" w:hAnsi="宋体" w:eastAsia="宋体" w:cs="宋体"/>
          <w:color w:val="auto"/>
          <w:sz w:val="28"/>
          <w:szCs w:val="28"/>
        </w:rPr>
        <w:t>日</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8时</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0分（北京时间）</w:t>
      </w:r>
    </w:p>
    <w:p w14:paraId="35EB2AEA">
      <w:pPr>
        <w:bidi w:val="0"/>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2、地点：在三门峡市公共资源交易中心网中上传加密响应文件。</w:t>
      </w:r>
    </w:p>
    <w:p w14:paraId="5E0F0DE6">
      <w:pPr>
        <w:bidi w:val="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五、响应文件开启</w:t>
      </w:r>
    </w:p>
    <w:p w14:paraId="3B1B19F6">
      <w:pPr>
        <w:bidi w:val="0"/>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1、时间：2025年7月21日08时20分（北京时间）</w:t>
      </w:r>
    </w:p>
    <w:p w14:paraId="3125CCDB">
      <w:pPr>
        <w:bidi w:val="0"/>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2、开标地点: 渑池县公共资源交易中心六楼开标区；</w:t>
      </w:r>
    </w:p>
    <w:p w14:paraId="59ABC07B">
      <w:pPr>
        <w:bidi w:val="0"/>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3、评标地点：渑池县公共资源交易中心六楼开标区电子评标室。</w:t>
      </w:r>
    </w:p>
    <w:p w14:paraId="282CFCD7">
      <w:pPr>
        <w:bidi w:val="0"/>
        <w:ind w:firstLine="560" w:firstLineChars="200"/>
        <w:rPr>
          <w:rFonts w:hint="eastAsia" w:ascii="宋体" w:hAnsi="宋体" w:eastAsia="宋体" w:cs="宋体"/>
          <w:color w:val="auto"/>
          <w:sz w:val="28"/>
          <w:szCs w:val="28"/>
        </w:rPr>
      </w:pPr>
    </w:p>
    <w:p w14:paraId="00FC2757">
      <w:pPr>
        <w:bidi w:val="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六、发布公告的媒介及公告期限</w:t>
      </w:r>
    </w:p>
    <w:p w14:paraId="365E6ACB">
      <w:pPr>
        <w:bidi w:val="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本次公告在《河南省政府采购网》、《中国招标投标公共服务平台》、《三门峡市公共资源交易中心网》上发布。</w:t>
      </w:r>
    </w:p>
    <w:p w14:paraId="2FB01626">
      <w:pPr>
        <w:bidi w:val="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七、其他补充事宜</w:t>
      </w:r>
    </w:p>
    <w:p w14:paraId="41BC3EF3">
      <w:pPr>
        <w:bidi w:val="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本项目为不见面开标项目，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磋商响应文件解密等。每位投标人的解密时间为开标时间起30分钟内完成。因投标人原因未能解密、解密失败或解密超时的将被拒绝。</w:t>
      </w:r>
    </w:p>
    <w:p w14:paraId="5559B478">
      <w:pPr>
        <w:bidi w:val="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本项目为电子化、无纸化交易项目，开标时不再接受任何纸质资料，为保证您能投标成功，请需仔细阅读竞争性磋商文件和三门峡市公共资源交易中心官网业务办理指南。</w:t>
      </w:r>
    </w:p>
    <w:p w14:paraId="2FE5B2DA">
      <w:pPr>
        <w:bidi w:val="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根据《河南省财政厅关于优化政府采购营商环境有关问题的通知》（豫财购【2019】4号）第6条的规定，磋商保证金不再收取。</w:t>
      </w:r>
    </w:p>
    <w:p w14:paraId="3CEEB057">
      <w:pPr>
        <w:bidi w:val="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本项目实行资格后审，审查内容以</w:t>
      </w:r>
      <w:r>
        <w:rPr>
          <w:rFonts w:hint="eastAsia" w:ascii="宋体" w:hAnsi="宋体" w:eastAsia="宋体" w:cs="宋体"/>
          <w:color w:val="auto"/>
          <w:sz w:val="28"/>
          <w:szCs w:val="28"/>
          <w:lang w:val="en-US" w:eastAsia="zh-CN"/>
        </w:rPr>
        <w:t>磋商</w:t>
      </w:r>
      <w:r>
        <w:rPr>
          <w:rFonts w:hint="eastAsia" w:ascii="宋体" w:hAnsi="宋体" w:eastAsia="宋体" w:cs="宋体"/>
          <w:color w:val="auto"/>
          <w:sz w:val="28"/>
          <w:szCs w:val="28"/>
        </w:rPr>
        <w:t>截止时间前在三门峡市公共资源交易平台“投标文件”上传的信息为准，同时，投标人（供应商）要完善主体库。规定时间外上传或更改的信息不作为评标依据。投标文件中上传的信息真实有效，扫描件清晰可辨。否则，由此造成应得分而未得分或资格审查不合格等情况的，由供应商承担责任。</w:t>
      </w:r>
    </w:p>
    <w:p w14:paraId="0F522E39">
      <w:pPr>
        <w:bidi w:val="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评标打分部分：评标打分部分仍按照100分制原则进行，涉及到计分部分时，以</w:t>
      </w:r>
      <w:r>
        <w:rPr>
          <w:rFonts w:hint="eastAsia" w:ascii="宋体" w:hAnsi="宋体" w:eastAsia="宋体" w:cs="宋体"/>
          <w:color w:val="auto"/>
          <w:sz w:val="28"/>
          <w:szCs w:val="28"/>
          <w:lang w:eastAsia="zh-CN"/>
        </w:rPr>
        <w:t>投标供应商</w:t>
      </w:r>
      <w:r>
        <w:rPr>
          <w:rFonts w:hint="eastAsia" w:ascii="宋体" w:hAnsi="宋体" w:eastAsia="宋体" w:cs="宋体"/>
          <w:color w:val="auto"/>
          <w:sz w:val="28"/>
          <w:szCs w:val="28"/>
        </w:rPr>
        <w:t>自行上传到磋商响应文件中的相应内容为准。</w:t>
      </w:r>
    </w:p>
    <w:p w14:paraId="18C60232">
      <w:pPr>
        <w:bidi w:val="0"/>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、其他事项：</w:t>
      </w:r>
    </w:p>
    <w:p w14:paraId="75C0567E">
      <w:pPr>
        <w:bidi w:val="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磋商</w:t>
      </w:r>
      <w:r>
        <w:rPr>
          <w:rFonts w:hint="eastAsia" w:ascii="宋体" w:hAnsi="宋体" w:eastAsia="宋体" w:cs="宋体"/>
          <w:color w:val="auto"/>
          <w:sz w:val="28"/>
          <w:szCs w:val="28"/>
        </w:rPr>
        <w:t>所发生一切费用由各</w:t>
      </w:r>
      <w:r>
        <w:rPr>
          <w:rFonts w:hint="eastAsia" w:ascii="宋体" w:hAnsi="宋体" w:eastAsia="宋体" w:cs="宋体"/>
          <w:color w:val="auto"/>
          <w:sz w:val="28"/>
          <w:szCs w:val="28"/>
          <w:lang w:val="en-US" w:eastAsia="zh-CN"/>
        </w:rPr>
        <w:t>供应商</w:t>
      </w:r>
      <w:r>
        <w:rPr>
          <w:rFonts w:hint="eastAsia" w:ascii="宋体" w:hAnsi="宋体" w:eastAsia="宋体" w:cs="宋体"/>
          <w:color w:val="auto"/>
          <w:sz w:val="28"/>
          <w:szCs w:val="28"/>
        </w:rPr>
        <w:t>自行承担，并承担相应的风险和责任。</w:t>
      </w:r>
    </w:p>
    <w:p w14:paraId="4A98E261">
      <w:pPr>
        <w:bidi w:val="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供应商</w:t>
      </w:r>
      <w:r>
        <w:rPr>
          <w:rFonts w:hint="eastAsia" w:ascii="宋体" w:hAnsi="宋体" w:eastAsia="宋体" w:cs="宋体"/>
          <w:color w:val="auto"/>
          <w:sz w:val="28"/>
          <w:szCs w:val="28"/>
        </w:rPr>
        <w:t>递交的</w:t>
      </w:r>
      <w:r>
        <w:rPr>
          <w:rFonts w:hint="eastAsia" w:ascii="宋体" w:hAnsi="宋体" w:eastAsia="宋体" w:cs="宋体"/>
          <w:color w:val="auto"/>
          <w:sz w:val="28"/>
          <w:szCs w:val="28"/>
          <w:lang w:val="en-US" w:eastAsia="zh-CN"/>
        </w:rPr>
        <w:t>响应</w:t>
      </w:r>
      <w:r>
        <w:rPr>
          <w:rFonts w:hint="eastAsia" w:ascii="宋体" w:hAnsi="宋体" w:eastAsia="宋体" w:cs="宋体"/>
          <w:color w:val="auto"/>
          <w:sz w:val="28"/>
          <w:szCs w:val="28"/>
        </w:rPr>
        <w:t>文件不论中标与否均不予退还。</w:t>
      </w:r>
    </w:p>
    <w:p w14:paraId="3F5C1009">
      <w:pPr>
        <w:bidi w:val="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逾期上传或未按规定上传的电子</w:t>
      </w:r>
      <w:r>
        <w:rPr>
          <w:rFonts w:hint="eastAsia" w:ascii="宋体" w:hAnsi="宋体" w:eastAsia="宋体" w:cs="宋体"/>
          <w:color w:val="auto"/>
          <w:sz w:val="28"/>
          <w:szCs w:val="28"/>
          <w:lang w:val="en-US" w:eastAsia="zh-CN"/>
        </w:rPr>
        <w:t>投标</w:t>
      </w:r>
      <w:r>
        <w:rPr>
          <w:rFonts w:hint="eastAsia" w:ascii="宋体" w:hAnsi="宋体" w:eastAsia="宋体" w:cs="宋体"/>
          <w:color w:val="auto"/>
          <w:sz w:val="28"/>
          <w:szCs w:val="28"/>
        </w:rPr>
        <w:t>文件，采购人不予受理。</w:t>
      </w:r>
    </w:p>
    <w:p w14:paraId="60BB8651">
      <w:pPr>
        <w:bidi w:val="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我单位（采购人）严格按三财购【2021】9号文要求的时限发布</w:t>
      </w:r>
      <w:r>
        <w:rPr>
          <w:rFonts w:hint="eastAsia" w:ascii="宋体" w:hAnsi="宋体" w:eastAsia="宋体" w:cs="宋体"/>
          <w:color w:val="auto"/>
          <w:sz w:val="28"/>
          <w:szCs w:val="28"/>
          <w:lang w:val="en-US" w:eastAsia="zh-CN"/>
        </w:rPr>
        <w:t>成交</w:t>
      </w:r>
      <w:r>
        <w:rPr>
          <w:rFonts w:hint="eastAsia" w:ascii="宋体" w:hAnsi="宋体" w:eastAsia="宋体" w:cs="宋体"/>
          <w:color w:val="auto"/>
          <w:sz w:val="28"/>
          <w:szCs w:val="28"/>
        </w:rPr>
        <w:t>结果公告，发出</w:t>
      </w:r>
      <w:r>
        <w:rPr>
          <w:rFonts w:hint="eastAsia" w:ascii="宋体" w:hAnsi="宋体" w:eastAsia="宋体" w:cs="宋体"/>
          <w:color w:val="auto"/>
          <w:sz w:val="28"/>
          <w:szCs w:val="28"/>
          <w:lang w:val="en-US" w:eastAsia="zh-CN"/>
        </w:rPr>
        <w:t>成交</w:t>
      </w:r>
      <w:r>
        <w:rPr>
          <w:rFonts w:hint="eastAsia" w:ascii="宋体" w:hAnsi="宋体" w:eastAsia="宋体" w:cs="宋体"/>
          <w:color w:val="auto"/>
          <w:sz w:val="28"/>
          <w:szCs w:val="28"/>
        </w:rPr>
        <w:t>通知书，签订采购合同，上传采购合同。</w:t>
      </w:r>
    </w:p>
    <w:p w14:paraId="74D3FDA8">
      <w:pPr>
        <w:bidi w:val="0"/>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八、凡对本次招标提出询问，请按照以下方式联系</w:t>
      </w:r>
    </w:p>
    <w:p w14:paraId="1A75A0C2">
      <w:pPr>
        <w:ind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1、招标人：</w:t>
      </w:r>
      <w:r>
        <w:rPr>
          <w:rFonts w:hint="eastAsia" w:ascii="宋体" w:hAnsi="宋体" w:eastAsia="宋体" w:cs="宋体"/>
          <w:b w:val="0"/>
          <w:bCs w:val="0"/>
          <w:color w:val="auto"/>
          <w:sz w:val="28"/>
          <w:szCs w:val="28"/>
          <w:lang w:eastAsia="zh-CN"/>
        </w:rPr>
        <w:t>河南韶润建设开发有限公司</w:t>
      </w:r>
    </w:p>
    <w:p w14:paraId="77245228">
      <w:pPr>
        <w:ind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地址：</w:t>
      </w:r>
      <w:r>
        <w:rPr>
          <w:rFonts w:hint="eastAsia" w:ascii="宋体" w:hAnsi="宋体" w:eastAsia="宋体" w:cs="宋体"/>
          <w:b w:val="0"/>
          <w:bCs w:val="0"/>
          <w:color w:val="auto"/>
          <w:sz w:val="28"/>
          <w:szCs w:val="28"/>
          <w:lang w:eastAsia="zh-CN"/>
        </w:rPr>
        <w:t>河南省三门峡市渑池县仰韶乡先进制造业开发区企业服务中心七楼721室 </w:t>
      </w:r>
    </w:p>
    <w:p w14:paraId="56F91292">
      <w:pPr>
        <w:ind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联系人：</w:t>
      </w:r>
      <w:r>
        <w:rPr>
          <w:rFonts w:hint="eastAsia" w:ascii="宋体" w:hAnsi="宋体" w:eastAsia="宋体" w:cs="宋体"/>
          <w:b w:val="0"/>
          <w:bCs w:val="0"/>
          <w:color w:val="auto"/>
          <w:sz w:val="28"/>
          <w:szCs w:val="28"/>
          <w:lang w:val="en-US" w:eastAsia="zh-CN"/>
        </w:rPr>
        <w:t>范</w:t>
      </w:r>
      <w:r>
        <w:rPr>
          <w:rFonts w:hint="eastAsia" w:ascii="宋体" w:hAnsi="宋体" w:eastAsia="宋体" w:cs="宋体"/>
          <w:b w:val="0"/>
          <w:bCs w:val="0"/>
          <w:color w:val="auto"/>
          <w:sz w:val="28"/>
          <w:szCs w:val="28"/>
          <w:lang w:eastAsia="zh-CN"/>
        </w:rPr>
        <w:t>先生</w:t>
      </w:r>
    </w:p>
    <w:p w14:paraId="080A17E2">
      <w:pPr>
        <w:ind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lang w:eastAsia="zh-CN"/>
        </w:rPr>
        <w:t>联系电话：19037691853</w:t>
      </w:r>
    </w:p>
    <w:p w14:paraId="1B43A0CB">
      <w:pPr>
        <w:ind w:firstLine="560" w:firstLineChars="200"/>
        <w:rPr>
          <w:rFonts w:hint="eastAsia" w:ascii="宋体" w:hAnsi="宋体" w:eastAsia="宋体" w:cs="宋体"/>
          <w:b w:val="0"/>
          <w:bCs w:val="0"/>
          <w:color w:val="auto"/>
          <w:sz w:val="28"/>
          <w:szCs w:val="28"/>
          <w:lang w:eastAsia="zh-CN"/>
        </w:rPr>
      </w:pPr>
      <w:r>
        <w:rPr>
          <w:rFonts w:hint="eastAsia" w:ascii="宋体" w:hAnsi="宋体" w:eastAsia="宋体" w:cs="宋体"/>
          <w:b w:val="0"/>
          <w:bCs w:val="0"/>
          <w:color w:val="auto"/>
          <w:sz w:val="28"/>
          <w:szCs w:val="28"/>
        </w:rPr>
        <w:t>2、采购代理机构：</w:t>
      </w:r>
      <w:r>
        <w:rPr>
          <w:rFonts w:hint="eastAsia" w:ascii="宋体" w:hAnsi="宋体" w:eastAsia="宋体" w:cs="宋体"/>
          <w:b w:val="0"/>
          <w:bCs w:val="0"/>
          <w:color w:val="auto"/>
          <w:sz w:val="28"/>
          <w:szCs w:val="28"/>
          <w:lang w:eastAsia="zh-CN"/>
        </w:rPr>
        <w:t>河南古基工程管理有限公司</w:t>
      </w:r>
    </w:p>
    <w:p w14:paraId="6B8406B1">
      <w:pPr>
        <w:ind w:firstLine="560" w:firstLineChars="200"/>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eastAsia="zh-CN"/>
        </w:rPr>
        <w:t>地址：</w:t>
      </w:r>
      <w:r>
        <w:rPr>
          <w:rFonts w:hint="eastAsia" w:ascii="宋体" w:hAnsi="宋体" w:eastAsia="宋体" w:cs="宋体"/>
          <w:b w:val="0"/>
          <w:bCs w:val="0"/>
          <w:color w:val="auto"/>
          <w:sz w:val="28"/>
          <w:szCs w:val="28"/>
          <w:lang w:val="en-US" w:eastAsia="zh-CN"/>
        </w:rPr>
        <w:t>河南省安阳市汤阴县城关镇集贤路15号院</w:t>
      </w:r>
    </w:p>
    <w:p w14:paraId="7E44398F">
      <w:pPr>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联系人：</w:t>
      </w:r>
      <w:r>
        <w:rPr>
          <w:rFonts w:hint="eastAsia" w:ascii="宋体" w:hAnsi="宋体" w:eastAsia="宋体" w:cs="宋体"/>
          <w:b w:val="0"/>
          <w:bCs w:val="0"/>
          <w:color w:val="auto"/>
          <w:sz w:val="28"/>
          <w:szCs w:val="28"/>
          <w:lang w:val="en-US" w:eastAsia="zh-CN"/>
        </w:rPr>
        <w:t>崔女士</w:t>
      </w:r>
    </w:p>
    <w:p w14:paraId="14EAD5CA">
      <w:pPr>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lang w:val="en-US" w:eastAsia="zh-CN"/>
        </w:rPr>
        <w:t>电话：13103982852</w:t>
      </w:r>
    </w:p>
    <w:p w14:paraId="143A387A">
      <w:pPr>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3、监督部门：渑池县政府采购办公室</w:t>
      </w:r>
    </w:p>
    <w:p w14:paraId="3B214AEB">
      <w:pPr>
        <w:ind w:firstLine="560" w:firstLineChars="200"/>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 xml:space="preserve">联系电话：0398—4818677 </w:t>
      </w:r>
    </w:p>
    <w:p w14:paraId="74544D8C">
      <w:pPr>
        <w:rPr>
          <w:rFonts w:hint="eastAsia" w:ascii="宋体" w:hAnsi="宋体" w:eastAsia="宋体" w:cs="宋体"/>
          <w:b/>
          <w:bCs/>
          <w:color w:val="auto"/>
          <w:sz w:val="36"/>
          <w:szCs w:val="36"/>
        </w:rPr>
      </w:pPr>
      <w:r>
        <w:rPr>
          <w:rFonts w:hint="eastAsia" w:ascii="宋体" w:hAnsi="宋体" w:eastAsia="宋体" w:cs="宋体"/>
          <w:b/>
          <w:bCs/>
          <w:color w:val="auto"/>
          <w:sz w:val="36"/>
          <w:szCs w:val="36"/>
        </w:rPr>
        <w:br w:type="page"/>
      </w:r>
      <w:bookmarkStart w:id="69" w:name="_GoBack"/>
      <w:bookmarkEnd w:id="69"/>
    </w:p>
    <w:p w14:paraId="0F362AE7">
      <w:pPr>
        <w:jc w:val="center"/>
        <w:outlineLvl w:val="0"/>
        <w:rPr>
          <w:rFonts w:hint="eastAsia" w:ascii="宋体" w:hAnsi="宋体" w:eastAsia="宋体" w:cs="宋体"/>
          <w:b/>
          <w:bCs/>
          <w:color w:val="auto"/>
          <w:sz w:val="36"/>
          <w:szCs w:val="36"/>
        </w:rPr>
      </w:pPr>
      <w:bookmarkStart w:id="2" w:name="_Toc30833"/>
      <w:r>
        <w:rPr>
          <w:rFonts w:hint="eastAsia" w:ascii="宋体" w:hAnsi="宋体" w:eastAsia="宋体" w:cs="宋体"/>
          <w:b/>
          <w:bCs/>
          <w:color w:val="auto"/>
          <w:sz w:val="36"/>
          <w:szCs w:val="36"/>
        </w:rPr>
        <w:t>第二章 供应商须知</w:t>
      </w:r>
      <w:bookmarkEnd w:id="2"/>
    </w:p>
    <w:p w14:paraId="114AD00C">
      <w:pPr>
        <w:spacing w:line="360" w:lineRule="auto"/>
        <w:jc w:val="center"/>
        <w:rPr>
          <w:rFonts w:hint="eastAsia" w:ascii="宋体" w:hAnsi="宋体" w:eastAsia="宋体" w:cs="宋体"/>
          <w:color w:val="auto"/>
          <w:sz w:val="32"/>
          <w:szCs w:val="32"/>
        </w:rPr>
      </w:pPr>
      <w:bookmarkStart w:id="3" w:name="_Toc109675033"/>
      <w:bookmarkStart w:id="4" w:name="_Toc518571702"/>
      <w:r>
        <w:rPr>
          <w:rFonts w:hint="eastAsia" w:ascii="宋体" w:hAnsi="宋体" w:eastAsia="宋体" w:cs="宋体"/>
          <w:bCs/>
          <w:color w:val="auto"/>
          <w:sz w:val="28"/>
          <w:szCs w:val="28"/>
        </w:rPr>
        <w:t>须知前附表</w:t>
      </w:r>
      <w:bookmarkEnd w:id="3"/>
      <w:bookmarkEnd w:id="4"/>
    </w:p>
    <w:tbl>
      <w:tblPr>
        <w:tblStyle w:val="19"/>
        <w:tblW w:w="921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3"/>
        <w:gridCol w:w="1701"/>
        <w:gridCol w:w="6520"/>
      </w:tblGrid>
      <w:tr w14:paraId="0A4376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3" w:hRule="atLeast"/>
          <w:jc w:val="center"/>
        </w:trPr>
        <w:tc>
          <w:tcPr>
            <w:tcW w:w="993" w:type="dxa"/>
            <w:tcBorders>
              <w:top w:val="single" w:color="auto" w:sz="12" w:space="0"/>
            </w:tcBorders>
            <w:vAlign w:val="center"/>
          </w:tcPr>
          <w:p w14:paraId="0267751B">
            <w:pPr>
              <w:widowControl/>
              <w:adjustRightInd w:val="0"/>
              <w:spacing w:line="324"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项号</w:t>
            </w:r>
          </w:p>
        </w:tc>
        <w:tc>
          <w:tcPr>
            <w:tcW w:w="1701" w:type="dxa"/>
            <w:tcBorders>
              <w:top w:val="single" w:color="auto" w:sz="12" w:space="0"/>
            </w:tcBorders>
            <w:vAlign w:val="center"/>
          </w:tcPr>
          <w:p w14:paraId="3E185B86">
            <w:pPr>
              <w:widowControl/>
              <w:adjustRightInd w:val="0"/>
              <w:spacing w:line="324"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内容</w:t>
            </w:r>
          </w:p>
        </w:tc>
        <w:tc>
          <w:tcPr>
            <w:tcW w:w="6520" w:type="dxa"/>
            <w:tcBorders>
              <w:top w:val="single" w:color="auto" w:sz="12" w:space="0"/>
            </w:tcBorders>
            <w:vAlign w:val="center"/>
          </w:tcPr>
          <w:p w14:paraId="26AA8ECA">
            <w:pPr>
              <w:widowControl/>
              <w:adjustRightInd w:val="0"/>
              <w:spacing w:line="324"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综合说明与要求</w:t>
            </w:r>
          </w:p>
        </w:tc>
      </w:tr>
      <w:tr w14:paraId="5217D5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89" w:hRule="atLeast"/>
          <w:jc w:val="center"/>
        </w:trPr>
        <w:tc>
          <w:tcPr>
            <w:tcW w:w="993" w:type="dxa"/>
            <w:vAlign w:val="center"/>
          </w:tcPr>
          <w:p w14:paraId="1D900796">
            <w:pPr>
              <w:adjustRightInd w:val="0"/>
              <w:spacing w:line="324" w:lineRule="auto"/>
              <w:jc w:val="center"/>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1</w:t>
            </w:r>
          </w:p>
        </w:tc>
        <w:tc>
          <w:tcPr>
            <w:tcW w:w="1701" w:type="dxa"/>
            <w:vAlign w:val="center"/>
          </w:tcPr>
          <w:p w14:paraId="57377674">
            <w:pPr>
              <w:adjustRightInd w:val="0"/>
              <w:spacing w:line="324" w:lineRule="auto"/>
              <w:jc w:val="center"/>
              <w:rPr>
                <w:rFonts w:hint="default"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项目名称</w:t>
            </w:r>
          </w:p>
        </w:tc>
        <w:tc>
          <w:tcPr>
            <w:tcW w:w="6520" w:type="dxa"/>
            <w:vAlign w:val="center"/>
          </w:tcPr>
          <w:p w14:paraId="0BA235F9">
            <w:pPr>
              <w:adjustRightInd w:val="0"/>
              <w:spacing w:line="324" w:lineRule="auto"/>
              <w:jc w:val="left"/>
              <w:rPr>
                <w:rFonts w:hint="eastAsia" w:ascii="宋体" w:hAnsi="宋体" w:eastAsia="宋体" w:cs="宋体"/>
                <w:color w:val="auto"/>
                <w:spacing w:val="6"/>
                <w:sz w:val="24"/>
                <w:szCs w:val="24"/>
                <w:lang w:eastAsia="zh-CN"/>
              </w:rPr>
            </w:pPr>
            <w:r>
              <w:rPr>
                <w:rFonts w:hint="eastAsia" w:ascii="宋体" w:hAnsi="宋体" w:eastAsia="宋体" w:cs="宋体"/>
                <w:color w:val="auto"/>
                <w:spacing w:val="6"/>
                <w:sz w:val="24"/>
                <w:szCs w:val="24"/>
                <w:lang w:eastAsia="zh-CN"/>
              </w:rPr>
              <w:t>渑池县机器人产业园建设项目地勘服务项目</w:t>
            </w:r>
          </w:p>
        </w:tc>
      </w:tr>
      <w:tr w14:paraId="77E013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6" w:hRule="atLeast"/>
          <w:jc w:val="center"/>
        </w:trPr>
        <w:tc>
          <w:tcPr>
            <w:tcW w:w="993" w:type="dxa"/>
            <w:vAlign w:val="center"/>
          </w:tcPr>
          <w:p w14:paraId="449D21AB">
            <w:pPr>
              <w:spacing w:line="360"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w:t>
            </w:r>
          </w:p>
        </w:tc>
        <w:tc>
          <w:tcPr>
            <w:tcW w:w="1701" w:type="dxa"/>
            <w:vAlign w:val="center"/>
          </w:tcPr>
          <w:p w14:paraId="1AE046F3">
            <w:pPr>
              <w:adjustRightInd w:val="0"/>
              <w:spacing w:line="324" w:lineRule="auto"/>
              <w:jc w:val="center"/>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项目编号</w:t>
            </w:r>
          </w:p>
        </w:tc>
        <w:tc>
          <w:tcPr>
            <w:tcW w:w="6520" w:type="dxa"/>
            <w:vAlign w:val="center"/>
          </w:tcPr>
          <w:p w14:paraId="76F64019">
            <w:pPr>
              <w:adjustRightInd w:val="0"/>
              <w:spacing w:line="324" w:lineRule="auto"/>
              <w:jc w:val="left"/>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MCGZ[2025]011-ZC009、渑池竞磋采购-2025-80</w:t>
            </w:r>
          </w:p>
        </w:tc>
      </w:tr>
      <w:tr w14:paraId="6A79BC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8" w:hRule="atLeast"/>
          <w:jc w:val="center"/>
        </w:trPr>
        <w:tc>
          <w:tcPr>
            <w:tcW w:w="993" w:type="dxa"/>
            <w:vAlign w:val="center"/>
          </w:tcPr>
          <w:p w14:paraId="120594BA">
            <w:pPr>
              <w:adjustRightInd w:val="0"/>
              <w:spacing w:line="324"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3</w:t>
            </w:r>
          </w:p>
        </w:tc>
        <w:tc>
          <w:tcPr>
            <w:tcW w:w="1701" w:type="dxa"/>
            <w:vAlign w:val="center"/>
          </w:tcPr>
          <w:p w14:paraId="75345A7F">
            <w:pPr>
              <w:adjustRightInd w:val="0"/>
              <w:spacing w:line="324"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采购单位</w:t>
            </w:r>
          </w:p>
        </w:tc>
        <w:tc>
          <w:tcPr>
            <w:tcW w:w="6520" w:type="dxa"/>
            <w:vAlign w:val="center"/>
          </w:tcPr>
          <w:p w14:paraId="716B0184">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河南韶润建设开发有限公司</w:t>
            </w:r>
          </w:p>
        </w:tc>
      </w:tr>
      <w:tr w14:paraId="3E980F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2" w:hRule="atLeast"/>
          <w:jc w:val="center"/>
        </w:trPr>
        <w:tc>
          <w:tcPr>
            <w:tcW w:w="993" w:type="dxa"/>
            <w:vAlign w:val="center"/>
          </w:tcPr>
          <w:p w14:paraId="419037DB">
            <w:pPr>
              <w:adjustRightInd w:val="0"/>
              <w:spacing w:line="324"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4</w:t>
            </w:r>
          </w:p>
        </w:tc>
        <w:tc>
          <w:tcPr>
            <w:tcW w:w="1701" w:type="dxa"/>
            <w:vAlign w:val="center"/>
          </w:tcPr>
          <w:p w14:paraId="74240B8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采购内容</w:t>
            </w:r>
          </w:p>
        </w:tc>
        <w:tc>
          <w:tcPr>
            <w:tcW w:w="6520" w:type="dxa"/>
            <w:vAlign w:val="center"/>
          </w:tcPr>
          <w:p w14:paraId="01252B8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渑池县机器人产业园建设项目地勘服务项目区域内的地质勘察及后续验收服务工作，包括但不仅限于收集资料、现场踏勘、制订勘察纲要、进行测绘、勘探、取样、钻探、试验等勘察作业；编制工程勘察报告，与设计单位、施工单位的配合服务。</w:t>
            </w:r>
          </w:p>
        </w:tc>
      </w:tr>
      <w:tr w14:paraId="7EE832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993" w:type="dxa"/>
            <w:vAlign w:val="center"/>
          </w:tcPr>
          <w:p w14:paraId="48D6ECB1">
            <w:pPr>
              <w:adjustRightInd w:val="0"/>
              <w:spacing w:line="324"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5</w:t>
            </w:r>
          </w:p>
        </w:tc>
        <w:tc>
          <w:tcPr>
            <w:tcW w:w="1701" w:type="dxa"/>
            <w:vAlign w:val="center"/>
          </w:tcPr>
          <w:p w14:paraId="7FC8568C">
            <w:pPr>
              <w:spacing w:line="360" w:lineRule="auto"/>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质量要求</w:t>
            </w:r>
          </w:p>
        </w:tc>
        <w:tc>
          <w:tcPr>
            <w:tcW w:w="6520" w:type="dxa"/>
            <w:vAlign w:val="center"/>
          </w:tcPr>
          <w:p w14:paraId="7DEEB5F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符合国家相关技术规范、规程和有关技术规定</w:t>
            </w:r>
          </w:p>
        </w:tc>
      </w:tr>
      <w:tr w14:paraId="29D005C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993" w:type="dxa"/>
            <w:vAlign w:val="center"/>
          </w:tcPr>
          <w:p w14:paraId="0B89BB9D">
            <w:pPr>
              <w:adjustRightInd w:val="0"/>
              <w:spacing w:line="324"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6</w:t>
            </w:r>
          </w:p>
        </w:tc>
        <w:tc>
          <w:tcPr>
            <w:tcW w:w="1701" w:type="dxa"/>
            <w:vAlign w:val="center"/>
          </w:tcPr>
          <w:p w14:paraId="6D014E7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服务周期</w:t>
            </w:r>
          </w:p>
        </w:tc>
        <w:tc>
          <w:tcPr>
            <w:tcW w:w="6520" w:type="dxa"/>
            <w:vAlign w:val="center"/>
          </w:tcPr>
          <w:p w14:paraId="7BA95F84">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eastAsia="zh-CN"/>
              </w:rPr>
              <w:t>自签订合同起20日历天内</w:t>
            </w:r>
          </w:p>
        </w:tc>
      </w:tr>
      <w:tr w14:paraId="103CCA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993" w:type="dxa"/>
            <w:vAlign w:val="center"/>
          </w:tcPr>
          <w:p w14:paraId="5EC2862E">
            <w:pPr>
              <w:adjustRightInd w:val="0"/>
              <w:spacing w:line="324"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7</w:t>
            </w:r>
          </w:p>
        </w:tc>
        <w:tc>
          <w:tcPr>
            <w:tcW w:w="1701" w:type="dxa"/>
            <w:vAlign w:val="center"/>
          </w:tcPr>
          <w:p w14:paraId="66091216">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资金来源</w:t>
            </w:r>
          </w:p>
        </w:tc>
        <w:tc>
          <w:tcPr>
            <w:tcW w:w="6520" w:type="dxa"/>
            <w:vAlign w:val="center"/>
          </w:tcPr>
          <w:p w14:paraId="0FCA55C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财政资金，已落实</w:t>
            </w:r>
          </w:p>
        </w:tc>
      </w:tr>
      <w:tr w14:paraId="51B060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993" w:type="dxa"/>
            <w:vAlign w:val="center"/>
          </w:tcPr>
          <w:p w14:paraId="0AE40FFF">
            <w:pPr>
              <w:adjustRightInd w:val="0"/>
              <w:spacing w:line="324"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8</w:t>
            </w:r>
          </w:p>
        </w:tc>
        <w:tc>
          <w:tcPr>
            <w:tcW w:w="1701" w:type="dxa"/>
            <w:vAlign w:val="center"/>
          </w:tcPr>
          <w:p w14:paraId="0ED7CFA1">
            <w:pPr>
              <w:adjustRightInd w:val="0"/>
              <w:spacing w:line="324" w:lineRule="auto"/>
              <w:jc w:val="center"/>
              <w:rPr>
                <w:rFonts w:hint="eastAsia" w:ascii="宋体" w:hAnsi="宋体" w:eastAsia="宋体" w:cs="宋体"/>
                <w:color w:val="auto"/>
                <w:spacing w:val="-40"/>
                <w:sz w:val="24"/>
                <w:szCs w:val="24"/>
              </w:rPr>
            </w:pPr>
            <w:r>
              <w:rPr>
                <w:rFonts w:hint="eastAsia" w:ascii="宋体" w:hAnsi="宋体" w:eastAsia="宋体" w:cs="宋体"/>
                <w:color w:val="auto"/>
                <w:spacing w:val="6"/>
                <w:sz w:val="24"/>
                <w:szCs w:val="24"/>
              </w:rPr>
              <w:t>磋商供应商资格要求</w:t>
            </w:r>
          </w:p>
        </w:tc>
        <w:tc>
          <w:tcPr>
            <w:tcW w:w="6520" w:type="dxa"/>
            <w:vAlign w:val="center"/>
          </w:tcPr>
          <w:p w14:paraId="175C172D">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、满足《中华人民共和国政府采购法》第二十二条的规定：</w:t>
            </w:r>
          </w:p>
          <w:p w14:paraId="5DA02705">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（一）具有独立承担民事责任的能力；</w:t>
            </w:r>
          </w:p>
          <w:p w14:paraId="0209FC67">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（二）具有良好的商业信誉和健全的财务会计制度；</w:t>
            </w:r>
          </w:p>
          <w:p w14:paraId="1AEE20B0">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（三）具有履行合同所必需的设备和专业技术能力；</w:t>
            </w:r>
          </w:p>
          <w:p w14:paraId="58E45886">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（四）有依法缴纳税收和社会保障资金的良好记录；</w:t>
            </w:r>
          </w:p>
          <w:p w14:paraId="1998324C">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（五）参加政府采购活动前三年内，在经营活动中没有重大违法记录；</w:t>
            </w:r>
          </w:p>
          <w:p w14:paraId="27DD3D00">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（六）法律、行政法规规定的其他条件。</w:t>
            </w:r>
          </w:p>
          <w:p w14:paraId="7ADEE404">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注：供应商在投标（响应）时，提供相关承诺函，无需提供上述证明材料；采购人有权在签订合同前要求成交供应商提供相关证明材料以核实成交供应商承诺事项的真实性。</w:t>
            </w:r>
          </w:p>
          <w:p w14:paraId="7EA6FBC4">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2、落实政府采购政策满足的资格要求：本项目执行促进中小型企业（残疾人福利性企业、监狱企业）发展政策、优先采购节能环保产品等政府采购政策。</w:t>
            </w:r>
          </w:p>
          <w:p w14:paraId="41453CEE">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3、本项目的特定资格要求：</w:t>
            </w:r>
          </w:p>
          <w:p w14:paraId="5BDFA8F4">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（1）具备合法有效的营业执照、税务登记证、组织机构代码证（三证合一的仅提供营业执照）。</w:t>
            </w:r>
          </w:p>
          <w:p w14:paraId="5273E245">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（2）供应商应具备建设行政主管部门颁发的工程勘察专业资质（岩土工程）乙级以上资质或工程勘察综合资质。</w:t>
            </w:r>
          </w:p>
          <w:p w14:paraId="12B77F37">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（3）拟派项目负责人应具有注册岩土工程师执业资格，且为本单位人员，在本单位缴纳社保，提供劳动合同、社保证明资料。</w:t>
            </w:r>
          </w:p>
          <w:p w14:paraId="716706C5">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（4）供应商出具无商业贿赂及无不正当竞争行为的承诺书。</w:t>
            </w:r>
          </w:p>
          <w:p w14:paraId="091C75B5">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（5）供应商须出具无行贿犯罪记录在中国裁判文书网自行查询结果或自行承诺（查询对象：企业、法定代表人、拟派项目负责人）。</w:t>
            </w:r>
          </w:p>
          <w:p w14:paraId="0643F299">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失信被执行人查询渠道：“中国执行信息公开网”http://zxgk.court.gov.cn、重大税收违法失信主体、政府采购严重违法失信行为记录名单查询渠道：“信用中国”网站www.creditchina.gov.cn、政府采购严重违法失信行为记录名单查询渠道：中国政府采购网（www.ccgp.gov.cn）】；提供查询结果截图。（查询日期为本项目查询时间自公告发布之日起至响应文件递交截止之日止）。</w:t>
            </w:r>
          </w:p>
          <w:p w14:paraId="3157D12F">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单位负责人为同一人或者存在直接控股、管理关系的不同供应商，不得参加同一合同项下的采购活动；提供“国家企业信用信息公示系统”http://www.gsxt.gov.cn/index.html网页查询,需包含公司基本信息、股东信息及股权变更信息内容，（查询日期为本项目查询时间自公告发布之日起至响应文件递交截止之日止）。</w:t>
            </w:r>
          </w:p>
          <w:p w14:paraId="6ECF5D21">
            <w:pPr>
              <w:spacing w:line="360" w:lineRule="auto"/>
              <w:rPr>
                <w:rFonts w:hint="eastAsia" w:ascii="宋体" w:hAnsi="宋体" w:eastAsia="宋体" w:cs="宋体"/>
                <w:color w:val="auto"/>
                <w:spacing w:val="6"/>
                <w:sz w:val="24"/>
                <w:szCs w:val="24"/>
              </w:rPr>
            </w:pPr>
            <w:r>
              <w:rPr>
                <w:rFonts w:hint="eastAsia" w:ascii="宋体" w:hAnsi="宋体" w:eastAsia="宋体" w:cs="宋体"/>
                <w:color w:val="auto"/>
                <w:sz w:val="24"/>
                <w:szCs w:val="24"/>
                <w:lang w:val="en-US" w:eastAsia="zh-CN"/>
              </w:rPr>
              <w:t>（8）本项目不接收联合体投标。</w:t>
            </w:r>
          </w:p>
        </w:tc>
      </w:tr>
      <w:tr w14:paraId="78B0BD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993" w:type="dxa"/>
            <w:vAlign w:val="center"/>
          </w:tcPr>
          <w:p w14:paraId="628897C9">
            <w:pPr>
              <w:adjustRightInd w:val="0"/>
              <w:spacing w:line="324"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9</w:t>
            </w:r>
          </w:p>
        </w:tc>
        <w:tc>
          <w:tcPr>
            <w:tcW w:w="1701" w:type="dxa"/>
            <w:vAlign w:val="center"/>
          </w:tcPr>
          <w:p w14:paraId="7C82C3F8">
            <w:pPr>
              <w:adjustRightInd w:val="0"/>
              <w:spacing w:line="324" w:lineRule="auto"/>
              <w:jc w:val="center"/>
              <w:rPr>
                <w:rFonts w:hint="eastAsia" w:ascii="宋体" w:hAnsi="宋体" w:eastAsia="宋体" w:cs="宋体"/>
                <w:color w:val="auto"/>
                <w:sz w:val="24"/>
                <w:szCs w:val="24"/>
              </w:rPr>
            </w:pPr>
            <w:r>
              <w:rPr>
                <w:rFonts w:hint="eastAsia" w:ascii="宋体" w:hAnsi="宋体" w:eastAsia="宋体" w:cs="宋体"/>
                <w:color w:val="auto"/>
                <w:spacing w:val="6"/>
                <w:sz w:val="24"/>
                <w:szCs w:val="24"/>
              </w:rPr>
              <w:t>竞争性磋商有效</w:t>
            </w:r>
            <w:r>
              <w:rPr>
                <w:rFonts w:hint="eastAsia" w:ascii="宋体" w:hAnsi="宋体" w:eastAsia="宋体" w:cs="宋体"/>
                <w:color w:val="auto"/>
                <w:sz w:val="24"/>
                <w:szCs w:val="24"/>
              </w:rPr>
              <w:t>期</w:t>
            </w:r>
          </w:p>
        </w:tc>
        <w:tc>
          <w:tcPr>
            <w:tcW w:w="6520" w:type="dxa"/>
            <w:vAlign w:val="center"/>
          </w:tcPr>
          <w:p w14:paraId="25BC1599">
            <w:pPr>
              <w:adjustRightInd w:val="0"/>
              <w:spacing w:line="324" w:lineRule="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60日历天(从磋商截止之日算起)</w:t>
            </w:r>
          </w:p>
        </w:tc>
      </w:tr>
      <w:tr w14:paraId="42BC92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8" w:hRule="atLeast"/>
          <w:jc w:val="center"/>
        </w:trPr>
        <w:tc>
          <w:tcPr>
            <w:tcW w:w="993" w:type="dxa"/>
            <w:vAlign w:val="center"/>
          </w:tcPr>
          <w:p w14:paraId="758666D6">
            <w:pPr>
              <w:adjustRightInd w:val="0"/>
              <w:spacing w:line="324"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10</w:t>
            </w:r>
          </w:p>
        </w:tc>
        <w:tc>
          <w:tcPr>
            <w:tcW w:w="1701" w:type="dxa"/>
            <w:vAlign w:val="center"/>
          </w:tcPr>
          <w:p w14:paraId="5E7D77E4">
            <w:pPr>
              <w:adjustRightInd w:val="0"/>
              <w:spacing w:line="324" w:lineRule="auto"/>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竞争性磋商保证金</w:t>
            </w:r>
          </w:p>
        </w:tc>
        <w:tc>
          <w:tcPr>
            <w:tcW w:w="6520" w:type="dxa"/>
            <w:vAlign w:val="center"/>
          </w:tcPr>
          <w:p w14:paraId="56FF7D7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根据《河南省财政厅关于优化政府采购营商环境有关问题的通知》（豫财购【2019】4号）第6条的规定，磋商保证金不再收取。</w:t>
            </w:r>
          </w:p>
        </w:tc>
      </w:tr>
      <w:tr w14:paraId="369122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6" w:hRule="atLeast"/>
          <w:jc w:val="center"/>
        </w:trPr>
        <w:tc>
          <w:tcPr>
            <w:tcW w:w="993" w:type="dxa"/>
            <w:vAlign w:val="center"/>
          </w:tcPr>
          <w:p w14:paraId="4965E1FF">
            <w:pPr>
              <w:adjustRightInd w:val="0"/>
              <w:spacing w:line="324" w:lineRule="auto"/>
              <w:jc w:val="center"/>
              <w:rPr>
                <w:rFonts w:hint="eastAsia" w:ascii="宋体" w:hAnsi="宋体" w:eastAsia="宋体" w:cs="宋体"/>
                <w:color w:val="auto"/>
                <w:sz w:val="24"/>
                <w:szCs w:val="24"/>
              </w:rPr>
            </w:pPr>
            <w:r>
              <w:rPr>
                <w:rFonts w:hint="eastAsia" w:ascii="宋体" w:hAnsi="宋体" w:eastAsia="宋体" w:cs="宋体"/>
                <w:color w:val="auto"/>
                <w:spacing w:val="6"/>
                <w:sz w:val="24"/>
                <w:szCs w:val="24"/>
              </w:rPr>
              <w:t>11</w:t>
            </w:r>
          </w:p>
        </w:tc>
        <w:tc>
          <w:tcPr>
            <w:tcW w:w="1701" w:type="dxa"/>
            <w:vAlign w:val="center"/>
          </w:tcPr>
          <w:p w14:paraId="5788C2CC">
            <w:pPr>
              <w:rPr>
                <w:rFonts w:hint="eastAsia" w:ascii="宋体" w:hAnsi="宋体" w:eastAsia="宋体" w:cs="宋体"/>
                <w:color w:val="auto"/>
                <w:sz w:val="24"/>
                <w:szCs w:val="24"/>
              </w:rPr>
            </w:pPr>
            <w:r>
              <w:rPr>
                <w:rFonts w:hint="eastAsia" w:ascii="宋体" w:hAnsi="宋体" w:eastAsia="宋体" w:cs="宋体"/>
                <w:color w:val="auto"/>
                <w:sz w:val="24"/>
                <w:szCs w:val="24"/>
              </w:rPr>
              <w:t>付款方式</w:t>
            </w:r>
          </w:p>
        </w:tc>
        <w:tc>
          <w:tcPr>
            <w:tcW w:w="6520" w:type="dxa"/>
            <w:vAlign w:val="center"/>
          </w:tcPr>
          <w:p w14:paraId="43D2BCBD">
            <w:pPr>
              <w:rPr>
                <w:rFonts w:hint="eastAsia" w:ascii="宋体" w:hAnsi="宋体" w:eastAsia="宋体" w:cs="宋体"/>
                <w:color w:val="auto"/>
                <w:sz w:val="24"/>
                <w:szCs w:val="24"/>
              </w:rPr>
            </w:pPr>
            <w:r>
              <w:rPr>
                <w:rFonts w:hint="eastAsia" w:ascii="宋体" w:hAnsi="宋体" w:eastAsia="宋体" w:cs="宋体"/>
                <w:color w:val="auto"/>
                <w:sz w:val="24"/>
                <w:szCs w:val="24"/>
              </w:rPr>
              <w:t>双方协商</w:t>
            </w:r>
          </w:p>
        </w:tc>
      </w:tr>
      <w:tr w14:paraId="5ED534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1" w:hRule="atLeast"/>
          <w:jc w:val="center"/>
        </w:trPr>
        <w:tc>
          <w:tcPr>
            <w:tcW w:w="993" w:type="dxa"/>
            <w:vAlign w:val="center"/>
          </w:tcPr>
          <w:p w14:paraId="3F7591DB">
            <w:pPr>
              <w:adjustRightInd w:val="0"/>
              <w:spacing w:line="324"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12</w:t>
            </w:r>
          </w:p>
        </w:tc>
        <w:tc>
          <w:tcPr>
            <w:tcW w:w="1701" w:type="dxa"/>
            <w:vAlign w:val="center"/>
          </w:tcPr>
          <w:p w14:paraId="60C6B887">
            <w:pPr>
              <w:adjustRightInd w:val="0"/>
              <w:spacing w:line="324"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竞争性磋商响应文件份数</w:t>
            </w:r>
          </w:p>
        </w:tc>
        <w:tc>
          <w:tcPr>
            <w:tcW w:w="6520" w:type="dxa"/>
            <w:vAlign w:val="center"/>
          </w:tcPr>
          <w:p w14:paraId="2D8413D0">
            <w:pPr>
              <w:adjustRightInd w:val="0"/>
              <w:spacing w:line="324" w:lineRule="auto"/>
              <w:rPr>
                <w:rFonts w:hint="eastAsia" w:ascii="宋体" w:hAnsi="宋体" w:eastAsia="宋体" w:cs="宋体"/>
                <w:color w:val="auto"/>
                <w:spacing w:val="6"/>
                <w:sz w:val="24"/>
                <w:szCs w:val="24"/>
              </w:rPr>
            </w:pPr>
            <w:r>
              <w:rPr>
                <w:rFonts w:hint="eastAsia" w:ascii="宋体" w:hAnsi="宋体" w:eastAsia="宋体" w:cs="宋体"/>
                <w:color w:val="auto"/>
                <w:kern w:val="0"/>
                <w:sz w:val="24"/>
                <w:szCs w:val="24"/>
              </w:rPr>
              <w:t>本项目为电子化、无纸化交易项目。</w:t>
            </w:r>
          </w:p>
        </w:tc>
      </w:tr>
      <w:tr w14:paraId="17A83C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993" w:type="dxa"/>
            <w:vAlign w:val="center"/>
          </w:tcPr>
          <w:p w14:paraId="418D0662">
            <w:pPr>
              <w:adjustRightInd w:val="0"/>
              <w:spacing w:line="324"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13</w:t>
            </w:r>
          </w:p>
        </w:tc>
        <w:tc>
          <w:tcPr>
            <w:tcW w:w="1701" w:type="dxa"/>
            <w:vAlign w:val="center"/>
          </w:tcPr>
          <w:p w14:paraId="78976C58">
            <w:pPr>
              <w:adjustRightInd w:val="0"/>
              <w:spacing w:line="324"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磋商响应文件递交截止时间</w:t>
            </w:r>
          </w:p>
        </w:tc>
        <w:tc>
          <w:tcPr>
            <w:tcW w:w="6520" w:type="dxa"/>
            <w:vAlign w:val="center"/>
          </w:tcPr>
          <w:p w14:paraId="49FD36DA">
            <w:pPr>
              <w:rPr>
                <w:rFonts w:hint="default" w:ascii="宋体" w:hAnsi="宋体" w:eastAsia="宋体" w:cs="宋体"/>
                <w:color w:val="auto"/>
                <w:sz w:val="24"/>
                <w:szCs w:val="24"/>
                <w:lang w:val="en-US" w:eastAsia="zh-CN"/>
              </w:rPr>
            </w:pPr>
            <w:r>
              <w:rPr>
                <w:rFonts w:hint="eastAsia" w:ascii="宋体" w:hAnsi="宋体" w:eastAsia="宋体" w:cs="宋体"/>
                <w:color w:val="auto"/>
                <w:kern w:val="0"/>
                <w:sz w:val="24"/>
                <w:szCs w:val="24"/>
              </w:rPr>
              <w:t>时间：</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5</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7</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21</w:t>
            </w:r>
            <w:r>
              <w:rPr>
                <w:rFonts w:hint="eastAsia" w:ascii="宋体" w:hAnsi="宋体" w:eastAsia="宋体" w:cs="宋体"/>
                <w:bCs/>
                <w:color w:val="auto"/>
                <w:kern w:val="0"/>
                <w:sz w:val="24"/>
                <w:szCs w:val="24"/>
              </w:rPr>
              <w:t>日08时</w:t>
            </w:r>
            <w:r>
              <w:rPr>
                <w:rFonts w:hint="eastAsia" w:ascii="宋体" w:hAnsi="宋体" w:eastAsia="宋体" w:cs="宋体"/>
                <w:bCs/>
                <w:color w:val="auto"/>
                <w:kern w:val="0"/>
                <w:sz w:val="24"/>
                <w:szCs w:val="24"/>
                <w:lang w:val="en-US" w:eastAsia="zh-CN"/>
              </w:rPr>
              <w:t>20</w:t>
            </w:r>
            <w:r>
              <w:rPr>
                <w:rFonts w:hint="eastAsia" w:ascii="宋体" w:hAnsi="宋体" w:eastAsia="宋体" w:cs="宋体"/>
                <w:bCs/>
                <w:color w:val="auto"/>
                <w:kern w:val="0"/>
                <w:sz w:val="24"/>
                <w:szCs w:val="24"/>
              </w:rPr>
              <w:t>分</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北京时间）</w:t>
            </w:r>
          </w:p>
        </w:tc>
      </w:tr>
      <w:tr w14:paraId="6F8A2F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993" w:type="dxa"/>
            <w:vAlign w:val="center"/>
          </w:tcPr>
          <w:p w14:paraId="3070078C">
            <w:pPr>
              <w:adjustRightInd w:val="0"/>
              <w:spacing w:line="324"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14</w:t>
            </w:r>
          </w:p>
        </w:tc>
        <w:tc>
          <w:tcPr>
            <w:tcW w:w="1701" w:type="dxa"/>
            <w:vAlign w:val="center"/>
          </w:tcPr>
          <w:p w14:paraId="01ED181F">
            <w:pPr>
              <w:adjustRightInd w:val="0"/>
              <w:spacing w:line="324"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磋商响应文件递交</w:t>
            </w:r>
          </w:p>
        </w:tc>
        <w:tc>
          <w:tcPr>
            <w:tcW w:w="6520" w:type="dxa"/>
            <w:vAlign w:val="center"/>
          </w:tcPr>
          <w:p w14:paraId="703F6C89">
            <w:pPr>
              <w:adjustRightInd w:val="0"/>
              <w:spacing w:line="324" w:lineRule="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电子竞争性响应文件的电子版用企业和法人CA数字证书在磋商截止时间前上传至“三门峡市公共资源交易中心网站”。</w:t>
            </w:r>
          </w:p>
        </w:tc>
      </w:tr>
      <w:tr w14:paraId="1FE8C4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jc w:val="center"/>
        </w:trPr>
        <w:tc>
          <w:tcPr>
            <w:tcW w:w="993" w:type="dxa"/>
            <w:vAlign w:val="center"/>
          </w:tcPr>
          <w:p w14:paraId="48FE79F4">
            <w:pPr>
              <w:adjustRightInd w:val="0"/>
              <w:spacing w:line="324"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15</w:t>
            </w:r>
          </w:p>
        </w:tc>
        <w:tc>
          <w:tcPr>
            <w:tcW w:w="1701" w:type="dxa"/>
            <w:vAlign w:val="center"/>
          </w:tcPr>
          <w:p w14:paraId="443E0909">
            <w:pPr>
              <w:adjustRightInd w:val="0"/>
              <w:spacing w:line="324" w:lineRule="auto"/>
              <w:jc w:val="center"/>
              <w:rPr>
                <w:rFonts w:hint="eastAsia" w:ascii="宋体" w:hAnsi="宋体" w:eastAsia="宋体" w:cs="宋体"/>
                <w:color w:val="auto"/>
                <w:spacing w:val="-10"/>
                <w:sz w:val="24"/>
                <w:szCs w:val="24"/>
              </w:rPr>
            </w:pPr>
            <w:r>
              <w:rPr>
                <w:rFonts w:hint="eastAsia" w:ascii="宋体" w:hAnsi="宋体" w:eastAsia="宋体" w:cs="宋体"/>
                <w:color w:val="auto"/>
                <w:spacing w:val="-10"/>
                <w:sz w:val="24"/>
                <w:szCs w:val="24"/>
              </w:rPr>
              <w:t>磋商时间及地点</w:t>
            </w:r>
          </w:p>
        </w:tc>
        <w:tc>
          <w:tcPr>
            <w:tcW w:w="6520" w:type="dxa"/>
            <w:vAlign w:val="center"/>
          </w:tcPr>
          <w:p w14:paraId="35AFF3B3">
            <w:pPr>
              <w:rPr>
                <w:rFonts w:hint="eastAsia" w:ascii="宋体" w:hAnsi="宋体" w:eastAsia="宋体" w:cs="宋体"/>
                <w:color w:val="auto"/>
                <w:sz w:val="24"/>
                <w:szCs w:val="24"/>
              </w:rPr>
            </w:pPr>
            <w:r>
              <w:rPr>
                <w:rFonts w:hint="eastAsia" w:ascii="宋体" w:hAnsi="宋体" w:eastAsia="宋体" w:cs="宋体"/>
                <w:color w:val="auto"/>
                <w:spacing w:val="6"/>
                <w:sz w:val="24"/>
                <w:szCs w:val="24"/>
              </w:rPr>
              <w:t>时间：</w:t>
            </w:r>
            <w:r>
              <w:rPr>
                <w:rFonts w:hint="eastAsia" w:ascii="宋体" w:hAnsi="宋体" w:eastAsia="宋体" w:cs="宋体"/>
                <w:bCs/>
                <w:color w:val="auto"/>
                <w:kern w:val="0"/>
                <w:sz w:val="24"/>
                <w:szCs w:val="24"/>
              </w:rPr>
              <w:t>202</w:t>
            </w:r>
            <w:r>
              <w:rPr>
                <w:rFonts w:hint="eastAsia" w:ascii="宋体" w:hAnsi="宋体" w:eastAsia="宋体" w:cs="宋体"/>
                <w:bCs/>
                <w:color w:val="auto"/>
                <w:kern w:val="0"/>
                <w:sz w:val="24"/>
                <w:szCs w:val="24"/>
                <w:lang w:val="en-US" w:eastAsia="zh-CN"/>
              </w:rPr>
              <w:t>5</w:t>
            </w:r>
            <w:r>
              <w:rPr>
                <w:rFonts w:hint="eastAsia" w:ascii="宋体" w:hAnsi="宋体" w:eastAsia="宋体" w:cs="宋体"/>
                <w:bCs/>
                <w:color w:val="auto"/>
                <w:kern w:val="0"/>
                <w:sz w:val="24"/>
                <w:szCs w:val="24"/>
              </w:rPr>
              <w:t>年</w:t>
            </w:r>
            <w:r>
              <w:rPr>
                <w:rFonts w:hint="eastAsia" w:ascii="宋体" w:hAnsi="宋体" w:eastAsia="宋体" w:cs="宋体"/>
                <w:bCs/>
                <w:color w:val="auto"/>
                <w:kern w:val="0"/>
                <w:sz w:val="24"/>
                <w:szCs w:val="24"/>
                <w:lang w:val="en-US" w:eastAsia="zh-CN"/>
              </w:rPr>
              <w:t>7</w:t>
            </w:r>
            <w:r>
              <w:rPr>
                <w:rFonts w:hint="eastAsia" w:ascii="宋体" w:hAnsi="宋体" w:eastAsia="宋体" w:cs="宋体"/>
                <w:bCs/>
                <w:color w:val="auto"/>
                <w:kern w:val="0"/>
                <w:sz w:val="24"/>
                <w:szCs w:val="24"/>
              </w:rPr>
              <w:t>月</w:t>
            </w:r>
            <w:r>
              <w:rPr>
                <w:rFonts w:hint="eastAsia" w:ascii="宋体" w:hAnsi="宋体" w:eastAsia="宋体" w:cs="宋体"/>
                <w:bCs/>
                <w:color w:val="auto"/>
                <w:kern w:val="0"/>
                <w:sz w:val="24"/>
                <w:szCs w:val="24"/>
                <w:lang w:val="en-US" w:eastAsia="zh-CN"/>
              </w:rPr>
              <w:t>21</w:t>
            </w:r>
            <w:r>
              <w:rPr>
                <w:rFonts w:hint="eastAsia" w:ascii="宋体" w:hAnsi="宋体" w:eastAsia="宋体" w:cs="宋体"/>
                <w:bCs/>
                <w:color w:val="auto"/>
                <w:kern w:val="0"/>
                <w:sz w:val="24"/>
                <w:szCs w:val="24"/>
              </w:rPr>
              <w:t>日08时</w:t>
            </w:r>
            <w:r>
              <w:rPr>
                <w:rFonts w:hint="eastAsia" w:ascii="宋体" w:hAnsi="宋体" w:eastAsia="宋体" w:cs="宋体"/>
                <w:bCs/>
                <w:color w:val="auto"/>
                <w:kern w:val="0"/>
                <w:sz w:val="24"/>
                <w:szCs w:val="24"/>
                <w:lang w:val="en-US" w:eastAsia="zh-CN"/>
              </w:rPr>
              <w:t>20</w:t>
            </w:r>
            <w:r>
              <w:rPr>
                <w:rFonts w:hint="eastAsia" w:ascii="宋体" w:hAnsi="宋体" w:eastAsia="宋体" w:cs="宋体"/>
                <w:bCs/>
                <w:color w:val="auto"/>
                <w:kern w:val="0"/>
                <w:sz w:val="24"/>
                <w:szCs w:val="24"/>
              </w:rPr>
              <w:t>分</w:t>
            </w:r>
            <w:r>
              <w:rPr>
                <w:rFonts w:hint="eastAsia" w:ascii="宋体" w:hAnsi="宋体" w:eastAsia="宋体" w:cs="宋体"/>
                <w:bCs/>
                <w:color w:val="auto"/>
                <w:kern w:val="0"/>
                <w:sz w:val="24"/>
                <w:szCs w:val="24"/>
                <w:lang w:eastAsia="zh-CN"/>
              </w:rPr>
              <w:t>（</w:t>
            </w:r>
            <w:r>
              <w:rPr>
                <w:rFonts w:hint="eastAsia" w:ascii="宋体" w:hAnsi="宋体" w:eastAsia="宋体" w:cs="宋体"/>
                <w:bCs/>
                <w:color w:val="auto"/>
                <w:kern w:val="0"/>
                <w:sz w:val="24"/>
                <w:szCs w:val="24"/>
                <w:lang w:val="en-US" w:eastAsia="zh-CN"/>
              </w:rPr>
              <w:t>北京时间）</w:t>
            </w:r>
          </w:p>
          <w:p w14:paraId="23FFF733">
            <w:pP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lang w:val="en-US" w:eastAsia="zh-CN"/>
              </w:rPr>
              <w:t>磋商</w:t>
            </w:r>
            <w:r>
              <w:rPr>
                <w:rFonts w:hint="eastAsia" w:ascii="宋体" w:hAnsi="宋体" w:eastAsia="宋体" w:cs="宋体"/>
                <w:color w:val="auto"/>
                <w:spacing w:val="6"/>
                <w:sz w:val="24"/>
                <w:szCs w:val="24"/>
              </w:rPr>
              <w:t>地点：渑池县公共资源交易中心六楼开标区</w:t>
            </w:r>
          </w:p>
        </w:tc>
      </w:tr>
      <w:tr w14:paraId="2E008A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74" w:hRule="atLeast"/>
          <w:jc w:val="center"/>
        </w:trPr>
        <w:tc>
          <w:tcPr>
            <w:tcW w:w="993" w:type="dxa"/>
            <w:vAlign w:val="center"/>
          </w:tcPr>
          <w:p w14:paraId="0D66E515">
            <w:pPr>
              <w:adjustRightInd w:val="0"/>
              <w:spacing w:line="324"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16</w:t>
            </w:r>
          </w:p>
        </w:tc>
        <w:tc>
          <w:tcPr>
            <w:tcW w:w="1701" w:type="dxa"/>
            <w:vAlign w:val="center"/>
          </w:tcPr>
          <w:p w14:paraId="391F87DE">
            <w:pPr>
              <w:spacing w:line="440" w:lineRule="exact"/>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磋商小组的组建</w:t>
            </w:r>
          </w:p>
        </w:tc>
        <w:tc>
          <w:tcPr>
            <w:tcW w:w="6520" w:type="dxa"/>
            <w:vAlign w:val="center"/>
          </w:tcPr>
          <w:p w14:paraId="1E25E083">
            <w:pPr>
              <w:widowControl/>
              <w:spacing w:line="400" w:lineRule="atLeast"/>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磋商小组成员为3人，采购人代表1人，其余专家2人从河南省政府采购评审专家库中随机抽取。</w:t>
            </w:r>
          </w:p>
        </w:tc>
      </w:tr>
      <w:tr w14:paraId="72B394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7" w:hRule="atLeast"/>
          <w:jc w:val="center"/>
        </w:trPr>
        <w:tc>
          <w:tcPr>
            <w:tcW w:w="993" w:type="dxa"/>
            <w:vAlign w:val="center"/>
          </w:tcPr>
          <w:p w14:paraId="72DCEBE0">
            <w:pPr>
              <w:adjustRightInd w:val="0"/>
              <w:spacing w:line="324"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17</w:t>
            </w:r>
          </w:p>
        </w:tc>
        <w:tc>
          <w:tcPr>
            <w:tcW w:w="1701" w:type="dxa"/>
            <w:vAlign w:val="center"/>
          </w:tcPr>
          <w:p w14:paraId="7716BAB4">
            <w:pPr>
              <w:widowControl/>
              <w:spacing w:line="400" w:lineRule="atLeast"/>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磋商标准及方法</w:t>
            </w:r>
          </w:p>
        </w:tc>
        <w:tc>
          <w:tcPr>
            <w:tcW w:w="6520" w:type="dxa"/>
            <w:vAlign w:val="center"/>
          </w:tcPr>
          <w:p w14:paraId="28D3B12F">
            <w:pPr>
              <w:widowControl/>
              <w:spacing w:line="400" w:lineRule="atLeast"/>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由磋商小组采用综合评分法对提交最后报价的磋商供应商的磋商响应文件和最后报价进行综合评分。综合评分法，是指磋商响应文件满足竞争性磋商文件全部实质性要求且按评审因素的量化指标评审得分最高的供应商为成交候选供应商的磋商方法。</w:t>
            </w:r>
          </w:p>
        </w:tc>
      </w:tr>
      <w:tr w14:paraId="0F530A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993" w:type="dxa"/>
            <w:vAlign w:val="center"/>
          </w:tcPr>
          <w:p w14:paraId="4A5E237D">
            <w:pPr>
              <w:adjustRightInd w:val="0"/>
              <w:spacing w:line="324"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18</w:t>
            </w:r>
          </w:p>
        </w:tc>
        <w:tc>
          <w:tcPr>
            <w:tcW w:w="1701" w:type="dxa"/>
            <w:vAlign w:val="center"/>
          </w:tcPr>
          <w:p w14:paraId="36FF318A">
            <w:pPr>
              <w:widowControl/>
              <w:spacing w:line="400" w:lineRule="atLeast"/>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履约保证金</w:t>
            </w:r>
          </w:p>
        </w:tc>
        <w:tc>
          <w:tcPr>
            <w:tcW w:w="6520" w:type="dxa"/>
            <w:vAlign w:val="center"/>
          </w:tcPr>
          <w:p w14:paraId="3F336266">
            <w:pPr>
              <w:widowControl/>
              <w:spacing w:line="400" w:lineRule="atLeast"/>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无</w:t>
            </w:r>
          </w:p>
        </w:tc>
      </w:tr>
      <w:tr w14:paraId="5D0ACD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993" w:type="dxa"/>
            <w:vAlign w:val="center"/>
          </w:tcPr>
          <w:p w14:paraId="4AB5D858">
            <w:pPr>
              <w:adjustRightInd w:val="0"/>
              <w:spacing w:line="324"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19</w:t>
            </w:r>
          </w:p>
        </w:tc>
        <w:tc>
          <w:tcPr>
            <w:tcW w:w="1701" w:type="dxa"/>
            <w:vAlign w:val="center"/>
          </w:tcPr>
          <w:p w14:paraId="08CB23EE">
            <w:pPr>
              <w:adjustRightInd w:val="0"/>
              <w:spacing w:line="324" w:lineRule="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预算价</w:t>
            </w:r>
          </w:p>
        </w:tc>
        <w:tc>
          <w:tcPr>
            <w:tcW w:w="6520" w:type="dxa"/>
            <w:vAlign w:val="center"/>
          </w:tcPr>
          <w:p w14:paraId="5874641E">
            <w:pP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本项目预算价：</w:t>
            </w:r>
            <w:r>
              <w:rPr>
                <w:rFonts w:hint="eastAsia" w:ascii="宋体" w:hAnsi="宋体" w:eastAsia="宋体" w:cs="宋体"/>
                <w:color w:val="auto"/>
                <w:sz w:val="24"/>
                <w:szCs w:val="24"/>
                <w:lang w:val="en-US" w:eastAsia="zh-CN"/>
              </w:rPr>
              <w:t>450000.00</w:t>
            </w:r>
            <w:r>
              <w:rPr>
                <w:rFonts w:hint="eastAsia" w:ascii="宋体" w:hAnsi="宋体" w:eastAsia="宋体" w:cs="宋体"/>
                <w:color w:val="auto"/>
                <w:spacing w:val="6"/>
                <w:sz w:val="24"/>
                <w:szCs w:val="24"/>
              </w:rPr>
              <w:t>元</w:t>
            </w:r>
          </w:p>
          <w:p w14:paraId="79AAB263">
            <w:pPr>
              <w:adjustRightInd w:val="0"/>
              <w:spacing w:line="324" w:lineRule="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磋商供应商磋商报价超出“预算价”的，该磋商供应商按无效处理。</w:t>
            </w:r>
          </w:p>
        </w:tc>
      </w:tr>
      <w:tr w14:paraId="4AF71A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5" w:hRule="atLeast"/>
          <w:jc w:val="center"/>
        </w:trPr>
        <w:tc>
          <w:tcPr>
            <w:tcW w:w="993" w:type="dxa"/>
            <w:vAlign w:val="center"/>
          </w:tcPr>
          <w:p w14:paraId="2E4D0DDE">
            <w:pPr>
              <w:adjustRightInd w:val="0"/>
              <w:spacing w:line="324"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20</w:t>
            </w:r>
          </w:p>
        </w:tc>
        <w:tc>
          <w:tcPr>
            <w:tcW w:w="1701" w:type="dxa"/>
            <w:vAlign w:val="center"/>
          </w:tcPr>
          <w:p w14:paraId="5F439F44">
            <w:pPr>
              <w:adjustRightInd w:val="0"/>
              <w:spacing w:line="324" w:lineRule="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报价</w:t>
            </w:r>
          </w:p>
        </w:tc>
        <w:tc>
          <w:tcPr>
            <w:tcW w:w="6520" w:type="dxa"/>
            <w:vAlign w:val="center"/>
          </w:tcPr>
          <w:p w14:paraId="2B282468">
            <w:pPr>
              <w:autoSpaceDE w:val="0"/>
              <w:autoSpaceDN w:val="0"/>
              <w:adjustRightInd w:val="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本次磋商应以人民币报价，分两次进行报价。</w:t>
            </w:r>
          </w:p>
        </w:tc>
      </w:tr>
      <w:tr w14:paraId="2B4810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 w:hRule="atLeast"/>
          <w:jc w:val="center"/>
        </w:trPr>
        <w:tc>
          <w:tcPr>
            <w:tcW w:w="993" w:type="dxa"/>
            <w:vAlign w:val="center"/>
          </w:tcPr>
          <w:p w14:paraId="5E62D302">
            <w:pPr>
              <w:adjustRightInd w:val="0"/>
              <w:spacing w:line="324" w:lineRule="auto"/>
              <w:jc w:val="center"/>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21</w:t>
            </w:r>
          </w:p>
        </w:tc>
        <w:tc>
          <w:tcPr>
            <w:tcW w:w="1701" w:type="dxa"/>
            <w:vAlign w:val="center"/>
          </w:tcPr>
          <w:p w14:paraId="2FC02A9B">
            <w:pPr>
              <w:adjustRightInd w:val="0"/>
              <w:spacing w:line="324" w:lineRule="auto"/>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电子化注意事项</w:t>
            </w:r>
          </w:p>
        </w:tc>
        <w:tc>
          <w:tcPr>
            <w:tcW w:w="6520" w:type="dxa"/>
            <w:vAlign w:val="center"/>
          </w:tcPr>
          <w:p w14:paraId="7128B9B0">
            <w:pPr>
              <w:autoSpaceDE w:val="0"/>
              <w:autoSpaceDN w:val="0"/>
              <w:adjustRightInd w:val="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具体要求：本项目为电子化、无纸化交易项目，响应文件是响应人、供应商（以下简称“响应人”）通过中心响应文件制作系统制作，并经过签章和加密后生成的电子版响应文件。</w:t>
            </w:r>
          </w:p>
          <w:p w14:paraId="1958CAA5">
            <w:pPr>
              <w:autoSpaceDE w:val="0"/>
              <w:autoSpaceDN w:val="0"/>
              <w:adjustRightInd w:val="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电子化响应文件具体制作文件请点击https://download.bqpoint.com/download/downloadlist.html?SoftTypeCode=06进行下载。</w:t>
            </w:r>
          </w:p>
          <w:p w14:paraId="5744BB4C">
            <w:pPr>
              <w:autoSpaceDE w:val="0"/>
              <w:autoSpaceDN w:val="0"/>
              <w:adjustRightInd w:val="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温馨提示：本项目为电子化、无纸化交易项目，为保证您能投标成功，请需仔细阅读以下条款。</w:t>
            </w:r>
          </w:p>
          <w:p w14:paraId="165D535C">
            <w:pPr>
              <w:autoSpaceDE w:val="0"/>
              <w:autoSpaceDN w:val="0"/>
              <w:adjustRightInd w:val="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一、电子化投标</w:t>
            </w:r>
          </w:p>
          <w:p w14:paraId="7F1AF542">
            <w:pPr>
              <w:autoSpaceDE w:val="0"/>
              <w:autoSpaceDN w:val="0"/>
              <w:adjustRightInd w:val="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（一）电子化响应文件的签章</w:t>
            </w:r>
          </w:p>
          <w:p w14:paraId="1C94F70B">
            <w:pPr>
              <w:autoSpaceDE w:val="0"/>
              <w:autoSpaceDN w:val="0"/>
              <w:adjustRightInd w:val="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1、响应人在生成电子化响应文件后，应对电子化响应文件进行签章，未进行签章的视为无效投标。</w:t>
            </w:r>
          </w:p>
          <w:p w14:paraId="216CABD9">
            <w:pPr>
              <w:autoSpaceDE w:val="0"/>
              <w:autoSpaceDN w:val="0"/>
              <w:adjustRightInd w:val="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2、竞争性磋商文件中要求法定代表人或授权委托人签字或盖章的，响应人在进行电子化响应文件签章时，以签盖法定代表人签章为准。</w:t>
            </w:r>
          </w:p>
          <w:p w14:paraId="515E1884">
            <w:pPr>
              <w:autoSpaceDE w:val="0"/>
              <w:autoSpaceDN w:val="0"/>
              <w:adjustRightInd w:val="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（二）电子化响应文件的格式及上传投标</w:t>
            </w:r>
          </w:p>
          <w:p w14:paraId="5C2CE43A">
            <w:pPr>
              <w:autoSpaceDE w:val="0"/>
              <w:autoSpaceDN w:val="0"/>
              <w:adjustRightInd w:val="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响应人所上传的电子化响应文件，应是通过中心响应文件制作系统制作的（响应文件制作工具下载地址：https://download.bqpoint.com/download/downloadlist.html?SoftTypeCode=06），经过签章和加密后生成的电子版响应文件。其中包含用于响应文件上传的主文件（后缀为.smxtf）和用于应急补救的响应文件备份文件（后缀为.nsmxtf）。备份文件主要用于电子化开标出现技术问题后的补救，请投标人随身携带。</w:t>
            </w:r>
          </w:p>
          <w:p w14:paraId="640AB879">
            <w:pPr>
              <w:autoSpaceDE w:val="0"/>
              <w:autoSpaceDN w:val="0"/>
              <w:adjustRightInd w:val="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注：响应人投报多个标段的，需要每个标段单独制作电子响应文件。</w:t>
            </w:r>
          </w:p>
          <w:p w14:paraId="0EDD0202">
            <w:pPr>
              <w:autoSpaceDE w:val="0"/>
              <w:autoSpaceDN w:val="0"/>
              <w:adjustRightInd w:val="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2、电子化响应文件应在磋商截止时间前成功上传至三门峡市公共资源电子化交易系统。至磋商截止时间止，仍未上传成功的电子化响应文件将不予接收。</w:t>
            </w:r>
          </w:p>
          <w:p w14:paraId="4DB7CAED">
            <w:pPr>
              <w:autoSpaceDE w:val="0"/>
              <w:autoSpaceDN w:val="0"/>
              <w:adjustRightInd w:val="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注：如按照电子化投标操作教材制作完成的电子化响应文件无法上传的，响应人应在磋商截止时间前尽早的联系中心技术人员，以便有充分的时间进行处理。响应人应充分考虑到处理技术问题和上传数据等工作所需的时间问题，响应文件未在磋商截止时间前成功上传的，其响应文件不予接收。</w:t>
            </w:r>
          </w:p>
          <w:p w14:paraId="18F05E07">
            <w:pPr>
              <w:autoSpaceDE w:val="0"/>
              <w:autoSpaceDN w:val="0"/>
              <w:adjustRightInd w:val="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技术联系电话：0398-3117095   3117080</w:t>
            </w:r>
          </w:p>
          <w:p w14:paraId="63C179BD">
            <w:pPr>
              <w:autoSpaceDE w:val="0"/>
              <w:autoSpaceDN w:val="0"/>
              <w:adjustRightInd w:val="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新点客服电话:4009980000</w:t>
            </w:r>
          </w:p>
          <w:p w14:paraId="38D6A85E">
            <w:pPr>
              <w:autoSpaceDE w:val="0"/>
              <w:autoSpaceDN w:val="0"/>
              <w:adjustRightInd w:val="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（三）电子化项目开标、解密、评标</w:t>
            </w:r>
          </w:p>
          <w:p w14:paraId="4C55FBFE">
            <w:pPr>
              <w:autoSpaceDE w:val="0"/>
              <w:autoSpaceDN w:val="0"/>
              <w:adjustRightInd w:val="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本项目采用电子化、无纸化进行磋商，开标当日，响应人无需到开标现场参加开标会议，响应人应当在磋商截止时间前，登陆不见面开标大厅选择登陆三门峡市公共资源电子招投标系统进行登陆（网址为http://122.112.246.33/BidOpening/bidopeninghallaction/hall/login）,在线准时参加开标活动并进行响应文件解密等。</w:t>
            </w:r>
          </w:p>
          <w:p w14:paraId="0E37B272">
            <w:pPr>
              <w:autoSpaceDE w:val="0"/>
              <w:autoSpaceDN w:val="0"/>
              <w:adjustRightInd w:val="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2、电子化响应文件采用一次加密方式。开标时，由响应人使用CA 证书，在规定时间内对其电子化响应文件进行解密。每位响应人的解密时间为开标时间起30分钟内，如在规定时间内未完成解密的，其响应文件不予开标。</w:t>
            </w:r>
          </w:p>
          <w:p w14:paraId="4CCCA535">
            <w:pPr>
              <w:autoSpaceDE w:val="0"/>
              <w:autoSpaceDN w:val="0"/>
              <w:adjustRightInd w:val="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3、电子化响应文件解密异常的处理</w:t>
            </w:r>
          </w:p>
          <w:p w14:paraId="011250F4">
            <w:pPr>
              <w:autoSpaceDE w:val="0"/>
              <w:autoSpaceDN w:val="0"/>
              <w:adjustRightInd w:val="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如出现响应人的电子响应文件无法解密等异常情况，响应人应及时致电中介服务机构说明。响应文件异常，按以下步骤进行处理：</w:t>
            </w:r>
          </w:p>
          <w:p w14:paraId="19035080">
            <w:pPr>
              <w:autoSpaceDE w:val="0"/>
              <w:autoSpaceDN w:val="0"/>
              <w:adjustRightInd w:val="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（1）首先由技术人员进行问题排查。</w:t>
            </w:r>
          </w:p>
          <w:p w14:paraId="7951C1DA">
            <w:pPr>
              <w:autoSpaceDE w:val="0"/>
              <w:autoSpaceDN w:val="0"/>
              <w:adjustRightInd w:val="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（2）经技术人员排查后，是响应人文件自身问题导致响应文件无法解密的，该响应文件将不予接收、解密。开标会议继续进行。</w:t>
            </w:r>
          </w:p>
          <w:p w14:paraId="0B5A4150">
            <w:pPr>
              <w:autoSpaceDE w:val="0"/>
              <w:autoSpaceDN w:val="0"/>
              <w:adjustRightInd w:val="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3）经技术人员排查后，如果是电子化交易系统问题造成响应文件无法解密的，将由技术人员对问题进行处理。如短时间内问题无法解决的，将由中介服务机构向监督部门申请，经监督部门同意后，暂停开标会议，待问题解决后继续开标。</w:t>
            </w:r>
          </w:p>
          <w:p w14:paraId="5FA3C63D">
            <w:pPr>
              <w:autoSpaceDE w:val="0"/>
              <w:autoSpaceDN w:val="0"/>
              <w:adjustRightInd w:val="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4、待所有响应人响应文件解密完成后，由中介服务机构操作，对所有已解密响应文件进行解密。</w:t>
            </w:r>
          </w:p>
          <w:p w14:paraId="0919E2BC">
            <w:pPr>
              <w:autoSpaceDE w:val="0"/>
              <w:autoSpaceDN w:val="0"/>
              <w:adjustRightInd w:val="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响应人应保证在磋商期间电话、电脑、网络能够正常工作，响应人因停电、电脑病毒、网络堵塞等原因，未在规定的解密时间内对响应文件进行解密的，其响应文件不予接收。</w:t>
            </w:r>
          </w:p>
          <w:p w14:paraId="1D2B63C1">
            <w:pPr>
              <w:autoSpaceDE w:val="0"/>
              <w:autoSpaceDN w:val="0"/>
              <w:adjustRightInd w:val="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5、磋商时响应人可登录到交易系统中在开标解密栏中点击报价一览表查看自己的磋商报价。如对磋商过程有异议的，应在响应人解密成功后10分钟内向中介服务机构电话质疑。中介服务机构应在监督人员的监督下进行免提通话接受投标人的质疑并做好书面记录。响应人未在规定时间内提出质疑的，视为认可磋商过程。</w:t>
            </w:r>
          </w:p>
          <w:p w14:paraId="115CFAE8">
            <w:pPr>
              <w:autoSpaceDE w:val="0"/>
              <w:autoSpaceDN w:val="0"/>
              <w:adjustRightInd w:val="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6、评标时，评标委员会对电子化响应文件有质疑的，将通过电子化交易系统对响应人发起质疑，并在监督人员的监督下，用免提模式致电需要答复的响应人对质疑进行回复。响应人的回复文件必须以经过响应人和其法定代表人签章的PDF格式文件为准，并通过电子化交易系统提交至评标委员会。</w:t>
            </w:r>
          </w:p>
          <w:p w14:paraId="2E9EA7D9">
            <w:pPr>
              <w:autoSpaceDE w:val="0"/>
              <w:autoSpaceDN w:val="0"/>
              <w:adjustRightInd w:val="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7、如评标委员会对需要回复的响应人连续三次致电未接通的，视为响应人放弃回复，评标委员会将自行对需要回复的内容进行认定。</w:t>
            </w:r>
          </w:p>
          <w:p w14:paraId="5F1B0EC0">
            <w:pPr>
              <w:autoSpaceDE w:val="0"/>
              <w:autoSpaceDN w:val="0"/>
              <w:adjustRightInd w:val="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二、资格审查资料</w:t>
            </w:r>
          </w:p>
          <w:p w14:paraId="739CE774">
            <w:pPr>
              <w:autoSpaceDE w:val="0"/>
              <w:autoSpaceDN w:val="0"/>
              <w:adjustRightInd w:val="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本项目实行资格后审，资格评审以响应文件为准，其上传资料真实性由投标人自行承担，同时，投标人要完善主体库。提示：本项目为电子化、无纸化交易项目，为保证您能投标成功，请需仔细阅读以上条款。</w:t>
            </w:r>
          </w:p>
        </w:tc>
      </w:tr>
      <w:tr w14:paraId="2434A8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 w:hRule="atLeast"/>
          <w:jc w:val="center"/>
        </w:trPr>
        <w:tc>
          <w:tcPr>
            <w:tcW w:w="993" w:type="dxa"/>
            <w:vAlign w:val="center"/>
          </w:tcPr>
          <w:p w14:paraId="241F4F25">
            <w:pPr>
              <w:adjustRightInd w:val="0"/>
              <w:spacing w:line="324" w:lineRule="auto"/>
              <w:jc w:val="center"/>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22</w:t>
            </w:r>
          </w:p>
        </w:tc>
        <w:tc>
          <w:tcPr>
            <w:tcW w:w="1701" w:type="dxa"/>
            <w:vAlign w:val="center"/>
          </w:tcPr>
          <w:p w14:paraId="580909E3">
            <w:pPr>
              <w:adjustRightInd w:val="0"/>
              <w:spacing w:line="324" w:lineRule="auto"/>
              <w:rPr>
                <w:rFonts w:hint="eastAsia" w:ascii="宋体" w:hAnsi="宋体" w:eastAsia="宋体" w:cs="宋体"/>
                <w:color w:val="auto"/>
                <w:spacing w:val="6"/>
                <w:sz w:val="24"/>
                <w:szCs w:val="24"/>
              </w:rPr>
            </w:pPr>
            <w:r>
              <w:rPr>
                <w:rFonts w:hint="eastAsia" w:ascii="宋体" w:hAnsi="宋体" w:eastAsia="宋体" w:cs="宋体"/>
                <w:color w:val="auto"/>
                <w:sz w:val="24"/>
                <w:szCs w:val="24"/>
                <w:lang w:eastAsia="zh-CN"/>
              </w:rPr>
              <w:t>代理</w:t>
            </w:r>
            <w:r>
              <w:rPr>
                <w:rFonts w:hint="eastAsia" w:ascii="宋体" w:hAnsi="宋体" w:eastAsia="宋体" w:cs="宋体"/>
                <w:color w:val="auto"/>
                <w:sz w:val="24"/>
                <w:szCs w:val="24"/>
              </w:rPr>
              <w:t>服务费</w:t>
            </w:r>
          </w:p>
        </w:tc>
        <w:tc>
          <w:tcPr>
            <w:tcW w:w="6520" w:type="dxa"/>
            <w:vAlign w:val="center"/>
          </w:tcPr>
          <w:p w14:paraId="6DEDA626">
            <w:pPr>
              <w:spacing w:line="600" w:lineRule="exac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代理</w:t>
            </w:r>
            <w:r>
              <w:rPr>
                <w:rFonts w:hint="eastAsia" w:ascii="宋体" w:hAnsi="宋体" w:eastAsia="宋体" w:cs="宋体"/>
                <w:color w:val="auto"/>
                <w:sz w:val="24"/>
                <w:szCs w:val="24"/>
              </w:rPr>
              <w:t>服务费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收费标准参照豫招协【2023】002号文件规定收取，服务费按差额定率累进法计算。中标服务费由</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供应商在领取中标通知书前以支票、汇票、现金等付款方式一次性缴清。</w:t>
            </w:r>
          </w:p>
        </w:tc>
      </w:tr>
      <w:tr w14:paraId="7258E7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1" w:hRule="atLeast"/>
          <w:jc w:val="center"/>
        </w:trPr>
        <w:tc>
          <w:tcPr>
            <w:tcW w:w="993" w:type="dxa"/>
            <w:vAlign w:val="center"/>
          </w:tcPr>
          <w:p w14:paraId="3CA8B77E">
            <w:pPr>
              <w:adjustRightInd w:val="0"/>
              <w:spacing w:line="324" w:lineRule="auto"/>
              <w:jc w:val="center"/>
              <w:rPr>
                <w:rFonts w:hint="eastAsia" w:ascii="宋体" w:hAnsi="宋体" w:eastAsia="宋体" w:cs="宋体"/>
                <w:color w:val="auto"/>
                <w:spacing w:val="6"/>
                <w:sz w:val="24"/>
                <w:szCs w:val="24"/>
                <w:lang w:val="en-US" w:eastAsia="zh-CN"/>
              </w:rPr>
            </w:pPr>
            <w:r>
              <w:rPr>
                <w:rFonts w:hint="eastAsia" w:ascii="宋体" w:hAnsi="宋体" w:eastAsia="宋体" w:cs="宋体"/>
                <w:color w:val="auto"/>
                <w:spacing w:val="6"/>
                <w:sz w:val="24"/>
                <w:szCs w:val="24"/>
                <w:lang w:val="en-US" w:eastAsia="zh-CN"/>
              </w:rPr>
              <w:t>23</w:t>
            </w:r>
          </w:p>
        </w:tc>
        <w:tc>
          <w:tcPr>
            <w:tcW w:w="1701" w:type="dxa"/>
            <w:vAlign w:val="center"/>
          </w:tcPr>
          <w:p w14:paraId="34707A0C">
            <w:pPr>
              <w:adjustRightInd w:val="0"/>
              <w:spacing w:line="324" w:lineRule="auto"/>
              <w:rPr>
                <w:rFonts w:hint="eastAsia" w:ascii="宋体" w:hAnsi="宋体" w:eastAsia="宋体" w:cs="宋体"/>
                <w:color w:val="auto"/>
                <w:spacing w:val="6"/>
                <w:sz w:val="24"/>
                <w:szCs w:val="24"/>
              </w:rPr>
            </w:pPr>
            <w:r>
              <w:rPr>
                <w:rFonts w:hint="eastAsia" w:ascii="宋体" w:hAnsi="宋体" w:eastAsia="宋体" w:cs="宋体"/>
                <w:color w:val="auto"/>
                <w:sz w:val="24"/>
                <w:szCs w:val="24"/>
              </w:rPr>
              <w:t>采购标的对应的中小微企业划分标准及所属行业</w:t>
            </w:r>
          </w:p>
        </w:tc>
        <w:tc>
          <w:tcPr>
            <w:tcW w:w="6520" w:type="dxa"/>
            <w:vAlign w:val="center"/>
          </w:tcPr>
          <w:p w14:paraId="3A18E6FA">
            <w:pPr>
              <w:spacing w:line="60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所属行业为：其他未列明行业；</w:t>
            </w:r>
          </w:p>
          <w:p w14:paraId="0C5721F1">
            <w:pPr>
              <w:spacing w:line="600" w:lineRule="exact"/>
              <w:rPr>
                <w:rFonts w:hint="eastAsia" w:ascii="宋体" w:hAnsi="宋体" w:eastAsia="宋体" w:cs="宋体"/>
                <w:color w:val="auto"/>
                <w:spacing w:val="6"/>
                <w:sz w:val="24"/>
                <w:szCs w:val="24"/>
              </w:rPr>
            </w:pPr>
            <w:r>
              <w:rPr>
                <w:rFonts w:hint="eastAsia" w:ascii="宋体" w:hAnsi="宋体" w:eastAsia="宋体" w:cs="宋体"/>
                <w:color w:val="auto"/>
                <w:sz w:val="24"/>
                <w:szCs w:val="24"/>
                <w:lang w:eastAsia="zh-CN"/>
              </w:rPr>
              <w:t>划定标准为：中小微企业划分按照《工业和信息化部、国家统计局、国家发展和改革委员会、财政部关于印发的通知》(工信部联企业[2011]300号)规定的划分标准为依据。</w:t>
            </w:r>
          </w:p>
        </w:tc>
      </w:tr>
    </w:tbl>
    <w:p w14:paraId="7A4D8C6F">
      <w:pPr>
        <w:widowControl/>
        <w:spacing w:line="600" w:lineRule="exact"/>
        <w:jc w:val="center"/>
        <w:rPr>
          <w:rFonts w:hint="eastAsia" w:ascii="宋体" w:hAnsi="宋体" w:eastAsia="宋体" w:cs="宋体"/>
          <w:color w:val="auto"/>
          <w:w w:val="97"/>
          <w:kern w:val="0"/>
          <w:sz w:val="24"/>
          <w:szCs w:val="24"/>
        </w:rPr>
      </w:pPr>
      <w:r>
        <w:rPr>
          <w:rFonts w:hint="eastAsia" w:ascii="宋体" w:hAnsi="宋体" w:eastAsia="宋体" w:cs="宋体"/>
          <w:color w:val="auto"/>
          <w:w w:val="97"/>
          <w:kern w:val="0"/>
          <w:sz w:val="24"/>
          <w:szCs w:val="24"/>
        </w:rPr>
        <w:t>一、说明</w:t>
      </w:r>
    </w:p>
    <w:p w14:paraId="71287AC7">
      <w:pPr>
        <w:autoSpaceDE w:val="0"/>
        <w:autoSpaceDN w:val="0"/>
        <w:adjustRightInd w:val="0"/>
        <w:spacing w:before="32" w:line="600" w:lineRule="exact"/>
        <w:ind w:right="-58" w:firstLine="468" w:firstLineChars="200"/>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1.适用范围</w:t>
      </w:r>
    </w:p>
    <w:p w14:paraId="4E978DB3">
      <w:pPr>
        <w:autoSpaceDE w:val="0"/>
        <w:autoSpaceDN w:val="0"/>
        <w:adjustRightInd w:val="0"/>
        <w:spacing w:before="32" w:line="600" w:lineRule="exact"/>
        <w:ind w:right="-58" w:firstLine="468" w:firstLineChars="200"/>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本竞争性磋商文件仅适用于竞争性磋商公告中所叙述项目的相关采购。</w:t>
      </w:r>
    </w:p>
    <w:p w14:paraId="5727B929">
      <w:pPr>
        <w:autoSpaceDE w:val="0"/>
        <w:autoSpaceDN w:val="0"/>
        <w:adjustRightInd w:val="0"/>
        <w:spacing w:before="32" w:line="600" w:lineRule="exact"/>
        <w:ind w:right="-58" w:firstLine="468" w:firstLineChars="200"/>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2.定义</w:t>
      </w:r>
    </w:p>
    <w:p w14:paraId="7B81E628">
      <w:pPr>
        <w:autoSpaceDE w:val="0"/>
        <w:autoSpaceDN w:val="0"/>
        <w:adjustRightInd w:val="0"/>
        <w:spacing w:before="32" w:line="600" w:lineRule="exact"/>
        <w:ind w:right="-58" w:firstLine="468" w:firstLineChars="200"/>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2.1 “采购人”系指本次采购项目的采购单位。</w:t>
      </w:r>
    </w:p>
    <w:p w14:paraId="0B45BC21">
      <w:pPr>
        <w:autoSpaceDE w:val="0"/>
        <w:autoSpaceDN w:val="0"/>
        <w:adjustRightInd w:val="0"/>
        <w:spacing w:before="32" w:line="600" w:lineRule="exact"/>
        <w:ind w:right="-58" w:firstLine="468" w:firstLineChars="200"/>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2.2 “采购代理机构”系指本次采购项目活动组织方。</w:t>
      </w:r>
    </w:p>
    <w:p w14:paraId="1BE0C1A0">
      <w:pPr>
        <w:autoSpaceDE w:val="0"/>
        <w:autoSpaceDN w:val="0"/>
        <w:adjustRightInd w:val="0"/>
        <w:spacing w:before="32" w:line="600" w:lineRule="exact"/>
        <w:ind w:right="-58" w:firstLine="468" w:firstLineChars="200"/>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2.3 “供应商”系指购买了本次竞争性磋商文件，且已经提交本次响应性文件。</w:t>
      </w:r>
    </w:p>
    <w:p w14:paraId="477C0B19">
      <w:pPr>
        <w:autoSpaceDE w:val="0"/>
        <w:autoSpaceDN w:val="0"/>
        <w:adjustRightInd w:val="0"/>
        <w:spacing w:before="32" w:line="600" w:lineRule="exact"/>
        <w:ind w:right="-58" w:firstLine="468" w:firstLineChars="200"/>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2.4 “供应商代表”系指代表供应商参加本次磋商活动的磋商供应商的法定代表人或其委托代理人。</w:t>
      </w:r>
    </w:p>
    <w:p w14:paraId="3E19A9E4">
      <w:pPr>
        <w:autoSpaceDE w:val="0"/>
        <w:autoSpaceDN w:val="0"/>
        <w:adjustRightInd w:val="0"/>
        <w:spacing w:before="32" w:line="600" w:lineRule="exact"/>
        <w:ind w:right="-58" w:firstLine="468" w:firstLineChars="200"/>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2.5 “货物”系指供应商按竞争性磋商文件规定的采购人所要求的一切项目内容。</w:t>
      </w:r>
    </w:p>
    <w:p w14:paraId="0C07B7EB">
      <w:pPr>
        <w:autoSpaceDE w:val="0"/>
        <w:autoSpaceDN w:val="0"/>
        <w:adjustRightInd w:val="0"/>
        <w:spacing w:before="32" w:line="600" w:lineRule="exact"/>
        <w:ind w:right="-58" w:firstLine="468" w:firstLineChars="200"/>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2.6 “相关服务”系指竞争性磋商文件规定磋商供应商须承担的与本次采购项目相关的服务、协调工作以及其他类似的义务。</w:t>
      </w:r>
    </w:p>
    <w:p w14:paraId="662A9FC0">
      <w:pPr>
        <w:autoSpaceDE w:val="0"/>
        <w:autoSpaceDN w:val="0"/>
        <w:adjustRightInd w:val="0"/>
        <w:spacing w:before="32" w:line="600" w:lineRule="exact"/>
        <w:ind w:right="-58" w:firstLine="468" w:firstLineChars="200"/>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2.7 “竞争性磋商文件有效期”系指本次采购项目递交响应性文件截止之日起至合同签订之日止的期限。成交供应商的竞争性磋商文件有效期至合同完全履行止。</w:t>
      </w:r>
    </w:p>
    <w:p w14:paraId="796359FC">
      <w:pPr>
        <w:autoSpaceDE w:val="0"/>
        <w:autoSpaceDN w:val="0"/>
        <w:adjustRightInd w:val="0"/>
        <w:spacing w:before="32" w:line="600" w:lineRule="exact"/>
        <w:ind w:right="-58" w:firstLine="468" w:firstLineChars="200"/>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3.磋商预算价</w:t>
      </w:r>
    </w:p>
    <w:p w14:paraId="53C6711E">
      <w:pPr>
        <w:spacing w:line="600" w:lineRule="exact"/>
        <w:ind w:firstLine="468" w:firstLineChars="200"/>
        <w:rPr>
          <w:rFonts w:hint="eastAsia" w:ascii="宋体" w:hAnsi="宋体" w:eastAsia="宋体" w:cs="宋体"/>
          <w:color w:val="auto"/>
          <w:sz w:val="24"/>
          <w:szCs w:val="24"/>
        </w:rPr>
      </w:pPr>
      <w:r>
        <w:rPr>
          <w:rFonts w:hint="eastAsia" w:ascii="宋体" w:hAnsi="宋体" w:eastAsia="宋体" w:cs="宋体"/>
          <w:color w:val="auto"/>
          <w:spacing w:val="-3"/>
          <w:kern w:val="0"/>
          <w:sz w:val="24"/>
          <w:szCs w:val="24"/>
        </w:rPr>
        <w:t>本次磋商预算价为：</w:t>
      </w:r>
      <w:r>
        <w:rPr>
          <w:rFonts w:hint="eastAsia" w:ascii="宋体" w:hAnsi="宋体" w:eastAsia="宋体" w:cs="宋体"/>
          <w:color w:val="auto"/>
          <w:sz w:val="24"/>
          <w:szCs w:val="24"/>
          <w:lang w:val="en-US" w:eastAsia="zh-CN"/>
        </w:rPr>
        <w:t>450000.00</w:t>
      </w:r>
      <w:r>
        <w:rPr>
          <w:rFonts w:hint="eastAsia" w:ascii="宋体" w:hAnsi="宋体" w:eastAsia="宋体" w:cs="宋体"/>
          <w:color w:val="auto"/>
          <w:sz w:val="24"/>
          <w:szCs w:val="24"/>
        </w:rPr>
        <w:t>元</w:t>
      </w:r>
    </w:p>
    <w:p w14:paraId="23524C54">
      <w:pPr>
        <w:autoSpaceDE w:val="0"/>
        <w:autoSpaceDN w:val="0"/>
        <w:adjustRightInd w:val="0"/>
        <w:spacing w:before="32" w:line="600" w:lineRule="exact"/>
        <w:ind w:right="-58" w:firstLine="468" w:firstLineChars="200"/>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4.供应商应提交的资格证明文件</w:t>
      </w:r>
    </w:p>
    <w:p w14:paraId="71CDB55C">
      <w:pPr>
        <w:autoSpaceDE w:val="0"/>
        <w:autoSpaceDN w:val="0"/>
        <w:adjustRightInd w:val="0"/>
        <w:spacing w:before="32" w:line="600" w:lineRule="exact"/>
        <w:ind w:right="-58" w:firstLine="468" w:firstLineChars="200"/>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详见供应商须知</w:t>
      </w:r>
    </w:p>
    <w:p w14:paraId="3F06DA4E">
      <w:pPr>
        <w:autoSpaceDE w:val="0"/>
        <w:autoSpaceDN w:val="0"/>
        <w:adjustRightInd w:val="0"/>
        <w:spacing w:before="32" w:line="600" w:lineRule="exact"/>
        <w:ind w:right="-58" w:firstLine="468" w:firstLineChars="200"/>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5.联合体参加磋商</w:t>
      </w:r>
    </w:p>
    <w:p w14:paraId="701B447F">
      <w:pPr>
        <w:autoSpaceDE w:val="0"/>
        <w:autoSpaceDN w:val="0"/>
        <w:adjustRightInd w:val="0"/>
        <w:spacing w:before="32" w:line="600" w:lineRule="exact"/>
        <w:ind w:right="-58" w:firstLine="468" w:firstLineChars="200"/>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5.1 本项目不接受联合体参加磋商。</w:t>
      </w:r>
    </w:p>
    <w:p w14:paraId="26667495">
      <w:pPr>
        <w:spacing w:line="600" w:lineRule="exact"/>
        <w:ind w:firstLine="468" w:firstLineChars="200"/>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6.费用承担</w:t>
      </w:r>
    </w:p>
    <w:p w14:paraId="0A5B5450">
      <w:pPr>
        <w:spacing w:line="600" w:lineRule="exact"/>
        <w:ind w:firstLine="468" w:firstLineChars="200"/>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lang w:eastAsia="zh-CN"/>
        </w:rPr>
        <w:t>投标供应商</w:t>
      </w:r>
      <w:r>
        <w:rPr>
          <w:rFonts w:hint="eastAsia" w:ascii="宋体" w:hAnsi="宋体" w:eastAsia="宋体" w:cs="宋体"/>
          <w:color w:val="auto"/>
          <w:spacing w:val="-3"/>
          <w:kern w:val="0"/>
          <w:sz w:val="24"/>
          <w:szCs w:val="24"/>
        </w:rPr>
        <w:t>参加磋商活动发生的一切费用自理。</w:t>
      </w:r>
      <w:r>
        <w:rPr>
          <w:rFonts w:hint="eastAsia" w:ascii="宋体" w:hAnsi="宋体" w:eastAsia="宋体" w:cs="宋体"/>
          <w:color w:val="auto"/>
          <w:spacing w:val="-3"/>
          <w:kern w:val="0"/>
          <w:sz w:val="24"/>
          <w:szCs w:val="24"/>
          <w:lang w:eastAsia="zh-CN"/>
        </w:rPr>
        <w:t>采购人</w:t>
      </w:r>
      <w:r>
        <w:rPr>
          <w:rFonts w:hint="eastAsia" w:ascii="宋体" w:hAnsi="宋体" w:eastAsia="宋体" w:cs="宋体"/>
          <w:color w:val="auto"/>
          <w:spacing w:val="-3"/>
          <w:kern w:val="0"/>
          <w:sz w:val="24"/>
          <w:szCs w:val="24"/>
        </w:rPr>
        <w:t>和代理机构对上述费用均不承担任何责任。</w:t>
      </w:r>
    </w:p>
    <w:p w14:paraId="42CD9622">
      <w:pPr>
        <w:autoSpaceDE w:val="0"/>
        <w:autoSpaceDN w:val="0"/>
        <w:adjustRightInd w:val="0"/>
        <w:spacing w:before="32" w:line="600" w:lineRule="exact"/>
        <w:ind w:right="-58" w:firstLine="468" w:firstLineChars="200"/>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7.特别说明：</w:t>
      </w:r>
    </w:p>
    <w:p w14:paraId="60A6BEEB">
      <w:pPr>
        <w:autoSpaceDE w:val="0"/>
        <w:autoSpaceDN w:val="0"/>
        <w:adjustRightInd w:val="0"/>
        <w:spacing w:before="32" w:line="600" w:lineRule="exact"/>
        <w:ind w:right="-58" w:firstLine="468" w:firstLineChars="200"/>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7.1供应商参加磋商所使用的资格、信誉、荣誉、业绩与企业认证必须为本法人所拥有。</w:t>
      </w:r>
    </w:p>
    <w:p w14:paraId="15D2158C">
      <w:pPr>
        <w:autoSpaceDE w:val="0"/>
        <w:autoSpaceDN w:val="0"/>
        <w:adjustRightInd w:val="0"/>
        <w:spacing w:before="32" w:line="600" w:lineRule="exact"/>
        <w:ind w:right="-58" w:firstLine="468" w:firstLineChars="200"/>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7.2供应商代表只能接受一个供应商的委托参加磋商。</w:t>
      </w:r>
    </w:p>
    <w:p w14:paraId="33B80C9D">
      <w:pPr>
        <w:autoSpaceDE w:val="0"/>
        <w:autoSpaceDN w:val="0"/>
        <w:adjustRightInd w:val="0"/>
        <w:spacing w:before="32" w:line="600" w:lineRule="exact"/>
        <w:ind w:right="-58" w:firstLine="468" w:firstLineChars="200"/>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7.3 供应商在磋商活动中提供虚假材料或从事其他违法活动的,其响应无效，由相关部门查处。</w:t>
      </w:r>
    </w:p>
    <w:p w14:paraId="075FDED2">
      <w:pPr>
        <w:autoSpaceDE w:val="0"/>
        <w:autoSpaceDN w:val="0"/>
        <w:adjustRightInd w:val="0"/>
        <w:spacing w:before="32" w:line="600" w:lineRule="exact"/>
        <w:ind w:right="-58" w:firstLine="468" w:firstLineChars="200"/>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8.质疑和投诉</w:t>
      </w:r>
    </w:p>
    <w:p w14:paraId="7D0F8F47">
      <w:pPr>
        <w:autoSpaceDE w:val="0"/>
        <w:autoSpaceDN w:val="0"/>
        <w:adjustRightInd w:val="0"/>
        <w:spacing w:before="32" w:line="600" w:lineRule="exact"/>
        <w:ind w:right="-58" w:firstLine="468" w:firstLineChars="200"/>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8.1供应商认为磋商过程和成交结果使自己的合法权益受到损害的，应当在知道或者应知其权益受到损害之日起 7个工作日内，向采购人或采购代理机构提出质疑。供应商对采购人或采购代理机构的质疑答复不满意或采购人或采购代理机构未在规定时间内作出答复的，可以在答复期满后15个工作日内向同级财政部门投诉。</w:t>
      </w:r>
    </w:p>
    <w:p w14:paraId="1A23347A">
      <w:pPr>
        <w:autoSpaceDE w:val="0"/>
        <w:autoSpaceDN w:val="0"/>
        <w:adjustRightInd w:val="0"/>
        <w:spacing w:before="32" w:line="600" w:lineRule="exact"/>
        <w:ind w:right="-58" w:firstLine="468" w:firstLineChars="200"/>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8.2 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69BED5ED">
      <w:pPr>
        <w:autoSpaceDE w:val="0"/>
        <w:autoSpaceDN w:val="0"/>
        <w:adjustRightInd w:val="0"/>
        <w:spacing w:before="32" w:line="600" w:lineRule="exact"/>
        <w:ind w:right="-58" w:firstLine="468" w:firstLineChars="200"/>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9.供应商的风险</w:t>
      </w:r>
    </w:p>
    <w:p w14:paraId="69051B5B">
      <w:pPr>
        <w:autoSpaceDE w:val="0"/>
        <w:autoSpaceDN w:val="0"/>
        <w:adjustRightInd w:val="0"/>
        <w:spacing w:before="32" w:line="600" w:lineRule="exact"/>
        <w:ind w:right="-58" w:firstLine="468" w:firstLineChars="200"/>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供应商没有按照竞争性磋商文件要求提供全部资料，或者供应商没有对响应性文件在各方面都做出实质性响应是供应商的风险，可能导致其响应被拒绝。</w:t>
      </w:r>
    </w:p>
    <w:p w14:paraId="3B190E30">
      <w:pPr>
        <w:autoSpaceDE w:val="0"/>
        <w:autoSpaceDN w:val="0"/>
        <w:adjustRightInd w:val="0"/>
        <w:spacing w:before="32" w:line="360" w:lineRule="auto"/>
        <w:ind w:right="-58" w:firstLine="468" w:firstLineChars="200"/>
        <w:jc w:val="center"/>
        <w:rPr>
          <w:rFonts w:hint="eastAsia" w:ascii="宋体" w:hAnsi="宋体" w:eastAsia="宋体" w:cs="宋体"/>
          <w:color w:val="auto"/>
          <w:spacing w:val="-3"/>
          <w:kern w:val="0"/>
          <w:sz w:val="24"/>
          <w:szCs w:val="24"/>
        </w:rPr>
      </w:pPr>
      <w:bookmarkStart w:id="5" w:name="_Toc109675034"/>
      <w:bookmarkStart w:id="6" w:name="_Toc518571704"/>
      <w:r>
        <w:rPr>
          <w:rFonts w:hint="eastAsia" w:ascii="宋体" w:hAnsi="宋体" w:eastAsia="宋体" w:cs="宋体"/>
          <w:color w:val="auto"/>
          <w:spacing w:val="-3"/>
          <w:kern w:val="0"/>
          <w:sz w:val="24"/>
          <w:szCs w:val="24"/>
        </w:rPr>
        <w:t>二、竞争性磋商文件</w:t>
      </w:r>
      <w:bookmarkEnd w:id="5"/>
      <w:bookmarkEnd w:id="6"/>
    </w:p>
    <w:p w14:paraId="6B9AD42F">
      <w:pPr>
        <w:autoSpaceDE w:val="0"/>
        <w:autoSpaceDN w:val="0"/>
        <w:adjustRightInd w:val="0"/>
        <w:spacing w:before="32" w:line="600" w:lineRule="exact"/>
        <w:ind w:right="-58" w:firstLine="468" w:firstLineChars="200"/>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10.竞争性磋商文件的构成。本竞争性磋商文件由以下部分组成：</w:t>
      </w:r>
    </w:p>
    <w:p w14:paraId="40A724D3">
      <w:pPr>
        <w:autoSpaceDE w:val="0"/>
        <w:autoSpaceDN w:val="0"/>
        <w:adjustRightInd w:val="0"/>
        <w:spacing w:before="32" w:line="600" w:lineRule="exact"/>
        <w:ind w:right="-58" w:firstLine="468" w:firstLineChars="200"/>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10.1 竞争性磋商公告</w:t>
      </w:r>
    </w:p>
    <w:p w14:paraId="1FED4DA8">
      <w:pPr>
        <w:autoSpaceDE w:val="0"/>
        <w:autoSpaceDN w:val="0"/>
        <w:adjustRightInd w:val="0"/>
        <w:spacing w:before="32" w:line="600" w:lineRule="exact"/>
        <w:ind w:right="-58" w:firstLine="468" w:firstLineChars="200"/>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10.2 供应商须知</w:t>
      </w:r>
    </w:p>
    <w:p w14:paraId="38A2BF83">
      <w:pPr>
        <w:autoSpaceDE w:val="0"/>
        <w:autoSpaceDN w:val="0"/>
        <w:adjustRightInd w:val="0"/>
        <w:spacing w:before="32" w:line="600" w:lineRule="exact"/>
        <w:ind w:right="-58" w:firstLine="468" w:firstLineChars="200"/>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10.3 采购需求</w:t>
      </w:r>
    </w:p>
    <w:p w14:paraId="480B13C7">
      <w:pPr>
        <w:autoSpaceDE w:val="0"/>
        <w:autoSpaceDN w:val="0"/>
        <w:adjustRightInd w:val="0"/>
        <w:spacing w:before="32" w:line="600" w:lineRule="exact"/>
        <w:ind w:right="-58" w:firstLine="468" w:firstLineChars="200"/>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10.4 合同条款</w:t>
      </w:r>
    </w:p>
    <w:p w14:paraId="1A96332E">
      <w:pPr>
        <w:autoSpaceDE w:val="0"/>
        <w:autoSpaceDN w:val="0"/>
        <w:adjustRightInd w:val="0"/>
        <w:spacing w:before="32" w:line="600" w:lineRule="exact"/>
        <w:ind w:right="-58" w:firstLine="468" w:firstLineChars="200"/>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10.5 评审标准</w:t>
      </w:r>
    </w:p>
    <w:p w14:paraId="0E72A4D4">
      <w:pPr>
        <w:autoSpaceDE w:val="0"/>
        <w:autoSpaceDN w:val="0"/>
        <w:adjustRightInd w:val="0"/>
        <w:spacing w:before="32" w:line="600" w:lineRule="exact"/>
        <w:ind w:right="-58" w:firstLine="468" w:firstLineChars="200"/>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10.6</w:t>
      </w:r>
      <w:r>
        <w:rPr>
          <w:rFonts w:hint="eastAsia" w:ascii="宋体" w:hAnsi="宋体" w:eastAsia="宋体" w:cs="宋体"/>
          <w:color w:val="auto"/>
          <w:spacing w:val="-3"/>
          <w:kern w:val="0"/>
          <w:sz w:val="24"/>
          <w:szCs w:val="24"/>
          <w:lang w:val="en-US" w:eastAsia="zh-CN"/>
        </w:rPr>
        <w:t xml:space="preserve"> </w:t>
      </w:r>
      <w:r>
        <w:rPr>
          <w:rFonts w:hint="eastAsia" w:ascii="宋体" w:hAnsi="宋体" w:eastAsia="宋体" w:cs="宋体"/>
          <w:color w:val="auto"/>
          <w:spacing w:val="-3"/>
          <w:kern w:val="0"/>
          <w:sz w:val="24"/>
          <w:szCs w:val="24"/>
        </w:rPr>
        <w:t>磋商文件格式</w:t>
      </w:r>
    </w:p>
    <w:p w14:paraId="4179F549">
      <w:pPr>
        <w:autoSpaceDE w:val="0"/>
        <w:autoSpaceDN w:val="0"/>
        <w:adjustRightInd w:val="0"/>
        <w:spacing w:before="32" w:line="600" w:lineRule="exact"/>
        <w:ind w:right="-58" w:firstLine="468" w:firstLineChars="200"/>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11.竞争性磋商文件的澄清与修改</w:t>
      </w:r>
    </w:p>
    <w:p w14:paraId="4C43818B">
      <w:pPr>
        <w:autoSpaceDE w:val="0"/>
        <w:autoSpaceDN w:val="0"/>
        <w:adjustRightInd w:val="0"/>
        <w:spacing w:before="32" w:line="600" w:lineRule="exact"/>
        <w:ind w:right="-58" w:firstLine="468" w:firstLineChars="200"/>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11.1 采购代理机构对已发出的竞争性磋商文件进行必要澄清、修改或补充</w:t>
      </w:r>
      <w:r>
        <w:rPr>
          <w:rFonts w:hint="eastAsia" w:ascii="宋体" w:hAnsi="宋体" w:eastAsia="宋体" w:cs="宋体"/>
          <w:color w:val="auto"/>
          <w:spacing w:val="-6"/>
          <w:kern w:val="0"/>
          <w:sz w:val="24"/>
          <w:szCs w:val="24"/>
        </w:rPr>
        <w:t>的，应当在竞争性磋商文件要求提交响应性文件截止时间5日（如至原定</w:t>
      </w:r>
      <w:r>
        <w:rPr>
          <w:rFonts w:hint="eastAsia" w:ascii="宋体" w:hAnsi="宋体" w:eastAsia="宋体" w:cs="宋体"/>
          <w:color w:val="auto"/>
          <w:spacing w:val="-4"/>
          <w:kern w:val="0"/>
          <w:sz w:val="24"/>
          <w:szCs w:val="24"/>
        </w:rPr>
        <w:t>截止时间不足5日，则需延长磋商开始时间）前，在</w:t>
      </w:r>
      <w:r>
        <w:rPr>
          <w:rFonts w:hint="eastAsia" w:ascii="宋体" w:hAnsi="宋体" w:eastAsia="宋体" w:cs="宋体"/>
          <w:color w:val="auto"/>
          <w:sz w:val="24"/>
          <w:szCs w:val="24"/>
        </w:rPr>
        <w:t>《河南省政府采购网</w:t>
      </w:r>
      <w:r>
        <w:rPr>
          <w:rFonts w:hint="eastAsia" w:ascii="宋体" w:hAnsi="宋体" w:eastAsia="宋体" w:cs="宋体"/>
          <w:color w:val="auto"/>
          <w:spacing w:val="-4"/>
          <w:kern w:val="0"/>
          <w:sz w:val="24"/>
          <w:szCs w:val="24"/>
        </w:rPr>
        <w:t>》、《中国招标投标公共服务平台》和</w:t>
      </w:r>
      <w:r>
        <w:rPr>
          <w:rFonts w:hint="eastAsia" w:ascii="宋体" w:hAnsi="宋体" w:eastAsia="宋体" w:cs="宋体"/>
          <w:color w:val="auto"/>
          <w:sz w:val="24"/>
          <w:szCs w:val="24"/>
        </w:rPr>
        <w:t>《三门峡市公共资源交易中心网》</w:t>
      </w:r>
      <w:r>
        <w:rPr>
          <w:rFonts w:hint="eastAsia" w:ascii="宋体" w:hAnsi="宋体" w:eastAsia="宋体" w:cs="宋体"/>
          <w:color w:val="auto"/>
          <w:spacing w:val="-4"/>
          <w:kern w:val="0"/>
          <w:sz w:val="24"/>
          <w:szCs w:val="24"/>
        </w:rPr>
        <w:t>等相关媒体上发布更正公告</w:t>
      </w:r>
      <w:r>
        <w:rPr>
          <w:rFonts w:hint="eastAsia" w:ascii="宋体" w:hAnsi="宋体" w:eastAsia="宋体" w:cs="宋体"/>
          <w:color w:val="auto"/>
          <w:spacing w:val="-3"/>
          <w:kern w:val="0"/>
          <w:sz w:val="24"/>
          <w:szCs w:val="24"/>
        </w:rPr>
        <w:t>。竞争性磋商文件公示期间对竞争性磋商文件进行的澄清、修改或补充不受上述限制。</w:t>
      </w:r>
    </w:p>
    <w:p w14:paraId="67D9C006">
      <w:pPr>
        <w:autoSpaceDE w:val="0"/>
        <w:autoSpaceDN w:val="0"/>
        <w:adjustRightInd w:val="0"/>
        <w:spacing w:before="163" w:line="600" w:lineRule="exact"/>
        <w:ind w:firstLine="468" w:firstLineChars="200"/>
        <w:jc w:val="left"/>
        <w:rPr>
          <w:rFonts w:hint="eastAsia" w:ascii="宋体" w:hAnsi="宋体" w:eastAsia="宋体" w:cs="宋体"/>
          <w:color w:val="auto"/>
          <w:spacing w:val="-3"/>
          <w:kern w:val="0"/>
          <w:sz w:val="24"/>
          <w:szCs w:val="24"/>
        </w:rPr>
      </w:pPr>
      <w:r>
        <w:rPr>
          <w:rFonts w:hint="eastAsia" w:ascii="宋体" w:hAnsi="宋体" w:eastAsia="宋体" w:cs="宋体"/>
          <w:color w:val="auto"/>
          <w:spacing w:val="-3"/>
          <w:kern w:val="0"/>
          <w:sz w:val="24"/>
          <w:szCs w:val="24"/>
        </w:rPr>
        <w:t>11.2 竞争性磋商文件澄清、修改或补充的内容为竞争性磋商文件的组成部分。</w:t>
      </w:r>
    </w:p>
    <w:p w14:paraId="4540CEF1">
      <w:pPr>
        <w:autoSpaceDE w:val="0"/>
        <w:autoSpaceDN w:val="0"/>
        <w:adjustRightInd w:val="0"/>
        <w:spacing w:line="600" w:lineRule="exact"/>
        <w:ind w:right="-58" w:firstLine="468"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3"/>
          <w:kern w:val="0"/>
          <w:sz w:val="24"/>
          <w:szCs w:val="24"/>
        </w:rPr>
        <w:t>11.3采购代理机构可以视采购具体情况，延长递交响应性文件截止时间和</w:t>
      </w:r>
      <w:r>
        <w:rPr>
          <w:rFonts w:hint="eastAsia" w:ascii="宋体" w:hAnsi="宋体" w:eastAsia="宋体" w:cs="宋体"/>
          <w:color w:val="auto"/>
          <w:spacing w:val="-4"/>
          <w:kern w:val="0"/>
          <w:sz w:val="24"/>
          <w:szCs w:val="24"/>
        </w:rPr>
        <w:t>开始磋商时间，但至少应当在竞争性磋商文件要求提交响应性文件的截止时间5日前，将在</w:t>
      </w:r>
      <w:r>
        <w:rPr>
          <w:rFonts w:hint="eastAsia" w:ascii="宋体" w:hAnsi="宋体" w:eastAsia="宋体" w:cs="宋体"/>
          <w:color w:val="auto"/>
          <w:sz w:val="24"/>
          <w:szCs w:val="24"/>
        </w:rPr>
        <w:t>《河南省政府采购网》、《</w:t>
      </w:r>
      <w:r>
        <w:rPr>
          <w:rFonts w:hint="eastAsia" w:ascii="宋体" w:hAnsi="宋体" w:eastAsia="宋体" w:cs="宋体"/>
          <w:color w:val="auto"/>
          <w:spacing w:val="-4"/>
          <w:kern w:val="0"/>
          <w:sz w:val="24"/>
          <w:szCs w:val="24"/>
        </w:rPr>
        <w:t>中国招标投标公共服务平台</w:t>
      </w:r>
      <w:r>
        <w:rPr>
          <w:rFonts w:hint="eastAsia" w:ascii="宋体" w:hAnsi="宋体" w:eastAsia="宋体" w:cs="宋体"/>
          <w:color w:val="auto"/>
          <w:sz w:val="24"/>
          <w:szCs w:val="24"/>
        </w:rPr>
        <w:t>》和《三门峡市公共资源交易中心网》</w:t>
      </w:r>
      <w:r>
        <w:rPr>
          <w:rFonts w:hint="eastAsia" w:ascii="宋体" w:hAnsi="宋体" w:eastAsia="宋体" w:cs="宋体"/>
          <w:color w:val="auto"/>
          <w:spacing w:val="-4"/>
          <w:kern w:val="0"/>
          <w:sz w:val="24"/>
          <w:szCs w:val="24"/>
        </w:rPr>
        <w:t>等相关媒体上发布更正公告。</w:t>
      </w:r>
    </w:p>
    <w:p w14:paraId="6572A808">
      <w:pPr>
        <w:autoSpaceDE w:val="0"/>
        <w:autoSpaceDN w:val="0"/>
        <w:adjustRightInd w:val="0"/>
        <w:spacing w:before="32" w:line="360" w:lineRule="auto"/>
        <w:ind w:right="-58" w:firstLine="468" w:firstLineChars="200"/>
        <w:jc w:val="center"/>
        <w:rPr>
          <w:rFonts w:hint="eastAsia" w:ascii="宋体" w:hAnsi="宋体" w:eastAsia="宋体" w:cs="宋体"/>
          <w:color w:val="auto"/>
          <w:spacing w:val="-3"/>
          <w:kern w:val="0"/>
          <w:sz w:val="24"/>
          <w:szCs w:val="24"/>
        </w:rPr>
      </w:pPr>
      <w:bookmarkStart w:id="7" w:name="_Toc109675035"/>
      <w:bookmarkStart w:id="8" w:name="_Toc518571705"/>
      <w:r>
        <w:rPr>
          <w:rFonts w:hint="eastAsia" w:ascii="宋体" w:hAnsi="宋体" w:eastAsia="宋体" w:cs="宋体"/>
          <w:color w:val="auto"/>
          <w:spacing w:val="-3"/>
          <w:kern w:val="0"/>
          <w:sz w:val="24"/>
          <w:szCs w:val="24"/>
        </w:rPr>
        <w:t>三、响应性文件的编制</w:t>
      </w:r>
      <w:bookmarkEnd w:id="7"/>
      <w:bookmarkEnd w:id="8"/>
    </w:p>
    <w:p w14:paraId="23396C04">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12.要求</w:t>
      </w:r>
    </w:p>
    <w:p w14:paraId="43E028DC">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12.1供应商应仔细阅读竞争性磋商文件的所有内容，按照竞争性磋商文件提供的格式编写响应性文件，不得缺少或留空任何竞争性磋商文件要求填写的表格或提交的资料。竞争性磋商文件提供格式的按格式填列，未提供格式的可自行拟定。响应性文件应对竞争性磋商文件的要求作出实质性响应（包括响应性文件格式要求），供应商对所提供的全部资料的合法性、真实性负责。</w:t>
      </w:r>
    </w:p>
    <w:p w14:paraId="3CF1676C">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13.响应性文件的语言和计量单位</w:t>
      </w:r>
    </w:p>
    <w:p w14:paraId="7DA95BD2">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13.1 响应性文件以及供应商与采购、代理机构就有关磋商事宜的所有来往函电均应使用简体中文书写。</w:t>
      </w:r>
    </w:p>
    <w:p w14:paraId="7D1742E3">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13.2 关于计量单位，竞争性磋商文件已有明确规定的，使用竞争性磋商文件规定的计量单位；竞争性磋商文件没有规定的，应采用中华人民共和国法定计量单位。</w:t>
      </w:r>
    </w:p>
    <w:p w14:paraId="20E8EF3E">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14.响应性文件的组成。响应性文件应包括下列部分：</w:t>
      </w:r>
    </w:p>
    <w:p w14:paraId="25B38668">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lang w:val="en-US" w:eastAsia="zh-CN"/>
        </w:rPr>
      </w:pPr>
      <w:r>
        <w:rPr>
          <w:rFonts w:hint="eastAsia" w:ascii="宋体" w:hAnsi="宋体" w:eastAsia="宋体" w:cs="宋体"/>
          <w:color w:val="auto"/>
          <w:spacing w:val="-4"/>
          <w:kern w:val="0"/>
          <w:sz w:val="24"/>
          <w:szCs w:val="24"/>
        </w:rPr>
        <w:t>一、</w:t>
      </w:r>
      <w:r>
        <w:rPr>
          <w:rFonts w:hint="eastAsia" w:ascii="宋体" w:hAnsi="宋体" w:eastAsia="宋体" w:cs="宋体"/>
          <w:color w:val="auto"/>
          <w:spacing w:val="-4"/>
          <w:kern w:val="0"/>
          <w:sz w:val="24"/>
          <w:szCs w:val="24"/>
          <w:lang w:val="en-US" w:eastAsia="zh-CN"/>
        </w:rPr>
        <w:t>磋商响应书</w:t>
      </w:r>
    </w:p>
    <w:p w14:paraId="1D62AD1D">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lang w:val="en-US" w:eastAsia="zh-CN"/>
        </w:rPr>
      </w:pPr>
      <w:r>
        <w:rPr>
          <w:rFonts w:hint="eastAsia" w:ascii="宋体" w:hAnsi="宋体" w:eastAsia="宋体" w:cs="宋体"/>
          <w:color w:val="auto"/>
          <w:spacing w:val="-4"/>
          <w:kern w:val="0"/>
          <w:sz w:val="24"/>
          <w:szCs w:val="24"/>
          <w:lang w:val="en-US" w:eastAsia="zh-CN"/>
        </w:rPr>
        <w:t>二、法定代表人身份证明</w:t>
      </w:r>
    </w:p>
    <w:p w14:paraId="79C801B7">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lang w:val="en-US" w:eastAsia="zh-CN"/>
        </w:rPr>
        <w:t>三、</w:t>
      </w:r>
      <w:r>
        <w:rPr>
          <w:rFonts w:hint="eastAsia" w:ascii="宋体" w:hAnsi="宋体" w:eastAsia="宋体" w:cs="宋体"/>
          <w:color w:val="auto"/>
          <w:spacing w:val="-4"/>
          <w:kern w:val="0"/>
          <w:sz w:val="24"/>
          <w:szCs w:val="24"/>
        </w:rPr>
        <w:t>授权委托书</w:t>
      </w:r>
    </w:p>
    <w:p w14:paraId="299E8180">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四、磋商承诺函</w:t>
      </w:r>
    </w:p>
    <w:p w14:paraId="07C20F4B">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lang w:val="en-US" w:eastAsia="zh-CN"/>
        </w:rPr>
      </w:pPr>
      <w:r>
        <w:rPr>
          <w:rFonts w:hint="eastAsia" w:ascii="宋体" w:hAnsi="宋体" w:eastAsia="宋体" w:cs="宋体"/>
          <w:color w:val="auto"/>
          <w:spacing w:val="-4"/>
          <w:kern w:val="0"/>
          <w:sz w:val="24"/>
          <w:szCs w:val="24"/>
          <w:lang w:eastAsia="zh-CN"/>
        </w:rPr>
        <w:t>五</w:t>
      </w:r>
      <w:r>
        <w:rPr>
          <w:rFonts w:hint="eastAsia" w:ascii="宋体" w:hAnsi="宋体" w:eastAsia="宋体" w:cs="宋体"/>
          <w:color w:val="auto"/>
          <w:spacing w:val="-4"/>
          <w:kern w:val="0"/>
          <w:sz w:val="24"/>
          <w:szCs w:val="24"/>
        </w:rPr>
        <w:t>、供应商基本情况表</w:t>
      </w:r>
    </w:p>
    <w:p w14:paraId="46E2FDB2">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lang w:eastAsia="zh-CN"/>
        </w:rPr>
      </w:pPr>
      <w:r>
        <w:rPr>
          <w:rFonts w:hint="eastAsia" w:ascii="宋体" w:hAnsi="宋体" w:eastAsia="宋体" w:cs="宋体"/>
          <w:color w:val="auto"/>
          <w:spacing w:val="-4"/>
          <w:kern w:val="0"/>
          <w:sz w:val="24"/>
          <w:szCs w:val="24"/>
          <w:lang w:eastAsia="zh-CN"/>
        </w:rPr>
        <w:t>六</w:t>
      </w:r>
      <w:r>
        <w:rPr>
          <w:rFonts w:hint="eastAsia" w:ascii="宋体" w:hAnsi="宋体" w:eastAsia="宋体" w:cs="宋体"/>
          <w:color w:val="auto"/>
          <w:spacing w:val="-4"/>
          <w:kern w:val="0"/>
          <w:sz w:val="24"/>
          <w:szCs w:val="24"/>
        </w:rPr>
        <w:t>、</w:t>
      </w:r>
      <w:r>
        <w:rPr>
          <w:rFonts w:hint="eastAsia" w:ascii="宋体" w:hAnsi="宋体" w:eastAsia="宋体" w:cs="宋体"/>
          <w:color w:val="auto"/>
          <w:spacing w:val="-4"/>
          <w:kern w:val="0"/>
          <w:sz w:val="24"/>
          <w:szCs w:val="24"/>
          <w:lang w:eastAsia="zh-CN"/>
        </w:rPr>
        <w:t>技术部分</w:t>
      </w:r>
    </w:p>
    <w:p w14:paraId="24555E79">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lang w:val="en-US" w:eastAsia="zh-CN"/>
        </w:rPr>
      </w:pPr>
      <w:r>
        <w:rPr>
          <w:rFonts w:hint="eastAsia" w:ascii="宋体" w:hAnsi="宋体" w:eastAsia="宋体" w:cs="宋体"/>
          <w:color w:val="auto"/>
          <w:spacing w:val="-4"/>
          <w:kern w:val="0"/>
          <w:sz w:val="24"/>
          <w:szCs w:val="24"/>
          <w:lang w:val="en-US" w:eastAsia="zh-CN"/>
        </w:rPr>
        <w:t>七、商务部分</w:t>
      </w:r>
    </w:p>
    <w:p w14:paraId="5FF84D34">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lang w:val="en-US" w:eastAsia="zh-CN"/>
        </w:rPr>
        <w:t>八</w:t>
      </w:r>
      <w:r>
        <w:rPr>
          <w:rFonts w:hint="eastAsia" w:ascii="宋体" w:hAnsi="宋体" w:eastAsia="宋体" w:cs="宋体"/>
          <w:color w:val="auto"/>
          <w:spacing w:val="-4"/>
          <w:kern w:val="0"/>
          <w:sz w:val="24"/>
          <w:szCs w:val="24"/>
        </w:rPr>
        <w:t>、</w:t>
      </w:r>
      <w:r>
        <w:rPr>
          <w:rFonts w:hint="eastAsia" w:ascii="宋体" w:hAnsi="宋体" w:eastAsia="宋体" w:cs="宋体"/>
          <w:color w:val="auto"/>
          <w:spacing w:val="-4"/>
          <w:kern w:val="0"/>
          <w:sz w:val="24"/>
          <w:szCs w:val="24"/>
          <w:lang w:val="zh-CN"/>
        </w:rPr>
        <w:t>供应商认为有必要提供的其他资料</w:t>
      </w:r>
    </w:p>
    <w:p w14:paraId="49DE1D75">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15.1 响应性文件从所规定的递交响应性文件截止期之后开始生效，有效期不足将导致其响应性文件被拒绝。成交供应商的响应性文件有效期至合同完全履行止。</w:t>
      </w:r>
    </w:p>
    <w:p w14:paraId="14F34514">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15.2 特殊情况下采购代理机构可于响应性文件有效期满之前书面要求供应商同意延长有效期，供应商应在采购代理机构规定的期限内以书面形式予以答复。供应商答复不明确或者逾期未答复的，均视为拒绝上述要求。对于接受该要求的供应商，既不要求也不允许其修改响应性文件。</w:t>
      </w:r>
    </w:p>
    <w:p w14:paraId="2EBADEDE">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16.磋商报价</w:t>
      </w:r>
    </w:p>
    <w:p w14:paraId="7C0A6710">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16.1 所有磋商报价均以人民币元为计算单位。供应商的报价为项目实施所需的人工费、服务费、税费及完成项目所需其他一切费用。</w:t>
      </w:r>
    </w:p>
    <w:p w14:paraId="392A6B8A">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16.2供应商要按磋商函附表的内容填写。</w:t>
      </w:r>
    </w:p>
    <w:p w14:paraId="64FE6C62">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16.3 本次磋商应以人民币报价，分两次进行报价。</w:t>
      </w:r>
    </w:p>
    <w:p w14:paraId="4C696388">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17、磋商保证金</w:t>
      </w:r>
    </w:p>
    <w:p w14:paraId="72F9CA8B">
      <w:pPr>
        <w:spacing w:line="600" w:lineRule="exact"/>
        <w:ind w:firstLine="464" w:firstLineChars="200"/>
        <w:rPr>
          <w:rFonts w:hint="eastAsia" w:ascii="宋体" w:hAnsi="宋体" w:eastAsia="宋体" w:cs="宋体"/>
          <w:color w:val="auto"/>
          <w:sz w:val="24"/>
          <w:szCs w:val="24"/>
        </w:rPr>
      </w:pPr>
      <w:r>
        <w:rPr>
          <w:rFonts w:hint="eastAsia" w:ascii="宋体" w:hAnsi="宋体" w:eastAsia="宋体" w:cs="宋体"/>
          <w:color w:val="auto"/>
          <w:spacing w:val="-4"/>
          <w:kern w:val="0"/>
          <w:sz w:val="24"/>
          <w:szCs w:val="24"/>
        </w:rPr>
        <w:t>17.1</w:t>
      </w:r>
      <w:r>
        <w:rPr>
          <w:rFonts w:hint="eastAsia" w:ascii="宋体" w:hAnsi="宋体" w:eastAsia="宋体" w:cs="宋体"/>
          <w:color w:val="auto"/>
          <w:sz w:val="24"/>
          <w:szCs w:val="24"/>
        </w:rPr>
        <w:t>根据《河南省财政厅关于优化政府采购营商环境有关问题的通知》（豫财购【2019】4号）第6条的规定，保证金不再收取。</w:t>
      </w:r>
    </w:p>
    <w:p w14:paraId="0811E574">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18. 响应性文件的签署</w:t>
      </w:r>
    </w:p>
    <w:p w14:paraId="5CEA0A67">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18.1 供应商应按本竞争性磋商文件规定的格式和顺序编制响应性文件。除了响应性文件封面以外，每个页面都要在明显位置编制页码，按流水顺序填写，响应性文件的目录必须编序。响应性文件内容不完整、编排混乱导致被误读、漏读或者查找不到相关内容的，由供应商负责。</w:t>
      </w:r>
    </w:p>
    <w:p w14:paraId="27BB457F">
      <w:pPr>
        <w:autoSpaceDE w:val="0"/>
        <w:autoSpaceDN w:val="0"/>
        <w:adjustRightInd w:val="0"/>
        <w:spacing w:before="32" w:line="360" w:lineRule="auto"/>
        <w:ind w:right="-58" w:firstLine="464" w:firstLineChars="200"/>
        <w:jc w:val="center"/>
        <w:rPr>
          <w:rFonts w:hint="eastAsia" w:ascii="宋体" w:hAnsi="宋体" w:eastAsia="宋体" w:cs="宋体"/>
          <w:color w:val="auto"/>
          <w:spacing w:val="-4"/>
          <w:kern w:val="0"/>
          <w:sz w:val="24"/>
          <w:szCs w:val="24"/>
        </w:rPr>
      </w:pPr>
      <w:bookmarkStart w:id="9" w:name="_Toc109675036"/>
      <w:bookmarkStart w:id="10" w:name="_Toc518571706"/>
      <w:r>
        <w:rPr>
          <w:rFonts w:hint="eastAsia" w:ascii="宋体" w:hAnsi="宋体" w:eastAsia="宋体" w:cs="宋体"/>
          <w:color w:val="auto"/>
          <w:spacing w:val="-4"/>
          <w:kern w:val="0"/>
          <w:sz w:val="24"/>
          <w:szCs w:val="24"/>
        </w:rPr>
        <w:t>四、响应性文件的递交</w:t>
      </w:r>
      <w:bookmarkEnd w:id="9"/>
      <w:bookmarkEnd w:id="10"/>
    </w:p>
    <w:p w14:paraId="28AFCBA7">
      <w:pPr>
        <w:autoSpaceDE w:val="0"/>
        <w:autoSpaceDN w:val="0"/>
        <w:adjustRightInd w:val="0"/>
        <w:spacing w:before="32" w:line="600" w:lineRule="exact"/>
        <w:ind w:right="-57"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19.响应性文件的递交</w:t>
      </w:r>
    </w:p>
    <w:p w14:paraId="0A5AEB3A">
      <w:pPr>
        <w:autoSpaceDE w:val="0"/>
        <w:autoSpaceDN w:val="0"/>
        <w:adjustRightInd w:val="0"/>
        <w:spacing w:before="32" w:line="600" w:lineRule="exact"/>
        <w:ind w:right="-57"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在响应文件截止时间前上传至三门峡市公共资源交易中心系统平台。</w:t>
      </w:r>
    </w:p>
    <w:p w14:paraId="6A79A17E">
      <w:pPr>
        <w:autoSpaceDE w:val="0"/>
        <w:autoSpaceDN w:val="0"/>
        <w:adjustRightInd w:val="0"/>
        <w:spacing w:before="32" w:line="600" w:lineRule="exact"/>
        <w:ind w:right="-57"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20.响应性文件的修改和撤回</w:t>
      </w:r>
    </w:p>
    <w:p w14:paraId="40DD4D10">
      <w:pPr>
        <w:autoSpaceDE w:val="0"/>
        <w:autoSpaceDN w:val="0"/>
        <w:adjustRightInd w:val="0"/>
        <w:spacing w:before="32" w:line="600" w:lineRule="exact"/>
        <w:ind w:right="-57"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20.1 供应商在递交竞争性磋商文件截止时间前，可以对所提交的响应性文件进行补充、修改或者撤回。</w:t>
      </w:r>
    </w:p>
    <w:p w14:paraId="7EA4EE9B">
      <w:pPr>
        <w:autoSpaceDE w:val="0"/>
        <w:autoSpaceDN w:val="0"/>
        <w:adjustRightInd w:val="0"/>
        <w:spacing w:before="32" w:line="600" w:lineRule="exact"/>
        <w:ind w:right="-57"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21.采购人或采购代理机构将拒绝接受其响应性文件：</w:t>
      </w:r>
    </w:p>
    <w:p w14:paraId="7C7CBEEA">
      <w:pPr>
        <w:autoSpaceDE w:val="0"/>
        <w:autoSpaceDN w:val="0"/>
        <w:adjustRightInd w:val="0"/>
        <w:spacing w:before="32" w:line="600" w:lineRule="exact"/>
        <w:ind w:right="-57"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21. 1 在竞争性磋商文件规定的递交竞争性磋商文件截止时间之后上传竞争性磋商文件的。</w:t>
      </w:r>
    </w:p>
    <w:p w14:paraId="0F4DF6C4">
      <w:pPr>
        <w:autoSpaceDE w:val="0"/>
        <w:autoSpaceDN w:val="0"/>
        <w:adjustRightInd w:val="0"/>
        <w:spacing w:before="32" w:line="360" w:lineRule="auto"/>
        <w:ind w:right="-58" w:firstLine="464" w:firstLineChars="200"/>
        <w:jc w:val="center"/>
        <w:rPr>
          <w:rFonts w:hint="eastAsia" w:ascii="宋体" w:hAnsi="宋体" w:eastAsia="宋体" w:cs="宋体"/>
          <w:color w:val="auto"/>
          <w:spacing w:val="-4"/>
          <w:kern w:val="0"/>
          <w:sz w:val="24"/>
          <w:szCs w:val="24"/>
        </w:rPr>
      </w:pPr>
      <w:bookmarkStart w:id="11" w:name="_Toc109675037"/>
      <w:bookmarkStart w:id="12" w:name="_Toc518571707"/>
      <w:r>
        <w:rPr>
          <w:rFonts w:hint="eastAsia" w:ascii="宋体" w:hAnsi="宋体" w:eastAsia="宋体" w:cs="宋体"/>
          <w:color w:val="auto"/>
          <w:spacing w:val="-4"/>
          <w:kern w:val="0"/>
          <w:sz w:val="24"/>
          <w:szCs w:val="24"/>
        </w:rPr>
        <w:t>五、磋商</w:t>
      </w:r>
      <w:bookmarkEnd w:id="11"/>
      <w:bookmarkEnd w:id="12"/>
    </w:p>
    <w:p w14:paraId="5B22A5DC">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22、磋商仪式</w:t>
      </w:r>
    </w:p>
    <w:p w14:paraId="4FF6FC97">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22.1采购人按本须知前附表所规定的时间和地点开标，开标会议由采购代理机构主持，在有关部门监督下进行。</w:t>
      </w:r>
    </w:p>
    <w:p w14:paraId="6180D4B8">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22.2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w:t>
      </w:r>
    </w:p>
    <w:p w14:paraId="501D3786">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23、磋商小组</w:t>
      </w:r>
    </w:p>
    <w:p w14:paraId="123C3B57">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采购代理机构根据采购项目的特点依法组建磋商小组。磋商小组由采购人代表和有关技术、经济等方面的专家组成，成员为 3 人。其中：技术、经济等方面的专家 2 名，采购人代表 1 名。采购人代表不得担任磋商小组组长。</w:t>
      </w:r>
    </w:p>
    <w:p w14:paraId="0E367115">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24、磋商工作纪律及保密</w:t>
      </w:r>
    </w:p>
    <w:p w14:paraId="14A6D3D7">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评审专家应当遵守评审工作纪律，不得泄露评审情况和评审中获悉的商业秘密。</w:t>
      </w:r>
    </w:p>
    <w:p w14:paraId="267E5985">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25、磋商小组工作原则</w:t>
      </w:r>
    </w:p>
    <w:p w14:paraId="0EBB7D3F">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磋商小组成员应当按照客观、公正、审慎的原则，根据磋商文件规定的评审程序、评审方法和评审标准进行独立评审。未实质性响应磋商文件的响应文件按无效响应处理，磋商小组应当告知提交响应文件的供应商。</w:t>
      </w:r>
    </w:p>
    <w:p w14:paraId="7CCB96D8">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26、响应文件审查</w:t>
      </w:r>
    </w:p>
    <w:p w14:paraId="6952DD64">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50F331DD">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27、供应商澄清</w:t>
      </w:r>
    </w:p>
    <w:p w14:paraId="46FF3331">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磋商小组要求供应商澄清、说明或者更正响应文件将在电子系统作出。</w:t>
      </w:r>
    </w:p>
    <w:p w14:paraId="2666B66A">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28、磋商程序、最后报价、综合评分</w:t>
      </w:r>
    </w:p>
    <w:p w14:paraId="30BAA80B">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磋商小组所有成员应当集中与单一供应商分别进行磋商，并给予所有参加磋商的供应商平等的磋商机会。</w:t>
      </w:r>
    </w:p>
    <w:p w14:paraId="7569A262">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在磋商过程中，磋商小组可以根据磋商文件和磋商情况实质性变动采购需求中的技术、</w:t>
      </w:r>
      <w:r>
        <w:rPr>
          <w:rFonts w:hint="eastAsia" w:ascii="宋体" w:hAnsi="宋体" w:eastAsia="宋体" w:cs="宋体"/>
          <w:color w:val="auto"/>
          <w:spacing w:val="-4"/>
          <w:kern w:val="0"/>
          <w:sz w:val="24"/>
          <w:szCs w:val="24"/>
          <w:lang w:eastAsia="zh-CN"/>
        </w:rPr>
        <w:t>质量要求</w:t>
      </w:r>
      <w:r>
        <w:rPr>
          <w:rFonts w:hint="eastAsia" w:ascii="宋体" w:hAnsi="宋体" w:eastAsia="宋体" w:cs="宋体"/>
          <w:color w:val="auto"/>
          <w:spacing w:val="-4"/>
          <w:kern w:val="0"/>
          <w:sz w:val="24"/>
          <w:szCs w:val="24"/>
        </w:rPr>
        <w:t>以及合同草案条款，但不得变动磋商文件中的其他内容。对磋商文件做出的实质性变动是磋商文件的有效组成部分，磋商小组应当及时通知所有参加磋商的供应商。供应商应当按照磋商文件的变动情况和磋商小组的要求重新提交响应文件，并由其法定代表人或授权代表签字或者加盖公章。</w:t>
      </w:r>
    </w:p>
    <w:p w14:paraId="742CD508">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磋商文件能够详细列明采购的的技术、</w:t>
      </w:r>
      <w:r>
        <w:rPr>
          <w:rFonts w:hint="eastAsia" w:ascii="宋体" w:hAnsi="宋体" w:eastAsia="宋体" w:cs="宋体"/>
          <w:color w:val="auto"/>
          <w:spacing w:val="-4"/>
          <w:kern w:val="0"/>
          <w:sz w:val="24"/>
          <w:szCs w:val="24"/>
          <w:lang w:eastAsia="zh-CN"/>
        </w:rPr>
        <w:t>质量要求</w:t>
      </w:r>
      <w:r>
        <w:rPr>
          <w:rFonts w:hint="eastAsia" w:ascii="宋体" w:hAnsi="宋体" w:eastAsia="宋体" w:cs="宋体"/>
          <w:color w:val="auto"/>
          <w:spacing w:val="-4"/>
          <w:kern w:val="0"/>
          <w:sz w:val="24"/>
          <w:szCs w:val="24"/>
        </w:rPr>
        <w:t>的，磋商结束后，磋商小组将要求所有实质性响应的供应商提交最后报价。最后报价是供应商响应文件的有效组成部分。</w:t>
      </w:r>
    </w:p>
    <w:p w14:paraId="673D1EED">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已提交响应文件的供应商，在提交最后报价之前，可以根据情况退出磋商。</w:t>
      </w:r>
    </w:p>
    <w:p w14:paraId="75070AE2">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04B71085">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评审时，磋商小组各成员独立对每个有效响应的文件进行评价、打分，然后汇总每个供应商每项评分因素的得分。</w:t>
      </w:r>
    </w:p>
    <w:p w14:paraId="16510FEF">
      <w:pPr>
        <w:autoSpaceDE w:val="0"/>
        <w:autoSpaceDN w:val="0"/>
        <w:adjustRightInd w:val="0"/>
        <w:spacing w:before="32" w:line="600" w:lineRule="exact"/>
        <w:ind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磋商小组应当根据综合评分情况，按照评审得分由高到低顺序推荐 3 名成交候选供应商并编写评审报告。评审得分相同的，按照最后报价由低到高的顺序推荐。评审得分且最后报价相同的，按照技术指标优劣顺序推荐。</w:t>
      </w:r>
    </w:p>
    <w:p w14:paraId="393E8CCB">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出现下列情形之一的，将终止竞争性磋商采购活动，发布项目终止公告并说明原因，重新开展采购活动：</w:t>
      </w:r>
    </w:p>
    <w:p w14:paraId="1FAEF47B">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1、不符合法律、法规和竞争性磋商文件中规定的其他实质性要求的；</w:t>
      </w:r>
    </w:p>
    <w:p w14:paraId="7A3D5B5A">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2、其他法律、法规及本竞争性磋商文件规定的属响应无效的情形。终止竞争性磋商采购活动的条款；</w:t>
      </w:r>
    </w:p>
    <w:p w14:paraId="3CEF3E81">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3、因情况变化，不再符合规定的竞争性磋商采购方式适用情形的；出现影响采购公正的违法、违规行为的；</w:t>
      </w:r>
    </w:p>
    <w:p w14:paraId="1B774C23">
      <w:pPr>
        <w:autoSpaceDE w:val="0"/>
        <w:autoSpaceDN w:val="0"/>
        <w:adjustRightInd w:val="0"/>
        <w:spacing w:before="32" w:line="360" w:lineRule="auto"/>
        <w:ind w:right="-58" w:firstLine="464" w:firstLineChars="200"/>
        <w:jc w:val="center"/>
        <w:rPr>
          <w:rFonts w:hint="eastAsia" w:ascii="宋体" w:hAnsi="宋体" w:eastAsia="宋体" w:cs="宋体"/>
          <w:color w:val="auto"/>
          <w:spacing w:val="-4"/>
          <w:kern w:val="0"/>
          <w:sz w:val="24"/>
          <w:szCs w:val="24"/>
        </w:rPr>
      </w:pPr>
      <w:bookmarkStart w:id="13" w:name="_Toc518571708"/>
      <w:bookmarkStart w:id="14" w:name="_Toc109675038"/>
      <w:r>
        <w:rPr>
          <w:rFonts w:hint="eastAsia" w:ascii="宋体" w:hAnsi="宋体" w:eastAsia="宋体" w:cs="宋体"/>
          <w:color w:val="auto"/>
          <w:spacing w:val="-4"/>
          <w:kern w:val="0"/>
          <w:sz w:val="24"/>
          <w:szCs w:val="24"/>
        </w:rPr>
        <w:t>六、确定成交</w:t>
      </w:r>
      <w:bookmarkEnd w:id="13"/>
      <w:bookmarkEnd w:id="14"/>
    </w:p>
    <w:p w14:paraId="3EC9DBBF">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采购人在收到评审报告后2个工作日内，从评审报告提出的成交候选供应商中，按照排序由高到低的原则确定成交供应商。</w:t>
      </w:r>
    </w:p>
    <w:p w14:paraId="2A261606">
      <w:pPr>
        <w:autoSpaceDE w:val="0"/>
        <w:autoSpaceDN w:val="0"/>
        <w:adjustRightInd w:val="0"/>
        <w:spacing w:before="32" w:line="360" w:lineRule="auto"/>
        <w:ind w:right="-58" w:firstLine="464" w:firstLineChars="200"/>
        <w:jc w:val="center"/>
        <w:rPr>
          <w:rFonts w:hint="eastAsia" w:ascii="宋体" w:hAnsi="宋体" w:eastAsia="宋体" w:cs="宋体"/>
          <w:color w:val="auto"/>
          <w:spacing w:val="-4"/>
          <w:kern w:val="0"/>
          <w:sz w:val="24"/>
          <w:szCs w:val="24"/>
        </w:rPr>
      </w:pPr>
      <w:bookmarkStart w:id="15" w:name="_Toc109675039"/>
      <w:bookmarkStart w:id="16" w:name="_Toc518571709"/>
      <w:r>
        <w:rPr>
          <w:rFonts w:hint="eastAsia" w:ascii="宋体" w:hAnsi="宋体" w:eastAsia="宋体" w:cs="宋体"/>
          <w:color w:val="auto"/>
          <w:spacing w:val="-4"/>
          <w:kern w:val="0"/>
          <w:sz w:val="24"/>
          <w:szCs w:val="24"/>
        </w:rPr>
        <w:t>七、授予合同</w:t>
      </w:r>
      <w:bookmarkEnd w:id="15"/>
      <w:bookmarkEnd w:id="16"/>
    </w:p>
    <w:p w14:paraId="7F3DF610">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成交供应商接到《成交通知书》后，2个工作日内按指定地点与采购人签订采购合同，根据竞争性磋商文件确定的事项和成交供应商响应性文件签订合同。双方所签订的合同不得对竞争性磋商文件和成交供应商响应性文件作实质性修改。成交供应商逾期未签订合同，视为成交后无正当理由不与采购人签订合同，按照有关法律规定承担相应的法律责任。并按照有关法律规定承担相应的法律责任。采购人逾期不与成交供应商签订合同的，按政府采购的有关规定处理。</w:t>
      </w:r>
    </w:p>
    <w:p w14:paraId="1D55566B">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竞争性磋商文件、竞争性磋商文件的修改文件、成交供应商的响应性文件、补充或修改的文件及澄清或承诺文件等，均为双方签订合同的组成部分，并与合同一并作为本竞争性磋商文件所列采购项目的互补性法律文件，与合同具有同等法律效力。</w:t>
      </w:r>
    </w:p>
    <w:p w14:paraId="00B33673">
      <w:pPr>
        <w:autoSpaceDE w:val="0"/>
        <w:autoSpaceDN w:val="0"/>
        <w:adjustRightInd w:val="0"/>
        <w:spacing w:before="32" w:line="600" w:lineRule="exact"/>
        <w:ind w:right="-58" w:firstLine="464" w:firstLineChars="200"/>
        <w:rPr>
          <w:rFonts w:hint="eastAsia" w:ascii="宋体" w:hAnsi="宋体" w:eastAsia="宋体" w:cs="宋体"/>
          <w:color w:val="auto"/>
          <w:spacing w:val="-4"/>
          <w:kern w:val="0"/>
          <w:sz w:val="24"/>
          <w:szCs w:val="24"/>
        </w:rPr>
      </w:pPr>
      <w:r>
        <w:rPr>
          <w:rFonts w:hint="eastAsia" w:ascii="宋体" w:hAnsi="宋体" w:eastAsia="宋体" w:cs="宋体"/>
          <w:color w:val="auto"/>
          <w:spacing w:val="-4"/>
          <w:kern w:val="0"/>
          <w:sz w:val="24"/>
          <w:szCs w:val="24"/>
        </w:rPr>
        <w:t>成交供应商放弃成交、因不可抗力不能履行合同，或者被查实存在影响成交结果的违法行为等情形，不符合成交条件的，采购人可以按照磋商小组提出的成交候选供应商名单排序依次确定其他成交候选供应商为成交供应商，也可以重新组织采购。</w:t>
      </w:r>
    </w:p>
    <w:p w14:paraId="1E9B7168">
      <w:pPr>
        <w:pStyle w:val="11"/>
        <w:rPr>
          <w:rFonts w:hint="eastAsia" w:ascii="宋体" w:hAnsi="宋体" w:eastAsia="宋体" w:cs="宋体"/>
          <w:bCs/>
          <w:color w:val="auto"/>
        </w:rPr>
      </w:pPr>
    </w:p>
    <w:p w14:paraId="47088CC8">
      <w:pPr>
        <w:pStyle w:val="11"/>
        <w:rPr>
          <w:rFonts w:hint="eastAsia" w:ascii="宋体" w:hAnsi="宋体" w:eastAsia="宋体" w:cs="宋体"/>
          <w:bCs/>
          <w:color w:val="auto"/>
        </w:rPr>
      </w:pPr>
    </w:p>
    <w:p w14:paraId="6024C12A">
      <w:pPr>
        <w:rPr>
          <w:rFonts w:hint="eastAsia" w:ascii="宋体" w:hAnsi="宋体" w:eastAsia="宋体" w:cs="宋体"/>
          <w:b/>
          <w:bCs/>
          <w:color w:val="auto"/>
          <w:sz w:val="36"/>
          <w:szCs w:val="36"/>
        </w:rPr>
      </w:pPr>
      <w:bookmarkStart w:id="17" w:name="_Toc109675040"/>
      <w:r>
        <w:rPr>
          <w:rFonts w:hint="eastAsia" w:ascii="宋体" w:hAnsi="宋体" w:eastAsia="宋体" w:cs="宋体"/>
          <w:b/>
          <w:bCs/>
          <w:color w:val="auto"/>
          <w:sz w:val="36"/>
          <w:szCs w:val="36"/>
        </w:rPr>
        <w:br w:type="page"/>
      </w:r>
    </w:p>
    <w:p w14:paraId="32662447">
      <w:pPr>
        <w:widowControl/>
        <w:jc w:val="center"/>
        <w:outlineLvl w:val="0"/>
        <w:rPr>
          <w:rFonts w:hint="eastAsia" w:ascii="宋体" w:hAnsi="宋体" w:eastAsia="宋体" w:cs="宋体"/>
          <w:b/>
          <w:color w:val="auto"/>
          <w:sz w:val="36"/>
          <w:szCs w:val="36"/>
        </w:rPr>
      </w:pPr>
      <w:bookmarkStart w:id="18" w:name="_Toc15637"/>
      <w:r>
        <w:rPr>
          <w:rFonts w:hint="eastAsia" w:ascii="宋体" w:hAnsi="宋体" w:eastAsia="宋体" w:cs="宋体"/>
          <w:b/>
          <w:bCs/>
          <w:color w:val="auto"/>
          <w:sz w:val="36"/>
          <w:szCs w:val="36"/>
        </w:rPr>
        <w:t>第三章</w:t>
      </w:r>
      <w:bookmarkEnd w:id="17"/>
      <w:bookmarkStart w:id="19" w:name="_Toc522547233"/>
      <w:r>
        <w:rPr>
          <w:rFonts w:hint="eastAsia" w:ascii="宋体" w:hAnsi="宋体" w:eastAsia="宋体" w:cs="宋体"/>
          <w:b/>
          <w:bCs/>
          <w:color w:val="auto"/>
          <w:sz w:val="36"/>
          <w:szCs w:val="36"/>
        </w:rPr>
        <w:t xml:space="preserve"> 采购需求</w:t>
      </w:r>
      <w:bookmarkEnd w:id="18"/>
    </w:p>
    <w:p w14:paraId="7D032A13">
      <w:pPr>
        <w:autoSpaceDE w:val="0"/>
        <w:autoSpaceDN w:val="0"/>
        <w:adjustRightInd w:val="0"/>
        <w:spacing w:before="32" w:line="600" w:lineRule="exact"/>
        <w:ind w:right="-58" w:firstLine="546" w:firstLineChars="200"/>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spacing w:val="-4"/>
          <w:kern w:val="0"/>
          <w:sz w:val="28"/>
          <w:szCs w:val="28"/>
        </w:rPr>
        <w:t>一</w:t>
      </w:r>
      <w:r>
        <w:rPr>
          <w:rFonts w:hint="eastAsia" w:ascii="宋体" w:hAnsi="宋体" w:eastAsia="宋体" w:cs="宋体"/>
          <w:b/>
          <w:bCs/>
          <w:color w:val="auto"/>
          <w:kern w:val="0"/>
          <w:sz w:val="28"/>
          <w:szCs w:val="28"/>
          <w:highlight w:val="none"/>
          <w:lang w:val="en-US" w:eastAsia="zh-CN"/>
        </w:rPr>
        <w:t>、项目说明</w:t>
      </w:r>
    </w:p>
    <w:p w14:paraId="08B4B43F">
      <w:pPr>
        <w:autoSpaceDE w:val="0"/>
        <w:autoSpaceDN w:val="0"/>
        <w:adjustRightInd w:val="0"/>
        <w:spacing w:line="360" w:lineRule="auto"/>
        <w:ind w:firstLine="560" w:firstLineChars="200"/>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1、项目名称：渑池县机器人产业园建设项目地勘服务项目</w:t>
      </w:r>
    </w:p>
    <w:p w14:paraId="3EDF8437">
      <w:pPr>
        <w:autoSpaceDE w:val="0"/>
        <w:autoSpaceDN w:val="0"/>
        <w:adjustRightInd w:val="0"/>
        <w:spacing w:line="360" w:lineRule="auto"/>
        <w:ind w:firstLine="560" w:firstLineChars="200"/>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2、项目编号：GJ-SMX-202410</w:t>
      </w:r>
    </w:p>
    <w:p w14:paraId="4383BD52">
      <w:pPr>
        <w:autoSpaceDE w:val="0"/>
        <w:autoSpaceDN w:val="0"/>
        <w:adjustRightInd w:val="0"/>
        <w:spacing w:line="360" w:lineRule="auto"/>
        <w:ind w:firstLine="560" w:firstLineChars="200"/>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3、资金来源：财政资金，已落实</w:t>
      </w:r>
    </w:p>
    <w:p w14:paraId="657C4956">
      <w:pPr>
        <w:autoSpaceDE w:val="0"/>
        <w:autoSpaceDN w:val="0"/>
        <w:adjustRightInd w:val="0"/>
        <w:spacing w:line="360" w:lineRule="auto"/>
        <w:ind w:firstLine="560" w:firstLineChars="200"/>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4、预算金额：450000.00元</w:t>
      </w:r>
    </w:p>
    <w:p w14:paraId="3C19D001">
      <w:pPr>
        <w:autoSpaceDE w:val="0"/>
        <w:autoSpaceDN w:val="0"/>
        <w:adjustRightInd w:val="0"/>
        <w:spacing w:line="360" w:lineRule="auto"/>
        <w:ind w:firstLine="560" w:firstLineChars="200"/>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5、采购内容：渑池县机器人产业园建设项目地勘服务项目区域内的地质勘察及后续验收服务工作，包括但不仅限于收集资料、现场踏勘、制订勘察纲要、进行测绘、勘探、取样、钻探、试验等勘察作业；编制工程勘察报告，与设计单位、施工单位的配合服务</w:t>
      </w:r>
    </w:p>
    <w:p w14:paraId="043E224D">
      <w:pPr>
        <w:autoSpaceDE w:val="0"/>
        <w:autoSpaceDN w:val="0"/>
        <w:adjustRightInd w:val="0"/>
        <w:spacing w:line="360" w:lineRule="auto"/>
        <w:ind w:firstLine="560" w:firstLineChars="200"/>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6、服务周期：自签订合同起20日历天内</w:t>
      </w:r>
    </w:p>
    <w:p w14:paraId="643B673B">
      <w:pPr>
        <w:autoSpaceDE w:val="0"/>
        <w:autoSpaceDN w:val="0"/>
        <w:adjustRightInd w:val="0"/>
        <w:spacing w:line="360" w:lineRule="auto"/>
        <w:ind w:firstLine="560" w:firstLineChars="200"/>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7、质量要求：符合国家相关技术规范、规程和有关技术规定</w:t>
      </w:r>
    </w:p>
    <w:p w14:paraId="4A4C50C3">
      <w:pPr>
        <w:autoSpaceDE w:val="0"/>
        <w:autoSpaceDN w:val="0"/>
        <w:adjustRightInd w:val="0"/>
        <w:spacing w:line="360" w:lineRule="auto"/>
        <w:ind w:firstLine="560" w:firstLineChars="200"/>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8、技术成果经济补偿：本次对未中标投标人投标文件中的技术成果不给予经济补偿。</w:t>
      </w:r>
    </w:p>
    <w:p w14:paraId="615B22AC">
      <w:pPr>
        <w:autoSpaceDE w:val="0"/>
        <w:autoSpaceDN w:val="0"/>
        <w:adjustRightInd w:val="0"/>
        <w:spacing w:line="360" w:lineRule="auto"/>
        <w:ind w:firstLine="560" w:firstLineChars="200"/>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9、项目依据：</w:t>
      </w:r>
    </w:p>
    <w:p w14:paraId="48A132E6">
      <w:pPr>
        <w:autoSpaceDE w:val="0"/>
        <w:autoSpaceDN w:val="0"/>
        <w:adjustRightInd w:val="0"/>
        <w:spacing w:line="360" w:lineRule="auto"/>
        <w:ind w:firstLine="560" w:firstLineChars="200"/>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9.1 与本项目有关的国家和地方最新的相关技术规范、规程和有关技术规定。</w:t>
      </w:r>
    </w:p>
    <w:p w14:paraId="4322F7A0">
      <w:pPr>
        <w:autoSpaceDE w:val="0"/>
        <w:autoSpaceDN w:val="0"/>
        <w:adjustRightInd w:val="0"/>
        <w:spacing w:line="360" w:lineRule="auto"/>
        <w:ind w:firstLine="560" w:firstLineChars="200"/>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9.2 与本项目有关的政府批文及会议纪要。</w:t>
      </w:r>
    </w:p>
    <w:p w14:paraId="43161C85">
      <w:pPr>
        <w:autoSpaceDE w:val="0"/>
        <w:autoSpaceDN w:val="0"/>
        <w:adjustRightInd w:val="0"/>
        <w:spacing w:line="360" w:lineRule="auto"/>
        <w:ind w:firstLine="562" w:firstLineChars="200"/>
        <w:jc w:val="left"/>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 xml:space="preserve">二、项目要求 </w:t>
      </w:r>
    </w:p>
    <w:p w14:paraId="34EB12E8">
      <w:pPr>
        <w:autoSpaceDE w:val="0"/>
        <w:autoSpaceDN w:val="0"/>
        <w:adjustRightInd w:val="0"/>
        <w:spacing w:line="360" w:lineRule="auto"/>
        <w:ind w:firstLine="560" w:firstLineChars="200"/>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 xml:space="preserve">1、有关勘察设计成果知识产权的问题： </w:t>
      </w:r>
    </w:p>
    <w:p w14:paraId="508B42AF">
      <w:pPr>
        <w:autoSpaceDE w:val="0"/>
        <w:autoSpaceDN w:val="0"/>
        <w:adjustRightInd w:val="0"/>
        <w:spacing w:line="360" w:lineRule="auto"/>
        <w:ind w:firstLine="560" w:firstLineChars="200"/>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 xml:space="preserve">1.1 投标人对招标人提供的所有资料进行保密，如有泄漏，由投标人承担所有后果。 </w:t>
      </w:r>
    </w:p>
    <w:p w14:paraId="69FC6FA4">
      <w:pPr>
        <w:autoSpaceDE w:val="0"/>
        <w:autoSpaceDN w:val="0"/>
        <w:adjustRightInd w:val="0"/>
        <w:spacing w:line="360" w:lineRule="auto"/>
        <w:ind w:firstLine="560" w:firstLineChars="200"/>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 xml:space="preserve">1.2 招标人有权在实施方案中参考使用中标候选人的投标方案成果的部分内容。招标人有权在工程建设中根据需要对选定的实施方案进行合理的调整和修改。 </w:t>
      </w:r>
    </w:p>
    <w:p w14:paraId="323095AB">
      <w:pPr>
        <w:autoSpaceDE w:val="0"/>
        <w:autoSpaceDN w:val="0"/>
        <w:adjustRightInd w:val="0"/>
        <w:spacing w:line="360" w:lineRule="auto"/>
        <w:ind w:firstLine="560" w:firstLineChars="200"/>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 xml:space="preserve">1.3 投标人保证投标文件及资料均未侵犯他人的知识产权，否则必须承担全部责任。 </w:t>
      </w:r>
    </w:p>
    <w:p w14:paraId="4C466A56">
      <w:pPr>
        <w:autoSpaceDE w:val="0"/>
        <w:autoSpaceDN w:val="0"/>
        <w:adjustRightInd w:val="0"/>
        <w:spacing w:line="360" w:lineRule="auto"/>
        <w:ind w:firstLine="560" w:firstLineChars="200"/>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 xml:space="preserve">1.4 若投标人使用了他人的专利、专有技术，涉及的费用及法律责任由投标人负责。 </w:t>
      </w:r>
    </w:p>
    <w:p w14:paraId="74044D10">
      <w:pPr>
        <w:autoSpaceDE w:val="0"/>
        <w:autoSpaceDN w:val="0"/>
        <w:adjustRightInd w:val="0"/>
        <w:spacing w:line="360" w:lineRule="auto"/>
        <w:ind w:firstLine="560" w:firstLineChars="200"/>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 xml:space="preserve">1.5 招标人有权无须事先征求中标人的同意而披露关于中标人的名称、合同条款。 </w:t>
      </w:r>
    </w:p>
    <w:p w14:paraId="32DCA7A3">
      <w:pPr>
        <w:autoSpaceDE w:val="0"/>
        <w:autoSpaceDN w:val="0"/>
        <w:adjustRightInd w:val="0"/>
        <w:spacing w:line="360" w:lineRule="auto"/>
        <w:ind w:firstLine="560" w:firstLineChars="200"/>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 xml:space="preserve">2、本工程项目的勘察必须达到现行中华人民共和国及省、市、行业的有关法规、规范的要求。 </w:t>
      </w:r>
    </w:p>
    <w:p w14:paraId="21CCCB20">
      <w:pPr>
        <w:autoSpaceDE w:val="0"/>
        <w:autoSpaceDN w:val="0"/>
        <w:adjustRightInd w:val="0"/>
        <w:spacing w:line="360" w:lineRule="auto"/>
        <w:ind w:firstLine="562" w:firstLineChars="200"/>
        <w:jc w:val="left"/>
        <w:rPr>
          <w:rFonts w:hint="eastAsia" w:ascii="宋体" w:hAnsi="宋体" w:eastAsia="宋体" w:cs="宋体"/>
          <w:b/>
          <w:bCs/>
          <w:color w:val="auto"/>
          <w:kern w:val="0"/>
          <w:sz w:val="28"/>
          <w:szCs w:val="28"/>
          <w:highlight w:val="none"/>
          <w:lang w:val="en-US" w:eastAsia="zh-CN"/>
        </w:rPr>
      </w:pPr>
      <w:r>
        <w:rPr>
          <w:rFonts w:hint="eastAsia" w:ascii="宋体" w:hAnsi="宋体" w:eastAsia="宋体" w:cs="宋体"/>
          <w:b/>
          <w:bCs/>
          <w:color w:val="auto"/>
          <w:kern w:val="0"/>
          <w:sz w:val="28"/>
          <w:szCs w:val="28"/>
          <w:highlight w:val="none"/>
          <w:lang w:val="en-US" w:eastAsia="zh-CN"/>
        </w:rPr>
        <w:t xml:space="preserve">三、采购项目要求 </w:t>
      </w:r>
    </w:p>
    <w:p w14:paraId="150FB009">
      <w:pPr>
        <w:autoSpaceDE w:val="0"/>
        <w:autoSpaceDN w:val="0"/>
        <w:adjustRightInd w:val="0"/>
        <w:spacing w:line="360" w:lineRule="auto"/>
        <w:ind w:firstLine="560" w:firstLineChars="200"/>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 xml:space="preserve">1、本次报价包括完成本招标文件规定的服务、人员工资、后期服务费、利润、税金等所需的一切费用，漏报或少报的费用，视此费用已包含在报价中。 </w:t>
      </w:r>
    </w:p>
    <w:p w14:paraId="56DAC0E2">
      <w:pPr>
        <w:autoSpaceDE w:val="0"/>
        <w:autoSpaceDN w:val="0"/>
        <w:adjustRightInd w:val="0"/>
        <w:spacing w:line="360" w:lineRule="auto"/>
        <w:ind w:firstLine="560" w:firstLineChars="200"/>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 xml:space="preserve">2、合同签订：合同由招标人与中标人签订。其它参与投标的单位不予补偿。 </w:t>
      </w:r>
    </w:p>
    <w:p w14:paraId="3E5694E4">
      <w:pPr>
        <w:autoSpaceDE w:val="0"/>
        <w:autoSpaceDN w:val="0"/>
        <w:adjustRightInd w:val="0"/>
        <w:spacing w:line="360" w:lineRule="auto"/>
        <w:ind w:firstLine="560" w:firstLineChars="200"/>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 xml:space="preserve">3、编制依据：依据国家有关法规、当地有关规定及技术规范的要求进行编制。 </w:t>
      </w:r>
    </w:p>
    <w:p w14:paraId="1F648302">
      <w:pPr>
        <w:autoSpaceDE w:val="0"/>
        <w:autoSpaceDN w:val="0"/>
        <w:adjustRightInd w:val="0"/>
        <w:spacing w:line="360" w:lineRule="auto"/>
        <w:ind w:firstLine="560" w:firstLineChars="200"/>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 xml:space="preserve">4、履约验收：招标人根据国家有关规定、招标文件、中标人的投标文件以及合同约定的内容和验收标准进行验收。验收情况作为支付价款的依据。 </w:t>
      </w:r>
    </w:p>
    <w:p w14:paraId="5D04DCF5">
      <w:pPr>
        <w:autoSpaceDE w:val="0"/>
        <w:autoSpaceDN w:val="0"/>
        <w:adjustRightInd w:val="0"/>
        <w:spacing w:line="360" w:lineRule="auto"/>
        <w:ind w:firstLine="560" w:firstLineChars="200"/>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 xml:space="preserve">5、投标人必须对该项目进行完整投标，否则将不被接受。 </w:t>
      </w:r>
    </w:p>
    <w:p w14:paraId="4E084123">
      <w:pPr>
        <w:autoSpaceDE w:val="0"/>
        <w:autoSpaceDN w:val="0"/>
        <w:adjustRightInd w:val="0"/>
        <w:spacing w:line="360" w:lineRule="auto"/>
        <w:ind w:firstLine="560" w:firstLineChars="200"/>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 xml:space="preserve">6、项目售后服务内容；中标人须提供与本项目相关咨询、协调和项目审查等技术支持。 </w:t>
      </w:r>
    </w:p>
    <w:p w14:paraId="2734A498">
      <w:pPr>
        <w:autoSpaceDE w:val="0"/>
        <w:autoSpaceDN w:val="0"/>
        <w:adjustRightInd w:val="0"/>
        <w:spacing w:line="360" w:lineRule="auto"/>
        <w:ind w:firstLine="560" w:firstLineChars="200"/>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 xml:space="preserve">7、目售后服务的响应时间：招标人遇到与本项目相关的问题，中标人须在 24 小时内响应。 </w:t>
      </w:r>
    </w:p>
    <w:p w14:paraId="6273467F">
      <w:pPr>
        <w:autoSpaceDE w:val="0"/>
        <w:autoSpaceDN w:val="0"/>
        <w:adjustRightInd w:val="0"/>
        <w:spacing w:line="360" w:lineRule="auto"/>
        <w:ind w:firstLine="560" w:firstLineChars="200"/>
        <w:jc w:val="left"/>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8、项目成果验收：投标人须按招标人的招标文件规定的技术、时间、程序等要求,完成工作成果并全部提交，且通过招标人组织的项目验收。</w:t>
      </w:r>
    </w:p>
    <w:p w14:paraId="0962BCAA">
      <w:pPr>
        <w:autoSpaceDE w:val="0"/>
        <w:autoSpaceDN w:val="0"/>
        <w:adjustRightInd w:val="0"/>
        <w:spacing w:before="32" w:line="600" w:lineRule="exact"/>
        <w:ind w:right="-58" w:firstLine="544" w:firstLineChars="200"/>
        <w:rPr>
          <w:rFonts w:hint="eastAsia" w:ascii="宋体" w:hAnsi="宋体" w:eastAsia="宋体" w:cs="宋体"/>
          <w:color w:val="auto"/>
          <w:spacing w:val="-4"/>
          <w:kern w:val="0"/>
          <w:sz w:val="28"/>
          <w:szCs w:val="28"/>
        </w:rPr>
      </w:pPr>
      <w:r>
        <w:rPr>
          <w:rFonts w:hint="eastAsia" w:ascii="宋体" w:hAnsi="宋体" w:eastAsia="宋体" w:cs="宋体"/>
          <w:color w:val="auto"/>
          <w:spacing w:val="-4"/>
          <w:kern w:val="0"/>
          <w:sz w:val="28"/>
          <w:szCs w:val="28"/>
        </w:rPr>
        <w:br w:type="page"/>
      </w:r>
    </w:p>
    <w:p w14:paraId="15687F6E">
      <w:pPr>
        <w:widowControl/>
        <w:jc w:val="center"/>
        <w:outlineLvl w:val="0"/>
        <w:rPr>
          <w:rFonts w:hint="eastAsia" w:ascii="宋体" w:hAnsi="宋体" w:eastAsia="宋体" w:cs="宋体"/>
          <w:b/>
          <w:bCs/>
          <w:color w:val="auto"/>
          <w:sz w:val="36"/>
          <w:szCs w:val="36"/>
        </w:rPr>
      </w:pPr>
      <w:bookmarkStart w:id="20" w:name="_Toc28561"/>
      <w:r>
        <w:rPr>
          <w:rFonts w:hint="eastAsia" w:ascii="宋体" w:hAnsi="宋体" w:eastAsia="宋体" w:cs="宋体"/>
          <w:b/>
          <w:bCs/>
          <w:color w:val="auto"/>
          <w:sz w:val="36"/>
          <w:szCs w:val="36"/>
        </w:rPr>
        <w:t>第四章 合同条款</w:t>
      </w:r>
      <w:bookmarkEnd w:id="19"/>
      <w:bookmarkEnd w:id="20"/>
    </w:p>
    <w:p w14:paraId="1D08EC68">
      <w:pPr>
        <w:snapToGrid w:val="0"/>
        <w:spacing w:line="360" w:lineRule="auto"/>
        <w:rPr>
          <w:rFonts w:hint="eastAsia" w:ascii="宋体" w:hAnsi="宋体" w:eastAsia="宋体" w:cs="宋体"/>
          <w:color w:val="auto"/>
          <w:sz w:val="28"/>
          <w:szCs w:val="28"/>
          <w:lang w:eastAsia="zh-CN"/>
        </w:rPr>
      </w:pPr>
    </w:p>
    <w:p w14:paraId="04EB4C8F">
      <w:pPr>
        <w:snapToGrid w:val="0"/>
        <w:spacing w:line="360" w:lineRule="auto"/>
        <w:rPr>
          <w:rFonts w:hint="eastAsia" w:ascii="宋体" w:hAnsi="宋体" w:eastAsia="宋体" w:cs="宋体"/>
          <w:color w:val="auto"/>
          <w:sz w:val="28"/>
          <w:szCs w:val="28"/>
          <w:lang w:eastAsia="zh-CN"/>
        </w:rPr>
      </w:pPr>
    </w:p>
    <w:p w14:paraId="0935EBEF">
      <w:pPr>
        <w:spacing w:line="540" w:lineRule="exact"/>
        <w:ind w:firstLine="759"/>
        <w:jc w:val="left"/>
        <w:rPr>
          <w:rFonts w:hint="eastAsia" w:ascii="宋体" w:hAnsi="宋体"/>
          <w:color w:val="auto"/>
          <w:sz w:val="24"/>
          <w:szCs w:val="24"/>
        </w:rPr>
      </w:pPr>
      <w:r>
        <w:rPr>
          <w:rFonts w:hint="eastAsia" w:ascii="宋体" w:hAnsi="宋体" w:cs="宋体"/>
          <w:b/>
          <w:color w:val="auto"/>
          <w:spacing w:val="6"/>
          <w:kern w:val="0"/>
          <w:sz w:val="28"/>
          <w:szCs w:val="28"/>
        </w:rPr>
        <w:t>由项目建设单位与成交单位根据本招标文件、成交单位响应文件及成交通知书，甲乙双方协商签订本项目服务合同。</w:t>
      </w:r>
    </w:p>
    <w:p w14:paraId="3F389FC2">
      <w:pPr>
        <w:snapToGrid w:val="0"/>
        <w:spacing w:line="360" w:lineRule="auto"/>
        <w:rPr>
          <w:rFonts w:hint="eastAsia" w:ascii="宋体" w:hAnsi="宋体" w:eastAsia="宋体" w:cs="宋体"/>
          <w:color w:val="auto"/>
          <w:szCs w:val="21"/>
        </w:rPr>
      </w:pPr>
    </w:p>
    <w:p w14:paraId="4290A10B">
      <w:pPr>
        <w:rPr>
          <w:rFonts w:hint="eastAsia" w:ascii="宋体" w:hAnsi="宋体" w:eastAsia="宋体" w:cs="宋体"/>
          <w:b/>
          <w:bCs/>
          <w:color w:val="auto"/>
          <w:kern w:val="2"/>
          <w:sz w:val="36"/>
          <w:szCs w:val="36"/>
          <w:lang w:val="en-US" w:eastAsia="zh-CN" w:bidi="ar-SA"/>
        </w:rPr>
      </w:pPr>
      <w:bookmarkStart w:id="21" w:name="_Toc21776"/>
      <w:r>
        <w:rPr>
          <w:rFonts w:hint="eastAsia" w:ascii="宋体" w:hAnsi="宋体" w:eastAsia="宋体" w:cs="宋体"/>
          <w:b/>
          <w:bCs/>
          <w:color w:val="auto"/>
          <w:kern w:val="2"/>
          <w:sz w:val="36"/>
          <w:szCs w:val="36"/>
          <w:lang w:val="en-US" w:eastAsia="zh-CN" w:bidi="ar-SA"/>
        </w:rPr>
        <w:br w:type="page"/>
      </w:r>
    </w:p>
    <w:p w14:paraId="3FB57591">
      <w:pPr>
        <w:pStyle w:val="49"/>
        <w:numPr>
          <w:ilvl w:val="0"/>
          <w:numId w:val="4"/>
        </w:numPr>
        <w:spacing w:line="360" w:lineRule="auto"/>
        <w:ind w:left="466" w:leftChars="222" w:firstLine="708" w:firstLineChars="196"/>
        <w:jc w:val="center"/>
        <w:rPr>
          <w:rFonts w:hint="eastAsia" w:ascii="宋体" w:hAnsi="宋体" w:eastAsia="宋体" w:cs="宋体"/>
          <w:b/>
          <w:bCs/>
          <w:color w:val="auto"/>
          <w:kern w:val="2"/>
          <w:sz w:val="36"/>
          <w:szCs w:val="36"/>
          <w:lang w:val="en-US" w:eastAsia="zh-CN" w:bidi="ar-SA"/>
        </w:rPr>
      </w:pPr>
      <w:r>
        <w:rPr>
          <w:rFonts w:hint="eastAsia" w:ascii="宋体" w:hAnsi="宋体" w:eastAsia="宋体" w:cs="宋体"/>
          <w:b/>
          <w:bCs/>
          <w:color w:val="auto"/>
          <w:kern w:val="2"/>
          <w:sz w:val="36"/>
          <w:szCs w:val="36"/>
          <w:lang w:val="en-US" w:eastAsia="zh-CN" w:bidi="ar-SA"/>
        </w:rPr>
        <w:t>评审标准</w:t>
      </w:r>
      <w:bookmarkEnd w:id="21"/>
      <w:bookmarkStart w:id="22" w:name="_Toc6736"/>
      <w:bookmarkStart w:id="23" w:name="_Toc87001048"/>
      <w:bookmarkStart w:id="24" w:name="_Toc7443621"/>
    </w:p>
    <w:bookmarkEnd w:id="22"/>
    <w:bookmarkEnd w:id="23"/>
    <w:bookmarkEnd w:id="24"/>
    <w:p w14:paraId="5CD0E227">
      <w:pPr>
        <w:widowControl/>
        <w:adjustRightInd w:val="0"/>
        <w:snapToGrid w:val="0"/>
        <w:spacing w:line="360" w:lineRule="auto"/>
        <w:ind w:firstLine="482" w:firstLineChars="200"/>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 xml:space="preserve">一、磋商方法 </w:t>
      </w:r>
    </w:p>
    <w:p w14:paraId="35E04EF2">
      <w:pPr>
        <w:widowControl/>
        <w:adjustRightInd w:val="0"/>
        <w:snapToGrid w:val="0"/>
        <w:spacing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根据《中华人民共和国政府采购法》、</w:t>
      </w:r>
      <w:r>
        <w:rPr>
          <w:rFonts w:hint="eastAsia" w:ascii="宋体" w:hAnsi="宋体" w:eastAsia="宋体" w:cs="宋体"/>
          <w:color w:val="auto"/>
          <w:kern w:val="0"/>
          <w:sz w:val="22"/>
        </w:rPr>
        <w:t>《</w:t>
      </w:r>
      <w:r>
        <w:rPr>
          <w:rFonts w:hint="eastAsia" w:ascii="宋体" w:hAnsi="宋体" w:eastAsia="宋体" w:cs="宋体"/>
          <w:color w:val="auto"/>
          <w:kern w:val="0"/>
          <w:sz w:val="24"/>
          <w:szCs w:val="24"/>
        </w:rPr>
        <w:t>政府采购竞争性磋商采购方式管理暂行办法》的规定，结合磋商文件及本次采购项目的具体情况，制定本评标办法。本次磋商采用综合评分法。磋商小组对满足磋商文件实质性要求的响</w:t>
      </w:r>
      <w:r>
        <w:rPr>
          <w:rFonts w:hint="eastAsia" w:ascii="宋体" w:hAnsi="宋体" w:eastAsia="宋体" w:cs="宋体"/>
          <w:color w:val="auto"/>
          <w:kern w:val="0"/>
          <w:sz w:val="24"/>
          <w:szCs w:val="24"/>
        </w:rPr>
        <w:t>应文件，按照本章规定的评分标准进行打分，并按得分由高到低顺序向采购人推荐3名成交候选人，综合评分相等时，按报价最低的优先，若报价相等的，按技术指标优劣顺序排列。</w:t>
      </w:r>
    </w:p>
    <w:p w14:paraId="1081B635">
      <w:pPr>
        <w:widowControl/>
        <w:adjustRightInd w:val="0"/>
        <w:snapToGrid w:val="0"/>
        <w:spacing w:line="360" w:lineRule="auto"/>
        <w:ind w:firstLine="482" w:firstLineChars="200"/>
        <w:jc w:val="left"/>
        <w:rPr>
          <w:rFonts w:hint="eastAsia" w:ascii="宋体" w:hAnsi="宋体" w:eastAsia="宋体" w:cs="宋体"/>
          <w:b/>
          <w:color w:val="auto"/>
          <w:sz w:val="32"/>
          <w:szCs w:val="32"/>
        </w:rPr>
      </w:pPr>
      <w:r>
        <w:rPr>
          <w:rFonts w:hint="eastAsia" w:ascii="宋体" w:hAnsi="宋体" w:eastAsia="宋体" w:cs="宋体"/>
          <w:b/>
          <w:color w:val="auto"/>
          <w:kern w:val="0"/>
          <w:sz w:val="24"/>
          <w:szCs w:val="24"/>
        </w:rPr>
        <w:t>二、评标办法前附表</w:t>
      </w:r>
    </w:p>
    <w:tbl>
      <w:tblPr>
        <w:tblStyle w:val="19"/>
        <w:tblW w:w="10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799"/>
        <w:gridCol w:w="2059"/>
        <w:gridCol w:w="6977"/>
      </w:tblGrid>
      <w:tr w14:paraId="2089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770" w:type="dxa"/>
            <w:gridSpan w:val="2"/>
            <w:tcBorders>
              <w:top w:val="single" w:color="auto" w:sz="4" w:space="0"/>
              <w:left w:val="single" w:color="auto" w:sz="4" w:space="0"/>
              <w:bottom w:val="single" w:color="auto" w:sz="4" w:space="0"/>
              <w:right w:val="single" w:color="auto" w:sz="4" w:space="0"/>
            </w:tcBorders>
            <w:vAlign w:val="center"/>
          </w:tcPr>
          <w:p w14:paraId="4FF333C1">
            <w:pPr>
              <w:spacing w:line="360" w:lineRule="auto"/>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条款号</w:t>
            </w:r>
          </w:p>
        </w:tc>
        <w:tc>
          <w:tcPr>
            <w:tcW w:w="2059" w:type="dxa"/>
            <w:tcBorders>
              <w:top w:val="single" w:color="auto" w:sz="4" w:space="0"/>
              <w:left w:val="single" w:color="auto" w:sz="4" w:space="0"/>
              <w:bottom w:val="single" w:color="auto" w:sz="4" w:space="0"/>
              <w:right w:val="single" w:color="auto" w:sz="4" w:space="0"/>
            </w:tcBorders>
            <w:vAlign w:val="center"/>
          </w:tcPr>
          <w:p w14:paraId="572E5A2C">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评审因素</w:t>
            </w:r>
          </w:p>
        </w:tc>
        <w:tc>
          <w:tcPr>
            <w:tcW w:w="6977" w:type="dxa"/>
            <w:tcBorders>
              <w:top w:val="single" w:color="auto" w:sz="4" w:space="0"/>
              <w:left w:val="single" w:color="auto" w:sz="4" w:space="0"/>
              <w:bottom w:val="single" w:color="auto" w:sz="4" w:space="0"/>
              <w:right w:val="single" w:color="auto" w:sz="4" w:space="0"/>
            </w:tcBorders>
            <w:vAlign w:val="center"/>
          </w:tcPr>
          <w:p w14:paraId="32FFD444">
            <w:pPr>
              <w:spacing w:line="360" w:lineRule="auto"/>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评审标准</w:t>
            </w:r>
          </w:p>
        </w:tc>
      </w:tr>
      <w:tr w14:paraId="678AA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971" w:type="dxa"/>
            <w:vMerge w:val="restart"/>
            <w:tcBorders>
              <w:top w:val="single" w:color="auto" w:sz="4" w:space="0"/>
              <w:left w:val="single" w:color="auto" w:sz="4" w:space="0"/>
              <w:right w:val="single" w:color="auto" w:sz="4" w:space="0"/>
            </w:tcBorders>
            <w:vAlign w:val="center"/>
          </w:tcPr>
          <w:p w14:paraId="35F55223">
            <w:pPr>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初</w:t>
            </w:r>
          </w:p>
          <w:p w14:paraId="0C35B584">
            <w:pPr>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步</w:t>
            </w:r>
          </w:p>
          <w:p w14:paraId="3436A833">
            <w:pPr>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评</w:t>
            </w:r>
          </w:p>
          <w:p w14:paraId="1A7494D6">
            <w:pPr>
              <w:jc w:val="center"/>
              <w:rPr>
                <w:rFonts w:hint="eastAsia" w:ascii="宋体" w:hAnsi="宋体" w:eastAsia="宋体" w:cs="宋体"/>
                <w:color w:val="auto"/>
                <w:sz w:val="21"/>
                <w:szCs w:val="21"/>
                <w:lang w:val="en-US" w:eastAsia="zh-CN"/>
              </w:rPr>
            </w:pPr>
            <w:r>
              <w:rPr>
                <w:rFonts w:hint="eastAsia" w:ascii="宋体" w:hAnsi="宋体" w:eastAsia="宋体" w:cs="宋体"/>
                <w:bCs/>
                <w:color w:val="auto"/>
                <w:sz w:val="21"/>
                <w:szCs w:val="21"/>
                <w:lang w:val="en-US" w:eastAsia="zh-CN"/>
              </w:rPr>
              <w:t>审</w:t>
            </w:r>
          </w:p>
        </w:tc>
        <w:tc>
          <w:tcPr>
            <w:tcW w:w="799" w:type="dxa"/>
            <w:vMerge w:val="restart"/>
            <w:tcBorders>
              <w:top w:val="single" w:color="auto" w:sz="4" w:space="0"/>
              <w:left w:val="single" w:color="auto" w:sz="4" w:space="0"/>
              <w:right w:val="single" w:color="auto" w:sz="4" w:space="0"/>
            </w:tcBorders>
            <w:vAlign w:val="center"/>
          </w:tcPr>
          <w:p w14:paraId="5BDA5653">
            <w:pPr>
              <w:rPr>
                <w:rFonts w:hint="eastAsia" w:ascii="宋体" w:hAnsi="宋体" w:eastAsia="宋体" w:cs="宋体"/>
                <w:color w:val="auto"/>
                <w:sz w:val="21"/>
                <w:szCs w:val="21"/>
              </w:rPr>
            </w:pPr>
            <w:r>
              <w:rPr>
                <w:rFonts w:hint="eastAsia" w:ascii="宋体" w:hAnsi="宋体" w:eastAsia="宋体" w:cs="宋体"/>
                <w:color w:val="auto"/>
                <w:sz w:val="21"/>
                <w:szCs w:val="21"/>
              </w:rPr>
              <w:t>资格性评审标准</w:t>
            </w:r>
          </w:p>
        </w:tc>
        <w:tc>
          <w:tcPr>
            <w:tcW w:w="2059" w:type="dxa"/>
            <w:tcBorders>
              <w:top w:val="single" w:color="auto" w:sz="4" w:space="0"/>
              <w:left w:val="single" w:color="auto" w:sz="4" w:space="0"/>
              <w:right w:val="single" w:color="auto" w:sz="4" w:space="0"/>
            </w:tcBorders>
            <w:vAlign w:val="center"/>
          </w:tcPr>
          <w:p w14:paraId="4E1B4603">
            <w:pPr>
              <w:spacing w:line="5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满足《中华人民共和国政府采购法》第二十二条的规定</w:t>
            </w:r>
          </w:p>
        </w:tc>
        <w:tc>
          <w:tcPr>
            <w:tcW w:w="6977" w:type="dxa"/>
            <w:tcBorders>
              <w:top w:val="single" w:color="auto" w:sz="4" w:space="0"/>
              <w:left w:val="single" w:color="auto" w:sz="4" w:space="0"/>
              <w:right w:val="single" w:color="auto" w:sz="4" w:space="0"/>
            </w:tcBorders>
            <w:vAlign w:val="center"/>
          </w:tcPr>
          <w:p w14:paraId="47F6EC65">
            <w:pPr>
              <w:spacing w:line="5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一）具有独立承担民事责任的能力；</w:t>
            </w:r>
          </w:p>
          <w:p w14:paraId="7984F97F">
            <w:pPr>
              <w:spacing w:line="5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（二）具有良好的商业信誉和健全的财务会计制度；</w:t>
            </w:r>
          </w:p>
          <w:p w14:paraId="2A21478F">
            <w:pPr>
              <w:spacing w:line="5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（三）具有履行合同所必需的设备和专业技术能力；</w:t>
            </w:r>
          </w:p>
          <w:p w14:paraId="4219A216">
            <w:pPr>
              <w:spacing w:line="5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（四）有依法缴纳税收和社会保障资金的良好记录；</w:t>
            </w:r>
          </w:p>
          <w:p w14:paraId="09112330">
            <w:pPr>
              <w:spacing w:line="5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（五）参加政府采购活动前三年内，在经营活动中没有重大违法记录；</w:t>
            </w:r>
          </w:p>
          <w:p w14:paraId="35EF624B">
            <w:pPr>
              <w:spacing w:line="5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（六）法律、行政法规规定的其他条件。</w:t>
            </w:r>
          </w:p>
          <w:p w14:paraId="3BBE10B9">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注：供应商在投标（响应）时，提供相关承诺函，无需提供上述证明材料；采购人有权在签订合同前要求成交供应商提供相关证明材料以核实成交供应商承诺事项的真实性。</w:t>
            </w:r>
          </w:p>
        </w:tc>
      </w:tr>
      <w:tr w14:paraId="49639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71" w:type="dxa"/>
            <w:vMerge w:val="continue"/>
            <w:tcBorders>
              <w:left w:val="single" w:color="auto" w:sz="4" w:space="0"/>
              <w:right w:val="single" w:color="auto" w:sz="4" w:space="0"/>
            </w:tcBorders>
            <w:vAlign w:val="center"/>
          </w:tcPr>
          <w:p w14:paraId="1056F3C5">
            <w:pPr>
              <w:spacing w:line="360" w:lineRule="auto"/>
              <w:jc w:val="center"/>
              <w:rPr>
                <w:rFonts w:hint="eastAsia" w:ascii="宋体" w:hAnsi="宋体" w:eastAsia="宋体" w:cs="宋体"/>
                <w:bCs/>
                <w:color w:val="auto"/>
                <w:sz w:val="21"/>
                <w:szCs w:val="21"/>
              </w:rPr>
            </w:pPr>
          </w:p>
        </w:tc>
        <w:tc>
          <w:tcPr>
            <w:tcW w:w="799" w:type="dxa"/>
            <w:vMerge w:val="continue"/>
            <w:tcBorders>
              <w:left w:val="single" w:color="auto" w:sz="4" w:space="0"/>
              <w:right w:val="single" w:color="auto" w:sz="4" w:space="0"/>
            </w:tcBorders>
            <w:vAlign w:val="center"/>
          </w:tcPr>
          <w:p w14:paraId="0C87BE4A">
            <w:pPr>
              <w:spacing w:line="360" w:lineRule="auto"/>
              <w:jc w:val="center"/>
              <w:rPr>
                <w:rFonts w:hint="eastAsia" w:ascii="宋体" w:hAnsi="宋体" w:eastAsia="宋体" w:cs="宋体"/>
                <w:color w:val="auto"/>
                <w:sz w:val="21"/>
                <w:szCs w:val="21"/>
              </w:rPr>
            </w:pPr>
          </w:p>
        </w:tc>
        <w:tc>
          <w:tcPr>
            <w:tcW w:w="2059" w:type="dxa"/>
            <w:tcBorders>
              <w:top w:val="single" w:color="auto" w:sz="4" w:space="0"/>
              <w:left w:val="single" w:color="auto" w:sz="4" w:space="0"/>
              <w:right w:val="single" w:color="auto" w:sz="4" w:space="0"/>
            </w:tcBorders>
            <w:vAlign w:val="center"/>
          </w:tcPr>
          <w:p w14:paraId="228ECECC">
            <w:pPr>
              <w:spacing w:line="5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营业执照</w:t>
            </w:r>
          </w:p>
        </w:tc>
        <w:tc>
          <w:tcPr>
            <w:tcW w:w="6977" w:type="dxa"/>
            <w:tcBorders>
              <w:top w:val="single" w:color="auto" w:sz="4" w:space="0"/>
              <w:left w:val="single" w:color="auto" w:sz="4" w:space="0"/>
              <w:right w:val="single" w:color="auto" w:sz="4" w:space="0"/>
            </w:tcBorders>
            <w:vAlign w:val="center"/>
          </w:tcPr>
          <w:p w14:paraId="02B59F78">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具备合法有效的营业执照、税务登记证、组织机构代码证（三证合一的仅提供营业执照）。</w:t>
            </w:r>
          </w:p>
        </w:tc>
      </w:tr>
      <w:tr w14:paraId="0C60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71" w:type="dxa"/>
            <w:vMerge w:val="continue"/>
            <w:tcBorders>
              <w:left w:val="single" w:color="auto" w:sz="4" w:space="0"/>
              <w:right w:val="single" w:color="auto" w:sz="4" w:space="0"/>
            </w:tcBorders>
            <w:vAlign w:val="center"/>
          </w:tcPr>
          <w:p w14:paraId="5B7CF4C5">
            <w:pPr>
              <w:spacing w:line="360" w:lineRule="auto"/>
              <w:jc w:val="center"/>
              <w:rPr>
                <w:rFonts w:hint="eastAsia" w:ascii="宋体" w:hAnsi="宋体" w:eastAsia="宋体" w:cs="宋体"/>
                <w:bCs/>
                <w:color w:val="auto"/>
                <w:sz w:val="21"/>
                <w:szCs w:val="21"/>
              </w:rPr>
            </w:pPr>
          </w:p>
        </w:tc>
        <w:tc>
          <w:tcPr>
            <w:tcW w:w="799" w:type="dxa"/>
            <w:vMerge w:val="continue"/>
            <w:tcBorders>
              <w:left w:val="single" w:color="auto" w:sz="4" w:space="0"/>
              <w:right w:val="single" w:color="auto" w:sz="4" w:space="0"/>
            </w:tcBorders>
            <w:vAlign w:val="center"/>
          </w:tcPr>
          <w:p w14:paraId="6120B372">
            <w:pPr>
              <w:spacing w:line="360" w:lineRule="auto"/>
              <w:jc w:val="center"/>
              <w:rPr>
                <w:rFonts w:hint="eastAsia" w:ascii="宋体" w:hAnsi="宋体" w:eastAsia="宋体" w:cs="宋体"/>
                <w:color w:val="auto"/>
                <w:sz w:val="21"/>
                <w:szCs w:val="21"/>
              </w:rPr>
            </w:pPr>
          </w:p>
        </w:tc>
        <w:tc>
          <w:tcPr>
            <w:tcW w:w="2059" w:type="dxa"/>
            <w:tcBorders>
              <w:top w:val="single" w:color="auto" w:sz="4" w:space="0"/>
              <w:left w:val="single" w:color="auto" w:sz="4" w:space="0"/>
              <w:right w:val="single" w:color="auto" w:sz="4" w:space="0"/>
            </w:tcBorders>
            <w:vAlign w:val="center"/>
          </w:tcPr>
          <w:p w14:paraId="044DBB4A">
            <w:pPr>
              <w:spacing w:line="5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资质要求</w:t>
            </w:r>
          </w:p>
        </w:tc>
        <w:tc>
          <w:tcPr>
            <w:tcW w:w="6977" w:type="dxa"/>
            <w:tcBorders>
              <w:top w:val="single" w:color="auto" w:sz="4" w:space="0"/>
              <w:left w:val="single" w:color="auto" w:sz="4" w:space="0"/>
              <w:right w:val="single" w:color="auto" w:sz="4" w:space="0"/>
            </w:tcBorders>
            <w:vAlign w:val="center"/>
          </w:tcPr>
          <w:p w14:paraId="715F0DDE">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供应商应具备建设行政主管部门颁发的工程勘察专业资质（岩土工程）乙级以上资质或工程勘察综合资质。</w:t>
            </w:r>
          </w:p>
        </w:tc>
      </w:tr>
      <w:tr w14:paraId="18EF6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71" w:type="dxa"/>
            <w:vMerge w:val="continue"/>
            <w:tcBorders>
              <w:left w:val="single" w:color="auto" w:sz="4" w:space="0"/>
              <w:right w:val="single" w:color="auto" w:sz="4" w:space="0"/>
            </w:tcBorders>
            <w:vAlign w:val="center"/>
          </w:tcPr>
          <w:p w14:paraId="1B62C32C">
            <w:pPr>
              <w:spacing w:line="360" w:lineRule="auto"/>
              <w:jc w:val="center"/>
              <w:rPr>
                <w:rFonts w:hint="eastAsia" w:ascii="宋体" w:hAnsi="宋体" w:eastAsia="宋体" w:cs="宋体"/>
                <w:bCs/>
                <w:color w:val="auto"/>
                <w:sz w:val="21"/>
                <w:szCs w:val="21"/>
              </w:rPr>
            </w:pPr>
          </w:p>
        </w:tc>
        <w:tc>
          <w:tcPr>
            <w:tcW w:w="799" w:type="dxa"/>
            <w:vMerge w:val="continue"/>
            <w:tcBorders>
              <w:left w:val="single" w:color="auto" w:sz="4" w:space="0"/>
              <w:right w:val="single" w:color="auto" w:sz="4" w:space="0"/>
            </w:tcBorders>
            <w:vAlign w:val="center"/>
          </w:tcPr>
          <w:p w14:paraId="1286D844">
            <w:pPr>
              <w:spacing w:line="360" w:lineRule="auto"/>
              <w:jc w:val="center"/>
              <w:rPr>
                <w:rFonts w:hint="eastAsia" w:ascii="宋体" w:hAnsi="宋体" w:eastAsia="宋体" w:cs="宋体"/>
                <w:color w:val="auto"/>
                <w:sz w:val="21"/>
                <w:szCs w:val="21"/>
              </w:rPr>
            </w:pPr>
          </w:p>
        </w:tc>
        <w:tc>
          <w:tcPr>
            <w:tcW w:w="2059" w:type="dxa"/>
            <w:tcBorders>
              <w:top w:val="single" w:color="auto" w:sz="4" w:space="0"/>
              <w:left w:val="single" w:color="auto" w:sz="4" w:space="0"/>
              <w:right w:val="single" w:color="auto" w:sz="4" w:space="0"/>
            </w:tcBorders>
            <w:vAlign w:val="center"/>
          </w:tcPr>
          <w:p w14:paraId="347CBB5B">
            <w:pPr>
              <w:spacing w:line="5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项目负责人执业资格、社保证明</w:t>
            </w:r>
          </w:p>
        </w:tc>
        <w:tc>
          <w:tcPr>
            <w:tcW w:w="6977" w:type="dxa"/>
            <w:tcBorders>
              <w:top w:val="single" w:color="auto" w:sz="4" w:space="0"/>
              <w:left w:val="single" w:color="auto" w:sz="4" w:space="0"/>
              <w:right w:val="single" w:color="auto" w:sz="4" w:space="0"/>
            </w:tcBorders>
            <w:vAlign w:val="center"/>
          </w:tcPr>
          <w:p w14:paraId="72CCFD5D">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拟派项目负责人应具有注册岩土工程师执业资格，且为本单位人员，在本单位缴纳社保，提供劳动合同、社保证明资料。</w:t>
            </w:r>
          </w:p>
        </w:tc>
      </w:tr>
      <w:tr w14:paraId="5F796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71" w:type="dxa"/>
            <w:vMerge w:val="continue"/>
            <w:tcBorders>
              <w:left w:val="single" w:color="auto" w:sz="4" w:space="0"/>
              <w:right w:val="single" w:color="auto" w:sz="4" w:space="0"/>
            </w:tcBorders>
            <w:vAlign w:val="center"/>
          </w:tcPr>
          <w:p w14:paraId="0F324376">
            <w:pPr>
              <w:spacing w:line="360" w:lineRule="auto"/>
              <w:jc w:val="center"/>
              <w:rPr>
                <w:rFonts w:hint="eastAsia" w:ascii="宋体" w:hAnsi="宋体" w:eastAsia="宋体" w:cs="宋体"/>
                <w:bCs/>
                <w:color w:val="auto"/>
                <w:sz w:val="21"/>
                <w:szCs w:val="21"/>
              </w:rPr>
            </w:pPr>
          </w:p>
        </w:tc>
        <w:tc>
          <w:tcPr>
            <w:tcW w:w="799" w:type="dxa"/>
            <w:vMerge w:val="continue"/>
            <w:tcBorders>
              <w:left w:val="single" w:color="auto" w:sz="4" w:space="0"/>
              <w:right w:val="single" w:color="auto" w:sz="4" w:space="0"/>
            </w:tcBorders>
            <w:vAlign w:val="center"/>
          </w:tcPr>
          <w:p w14:paraId="0FE932AC">
            <w:pPr>
              <w:spacing w:line="360" w:lineRule="auto"/>
              <w:jc w:val="center"/>
              <w:rPr>
                <w:rFonts w:hint="eastAsia" w:ascii="宋体" w:hAnsi="宋体" w:eastAsia="宋体" w:cs="宋体"/>
                <w:color w:val="auto"/>
                <w:sz w:val="21"/>
                <w:szCs w:val="21"/>
              </w:rPr>
            </w:pPr>
          </w:p>
        </w:tc>
        <w:tc>
          <w:tcPr>
            <w:tcW w:w="2059" w:type="dxa"/>
            <w:tcBorders>
              <w:top w:val="single" w:color="auto" w:sz="4" w:space="0"/>
              <w:left w:val="single" w:color="auto" w:sz="4" w:space="0"/>
              <w:right w:val="single" w:color="auto" w:sz="4" w:space="0"/>
            </w:tcBorders>
            <w:vAlign w:val="center"/>
          </w:tcPr>
          <w:p w14:paraId="40445772">
            <w:pPr>
              <w:spacing w:line="5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无商业贿赂及无不正当竞争行为</w:t>
            </w:r>
          </w:p>
        </w:tc>
        <w:tc>
          <w:tcPr>
            <w:tcW w:w="6977" w:type="dxa"/>
            <w:tcBorders>
              <w:top w:val="single" w:color="auto" w:sz="4" w:space="0"/>
              <w:left w:val="single" w:color="auto" w:sz="4" w:space="0"/>
              <w:right w:val="single" w:color="auto" w:sz="4" w:space="0"/>
            </w:tcBorders>
            <w:vAlign w:val="center"/>
          </w:tcPr>
          <w:p w14:paraId="4D49FB23">
            <w:pPr>
              <w:spacing w:line="50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供应商出具无商业贿赂及无不正当竞争行为的承诺书</w:t>
            </w:r>
            <w:r>
              <w:rPr>
                <w:rFonts w:hint="eastAsia" w:ascii="宋体" w:hAnsi="宋体" w:eastAsia="宋体" w:cs="宋体"/>
                <w:color w:val="auto"/>
                <w:sz w:val="21"/>
                <w:szCs w:val="21"/>
                <w:lang w:eastAsia="zh-CN"/>
              </w:rPr>
              <w:t>。</w:t>
            </w:r>
          </w:p>
        </w:tc>
      </w:tr>
      <w:tr w14:paraId="21971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71" w:type="dxa"/>
            <w:vMerge w:val="continue"/>
            <w:tcBorders>
              <w:left w:val="single" w:color="auto" w:sz="4" w:space="0"/>
              <w:right w:val="single" w:color="auto" w:sz="4" w:space="0"/>
            </w:tcBorders>
            <w:vAlign w:val="center"/>
          </w:tcPr>
          <w:p w14:paraId="427E970A">
            <w:pPr>
              <w:spacing w:line="360" w:lineRule="auto"/>
              <w:jc w:val="center"/>
              <w:rPr>
                <w:rFonts w:hint="eastAsia" w:ascii="宋体" w:hAnsi="宋体" w:eastAsia="宋体" w:cs="宋体"/>
                <w:bCs/>
                <w:color w:val="auto"/>
                <w:sz w:val="21"/>
                <w:szCs w:val="21"/>
              </w:rPr>
            </w:pPr>
          </w:p>
        </w:tc>
        <w:tc>
          <w:tcPr>
            <w:tcW w:w="799" w:type="dxa"/>
            <w:vMerge w:val="continue"/>
            <w:tcBorders>
              <w:left w:val="single" w:color="auto" w:sz="4" w:space="0"/>
              <w:right w:val="single" w:color="auto" w:sz="4" w:space="0"/>
            </w:tcBorders>
            <w:vAlign w:val="center"/>
          </w:tcPr>
          <w:p w14:paraId="2C2AC025">
            <w:pPr>
              <w:spacing w:line="360" w:lineRule="auto"/>
              <w:jc w:val="center"/>
              <w:rPr>
                <w:rFonts w:hint="eastAsia" w:ascii="宋体" w:hAnsi="宋体" w:eastAsia="宋体" w:cs="宋体"/>
                <w:color w:val="auto"/>
                <w:sz w:val="21"/>
                <w:szCs w:val="21"/>
              </w:rPr>
            </w:pPr>
          </w:p>
        </w:tc>
        <w:tc>
          <w:tcPr>
            <w:tcW w:w="2059" w:type="dxa"/>
            <w:tcBorders>
              <w:top w:val="single" w:color="auto" w:sz="4" w:space="0"/>
              <w:left w:val="single" w:color="auto" w:sz="4" w:space="0"/>
              <w:right w:val="single" w:color="auto" w:sz="4" w:space="0"/>
            </w:tcBorders>
            <w:vAlign w:val="center"/>
          </w:tcPr>
          <w:p w14:paraId="062F9777">
            <w:pPr>
              <w:spacing w:line="5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中国裁判文书网查询（提供公告后网页查询截图）或供应商自行承诺</w:t>
            </w:r>
          </w:p>
        </w:tc>
        <w:tc>
          <w:tcPr>
            <w:tcW w:w="6977" w:type="dxa"/>
            <w:tcBorders>
              <w:top w:val="single" w:color="auto" w:sz="4" w:space="0"/>
              <w:left w:val="single" w:color="auto" w:sz="4" w:space="0"/>
              <w:right w:val="single" w:color="auto" w:sz="4" w:space="0"/>
            </w:tcBorders>
            <w:vAlign w:val="center"/>
          </w:tcPr>
          <w:p w14:paraId="4C0201C0">
            <w:pPr>
              <w:bidi w:val="0"/>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供应商须出具无行贿犯罪记录在中国裁判文书网自行查询结果或自行承诺（查询对象：企业、法定代表人、拟派项目负责人）。</w:t>
            </w:r>
          </w:p>
        </w:tc>
      </w:tr>
      <w:tr w14:paraId="7AB78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71" w:type="dxa"/>
            <w:vMerge w:val="continue"/>
            <w:tcBorders>
              <w:left w:val="single" w:color="auto" w:sz="4" w:space="0"/>
              <w:right w:val="single" w:color="auto" w:sz="4" w:space="0"/>
            </w:tcBorders>
            <w:vAlign w:val="center"/>
          </w:tcPr>
          <w:p w14:paraId="5BF52661">
            <w:pPr>
              <w:spacing w:line="360" w:lineRule="auto"/>
              <w:jc w:val="center"/>
              <w:rPr>
                <w:rFonts w:hint="eastAsia" w:ascii="宋体" w:hAnsi="宋体" w:eastAsia="宋体" w:cs="宋体"/>
                <w:bCs/>
                <w:color w:val="auto"/>
                <w:sz w:val="21"/>
                <w:szCs w:val="21"/>
              </w:rPr>
            </w:pPr>
          </w:p>
        </w:tc>
        <w:tc>
          <w:tcPr>
            <w:tcW w:w="799" w:type="dxa"/>
            <w:vMerge w:val="continue"/>
            <w:tcBorders>
              <w:left w:val="single" w:color="auto" w:sz="4" w:space="0"/>
              <w:right w:val="single" w:color="auto" w:sz="4" w:space="0"/>
            </w:tcBorders>
            <w:vAlign w:val="center"/>
          </w:tcPr>
          <w:p w14:paraId="5C4D2F9A">
            <w:pPr>
              <w:spacing w:line="360" w:lineRule="auto"/>
              <w:jc w:val="center"/>
              <w:rPr>
                <w:rFonts w:hint="eastAsia" w:ascii="宋体" w:hAnsi="宋体" w:eastAsia="宋体" w:cs="宋体"/>
                <w:color w:val="auto"/>
                <w:sz w:val="21"/>
                <w:szCs w:val="21"/>
              </w:rPr>
            </w:pPr>
          </w:p>
        </w:tc>
        <w:tc>
          <w:tcPr>
            <w:tcW w:w="2059" w:type="dxa"/>
            <w:tcBorders>
              <w:top w:val="single" w:color="auto" w:sz="4" w:space="0"/>
              <w:left w:val="single" w:color="auto" w:sz="4" w:space="0"/>
              <w:right w:val="single" w:color="auto" w:sz="4" w:space="0"/>
            </w:tcBorders>
            <w:vAlign w:val="center"/>
          </w:tcPr>
          <w:p w14:paraId="5F94B762">
            <w:pPr>
              <w:spacing w:line="5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供应商须提供公告后相关网页查询页截图</w:t>
            </w:r>
          </w:p>
        </w:tc>
        <w:tc>
          <w:tcPr>
            <w:tcW w:w="6977" w:type="dxa"/>
            <w:tcBorders>
              <w:top w:val="single" w:color="auto" w:sz="4" w:space="0"/>
              <w:left w:val="single" w:color="auto" w:sz="4" w:space="0"/>
              <w:right w:val="single" w:color="auto" w:sz="4" w:space="0"/>
            </w:tcBorders>
            <w:vAlign w:val="center"/>
          </w:tcPr>
          <w:p w14:paraId="0BEB9683">
            <w:pPr>
              <w:spacing w:line="5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根据《关于在政府采购活动中查询及使用信用记录有关问题的通知》(财库[2016]125号)和豫财购【2016】15号的规定，对列入失信被执行人、重大税收违法失信主体、政府采购严重违法失信行为记录名单的供应商，拒绝参与本项目采购活动；【失信被执行人查询渠道：“中国执行信息公开网”http://zxgk.court.gov.cn、重大税收违法失信主体、政府采购严重违法失信行为记录名单查询渠道：“信用中国”网站www.creditchina.gov.cn、政府采购严重违法失信行为记录名单查询渠道：中国政府采购网（www.ccgp.gov.cn）】；提供查询结果截图。（查询日期为本项目查询时间自公告发布之日起至响应文件递交截止之日止）。</w:t>
            </w:r>
          </w:p>
          <w:p w14:paraId="79A2807E">
            <w:pPr>
              <w:spacing w:line="50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单位负责人为同一人或者存在直接控股、管理关系的不同供应商，不得参加同一合同项下的采购活动；提供“国家企业信用信息公示系统”http://www.gsxt.gov.cn/index.html网页查询,需包含公司基本信息、股东信息及股权变更信息内容，（查询日期为本项目查询时间自公告发布之日起至响应文件递交截止之日止）。</w:t>
            </w:r>
          </w:p>
        </w:tc>
      </w:tr>
      <w:tr w14:paraId="1A00A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971" w:type="dxa"/>
            <w:vMerge w:val="continue"/>
            <w:tcBorders>
              <w:left w:val="single" w:color="auto" w:sz="4" w:space="0"/>
              <w:right w:val="single" w:color="auto" w:sz="4" w:space="0"/>
            </w:tcBorders>
            <w:vAlign w:val="center"/>
          </w:tcPr>
          <w:p w14:paraId="4192F8E1">
            <w:pPr>
              <w:spacing w:line="360" w:lineRule="auto"/>
              <w:jc w:val="center"/>
              <w:rPr>
                <w:rFonts w:hint="eastAsia" w:ascii="宋体" w:hAnsi="宋体" w:eastAsia="宋体" w:cs="宋体"/>
                <w:bCs/>
                <w:color w:val="auto"/>
                <w:sz w:val="21"/>
                <w:szCs w:val="21"/>
              </w:rPr>
            </w:pPr>
          </w:p>
        </w:tc>
        <w:tc>
          <w:tcPr>
            <w:tcW w:w="799" w:type="dxa"/>
            <w:vMerge w:val="continue"/>
            <w:tcBorders>
              <w:left w:val="single" w:color="auto" w:sz="4" w:space="0"/>
              <w:right w:val="single" w:color="auto" w:sz="4" w:space="0"/>
            </w:tcBorders>
            <w:vAlign w:val="center"/>
          </w:tcPr>
          <w:p w14:paraId="65E3043C">
            <w:pPr>
              <w:spacing w:line="360" w:lineRule="auto"/>
              <w:jc w:val="center"/>
              <w:rPr>
                <w:rFonts w:hint="eastAsia" w:ascii="宋体" w:hAnsi="宋体" w:eastAsia="宋体" w:cs="宋体"/>
                <w:color w:val="auto"/>
                <w:sz w:val="21"/>
                <w:szCs w:val="21"/>
              </w:rPr>
            </w:pPr>
          </w:p>
        </w:tc>
        <w:tc>
          <w:tcPr>
            <w:tcW w:w="2059" w:type="dxa"/>
            <w:tcBorders>
              <w:top w:val="single" w:color="auto" w:sz="4" w:space="0"/>
              <w:left w:val="single" w:color="auto" w:sz="4" w:space="0"/>
              <w:right w:val="single" w:color="auto" w:sz="4" w:space="0"/>
            </w:tcBorders>
            <w:vAlign w:val="center"/>
          </w:tcPr>
          <w:p w14:paraId="108312BD">
            <w:pPr>
              <w:spacing w:line="500" w:lineRule="exact"/>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联合体投标</w:t>
            </w:r>
          </w:p>
        </w:tc>
        <w:tc>
          <w:tcPr>
            <w:tcW w:w="6977" w:type="dxa"/>
            <w:tcBorders>
              <w:top w:val="single" w:color="auto" w:sz="4" w:space="0"/>
              <w:left w:val="single" w:color="auto" w:sz="4" w:space="0"/>
              <w:right w:val="single" w:color="auto" w:sz="4" w:space="0"/>
            </w:tcBorders>
            <w:vAlign w:val="center"/>
          </w:tcPr>
          <w:p w14:paraId="00B02C78">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本项目不接受联合体投标。提供非联合体承诺，格式自拟。</w:t>
            </w:r>
          </w:p>
        </w:tc>
      </w:tr>
      <w:tr w14:paraId="285E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71" w:type="dxa"/>
            <w:vMerge w:val="continue"/>
            <w:tcBorders>
              <w:left w:val="single" w:color="auto" w:sz="4" w:space="0"/>
              <w:right w:val="single" w:color="auto" w:sz="4" w:space="0"/>
            </w:tcBorders>
            <w:vAlign w:val="center"/>
          </w:tcPr>
          <w:p w14:paraId="69C284E1">
            <w:pPr>
              <w:rPr>
                <w:rFonts w:hint="eastAsia" w:ascii="宋体" w:hAnsi="宋体" w:eastAsia="宋体" w:cs="宋体"/>
                <w:color w:val="auto"/>
                <w:sz w:val="21"/>
                <w:szCs w:val="21"/>
              </w:rPr>
            </w:pPr>
          </w:p>
        </w:tc>
        <w:tc>
          <w:tcPr>
            <w:tcW w:w="799" w:type="dxa"/>
            <w:vMerge w:val="restart"/>
            <w:tcBorders>
              <w:left w:val="single" w:color="auto" w:sz="4" w:space="0"/>
              <w:right w:val="single" w:color="auto" w:sz="4" w:space="0"/>
            </w:tcBorders>
            <w:vAlign w:val="center"/>
          </w:tcPr>
          <w:p w14:paraId="69277098">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符合性审查标准</w:t>
            </w:r>
          </w:p>
        </w:tc>
        <w:tc>
          <w:tcPr>
            <w:tcW w:w="2059" w:type="dxa"/>
            <w:tcBorders>
              <w:top w:val="single" w:color="auto" w:sz="4" w:space="0"/>
              <w:left w:val="single" w:color="auto" w:sz="4" w:space="0"/>
              <w:bottom w:val="single" w:color="auto" w:sz="4" w:space="0"/>
              <w:right w:val="single" w:color="auto" w:sz="4" w:space="0"/>
            </w:tcBorders>
            <w:vAlign w:val="center"/>
          </w:tcPr>
          <w:p w14:paraId="1BBBA387">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供应商名称</w:t>
            </w:r>
          </w:p>
        </w:tc>
        <w:tc>
          <w:tcPr>
            <w:tcW w:w="6977" w:type="dxa"/>
            <w:tcBorders>
              <w:top w:val="single" w:color="auto" w:sz="4" w:space="0"/>
              <w:left w:val="single" w:color="auto" w:sz="4" w:space="0"/>
              <w:bottom w:val="single" w:color="auto" w:sz="4" w:space="0"/>
              <w:right w:val="single" w:color="auto" w:sz="4" w:space="0"/>
            </w:tcBorders>
            <w:vAlign w:val="center"/>
          </w:tcPr>
          <w:p w14:paraId="23F471C4">
            <w:pPr>
              <w:jc w:val="center"/>
              <w:rPr>
                <w:rFonts w:hint="eastAsia" w:ascii="宋体" w:hAnsi="宋体" w:eastAsia="宋体" w:cs="宋体"/>
                <w:color w:val="auto"/>
                <w:sz w:val="21"/>
                <w:szCs w:val="21"/>
              </w:rPr>
            </w:pPr>
            <w:r>
              <w:rPr>
                <w:rFonts w:hint="eastAsia" w:ascii="宋体" w:hAnsi="宋体" w:eastAsia="宋体" w:cs="宋体"/>
                <w:color w:val="auto"/>
                <w:sz w:val="21"/>
                <w:szCs w:val="21"/>
              </w:rPr>
              <w:t>与营业执照一致</w:t>
            </w:r>
          </w:p>
        </w:tc>
      </w:tr>
      <w:tr w14:paraId="61EE4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71" w:type="dxa"/>
            <w:vMerge w:val="continue"/>
            <w:tcBorders>
              <w:left w:val="single" w:color="auto" w:sz="4" w:space="0"/>
              <w:right w:val="single" w:color="auto" w:sz="4" w:space="0"/>
            </w:tcBorders>
            <w:vAlign w:val="center"/>
          </w:tcPr>
          <w:p w14:paraId="06E95A08">
            <w:pPr>
              <w:rPr>
                <w:rFonts w:hint="eastAsia" w:ascii="宋体" w:hAnsi="宋体" w:eastAsia="宋体" w:cs="宋体"/>
                <w:color w:val="auto"/>
                <w:sz w:val="21"/>
                <w:szCs w:val="21"/>
              </w:rPr>
            </w:pPr>
          </w:p>
        </w:tc>
        <w:tc>
          <w:tcPr>
            <w:tcW w:w="799" w:type="dxa"/>
            <w:vMerge w:val="continue"/>
            <w:tcBorders>
              <w:left w:val="single" w:color="auto" w:sz="4" w:space="0"/>
              <w:right w:val="single" w:color="auto" w:sz="4" w:space="0"/>
            </w:tcBorders>
            <w:vAlign w:val="center"/>
          </w:tcPr>
          <w:p w14:paraId="7742E10F">
            <w:pPr>
              <w:rPr>
                <w:rFonts w:hint="eastAsia" w:ascii="宋体" w:hAnsi="宋体" w:eastAsia="宋体" w:cs="宋体"/>
                <w:color w:val="auto"/>
                <w:sz w:val="21"/>
                <w:szCs w:val="21"/>
              </w:rPr>
            </w:pPr>
          </w:p>
        </w:tc>
        <w:tc>
          <w:tcPr>
            <w:tcW w:w="2059" w:type="dxa"/>
            <w:tcBorders>
              <w:top w:val="single" w:color="auto" w:sz="4" w:space="0"/>
              <w:left w:val="single" w:color="auto" w:sz="4" w:space="0"/>
              <w:bottom w:val="single" w:color="auto" w:sz="4" w:space="0"/>
              <w:right w:val="single" w:color="auto" w:sz="4" w:space="0"/>
            </w:tcBorders>
            <w:vAlign w:val="center"/>
          </w:tcPr>
          <w:p w14:paraId="76D968BD">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盖章、签字</w:t>
            </w:r>
          </w:p>
        </w:tc>
        <w:tc>
          <w:tcPr>
            <w:tcW w:w="6977" w:type="dxa"/>
            <w:tcBorders>
              <w:top w:val="single" w:color="auto" w:sz="4" w:space="0"/>
              <w:left w:val="single" w:color="auto" w:sz="4" w:space="0"/>
              <w:bottom w:val="single" w:color="auto" w:sz="4" w:space="0"/>
              <w:right w:val="single" w:color="auto" w:sz="4" w:space="0"/>
            </w:tcBorders>
            <w:vAlign w:val="center"/>
          </w:tcPr>
          <w:p w14:paraId="1E3A90B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符合竞争性磋商文件签字、盖章的要求</w:t>
            </w:r>
          </w:p>
        </w:tc>
      </w:tr>
      <w:tr w14:paraId="5464D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71" w:type="dxa"/>
            <w:vMerge w:val="continue"/>
            <w:tcBorders>
              <w:left w:val="single" w:color="auto" w:sz="4" w:space="0"/>
              <w:right w:val="single" w:color="auto" w:sz="4" w:space="0"/>
            </w:tcBorders>
            <w:vAlign w:val="center"/>
          </w:tcPr>
          <w:p w14:paraId="73825543">
            <w:pPr>
              <w:rPr>
                <w:rFonts w:hint="eastAsia" w:ascii="宋体" w:hAnsi="宋体" w:eastAsia="宋体" w:cs="宋体"/>
                <w:color w:val="auto"/>
                <w:sz w:val="21"/>
                <w:szCs w:val="21"/>
              </w:rPr>
            </w:pPr>
          </w:p>
        </w:tc>
        <w:tc>
          <w:tcPr>
            <w:tcW w:w="799" w:type="dxa"/>
            <w:vMerge w:val="continue"/>
            <w:tcBorders>
              <w:left w:val="single" w:color="auto" w:sz="4" w:space="0"/>
              <w:right w:val="single" w:color="auto" w:sz="4" w:space="0"/>
            </w:tcBorders>
            <w:vAlign w:val="center"/>
          </w:tcPr>
          <w:p w14:paraId="415F4C75">
            <w:pPr>
              <w:rPr>
                <w:rFonts w:hint="eastAsia" w:ascii="宋体" w:hAnsi="宋体" w:eastAsia="宋体" w:cs="宋体"/>
                <w:color w:val="auto"/>
                <w:sz w:val="21"/>
                <w:szCs w:val="21"/>
              </w:rPr>
            </w:pPr>
          </w:p>
        </w:tc>
        <w:tc>
          <w:tcPr>
            <w:tcW w:w="2059" w:type="dxa"/>
            <w:tcBorders>
              <w:top w:val="single" w:color="auto" w:sz="4" w:space="0"/>
              <w:left w:val="single" w:color="auto" w:sz="4" w:space="0"/>
              <w:bottom w:val="single" w:color="auto" w:sz="4" w:space="0"/>
              <w:right w:val="single" w:color="auto" w:sz="4" w:space="0"/>
            </w:tcBorders>
            <w:shd w:val="clear" w:color="auto" w:fill="auto"/>
            <w:vAlign w:val="center"/>
          </w:tcPr>
          <w:p w14:paraId="7DDF63D5">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响应文件格式</w:t>
            </w:r>
          </w:p>
        </w:tc>
        <w:tc>
          <w:tcPr>
            <w:tcW w:w="6977" w:type="dxa"/>
            <w:tcBorders>
              <w:top w:val="single" w:color="auto" w:sz="4" w:space="0"/>
              <w:left w:val="single" w:color="auto" w:sz="4" w:space="0"/>
              <w:bottom w:val="single" w:color="auto" w:sz="4" w:space="0"/>
              <w:right w:val="single" w:color="auto" w:sz="4" w:space="0"/>
            </w:tcBorders>
            <w:shd w:val="clear" w:color="auto" w:fill="auto"/>
            <w:vAlign w:val="center"/>
          </w:tcPr>
          <w:p w14:paraId="645A1B3B">
            <w:pPr>
              <w:spacing w:line="360"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符合第六章“响应文件格式”要求</w:t>
            </w:r>
            <w:r>
              <w:rPr>
                <w:rFonts w:hint="eastAsia" w:ascii="宋体" w:hAnsi="宋体" w:eastAsia="宋体" w:cs="宋体"/>
                <w:bCs/>
                <w:color w:val="auto"/>
                <w:sz w:val="21"/>
                <w:szCs w:val="21"/>
              </w:rPr>
              <w:t>符合</w:t>
            </w:r>
          </w:p>
        </w:tc>
      </w:tr>
      <w:tr w14:paraId="61A35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71" w:type="dxa"/>
            <w:vMerge w:val="continue"/>
            <w:tcBorders>
              <w:left w:val="single" w:color="auto" w:sz="4" w:space="0"/>
              <w:right w:val="single" w:color="auto" w:sz="4" w:space="0"/>
            </w:tcBorders>
            <w:vAlign w:val="center"/>
          </w:tcPr>
          <w:p w14:paraId="6EF0814A">
            <w:pPr>
              <w:rPr>
                <w:rFonts w:hint="eastAsia" w:ascii="宋体" w:hAnsi="宋体" w:eastAsia="宋体" w:cs="宋体"/>
                <w:color w:val="auto"/>
                <w:sz w:val="21"/>
                <w:szCs w:val="21"/>
              </w:rPr>
            </w:pPr>
          </w:p>
        </w:tc>
        <w:tc>
          <w:tcPr>
            <w:tcW w:w="799" w:type="dxa"/>
            <w:vMerge w:val="continue"/>
            <w:tcBorders>
              <w:left w:val="single" w:color="auto" w:sz="4" w:space="0"/>
              <w:right w:val="single" w:color="auto" w:sz="4" w:space="0"/>
            </w:tcBorders>
            <w:vAlign w:val="center"/>
          </w:tcPr>
          <w:p w14:paraId="06D1B9B6">
            <w:pPr>
              <w:rPr>
                <w:rFonts w:hint="eastAsia" w:ascii="宋体" w:hAnsi="宋体" w:eastAsia="宋体" w:cs="宋体"/>
                <w:color w:val="auto"/>
                <w:sz w:val="21"/>
                <w:szCs w:val="21"/>
              </w:rPr>
            </w:pPr>
          </w:p>
        </w:tc>
        <w:tc>
          <w:tcPr>
            <w:tcW w:w="2059" w:type="dxa"/>
            <w:tcBorders>
              <w:top w:val="single" w:color="auto" w:sz="4" w:space="0"/>
              <w:left w:val="single" w:color="auto" w:sz="4" w:space="0"/>
              <w:bottom w:val="single" w:color="auto" w:sz="4" w:space="0"/>
              <w:right w:val="single" w:color="auto" w:sz="4" w:space="0"/>
            </w:tcBorders>
            <w:shd w:val="clear" w:color="auto" w:fill="auto"/>
            <w:vAlign w:val="center"/>
          </w:tcPr>
          <w:p w14:paraId="25DC5BE6">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报价唯一</w:t>
            </w:r>
          </w:p>
        </w:tc>
        <w:tc>
          <w:tcPr>
            <w:tcW w:w="6977" w:type="dxa"/>
            <w:tcBorders>
              <w:top w:val="single" w:color="auto" w:sz="4" w:space="0"/>
              <w:left w:val="single" w:color="auto" w:sz="4" w:space="0"/>
              <w:bottom w:val="single" w:color="auto" w:sz="4" w:space="0"/>
              <w:right w:val="single" w:color="auto" w:sz="4" w:space="0"/>
            </w:tcBorders>
            <w:shd w:val="clear" w:color="auto" w:fill="auto"/>
            <w:vAlign w:val="center"/>
          </w:tcPr>
          <w:p w14:paraId="117D1AD1">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响应人磋商总报价不得高于采购人的预算价，否则其投标将予否决</w:t>
            </w:r>
          </w:p>
        </w:tc>
      </w:tr>
      <w:tr w14:paraId="1A844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71" w:type="dxa"/>
            <w:vMerge w:val="continue"/>
            <w:tcBorders>
              <w:left w:val="single" w:color="auto" w:sz="4" w:space="0"/>
              <w:right w:val="single" w:color="auto" w:sz="4" w:space="0"/>
            </w:tcBorders>
            <w:vAlign w:val="center"/>
          </w:tcPr>
          <w:p w14:paraId="1DC606C1">
            <w:pPr>
              <w:rPr>
                <w:rFonts w:hint="eastAsia" w:ascii="宋体" w:hAnsi="宋体" w:eastAsia="宋体" w:cs="宋体"/>
                <w:color w:val="auto"/>
                <w:sz w:val="21"/>
                <w:szCs w:val="21"/>
              </w:rPr>
            </w:pPr>
          </w:p>
        </w:tc>
        <w:tc>
          <w:tcPr>
            <w:tcW w:w="799" w:type="dxa"/>
            <w:vMerge w:val="restart"/>
            <w:tcBorders>
              <w:left w:val="single" w:color="auto" w:sz="4" w:space="0"/>
              <w:right w:val="single" w:color="auto" w:sz="4" w:space="0"/>
            </w:tcBorders>
            <w:vAlign w:val="center"/>
          </w:tcPr>
          <w:p w14:paraId="3C6BEB8E">
            <w:pPr>
              <w:rPr>
                <w:rFonts w:hint="eastAsia" w:ascii="宋体" w:hAnsi="宋体" w:eastAsia="宋体" w:cs="宋体"/>
                <w:color w:val="auto"/>
                <w:sz w:val="21"/>
                <w:szCs w:val="21"/>
              </w:rPr>
            </w:pPr>
            <w:r>
              <w:rPr>
                <w:rFonts w:hint="eastAsia" w:ascii="宋体" w:hAnsi="宋体" w:eastAsia="宋体" w:cs="宋体"/>
                <w:color w:val="auto"/>
                <w:szCs w:val="21"/>
              </w:rPr>
              <w:t>响应性评审标准</w:t>
            </w:r>
          </w:p>
        </w:tc>
        <w:tc>
          <w:tcPr>
            <w:tcW w:w="2059" w:type="dxa"/>
            <w:tcBorders>
              <w:top w:val="single" w:color="auto" w:sz="4" w:space="0"/>
              <w:left w:val="single" w:color="auto" w:sz="4" w:space="0"/>
              <w:bottom w:val="single" w:color="auto" w:sz="4" w:space="0"/>
              <w:right w:val="single" w:color="auto" w:sz="4" w:space="0"/>
            </w:tcBorders>
            <w:shd w:val="clear" w:color="auto" w:fill="auto"/>
            <w:vAlign w:val="center"/>
          </w:tcPr>
          <w:p w14:paraId="49D95194">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服务周期</w:t>
            </w:r>
          </w:p>
        </w:tc>
        <w:tc>
          <w:tcPr>
            <w:tcW w:w="6977" w:type="dxa"/>
            <w:tcBorders>
              <w:top w:val="single" w:color="auto" w:sz="4" w:space="0"/>
              <w:left w:val="single" w:color="auto" w:sz="4" w:space="0"/>
              <w:bottom w:val="single" w:color="auto" w:sz="4" w:space="0"/>
              <w:right w:val="single" w:color="auto" w:sz="4" w:space="0"/>
            </w:tcBorders>
            <w:shd w:val="clear" w:color="auto" w:fill="auto"/>
            <w:vAlign w:val="center"/>
          </w:tcPr>
          <w:p w14:paraId="6E55ADA3">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自签订合同起20日历天内</w:t>
            </w:r>
          </w:p>
        </w:tc>
      </w:tr>
      <w:tr w14:paraId="45F4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71" w:type="dxa"/>
            <w:vMerge w:val="continue"/>
            <w:tcBorders>
              <w:left w:val="single" w:color="auto" w:sz="4" w:space="0"/>
              <w:right w:val="single" w:color="auto" w:sz="4" w:space="0"/>
            </w:tcBorders>
            <w:vAlign w:val="center"/>
          </w:tcPr>
          <w:p w14:paraId="1F5DCDEF">
            <w:pPr>
              <w:rPr>
                <w:rFonts w:hint="eastAsia" w:ascii="宋体" w:hAnsi="宋体" w:eastAsia="宋体" w:cs="宋体"/>
                <w:color w:val="auto"/>
                <w:sz w:val="21"/>
                <w:szCs w:val="21"/>
              </w:rPr>
            </w:pPr>
          </w:p>
        </w:tc>
        <w:tc>
          <w:tcPr>
            <w:tcW w:w="799" w:type="dxa"/>
            <w:vMerge w:val="continue"/>
            <w:tcBorders>
              <w:left w:val="single" w:color="auto" w:sz="4" w:space="0"/>
              <w:right w:val="single" w:color="auto" w:sz="4" w:space="0"/>
            </w:tcBorders>
            <w:vAlign w:val="center"/>
          </w:tcPr>
          <w:p w14:paraId="4FEAF657">
            <w:pPr>
              <w:rPr>
                <w:rFonts w:hint="eastAsia" w:ascii="宋体" w:hAnsi="宋体" w:eastAsia="宋体" w:cs="宋体"/>
                <w:color w:val="auto"/>
                <w:sz w:val="21"/>
                <w:szCs w:val="21"/>
              </w:rPr>
            </w:pPr>
          </w:p>
        </w:tc>
        <w:tc>
          <w:tcPr>
            <w:tcW w:w="2059" w:type="dxa"/>
            <w:tcBorders>
              <w:top w:val="single" w:color="auto" w:sz="4" w:space="0"/>
              <w:left w:val="single" w:color="auto" w:sz="4" w:space="0"/>
              <w:bottom w:val="single" w:color="auto" w:sz="4" w:space="0"/>
              <w:right w:val="single" w:color="auto" w:sz="4" w:space="0"/>
            </w:tcBorders>
            <w:shd w:val="clear" w:color="auto" w:fill="auto"/>
            <w:vAlign w:val="center"/>
          </w:tcPr>
          <w:p w14:paraId="46D1D172">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eastAsia="zh-CN"/>
              </w:rPr>
              <w:t>质量要求</w:t>
            </w:r>
          </w:p>
        </w:tc>
        <w:tc>
          <w:tcPr>
            <w:tcW w:w="6977" w:type="dxa"/>
            <w:tcBorders>
              <w:top w:val="single" w:color="auto" w:sz="4" w:space="0"/>
              <w:left w:val="single" w:color="auto" w:sz="4" w:space="0"/>
              <w:bottom w:val="single" w:color="auto" w:sz="4" w:space="0"/>
              <w:right w:val="single" w:color="auto" w:sz="4" w:space="0"/>
            </w:tcBorders>
            <w:shd w:val="clear" w:color="auto" w:fill="auto"/>
            <w:vAlign w:val="center"/>
          </w:tcPr>
          <w:p w14:paraId="39B1ED94">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符合国家现行规范、规定、标准并通过相关部门审批</w:t>
            </w:r>
          </w:p>
        </w:tc>
      </w:tr>
      <w:tr w14:paraId="755F8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71" w:type="dxa"/>
            <w:vMerge w:val="continue"/>
            <w:tcBorders>
              <w:left w:val="single" w:color="auto" w:sz="4" w:space="0"/>
              <w:right w:val="single" w:color="auto" w:sz="4" w:space="0"/>
            </w:tcBorders>
            <w:vAlign w:val="center"/>
          </w:tcPr>
          <w:p w14:paraId="04E0E699">
            <w:pPr>
              <w:rPr>
                <w:rFonts w:hint="eastAsia" w:ascii="宋体" w:hAnsi="宋体" w:eastAsia="宋体" w:cs="宋体"/>
                <w:color w:val="auto"/>
                <w:sz w:val="21"/>
                <w:szCs w:val="21"/>
              </w:rPr>
            </w:pPr>
          </w:p>
        </w:tc>
        <w:tc>
          <w:tcPr>
            <w:tcW w:w="799" w:type="dxa"/>
            <w:vMerge w:val="continue"/>
            <w:tcBorders>
              <w:left w:val="single" w:color="auto" w:sz="4" w:space="0"/>
              <w:right w:val="single" w:color="auto" w:sz="4" w:space="0"/>
            </w:tcBorders>
            <w:vAlign w:val="center"/>
          </w:tcPr>
          <w:p w14:paraId="248FAEE4">
            <w:pPr>
              <w:rPr>
                <w:rFonts w:hint="eastAsia" w:ascii="宋体" w:hAnsi="宋体" w:eastAsia="宋体" w:cs="宋体"/>
                <w:color w:val="auto"/>
                <w:sz w:val="21"/>
                <w:szCs w:val="21"/>
              </w:rPr>
            </w:pPr>
          </w:p>
        </w:tc>
        <w:tc>
          <w:tcPr>
            <w:tcW w:w="2059" w:type="dxa"/>
            <w:tcBorders>
              <w:top w:val="single" w:color="auto" w:sz="4" w:space="0"/>
              <w:left w:val="single" w:color="auto" w:sz="4" w:space="0"/>
              <w:bottom w:val="single" w:color="auto" w:sz="4" w:space="0"/>
              <w:right w:val="single" w:color="auto" w:sz="4" w:space="0"/>
            </w:tcBorders>
            <w:shd w:val="clear" w:color="auto" w:fill="auto"/>
            <w:vAlign w:val="center"/>
          </w:tcPr>
          <w:p w14:paraId="392D359A">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磋商有效期</w:t>
            </w:r>
          </w:p>
        </w:tc>
        <w:tc>
          <w:tcPr>
            <w:tcW w:w="6977" w:type="dxa"/>
            <w:tcBorders>
              <w:top w:val="single" w:color="auto" w:sz="4" w:space="0"/>
              <w:left w:val="single" w:color="auto" w:sz="4" w:space="0"/>
              <w:bottom w:val="single" w:color="auto" w:sz="4" w:space="0"/>
              <w:right w:val="single" w:color="auto" w:sz="4" w:space="0"/>
            </w:tcBorders>
            <w:shd w:val="clear" w:color="auto" w:fill="auto"/>
            <w:vAlign w:val="center"/>
          </w:tcPr>
          <w:p w14:paraId="30C1CD9C">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60日历天(从磋商截止之日算起)</w:t>
            </w:r>
          </w:p>
        </w:tc>
      </w:tr>
      <w:tr w14:paraId="4B54C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jc w:val="center"/>
        </w:trPr>
        <w:tc>
          <w:tcPr>
            <w:tcW w:w="1770" w:type="dxa"/>
            <w:gridSpan w:val="2"/>
            <w:tcBorders>
              <w:left w:val="single" w:color="auto" w:sz="4" w:space="0"/>
              <w:right w:val="single" w:color="auto" w:sz="4" w:space="0"/>
            </w:tcBorders>
            <w:shd w:val="clear" w:color="auto" w:fill="auto"/>
            <w:vAlign w:val="center"/>
          </w:tcPr>
          <w:p w14:paraId="0E13E396">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条款号</w:t>
            </w:r>
          </w:p>
        </w:tc>
        <w:tc>
          <w:tcPr>
            <w:tcW w:w="2059" w:type="dxa"/>
            <w:tcBorders>
              <w:top w:val="single" w:color="auto" w:sz="4" w:space="0"/>
              <w:left w:val="single" w:color="auto" w:sz="4" w:space="0"/>
              <w:bottom w:val="single" w:color="auto" w:sz="4" w:space="0"/>
              <w:right w:val="single" w:color="auto" w:sz="4" w:space="0"/>
            </w:tcBorders>
            <w:shd w:val="clear" w:color="auto" w:fill="auto"/>
            <w:vAlign w:val="center"/>
          </w:tcPr>
          <w:p w14:paraId="0AB6DE90">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条款内容</w:t>
            </w:r>
          </w:p>
        </w:tc>
        <w:tc>
          <w:tcPr>
            <w:tcW w:w="6977" w:type="dxa"/>
            <w:tcBorders>
              <w:top w:val="single" w:color="auto" w:sz="4" w:space="0"/>
              <w:left w:val="single" w:color="auto" w:sz="4" w:space="0"/>
              <w:bottom w:val="single" w:color="auto" w:sz="4" w:space="0"/>
              <w:right w:val="single" w:color="auto" w:sz="4" w:space="0"/>
            </w:tcBorders>
            <w:shd w:val="clear" w:color="auto" w:fill="auto"/>
            <w:vAlign w:val="center"/>
          </w:tcPr>
          <w:p w14:paraId="10C34906">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编列内容</w:t>
            </w:r>
          </w:p>
        </w:tc>
      </w:tr>
      <w:tr w14:paraId="2A688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exact"/>
          <w:jc w:val="center"/>
        </w:trPr>
        <w:tc>
          <w:tcPr>
            <w:tcW w:w="1770" w:type="dxa"/>
            <w:gridSpan w:val="2"/>
            <w:tcBorders>
              <w:left w:val="single" w:color="auto" w:sz="4" w:space="0"/>
              <w:right w:val="single" w:color="auto" w:sz="4" w:space="0"/>
            </w:tcBorders>
            <w:shd w:val="clear" w:color="auto" w:fill="auto"/>
            <w:vAlign w:val="center"/>
          </w:tcPr>
          <w:p w14:paraId="1EEBD025">
            <w:pPr>
              <w:spacing w:line="276"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2.2.1</w:t>
            </w:r>
          </w:p>
        </w:tc>
        <w:tc>
          <w:tcPr>
            <w:tcW w:w="2059" w:type="dxa"/>
            <w:tcBorders>
              <w:top w:val="single" w:color="auto" w:sz="4" w:space="0"/>
              <w:left w:val="single" w:color="auto" w:sz="4" w:space="0"/>
              <w:bottom w:val="single" w:color="auto" w:sz="4" w:space="0"/>
              <w:right w:val="single" w:color="auto" w:sz="4" w:space="0"/>
            </w:tcBorders>
            <w:shd w:val="clear" w:color="auto" w:fill="auto"/>
            <w:vAlign w:val="center"/>
          </w:tcPr>
          <w:p w14:paraId="07F6057B">
            <w:pPr>
              <w:spacing w:line="400" w:lineRule="exact"/>
              <w:ind w:firstLine="105" w:firstLineChars="50"/>
              <w:jc w:val="center"/>
              <w:rPr>
                <w:rFonts w:hint="eastAsia" w:ascii="宋体" w:hAnsi="宋体" w:eastAsia="宋体" w:cs="宋体"/>
                <w:color w:val="auto"/>
                <w:sz w:val="21"/>
                <w:szCs w:val="21"/>
              </w:rPr>
            </w:pPr>
            <w:r>
              <w:rPr>
                <w:rFonts w:hint="eastAsia" w:ascii="宋体" w:hAnsi="宋体" w:eastAsia="宋体" w:cs="宋体"/>
                <w:color w:val="auto"/>
                <w:sz w:val="21"/>
                <w:szCs w:val="21"/>
              </w:rPr>
              <w:t>分值构成</w:t>
            </w:r>
          </w:p>
          <w:p w14:paraId="3A0EBD36">
            <w:pPr>
              <w:spacing w:line="276"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(总分100分)</w:t>
            </w:r>
          </w:p>
        </w:tc>
        <w:tc>
          <w:tcPr>
            <w:tcW w:w="6977" w:type="dxa"/>
            <w:tcBorders>
              <w:top w:val="single" w:color="auto" w:sz="4" w:space="0"/>
              <w:left w:val="single" w:color="auto" w:sz="4" w:space="0"/>
              <w:bottom w:val="single" w:color="auto" w:sz="4" w:space="0"/>
              <w:right w:val="single" w:color="auto" w:sz="4" w:space="0"/>
            </w:tcBorders>
            <w:shd w:val="clear" w:color="auto" w:fill="auto"/>
            <w:vAlign w:val="center"/>
          </w:tcPr>
          <w:p w14:paraId="21CD4DAE">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eastAsia="zh-CN"/>
              </w:rPr>
              <w:t>分</w:t>
            </w:r>
          </w:p>
          <w:p w14:paraId="2AA9D719">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技术部分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58</w:t>
            </w:r>
            <w:r>
              <w:rPr>
                <w:rFonts w:hint="eastAsia" w:ascii="宋体" w:hAnsi="宋体" w:eastAsia="宋体" w:cs="宋体"/>
                <w:color w:val="auto"/>
                <w:sz w:val="21"/>
                <w:szCs w:val="21"/>
                <w:highlight w:val="none"/>
                <w:lang w:eastAsia="zh-CN"/>
              </w:rPr>
              <w:t>分</w:t>
            </w:r>
          </w:p>
          <w:p w14:paraId="1CDA3E06">
            <w:pPr>
              <w:spacing w:line="360" w:lineRule="auto"/>
              <w:jc w:val="lef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highlight w:val="none"/>
                <w:lang w:val="en-US" w:eastAsia="zh-CN"/>
              </w:rPr>
              <w:t>综合</w:t>
            </w:r>
            <w:r>
              <w:rPr>
                <w:rFonts w:hint="eastAsia" w:ascii="宋体" w:hAnsi="宋体" w:eastAsia="宋体" w:cs="宋体"/>
                <w:color w:val="auto"/>
                <w:sz w:val="21"/>
                <w:szCs w:val="21"/>
                <w:highlight w:val="none"/>
                <w:lang w:eastAsia="zh-CN"/>
              </w:rPr>
              <w:t>部分：</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lang w:eastAsia="zh-CN"/>
              </w:rPr>
              <w:t>分</w:t>
            </w:r>
          </w:p>
        </w:tc>
      </w:tr>
      <w:tr w14:paraId="1D0D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8" w:hRule="exact"/>
          <w:jc w:val="center"/>
        </w:trPr>
        <w:tc>
          <w:tcPr>
            <w:tcW w:w="1770" w:type="dxa"/>
            <w:gridSpan w:val="2"/>
            <w:tcBorders>
              <w:left w:val="single" w:color="auto" w:sz="4" w:space="0"/>
              <w:right w:val="single" w:color="auto" w:sz="4" w:space="0"/>
            </w:tcBorders>
            <w:shd w:val="clear" w:color="auto" w:fill="auto"/>
            <w:vAlign w:val="center"/>
          </w:tcPr>
          <w:p w14:paraId="1EE13682">
            <w:pPr>
              <w:spacing w:line="276"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2.2.2</w:t>
            </w:r>
          </w:p>
        </w:tc>
        <w:tc>
          <w:tcPr>
            <w:tcW w:w="2059" w:type="dxa"/>
            <w:tcBorders>
              <w:top w:val="single" w:color="auto" w:sz="4" w:space="0"/>
              <w:left w:val="single" w:color="auto" w:sz="4" w:space="0"/>
              <w:bottom w:val="single" w:color="auto" w:sz="4" w:space="0"/>
              <w:right w:val="single" w:color="auto" w:sz="4" w:space="0"/>
            </w:tcBorders>
            <w:shd w:val="clear" w:color="auto" w:fill="auto"/>
            <w:vAlign w:val="center"/>
          </w:tcPr>
          <w:p w14:paraId="071C512F">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lang w:eastAsia="zh-CN"/>
              </w:rPr>
              <w:t>报价：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eastAsia="zh-CN"/>
              </w:rPr>
              <w:t>分</w:t>
            </w:r>
          </w:p>
          <w:p w14:paraId="7D6E97FB">
            <w:pPr>
              <w:spacing w:line="276" w:lineRule="auto"/>
              <w:jc w:val="center"/>
              <w:rPr>
                <w:rFonts w:hint="eastAsia" w:ascii="宋体" w:hAnsi="宋体" w:eastAsia="宋体" w:cs="宋体"/>
                <w:color w:val="auto"/>
                <w:kern w:val="2"/>
                <w:sz w:val="21"/>
                <w:szCs w:val="21"/>
                <w:lang w:val="en-US" w:eastAsia="zh-CN" w:bidi="ar-SA"/>
              </w:rPr>
            </w:pPr>
          </w:p>
        </w:tc>
        <w:tc>
          <w:tcPr>
            <w:tcW w:w="6977" w:type="dxa"/>
            <w:tcBorders>
              <w:top w:val="single" w:color="auto" w:sz="4" w:space="0"/>
              <w:left w:val="single" w:color="auto" w:sz="4" w:space="0"/>
              <w:bottom w:val="single" w:color="auto" w:sz="4" w:space="0"/>
              <w:right w:val="single" w:color="auto" w:sz="4" w:space="0"/>
            </w:tcBorders>
            <w:shd w:val="clear" w:color="auto" w:fill="auto"/>
            <w:vAlign w:val="center"/>
          </w:tcPr>
          <w:p w14:paraId="68BAEB57">
            <w:pPr>
              <w:spacing w:line="52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1、满足竞争性磋商文件要求的最后报价为有效最后报价。报价最低的有效最后报价即为评标基准价，该供应商价格分为满分。</w:t>
            </w:r>
          </w:p>
          <w:p w14:paraId="00BA6198">
            <w:pPr>
              <w:spacing w:line="52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2、其他供应商的最后报价分按照下列公式计算：</w:t>
            </w:r>
          </w:p>
          <w:p w14:paraId="31469220">
            <w:pPr>
              <w:spacing w:line="52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磋商报价得分＝（评标基准价/磋商报价）×30(精确到小数点后两位,四舍五入)</w:t>
            </w:r>
          </w:p>
          <w:p w14:paraId="6A4CE88D">
            <w:pPr>
              <w:spacing w:line="520" w:lineRule="exac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磋商小组认为供应商的报价明显低于其他通过符合性审查供应商的报价，有可能影响服务质量或者不能诚信履约的，则磋商小组可以以网上答疑形式要求该供应商作出说明并提供相关证明材料。供应商不能合理说明或不能提供相关证明材料的，磋商小组对其商务标部分不再进行评审。</w:t>
            </w:r>
          </w:p>
          <w:p w14:paraId="2180734B">
            <w:pPr>
              <w:spacing w:line="360" w:lineRule="auto"/>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lang w:eastAsia="zh-CN"/>
              </w:rPr>
              <w:t>注：价格扣除：供应商根据《政府采购促进中小企业发展 管理办法》（财库[2020]46号）、财政部司法部《关于政府采购支持监狱企业发展有关问题的通知》（财库〔2014〕68 号）和财政部民政部中国残疾人联合会《关于促进残疾人就业政府采购政策的通知》（财库〔2017〕141 号）规定，本项目对小微企业、监狱企业、残疾人福利性企业作为供应商所提供的本企业生产的产品的价格给予20%的扣除。同一供应商（包括联合体），小微企业、监狱、残疾人福利性企业同一产品价格扣除优惠只享受一次，不得重复享受。</w:t>
            </w:r>
          </w:p>
        </w:tc>
      </w:tr>
      <w:tr w14:paraId="298BE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jc w:val="center"/>
        </w:trPr>
        <w:tc>
          <w:tcPr>
            <w:tcW w:w="1770" w:type="dxa"/>
            <w:gridSpan w:val="2"/>
            <w:tcBorders>
              <w:left w:val="single" w:color="auto" w:sz="4" w:space="0"/>
              <w:right w:val="single" w:color="auto" w:sz="4" w:space="0"/>
            </w:tcBorders>
            <w:shd w:val="clear" w:color="auto" w:fill="auto"/>
            <w:vAlign w:val="center"/>
          </w:tcPr>
          <w:p w14:paraId="79E47C43">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条款号</w:t>
            </w:r>
          </w:p>
        </w:tc>
        <w:tc>
          <w:tcPr>
            <w:tcW w:w="2059" w:type="dxa"/>
            <w:tcBorders>
              <w:top w:val="single" w:color="auto" w:sz="4" w:space="0"/>
              <w:left w:val="single" w:color="auto" w:sz="4" w:space="0"/>
              <w:bottom w:val="single" w:color="auto" w:sz="4" w:space="0"/>
              <w:right w:val="single" w:color="auto" w:sz="4" w:space="0"/>
            </w:tcBorders>
            <w:shd w:val="clear" w:color="auto" w:fill="auto"/>
            <w:vAlign w:val="center"/>
          </w:tcPr>
          <w:p w14:paraId="6FBFAADF">
            <w:pPr>
              <w:spacing w:line="276" w:lineRule="auto"/>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rPr>
              <w:t>评分因素</w:t>
            </w:r>
          </w:p>
        </w:tc>
        <w:tc>
          <w:tcPr>
            <w:tcW w:w="6977" w:type="dxa"/>
            <w:tcBorders>
              <w:top w:val="single" w:color="auto" w:sz="4" w:space="0"/>
              <w:left w:val="single" w:color="auto" w:sz="4" w:space="0"/>
              <w:bottom w:val="single" w:color="auto" w:sz="4" w:space="0"/>
              <w:right w:val="single" w:color="auto" w:sz="4" w:space="0"/>
            </w:tcBorders>
            <w:vAlign w:val="center"/>
          </w:tcPr>
          <w:p w14:paraId="7CFD9E65">
            <w:pPr>
              <w:spacing w:line="276" w:lineRule="auto"/>
              <w:jc w:val="center"/>
              <w:rPr>
                <w:rFonts w:hint="eastAsia" w:ascii="宋体" w:hAnsi="宋体" w:eastAsia="宋体" w:cs="宋体"/>
                <w:color w:val="auto"/>
                <w:spacing w:val="6"/>
                <w:sz w:val="21"/>
                <w:szCs w:val="21"/>
              </w:rPr>
            </w:pPr>
            <w:r>
              <w:rPr>
                <w:rFonts w:hint="eastAsia" w:ascii="宋体" w:hAnsi="宋体" w:eastAsia="宋体" w:cs="宋体"/>
                <w:color w:val="auto"/>
                <w:sz w:val="21"/>
                <w:szCs w:val="21"/>
              </w:rPr>
              <w:t>评分标准</w:t>
            </w:r>
          </w:p>
        </w:tc>
      </w:tr>
      <w:tr w14:paraId="7F3E2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1" w:hRule="exact"/>
          <w:jc w:val="center"/>
        </w:trPr>
        <w:tc>
          <w:tcPr>
            <w:tcW w:w="971" w:type="dxa"/>
            <w:vMerge w:val="restart"/>
            <w:tcBorders>
              <w:left w:val="single" w:color="auto" w:sz="4" w:space="0"/>
              <w:right w:val="single" w:color="auto" w:sz="4" w:space="0"/>
            </w:tcBorders>
            <w:vAlign w:val="center"/>
          </w:tcPr>
          <w:p w14:paraId="7F649F16">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2.2.3</w:t>
            </w:r>
          </w:p>
          <w:p w14:paraId="087BB31F">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(1)</w:t>
            </w:r>
          </w:p>
        </w:tc>
        <w:tc>
          <w:tcPr>
            <w:tcW w:w="799" w:type="dxa"/>
            <w:vMerge w:val="restart"/>
            <w:tcBorders>
              <w:left w:val="single" w:color="auto" w:sz="4" w:space="0"/>
              <w:right w:val="single" w:color="auto" w:sz="4" w:space="0"/>
            </w:tcBorders>
            <w:vAlign w:val="center"/>
          </w:tcPr>
          <w:p w14:paraId="4290D482">
            <w:pPr>
              <w:jc w:val="center"/>
              <w:rPr>
                <w:rFonts w:hint="eastAsia" w:ascii="宋体" w:hAnsi="宋体" w:eastAsia="宋体" w:cs="宋体"/>
                <w:color w:val="auto"/>
                <w:sz w:val="21"/>
                <w:szCs w:val="21"/>
              </w:rPr>
            </w:pPr>
            <w:r>
              <w:rPr>
                <w:rFonts w:hint="eastAsia" w:ascii="宋体" w:hAnsi="宋体" w:eastAsia="宋体" w:cs="宋体"/>
                <w:color w:val="auto"/>
                <w:sz w:val="21"/>
                <w:szCs w:val="21"/>
              </w:rPr>
              <w:t>技术</w:t>
            </w:r>
            <w:r>
              <w:rPr>
                <w:rFonts w:hint="eastAsia" w:ascii="宋体" w:hAnsi="宋体" w:eastAsia="宋体" w:cs="宋体"/>
                <w:color w:val="auto"/>
                <w:sz w:val="21"/>
                <w:szCs w:val="21"/>
                <w:lang w:val="en-US" w:eastAsia="zh-CN"/>
              </w:rPr>
              <w:t>部分</w:t>
            </w:r>
            <w:r>
              <w:rPr>
                <w:rFonts w:hint="eastAsia" w:ascii="宋体" w:hAnsi="宋体" w:eastAsia="宋体" w:cs="宋体"/>
                <w:color w:val="auto"/>
                <w:sz w:val="21"/>
                <w:szCs w:val="21"/>
              </w:rPr>
              <w:t>评分标准（0-</w:t>
            </w:r>
            <w:r>
              <w:rPr>
                <w:rFonts w:hint="eastAsia" w:ascii="宋体" w:hAnsi="宋体" w:eastAsia="宋体" w:cs="宋体"/>
                <w:color w:val="auto"/>
                <w:sz w:val="21"/>
                <w:szCs w:val="21"/>
                <w:lang w:val="en-US" w:eastAsia="zh-CN"/>
              </w:rPr>
              <w:t>58</w:t>
            </w:r>
            <w:r>
              <w:rPr>
                <w:rFonts w:hint="eastAsia" w:ascii="宋体" w:hAnsi="宋体" w:eastAsia="宋体" w:cs="宋体"/>
                <w:color w:val="auto"/>
                <w:sz w:val="21"/>
                <w:szCs w:val="21"/>
              </w:rPr>
              <w:t>分）</w:t>
            </w:r>
          </w:p>
        </w:tc>
        <w:tc>
          <w:tcPr>
            <w:tcW w:w="2059" w:type="dxa"/>
            <w:tcBorders>
              <w:top w:val="single" w:color="auto" w:sz="4" w:space="0"/>
              <w:left w:val="single" w:color="auto" w:sz="4" w:space="0"/>
              <w:bottom w:val="single" w:color="auto" w:sz="4" w:space="0"/>
              <w:right w:val="single" w:color="auto" w:sz="4" w:space="0"/>
            </w:tcBorders>
            <w:shd w:val="clear" w:color="auto" w:fill="auto"/>
            <w:vAlign w:val="center"/>
          </w:tcPr>
          <w:p w14:paraId="2A8DA7D3">
            <w:pPr>
              <w:spacing w:line="52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对项目的总体计划及服务思路（0-4分）</w:t>
            </w:r>
          </w:p>
        </w:tc>
        <w:tc>
          <w:tcPr>
            <w:tcW w:w="6977" w:type="dxa"/>
            <w:tcBorders>
              <w:top w:val="single" w:color="auto" w:sz="4" w:space="0"/>
              <w:left w:val="single" w:color="auto" w:sz="4" w:space="0"/>
              <w:bottom w:val="single" w:color="auto" w:sz="4" w:space="0"/>
              <w:right w:val="single" w:color="auto" w:sz="4" w:space="0"/>
            </w:tcBorders>
            <w:shd w:val="clear" w:color="auto" w:fill="auto"/>
            <w:vAlign w:val="center"/>
          </w:tcPr>
          <w:p w14:paraId="2FC1360A">
            <w:pPr>
              <w:spacing w:line="52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针对该项目勘察范围、勘察内容有完整的总体计划及服务思路，符合本项目实际情况进行综合评分。（总体计划及服务思路科学合理、内容完整，具有针对性的得4分；内容完整，符合采购需求的得3分；内容基本完整，具有可行性的得2分；内容不完整的得1分；未针对本项目描述的不得分。）</w:t>
            </w:r>
          </w:p>
        </w:tc>
      </w:tr>
      <w:tr w14:paraId="0552A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exact"/>
          <w:jc w:val="center"/>
        </w:trPr>
        <w:tc>
          <w:tcPr>
            <w:tcW w:w="971" w:type="dxa"/>
            <w:vMerge w:val="continue"/>
            <w:tcBorders>
              <w:left w:val="single" w:color="auto" w:sz="4" w:space="0"/>
              <w:right w:val="single" w:color="auto" w:sz="4" w:space="0"/>
            </w:tcBorders>
            <w:vAlign w:val="center"/>
          </w:tcPr>
          <w:p w14:paraId="4EB52B98">
            <w:pPr>
              <w:rPr>
                <w:rFonts w:hint="eastAsia" w:ascii="宋体" w:hAnsi="宋体" w:eastAsia="宋体" w:cs="宋体"/>
                <w:color w:val="auto"/>
                <w:sz w:val="21"/>
                <w:szCs w:val="21"/>
                <w:lang w:val="en-US" w:eastAsia="zh-CN"/>
              </w:rPr>
            </w:pPr>
          </w:p>
        </w:tc>
        <w:tc>
          <w:tcPr>
            <w:tcW w:w="799" w:type="dxa"/>
            <w:vMerge w:val="continue"/>
            <w:tcBorders>
              <w:left w:val="single" w:color="auto" w:sz="4" w:space="0"/>
              <w:right w:val="single" w:color="auto" w:sz="4" w:space="0"/>
            </w:tcBorders>
            <w:vAlign w:val="center"/>
          </w:tcPr>
          <w:p w14:paraId="517B1DDC">
            <w:pPr>
              <w:rPr>
                <w:rFonts w:hint="eastAsia" w:ascii="宋体" w:hAnsi="宋体" w:eastAsia="宋体" w:cs="宋体"/>
                <w:color w:val="auto"/>
                <w:sz w:val="21"/>
                <w:szCs w:val="21"/>
              </w:rPr>
            </w:pPr>
          </w:p>
        </w:tc>
        <w:tc>
          <w:tcPr>
            <w:tcW w:w="2059" w:type="dxa"/>
            <w:tcBorders>
              <w:top w:val="single" w:color="auto" w:sz="4" w:space="0"/>
              <w:left w:val="single" w:color="auto" w:sz="4" w:space="0"/>
              <w:bottom w:val="single" w:color="auto" w:sz="4" w:space="0"/>
              <w:right w:val="single" w:color="auto" w:sz="4" w:space="0"/>
            </w:tcBorders>
            <w:shd w:val="clear" w:color="auto" w:fill="auto"/>
            <w:vAlign w:val="center"/>
          </w:tcPr>
          <w:p w14:paraId="748BF311">
            <w:pPr>
              <w:spacing w:line="52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对本项目服务工作的重点难点分析（0-4分）</w:t>
            </w:r>
          </w:p>
        </w:tc>
        <w:tc>
          <w:tcPr>
            <w:tcW w:w="6977" w:type="dxa"/>
            <w:tcBorders>
              <w:top w:val="single" w:color="auto" w:sz="4" w:space="0"/>
              <w:left w:val="single" w:color="auto" w:sz="4" w:space="0"/>
              <w:bottom w:val="single" w:color="auto" w:sz="4" w:space="0"/>
              <w:right w:val="single" w:color="auto" w:sz="4" w:space="0"/>
            </w:tcBorders>
            <w:vAlign w:val="center"/>
          </w:tcPr>
          <w:p w14:paraId="2117A7BC">
            <w:pPr>
              <w:spacing w:line="520" w:lineRule="exact"/>
              <w:rPr>
                <w:rFonts w:hint="eastAsia" w:ascii="宋体" w:hAnsi="宋体" w:eastAsia="宋体" w:cs="宋体"/>
                <w:color w:val="auto"/>
                <w:spacing w:val="6"/>
                <w:sz w:val="21"/>
                <w:szCs w:val="21"/>
              </w:rPr>
            </w:pPr>
            <w:r>
              <w:rPr>
                <w:rFonts w:hint="eastAsia" w:ascii="宋体" w:hAnsi="宋体" w:eastAsia="宋体" w:cs="宋体"/>
                <w:color w:val="auto"/>
                <w:sz w:val="21"/>
                <w:szCs w:val="21"/>
                <w:lang w:val="en-US" w:eastAsia="zh-CN"/>
              </w:rPr>
              <w:t>针对本项目服务工作的重点难点分析，符合本项目实际情况进行综合评分。（服务工作的重点难点分析科学合理、内容完整，具有针对性的得4分；内容完整，符合采购需求的得3分；内容基本完整，具有可行性的得2分；内容不完整的得1分；未针对本项目描述的不得分。）</w:t>
            </w:r>
          </w:p>
        </w:tc>
      </w:tr>
      <w:tr w14:paraId="272D0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7" w:hRule="exact"/>
          <w:jc w:val="center"/>
        </w:trPr>
        <w:tc>
          <w:tcPr>
            <w:tcW w:w="971" w:type="dxa"/>
            <w:vMerge w:val="continue"/>
            <w:tcBorders>
              <w:left w:val="single" w:color="auto" w:sz="4" w:space="0"/>
              <w:right w:val="single" w:color="auto" w:sz="4" w:space="0"/>
            </w:tcBorders>
            <w:vAlign w:val="center"/>
          </w:tcPr>
          <w:p w14:paraId="2690F5D3">
            <w:pPr>
              <w:rPr>
                <w:rFonts w:hint="eastAsia" w:ascii="宋体" w:hAnsi="宋体" w:eastAsia="宋体" w:cs="宋体"/>
                <w:color w:val="auto"/>
                <w:sz w:val="21"/>
                <w:szCs w:val="21"/>
                <w:lang w:val="en-US" w:eastAsia="zh-CN"/>
              </w:rPr>
            </w:pPr>
          </w:p>
        </w:tc>
        <w:tc>
          <w:tcPr>
            <w:tcW w:w="799" w:type="dxa"/>
            <w:vMerge w:val="continue"/>
            <w:tcBorders>
              <w:left w:val="single" w:color="auto" w:sz="4" w:space="0"/>
              <w:right w:val="single" w:color="auto" w:sz="4" w:space="0"/>
            </w:tcBorders>
            <w:vAlign w:val="center"/>
          </w:tcPr>
          <w:p w14:paraId="454D3FFD">
            <w:pPr>
              <w:rPr>
                <w:rFonts w:hint="eastAsia" w:ascii="宋体" w:hAnsi="宋体" w:eastAsia="宋体" w:cs="宋体"/>
                <w:color w:val="auto"/>
                <w:sz w:val="21"/>
                <w:szCs w:val="21"/>
              </w:rPr>
            </w:pPr>
          </w:p>
        </w:tc>
        <w:tc>
          <w:tcPr>
            <w:tcW w:w="2059" w:type="dxa"/>
            <w:tcBorders>
              <w:top w:val="single" w:color="auto" w:sz="4" w:space="0"/>
              <w:left w:val="single" w:color="auto" w:sz="4" w:space="0"/>
              <w:bottom w:val="single" w:color="auto" w:sz="4" w:space="0"/>
              <w:right w:val="single" w:color="auto" w:sz="4" w:space="0"/>
            </w:tcBorders>
            <w:shd w:val="clear" w:color="auto" w:fill="auto"/>
            <w:vAlign w:val="center"/>
          </w:tcPr>
          <w:p w14:paraId="6529172E">
            <w:pPr>
              <w:spacing w:line="52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内部管理规章制度（0-5分）</w:t>
            </w:r>
          </w:p>
        </w:tc>
        <w:tc>
          <w:tcPr>
            <w:tcW w:w="6977" w:type="dxa"/>
            <w:tcBorders>
              <w:top w:val="single" w:color="auto" w:sz="4" w:space="0"/>
              <w:left w:val="single" w:color="auto" w:sz="4" w:space="0"/>
              <w:bottom w:val="single" w:color="auto" w:sz="4" w:space="0"/>
              <w:right w:val="single" w:color="auto" w:sz="4" w:space="0"/>
            </w:tcBorders>
            <w:vAlign w:val="center"/>
          </w:tcPr>
          <w:p w14:paraId="0AE764E1">
            <w:pPr>
              <w:spacing w:line="520" w:lineRule="exact"/>
              <w:rPr>
                <w:rFonts w:hint="eastAsia" w:ascii="宋体" w:hAnsi="宋体" w:eastAsia="宋体" w:cs="宋体"/>
                <w:color w:val="auto"/>
                <w:spacing w:val="6"/>
                <w:sz w:val="21"/>
                <w:szCs w:val="21"/>
              </w:rPr>
            </w:pPr>
            <w:r>
              <w:rPr>
                <w:rFonts w:hint="eastAsia" w:ascii="宋体" w:hAnsi="宋体" w:eastAsia="宋体" w:cs="宋体"/>
                <w:color w:val="auto"/>
                <w:sz w:val="21"/>
                <w:szCs w:val="21"/>
                <w:lang w:val="en-US" w:eastAsia="zh-CN"/>
              </w:rPr>
              <w:t>供应商提供的内部管理规章制度，符合本项目实际情况进行综合评分。（内部管理规章制度健全规范、内容完整，具有针对性的得5分；内容完整，针对性较强的得4分；内容完整，符合采购需求的得3分；基本完整，具有可行性的得2分；内容不完整的得1分；未针对本项目描述的不得分。）</w:t>
            </w:r>
          </w:p>
        </w:tc>
      </w:tr>
      <w:tr w14:paraId="60F62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4" w:hRule="exact"/>
          <w:jc w:val="center"/>
        </w:trPr>
        <w:tc>
          <w:tcPr>
            <w:tcW w:w="971" w:type="dxa"/>
            <w:vMerge w:val="continue"/>
            <w:tcBorders>
              <w:left w:val="single" w:color="auto" w:sz="4" w:space="0"/>
              <w:right w:val="single" w:color="auto" w:sz="4" w:space="0"/>
            </w:tcBorders>
            <w:vAlign w:val="center"/>
          </w:tcPr>
          <w:p w14:paraId="1D1EE18F">
            <w:pPr>
              <w:rPr>
                <w:rFonts w:hint="eastAsia" w:ascii="宋体" w:hAnsi="宋体" w:eastAsia="宋体" w:cs="宋体"/>
                <w:color w:val="auto"/>
                <w:sz w:val="21"/>
                <w:szCs w:val="21"/>
                <w:lang w:val="en-US" w:eastAsia="zh-CN"/>
              </w:rPr>
            </w:pPr>
          </w:p>
        </w:tc>
        <w:tc>
          <w:tcPr>
            <w:tcW w:w="799" w:type="dxa"/>
            <w:vMerge w:val="continue"/>
            <w:tcBorders>
              <w:left w:val="single" w:color="auto" w:sz="4" w:space="0"/>
              <w:right w:val="single" w:color="auto" w:sz="4" w:space="0"/>
            </w:tcBorders>
            <w:vAlign w:val="center"/>
          </w:tcPr>
          <w:p w14:paraId="5BFDB751">
            <w:pPr>
              <w:rPr>
                <w:rFonts w:hint="eastAsia" w:ascii="宋体" w:hAnsi="宋体" w:eastAsia="宋体" w:cs="宋体"/>
                <w:color w:val="auto"/>
                <w:sz w:val="21"/>
                <w:szCs w:val="21"/>
              </w:rPr>
            </w:pPr>
          </w:p>
        </w:tc>
        <w:tc>
          <w:tcPr>
            <w:tcW w:w="2059" w:type="dxa"/>
            <w:tcBorders>
              <w:top w:val="single" w:color="auto" w:sz="4" w:space="0"/>
              <w:left w:val="single" w:color="auto" w:sz="4" w:space="0"/>
              <w:bottom w:val="single" w:color="auto" w:sz="4" w:space="0"/>
              <w:right w:val="single" w:color="auto" w:sz="4" w:space="0"/>
            </w:tcBorders>
            <w:shd w:val="clear" w:color="auto" w:fill="auto"/>
            <w:vAlign w:val="center"/>
          </w:tcPr>
          <w:p w14:paraId="4004DD44">
            <w:pPr>
              <w:spacing w:line="52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服务方案（0-5分）</w:t>
            </w:r>
          </w:p>
        </w:tc>
        <w:tc>
          <w:tcPr>
            <w:tcW w:w="6977" w:type="dxa"/>
            <w:tcBorders>
              <w:top w:val="single" w:color="auto" w:sz="4" w:space="0"/>
              <w:left w:val="single" w:color="auto" w:sz="4" w:space="0"/>
              <w:bottom w:val="single" w:color="auto" w:sz="4" w:space="0"/>
              <w:right w:val="single" w:color="auto" w:sz="4" w:space="0"/>
            </w:tcBorders>
            <w:vAlign w:val="center"/>
          </w:tcPr>
          <w:p w14:paraId="0AC69301">
            <w:pPr>
              <w:spacing w:line="520" w:lineRule="exact"/>
              <w:rPr>
                <w:rFonts w:hint="eastAsia" w:ascii="宋体" w:hAnsi="宋体" w:eastAsia="宋体" w:cs="宋体"/>
                <w:color w:val="auto"/>
                <w:spacing w:val="6"/>
                <w:sz w:val="21"/>
                <w:szCs w:val="21"/>
              </w:rPr>
            </w:pPr>
            <w:r>
              <w:rPr>
                <w:rFonts w:hint="eastAsia" w:ascii="宋体" w:hAnsi="宋体" w:eastAsia="宋体" w:cs="宋体"/>
                <w:color w:val="auto"/>
                <w:sz w:val="21"/>
                <w:szCs w:val="21"/>
                <w:lang w:val="en-US" w:eastAsia="zh-CN"/>
              </w:rPr>
              <w:t>针对本项目的服务方案，符合本项目实际情况进行综合评分。（服务方案科学合理、内容完整，高效有序，具有针对性的得5分；内容完整，针对性较强的得4分；内容完整，符合采购需求的得3分；内容基本完整，具有可行性的得2分；内容不完整的得1分；未针对本项目描述的不得分。）</w:t>
            </w:r>
          </w:p>
        </w:tc>
      </w:tr>
      <w:tr w14:paraId="2D0E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exact"/>
          <w:jc w:val="center"/>
        </w:trPr>
        <w:tc>
          <w:tcPr>
            <w:tcW w:w="971" w:type="dxa"/>
            <w:vMerge w:val="continue"/>
            <w:tcBorders>
              <w:left w:val="single" w:color="auto" w:sz="4" w:space="0"/>
              <w:right w:val="single" w:color="auto" w:sz="4" w:space="0"/>
            </w:tcBorders>
            <w:vAlign w:val="center"/>
          </w:tcPr>
          <w:p w14:paraId="4D4C201C">
            <w:pPr>
              <w:rPr>
                <w:rFonts w:hint="eastAsia" w:ascii="宋体" w:hAnsi="宋体" w:eastAsia="宋体" w:cs="宋体"/>
                <w:color w:val="auto"/>
                <w:sz w:val="21"/>
                <w:szCs w:val="21"/>
                <w:lang w:val="en-US" w:eastAsia="zh-CN"/>
              </w:rPr>
            </w:pPr>
          </w:p>
        </w:tc>
        <w:tc>
          <w:tcPr>
            <w:tcW w:w="799" w:type="dxa"/>
            <w:vMerge w:val="continue"/>
            <w:tcBorders>
              <w:left w:val="single" w:color="auto" w:sz="4" w:space="0"/>
              <w:right w:val="single" w:color="auto" w:sz="4" w:space="0"/>
            </w:tcBorders>
            <w:vAlign w:val="center"/>
          </w:tcPr>
          <w:p w14:paraId="4E36C552">
            <w:pPr>
              <w:rPr>
                <w:rFonts w:hint="eastAsia" w:ascii="宋体" w:hAnsi="宋体" w:eastAsia="宋体" w:cs="宋体"/>
                <w:color w:val="auto"/>
                <w:sz w:val="21"/>
                <w:szCs w:val="21"/>
              </w:rPr>
            </w:pPr>
          </w:p>
        </w:tc>
        <w:tc>
          <w:tcPr>
            <w:tcW w:w="2059" w:type="dxa"/>
            <w:tcBorders>
              <w:top w:val="single" w:color="auto" w:sz="4" w:space="0"/>
              <w:left w:val="single" w:color="auto" w:sz="4" w:space="0"/>
              <w:bottom w:val="single" w:color="auto" w:sz="4" w:space="0"/>
              <w:right w:val="single" w:color="auto" w:sz="4" w:space="0"/>
            </w:tcBorders>
            <w:shd w:val="clear" w:color="auto" w:fill="auto"/>
            <w:vAlign w:val="center"/>
          </w:tcPr>
          <w:p w14:paraId="0DF95808">
            <w:pPr>
              <w:spacing w:line="52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人员配备与岗位职责（0-4分）</w:t>
            </w:r>
          </w:p>
        </w:tc>
        <w:tc>
          <w:tcPr>
            <w:tcW w:w="6977" w:type="dxa"/>
            <w:tcBorders>
              <w:top w:val="single" w:color="auto" w:sz="4" w:space="0"/>
              <w:left w:val="single" w:color="auto" w:sz="4" w:space="0"/>
              <w:bottom w:val="single" w:color="auto" w:sz="4" w:space="0"/>
              <w:right w:val="single" w:color="auto" w:sz="4" w:space="0"/>
            </w:tcBorders>
            <w:vAlign w:val="center"/>
          </w:tcPr>
          <w:p w14:paraId="59B65E32">
            <w:pPr>
              <w:spacing w:line="520" w:lineRule="exact"/>
              <w:rPr>
                <w:rFonts w:hint="eastAsia" w:ascii="宋体" w:hAnsi="宋体" w:eastAsia="宋体" w:cs="宋体"/>
                <w:color w:val="auto"/>
                <w:spacing w:val="6"/>
                <w:sz w:val="21"/>
                <w:szCs w:val="21"/>
              </w:rPr>
            </w:pPr>
            <w:r>
              <w:rPr>
                <w:rFonts w:hint="eastAsia" w:ascii="宋体" w:hAnsi="宋体" w:eastAsia="宋体" w:cs="宋体"/>
                <w:color w:val="auto"/>
                <w:sz w:val="21"/>
                <w:szCs w:val="21"/>
                <w:lang w:val="en-US" w:eastAsia="zh-CN"/>
              </w:rPr>
              <w:t>针对本项目的人员配备与岗位职责，符合本项目实际情况进行综合评分。（人员配备科学合理、岗位职责规范、内容完整，具有针对性的得4分；人员配备与岗位职责内容完整，针对性较强的得3分；人员配备满足采购需求，岗位职责健全的得2分；人员配备不完整，岗位职责简单描述的得1分；未针对本项目描述的不得分。）</w:t>
            </w:r>
          </w:p>
        </w:tc>
      </w:tr>
      <w:tr w14:paraId="4BA26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exact"/>
          <w:jc w:val="center"/>
        </w:trPr>
        <w:tc>
          <w:tcPr>
            <w:tcW w:w="971" w:type="dxa"/>
            <w:vMerge w:val="continue"/>
            <w:tcBorders>
              <w:left w:val="single" w:color="auto" w:sz="4" w:space="0"/>
              <w:right w:val="single" w:color="auto" w:sz="4" w:space="0"/>
            </w:tcBorders>
            <w:vAlign w:val="center"/>
          </w:tcPr>
          <w:p w14:paraId="37FD815F">
            <w:pPr>
              <w:rPr>
                <w:rFonts w:hint="eastAsia" w:ascii="宋体" w:hAnsi="宋体" w:eastAsia="宋体" w:cs="宋体"/>
                <w:color w:val="auto"/>
                <w:sz w:val="21"/>
                <w:szCs w:val="21"/>
                <w:lang w:val="en-US" w:eastAsia="zh-CN"/>
              </w:rPr>
            </w:pPr>
          </w:p>
        </w:tc>
        <w:tc>
          <w:tcPr>
            <w:tcW w:w="799" w:type="dxa"/>
            <w:vMerge w:val="continue"/>
            <w:tcBorders>
              <w:left w:val="single" w:color="auto" w:sz="4" w:space="0"/>
              <w:right w:val="single" w:color="auto" w:sz="4" w:space="0"/>
            </w:tcBorders>
            <w:vAlign w:val="center"/>
          </w:tcPr>
          <w:p w14:paraId="7DC526B8">
            <w:pPr>
              <w:rPr>
                <w:rFonts w:hint="eastAsia" w:ascii="宋体" w:hAnsi="宋体" w:eastAsia="宋体" w:cs="宋体"/>
                <w:color w:val="auto"/>
                <w:sz w:val="21"/>
                <w:szCs w:val="21"/>
              </w:rPr>
            </w:pPr>
          </w:p>
        </w:tc>
        <w:tc>
          <w:tcPr>
            <w:tcW w:w="2059" w:type="dxa"/>
            <w:tcBorders>
              <w:top w:val="single" w:color="auto" w:sz="4" w:space="0"/>
              <w:left w:val="single" w:color="auto" w:sz="4" w:space="0"/>
              <w:bottom w:val="single" w:color="auto" w:sz="4" w:space="0"/>
              <w:right w:val="single" w:color="auto" w:sz="4" w:space="0"/>
            </w:tcBorders>
            <w:shd w:val="clear" w:color="auto" w:fill="auto"/>
            <w:vAlign w:val="center"/>
          </w:tcPr>
          <w:p w14:paraId="45825436">
            <w:pPr>
              <w:spacing w:line="52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配备服务必备的器材、设备（0-4分）</w:t>
            </w:r>
          </w:p>
        </w:tc>
        <w:tc>
          <w:tcPr>
            <w:tcW w:w="6977" w:type="dxa"/>
            <w:tcBorders>
              <w:top w:val="single" w:color="auto" w:sz="4" w:space="0"/>
              <w:left w:val="single" w:color="auto" w:sz="4" w:space="0"/>
              <w:bottom w:val="single" w:color="auto" w:sz="4" w:space="0"/>
              <w:right w:val="single" w:color="auto" w:sz="4" w:space="0"/>
            </w:tcBorders>
            <w:vAlign w:val="center"/>
          </w:tcPr>
          <w:p w14:paraId="3CE8B9A3">
            <w:pPr>
              <w:spacing w:line="520" w:lineRule="exact"/>
              <w:rPr>
                <w:rFonts w:hint="eastAsia" w:ascii="宋体" w:hAnsi="宋体" w:eastAsia="宋体" w:cs="宋体"/>
                <w:color w:val="auto"/>
                <w:spacing w:val="6"/>
                <w:sz w:val="21"/>
                <w:szCs w:val="21"/>
              </w:rPr>
            </w:pPr>
            <w:r>
              <w:rPr>
                <w:rFonts w:hint="eastAsia" w:ascii="宋体" w:hAnsi="宋体" w:eastAsia="宋体" w:cs="宋体"/>
                <w:color w:val="auto"/>
                <w:sz w:val="21"/>
                <w:szCs w:val="21"/>
                <w:lang w:val="en-US" w:eastAsia="zh-CN"/>
              </w:rPr>
              <w:t>供应商配备勘察服务必备的器材、设备，符合本项目实际情况进行综合评分。（配备勘察服务必备的器材、设备的数量、种类充分齐全，满足勘察服务需求的得4分；数量、种类完整全面的得3分；数量、种类齐全的得3分；数量、种类基本齐全的得2分；数量、种类不齐全的得1分；未针对本项目描述的不得分。）</w:t>
            </w:r>
          </w:p>
        </w:tc>
      </w:tr>
      <w:tr w14:paraId="66BFD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4" w:hRule="exact"/>
          <w:jc w:val="center"/>
        </w:trPr>
        <w:tc>
          <w:tcPr>
            <w:tcW w:w="971" w:type="dxa"/>
            <w:vMerge w:val="continue"/>
            <w:tcBorders>
              <w:left w:val="single" w:color="auto" w:sz="4" w:space="0"/>
              <w:right w:val="single" w:color="auto" w:sz="4" w:space="0"/>
            </w:tcBorders>
            <w:vAlign w:val="center"/>
          </w:tcPr>
          <w:p w14:paraId="57880C17">
            <w:pPr>
              <w:rPr>
                <w:rFonts w:hint="eastAsia" w:ascii="宋体" w:hAnsi="宋体" w:eastAsia="宋体" w:cs="宋体"/>
                <w:color w:val="auto"/>
                <w:sz w:val="21"/>
                <w:szCs w:val="21"/>
                <w:lang w:val="en-US" w:eastAsia="zh-CN"/>
              </w:rPr>
            </w:pPr>
          </w:p>
        </w:tc>
        <w:tc>
          <w:tcPr>
            <w:tcW w:w="799" w:type="dxa"/>
            <w:vMerge w:val="continue"/>
            <w:tcBorders>
              <w:left w:val="single" w:color="auto" w:sz="4" w:space="0"/>
              <w:right w:val="single" w:color="auto" w:sz="4" w:space="0"/>
            </w:tcBorders>
            <w:vAlign w:val="center"/>
          </w:tcPr>
          <w:p w14:paraId="1B20A2EB">
            <w:pPr>
              <w:rPr>
                <w:rFonts w:hint="eastAsia" w:ascii="宋体" w:hAnsi="宋体" w:eastAsia="宋体" w:cs="宋体"/>
                <w:color w:val="auto"/>
                <w:sz w:val="21"/>
                <w:szCs w:val="21"/>
              </w:rPr>
            </w:pPr>
          </w:p>
        </w:tc>
        <w:tc>
          <w:tcPr>
            <w:tcW w:w="2059" w:type="dxa"/>
            <w:tcBorders>
              <w:top w:val="single" w:color="auto" w:sz="4" w:space="0"/>
              <w:left w:val="single" w:color="auto" w:sz="4" w:space="0"/>
              <w:bottom w:val="single" w:color="auto" w:sz="4" w:space="0"/>
              <w:right w:val="single" w:color="auto" w:sz="4" w:space="0"/>
            </w:tcBorders>
            <w:shd w:val="clear" w:color="auto" w:fill="auto"/>
            <w:vAlign w:val="center"/>
          </w:tcPr>
          <w:p w14:paraId="6D8DE1EC">
            <w:pPr>
              <w:spacing w:line="52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勘察质量、环境保护、进度等保证措施（0-6分）</w:t>
            </w:r>
          </w:p>
        </w:tc>
        <w:tc>
          <w:tcPr>
            <w:tcW w:w="6977" w:type="dxa"/>
            <w:tcBorders>
              <w:top w:val="single" w:color="auto" w:sz="4" w:space="0"/>
              <w:left w:val="single" w:color="auto" w:sz="4" w:space="0"/>
              <w:bottom w:val="single" w:color="auto" w:sz="4" w:space="0"/>
              <w:right w:val="single" w:color="auto" w:sz="4" w:space="0"/>
            </w:tcBorders>
            <w:vAlign w:val="center"/>
          </w:tcPr>
          <w:p w14:paraId="01BC85C2">
            <w:pPr>
              <w:spacing w:line="520" w:lineRule="exact"/>
              <w:rPr>
                <w:rFonts w:hint="eastAsia" w:ascii="宋体" w:hAnsi="宋体" w:eastAsia="宋体" w:cs="宋体"/>
                <w:color w:val="auto"/>
                <w:spacing w:val="6"/>
                <w:sz w:val="21"/>
                <w:szCs w:val="21"/>
              </w:rPr>
            </w:pPr>
            <w:r>
              <w:rPr>
                <w:rFonts w:hint="eastAsia" w:ascii="宋体" w:hAnsi="宋体" w:eastAsia="宋体" w:cs="宋体"/>
                <w:color w:val="auto"/>
                <w:sz w:val="21"/>
                <w:szCs w:val="21"/>
                <w:lang w:val="en-US" w:eastAsia="zh-CN"/>
              </w:rPr>
              <w:t>根据供应商对本项目勘察质量、环境保护、进度等保证措施方案的先进性、合理性进行综合评分。（内容完整，切实可行，具有针对性的得6分；内容完整，切实可行，针对性较强的得5分；内容基本完整，针对性一般的得4分；内容基本完整的得3分；内容不完整的得2分；简单描述的得1分；未针对本项目描述的不得分。）</w:t>
            </w:r>
          </w:p>
        </w:tc>
      </w:tr>
      <w:tr w14:paraId="7195A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exact"/>
          <w:jc w:val="center"/>
        </w:trPr>
        <w:tc>
          <w:tcPr>
            <w:tcW w:w="971" w:type="dxa"/>
            <w:vMerge w:val="continue"/>
            <w:tcBorders>
              <w:left w:val="single" w:color="auto" w:sz="4" w:space="0"/>
              <w:right w:val="single" w:color="auto" w:sz="4" w:space="0"/>
            </w:tcBorders>
            <w:vAlign w:val="center"/>
          </w:tcPr>
          <w:p w14:paraId="5D2C0918">
            <w:pPr>
              <w:rPr>
                <w:rFonts w:hint="eastAsia" w:ascii="宋体" w:hAnsi="宋体" w:eastAsia="宋体" w:cs="宋体"/>
                <w:color w:val="auto"/>
                <w:sz w:val="21"/>
                <w:szCs w:val="21"/>
                <w:lang w:val="en-US" w:eastAsia="zh-CN"/>
              </w:rPr>
            </w:pPr>
          </w:p>
        </w:tc>
        <w:tc>
          <w:tcPr>
            <w:tcW w:w="799" w:type="dxa"/>
            <w:vMerge w:val="continue"/>
            <w:tcBorders>
              <w:left w:val="single" w:color="auto" w:sz="4" w:space="0"/>
              <w:right w:val="single" w:color="auto" w:sz="4" w:space="0"/>
            </w:tcBorders>
            <w:vAlign w:val="center"/>
          </w:tcPr>
          <w:p w14:paraId="09168DEF">
            <w:pPr>
              <w:rPr>
                <w:rFonts w:hint="eastAsia" w:ascii="宋体" w:hAnsi="宋体" w:eastAsia="宋体" w:cs="宋体"/>
                <w:color w:val="auto"/>
                <w:sz w:val="21"/>
                <w:szCs w:val="21"/>
              </w:rPr>
            </w:pPr>
          </w:p>
        </w:tc>
        <w:tc>
          <w:tcPr>
            <w:tcW w:w="2059" w:type="dxa"/>
            <w:tcBorders>
              <w:top w:val="single" w:color="auto" w:sz="4" w:space="0"/>
              <w:left w:val="single" w:color="auto" w:sz="4" w:space="0"/>
              <w:bottom w:val="single" w:color="auto" w:sz="4" w:space="0"/>
              <w:right w:val="single" w:color="auto" w:sz="4" w:space="0"/>
            </w:tcBorders>
            <w:shd w:val="clear" w:color="auto" w:fill="auto"/>
            <w:vAlign w:val="center"/>
          </w:tcPr>
          <w:p w14:paraId="0618E983">
            <w:pPr>
              <w:spacing w:line="52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紧急事件的应急处理措施（0-4分）</w:t>
            </w:r>
          </w:p>
        </w:tc>
        <w:tc>
          <w:tcPr>
            <w:tcW w:w="6977" w:type="dxa"/>
            <w:tcBorders>
              <w:top w:val="single" w:color="auto" w:sz="4" w:space="0"/>
              <w:left w:val="single" w:color="auto" w:sz="4" w:space="0"/>
              <w:bottom w:val="single" w:color="auto" w:sz="4" w:space="0"/>
              <w:right w:val="single" w:color="auto" w:sz="4" w:space="0"/>
            </w:tcBorders>
            <w:vAlign w:val="center"/>
          </w:tcPr>
          <w:p w14:paraId="38C0A125">
            <w:pPr>
              <w:spacing w:line="520" w:lineRule="exact"/>
              <w:rPr>
                <w:rFonts w:hint="eastAsia" w:ascii="宋体" w:hAnsi="宋体" w:eastAsia="宋体" w:cs="宋体"/>
                <w:color w:val="auto"/>
                <w:spacing w:val="6"/>
                <w:sz w:val="21"/>
                <w:szCs w:val="21"/>
              </w:rPr>
            </w:pPr>
            <w:r>
              <w:rPr>
                <w:rFonts w:hint="eastAsia" w:ascii="宋体" w:hAnsi="宋体" w:eastAsia="宋体" w:cs="宋体"/>
                <w:color w:val="auto"/>
                <w:sz w:val="21"/>
                <w:szCs w:val="21"/>
                <w:lang w:val="en-US" w:eastAsia="zh-CN"/>
              </w:rPr>
              <w:t>针对紧急事件的应急处理措施的完善性、可行性综合比较。（应急处理措施方案内容详实、操作性强、具有针对性的的得4分；内容完整、方案合理的得3分；内容基本完整，具有可行性的得2分；内容不完整得得1分；未针对本项目描述的不得分。）</w:t>
            </w:r>
          </w:p>
        </w:tc>
      </w:tr>
      <w:tr w14:paraId="40B32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8" w:hRule="exact"/>
          <w:jc w:val="center"/>
        </w:trPr>
        <w:tc>
          <w:tcPr>
            <w:tcW w:w="971" w:type="dxa"/>
            <w:vMerge w:val="continue"/>
            <w:tcBorders>
              <w:left w:val="single" w:color="auto" w:sz="4" w:space="0"/>
              <w:right w:val="single" w:color="auto" w:sz="4" w:space="0"/>
            </w:tcBorders>
            <w:vAlign w:val="center"/>
          </w:tcPr>
          <w:p w14:paraId="7F6CE572">
            <w:pPr>
              <w:rPr>
                <w:rFonts w:hint="eastAsia" w:ascii="宋体" w:hAnsi="宋体" w:eastAsia="宋体" w:cs="宋体"/>
                <w:color w:val="auto"/>
                <w:sz w:val="21"/>
                <w:szCs w:val="21"/>
                <w:lang w:val="en-US" w:eastAsia="zh-CN"/>
              </w:rPr>
            </w:pPr>
          </w:p>
        </w:tc>
        <w:tc>
          <w:tcPr>
            <w:tcW w:w="799" w:type="dxa"/>
            <w:vMerge w:val="continue"/>
            <w:tcBorders>
              <w:left w:val="single" w:color="auto" w:sz="4" w:space="0"/>
              <w:right w:val="single" w:color="auto" w:sz="4" w:space="0"/>
            </w:tcBorders>
            <w:vAlign w:val="center"/>
          </w:tcPr>
          <w:p w14:paraId="21BCBE7D">
            <w:pPr>
              <w:rPr>
                <w:rFonts w:hint="eastAsia" w:ascii="宋体" w:hAnsi="宋体" w:eastAsia="宋体" w:cs="宋体"/>
                <w:color w:val="auto"/>
                <w:sz w:val="21"/>
                <w:szCs w:val="21"/>
              </w:rPr>
            </w:pPr>
          </w:p>
        </w:tc>
        <w:tc>
          <w:tcPr>
            <w:tcW w:w="2059" w:type="dxa"/>
            <w:tcBorders>
              <w:top w:val="single" w:color="auto" w:sz="4" w:space="0"/>
              <w:left w:val="single" w:color="auto" w:sz="4" w:space="0"/>
              <w:bottom w:val="single" w:color="auto" w:sz="4" w:space="0"/>
              <w:right w:val="single" w:color="auto" w:sz="4" w:space="0"/>
            </w:tcBorders>
            <w:shd w:val="clear" w:color="auto" w:fill="auto"/>
            <w:vAlign w:val="center"/>
          </w:tcPr>
          <w:p w14:paraId="08DDCE76">
            <w:pPr>
              <w:spacing w:line="52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勘察安全保证措施（0-6分）</w:t>
            </w:r>
          </w:p>
        </w:tc>
        <w:tc>
          <w:tcPr>
            <w:tcW w:w="6977" w:type="dxa"/>
            <w:tcBorders>
              <w:top w:val="single" w:color="auto" w:sz="4" w:space="0"/>
              <w:left w:val="single" w:color="auto" w:sz="4" w:space="0"/>
              <w:bottom w:val="single" w:color="auto" w:sz="4" w:space="0"/>
              <w:right w:val="single" w:color="auto" w:sz="4" w:space="0"/>
            </w:tcBorders>
            <w:vAlign w:val="center"/>
          </w:tcPr>
          <w:p w14:paraId="7B410A20">
            <w:pPr>
              <w:spacing w:line="520" w:lineRule="exact"/>
              <w:rPr>
                <w:rFonts w:hint="eastAsia" w:ascii="宋体" w:hAnsi="宋体" w:eastAsia="宋体" w:cs="宋体"/>
                <w:color w:val="auto"/>
                <w:spacing w:val="6"/>
                <w:sz w:val="21"/>
                <w:szCs w:val="21"/>
              </w:rPr>
            </w:pPr>
            <w:r>
              <w:rPr>
                <w:rFonts w:hint="eastAsia" w:ascii="宋体" w:hAnsi="宋体" w:eastAsia="宋体" w:cs="宋体"/>
                <w:color w:val="auto"/>
                <w:sz w:val="21"/>
                <w:szCs w:val="21"/>
                <w:lang w:val="en-US" w:eastAsia="zh-CN"/>
              </w:rPr>
              <w:t>根据供应商对本项目勘察安全保证措施，符合工程实际情况进行综合评分。（内容完整，切实可行，具有针对性的得6分；内容完整，切实可行，针对性较强的得5分；内容基本完整，针对性一般的得4分；内容基本完整的得3分；内容不完整的得2分；简单描述的得1分；未针对本项目描述的不得分。）</w:t>
            </w:r>
          </w:p>
        </w:tc>
      </w:tr>
      <w:tr w14:paraId="5A9DE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exact"/>
          <w:jc w:val="center"/>
        </w:trPr>
        <w:tc>
          <w:tcPr>
            <w:tcW w:w="971" w:type="dxa"/>
            <w:vMerge w:val="continue"/>
            <w:tcBorders>
              <w:left w:val="single" w:color="auto" w:sz="4" w:space="0"/>
              <w:right w:val="single" w:color="auto" w:sz="4" w:space="0"/>
            </w:tcBorders>
            <w:vAlign w:val="center"/>
          </w:tcPr>
          <w:p w14:paraId="10C495C4">
            <w:pPr>
              <w:rPr>
                <w:rFonts w:hint="eastAsia" w:ascii="宋体" w:hAnsi="宋体" w:eastAsia="宋体" w:cs="宋体"/>
                <w:color w:val="auto"/>
                <w:sz w:val="21"/>
                <w:szCs w:val="21"/>
                <w:lang w:val="en-US" w:eastAsia="zh-CN"/>
              </w:rPr>
            </w:pPr>
          </w:p>
        </w:tc>
        <w:tc>
          <w:tcPr>
            <w:tcW w:w="799" w:type="dxa"/>
            <w:vMerge w:val="continue"/>
            <w:tcBorders>
              <w:left w:val="single" w:color="auto" w:sz="4" w:space="0"/>
              <w:right w:val="single" w:color="auto" w:sz="4" w:space="0"/>
            </w:tcBorders>
            <w:vAlign w:val="center"/>
          </w:tcPr>
          <w:p w14:paraId="69771F7F">
            <w:pPr>
              <w:rPr>
                <w:rFonts w:hint="eastAsia" w:ascii="宋体" w:hAnsi="宋体" w:eastAsia="宋体" w:cs="宋体"/>
                <w:color w:val="auto"/>
                <w:sz w:val="21"/>
                <w:szCs w:val="21"/>
              </w:rPr>
            </w:pPr>
          </w:p>
        </w:tc>
        <w:tc>
          <w:tcPr>
            <w:tcW w:w="2059" w:type="dxa"/>
            <w:tcBorders>
              <w:top w:val="single" w:color="auto" w:sz="4" w:space="0"/>
              <w:left w:val="single" w:color="auto" w:sz="4" w:space="0"/>
              <w:bottom w:val="single" w:color="auto" w:sz="4" w:space="0"/>
              <w:right w:val="single" w:color="auto" w:sz="4" w:space="0"/>
            </w:tcBorders>
            <w:shd w:val="clear" w:color="auto" w:fill="auto"/>
            <w:vAlign w:val="center"/>
          </w:tcPr>
          <w:p w14:paraId="48190AFD">
            <w:pPr>
              <w:spacing w:line="52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与采购人的配合措施（0-6分）</w:t>
            </w:r>
          </w:p>
        </w:tc>
        <w:tc>
          <w:tcPr>
            <w:tcW w:w="6977" w:type="dxa"/>
            <w:tcBorders>
              <w:top w:val="single" w:color="auto" w:sz="4" w:space="0"/>
              <w:left w:val="single" w:color="auto" w:sz="4" w:space="0"/>
              <w:bottom w:val="single" w:color="auto" w:sz="4" w:space="0"/>
              <w:right w:val="single" w:color="auto" w:sz="4" w:space="0"/>
            </w:tcBorders>
            <w:vAlign w:val="center"/>
          </w:tcPr>
          <w:p w14:paraId="1068189C">
            <w:pPr>
              <w:spacing w:line="520" w:lineRule="exact"/>
              <w:rPr>
                <w:rFonts w:hint="eastAsia" w:ascii="宋体" w:hAnsi="宋体" w:eastAsia="宋体" w:cs="宋体"/>
                <w:color w:val="auto"/>
                <w:spacing w:val="6"/>
                <w:sz w:val="21"/>
                <w:szCs w:val="21"/>
              </w:rPr>
            </w:pPr>
            <w:r>
              <w:rPr>
                <w:rFonts w:hint="eastAsia" w:ascii="宋体" w:hAnsi="宋体" w:eastAsia="宋体" w:cs="宋体"/>
                <w:color w:val="auto"/>
                <w:sz w:val="21"/>
                <w:szCs w:val="21"/>
                <w:lang w:val="en-US" w:eastAsia="zh-CN"/>
              </w:rPr>
              <w:t>根据供应商与采购人的配合措施的科学合理、全面周到性进行打分。（科学合理、内容完整，具有针对性的得6分；内容完整，针对性较强的得5分；内容基本完整，具有可行性的得4分；内容基本完整，可行性一般的得3分；内容不完整的得2分；简单描述的得1分；未针对本项目描述的不得分。）</w:t>
            </w:r>
          </w:p>
        </w:tc>
      </w:tr>
      <w:tr w14:paraId="51FFF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exact"/>
          <w:jc w:val="center"/>
        </w:trPr>
        <w:tc>
          <w:tcPr>
            <w:tcW w:w="971" w:type="dxa"/>
            <w:vMerge w:val="continue"/>
            <w:tcBorders>
              <w:left w:val="single" w:color="auto" w:sz="4" w:space="0"/>
              <w:right w:val="single" w:color="auto" w:sz="4" w:space="0"/>
            </w:tcBorders>
            <w:vAlign w:val="center"/>
          </w:tcPr>
          <w:p w14:paraId="647D8AD2">
            <w:pPr>
              <w:rPr>
                <w:rFonts w:hint="eastAsia" w:ascii="宋体" w:hAnsi="宋体" w:eastAsia="宋体" w:cs="宋体"/>
                <w:color w:val="auto"/>
                <w:sz w:val="21"/>
                <w:szCs w:val="21"/>
                <w:lang w:val="en-US" w:eastAsia="zh-CN"/>
              </w:rPr>
            </w:pPr>
          </w:p>
        </w:tc>
        <w:tc>
          <w:tcPr>
            <w:tcW w:w="799" w:type="dxa"/>
            <w:vMerge w:val="continue"/>
            <w:tcBorders>
              <w:left w:val="single" w:color="auto" w:sz="4" w:space="0"/>
              <w:right w:val="single" w:color="auto" w:sz="4" w:space="0"/>
            </w:tcBorders>
            <w:vAlign w:val="center"/>
          </w:tcPr>
          <w:p w14:paraId="0DAA676E">
            <w:pPr>
              <w:rPr>
                <w:rFonts w:hint="eastAsia" w:ascii="宋体" w:hAnsi="宋体" w:eastAsia="宋体" w:cs="宋体"/>
                <w:color w:val="auto"/>
                <w:sz w:val="21"/>
                <w:szCs w:val="21"/>
              </w:rPr>
            </w:pPr>
          </w:p>
        </w:tc>
        <w:tc>
          <w:tcPr>
            <w:tcW w:w="2059" w:type="dxa"/>
            <w:tcBorders>
              <w:top w:val="single" w:color="auto" w:sz="4" w:space="0"/>
              <w:left w:val="single" w:color="auto" w:sz="4" w:space="0"/>
              <w:bottom w:val="single" w:color="auto" w:sz="4" w:space="0"/>
              <w:right w:val="single" w:color="auto" w:sz="4" w:space="0"/>
            </w:tcBorders>
            <w:shd w:val="clear" w:color="auto" w:fill="auto"/>
            <w:vAlign w:val="center"/>
          </w:tcPr>
          <w:p w14:paraId="29546051">
            <w:pPr>
              <w:spacing w:line="520" w:lineRule="exac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勘察设备（0-4分）</w:t>
            </w:r>
          </w:p>
        </w:tc>
        <w:tc>
          <w:tcPr>
            <w:tcW w:w="6977" w:type="dxa"/>
            <w:tcBorders>
              <w:top w:val="single" w:color="auto" w:sz="4" w:space="0"/>
              <w:left w:val="single" w:color="auto" w:sz="4" w:space="0"/>
              <w:bottom w:val="single" w:color="auto" w:sz="4" w:space="0"/>
              <w:right w:val="single" w:color="auto" w:sz="4" w:space="0"/>
            </w:tcBorders>
            <w:vAlign w:val="center"/>
          </w:tcPr>
          <w:p w14:paraId="21A63DBD">
            <w:pPr>
              <w:spacing w:line="520" w:lineRule="exact"/>
              <w:rPr>
                <w:rFonts w:hint="eastAsia" w:ascii="宋体" w:hAnsi="宋体" w:eastAsia="宋体" w:cs="宋体"/>
                <w:color w:val="auto"/>
                <w:spacing w:val="6"/>
                <w:sz w:val="21"/>
                <w:szCs w:val="21"/>
              </w:rPr>
            </w:pPr>
            <w:r>
              <w:rPr>
                <w:rFonts w:hint="eastAsia" w:ascii="宋体" w:hAnsi="宋体" w:eastAsia="宋体" w:cs="宋体"/>
                <w:color w:val="auto"/>
                <w:sz w:val="21"/>
                <w:szCs w:val="21"/>
                <w:lang w:val="en-US" w:eastAsia="zh-CN"/>
              </w:rPr>
              <w:t>供应商具备提供勘察服务相关设备，每提供一台的得1分，最多的得4分。注：须在响应文件中附勘察设备相关证明材料的扫描件，未提供的不得分。</w:t>
            </w:r>
          </w:p>
        </w:tc>
      </w:tr>
      <w:tr w14:paraId="6FF67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exact"/>
          <w:jc w:val="center"/>
        </w:trPr>
        <w:tc>
          <w:tcPr>
            <w:tcW w:w="971" w:type="dxa"/>
            <w:vMerge w:val="continue"/>
            <w:tcBorders>
              <w:left w:val="single" w:color="auto" w:sz="4" w:space="0"/>
              <w:right w:val="single" w:color="auto" w:sz="4" w:space="0"/>
            </w:tcBorders>
            <w:vAlign w:val="center"/>
          </w:tcPr>
          <w:p w14:paraId="75E450A8">
            <w:pPr>
              <w:rPr>
                <w:rFonts w:hint="eastAsia" w:ascii="宋体" w:hAnsi="宋体" w:eastAsia="宋体" w:cs="宋体"/>
                <w:color w:val="auto"/>
                <w:sz w:val="21"/>
                <w:szCs w:val="21"/>
                <w:lang w:val="en-US" w:eastAsia="zh-CN"/>
              </w:rPr>
            </w:pPr>
          </w:p>
        </w:tc>
        <w:tc>
          <w:tcPr>
            <w:tcW w:w="799" w:type="dxa"/>
            <w:vMerge w:val="continue"/>
            <w:tcBorders>
              <w:left w:val="single" w:color="auto" w:sz="4" w:space="0"/>
              <w:right w:val="single" w:color="auto" w:sz="4" w:space="0"/>
            </w:tcBorders>
            <w:vAlign w:val="center"/>
          </w:tcPr>
          <w:p w14:paraId="0F26800B">
            <w:pPr>
              <w:rPr>
                <w:rFonts w:hint="eastAsia" w:ascii="宋体" w:hAnsi="宋体" w:eastAsia="宋体" w:cs="宋体"/>
                <w:color w:val="auto"/>
                <w:sz w:val="21"/>
                <w:szCs w:val="21"/>
              </w:rPr>
            </w:pPr>
          </w:p>
        </w:tc>
        <w:tc>
          <w:tcPr>
            <w:tcW w:w="2059" w:type="dxa"/>
            <w:tcBorders>
              <w:top w:val="single" w:color="auto" w:sz="4" w:space="0"/>
              <w:left w:val="single" w:color="auto" w:sz="4" w:space="0"/>
              <w:bottom w:val="single" w:color="auto" w:sz="4" w:space="0"/>
              <w:right w:val="single" w:color="auto" w:sz="4" w:space="0"/>
            </w:tcBorders>
            <w:shd w:val="clear" w:color="auto" w:fill="auto"/>
            <w:vAlign w:val="center"/>
          </w:tcPr>
          <w:p w14:paraId="380F5F88">
            <w:pPr>
              <w:spacing w:line="52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勘察的合理化建议（0-3分）</w:t>
            </w:r>
          </w:p>
        </w:tc>
        <w:tc>
          <w:tcPr>
            <w:tcW w:w="6977" w:type="dxa"/>
            <w:tcBorders>
              <w:top w:val="single" w:color="auto" w:sz="4" w:space="0"/>
              <w:left w:val="single" w:color="auto" w:sz="4" w:space="0"/>
              <w:bottom w:val="single" w:color="auto" w:sz="4" w:space="0"/>
              <w:right w:val="single" w:color="auto" w:sz="4" w:space="0"/>
            </w:tcBorders>
            <w:shd w:val="clear" w:color="auto" w:fill="auto"/>
            <w:vAlign w:val="center"/>
          </w:tcPr>
          <w:p w14:paraId="498F2C57">
            <w:pPr>
              <w:spacing w:line="52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根据供应商对本项目的合理化建议。（内容完整，切实可行，具有针对性的得3分；内容不完整的得2分；简单描述的得1分；未针对本项目描述的不得分。）</w:t>
            </w:r>
          </w:p>
        </w:tc>
      </w:tr>
      <w:tr w14:paraId="60BF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6" w:hRule="exact"/>
          <w:jc w:val="center"/>
        </w:trPr>
        <w:tc>
          <w:tcPr>
            <w:tcW w:w="971" w:type="dxa"/>
            <w:vMerge w:val="continue"/>
            <w:tcBorders>
              <w:left w:val="single" w:color="auto" w:sz="4" w:space="0"/>
              <w:right w:val="single" w:color="auto" w:sz="4" w:space="0"/>
            </w:tcBorders>
            <w:vAlign w:val="center"/>
          </w:tcPr>
          <w:p w14:paraId="32D0C740">
            <w:pPr>
              <w:rPr>
                <w:rFonts w:hint="eastAsia" w:ascii="宋体" w:hAnsi="宋体" w:eastAsia="宋体" w:cs="宋体"/>
                <w:color w:val="auto"/>
                <w:sz w:val="21"/>
                <w:szCs w:val="21"/>
                <w:lang w:val="en-US" w:eastAsia="zh-CN"/>
              </w:rPr>
            </w:pPr>
          </w:p>
        </w:tc>
        <w:tc>
          <w:tcPr>
            <w:tcW w:w="799" w:type="dxa"/>
            <w:vMerge w:val="continue"/>
            <w:tcBorders>
              <w:left w:val="single" w:color="auto" w:sz="4" w:space="0"/>
              <w:right w:val="single" w:color="auto" w:sz="4" w:space="0"/>
            </w:tcBorders>
            <w:vAlign w:val="center"/>
          </w:tcPr>
          <w:p w14:paraId="61E93405">
            <w:pPr>
              <w:rPr>
                <w:rFonts w:hint="eastAsia" w:ascii="宋体" w:hAnsi="宋体" w:eastAsia="宋体" w:cs="宋体"/>
                <w:color w:val="auto"/>
                <w:sz w:val="21"/>
                <w:szCs w:val="21"/>
              </w:rPr>
            </w:pPr>
          </w:p>
        </w:tc>
        <w:tc>
          <w:tcPr>
            <w:tcW w:w="2059" w:type="dxa"/>
            <w:tcBorders>
              <w:top w:val="single" w:color="auto" w:sz="4" w:space="0"/>
              <w:left w:val="single" w:color="auto" w:sz="4" w:space="0"/>
              <w:bottom w:val="single" w:color="auto" w:sz="4" w:space="0"/>
              <w:right w:val="single" w:color="auto" w:sz="4" w:space="0"/>
            </w:tcBorders>
            <w:shd w:val="clear" w:color="auto" w:fill="auto"/>
            <w:vAlign w:val="center"/>
          </w:tcPr>
          <w:p w14:paraId="0D9DB3AF">
            <w:pPr>
              <w:spacing w:line="52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服务承诺及优惠条件（0-3分）</w:t>
            </w:r>
          </w:p>
        </w:tc>
        <w:tc>
          <w:tcPr>
            <w:tcW w:w="6977" w:type="dxa"/>
            <w:tcBorders>
              <w:top w:val="single" w:color="auto" w:sz="4" w:space="0"/>
              <w:left w:val="single" w:color="auto" w:sz="4" w:space="0"/>
              <w:bottom w:val="single" w:color="auto" w:sz="4" w:space="0"/>
              <w:right w:val="single" w:color="auto" w:sz="4" w:space="0"/>
            </w:tcBorders>
            <w:shd w:val="clear" w:color="auto" w:fill="auto"/>
            <w:vAlign w:val="center"/>
          </w:tcPr>
          <w:p w14:paraId="176C0DBD">
            <w:pPr>
              <w:spacing w:line="52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根据供应商全面、详实、可行、合法有效的保证技术措施及落实到位的承诺得1分，未承诺不得分；（2）根据各关键岗位人员的在岗、更换等履职尽责承诺得1分，未承诺不得分；（3）针对本项目供应商做出的服务承诺及实质性优惠条件横向比较进行评价1分，未承诺不得分。</w:t>
            </w:r>
          </w:p>
        </w:tc>
      </w:tr>
      <w:tr w14:paraId="6BCA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971" w:type="dxa"/>
            <w:vMerge w:val="continue"/>
            <w:tcBorders>
              <w:left w:val="single" w:color="auto" w:sz="4" w:space="0"/>
              <w:right w:val="single" w:color="auto" w:sz="4" w:space="0"/>
            </w:tcBorders>
            <w:vAlign w:val="center"/>
          </w:tcPr>
          <w:p w14:paraId="4228CF3D">
            <w:pPr>
              <w:rPr>
                <w:rFonts w:hint="eastAsia" w:ascii="宋体" w:hAnsi="宋体" w:eastAsia="宋体" w:cs="宋体"/>
                <w:color w:val="auto"/>
                <w:sz w:val="21"/>
                <w:szCs w:val="21"/>
                <w:lang w:val="en-US" w:eastAsia="zh-CN"/>
              </w:rPr>
            </w:pPr>
          </w:p>
        </w:tc>
        <w:tc>
          <w:tcPr>
            <w:tcW w:w="9835" w:type="dxa"/>
            <w:gridSpan w:val="3"/>
            <w:tcBorders>
              <w:left w:val="single" w:color="auto" w:sz="4" w:space="0"/>
              <w:right w:val="single" w:color="auto" w:sz="4" w:space="0"/>
            </w:tcBorders>
            <w:vAlign w:val="center"/>
          </w:tcPr>
          <w:p w14:paraId="4574F887">
            <w:pPr>
              <w:spacing w:line="520" w:lineRule="exact"/>
              <w:rPr>
                <w:rFonts w:hint="eastAsia" w:ascii="宋体" w:hAnsi="宋体" w:eastAsia="宋体" w:cs="宋体"/>
                <w:color w:val="auto"/>
                <w:sz w:val="21"/>
                <w:szCs w:val="21"/>
                <w:lang w:val="en-US" w:eastAsia="zh-CN"/>
              </w:rPr>
            </w:pPr>
            <w:r>
              <w:rPr>
                <w:rFonts w:hint="eastAsia" w:ascii="宋体" w:hAnsi="宋体" w:eastAsia="宋体" w:cs="宋体"/>
                <w:color w:val="auto"/>
                <w:kern w:val="0"/>
                <w:sz w:val="21"/>
                <w:szCs w:val="21"/>
              </w:rPr>
              <w:t>注：</w:t>
            </w:r>
            <w:r>
              <w:rPr>
                <w:rFonts w:hint="eastAsia" w:ascii="宋体" w:hAnsi="宋体" w:eastAsia="宋体" w:cs="宋体"/>
                <w:color w:val="auto"/>
                <w:sz w:val="21"/>
                <w:szCs w:val="21"/>
              </w:rPr>
              <w:t>以上项目若有缺项的，该项为0分；不缺项的，不低于最低分。</w:t>
            </w:r>
          </w:p>
        </w:tc>
      </w:tr>
      <w:tr w14:paraId="049B7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exact"/>
          <w:jc w:val="center"/>
        </w:trPr>
        <w:tc>
          <w:tcPr>
            <w:tcW w:w="971" w:type="dxa"/>
            <w:vMerge w:val="restart"/>
            <w:tcBorders>
              <w:left w:val="single" w:color="auto" w:sz="4" w:space="0"/>
              <w:right w:val="single" w:color="auto" w:sz="4" w:space="0"/>
            </w:tcBorders>
            <w:vAlign w:val="center"/>
          </w:tcPr>
          <w:p w14:paraId="23B21429">
            <w:pPr>
              <w:jc w:val="center"/>
              <w:rPr>
                <w:rFonts w:hint="eastAsia" w:ascii="宋体" w:hAnsi="宋体" w:eastAsia="宋体" w:cs="宋体"/>
                <w:color w:val="auto"/>
                <w:sz w:val="21"/>
                <w:szCs w:val="21"/>
              </w:rPr>
            </w:pPr>
            <w:r>
              <w:rPr>
                <w:rFonts w:hint="eastAsia" w:ascii="宋体" w:hAnsi="宋体" w:eastAsia="宋体" w:cs="宋体"/>
                <w:color w:val="auto"/>
                <w:sz w:val="21"/>
                <w:szCs w:val="21"/>
              </w:rPr>
              <w:t>2.2.3</w:t>
            </w:r>
          </w:p>
          <w:p w14:paraId="1DB9EAD3">
            <w:pPr>
              <w:spacing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799" w:type="dxa"/>
            <w:vMerge w:val="restart"/>
            <w:tcBorders>
              <w:left w:val="single" w:color="auto" w:sz="4" w:space="0"/>
              <w:right w:val="single" w:color="auto" w:sz="4" w:space="0"/>
            </w:tcBorders>
            <w:vAlign w:val="center"/>
          </w:tcPr>
          <w:p w14:paraId="1B2B38DB">
            <w:pPr>
              <w:spacing w:line="276" w:lineRule="auto"/>
              <w:jc w:val="center"/>
              <w:rPr>
                <w:rFonts w:hint="eastAsia" w:ascii="宋体" w:hAnsi="宋体" w:eastAsia="宋体" w:cs="宋体"/>
                <w:color w:val="auto"/>
                <w:sz w:val="21"/>
                <w:szCs w:val="21"/>
              </w:rPr>
            </w:pPr>
            <w:r>
              <w:rPr>
                <w:rFonts w:hint="eastAsia" w:ascii="宋体" w:hAnsi="宋体" w:eastAsia="宋体" w:cs="宋体"/>
                <w:color w:val="auto"/>
                <w:sz w:val="21"/>
                <w:szCs w:val="21"/>
                <w:highlight w:val="none"/>
                <w:lang w:val="en-US" w:eastAsia="zh-CN"/>
              </w:rPr>
              <w:t>综合</w:t>
            </w:r>
            <w:r>
              <w:rPr>
                <w:rFonts w:hint="eastAsia" w:ascii="宋体" w:hAnsi="宋体" w:eastAsia="宋体" w:cs="宋体"/>
                <w:color w:val="auto"/>
                <w:sz w:val="21"/>
                <w:szCs w:val="21"/>
                <w:highlight w:val="none"/>
                <w:lang w:eastAsia="zh-CN"/>
              </w:rPr>
              <w:t>部分</w:t>
            </w:r>
            <w:r>
              <w:rPr>
                <w:rFonts w:hint="eastAsia" w:ascii="宋体" w:hAnsi="宋体" w:eastAsia="宋体" w:cs="宋体"/>
                <w:color w:val="auto"/>
                <w:sz w:val="21"/>
                <w:szCs w:val="21"/>
              </w:rPr>
              <w:t>评分标准（0-</w:t>
            </w:r>
            <w:r>
              <w:rPr>
                <w:rFonts w:hint="eastAsia" w:ascii="宋体" w:hAnsi="宋体" w:eastAsia="宋体" w:cs="宋体"/>
                <w:color w:val="auto"/>
                <w:sz w:val="21"/>
                <w:szCs w:val="21"/>
                <w:lang w:val="en-US" w:eastAsia="zh-CN"/>
              </w:rPr>
              <w:t>12</w:t>
            </w:r>
            <w:r>
              <w:rPr>
                <w:rFonts w:hint="eastAsia" w:ascii="宋体" w:hAnsi="宋体" w:eastAsia="宋体" w:cs="宋体"/>
                <w:color w:val="auto"/>
                <w:sz w:val="21"/>
                <w:szCs w:val="21"/>
              </w:rPr>
              <w:t>分）</w:t>
            </w:r>
          </w:p>
        </w:tc>
        <w:tc>
          <w:tcPr>
            <w:tcW w:w="2059" w:type="dxa"/>
            <w:tcBorders>
              <w:top w:val="single" w:color="auto" w:sz="4" w:space="0"/>
              <w:left w:val="single" w:color="auto" w:sz="4" w:space="0"/>
              <w:bottom w:val="single" w:color="auto" w:sz="4" w:space="0"/>
              <w:right w:val="single" w:color="auto" w:sz="4" w:space="0"/>
            </w:tcBorders>
            <w:shd w:val="clear" w:color="auto" w:fill="auto"/>
            <w:vAlign w:val="center"/>
          </w:tcPr>
          <w:p w14:paraId="4662756F">
            <w:pPr>
              <w:spacing w:line="52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企业业绩（0-3分）</w:t>
            </w:r>
          </w:p>
        </w:tc>
        <w:tc>
          <w:tcPr>
            <w:tcW w:w="6977" w:type="dxa"/>
            <w:tcBorders>
              <w:top w:val="single" w:color="auto" w:sz="4" w:space="0"/>
              <w:left w:val="single" w:color="auto" w:sz="4" w:space="0"/>
              <w:bottom w:val="single" w:color="auto" w:sz="4" w:space="0"/>
              <w:right w:val="single" w:color="auto" w:sz="4" w:space="0"/>
            </w:tcBorders>
            <w:shd w:val="clear" w:color="auto" w:fill="auto"/>
            <w:vAlign w:val="center"/>
          </w:tcPr>
          <w:p w14:paraId="0E13C121">
            <w:pPr>
              <w:spacing w:line="52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投标人具有2022年1月以来规划类项目业绩，每提供一份得1分，本项最高得3分。注：提供中标通知书及合同扫描件，以合同签订时间为准。</w:t>
            </w:r>
          </w:p>
        </w:tc>
      </w:tr>
      <w:tr w14:paraId="1017D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5" w:hRule="exact"/>
          <w:jc w:val="center"/>
        </w:trPr>
        <w:tc>
          <w:tcPr>
            <w:tcW w:w="971" w:type="dxa"/>
            <w:vMerge w:val="continue"/>
            <w:tcBorders>
              <w:left w:val="single" w:color="auto" w:sz="4" w:space="0"/>
              <w:right w:val="single" w:color="auto" w:sz="4" w:space="0"/>
            </w:tcBorders>
            <w:vAlign w:val="center"/>
          </w:tcPr>
          <w:p w14:paraId="104D9287">
            <w:pPr>
              <w:spacing w:line="276" w:lineRule="auto"/>
              <w:jc w:val="center"/>
              <w:rPr>
                <w:rFonts w:hint="eastAsia" w:ascii="宋体" w:hAnsi="宋体" w:eastAsia="宋体" w:cs="宋体"/>
                <w:color w:val="auto"/>
                <w:sz w:val="21"/>
                <w:szCs w:val="21"/>
              </w:rPr>
            </w:pPr>
          </w:p>
        </w:tc>
        <w:tc>
          <w:tcPr>
            <w:tcW w:w="799" w:type="dxa"/>
            <w:vMerge w:val="continue"/>
            <w:tcBorders>
              <w:left w:val="single" w:color="auto" w:sz="4" w:space="0"/>
              <w:right w:val="single" w:color="auto" w:sz="4" w:space="0"/>
            </w:tcBorders>
            <w:vAlign w:val="center"/>
          </w:tcPr>
          <w:p w14:paraId="57BF3066">
            <w:pPr>
              <w:spacing w:line="276" w:lineRule="auto"/>
              <w:jc w:val="center"/>
              <w:rPr>
                <w:rFonts w:hint="eastAsia" w:ascii="宋体" w:hAnsi="宋体" w:eastAsia="宋体" w:cs="宋体"/>
                <w:color w:val="auto"/>
                <w:sz w:val="21"/>
                <w:szCs w:val="21"/>
              </w:rPr>
            </w:pPr>
          </w:p>
        </w:tc>
        <w:tc>
          <w:tcPr>
            <w:tcW w:w="2059" w:type="dxa"/>
            <w:tcBorders>
              <w:top w:val="single" w:color="auto" w:sz="4" w:space="0"/>
              <w:left w:val="single" w:color="auto" w:sz="4" w:space="0"/>
              <w:bottom w:val="single" w:color="auto" w:sz="4" w:space="0"/>
              <w:right w:val="single" w:color="auto" w:sz="4" w:space="0"/>
            </w:tcBorders>
            <w:shd w:val="clear" w:color="auto" w:fill="auto"/>
            <w:vAlign w:val="center"/>
          </w:tcPr>
          <w:p w14:paraId="64972DD3">
            <w:pPr>
              <w:spacing w:line="52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人员配置（0-6分）</w:t>
            </w:r>
          </w:p>
        </w:tc>
        <w:tc>
          <w:tcPr>
            <w:tcW w:w="6977" w:type="dxa"/>
            <w:tcBorders>
              <w:top w:val="single" w:color="auto" w:sz="4" w:space="0"/>
              <w:left w:val="single" w:color="auto" w:sz="4" w:space="0"/>
              <w:bottom w:val="single" w:color="auto" w:sz="4" w:space="0"/>
              <w:right w:val="single" w:color="auto" w:sz="4" w:space="0"/>
            </w:tcBorders>
            <w:shd w:val="clear" w:color="auto" w:fill="auto"/>
            <w:vAlign w:val="center"/>
          </w:tcPr>
          <w:p w14:paraId="568FA552">
            <w:pPr>
              <w:spacing w:line="52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1）项目管理机构人员中具有工程地质专业中级及以上技术职称的每提供一项得1分，最多得2分。注：提供项目负责人证书扫描件、投标截止前近半年社保缴纳证明或劳动合同扫描件，未提供或不符合以上条件不得分。（2）拟派本项目配套技术人员齐全，（司钻员，测量员，描述员，实验员）其中每提供一项的得1分，最多得4分。注：提供项目团队成员的人员证书扫描件、投标截止前近半年社保缴纳证明或劳动合同扫描件，未提供或不符合以上条件不得分。</w:t>
            </w:r>
          </w:p>
        </w:tc>
      </w:tr>
      <w:tr w14:paraId="2919D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exact"/>
          <w:jc w:val="center"/>
        </w:trPr>
        <w:tc>
          <w:tcPr>
            <w:tcW w:w="971" w:type="dxa"/>
            <w:vMerge w:val="continue"/>
            <w:tcBorders>
              <w:left w:val="single" w:color="auto" w:sz="4" w:space="0"/>
              <w:right w:val="single" w:color="auto" w:sz="4" w:space="0"/>
            </w:tcBorders>
            <w:vAlign w:val="center"/>
          </w:tcPr>
          <w:p w14:paraId="3A387A06">
            <w:pPr>
              <w:spacing w:line="276" w:lineRule="auto"/>
              <w:jc w:val="center"/>
              <w:rPr>
                <w:rFonts w:hint="eastAsia" w:ascii="宋体" w:hAnsi="宋体" w:eastAsia="宋体" w:cs="宋体"/>
                <w:color w:val="auto"/>
                <w:sz w:val="21"/>
                <w:szCs w:val="21"/>
              </w:rPr>
            </w:pPr>
          </w:p>
        </w:tc>
        <w:tc>
          <w:tcPr>
            <w:tcW w:w="799" w:type="dxa"/>
            <w:vMerge w:val="continue"/>
            <w:tcBorders>
              <w:left w:val="single" w:color="auto" w:sz="4" w:space="0"/>
              <w:right w:val="single" w:color="auto" w:sz="4" w:space="0"/>
            </w:tcBorders>
            <w:vAlign w:val="center"/>
          </w:tcPr>
          <w:p w14:paraId="6F92EF6E">
            <w:pPr>
              <w:spacing w:line="276" w:lineRule="auto"/>
              <w:jc w:val="center"/>
              <w:rPr>
                <w:rFonts w:hint="eastAsia" w:ascii="宋体" w:hAnsi="宋体" w:eastAsia="宋体" w:cs="宋体"/>
                <w:color w:val="auto"/>
                <w:sz w:val="21"/>
                <w:szCs w:val="21"/>
              </w:rPr>
            </w:pPr>
          </w:p>
        </w:tc>
        <w:tc>
          <w:tcPr>
            <w:tcW w:w="2059" w:type="dxa"/>
            <w:tcBorders>
              <w:top w:val="single" w:color="auto" w:sz="4" w:space="0"/>
              <w:left w:val="single" w:color="auto" w:sz="4" w:space="0"/>
              <w:bottom w:val="single" w:color="auto" w:sz="4" w:space="0"/>
              <w:right w:val="single" w:color="auto" w:sz="4" w:space="0"/>
            </w:tcBorders>
            <w:shd w:val="clear" w:color="auto" w:fill="auto"/>
            <w:vAlign w:val="center"/>
          </w:tcPr>
          <w:p w14:paraId="1DE18437">
            <w:pPr>
              <w:spacing w:line="52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其他承诺（0-3分）</w:t>
            </w:r>
          </w:p>
        </w:tc>
        <w:tc>
          <w:tcPr>
            <w:tcW w:w="6977" w:type="dxa"/>
            <w:tcBorders>
              <w:top w:val="single" w:color="auto" w:sz="4" w:space="0"/>
              <w:left w:val="single" w:color="auto" w:sz="4" w:space="0"/>
              <w:bottom w:val="single" w:color="auto" w:sz="4" w:space="0"/>
              <w:right w:val="single" w:color="auto" w:sz="4" w:space="0"/>
            </w:tcBorders>
            <w:shd w:val="clear" w:color="auto" w:fill="auto"/>
            <w:vAlign w:val="center"/>
          </w:tcPr>
          <w:p w14:paraId="3BA09DCA">
            <w:pPr>
              <w:spacing w:line="520" w:lineRule="exact"/>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 w:val="21"/>
                <w:szCs w:val="21"/>
                <w:lang w:val="en-US" w:eastAsia="zh-CN"/>
              </w:rPr>
              <w:t>就本项目的监控管理措施、质量保证措施、确保服务周期、后期服务配合等做出承诺，内容全面完整、科学严谨的得3分，内容基本完整、基本切实可行的得2分，内容不够完整全面的得1分，缺项不得分。</w:t>
            </w:r>
          </w:p>
        </w:tc>
      </w:tr>
    </w:tbl>
    <w:p w14:paraId="54F1F906">
      <w:pPr>
        <w:widowControl/>
        <w:adjustRightInd w:val="0"/>
        <w:snapToGrid w:val="0"/>
        <w:spacing w:line="360" w:lineRule="auto"/>
        <w:ind w:left="6" w:leftChars="-64" w:hanging="140" w:hangingChars="58"/>
        <w:jc w:val="left"/>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 xml:space="preserve">三、磋商程序 </w:t>
      </w:r>
    </w:p>
    <w:p w14:paraId="0363D1AC">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 xml:space="preserve">3.1 初步评审 </w:t>
      </w:r>
    </w:p>
    <w:p w14:paraId="1B7A3D5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3.1.1磋商小组应该以投标截止时间前在三门峡市公共资源交易平台“投标文件”上传的信息为准，进行核验。磋商小组依据本章规定的标准对磋商响应文件进行初步评审。有一项不符合评审标准的，作无效标处理。  </w:t>
      </w:r>
    </w:p>
    <w:p w14:paraId="4BD1D4E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3.1.2磋商小组依据本章规定的评审标准对响应文件进行初步评审。有一项不符合评审标准的，作无效标处理。 </w:t>
      </w:r>
    </w:p>
    <w:p w14:paraId="05D0CBE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3.1.3磋商人有以下情形之一的，其磋商作无效标处理： </w:t>
      </w:r>
    </w:p>
    <w:p w14:paraId="1E05F515">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（1）串通磋商或弄虚作假或有其他违法行为的； </w:t>
      </w:r>
    </w:p>
    <w:p w14:paraId="719C074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（2）不按磋商小组要求澄清、说明或补正的。 </w:t>
      </w:r>
    </w:p>
    <w:p w14:paraId="5FEB9679">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 xml:space="preserve">3.2详细评审 </w:t>
      </w:r>
    </w:p>
    <w:p w14:paraId="18E8B1D8">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3.2.1磋商小组按本章规定的量化因素和分值进行打分，并计算出综合评分。 </w:t>
      </w:r>
    </w:p>
    <w:p w14:paraId="69194D58">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 xml:space="preserve">3.3磋商文件的澄清和补正 </w:t>
      </w:r>
    </w:p>
    <w:p w14:paraId="6494DEC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3.3.1在磋商过程中，磋商小组可以书面形式要求磋商人对所提交磋商响应文件中不明确的内容进行书面澄清或说明，或者对细微偏差进行补正。磋商小组不接受磋商人主动提出的澄清、说明或补正。 </w:t>
      </w:r>
    </w:p>
    <w:p w14:paraId="21AA4CFE">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3.3.2澄清、说明和补正不得改变磋商文件的实质性内容（算术性错误修正的除外）。磋商人的书面澄清、说明和补正属于磋商响应文件的组成部分。 </w:t>
      </w:r>
    </w:p>
    <w:p w14:paraId="106A657B">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3.3.3磋商小组对磋商人提交的澄清、说明或补正有疑问的，可以要求磋商人进一步澄清、说明或补正，直至满足磋商小组的要求。 </w:t>
      </w:r>
    </w:p>
    <w:p w14:paraId="2547C1A1">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 xml:space="preserve">3.4磋商结果 </w:t>
      </w:r>
    </w:p>
    <w:p w14:paraId="44833460">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3.4.1磋商小组按照</w:t>
      </w:r>
      <w:r>
        <w:rPr>
          <w:rFonts w:hint="eastAsia" w:ascii="宋体" w:hAnsi="宋体" w:eastAsia="宋体" w:cs="宋体"/>
          <w:color w:val="auto"/>
          <w:kern w:val="0"/>
          <w:sz w:val="24"/>
          <w:szCs w:val="24"/>
        </w:rPr>
        <w:t>得分由高到低的顺序推荐3名成交候选人；综合评分相等时，按报价最低的优先，若报价相等的，按技术指标优劣顺序排列。</w:t>
      </w:r>
    </w:p>
    <w:p w14:paraId="611639D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3.4.2 磋商小组完成磋商后，应当向采购人提交书面磋商报告。</w:t>
      </w:r>
    </w:p>
    <w:p w14:paraId="7CB01345">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3.5计分办法</w:t>
      </w:r>
    </w:p>
    <w:p w14:paraId="611E348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根据磋商文件、响应文件，按照评分办法，得出每个评委对响应单位的评标分数。响应单位的最终得分为所有评委对其打分的算术平均值。计分过程按四舍五入取至小数点后两位，最终得分取至小数点后二位。</w:t>
      </w:r>
    </w:p>
    <w:p w14:paraId="14A54ED8">
      <w:pPr>
        <w:keepNext w:val="0"/>
        <w:keepLines w:val="0"/>
        <w:pageBreakBefore w:val="0"/>
        <w:widowControl/>
        <w:kinsoku/>
        <w:wordWrap/>
        <w:overflowPunct/>
        <w:topLinePunct w:val="0"/>
        <w:autoSpaceDE/>
        <w:autoSpaceDN/>
        <w:bidi w:val="0"/>
        <w:adjustRightInd w:val="0"/>
        <w:snapToGrid w:val="0"/>
        <w:spacing w:line="360" w:lineRule="auto"/>
        <w:ind w:firstLine="482" w:firstLineChars="200"/>
        <w:jc w:val="left"/>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3.6定标办法</w:t>
      </w:r>
    </w:p>
    <w:p w14:paraId="17A8B0A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3.6.1成交供应商的排名按得分顺序从高到低排列；综合评分相等时，按报价最低的优先，若报价相等的，按技术指标优劣顺序排列。</w:t>
      </w:r>
    </w:p>
    <w:p w14:paraId="6CBA092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left"/>
        <w:textAlignment w:val="auto"/>
        <w:rPr>
          <w:rFonts w:hint="eastAsia" w:ascii="宋体" w:hAnsi="宋体" w:eastAsia="宋体" w:cs="宋体"/>
          <w:b/>
          <w:bCs/>
          <w:color w:val="auto"/>
          <w:kern w:val="0"/>
          <w:sz w:val="32"/>
          <w:szCs w:val="32"/>
        </w:rPr>
        <w:sectPr>
          <w:headerReference r:id="rId3" w:type="default"/>
          <w:footerReference r:id="rId4" w:type="default"/>
          <w:pgSz w:w="11915" w:h="16840"/>
          <w:pgMar w:top="1276" w:right="1135" w:bottom="1247" w:left="1135" w:header="720" w:footer="720" w:gutter="0"/>
          <w:cols w:space="720" w:num="1"/>
          <w:docGrid w:type="lines" w:linePitch="312" w:charSpace="0"/>
        </w:sectPr>
      </w:pPr>
      <w:r>
        <w:rPr>
          <w:rFonts w:hint="eastAsia" w:ascii="宋体" w:hAnsi="宋体" w:eastAsia="宋体" w:cs="宋体"/>
          <w:color w:val="auto"/>
          <w:kern w:val="0"/>
          <w:sz w:val="24"/>
          <w:szCs w:val="24"/>
        </w:rPr>
        <w:t>3.6.2采购人应当在收到评审报告后5个工作日内，从评审报告提出的成交候选供应商中，按照排序由高到低的原则确定成交供应商。采购人逾期未确定成交供应商且不提出异议的，视为确定评审报告提出的排序第一的供应</w:t>
      </w:r>
      <w:r>
        <w:rPr>
          <w:rFonts w:hint="eastAsia" w:ascii="宋体" w:hAnsi="宋体" w:eastAsia="宋体" w:cs="宋体"/>
          <w:color w:val="auto"/>
          <w:kern w:val="0"/>
          <w:sz w:val="24"/>
          <w:szCs w:val="24"/>
        </w:rPr>
        <w:t>商为成交供应商。</w:t>
      </w:r>
    </w:p>
    <w:p w14:paraId="22A72856">
      <w:pPr>
        <w:spacing w:line="360" w:lineRule="auto"/>
        <w:jc w:val="center"/>
        <w:outlineLvl w:val="0"/>
        <w:rPr>
          <w:rFonts w:hint="eastAsia" w:ascii="宋体" w:hAnsi="宋体" w:eastAsia="宋体" w:cs="宋体"/>
          <w:b/>
          <w:color w:val="auto"/>
          <w:sz w:val="32"/>
          <w:szCs w:val="32"/>
        </w:rPr>
      </w:pPr>
      <w:bookmarkStart w:id="25" w:name="_Toc29484"/>
      <w:r>
        <w:rPr>
          <w:rFonts w:hint="eastAsia" w:ascii="宋体" w:hAnsi="宋体" w:eastAsia="宋体" w:cs="宋体"/>
          <w:b/>
          <w:color w:val="auto"/>
          <w:sz w:val="32"/>
          <w:szCs w:val="32"/>
        </w:rPr>
        <w:t xml:space="preserve">第六章 </w:t>
      </w:r>
      <w:bookmarkEnd w:id="25"/>
      <w:r>
        <w:rPr>
          <w:rFonts w:hint="eastAsia" w:ascii="宋体" w:hAnsi="宋体" w:eastAsia="宋体" w:cs="宋体"/>
          <w:b/>
          <w:color w:val="auto"/>
          <w:sz w:val="32"/>
          <w:szCs w:val="32"/>
        </w:rPr>
        <w:t xml:space="preserve">竞争性磋商响应文件格式 </w:t>
      </w:r>
    </w:p>
    <w:p w14:paraId="71D66F97">
      <w:pPr>
        <w:jc w:val="center"/>
        <w:rPr>
          <w:rFonts w:hint="eastAsia" w:ascii="宋体" w:hAnsi="宋体" w:eastAsia="宋体" w:cs="宋体"/>
          <w:b/>
          <w:color w:val="auto"/>
          <w:sz w:val="48"/>
          <w:szCs w:val="48"/>
        </w:rPr>
      </w:pPr>
    </w:p>
    <w:p w14:paraId="5D03D140">
      <w:pPr>
        <w:widowControl/>
        <w:spacing w:after="200" w:line="220" w:lineRule="atLeast"/>
        <w:ind w:firstLine="2266" w:firstLineChars="515"/>
        <w:jc w:val="left"/>
        <w:rPr>
          <w:rFonts w:hint="eastAsia" w:ascii="宋体" w:hAnsi="宋体" w:eastAsia="宋体" w:cs="宋体"/>
          <w:bCs/>
          <w:color w:val="auto"/>
          <w:kern w:val="0"/>
          <w:sz w:val="44"/>
          <w:szCs w:val="44"/>
        </w:rPr>
      </w:pPr>
      <w:r>
        <w:rPr>
          <w:rFonts w:hint="eastAsia" w:ascii="宋体" w:hAnsi="宋体" w:eastAsia="宋体" w:cs="宋体"/>
          <w:bCs/>
          <w:color w:val="auto"/>
          <w:kern w:val="0"/>
          <w:sz w:val="44"/>
          <w:szCs w:val="44"/>
          <w:u w:val="single"/>
        </w:rPr>
        <w:t xml:space="preserve">                 </w:t>
      </w:r>
      <w:r>
        <w:rPr>
          <w:rFonts w:hint="eastAsia" w:ascii="宋体" w:hAnsi="宋体" w:eastAsia="宋体" w:cs="宋体"/>
          <w:bCs/>
          <w:color w:val="auto"/>
          <w:kern w:val="0"/>
          <w:sz w:val="44"/>
          <w:szCs w:val="44"/>
        </w:rPr>
        <w:t>项目</w:t>
      </w:r>
    </w:p>
    <w:p w14:paraId="575AE943">
      <w:pPr>
        <w:widowControl/>
        <w:jc w:val="center"/>
        <w:rPr>
          <w:rFonts w:hint="eastAsia" w:ascii="宋体" w:hAnsi="宋体" w:eastAsia="宋体" w:cs="宋体"/>
          <w:b/>
          <w:bCs/>
          <w:color w:val="auto"/>
          <w:kern w:val="0"/>
          <w:sz w:val="72"/>
          <w:szCs w:val="72"/>
        </w:rPr>
      </w:pPr>
    </w:p>
    <w:p w14:paraId="1EE45592">
      <w:pPr>
        <w:widowControl/>
        <w:jc w:val="center"/>
        <w:rPr>
          <w:rFonts w:hint="eastAsia" w:ascii="宋体" w:hAnsi="宋体" w:eastAsia="宋体" w:cs="宋体"/>
          <w:b/>
          <w:bCs/>
          <w:color w:val="auto"/>
          <w:kern w:val="0"/>
          <w:sz w:val="72"/>
          <w:szCs w:val="72"/>
        </w:rPr>
      </w:pPr>
    </w:p>
    <w:p w14:paraId="7E61C676">
      <w:pPr>
        <w:widowControl/>
        <w:jc w:val="center"/>
        <w:rPr>
          <w:rFonts w:hint="eastAsia" w:ascii="宋体" w:hAnsi="宋体" w:eastAsia="宋体" w:cs="宋体"/>
          <w:b/>
          <w:bCs/>
          <w:color w:val="auto"/>
          <w:kern w:val="0"/>
          <w:sz w:val="72"/>
          <w:szCs w:val="72"/>
        </w:rPr>
      </w:pPr>
    </w:p>
    <w:p w14:paraId="53131034">
      <w:pPr>
        <w:widowControl/>
        <w:jc w:val="center"/>
        <w:rPr>
          <w:rFonts w:hint="eastAsia" w:ascii="宋体" w:hAnsi="宋体" w:eastAsia="宋体" w:cs="宋体"/>
          <w:color w:val="auto"/>
          <w:kern w:val="0"/>
          <w:sz w:val="20"/>
          <w:szCs w:val="20"/>
        </w:rPr>
      </w:pPr>
      <w:r>
        <w:rPr>
          <w:rFonts w:hint="eastAsia" w:ascii="宋体" w:hAnsi="宋体" w:eastAsia="宋体" w:cs="宋体"/>
          <w:b/>
          <w:bCs/>
          <w:color w:val="auto"/>
          <w:kern w:val="0"/>
          <w:sz w:val="72"/>
          <w:szCs w:val="72"/>
        </w:rPr>
        <w:t>响 应 文 件</w:t>
      </w:r>
      <w:bookmarkStart w:id="26" w:name="_Toc223432387"/>
      <w:bookmarkEnd w:id="26"/>
      <w:bookmarkStart w:id="27" w:name="_Toc171073207"/>
      <w:bookmarkEnd w:id="27"/>
      <w:bookmarkStart w:id="28" w:name="_Toc171073042"/>
      <w:bookmarkEnd w:id="28"/>
      <w:bookmarkStart w:id="29" w:name="_Toc169921407"/>
      <w:bookmarkEnd w:id="29"/>
    </w:p>
    <w:p w14:paraId="08F04133">
      <w:pPr>
        <w:widowControl/>
        <w:jc w:val="center"/>
        <w:rPr>
          <w:rFonts w:hint="eastAsia" w:ascii="宋体" w:hAnsi="宋体" w:eastAsia="宋体" w:cs="宋体"/>
          <w:color w:val="auto"/>
          <w:kern w:val="0"/>
          <w:sz w:val="72"/>
          <w:szCs w:val="72"/>
        </w:rPr>
      </w:pPr>
    </w:p>
    <w:p w14:paraId="71B15A28">
      <w:pPr>
        <w:widowControl/>
        <w:jc w:val="center"/>
        <w:rPr>
          <w:rFonts w:hint="eastAsia" w:ascii="宋体" w:hAnsi="宋体" w:eastAsia="宋体" w:cs="宋体"/>
          <w:color w:val="auto"/>
          <w:kern w:val="0"/>
          <w:sz w:val="20"/>
          <w:szCs w:val="20"/>
        </w:rPr>
      </w:pPr>
    </w:p>
    <w:p w14:paraId="3274D697">
      <w:pPr>
        <w:widowControl/>
        <w:jc w:val="center"/>
        <w:rPr>
          <w:rFonts w:hint="eastAsia" w:ascii="宋体" w:hAnsi="宋体" w:eastAsia="宋体" w:cs="宋体"/>
          <w:color w:val="auto"/>
          <w:kern w:val="0"/>
          <w:sz w:val="72"/>
          <w:szCs w:val="72"/>
        </w:rPr>
      </w:pPr>
    </w:p>
    <w:p w14:paraId="6A082D0C">
      <w:pPr>
        <w:widowControl/>
        <w:jc w:val="center"/>
        <w:rPr>
          <w:rFonts w:hint="eastAsia" w:ascii="宋体" w:hAnsi="宋体" w:eastAsia="宋体" w:cs="宋体"/>
          <w:color w:val="auto"/>
          <w:kern w:val="0"/>
          <w:sz w:val="20"/>
          <w:szCs w:val="20"/>
        </w:rPr>
      </w:pPr>
    </w:p>
    <w:p w14:paraId="0F614D0B">
      <w:pPr>
        <w:widowControl/>
        <w:jc w:val="left"/>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rPr>
        <w:t>项目编号：</w:t>
      </w:r>
    </w:p>
    <w:p w14:paraId="6328563C">
      <w:pPr>
        <w:widowControl/>
        <w:spacing w:line="660" w:lineRule="auto"/>
        <w:rPr>
          <w:rFonts w:hint="eastAsia" w:ascii="宋体" w:hAnsi="宋体" w:eastAsia="宋体" w:cs="宋体"/>
          <w:color w:val="auto"/>
          <w:kern w:val="0"/>
          <w:sz w:val="27"/>
          <w:szCs w:val="27"/>
        </w:rPr>
      </w:pPr>
      <w:r>
        <w:rPr>
          <w:rFonts w:hint="eastAsia" w:ascii="宋体" w:hAnsi="宋体" w:eastAsia="宋体" w:cs="宋体"/>
          <w:b/>
          <w:bCs/>
          <w:color w:val="auto"/>
          <w:kern w:val="0"/>
          <w:sz w:val="30"/>
          <w:szCs w:val="30"/>
        </w:rPr>
        <w:t> </w:t>
      </w:r>
    </w:p>
    <w:p w14:paraId="06064E2E">
      <w:pPr>
        <w:widowControl/>
        <w:spacing w:line="480" w:lineRule="auto"/>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w:t>
      </w:r>
    </w:p>
    <w:p w14:paraId="23F2688D">
      <w:pPr>
        <w:widowControl/>
        <w:jc w:val="left"/>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rPr>
        <w:t>磋商供应商（盖公章）：</w:t>
      </w:r>
    </w:p>
    <w:p w14:paraId="1246CA19">
      <w:pPr>
        <w:widowControl/>
        <w:jc w:val="left"/>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rPr>
        <w:t>法定代表人（签电子章）：</w:t>
      </w:r>
    </w:p>
    <w:p w14:paraId="257A55EE">
      <w:pPr>
        <w:widowControl/>
        <w:jc w:val="left"/>
        <w:rPr>
          <w:rFonts w:hint="eastAsia" w:ascii="宋体" w:hAnsi="宋体" w:eastAsia="宋体" w:cs="宋体"/>
          <w:b/>
          <w:bCs/>
          <w:color w:val="auto"/>
          <w:kern w:val="0"/>
          <w:sz w:val="30"/>
          <w:szCs w:val="30"/>
        </w:rPr>
      </w:pPr>
      <w:r>
        <w:rPr>
          <w:rFonts w:hint="eastAsia" w:ascii="宋体" w:hAnsi="宋体" w:eastAsia="宋体" w:cs="宋体"/>
          <w:b/>
          <w:bCs/>
          <w:color w:val="auto"/>
          <w:kern w:val="0"/>
          <w:sz w:val="30"/>
          <w:szCs w:val="30"/>
        </w:rPr>
        <w:t>日      期：</w:t>
      </w:r>
    </w:p>
    <w:p w14:paraId="5C1CAF21">
      <w:pPr>
        <w:rPr>
          <w:rFonts w:hint="eastAsia" w:ascii="宋体" w:hAnsi="宋体" w:eastAsia="宋体" w:cs="宋体"/>
          <w:color w:val="auto"/>
          <w:sz w:val="28"/>
          <w:szCs w:val="28"/>
        </w:rPr>
      </w:pPr>
      <w:r>
        <w:rPr>
          <w:rFonts w:hint="eastAsia" w:ascii="宋体" w:hAnsi="宋体" w:eastAsia="宋体" w:cs="宋体"/>
          <w:color w:val="auto"/>
          <w:sz w:val="28"/>
          <w:szCs w:val="28"/>
        </w:rPr>
        <w:br w:type="page"/>
      </w:r>
    </w:p>
    <w:p w14:paraId="5EB272D8">
      <w:pPr>
        <w:keepNext w:val="0"/>
        <w:keepLines w:val="0"/>
        <w:pageBreakBefore w:val="0"/>
        <w:kinsoku/>
        <w:wordWrap/>
        <w:overflowPunct/>
        <w:topLinePunct w:val="0"/>
        <w:autoSpaceDE/>
        <w:autoSpaceDN/>
        <w:bidi w:val="0"/>
        <w:spacing w:line="360" w:lineRule="auto"/>
        <w:jc w:val="center"/>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目  录</w:t>
      </w:r>
    </w:p>
    <w:p w14:paraId="4332D959">
      <w:pPr>
        <w:keepNext w:val="0"/>
        <w:keepLines w:val="0"/>
        <w:pageBreakBefore w:val="0"/>
        <w:widowControl/>
        <w:kinsoku/>
        <w:wordWrap/>
        <w:overflowPunct/>
        <w:topLinePunct w:val="0"/>
        <w:autoSpaceDE/>
        <w:autoSpaceDN/>
        <w:bidi w:val="0"/>
        <w:adjustRightInd w:val="0"/>
        <w:snapToGrid w:val="0"/>
        <w:spacing w:after="200" w:line="360" w:lineRule="auto"/>
        <w:jc w:val="center"/>
        <w:textAlignment w:val="auto"/>
        <w:rPr>
          <w:rFonts w:hint="eastAsia" w:ascii="宋体" w:hAnsi="宋体" w:eastAsia="宋体" w:cs="宋体"/>
          <w:b/>
          <w:bCs/>
          <w:color w:val="auto"/>
          <w:kern w:val="0"/>
          <w:sz w:val="32"/>
          <w:szCs w:val="32"/>
        </w:rPr>
      </w:pPr>
    </w:p>
    <w:p w14:paraId="6D9E232F">
      <w:pPr>
        <w:keepNext w:val="0"/>
        <w:keepLines w:val="0"/>
        <w:pageBreakBefore w:val="0"/>
        <w:widowControl/>
        <w:kinsoku/>
        <w:wordWrap/>
        <w:overflowPunct/>
        <w:topLinePunct w:val="0"/>
        <w:autoSpaceDE/>
        <w:autoSpaceDN/>
        <w:bidi w:val="0"/>
        <w:adjustRightInd w:val="0"/>
        <w:snapToGrid w:val="0"/>
        <w:spacing w:after="200" w:line="360" w:lineRule="auto"/>
        <w:jc w:val="center"/>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32"/>
          <w:szCs w:val="32"/>
        </w:rPr>
        <w:t>（自拟）</w:t>
      </w:r>
    </w:p>
    <w:p w14:paraId="2E90D798">
      <w:pPr>
        <w:pStyle w:val="8"/>
        <w:keepNext/>
        <w:keepLines/>
        <w:pageBreakBefore w:val="0"/>
        <w:widowControl w:val="0"/>
        <w:numPr>
          <w:ilvl w:val="1"/>
          <w:numId w:val="0"/>
        </w:numPr>
        <w:tabs>
          <w:tab w:val="clear" w:pos="840"/>
        </w:tabs>
        <w:kinsoku/>
        <w:wordWrap/>
        <w:overflowPunct/>
        <w:topLinePunct w:val="0"/>
        <w:autoSpaceDE/>
        <w:autoSpaceDN/>
        <w:bidi w:val="0"/>
        <w:adjustRightInd/>
        <w:snapToGrid/>
        <w:spacing w:before="0" w:after="0" w:line="360" w:lineRule="auto"/>
        <w:ind w:left="839" w:leftChars="0" w:hanging="420" w:firstLineChars="0"/>
        <w:textAlignment w:val="auto"/>
        <w:rPr>
          <w:rFonts w:hint="eastAsia" w:ascii="宋体" w:hAnsi="宋体" w:eastAsia="宋体" w:cs="宋体"/>
          <w:b w:val="0"/>
          <w:bCs w:val="0"/>
          <w:color w:val="auto"/>
          <w:kern w:val="0"/>
          <w:sz w:val="28"/>
          <w:szCs w:val="28"/>
        </w:rPr>
      </w:pPr>
      <w:bookmarkStart w:id="30" w:name="_Toc438305223"/>
      <w:r>
        <w:rPr>
          <w:rFonts w:hint="eastAsia" w:ascii="宋体" w:hAnsi="宋体" w:eastAsia="宋体" w:cs="宋体"/>
          <w:bCs/>
          <w:color w:val="auto"/>
          <w:szCs w:val="21"/>
        </w:rPr>
        <w:br w:type="page"/>
      </w:r>
      <w:bookmarkEnd w:id="30"/>
      <w:bookmarkStart w:id="31" w:name="_Toc14403"/>
      <w:bookmarkStart w:id="32" w:name="_Toc25552"/>
      <w:r>
        <w:rPr>
          <w:rFonts w:hint="eastAsia" w:ascii="宋体" w:hAnsi="宋体" w:eastAsia="宋体" w:cs="宋体"/>
          <w:color w:val="auto"/>
          <w:sz w:val="28"/>
          <w:szCs w:val="28"/>
          <w:lang w:val="en-US" w:eastAsia="zh-CN"/>
        </w:rPr>
        <w:t>一、磋商响应书</w:t>
      </w:r>
    </w:p>
    <w:p w14:paraId="40281BDD">
      <w:pPr>
        <w:widowControl/>
        <w:adjustRightInd w:val="0"/>
        <w:snapToGrid w:val="0"/>
        <w:spacing w:after="200" w:line="360" w:lineRule="auto"/>
        <w:jc w:val="center"/>
        <w:rPr>
          <w:rFonts w:hint="eastAsia" w:ascii="宋体" w:hAnsi="宋体" w:eastAsia="宋体" w:cs="宋体"/>
          <w:b w:val="0"/>
          <w:bCs w:val="0"/>
          <w:color w:val="auto"/>
          <w:kern w:val="0"/>
          <w:sz w:val="24"/>
          <w:szCs w:val="24"/>
        </w:rPr>
      </w:pPr>
      <w:r>
        <w:rPr>
          <w:rFonts w:hint="eastAsia" w:ascii="宋体" w:hAnsi="宋体" w:eastAsia="宋体" w:cs="宋体"/>
          <w:b w:val="0"/>
          <w:bCs w:val="0"/>
          <w:color w:val="auto"/>
          <w:kern w:val="0"/>
          <w:sz w:val="24"/>
          <w:szCs w:val="24"/>
        </w:rPr>
        <w:t>（一）磋商函</w:t>
      </w:r>
    </w:p>
    <w:p w14:paraId="1C8846C9">
      <w:pPr>
        <w:widowControl/>
        <w:adjustRightInd w:val="0"/>
        <w:snapToGrid w:val="0"/>
        <w:spacing w:line="360" w:lineRule="auto"/>
        <w:jc w:val="left"/>
        <w:rPr>
          <w:rFonts w:hint="eastAsia" w:ascii="宋体" w:hAnsi="宋体" w:eastAsia="宋体" w:cs="宋体"/>
          <w:color w:val="auto"/>
          <w:spacing w:val="24"/>
          <w:kern w:val="0"/>
          <w:sz w:val="28"/>
          <w:szCs w:val="28"/>
          <w:u w:val="single"/>
        </w:rPr>
      </w:pPr>
      <w:r>
        <w:rPr>
          <w:rFonts w:hint="eastAsia" w:ascii="宋体" w:hAnsi="宋体" w:eastAsia="宋体" w:cs="宋体"/>
          <w:color w:val="auto"/>
          <w:spacing w:val="24"/>
          <w:kern w:val="0"/>
          <w:sz w:val="28"/>
          <w:szCs w:val="28"/>
        </w:rPr>
        <w:t>致（采购人）：</w:t>
      </w:r>
      <w:r>
        <w:rPr>
          <w:rFonts w:hint="eastAsia" w:ascii="宋体" w:hAnsi="宋体" w:eastAsia="宋体" w:cs="宋体"/>
          <w:color w:val="auto"/>
          <w:spacing w:val="24"/>
          <w:kern w:val="0"/>
          <w:sz w:val="28"/>
          <w:szCs w:val="28"/>
          <w:u w:val="single"/>
        </w:rPr>
        <w:t xml:space="preserve">              </w:t>
      </w:r>
    </w:p>
    <w:p w14:paraId="1E5135B0">
      <w:pPr>
        <w:widowControl/>
        <w:adjustRightInd w:val="0"/>
        <w:snapToGrid w:val="0"/>
        <w:spacing w:line="360" w:lineRule="auto"/>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根据已收到贵方的</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项目名称、采购编号）的磋商文件，遵照《中华人民共和国政府采购法》等有关规定，我单位经考察现场和研究上述磋商文件的磋商须知、合同条款及其它有关文件后，我方愿按照国家规范要求，在确保质量的前提下，以人民币（大写）</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（小写）</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元的投标总报价，</w:t>
      </w:r>
      <w:r>
        <w:rPr>
          <w:rFonts w:hint="eastAsia" w:ascii="宋体" w:hAnsi="宋体" w:eastAsia="宋体" w:cs="宋体"/>
          <w:color w:val="auto"/>
          <w:kern w:val="0"/>
          <w:sz w:val="28"/>
          <w:szCs w:val="28"/>
          <w:lang w:eastAsia="zh-CN"/>
        </w:rPr>
        <w:t>服务周期</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eastAsia="zh-CN"/>
        </w:rPr>
        <w:t>质量要求</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w:t>
      </w:r>
    </w:p>
    <w:p w14:paraId="30ABE25C">
      <w:pPr>
        <w:widowControl/>
        <w:adjustRightInd w:val="0"/>
        <w:snapToGrid w:val="0"/>
        <w:spacing w:line="360" w:lineRule="auto"/>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我方已详细审核全部磋商文件，包括修改文件（如有）及有关附件，已充分理解并掌握了本磋商项目的全部有关情况，认为磋商文件符合法律、法规的要求，充分体现了公开、公平、公正和诚实信用原则，我方对磋商文件没有任何异议。同意接受磋商文件的全部内容和条件。</w:t>
      </w:r>
    </w:p>
    <w:p w14:paraId="41012513">
      <w:pPr>
        <w:widowControl/>
        <w:adjustRightInd w:val="0"/>
        <w:snapToGrid w:val="0"/>
        <w:spacing w:line="360" w:lineRule="auto"/>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2、我方承认磋商函附表是我方磋商函的组成部分。</w:t>
      </w:r>
    </w:p>
    <w:p w14:paraId="09710C22">
      <w:pPr>
        <w:widowControl/>
        <w:adjustRightInd w:val="0"/>
        <w:snapToGrid w:val="0"/>
        <w:spacing w:line="360" w:lineRule="auto"/>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3、如我方成交，我方承诺在收到成交通知书后，在成交通知书规定的期限内，根据磋商文件、我方的磋商响应文件及有关澄清承诺书的要求，与采购人订立书面合同，并按照合同约定承担完成合同的责任和义务。</w:t>
      </w:r>
    </w:p>
    <w:p w14:paraId="647F28C9">
      <w:pPr>
        <w:widowControl/>
        <w:adjustRightInd w:val="0"/>
        <w:snapToGrid w:val="0"/>
        <w:spacing w:line="360" w:lineRule="auto"/>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4、我方同意自本项目磋商文件中规定的磋商有效期内有效，并承诺在磋商有效期内不修改、撤销磋商响应文件。</w:t>
      </w:r>
    </w:p>
    <w:p w14:paraId="6F91B134">
      <w:pPr>
        <w:widowControl/>
        <w:adjustRightInd w:val="0"/>
        <w:snapToGrid w:val="0"/>
        <w:spacing w:line="360" w:lineRule="auto"/>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5、我方完全理解贵方不一定接受磋商报价最低的磋商供应商为成交供应商的行为。</w:t>
      </w:r>
    </w:p>
    <w:p w14:paraId="2DE01107">
      <w:pPr>
        <w:widowControl/>
        <w:adjustRightInd w:val="0"/>
        <w:snapToGrid w:val="0"/>
        <w:spacing w:line="360" w:lineRule="auto"/>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6、我方在此声明，所递交的磋商响应文件及有关资料内容完整、真实和准确。</w:t>
      </w:r>
    </w:p>
    <w:p w14:paraId="03D59485">
      <w:pPr>
        <w:widowControl/>
        <w:adjustRightInd w:val="0"/>
        <w:snapToGrid w:val="0"/>
        <w:spacing w:line="360" w:lineRule="auto"/>
        <w:ind w:firstLine="560" w:firstLineChars="200"/>
        <w:jc w:val="left"/>
        <w:rPr>
          <w:rFonts w:hint="eastAsia" w:ascii="宋体" w:hAnsi="宋体" w:eastAsia="宋体" w:cs="宋体"/>
          <w:color w:val="auto"/>
          <w:kern w:val="0"/>
          <w:sz w:val="28"/>
          <w:szCs w:val="28"/>
        </w:rPr>
      </w:pPr>
    </w:p>
    <w:p w14:paraId="1ACE025C">
      <w:pPr>
        <w:spacing w:line="480" w:lineRule="auto"/>
        <w:jc w:val="left"/>
        <w:rPr>
          <w:rFonts w:hint="eastAsia" w:ascii="宋体" w:hAnsi="宋体" w:eastAsia="宋体" w:cs="宋体"/>
          <w:color w:val="auto"/>
          <w:sz w:val="28"/>
          <w:szCs w:val="28"/>
        </w:rPr>
      </w:pPr>
      <w:r>
        <w:rPr>
          <w:rFonts w:hint="eastAsia" w:ascii="宋体" w:hAnsi="宋体" w:eastAsia="宋体" w:cs="宋体"/>
          <w:color w:val="auto"/>
          <w:sz w:val="28"/>
          <w:szCs w:val="28"/>
        </w:rPr>
        <w:t>供应商：</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（盖单位章）</w:t>
      </w:r>
    </w:p>
    <w:p w14:paraId="6E43949A">
      <w:pPr>
        <w:spacing w:line="480" w:lineRule="auto"/>
        <w:rPr>
          <w:rFonts w:hint="eastAsia" w:ascii="宋体" w:hAnsi="宋体" w:eastAsia="宋体" w:cs="宋体"/>
          <w:color w:val="auto"/>
          <w:sz w:val="28"/>
          <w:szCs w:val="28"/>
        </w:rPr>
      </w:pPr>
      <w:r>
        <w:rPr>
          <w:rFonts w:hint="eastAsia" w:ascii="宋体" w:hAnsi="宋体" w:eastAsia="宋体" w:cs="宋体"/>
          <w:color w:val="auto"/>
          <w:spacing w:val="24"/>
          <w:kern w:val="0"/>
          <w:sz w:val="28"/>
          <w:szCs w:val="28"/>
        </w:rPr>
        <w:t>法定代表人</w:t>
      </w:r>
      <w:r>
        <w:rPr>
          <w:rFonts w:hint="eastAsia" w:ascii="宋体" w:hAnsi="宋体" w:eastAsia="宋体" w:cs="宋体"/>
          <w:color w:val="auto"/>
          <w:sz w:val="28"/>
          <w:szCs w:val="28"/>
        </w:rPr>
        <w:t>：</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（电子签章）</w:t>
      </w:r>
    </w:p>
    <w:p w14:paraId="7C99E6DF">
      <w:pPr>
        <w:spacing w:line="480" w:lineRule="auto"/>
        <w:rPr>
          <w:rFonts w:hint="eastAsia" w:ascii="宋体" w:hAnsi="宋体" w:eastAsia="宋体" w:cs="宋体"/>
          <w:color w:val="auto"/>
          <w:sz w:val="28"/>
          <w:szCs w:val="28"/>
        </w:rPr>
      </w:pP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年</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月</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日</w:t>
      </w:r>
    </w:p>
    <w:p w14:paraId="420656C2">
      <w:pPr>
        <w:widowControl/>
        <w:adjustRightInd w:val="0"/>
        <w:snapToGrid w:val="0"/>
        <w:spacing w:line="360" w:lineRule="auto"/>
        <w:ind w:right="368"/>
        <w:jc w:val="left"/>
        <w:rPr>
          <w:rFonts w:hint="eastAsia" w:ascii="宋体" w:hAnsi="宋体" w:eastAsia="宋体" w:cs="宋体"/>
          <w:color w:val="auto"/>
          <w:spacing w:val="24"/>
          <w:kern w:val="0"/>
          <w:sz w:val="28"/>
          <w:szCs w:val="28"/>
        </w:rPr>
      </w:pPr>
    </w:p>
    <w:p w14:paraId="2E5C5779">
      <w:pPr>
        <w:widowControl/>
        <w:adjustRightInd w:val="0"/>
        <w:snapToGrid w:val="0"/>
        <w:spacing w:line="360" w:lineRule="auto"/>
        <w:jc w:val="left"/>
        <w:rPr>
          <w:rFonts w:hint="eastAsia" w:ascii="宋体" w:hAnsi="宋体" w:eastAsia="宋体" w:cs="宋体"/>
          <w:b/>
          <w:bCs/>
          <w:color w:val="auto"/>
          <w:kern w:val="0"/>
          <w:sz w:val="28"/>
          <w:szCs w:val="28"/>
        </w:rPr>
      </w:pPr>
      <w:r>
        <w:rPr>
          <w:rFonts w:hint="eastAsia" w:ascii="宋体" w:hAnsi="宋体" w:eastAsia="宋体" w:cs="宋体"/>
          <w:b/>
          <w:bCs/>
          <w:color w:val="auto"/>
          <w:kern w:val="0"/>
          <w:sz w:val="28"/>
          <w:szCs w:val="28"/>
        </w:rPr>
        <w:t>注：对本磋商函的任何修改将被视为非实质性响应磋商，从而导致该磋商被拒绝。</w:t>
      </w:r>
    </w:p>
    <w:p w14:paraId="651A7430">
      <w:pPr>
        <w:widowControl/>
        <w:spacing w:after="200" w:line="220" w:lineRule="atLeast"/>
        <w:jc w:val="center"/>
        <w:rPr>
          <w:rFonts w:hint="eastAsia" w:ascii="宋体" w:hAnsi="宋体" w:eastAsia="宋体" w:cs="宋体"/>
          <w:b/>
          <w:bCs/>
          <w:color w:val="auto"/>
          <w:kern w:val="0"/>
          <w:sz w:val="28"/>
          <w:szCs w:val="28"/>
          <w:lang w:bidi="en-US"/>
        </w:rPr>
      </w:pPr>
      <w:r>
        <w:rPr>
          <w:rFonts w:hint="eastAsia" w:ascii="宋体" w:hAnsi="宋体" w:eastAsia="宋体" w:cs="宋体"/>
          <w:b/>
          <w:bCs/>
          <w:color w:val="auto"/>
          <w:kern w:val="0"/>
          <w:sz w:val="28"/>
          <w:szCs w:val="28"/>
        </w:rPr>
        <w:br w:type="page"/>
      </w:r>
      <w:bookmarkStart w:id="33" w:name="_Toc246996358"/>
      <w:bookmarkStart w:id="34" w:name="_Toc179632810"/>
      <w:bookmarkStart w:id="35" w:name="_Toc247085876"/>
      <w:bookmarkStart w:id="36" w:name="_Toc27200"/>
      <w:bookmarkStart w:id="37" w:name="_Toc152042579"/>
      <w:bookmarkStart w:id="38" w:name="_Toc246997101"/>
      <w:bookmarkStart w:id="39" w:name="_Toc152045790"/>
      <w:bookmarkStart w:id="40" w:name="_Toc394651923"/>
      <w:bookmarkStart w:id="41" w:name="_Toc144974859"/>
      <w:r>
        <w:rPr>
          <w:rFonts w:hint="eastAsia" w:ascii="宋体" w:hAnsi="宋体" w:eastAsia="宋体" w:cs="宋体"/>
          <w:b w:val="0"/>
          <w:bCs w:val="0"/>
          <w:color w:val="auto"/>
          <w:kern w:val="0"/>
          <w:sz w:val="24"/>
          <w:szCs w:val="24"/>
          <w:lang w:bidi="en-US"/>
        </w:rPr>
        <w:t>（二）</w:t>
      </w:r>
      <w:bookmarkEnd w:id="33"/>
      <w:bookmarkEnd w:id="34"/>
      <w:bookmarkEnd w:id="35"/>
      <w:bookmarkEnd w:id="36"/>
      <w:bookmarkEnd w:id="37"/>
      <w:bookmarkEnd w:id="38"/>
      <w:bookmarkEnd w:id="39"/>
      <w:bookmarkEnd w:id="40"/>
      <w:bookmarkEnd w:id="41"/>
      <w:r>
        <w:rPr>
          <w:rFonts w:hint="eastAsia" w:ascii="宋体" w:hAnsi="宋体" w:eastAsia="宋体" w:cs="宋体"/>
          <w:b w:val="0"/>
          <w:bCs w:val="0"/>
          <w:color w:val="auto"/>
          <w:kern w:val="0"/>
          <w:sz w:val="24"/>
          <w:szCs w:val="24"/>
          <w:lang w:bidi="en-US"/>
        </w:rPr>
        <w:t>第一轮报价表</w:t>
      </w:r>
    </w:p>
    <w:tbl>
      <w:tblPr>
        <w:tblStyle w:val="19"/>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4112"/>
        <w:gridCol w:w="1275"/>
        <w:gridCol w:w="1985"/>
      </w:tblGrid>
      <w:tr w14:paraId="3A36A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525" w:type="dxa"/>
            <w:noWrap w:val="0"/>
            <w:vAlign w:val="center"/>
          </w:tcPr>
          <w:p w14:paraId="1A65D5FE">
            <w:pPr>
              <w:suppressAutoHyphens/>
              <w:adjustRightInd w:val="0"/>
              <w:snapToGrid w:val="0"/>
              <w:jc w:val="center"/>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项目名称</w:t>
            </w:r>
          </w:p>
        </w:tc>
        <w:tc>
          <w:tcPr>
            <w:tcW w:w="7372" w:type="dxa"/>
            <w:gridSpan w:val="3"/>
            <w:noWrap w:val="0"/>
            <w:vAlign w:val="top"/>
          </w:tcPr>
          <w:p w14:paraId="5509D456">
            <w:pPr>
              <w:widowControl/>
              <w:spacing w:after="200" w:line="220" w:lineRule="atLeast"/>
              <w:jc w:val="center"/>
              <w:rPr>
                <w:rFonts w:hint="eastAsia" w:ascii="宋体" w:hAnsi="宋体" w:eastAsia="宋体" w:cs="宋体"/>
                <w:b/>
                <w:color w:val="auto"/>
                <w:kern w:val="1"/>
                <w:sz w:val="24"/>
                <w:szCs w:val="24"/>
              </w:rPr>
            </w:pPr>
          </w:p>
        </w:tc>
      </w:tr>
      <w:tr w14:paraId="56068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25" w:type="dxa"/>
            <w:noWrap w:val="0"/>
            <w:vAlign w:val="center"/>
          </w:tcPr>
          <w:p w14:paraId="4406A3FA">
            <w:pPr>
              <w:suppressAutoHyphens/>
              <w:adjustRightInd w:val="0"/>
              <w:snapToGrid w:val="0"/>
              <w:jc w:val="center"/>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供应商名称</w:t>
            </w:r>
          </w:p>
        </w:tc>
        <w:tc>
          <w:tcPr>
            <w:tcW w:w="7372" w:type="dxa"/>
            <w:gridSpan w:val="3"/>
            <w:noWrap w:val="0"/>
            <w:vAlign w:val="top"/>
          </w:tcPr>
          <w:p w14:paraId="210BA5AE">
            <w:pPr>
              <w:widowControl/>
              <w:spacing w:after="200" w:line="220" w:lineRule="atLeast"/>
              <w:jc w:val="center"/>
              <w:rPr>
                <w:rFonts w:hint="eastAsia" w:ascii="宋体" w:hAnsi="宋体" w:eastAsia="宋体" w:cs="宋体"/>
                <w:b/>
                <w:color w:val="auto"/>
                <w:kern w:val="1"/>
                <w:sz w:val="24"/>
                <w:szCs w:val="24"/>
              </w:rPr>
            </w:pPr>
          </w:p>
        </w:tc>
      </w:tr>
      <w:tr w14:paraId="570E2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525" w:type="dxa"/>
            <w:noWrap w:val="0"/>
            <w:vAlign w:val="center"/>
          </w:tcPr>
          <w:p w14:paraId="30F1694A">
            <w:pPr>
              <w:suppressAutoHyphens/>
              <w:adjustRightInd w:val="0"/>
              <w:snapToGrid w:val="0"/>
              <w:jc w:val="center"/>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磋商总报价</w:t>
            </w:r>
          </w:p>
        </w:tc>
        <w:tc>
          <w:tcPr>
            <w:tcW w:w="7372" w:type="dxa"/>
            <w:gridSpan w:val="3"/>
            <w:noWrap w:val="0"/>
            <w:vAlign w:val="center"/>
          </w:tcPr>
          <w:p w14:paraId="5114306C">
            <w:pPr>
              <w:suppressAutoHyphens/>
              <w:jc w:val="left"/>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大写：</w:t>
            </w:r>
          </w:p>
          <w:p w14:paraId="4321533A">
            <w:pPr>
              <w:suppressAutoHyphens/>
              <w:jc w:val="left"/>
              <w:rPr>
                <w:rFonts w:hint="eastAsia" w:ascii="宋体" w:hAnsi="宋体" w:eastAsia="宋体" w:cs="宋体"/>
                <w:color w:val="auto"/>
                <w:kern w:val="1"/>
                <w:sz w:val="24"/>
                <w:szCs w:val="24"/>
              </w:rPr>
            </w:pPr>
          </w:p>
          <w:p w14:paraId="12FB1BBE">
            <w:pPr>
              <w:suppressAutoHyphens/>
              <w:jc w:val="left"/>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小写：</w:t>
            </w:r>
          </w:p>
        </w:tc>
      </w:tr>
      <w:tr w14:paraId="25345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525" w:type="dxa"/>
            <w:noWrap w:val="0"/>
            <w:vAlign w:val="center"/>
          </w:tcPr>
          <w:p w14:paraId="781BA5E9">
            <w:pPr>
              <w:suppressAutoHyphens/>
              <w:adjustRightInd w:val="0"/>
              <w:snapToGrid w:val="0"/>
              <w:jc w:val="center"/>
              <w:rPr>
                <w:rFonts w:hint="eastAsia" w:ascii="宋体" w:hAnsi="宋体" w:eastAsia="宋体" w:cs="宋体"/>
                <w:color w:val="auto"/>
                <w:kern w:val="1"/>
                <w:sz w:val="24"/>
                <w:szCs w:val="24"/>
                <w:lang w:eastAsia="zh-CN"/>
              </w:rPr>
            </w:pPr>
            <w:r>
              <w:rPr>
                <w:rFonts w:hint="eastAsia" w:ascii="宋体" w:hAnsi="宋体" w:eastAsia="宋体" w:cs="宋体"/>
                <w:color w:val="auto"/>
                <w:kern w:val="1"/>
                <w:sz w:val="24"/>
                <w:szCs w:val="24"/>
              </w:rPr>
              <w:t>服务</w:t>
            </w:r>
            <w:r>
              <w:rPr>
                <w:rFonts w:hint="eastAsia" w:ascii="宋体" w:hAnsi="宋体" w:eastAsia="宋体" w:cs="宋体"/>
                <w:color w:val="auto"/>
                <w:kern w:val="1"/>
                <w:sz w:val="24"/>
                <w:szCs w:val="24"/>
                <w:lang w:val="en-US" w:eastAsia="zh-CN"/>
              </w:rPr>
              <w:t>周期</w:t>
            </w:r>
          </w:p>
        </w:tc>
        <w:tc>
          <w:tcPr>
            <w:tcW w:w="7372" w:type="dxa"/>
            <w:gridSpan w:val="3"/>
            <w:noWrap w:val="0"/>
            <w:vAlign w:val="center"/>
          </w:tcPr>
          <w:p w14:paraId="35D4F839">
            <w:pPr>
              <w:suppressAutoHyphens/>
              <w:ind w:firstLine="240" w:firstLineChars="100"/>
              <w:jc w:val="left"/>
              <w:rPr>
                <w:rFonts w:hint="eastAsia" w:ascii="宋体" w:hAnsi="宋体" w:eastAsia="宋体" w:cs="宋体"/>
                <w:color w:val="auto"/>
                <w:kern w:val="1"/>
                <w:sz w:val="24"/>
                <w:szCs w:val="24"/>
              </w:rPr>
            </w:pPr>
          </w:p>
        </w:tc>
      </w:tr>
      <w:tr w14:paraId="7A65D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525" w:type="dxa"/>
            <w:noWrap w:val="0"/>
            <w:vAlign w:val="center"/>
          </w:tcPr>
          <w:p w14:paraId="5C7747B6">
            <w:pPr>
              <w:suppressAutoHyphens/>
              <w:adjustRightInd w:val="0"/>
              <w:snapToGrid w:val="0"/>
              <w:jc w:val="center"/>
              <w:rPr>
                <w:rFonts w:hint="eastAsia" w:ascii="宋体" w:hAnsi="宋体" w:eastAsia="宋体" w:cs="宋体"/>
                <w:color w:val="auto"/>
                <w:kern w:val="1"/>
                <w:sz w:val="24"/>
                <w:szCs w:val="24"/>
                <w:lang w:eastAsia="zh-CN"/>
              </w:rPr>
            </w:pPr>
            <w:r>
              <w:rPr>
                <w:rFonts w:hint="eastAsia" w:ascii="宋体" w:hAnsi="宋体" w:eastAsia="宋体" w:cs="宋体"/>
                <w:color w:val="auto"/>
                <w:kern w:val="1"/>
                <w:sz w:val="24"/>
                <w:szCs w:val="24"/>
                <w:lang w:eastAsia="zh-CN"/>
              </w:rPr>
              <w:t>质量要求</w:t>
            </w:r>
          </w:p>
        </w:tc>
        <w:tc>
          <w:tcPr>
            <w:tcW w:w="7372" w:type="dxa"/>
            <w:gridSpan w:val="3"/>
            <w:noWrap w:val="0"/>
            <w:vAlign w:val="top"/>
          </w:tcPr>
          <w:p w14:paraId="6D9A1E44">
            <w:pPr>
              <w:widowControl/>
              <w:spacing w:after="200" w:line="220" w:lineRule="atLeast"/>
              <w:jc w:val="center"/>
              <w:rPr>
                <w:rFonts w:hint="eastAsia" w:ascii="宋体" w:hAnsi="宋体" w:eastAsia="宋体" w:cs="宋体"/>
                <w:b/>
                <w:color w:val="auto"/>
                <w:kern w:val="1"/>
                <w:sz w:val="24"/>
                <w:szCs w:val="24"/>
              </w:rPr>
            </w:pPr>
          </w:p>
        </w:tc>
      </w:tr>
      <w:tr w14:paraId="45DCA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525" w:type="dxa"/>
            <w:noWrap w:val="0"/>
            <w:vAlign w:val="center"/>
          </w:tcPr>
          <w:p w14:paraId="598F9424">
            <w:pPr>
              <w:suppressAutoHyphens/>
              <w:adjustRightInd w:val="0"/>
              <w:snapToGrid w:val="0"/>
              <w:jc w:val="center"/>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磋商有效期</w:t>
            </w:r>
          </w:p>
        </w:tc>
        <w:tc>
          <w:tcPr>
            <w:tcW w:w="7372" w:type="dxa"/>
            <w:gridSpan w:val="3"/>
            <w:noWrap w:val="0"/>
            <w:vAlign w:val="top"/>
          </w:tcPr>
          <w:p w14:paraId="4C450DAF">
            <w:pPr>
              <w:widowControl/>
              <w:spacing w:after="200" w:line="220" w:lineRule="atLeast"/>
              <w:jc w:val="center"/>
              <w:rPr>
                <w:rFonts w:hint="eastAsia" w:ascii="宋体" w:hAnsi="宋体" w:eastAsia="宋体" w:cs="宋体"/>
                <w:b/>
                <w:color w:val="auto"/>
                <w:kern w:val="1"/>
                <w:sz w:val="24"/>
                <w:szCs w:val="24"/>
              </w:rPr>
            </w:pPr>
          </w:p>
        </w:tc>
      </w:tr>
      <w:tr w14:paraId="78C0E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25" w:type="dxa"/>
            <w:noWrap w:val="0"/>
            <w:vAlign w:val="center"/>
          </w:tcPr>
          <w:p w14:paraId="5E2CE5A4">
            <w:pPr>
              <w:suppressAutoHyphens/>
              <w:adjustRightInd w:val="0"/>
              <w:snapToGrid w:val="0"/>
              <w:jc w:val="center"/>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项目负责人</w:t>
            </w:r>
          </w:p>
        </w:tc>
        <w:tc>
          <w:tcPr>
            <w:tcW w:w="4112" w:type="dxa"/>
            <w:noWrap w:val="0"/>
            <w:vAlign w:val="top"/>
          </w:tcPr>
          <w:p w14:paraId="545762FC">
            <w:pPr>
              <w:suppressAutoHyphens/>
              <w:adjustRightInd w:val="0"/>
              <w:snapToGrid w:val="0"/>
              <w:ind w:firstLine="480" w:firstLineChars="200"/>
              <w:jc w:val="center"/>
              <w:rPr>
                <w:rFonts w:hint="eastAsia" w:ascii="宋体" w:hAnsi="宋体" w:eastAsia="宋体" w:cs="宋体"/>
                <w:color w:val="auto"/>
                <w:kern w:val="1"/>
                <w:sz w:val="24"/>
                <w:szCs w:val="24"/>
              </w:rPr>
            </w:pPr>
          </w:p>
        </w:tc>
        <w:tc>
          <w:tcPr>
            <w:tcW w:w="1275" w:type="dxa"/>
            <w:noWrap w:val="0"/>
            <w:vAlign w:val="center"/>
          </w:tcPr>
          <w:p w14:paraId="06B2A3C7">
            <w:pPr>
              <w:suppressAutoHyphens/>
              <w:adjustRightInd w:val="0"/>
              <w:snapToGrid w:val="0"/>
              <w:jc w:val="center"/>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证书编号</w:t>
            </w:r>
          </w:p>
        </w:tc>
        <w:tc>
          <w:tcPr>
            <w:tcW w:w="1985" w:type="dxa"/>
            <w:noWrap w:val="0"/>
            <w:vAlign w:val="top"/>
          </w:tcPr>
          <w:p w14:paraId="2AD780DC">
            <w:pPr>
              <w:widowControl/>
              <w:spacing w:after="200" w:line="220" w:lineRule="atLeast"/>
              <w:jc w:val="center"/>
              <w:rPr>
                <w:rFonts w:hint="eastAsia" w:ascii="宋体" w:hAnsi="宋体" w:eastAsia="宋体" w:cs="宋体"/>
                <w:b/>
                <w:color w:val="auto"/>
                <w:kern w:val="1"/>
                <w:sz w:val="24"/>
                <w:szCs w:val="24"/>
              </w:rPr>
            </w:pPr>
          </w:p>
        </w:tc>
      </w:tr>
      <w:tr w14:paraId="2619F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525" w:type="dxa"/>
            <w:noWrap w:val="0"/>
            <w:vAlign w:val="center"/>
          </w:tcPr>
          <w:p w14:paraId="1A46081F">
            <w:pPr>
              <w:suppressAutoHyphens/>
              <w:adjustRightInd w:val="0"/>
              <w:snapToGrid w:val="0"/>
              <w:jc w:val="center"/>
              <w:rPr>
                <w:rFonts w:hint="eastAsia" w:ascii="宋体" w:hAnsi="宋体" w:eastAsia="宋体" w:cs="宋体"/>
                <w:color w:val="auto"/>
                <w:kern w:val="1"/>
                <w:sz w:val="24"/>
                <w:szCs w:val="24"/>
              </w:rPr>
            </w:pPr>
            <w:r>
              <w:rPr>
                <w:rFonts w:hint="eastAsia" w:ascii="宋体" w:hAnsi="宋体" w:eastAsia="宋体" w:cs="宋体"/>
                <w:color w:val="auto"/>
                <w:kern w:val="1"/>
                <w:sz w:val="24"/>
                <w:szCs w:val="24"/>
              </w:rPr>
              <w:t>需要说明的问题</w:t>
            </w:r>
          </w:p>
        </w:tc>
        <w:tc>
          <w:tcPr>
            <w:tcW w:w="7372" w:type="dxa"/>
            <w:gridSpan w:val="3"/>
            <w:noWrap w:val="0"/>
            <w:vAlign w:val="top"/>
          </w:tcPr>
          <w:p w14:paraId="1AAD564C">
            <w:pPr>
              <w:widowControl/>
              <w:spacing w:after="200" w:line="220" w:lineRule="atLeast"/>
              <w:jc w:val="center"/>
              <w:rPr>
                <w:rFonts w:hint="eastAsia" w:ascii="宋体" w:hAnsi="宋体" w:eastAsia="宋体" w:cs="宋体"/>
                <w:b/>
                <w:color w:val="auto"/>
                <w:kern w:val="1"/>
                <w:sz w:val="24"/>
                <w:szCs w:val="24"/>
              </w:rPr>
            </w:pPr>
          </w:p>
        </w:tc>
      </w:tr>
    </w:tbl>
    <w:p w14:paraId="16230C5D">
      <w:pPr>
        <w:wordWrap w:val="0"/>
        <w:snapToGrid w:val="0"/>
        <w:spacing w:before="50" w:after="50" w:line="360" w:lineRule="auto"/>
        <w:ind w:firstLine="480" w:firstLineChars="200"/>
        <w:rPr>
          <w:rFonts w:ascii="宋体" w:hAnsi="宋体" w:cs="宋体"/>
          <w:color w:val="auto"/>
          <w:sz w:val="24"/>
          <w:szCs w:val="20"/>
          <w:highlight w:val="none"/>
          <w:lang w:eastAsia="zh-CN"/>
        </w:rPr>
      </w:pPr>
      <w:r>
        <w:rPr>
          <w:rFonts w:hint="eastAsia" w:ascii="宋体" w:hAnsi="宋体" w:cs="宋体"/>
          <w:color w:val="auto"/>
          <w:sz w:val="24"/>
          <w:highlight w:val="none"/>
          <w:lang w:eastAsia="zh-CN"/>
        </w:rPr>
        <w:t>注: 1、报价一经涂改，应在涂改处加盖单位公章，否则其响应作无效标处理。</w:t>
      </w:r>
    </w:p>
    <w:p w14:paraId="44D307BD">
      <w:pPr>
        <w:wordWrap w:val="0"/>
        <w:snapToGrid w:val="0"/>
        <w:spacing w:before="50" w:after="50" w:line="360" w:lineRule="auto"/>
        <w:ind w:firstLine="960" w:firstLineChars="400"/>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2、磋商费用</w:t>
      </w:r>
      <w:r>
        <w:rPr>
          <w:rFonts w:hint="eastAsia" w:ascii="宋体" w:hAnsi="宋体" w:cs="宋体"/>
          <w:color w:val="auto"/>
          <w:sz w:val="24"/>
          <w:highlight w:val="none"/>
          <w:lang w:val="en-US" w:eastAsia="zh-CN"/>
        </w:rPr>
        <w:t>包括完成本招标文件规定的服务、人员工资、后期服务费、利润、税金等所需的一切费用，漏报或少报的费用，视此费用已包含在报价中。</w:t>
      </w:r>
    </w:p>
    <w:p w14:paraId="39E5D54A">
      <w:pPr>
        <w:wordWrap w:val="0"/>
        <w:snapToGrid w:val="0"/>
        <w:spacing w:before="50" w:after="50" w:line="360" w:lineRule="auto"/>
        <w:ind w:firstLine="960" w:firstLineChars="400"/>
        <w:rPr>
          <w:rFonts w:ascii="宋体" w:hAnsi="宋体" w:cs="宋体"/>
          <w:color w:val="auto"/>
          <w:sz w:val="24"/>
          <w:highlight w:val="none"/>
          <w:lang w:eastAsia="zh-CN"/>
        </w:rPr>
      </w:pPr>
      <w:r>
        <w:rPr>
          <w:rFonts w:hint="eastAsia" w:ascii="宋体" w:hAnsi="宋体" w:cs="宋体"/>
          <w:color w:val="auto"/>
          <w:sz w:val="24"/>
          <w:highlight w:val="none"/>
          <w:lang w:eastAsia="zh-CN"/>
        </w:rPr>
        <w:t>3、</w:t>
      </w:r>
      <w:r>
        <w:rPr>
          <w:rFonts w:hint="eastAsia" w:cs="宋体"/>
          <w:color w:val="auto"/>
          <w:sz w:val="24"/>
          <w:highlight w:val="none"/>
          <w:lang w:eastAsia="zh-CN"/>
        </w:rPr>
        <w:t>响应人</w:t>
      </w:r>
      <w:r>
        <w:rPr>
          <w:rFonts w:hint="eastAsia" w:ascii="宋体" w:hAnsi="宋体" w:cs="宋体"/>
          <w:color w:val="auto"/>
          <w:sz w:val="24"/>
          <w:highlight w:val="none"/>
          <w:lang w:eastAsia="zh-CN"/>
        </w:rPr>
        <w:t>按格式填列，不得自行更改，否则引起的不利后果由</w:t>
      </w:r>
      <w:r>
        <w:rPr>
          <w:rFonts w:hint="eastAsia" w:cs="宋体"/>
          <w:color w:val="auto"/>
          <w:sz w:val="24"/>
          <w:highlight w:val="none"/>
          <w:lang w:eastAsia="zh-CN"/>
        </w:rPr>
        <w:t>响应人</w:t>
      </w:r>
      <w:r>
        <w:rPr>
          <w:rFonts w:hint="eastAsia" w:ascii="宋体" w:hAnsi="宋体" w:cs="宋体"/>
          <w:color w:val="auto"/>
          <w:sz w:val="24"/>
          <w:highlight w:val="none"/>
          <w:lang w:eastAsia="zh-CN"/>
        </w:rPr>
        <w:t>承担。</w:t>
      </w:r>
    </w:p>
    <w:p w14:paraId="3DA2A4DC">
      <w:pPr>
        <w:widowControl/>
        <w:spacing w:after="200" w:line="276" w:lineRule="auto"/>
        <w:jc w:val="left"/>
        <w:rPr>
          <w:rFonts w:hint="eastAsia" w:ascii="宋体" w:hAnsi="宋体" w:eastAsia="宋体" w:cs="宋体"/>
          <w:color w:val="auto"/>
          <w:kern w:val="0"/>
          <w:sz w:val="28"/>
          <w:szCs w:val="28"/>
          <w:lang w:bidi="en-US"/>
        </w:rPr>
      </w:pPr>
    </w:p>
    <w:p w14:paraId="6ADA623D">
      <w:pPr>
        <w:spacing w:line="400" w:lineRule="exact"/>
        <w:ind w:firstLine="3564" w:firstLineChars="1485"/>
        <w:rPr>
          <w:rFonts w:hint="eastAsia" w:ascii="宋体" w:hAnsi="宋体" w:eastAsia="宋体" w:cs="宋体"/>
          <w:color w:val="auto"/>
          <w:sz w:val="24"/>
          <w:szCs w:val="24"/>
        </w:rPr>
      </w:pPr>
    </w:p>
    <w:p w14:paraId="194CE2CD">
      <w:pPr>
        <w:spacing w:line="48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14:paraId="68C06F5A">
      <w:pPr>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法定代表人或其授权委托人：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（电子签章）</w:t>
      </w:r>
    </w:p>
    <w:p w14:paraId="0B3D48A1">
      <w:pPr>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74A4FBE6">
      <w:pPr>
        <w:widowControl/>
        <w:spacing w:after="200" w:line="220" w:lineRule="atLeast"/>
        <w:jc w:val="left"/>
        <w:rPr>
          <w:rFonts w:hint="eastAsia" w:ascii="宋体" w:hAnsi="宋体" w:eastAsia="宋体" w:cs="宋体"/>
          <w:b/>
          <w:bCs/>
          <w:color w:val="auto"/>
          <w:kern w:val="0"/>
          <w:sz w:val="24"/>
          <w:szCs w:val="24"/>
        </w:rPr>
        <w:sectPr>
          <w:pgSz w:w="11906" w:h="16838"/>
          <w:pgMar w:top="1247" w:right="1588" w:bottom="1247" w:left="1588" w:header="720" w:footer="720" w:gutter="0"/>
          <w:cols w:space="720" w:num="1"/>
          <w:docGrid w:type="lines" w:linePitch="312" w:charSpace="0"/>
        </w:sectPr>
      </w:pPr>
    </w:p>
    <w:p w14:paraId="07C562CB">
      <w:pPr>
        <w:pStyle w:val="8"/>
        <w:keepNext/>
        <w:keepLines/>
        <w:pageBreakBefore w:val="0"/>
        <w:widowControl w:val="0"/>
        <w:numPr>
          <w:ilvl w:val="1"/>
          <w:numId w:val="0"/>
        </w:numPr>
        <w:tabs>
          <w:tab w:val="clear" w:pos="840"/>
        </w:tabs>
        <w:kinsoku/>
        <w:wordWrap/>
        <w:overflowPunct/>
        <w:topLinePunct w:val="0"/>
        <w:autoSpaceDE/>
        <w:autoSpaceDN/>
        <w:bidi w:val="0"/>
        <w:adjustRightInd/>
        <w:snapToGrid/>
        <w:spacing w:before="0" w:after="0" w:line="360" w:lineRule="auto"/>
        <w:ind w:left="839" w:leftChars="0" w:hanging="420" w:firstLineChars="0"/>
        <w:textAlignment w:val="auto"/>
        <w:rPr>
          <w:rFonts w:hint="eastAsia" w:ascii="宋体" w:hAnsi="宋体" w:eastAsia="宋体" w:cs="宋体"/>
          <w:color w:val="auto"/>
          <w:sz w:val="28"/>
          <w:szCs w:val="28"/>
          <w:lang w:val="en-US" w:eastAsia="zh-CN"/>
        </w:rPr>
      </w:pPr>
      <w:bookmarkStart w:id="42" w:name="_Toc476231086"/>
      <w:bookmarkStart w:id="43" w:name="_Toc470786259"/>
      <w:bookmarkStart w:id="44" w:name="_Toc380755771"/>
      <w:bookmarkStart w:id="45" w:name="_Toc367029172"/>
      <w:r>
        <w:rPr>
          <w:rFonts w:hint="eastAsia" w:ascii="宋体" w:hAnsi="宋体" w:eastAsia="宋体" w:cs="宋体"/>
          <w:color w:val="auto"/>
          <w:sz w:val="28"/>
          <w:szCs w:val="28"/>
          <w:lang w:val="en-US" w:eastAsia="zh-CN"/>
        </w:rPr>
        <w:t>二、</w:t>
      </w:r>
      <w:bookmarkEnd w:id="42"/>
      <w:bookmarkEnd w:id="43"/>
      <w:bookmarkEnd w:id="44"/>
      <w:bookmarkEnd w:id="45"/>
      <w:r>
        <w:rPr>
          <w:rFonts w:hint="eastAsia" w:ascii="宋体" w:hAnsi="宋体" w:eastAsia="宋体" w:cs="宋体"/>
          <w:color w:val="auto"/>
          <w:sz w:val="28"/>
          <w:szCs w:val="28"/>
          <w:lang w:val="en-US" w:eastAsia="zh-CN"/>
        </w:rPr>
        <w:t>法定代表人身份证明</w:t>
      </w:r>
      <w:bookmarkStart w:id="46" w:name="_Toc5843"/>
      <w:bookmarkStart w:id="47" w:name="_Toc28381"/>
      <w:bookmarkStart w:id="48" w:name="_Toc5955"/>
    </w:p>
    <w:bookmarkEnd w:id="46"/>
    <w:bookmarkEnd w:id="47"/>
    <w:bookmarkEnd w:id="48"/>
    <w:p w14:paraId="0B377888">
      <w:pPr>
        <w:widowControl/>
        <w:adjustRightInd w:val="0"/>
        <w:snapToGrid w:val="0"/>
        <w:spacing w:after="200" w:line="360" w:lineRule="auto"/>
        <w:jc w:val="left"/>
        <w:rPr>
          <w:rFonts w:hint="eastAsia" w:ascii="宋体" w:hAnsi="宋体" w:eastAsia="宋体" w:cs="宋体"/>
          <w:color w:val="auto"/>
          <w:kern w:val="0"/>
          <w:sz w:val="24"/>
          <w:szCs w:val="24"/>
        </w:rPr>
      </w:pPr>
    </w:p>
    <w:p w14:paraId="0A4CB2E3">
      <w:pPr>
        <w:widowControl/>
        <w:adjustRightInd w:val="0"/>
        <w:snapToGrid w:val="0"/>
        <w:spacing w:after="200" w:line="360" w:lineRule="auto"/>
        <w:ind w:firstLine="424" w:firstLineChars="177"/>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供应商名称：</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w:t>
      </w:r>
    </w:p>
    <w:p w14:paraId="2242BFA9">
      <w:pPr>
        <w:widowControl/>
        <w:adjustRightInd w:val="0"/>
        <w:snapToGrid w:val="0"/>
        <w:spacing w:after="200" w:line="360" w:lineRule="auto"/>
        <w:ind w:firstLine="424" w:firstLineChars="177"/>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单位性质：</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w:t>
      </w:r>
    </w:p>
    <w:p w14:paraId="6EE827B7">
      <w:pPr>
        <w:widowControl/>
        <w:adjustRightInd w:val="0"/>
        <w:snapToGrid w:val="0"/>
        <w:spacing w:after="200" w:line="360" w:lineRule="auto"/>
        <w:ind w:firstLine="424" w:firstLineChars="177"/>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地址：</w:t>
      </w:r>
      <w:r>
        <w:rPr>
          <w:rFonts w:hint="eastAsia" w:ascii="宋体" w:hAnsi="宋体" w:eastAsia="宋体" w:cs="宋体"/>
          <w:color w:val="auto"/>
          <w:kern w:val="0"/>
          <w:sz w:val="24"/>
          <w:szCs w:val="24"/>
          <w:u w:val="single"/>
        </w:rPr>
        <w:t xml:space="preserve">                                   </w:t>
      </w:r>
    </w:p>
    <w:p w14:paraId="70210802">
      <w:pPr>
        <w:widowControl/>
        <w:adjustRightInd w:val="0"/>
        <w:snapToGrid w:val="0"/>
        <w:spacing w:after="200" w:line="360" w:lineRule="auto"/>
        <w:ind w:firstLine="424" w:firstLineChars="177"/>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成立时间：</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日</w:t>
      </w:r>
    </w:p>
    <w:p w14:paraId="5D3AB047">
      <w:pPr>
        <w:widowControl/>
        <w:adjustRightInd w:val="0"/>
        <w:snapToGrid w:val="0"/>
        <w:spacing w:after="200" w:line="360" w:lineRule="auto"/>
        <w:ind w:firstLine="424" w:firstLineChars="177"/>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经营期限：</w:t>
      </w:r>
      <w:r>
        <w:rPr>
          <w:rFonts w:hint="eastAsia" w:ascii="宋体" w:hAnsi="宋体" w:eastAsia="宋体" w:cs="宋体"/>
          <w:color w:val="auto"/>
          <w:kern w:val="0"/>
          <w:sz w:val="24"/>
          <w:szCs w:val="24"/>
          <w:u w:val="single"/>
        </w:rPr>
        <w:t xml:space="preserve">                               </w:t>
      </w:r>
    </w:p>
    <w:p w14:paraId="5A98C3D1">
      <w:pPr>
        <w:widowControl/>
        <w:adjustRightInd w:val="0"/>
        <w:snapToGrid w:val="0"/>
        <w:spacing w:after="200" w:line="360" w:lineRule="auto"/>
        <w:ind w:firstLine="424" w:firstLineChars="177"/>
        <w:jc w:val="left"/>
        <w:rPr>
          <w:rFonts w:hint="eastAsia" w:ascii="宋体" w:hAnsi="宋体" w:eastAsia="宋体" w:cs="宋体"/>
          <w:color w:val="auto"/>
          <w:kern w:val="0"/>
          <w:sz w:val="24"/>
          <w:szCs w:val="24"/>
          <w:u w:val="single"/>
        </w:rPr>
      </w:pPr>
      <w:r>
        <w:rPr>
          <w:rFonts w:hint="eastAsia" w:ascii="宋体" w:hAnsi="宋体" w:eastAsia="宋体" w:cs="宋体"/>
          <w:color w:val="auto"/>
          <w:kern w:val="0"/>
          <w:sz w:val="24"/>
          <w:szCs w:val="24"/>
        </w:rPr>
        <w:t>姓名：</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性别：</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年龄：</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职务：</w:t>
      </w:r>
      <w:r>
        <w:rPr>
          <w:rFonts w:hint="eastAsia" w:ascii="宋体" w:hAnsi="宋体" w:eastAsia="宋体" w:cs="宋体"/>
          <w:color w:val="auto"/>
          <w:kern w:val="0"/>
          <w:sz w:val="24"/>
          <w:szCs w:val="24"/>
          <w:u w:val="single"/>
        </w:rPr>
        <w:t xml:space="preserve">          </w:t>
      </w:r>
    </w:p>
    <w:p w14:paraId="4458288F">
      <w:pPr>
        <w:widowControl/>
        <w:adjustRightInd w:val="0"/>
        <w:snapToGrid w:val="0"/>
        <w:spacing w:after="200" w:line="360" w:lineRule="auto"/>
        <w:ind w:firstLine="424" w:firstLineChars="177"/>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系</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 （供应商名称）的法定代表人。</w:t>
      </w:r>
    </w:p>
    <w:p w14:paraId="5ED59079">
      <w:pPr>
        <w:widowControl/>
        <w:adjustRightInd w:val="0"/>
        <w:snapToGrid w:val="0"/>
        <w:spacing w:after="200" w:line="48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特此证明。</w:t>
      </w:r>
    </w:p>
    <w:p w14:paraId="68864D9E">
      <w:pPr>
        <w:widowControl/>
        <w:adjustRightInd w:val="0"/>
        <w:snapToGrid w:val="0"/>
        <w:spacing w:after="200" w:line="480" w:lineRule="auto"/>
        <w:ind w:firstLine="424" w:firstLineChars="177"/>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附：法定代表人身份证复印件。 </w:t>
      </w:r>
    </w:p>
    <w:p w14:paraId="006F59D4">
      <w:pPr>
        <w:widowControl/>
        <w:adjustRightInd w:val="0"/>
        <w:snapToGrid w:val="0"/>
        <w:spacing w:after="200" w:line="480" w:lineRule="auto"/>
        <w:ind w:firstLine="424" w:firstLineChars="177"/>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供应商：</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 xml:space="preserve">(盖单位章) </w:t>
      </w:r>
    </w:p>
    <w:p w14:paraId="4302C004">
      <w:pPr>
        <w:widowControl/>
        <w:adjustRightInd w:val="0"/>
        <w:snapToGrid w:val="0"/>
        <w:spacing w:after="200" w:line="480" w:lineRule="auto"/>
        <w:ind w:firstLine="424" w:firstLineChars="177"/>
        <w:jc w:val="left"/>
        <w:rPr>
          <w:rFonts w:hint="eastAsia" w:ascii="宋体" w:hAnsi="宋体" w:eastAsia="宋体" w:cs="宋体"/>
          <w:color w:val="auto"/>
          <w:kern w:val="0"/>
          <w:sz w:val="28"/>
          <w:szCs w:val="28"/>
        </w:rPr>
      </w:pPr>
      <w:r>
        <w:rPr>
          <w:rFonts w:hint="eastAsia" w:ascii="宋体" w:hAnsi="宋体" w:eastAsia="宋体" w:cs="宋体"/>
          <w:color w:val="auto"/>
          <w:kern w:val="0"/>
          <w:sz w:val="24"/>
          <w:szCs w:val="24"/>
        </w:rPr>
        <w:t>日  期：______年_____月</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日</w:t>
      </w:r>
      <w:r>
        <w:rPr>
          <w:rFonts w:hint="eastAsia" w:ascii="宋体" w:hAnsi="宋体" w:eastAsia="宋体" w:cs="宋体"/>
          <w:color w:val="auto"/>
          <w:kern w:val="0"/>
          <w:sz w:val="28"/>
          <w:szCs w:val="28"/>
        </w:rPr>
        <w:t xml:space="preserve">  </w:t>
      </w:r>
    </w:p>
    <w:p w14:paraId="7632B81D">
      <w:pPr>
        <w:widowControl/>
        <w:adjustRightInd w:val="0"/>
        <w:snapToGrid w:val="0"/>
        <w:spacing w:after="200" w:line="360" w:lineRule="auto"/>
        <w:ind w:left="4740" w:leftChars="2257"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 </w:t>
      </w:r>
    </w:p>
    <w:p w14:paraId="419C8F6E">
      <w:pPr>
        <w:widowControl/>
        <w:spacing w:after="200" w:line="220" w:lineRule="atLeast"/>
        <w:jc w:val="left"/>
        <w:rPr>
          <w:rFonts w:hint="eastAsia" w:ascii="宋体" w:hAnsi="宋体" w:eastAsia="宋体" w:cs="宋体"/>
          <w:b/>
          <w:color w:val="auto"/>
          <w:kern w:val="0"/>
          <w:sz w:val="11"/>
          <w:szCs w:val="11"/>
        </w:rPr>
      </w:pPr>
      <w:bookmarkStart w:id="49" w:name="_Toc12633"/>
      <w:bookmarkStart w:id="50" w:name="_Toc22161"/>
      <w:bookmarkStart w:id="51" w:name="_Toc29611"/>
      <w:r>
        <w:rPr>
          <w:rFonts w:hint="eastAsia" w:ascii="宋体" w:hAnsi="宋体" w:eastAsia="宋体" w:cs="宋体"/>
          <w:b/>
          <w:color w:val="auto"/>
          <w:kern w:val="0"/>
          <w:sz w:val="28"/>
          <w:szCs w:val="28"/>
        </w:rPr>
        <w:br w:type="page"/>
      </w:r>
    </w:p>
    <w:p w14:paraId="42616171">
      <w:pPr>
        <w:pStyle w:val="8"/>
        <w:keepNext/>
        <w:keepLines/>
        <w:pageBreakBefore w:val="0"/>
        <w:widowControl w:val="0"/>
        <w:numPr>
          <w:ilvl w:val="1"/>
          <w:numId w:val="0"/>
        </w:numPr>
        <w:tabs>
          <w:tab w:val="clear" w:pos="840"/>
        </w:tabs>
        <w:kinsoku/>
        <w:wordWrap/>
        <w:overflowPunct/>
        <w:topLinePunct w:val="0"/>
        <w:autoSpaceDE/>
        <w:autoSpaceDN/>
        <w:bidi w:val="0"/>
        <w:adjustRightInd/>
        <w:snapToGrid/>
        <w:spacing w:before="0" w:after="0" w:line="360" w:lineRule="auto"/>
        <w:ind w:left="839" w:leftChars="0" w:hanging="420" w:firstLineChars="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三、</w:t>
      </w:r>
      <w:r>
        <w:rPr>
          <w:rFonts w:hint="eastAsia" w:ascii="宋体" w:hAnsi="宋体" w:eastAsia="宋体" w:cs="宋体"/>
          <w:color w:val="auto"/>
          <w:sz w:val="28"/>
          <w:szCs w:val="28"/>
        </w:rPr>
        <w:t>授权委托书</w:t>
      </w:r>
    </w:p>
    <w:bookmarkEnd w:id="49"/>
    <w:bookmarkEnd w:id="50"/>
    <w:bookmarkEnd w:id="51"/>
    <w:p w14:paraId="0726EF83">
      <w:pPr>
        <w:widowControl/>
        <w:topLinePunct/>
        <w:adjustRightInd w:val="0"/>
        <w:snapToGrid w:val="0"/>
        <w:spacing w:after="200" w:line="360" w:lineRule="auto"/>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本人</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（姓名）系</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（供应商名称）的法定代表人，现委托</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（姓名）为我方代理人。代理人根据授权，以我方名义签署、澄清、说明、补正、递交、撤回、修改</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（项目名称）磋商响应文件、签订合同和处理有关事宜，其法律后果由我方承担。</w:t>
      </w:r>
    </w:p>
    <w:p w14:paraId="1C8BE191">
      <w:pPr>
        <w:widowControl/>
        <w:adjustRightInd w:val="0"/>
        <w:snapToGrid w:val="0"/>
        <w:spacing w:after="200" w:line="360" w:lineRule="auto"/>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    委托期限：</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w:t>
      </w:r>
    </w:p>
    <w:p w14:paraId="08CF62C9">
      <w:pPr>
        <w:widowControl/>
        <w:adjustRightInd w:val="0"/>
        <w:snapToGrid w:val="0"/>
        <w:spacing w:after="200" w:line="360" w:lineRule="auto"/>
        <w:ind w:firstLine="560" w:firstLineChars="200"/>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代理人无转委托权。</w:t>
      </w:r>
    </w:p>
    <w:p w14:paraId="0EBD0965">
      <w:pPr>
        <w:widowControl/>
        <w:adjustRightInd w:val="0"/>
        <w:snapToGrid w:val="0"/>
        <w:spacing w:after="200" w:line="360" w:lineRule="auto"/>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附：法定代表人身份证扫描件及委托代理人身份证扫描件。</w:t>
      </w:r>
    </w:p>
    <w:p w14:paraId="1DBC22AB">
      <w:pPr>
        <w:widowControl/>
        <w:adjustRightInd w:val="0"/>
        <w:snapToGrid w:val="0"/>
        <w:spacing w:after="200" w:line="360" w:lineRule="auto"/>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   供应商：</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（盖单位章）</w:t>
      </w:r>
    </w:p>
    <w:p w14:paraId="426A8C9D">
      <w:pPr>
        <w:widowControl/>
        <w:adjustRightInd w:val="0"/>
        <w:snapToGrid w:val="0"/>
        <w:spacing w:after="200" w:line="360" w:lineRule="auto"/>
        <w:ind w:firstLine="425" w:firstLineChars="152"/>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法定代表人：</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（电子签章）</w:t>
      </w:r>
    </w:p>
    <w:p w14:paraId="3C68394C">
      <w:pPr>
        <w:widowControl/>
        <w:adjustRightInd w:val="0"/>
        <w:snapToGrid w:val="0"/>
        <w:spacing w:after="200" w:line="360" w:lineRule="auto"/>
        <w:jc w:val="left"/>
        <w:rPr>
          <w:rFonts w:hint="eastAsia" w:ascii="宋体" w:hAnsi="宋体" w:eastAsia="宋体" w:cs="宋体"/>
          <w:color w:val="auto"/>
          <w:kern w:val="0"/>
          <w:sz w:val="28"/>
          <w:szCs w:val="28"/>
          <w:u w:val="single"/>
        </w:rPr>
      </w:pPr>
      <w:r>
        <w:rPr>
          <w:rFonts w:hint="eastAsia" w:ascii="宋体" w:hAnsi="宋体" w:eastAsia="宋体" w:cs="宋体"/>
          <w:color w:val="auto"/>
          <w:kern w:val="0"/>
          <w:sz w:val="28"/>
          <w:szCs w:val="28"/>
        </w:rPr>
        <w:t xml:space="preserve">   身份证号码：</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附身份证扫描件</w:t>
      </w:r>
    </w:p>
    <w:p w14:paraId="168A0F78">
      <w:pPr>
        <w:widowControl/>
        <w:adjustRightInd w:val="0"/>
        <w:snapToGrid w:val="0"/>
        <w:spacing w:after="200" w:line="360" w:lineRule="auto"/>
        <w:ind w:firstLine="425" w:firstLineChars="152"/>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委托代理人：</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（签字）</w:t>
      </w:r>
    </w:p>
    <w:p w14:paraId="20D059C2">
      <w:pPr>
        <w:widowControl/>
        <w:adjustRightInd w:val="0"/>
        <w:snapToGrid w:val="0"/>
        <w:spacing w:after="200" w:line="360" w:lineRule="auto"/>
        <w:ind w:firstLine="425" w:firstLineChars="152"/>
        <w:jc w:val="left"/>
        <w:rPr>
          <w:rFonts w:hint="eastAsia" w:ascii="宋体" w:hAnsi="宋体" w:eastAsia="宋体" w:cs="宋体"/>
          <w:color w:val="auto"/>
          <w:sz w:val="28"/>
          <w:szCs w:val="28"/>
        </w:rPr>
      </w:pPr>
      <w:r>
        <w:rPr>
          <w:rFonts w:hint="eastAsia" w:ascii="宋体" w:hAnsi="宋体" w:eastAsia="宋体" w:cs="宋体"/>
          <w:color w:val="auto"/>
          <w:kern w:val="0"/>
          <w:sz w:val="28"/>
          <w:szCs w:val="28"/>
        </w:rPr>
        <w:t>身份证号码：</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附身份证扫描件</w:t>
      </w:r>
    </w:p>
    <w:p w14:paraId="2B2EFD6F">
      <w:pPr>
        <w:widowControl/>
        <w:adjustRightInd w:val="0"/>
        <w:snapToGrid w:val="0"/>
        <w:spacing w:after="200" w:line="360" w:lineRule="auto"/>
        <w:ind w:firstLine="1545" w:firstLineChars="552"/>
        <w:jc w:val="left"/>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 xml:space="preserve">          </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年</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u w:val="single"/>
        </w:rPr>
        <w:t xml:space="preserve">    </w:t>
      </w:r>
      <w:r>
        <w:rPr>
          <w:rFonts w:hint="eastAsia" w:ascii="宋体" w:hAnsi="宋体" w:eastAsia="宋体" w:cs="宋体"/>
          <w:color w:val="auto"/>
          <w:kern w:val="0"/>
          <w:sz w:val="28"/>
          <w:szCs w:val="28"/>
        </w:rPr>
        <w:t>日</w:t>
      </w:r>
    </w:p>
    <w:p w14:paraId="76829F27">
      <w:pPr>
        <w:widowControl/>
        <w:adjustRightInd w:val="0"/>
        <w:snapToGrid w:val="0"/>
        <w:spacing w:after="200" w:line="480" w:lineRule="exact"/>
        <w:ind w:firstLine="482" w:firstLineChars="200"/>
        <w:jc w:val="left"/>
        <w:rPr>
          <w:rFonts w:hint="eastAsia" w:ascii="宋体" w:hAnsi="宋体" w:eastAsia="宋体" w:cs="宋体"/>
          <w:color w:val="auto"/>
          <w:kern w:val="0"/>
          <w:sz w:val="28"/>
          <w:szCs w:val="28"/>
        </w:rPr>
      </w:pPr>
      <w:r>
        <w:rPr>
          <w:rFonts w:hint="eastAsia" w:ascii="宋体" w:hAnsi="宋体" w:eastAsia="宋体" w:cs="宋体"/>
          <w:b/>
          <w:bCs/>
          <w:color w:val="auto"/>
          <w:kern w:val="0"/>
          <w:sz w:val="24"/>
        </w:rPr>
        <w:t>注：因磋商响应文件中授权委托书授权代理人无法手写签字，可以以印刷体代替（印刷体为电脑打出的字体）。</w:t>
      </w:r>
    </w:p>
    <w:p w14:paraId="23AEFC4D">
      <w:pPr>
        <w:pStyle w:val="8"/>
        <w:keepNext/>
        <w:keepLines/>
        <w:pageBreakBefore w:val="0"/>
        <w:widowControl w:val="0"/>
        <w:numPr>
          <w:ilvl w:val="1"/>
          <w:numId w:val="0"/>
        </w:numPr>
        <w:tabs>
          <w:tab w:val="clear" w:pos="840"/>
        </w:tabs>
        <w:kinsoku/>
        <w:wordWrap/>
        <w:overflowPunct/>
        <w:topLinePunct w:val="0"/>
        <w:autoSpaceDE/>
        <w:autoSpaceDN/>
        <w:bidi w:val="0"/>
        <w:adjustRightInd/>
        <w:snapToGrid/>
        <w:spacing w:before="0" w:after="0" w:line="360" w:lineRule="auto"/>
        <w:ind w:left="839" w:leftChars="0" w:hanging="420" w:firstLineChars="0"/>
        <w:textAlignment w:val="auto"/>
        <w:rPr>
          <w:rFonts w:hint="eastAsia" w:ascii="宋体" w:hAnsi="宋体" w:eastAsia="宋体" w:cs="宋体"/>
          <w:bCs/>
          <w:color w:val="auto"/>
          <w:kern w:val="0"/>
          <w:szCs w:val="30"/>
        </w:rPr>
      </w:pPr>
      <w:r>
        <w:rPr>
          <w:rFonts w:hint="eastAsia" w:ascii="宋体" w:hAnsi="宋体" w:eastAsia="宋体" w:cs="宋体"/>
          <w:color w:val="auto"/>
          <w:kern w:val="0"/>
          <w:szCs w:val="28"/>
        </w:rPr>
        <w:br w:type="page"/>
      </w:r>
      <w:r>
        <w:rPr>
          <w:rFonts w:hint="eastAsia" w:ascii="宋体" w:hAnsi="宋体" w:eastAsia="宋体" w:cs="宋体"/>
          <w:color w:val="auto"/>
          <w:sz w:val="28"/>
          <w:szCs w:val="28"/>
        </w:rPr>
        <w:t>四、磋商承诺函</w:t>
      </w:r>
    </w:p>
    <w:p w14:paraId="31F1C9F3">
      <w:pPr>
        <w:widowControl/>
        <w:shd w:val="clear" w:color="auto" w:fill="FFFFFF"/>
        <w:spacing w:line="360" w:lineRule="auto"/>
        <w:rPr>
          <w:rFonts w:hint="eastAsia" w:ascii="宋体" w:hAnsi="宋体" w:eastAsia="宋体" w:cs="宋体"/>
          <w:color w:val="auto"/>
          <w:spacing w:val="8"/>
          <w:kern w:val="0"/>
          <w:sz w:val="24"/>
          <w:szCs w:val="24"/>
          <w:u w:val="single"/>
        </w:rPr>
      </w:pPr>
      <w:r>
        <w:rPr>
          <w:rFonts w:hint="eastAsia" w:ascii="宋体" w:hAnsi="宋体" w:eastAsia="宋体" w:cs="宋体"/>
          <w:color w:val="auto"/>
          <w:kern w:val="0"/>
          <w:sz w:val="24"/>
          <w:szCs w:val="24"/>
        </w:rPr>
        <w:t>致（采购人）</w:t>
      </w:r>
      <w:r>
        <w:rPr>
          <w:rFonts w:hint="eastAsia" w:ascii="宋体" w:hAnsi="宋体" w:eastAsia="宋体" w:cs="宋体"/>
          <w:color w:val="auto"/>
          <w:spacing w:val="8"/>
          <w:kern w:val="0"/>
          <w:sz w:val="24"/>
          <w:szCs w:val="24"/>
        </w:rPr>
        <w:t>：</w:t>
      </w:r>
      <w:r>
        <w:rPr>
          <w:rFonts w:hint="eastAsia" w:ascii="宋体" w:hAnsi="宋体" w:eastAsia="宋体" w:cs="宋体"/>
          <w:color w:val="auto"/>
          <w:spacing w:val="8"/>
          <w:kern w:val="0"/>
          <w:sz w:val="24"/>
          <w:szCs w:val="24"/>
          <w:u w:val="single"/>
        </w:rPr>
        <w:t xml:space="preserve">                        </w:t>
      </w:r>
    </w:p>
    <w:p w14:paraId="0DD15671">
      <w:pPr>
        <w:widowControl/>
        <w:shd w:val="clear" w:color="auto" w:fill="FFFFFF"/>
        <w:spacing w:line="360" w:lineRule="auto"/>
        <w:ind w:firstLine="512" w:firstLineChars="200"/>
        <w:jc w:val="left"/>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我公司作为本次采购项目的供应商，根据磋商文件要求，现郑重承诺如下：</w:t>
      </w:r>
    </w:p>
    <w:p w14:paraId="7D0C5436">
      <w:pPr>
        <w:widowControl/>
        <w:shd w:val="clear" w:color="auto" w:fill="FFFFFF"/>
        <w:spacing w:line="360" w:lineRule="auto"/>
        <w:ind w:firstLine="512" w:firstLineChars="200"/>
        <w:jc w:val="left"/>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一、具备《中华人民共和国政府采购法》第二十二条第一款和本项目规定的条件：</w:t>
      </w:r>
    </w:p>
    <w:p w14:paraId="027300FE">
      <w:pPr>
        <w:widowControl/>
        <w:shd w:val="clear" w:color="auto" w:fill="FFFFFF"/>
        <w:spacing w:line="360" w:lineRule="auto"/>
        <w:ind w:firstLine="512" w:firstLineChars="200"/>
        <w:jc w:val="left"/>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（一）具有独立承担民事责任的能力； 　　</w:t>
      </w:r>
    </w:p>
    <w:p w14:paraId="0819CF44">
      <w:pPr>
        <w:widowControl/>
        <w:shd w:val="clear" w:color="auto" w:fill="FFFFFF"/>
        <w:spacing w:line="360" w:lineRule="auto"/>
        <w:ind w:firstLine="512" w:firstLineChars="200"/>
        <w:jc w:val="left"/>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（二）具有良好的商业信誉和健全的财务会计制度； 　</w:t>
      </w:r>
    </w:p>
    <w:p w14:paraId="70A860BE">
      <w:pPr>
        <w:widowControl/>
        <w:shd w:val="clear" w:color="auto" w:fill="FFFFFF"/>
        <w:spacing w:line="360" w:lineRule="auto"/>
        <w:ind w:firstLine="512" w:firstLineChars="200"/>
        <w:jc w:val="left"/>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（三）具有履行合同所必需的设备和专业技术能力； 　　</w:t>
      </w:r>
    </w:p>
    <w:p w14:paraId="069783B3">
      <w:pPr>
        <w:widowControl/>
        <w:shd w:val="clear" w:color="auto" w:fill="FFFFFF"/>
        <w:spacing w:line="360" w:lineRule="auto"/>
        <w:ind w:firstLine="512" w:firstLineChars="200"/>
        <w:jc w:val="left"/>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（四）有依法缴纳税收和社会保障资金的良好记录； 　　</w:t>
      </w:r>
    </w:p>
    <w:p w14:paraId="5CE5B4D0">
      <w:pPr>
        <w:widowControl/>
        <w:shd w:val="clear" w:color="auto" w:fill="FFFFFF"/>
        <w:spacing w:line="360" w:lineRule="auto"/>
        <w:ind w:firstLine="512" w:firstLineChars="200"/>
        <w:jc w:val="left"/>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（五）参加政府采购活动前三年内，在经营活动中没有重大违法记录；</w:t>
      </w:r>
    </w:p>
    <w:p w14:paraId="573F1C99">
      <w:pPr>
        <w:widowControl/>
        <w:shd w:val="clear" w:color="auto" w:fill="FFFFFF"/>
        <w:spacing w:line="360" w:lineRule="auto"/>
        <w:ind w:firstLine="512" w:firstLineChars="200"/>
        <w:jc w:val="left"/>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（六）法律、行政法规规定的其他条件；</w:t>
      </w:r>
    </w:p>
    <w:p w14:paraId="0FA91D46">
      <w:pPr>
        <w:widowControl/>
        <w:shd w:val="clear" w:color="auto" w:fill="FFFFFF"/>
        <w:spacing w:line="360" w:lineRule="auto"/>
        <w:ind w:firstLine="512" w:firstLineChars="200"/>
        <w:jc w:val="left"/>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（七）根据采购项目提出的特殊条件。</w:t>
      </w:r>
    </w:p>
    <w:p w14:paraId="75DAC1AA">
      <w:pPr>
        <w:widowControl/>
        <w:shd w:val="clear" w:color="auto" w:fill="FFFFFF"/>
        <w:spacing w:line="360" w:lineRule="auto"/>
        <w:ind w:firstLine="512" w:firstLineChars="200"/>
        <w:jc w:val="left"/>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二、完全接受和满足本项目磋商文件中规定的实质性要求，如对磋商文件有异议，已经在磋商截止时间届满前依法进行维权救济，不存在对磋商文件有异议的同时又参加投标以求侥幸中标或者为实现其他非法目的的行为。</w:t>
      </w:r>
    </w:p>
    <w:p w14:paraId="5C5BC777">
      <w:pPr>
        <w:widowControl/>
        <w:shd w:val="clear" w:color="auto" w:fill="FFFFFF"/>
        <w:spacing w:line="360" w:lineRule="auto"/>
        <w:ind w:firstLine="512" w:firstLineChars="200"/>
        <w:jc w:val="left"/>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三、参加本次磋商采购活动，不存在与单位负责人为同一人或者存在直接控股、管理关系的其他供应商参与同一合同项下的政府采购活动的行为。    </w:t>
      </w:r>
    </w:p>
    <w:p w14:paraId="73D69865">
      <w:pPr>
        <w:widowControl/>
        <w:shd w:val="clear" w:color="auto" w:fill="FFFFFF"/>
        <w:spacing w:line="360" w:lineRule="auto"/>
        <w:ind w:firstLine="512" w:firstLineChars="200"/>
        <w:jc w:val="left"/>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四、参加本次磋商采购活动，不存在为采购项目提供整体设计、规范编制或者项目管理、监理、检测等服务的行为。</w:t>
      </w:r>
    </w:p>
    <w:p w14:paraId="4CCB857F">
      <w:pPr>
        <w:widowControl/>
        <w:shd w:val="clear" w:color="auto" w:fill="FFFFFF"/>
        <w:spacing w:line="360" w:lineRule="auto"/>
        <w:ind w:firstLine="512" w:firstLineChars="200"/>
        <w:jc w:val="left"/>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五、参加本次磋商采购活动，不存在和其他供应商在同一合同项下的采购项目中，同时委托同一个自然人、同一家庭的人员、同一单位的人员作为代理人的行为。</w:t>
      </w:r>
    </w:p>
    <w:p w14:paraId="601E5497">
      <w:pPr>
        <w:widowControl/>
        <w:shd w:val="clear" w:color="auto" w:fill="FFFFFF"/>
        <w:spacing w:line="360" w:lineRule="auto"/>
        <w:ind w:firstLine="512" w:firstLineChars="200"/>
        <w:jc w:val="left"/>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六、供应商参加本次政府采购活动要求在近三年内供应商和其法定代表人没有行贿犯罪行为。</w:t>
      </w:r>
    </w:p>
    <w:p w14:paraId="35163419">
      <w:pPr>
        <w:widowControl/>
        <w:shd w:val="clear" w:color="auto" w:fill="FFFFFF"/>
        <w:spacing w:line="360" w:lineRule="auto"/>
        <w:ind w:firstLine="512" w:firstLineChars="200"/>
        <w:jc w:val="left"/>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七、磋商响应文件中提供的能够给予我公司带来优惠、好处的任何材料资料和技术、服务、商务等响应承诺情况都是真实的、有效的、合法的。</w:t>
      </w:r>
    </w:p>
    <w:p w14:paraId="4AFB9D5B">
      <w:pPr>
        <w:widowControl/>
        <w:shd w:val="clear" w:color="auto" w:fill="FFFFFF"/>
        <w:spacing w:line="360" w:lineRule="auto"/>
        <w:ind w:firstLine="512" w:firstLineChars="200"/>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八、供应商认为需要承诺的其他事项：</w:t>
      </w:r>
    </w:p>
    <w:p w14:paraId="1D57CF64">
      <w:pPr>
        <w:widowControl/>
        <w:shd w:val="clear" w:color="auto" w:fill="FFFFFF"/>
        <w:spacing w:line="360" w:lineRule="auto"/>
        <w:ind w:firstLine="512" w:firstLineChars="200"/>
        <w:rPr>
          <w:rFonts w:hint="eastAsia" w:ascii="宋体" w:hAnsi="宋体" w:eastAsia="宋体" w:cs="宋体"/>
          <w:color w:val="auto"/>
          <w:spacing w:val="8"/>
          <w:kern w:val="0"/>
          <w:sz w:val="24"/>
          <w:szCs w:val="24"/>
          <w:u w:val="single"/>
        </w:rPr>
      </w:pPr>
      <w:r>
        <w:rPr>
          <w:rFonts w:hint="eastAsia" w:ascii="宋体" w:hAnsi="宋体" w:eastAsia="宋体" w:cs="宋体"/>
          <w:color w:val="auto"/>
          <w:spacing w:val="8"/>
          <w:kern w:val="0"/>
          <w:sz w:val="24"/>
          <w:szCs w:val="24"/>
        </w:rPr>
        <w:t>1、</w:t>
      </w:r>
      <w:r>
        <w:rPr>
          <w:rFonts w:hint="eastAsia" w:ascii="宋体" w:hAnsi="宋体" w:eastAsia="宋体" w:cs="宋体"/>
          <w:color w:val="auto"/>
          <w:spacing w:val="8"/>
          <w:kern w:val="0"/>
          <w:sz w:val="24"/>
          <w:szCs w:val="24"/>
          <w:u w:val="single"/>
        </w:rPr>
        <w:t xml:space="preserve">                 </w:t>
      </w:r>
      <w:r>
        <w:rPr>
          <w:rFonts w:hint="eastAsia" w:ascii="宋体" w:hAnsi="宋体" w:eastAsia="宋体" w:cs="宋体"/>
          <w:color w:val="auto"/>
          <w:spacing w:val="8"/>
          <w:kern w:val="0"/>
          <w:sz w:val="24"/>
          <w:szCs w:val="24"/>
        </w:rPr>
        <w:t>；2、</w:t>
      </w:r>
      <w:r>
        <w:rPr>
          <w:rFonts w:hint="eastAsia" w:ascii="宋体" w:hAnsi="宋体" w:eastAsia="宋体" w:cs="宋体"/>
          <w:color w:val="auto"/>
          <w:spacing w:val="8"/>
          <w:kern w:val="0"/>
          <w:sz w:val="24"/>
          <w:szCs w:val="24"/>
          <w:u w:val="single"/>
        </w:rPr>
        <w:t xml:space="preserve">                </w:t>
      </w:r>
      <w:r>
        <w:rPr>
          <w:rFonts w:hint="eastAsia" w:ascii="宋体" w:hAnsi="宋体" w:eastAsia="宋体" w:cs="宋体"/>
          <w:color w:val="auto"/>
          <w:spacing w:val="8"/>
          <w:kern w:val="0"/>
          <w:sz w:val="24"/>
          <w:szCs w:val="24"/>
        </w:rPr>
        <w:t>；3、</w:t>
      </w:r>
      <w:r>
        <w:rPr>
          <w:rFonts w:hint="eastAsia" w:ascii="宋体" w:hAnsi="宋体" w:eastAsia="宋体" w:cs="宋体"/>
          <w:color w:val="auto"/>
          <w:spacing w:val="8"/>
          <w:kern w:val="0"/>
          <w:sz w:val="24"/>
          <w:szCs w:val="24"/>
          <w:u w:val="single"/>
        </w:rPr>
        <w:t xml:space="preserve">                 </w:t>
      </w:r>
      <w:r>
        <w:rPr>
          <w:rFonts w:hint="eastAsia" w:ascii="宋体" w:hAnsi="宋体" w:eastAsia="宋体" w:cs="宋体"/>
          <w:color w:val="auto"/>
          <w:spacing w:val="8"/>
          <w:kern w:val="0"/>
          <w:sz w:val="24"/>
          <w:szCs w:val="24"/>
        </w:rPr>
        <w:t>。</w:t>
      </w:r>
    </w:p>
    <w:p w14:paraId="20A8A88B">
      <w:pPr>
        <w:widowControl/>
        <w:shd w:val="clear" w:color="auto" w:fill="FFFFFF"/>
        <w:spacing w:line="360" w:lineRule="auto"/>
        <w:ind w:firstLine="512" w:firstLineChars="200"/>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九、存在以下行为之一的愿意接受相关部门的处理：</w:t>
      </w:r>
    </w:p>
    <w:p w14:paraId="66EB0162">
      <w:pPr>
        <w:widowControl/>
        <w:shd w:val="clear" w:color="auto" w:fill="FFFFFF"/>
        <w:spacing w:line="360" w:lineRule="auto"/>
        <w:ind w:firstLine="512" w:firstLineChars="200"/>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（一）磋商有效期内撤销磋商响应文件的；</w:t>
      </w:r>
    </w:p>
    <w:p w14:paraId="0E634ACA">
      <w:pPr>
        <w:widowControl/>
        <w:shd w:val="clear" w:color="auto" w:fill="FFFFFF"/>
        <w:spacing w:line="360" w:lineRule="auto"/>
        <w:ind w:firstLine="512" w:firstLineChars="200"/>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（二）在采购人确定中标人以前放弃中标候选资格的；</w:t>
      </w:r>
    </w:p>
    <w:p w14:paraId="77C1D831">
      <w:pPr>
        <w:widowControl/>
        <w:shd w:val="clear" w:color="auto" w:fill="FFFFFF"/>
        <w:spacing w:line="360" w:lineRule="auto"/>
        <w:ind w:firstLine="512" w:firstLineChars="200"/>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（三）由于中标人的原因未能按照磋商文件的规定与采购人签订合同；</w:t>
      </w:r>
    </w:p>
    <w:p w14:paraId="65E9B0D2">
      <w:pPr>
        <w:widowControl/>
        <w:shd w:val="clear" w:color="auto" w:fill="FFFFFF"/>
        <w:spacing w:line="360" w:lineRule="auto"/>
        <w:ind w:firstLine="512" w:firstLineChars="200"/>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（四）在磋商响应文件中提供虚假材料谋取中标；</w:t>
      </w:r>
    </w:p>
    <w:p w14:paraId="5EB090B3">
      <w:pPr>
        <w:widowControl/>
        <w:shd w:val="clear" w:color="auto" w:fill="FFFFFF"/>
        <w:spacing w:line="360" w:lineRule="auto"/>
        <w:ind w:firstLine="512" w:firstLineChars="200"/>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（五）与采购人、其他供应商或者采购代理机构恶意串通的；</w:t>
      </w:r>
    </w:p>
    <w:p w14:paraId="3AD22878">
      <w:pPr>
        <w:widowControl/>
        <w:shd w:val="clear" w:color="auto" w:fill="FFFFFF"/>
        <w:spacing w:line="360" w:lineRule="auto"/>
        <w:ind w:firstLine="512" w:firstLineChars="200"/>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（六）磋商有效期内，供应商在政府采购活动中有违法、违规、违纪行为。</w:t>
      </w:r>
    </w:p>
    <w:p w14:paraId="5961D7AA">
      <w:pPr>
        <w:widowControl/>
        <w:shd w:val="clear" w:color="auto" w:fill="FFFFFF"/>
        <w:spacing w:line="360" w:lineRule="auto"/>
        <w:ind w:firstLine="512" w:firstLineChars="200"/>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由此产生的一切法律后果和责任由我公司承担。我公司声明放弃对此提出任何异议和追索的权利。</w:t>
      </w:r>
    </w:p>
    <w:p w14:paraId="59E4A4B4">
      <w:pPr>
        <w:widowControl/>
        <w:shd w:val="clear" w:color="auto" w:fill="FFFFFF"/>
        <w:spacing w:line="360" w:lineRule="auto"/>
        <w:ind w:firstLine="512" w:firstLineChars="200"/>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本公司对上述承诺的内容事项真实性负责。如经查实上述承诺的内容事项存在虚假，我公司愿意接受以提供虚假材料谋取中标追究法律责任。</w:t>
      </w:r>
    </w:p>
    <w:p w14:paraId="0E1CB7E5">
      <w:pPr>
        <w:widowControl/>
        <w:shd w:val="clear" w:color="auto" w:fill="FFFFFF"/>
        <w:spacing w:line="360" w:lineRule="atLeast"/>
        <w:jc w:val="left"/>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       </w:t>
      </w:r>
    </w:p>
    <w:p w14:paraId="4F544FCA">
      <w:pPr>
        <w:spacing w:line="400" w:lineRule="exact"/>
        <w:ind w:firstLine="3828" w:firstLineChars="1595"/>
        <w:rPr>
          <w:rFonts w:hint="eastAsia" w:ascii="宋体" w:hAnsi="宋体" w:eastAsia="宋体" w:cs="宋体"/>
          <w:color w:val="auto"/>
          <w:sz w:val="24"/>
          <w:szCs w:val="24"/>
        </w:rPr>
      </w:pPr>
    </w:p>
    <w:p w14:paraId="2454D857">
      <w:pPr>
        <w:spacing w:line="400" w:lineRule="exact"/>
        <w:ind w:firstLine="3828" w:firstLineChars="1595"/>
        <w:rPr>
          <w:rFonts w:hint="eastAsia" w:ascii="宋体" w:hAnsi="宋体" w:eastAsia="宋体" w:cs="宋体"/>
          <w:color w:val="auto"/>
          <w:sz w:val="24"/>
          <w:szCs w:val="24"/>
        </w:rPr>
      </w:pPr>
    </w:p>
    <w:p w14:paraId="4570B03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供应商：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（盖单位章）</w:t>
      </w:r>
    </w:p>
    <w:p w14:paraId="3BAB7D1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法定代表人或其授权委托人：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（电子签章）</w:t>
      </w:r>
    </w:p>
    <w:p w14:paraId="6EB46643">
      <w:pPr>
        <w:widowControl/>
        <w:shd w:val="clear" w:color="auto" w:fill="FFFFFF"/>
        <w:spacing w:line="360" w:lineRule="auto"/>
        <w:rPr>
          <w:rFonts w:hint="eastAsia" w:ascii="宋体" w:hAnsi="宋体" w:eastAsia="宋体" w:cs="宋体"/>
          <w:color w:val="auto"/>
          <w:spacing w:val="8"/>
          <w:kern w:val="0"/>
          <w:sz w:val="24"/>
          <w:szCs w:val="24"/>
        </w:rPr>
      </w:pP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r>
        <w:rPr>
          <w:rFonts w:hint="eastAsia" w:ascii="宋体" w:hAnsi="宋体" w:eastAsia="宋体" w:cs="宋体"/>
          <w:color w:val="auto"/>
          <w:kern w:val="0"/>
          <w:sz w:val="24"/>
          <w:szCs w:val="24"/>
        </w:rPr>
        <w:t> </w:t>
      </w:r>
    </w:p>
    <w:p w14:paraId="6BC19096">
      <w:pPr>
        <w:widowControl/>
        <w:shd w:val="clear" w:color="auto" w:fill="FFFFFF"/>
        <w:spacing w:line="405" w:lineRule="atLeast"/>
        <w:ind w:firstLine="4083" w:firstLineChars="1595"/>
        <w:rPr>
          <w:rFonts w:hint="eastAsia" w:ascii="宋体" w:hAnsi="宋体" w:eastAsia="宋体" w:cs="宋体"/>
          <w:color w:val="auto"/>
          <w:spacing w:val="8"/>
          <w:kern w:val="0"/>
          <w:sz w:val="24"/>
          <w:szCs w:val="24"/>
        </w:rPr>
      </w:pPr>
      <w:r>
        <w:rPr>
          <w:rFonts w:hint="eastAsia" w:ascii="宋体" w:hAnsi="宋体" w:eastAsia="宋体" w:cs="宋体"/>
          <w:color w:val="auto"/>
          <w:spacing w:val="8"/>
          <w:kern w:val="0"/>
          <w:sz w:val="24"/>
          <w:szCs w:val="24"/>
        </w:rPr>
        <w:t> </w:t>
      </w:r>
    </w:p>
    <w:p w14:paraId="38554623">
      <w:pPr>
        <w:rPr>
          <w:rFonts w:hint="eastAsia" w:ascii="宋体" w:hAnsi="宋体" w:eastAsia="宋体" w:cs="宋体"/>
          <w:color w:val="auto"/>
          <w:kern w:val="0"/>
          <w:sz w:val="28"/>
          <w:szCs w:val="28"/>
        </w:rPr>
      </w:pPr>
    </w:p>
    <w:p w14:paraId="09805855">
      <w:pPr>
        <w:rPr>
          <w:rFonts w:hint="eastAsia" w:ascii="宋体" w:hAnsi="宋体" w:eastAsia="宋体" w:cs="宋体"/>
          <w:color w:val="auto"/>
          <w:lang w:eastAsia="zh-CN"/>
        </w:rPr>
      </w:pPr>
      <w:r>
        <w:rPr>
          <w:rFonts w:hint="eastAsia" w:ascii="宋体" w:hAnsi="宋体" w:eastAsia="宋体" w:cs="宋体"/>
          <w:color w:val="auto"/>
          <w:lang w:eastAsia="zh-CN"/>
        </w:rPr>
        <w:br w:type="page"/>
      </w:r>
    </w:p>
    <w:p w14:paraId="42AC24D6">
      <w:pPr>
        <w:pStyle w:val="8"/>
        <w:keepNext/>
        <w:keepLines/>
        <w:pageBreakBefore w:val="0"/>
        <w:widowControl w:val="0"/>
        <w:numPr>
          <w:ilvl w:val="1"/>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val="0"/>
          <w:color w:val="auto"/>
          <w:sz w:val="28"/>
          <w:szCs w:val="28"/>
        </w:rPr>
      </w:pPr>
      <w:r>
        <w:rPr>
          <w:rFonts w:hint="eastAsia" w:ascii="宋体" w:hAnsi="宋体" w:eastAsia="宋体" w:cs="宋体"/>
          <w:b/>
          <w:bCs w:val="0"/>
          <w:color w:val="auto"/>
          <w:sz w:val="28"/>
          <w:szCs w:val="28"/>
          <w:lang w:eastAsia="zh-CN"/>
        </w:rPr>
        <w:t>五</w:t>
      </w:r>
      <w:r>
        <w:rPr>
          <w:rFonts w:hint="eastAsia" w:ascii="宋体" w:hAnsi="宋体" w:eastAsia="宋体" w:cs="宋体"/>
          <w:b/>
          <w:bCs w:val="0"/>
          <w:color w:val="auto"/>
          <w:sz w:val="28"/>
          <w:szCs w:val="28"/>
        </w:rPr>
        <w:t>、供应商基本情况表</w:t>
      </w:r>
      <w:bookmarkEnd w:id="31"/>
    </w:p>
    <w:p w14:paraId="43F9DC9E">
      <w:pPr>
        <w:widowControl/>
        <w:jc w:val="center"/>
        <w:rPr>
          <w:rFonts w:hint="eastAsia" w:ascii="宋体" w:hAnsi="宋体" w:eastAsia="宋体" w:cs="宋体"/>
          <w:b w:val="0"/>
          <w:bCs/>
          <w:color w:val="auto"/>
          <w:kern w:val="0"/>
          <w:sz w:val="24"/>
          <w:szCs w:val="24"/>
        </w:rPr>
      </w:pPr>
      <w:bookmarkStart w:id="52" w:name="_Toc30144"/>
      <w:r>
        <w:rPr>
          <w:rFonts w:hint="eastAsia" w:ascii="宋体" w:hAnsi="宋体" w:eastAsia="宋体" w:cs="宋体"/>
          <w:b w:val="0"/>
          <w:bCs/>
          <w:color w:val="auto"/>
          <w:sz w:val="24"/>
          <w:szCs w:val="24"/>
        </w:rPr>
        <w:t>（一）投标人基本情况表</w:t>
      </w:r>
      <w:bookmarkEnd w:id="52"/>
    </w:p>
    <w:tbl>
      <w:tblPr>
        <w:tblStyle w:val="19"/>
        <w:tblW w:w="9287" w:type="dxa"/>
        <w:jc w:val="center"/>
        <w:tblLayout w:type="fixed"/>
        <w:tblCellMar>
          <w:top w:w="0" w:type="dxa"/>
          <w:left w:w="108" w:type="dxa"/>
          <w:bottom w:w="0" w:type="dxa"/>
          <w:right w:w="108" w:type="dxa"/>
        </w:tblCellMar>
      </w:tblPr>
      <w:tblGrid>
        <w:gridCol w:w="1930"/>
        <w:gridCol w:w="1048"/>
        <w:gridCol w:w="1757"/>
        <w:gridCol w:w="1222"/>
        <w:gridCol w:w="793"/>
        <w:gridCol w:w="439"/>
        <w:gridCol w:w="2098"/>
      </w:tblGrid>
      <w:tr w14:paraId="7DED59B8">
        <w:tblPrEx>
          <w:tblCellMar>
            <w:top w:w="0" w:type="dxa"/>
            <w:left w:w="108" w:type="dxa"/>
            <w:bottom w:w="0" w:type="dxa"/>
            <w:right w:w="108" w:type="dxa"/>
          </w:tblCellMar>
        </w:tblPrEx>
        <w:trPr>
          <w:trHeight w:val="525"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573B068D">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p>
        </w:tc>
        <w:tc>
          <w:tcPr>
            <w:tcW w:w="7357" w:type="dxa"/>
            <w:gridSpan w:val="6"/>
            <w:tcBorders>
              <w:top w:val="single" w:color="auto" w:sz="4" w:space="0"/>
              <w:left w:val="nil"/>
              <w:bottom w:val="single" w:color="auto" w:sz="4" w:space="0"/>
              <w:right w:val="single" w:color="auto" w:sz="4" w:space="0"/>
            </w:tcBorders>
            <w:vAlign w:val="center"/>
          </w:tcPr>
          <w:p w14:paraId="73EE41EF">
            <w:pPr>
              <w:widowControl/>
              <w:spacing w:line="360" w:lineRule="auto"/>
              <w:jc w:val="center"/>
              <w:rPr>
                <w:rFonts w:hint="eastAsia" w:ascii="宋体" w:hAnsi="宋体" w:eastAsia="宋体" w:cs="宋体"/>
                <w:color w:val="auto"/>
                <w:sz w:val="24"/>
                <w:szCs w:val="24"/>
              </w:rPr>
            </w:pPr>
          </w:p>
        </w:tc>
      </w:tr>
      <w:tr w14:paraId="3CC6D502">
        <w:tblPrEx>
          <w:tblCellMar>
            <w:top w:w="0" w:type="dxa"/>
            <w:left w:w="108" w:type="dxa"/>
            <w:bottom w:w="0" w:type="dxa"/>
            <w:right w:w="108" w:type="dxa"/>
          </w:tblCellMar>
        </w:tblPrEx>
        <w:trPr>
          <w:trHeight w:val="846"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20E50D83">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4027" w:type="dxa"/>
            <w:gridSpan w:val="3"/>
            <w:tcBorders>
              <w:top w:val="single" w:color="auto" w:sz="4" w:space="0"/>
              <w:left w:val="nil"/>
              <w:bottom w:val="single" w:color="auto" w:sz="4" w:space="0"/>
              <w:right w:val="single" w:color="auto" w:sz="4" w:space="0"/>
            </w:tcBorders>
            <w:vAlign w:val="center"/>
          </w:tcPr>
          <w:p w14:paraId="47D8DC21">
            <w:pPr>
              <w:widowControl/>
              <w:spacing w:line="360" w:lineRule="auto"/>
              <w:jc w:val="center"/>
              <w:rPr>
                <w:rFonts w:hint="eastAsia" w:ascii="宋体" w:hAnsi="宋体" w:eastAsia="宋体" w:cs="宋体"/>
                <w:color w:val="auto"/>
                <w:sz w:val="24"/>
                <w:szCs w:val="24"/>
              </w:rPr>
            </w:pPr>
          </w:p>
        </w:tc>
        <w:tc>
          <w:tcPr>
            <w:tcW w:w="1232" w:type="dxa"/>
            <w:gridSpan w:val="2"/>
            <w:tcBorders>
              <w:top w:val="single" w:color="auto" w:sz="4" w:space="0"/>
              <w:left w:val="nil"/>
              <w:bottom w:val="single" w:color="auto" w:sz="4" w:space="0"/>
              <w:right w:val="single" w:color="auto" w:sz="4" w:space="0"/>
            </w:tcBorders>
            <w:vAlign w:val="center"/>
          </w:tcPr>
          <w:p w14:paraId="66C22418">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邮政编码</w:t>
            </w:r>
          </w:p>
        </w:tc>
        <w:tc>
          <w:tcPr>
            <w:tcW w:w="2098" w:type="dxa"/>
            <w:tcBorders>
              <w:top w:val="single" w:color="auto" w:sz="4" w:space="0"/>
              <w:left w:val="nil"/>
              <w:bottom w:val="single" w:color="auto" w:sz="4" w:space="0"/>
              <w:right w:val="single" w:color="auto" w:sz="4" w:space="0"/>
            </w:tcBorders>
            <w:vAlign w:val="center"/>
          </w:tcPr>
          <w:p w14:paraId="06B76BFE">
            <w:pPr>
              <w:widowControl/>
              <w:spacing w:line="360" w:lineRule="auto"/>
              <w:jc w:val="center"/>
              <w:rPr>
                <w:rFonts w:hint="eastAsia" w:ascii="宋体" w:hAnsi="宋体" w:eastAsia="宋体" w:cs="宋体"/>
                <w:color w:val="auto"/>
                <w:sz w:val="24"/>
                <w:szCs w:val="24"/>
              </w:rPr>
            </w:pPr>
          </w:p>
        </w:tc>
      </w:tr>
      <w:tr w14:paraId="5D100805">
        <w:tblPrEx>
          <w:tblCellMar>
            <w:top w:w="0" w:type="dxa"/>
            <w:left w:w="108" w:type="dxa"/>
            <w:bottom w:w="0" w:type="dxa"/>
            <w:right w:w="108" w:type="dxa"/>
          </w:tblCellMar>
        </w:tblPrEx>
        <w:trPr>
          <w:trHeight w:val="710" w:hRule="atLeast"/>
          <w:jc w:val="center"/>
        </w:trPr>
        <w:tc>
          <w:tcPr>
            <w:tcW w:w="1930" w:type="dxa"/>
            <w:vMerge w:val="restart"/>
            <w:tcBorders>
              <w:top w:val="nil"/>
              <w:left w:val="single" w:color="auto" w:sz="4" w:space="0"/>
              <w:bottom w:val="single" w:color="auto" w:sz="4" w:space="0"/>
              <w:right w:val="single" w:color="auto" w:sz="4" w:space="0"/>
            </w:tcBorders>
            <w:vAlign w:val="center"/>
          </w:tcPr>
          <w:p w14:paraId="06CD45C2">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1048" w:type="dxa"/>
            <w:tcBorders>
              <w:top w:val="single" w:color="auto" w:sz="4" w:space="0"/>
              <w:left w:val="nil"/>
              <w:bottom w:val="single" w:color="auto" w:sz="4" w:space="0"/>
              <w:right w:val="single" w:color="auto" w:sz="4" w:space="0"/>
            </w:tcBorders>
            <w:vAlign w:val="center"/>
          </w:tcPr>
          <w:p w14:paraId="595C97A2">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2979" w:type="dxa"/>
            <w:gridSpan w:val="2"/>
            <w:tcBorders>
              <w:top w:val="single" w:color="auto" w:sz="4" w:space="0"/>
              <w:left w:val="nil"/>
              <w:bottom w:val="single" w:color="auto" w:sz="4" w:space="0"/>
              <w:right w:val="single" w:color="auto" w:sz="4" w:space="0"/>
            </w:tcBorders>
            <w:vAlign w:val="center"/>
          </w:tcPr>
          <w:p w14:paraId="48B77135">
            <w:pPr>
              <w:widowControl/>
              <w:spacing w:line="360" w:lineRule="auto"/>
              <w:jc w:val="center"/>
              <w:rPr>
                <w:rFonts w:hint="eastAsia" w:ascii="宋体" w:hAnsi="宋体" w:eastAsia="宋体" w:cs="宋体"/>
                <w:color w:val="auto"/>
                <w:sz w:val="24"/>
                <w:szCs w:val="24"/>
              </w:rPr>
            </w:pPr>
          </w:p>
        </w:tc>
        <w:tc>
          <w:tcPr>
            <w:tcW w:w="1232" w:type="dxa"/>
            <w:gridSpan w:val="2"/>
            <w:tcBorders>
              <w:top w:val="single" w:color="auto" w:sz="4" w:space="0"/>
              <w:left w:val="nil"/>
              <w:bottom w:val="single" w:color="auto" w:sz="4" w:space="0"/>
              <w:right w:val="single" w:color="auto" w:sz="4" w:space="0"/>
            </w:tcBorders>
            <w:vAlign w:val="center"/>
          </w:tcPr>
          <w:p w14:paraId="2E35DAD2">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电话</w:t>
            </w:r>
          </w:p>
        </w:tc>
        <w:tc>
          <w:tcPr>
            <w:tcW w:w="2098" w:type="dxa"/>
            <w:tcBorders>
              <w:top w:val="single" w:color="auto" w:sz="4" w:space="0"/>
              <w:left w:val="nil"/>
              <w:bottom w:val="single" w:color="auto" w:sz="4" w:space="0"/>
              <w:right w:val="single" w:color="auto" w:sz="4" w:space="0"/>
            </w:tcBorders>
            <w:vAlign w:val="center"/>
          </w:tcPr>
          <w:p w14:paraId="03A62241">
            <w:pPr>
              <w:widowControl/>
              <w:spacing w:line="360" w:lineRule="auto"/>
              <w:jc w:val="center"/>
              <w:rPr>
                <w:rFonts w:hint="eastAsia" w:ascii="宋体" w:hAnsi="宋体" w:eastAsia="宋体" w:cs="宋体"/>
                <w:color w:val="auto"/>
                <w:sz w:val="24"/>
                <w:szCs w:val="24"/>
              </w:rPr>
            </w:pPr>
          </w:p>
        </w:tc>
      </w:tr>
      <w:tr w14:paraId="16562316">
        <w:tblPrEx>
          <w:tblCellMar>
            <w:top w:w="0" w:type="dxa"/>
            <w:left w:w="108" w:type="dxa"/>
            <w:bottom w:w="0" w:type="dxa"/>
            <w:right w:w="108" w:type="dxa"/>
          </w:tblCellMar>
        </w:tblPrEx>
        <w:trPr>
          <w:trHeight w:val="692" w:hRule="atLeast"/>
          <w:jc w:val="center"/>
        </w:trPr>
        <w:tc>
          <w:tcPr>
            <w:tcW w:w="1930" w:type="dxa"/>
            <w:vMerge w:val="continue"/>
            <w:tcBorders>
              <w:top w:val="nil"/>
              <w:left w:val="single" w:color="auto" w:sz="4" w:space="0"/>
              <w:bottom w:val="single" w:color="auto" w:sz="4" w:space="0"/>
              <w:right w:val="single" w:color="auto" w:sz="4" w:space="0"/>
            </w:tcBorders>
            <w:vAlign w:val="center"/>
          </w:tcPr>
          <w:p w14:paraId="6DDB68CC">
            <w:pPr>
              <w:widowControl/>
              <w:rPr>
                <w:rFonts w:hint="eastAsia" w:ascii="宋体" w:hAnsi="宋体" w:eastAsia="宋体" w:cs="宋体"/>
                <w:color w:val="auto"/>
                <w:sz w:val="24"/>
                <w:szCs w:val="24"/>
              </w:rPr>
            </w:pPr>
          </w:p>
        </w:tc>
        <w:tc>
          <w:tcPr>
            <w:tcW w:w="1048" w:type="dxa"/>
            <w:tcBorders>
              <w:top w:val="single" w:color="auto" w:sz="4" w:space="0"/>
              <w:left w:val="nil"/>
              <w:bottom w:val="single" w:color="auto" w:sz="4" w:space="0"/>
              <w:right w:val="single" w:color="auto" w:sz="4" w:space="0"/>
            </w:tcBorders>
            <w:vAlign w:val="center"/>
          </w:tcPr>
          <w:p w14:paraId="02E120BA">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传真</w:t>
            </w:r>
          </w:p>
        </w:tc>
        <w:tc>
          <w:tcPr>
            <w:tcW w:w="2979" w:type="dxa"/>
            <w:gridSpan w:val="2"/>
            <w:tcBorders>
              <w:top w:val="single" w:color="auto" w:sz="4" w:space="0"/>
              <w:left w:val="nil"/>
              <w:bottom w:val="single" w:color="auto" w:sz="4" w:space="0"/>
              <w:right w:val="single" w:color="auto" w:sz="4" w:space="0"/>
            </w:tcBorders>
            <w:vAlign w:val="center"/>
          </w:tcPr>
          <w:p w14:paraId="40403261">
            <w:pPr>
              <w:widowControl/>
              <w:spacing w:line="360" w:lineRule="auto"/>
              <w:jc w:val="center"/>
              <w:rPr>
                <w:rFonts w:hint="eastAsia" w:ascii="宋体" w:hAnsi="宋体" w:eastAsia="宋体" w:cs="宋体"/>
                <w:color w:val="auto"/>
                <w:sz w:val="24"/>
                <w:szCs w:val="24"/>
              </w:rPr>
            </w:pPr>
          </w:p>
        </w:tc>
        <w:tc>
          <w:tcPr>
            <w:tcW w:w="1232" w:type="dxa"/>
            <w:gridSpan w:val="2"/>
            <w:tcBorders>
              <w:top w:val="single" w:color="auto" w:sz="4" w:space="0"/>
              <w:left w:val="nil"/>
              <w:bottom w:val="single" w:color="auto" w:sz="4" w:space="0"/>
              <w:right w:val="single" w:color="auto" w:sz="4" w:space="0"/>
            </w:tcBorders>
            <w:vAlign w:val="center"/>
          </w:tcPr>
          <w:p w14:paraId="4A852896">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网址</w:t>
            </w:r>
          </w:p>
        </w:tc>
        <w:tc>
          <w:tcPr>
            <w:tcW w:w="2098" w:type="dxa"/>
            <w:tcBorders>
              <w:top w:val="single" w:color="auto" w:sz="4" w:space="0"/>
              <w:left w:val="nil"/>
              <w:bottom w:val="single" w:color="auto" w:sz="4" w:space="0"/>
              <w:right w:val="single" w:color="auto" w:sz="4" w:space="0"/>
            </w:tcBorders>
            <w:vAlign w:val="center"/>
          </w:tcPr>
          <w:p w14:paraId="6CFD8761">
            <w:pPr>
              <w:widowControl/>
              <w:spacing w:line="360" w:lineRule="auto"/>
              <w:jc w:val="center"/>
              <w:rPr>
                <w:rFonts w:hint="eastAsia" w:ascii="宋体" w:hAnsi="宋体" w:eastAsia="宋体" w:cs="宋体"/>
                <w:color w:val="auto"/>
                <w:sz w:val="24"/>
                <w:szCs w:val="24"/>
              </w:rPr>
            </w:pPr>
          </w:p>
        </w:tc>
      </w:tr>
      <w:tr w14:paraId="49A2A6D7">
        <w:tblPrEx>
          <w:tblCellMar>
            <w:top w:w="0" w:type="dxa"/>
            <w:left w:w="108" w:type="dxa"/>
            <w:bottom w:w="0" w:type="dxa"/>
            <w:right w:w="108" w:type="dxa"/>
          </w:tblCellMar>
        </w:tblPrEx>
        <w:trPr>
          <w:trHeight w:val="766"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58710F71">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组织结构</w:t>
            </w:r>
          </w:p>
        </w:tc>
        <w:tc>
          <w:tcPr>
            <w:tcW w:w="7357" w:type="dxa"/>
            <w:gridSpan w:val="6"/>
            <w:tcBorders>
              <w:top w:val="single" w:color="auto" w:sz="4" w:space="0"/>
              <w:left w:val="nil"/>
              <w:bottom w:val="single" w:color="auto" w:sz="4" w:space="0"/>
              <w:right w:val="single" w:color="auto" w:sz="4" w:space="0"/>
            </w:tcBorders>
            <w:vAlign w:val="center"/>
          </w:tcPr>
          <w:p w14:paraId="3C229006">
            <w:pPr>
              <w:widowControl/>
              <w:spacing w:line="360" w:lineRule="auto"/>
              <w:jc w:val="center"/>
              <w:rPr>
                <w:rFonts w:hint="eastAsia" w:ascii="宋体" w:hAnsi="宋体" w:eastAsia="宋体" w:cs="宋体"/>
                <w:color w:val="auto"/>
                <w:sz w:val="24"/>
                <w:szCs w:val="24"/>
              </w:rPr>
            </w:pPr>
          </w:p>
        </w:tc>
      </w:tr>
      <w:tr w14:paraId="4290C43A">
        <w:tblPrEx>
          <w:tblCellMar>
            <w:top w:w="0" w:type="dxa"/>
            <w:left w:w="108" w:type="dxa"/>
            <w:bottom w:w="0" w:type="dxa"/>
            <w:right w:w="108" w:type="dxa"/>
          </w:tblCellMar>
        </w:tblPrEx>
        <w:trPr>
          <w:trHeight w:val="710"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75405FE7">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1048" w:type="dxa"/>
            <w:tcBorders>
              <w:top w:val="single" w:color="auto" w:sz="4" w:space="0"/>
              <w:left w:val="nil"/>
              <w:bottom w:val="single" w:color="auto" w:sz="4" w:space="0"/>
              <w:right w:val="single" w:color="auto" w:sz="4" w:space="0"/>
            </w:tcBorders>
            <w:vAlign w:val="center"/>
          </w:tcPr>
          <w:p w14:paraId="0A9E85FE">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1757" w:type="dxa"/>
            <w:tcBorders>
              <w:top w:val="single" w:color="auto" w:sz="4" w:space="0"/>
              <w:left w:val="nil"/>
              <w:bottom w:val="single" w:color="auto" w:sz="4" w:space="0"/>
              <w:right w:val="single" w:color="auto" w:sz="4" w:space="0"/>
            </w:tcBorders>
            <w:vAlign w:val="center"/>
          </w:tcPr>
          <w:p w14:paraId="512D7D86">
            <w:pPr>
              <w:widowControl/>
              <w:spacing w:line="360" w:lineRule="auto"/>
              <w:jc w:val="center"/>
              <w:rPr>
                <w:rFonts w:hint="eastAsia" w:ascii="宋体" w:hAnsi="宋体" w:eastAsia="宋体" w:cs="宋体"/>
                <w:color w:val="auto"/>
                <w:sz w:val="24"/>
                <w:szCs w:val="24"/>
              </w:rPr>
            </w:pPr>
          </w:p>
        </w:tc>
        <w:tc>
          <w:tcPr>
            <w:tcW w:w="2015" w:type="dxa"/>
            <w:gridSpan w:val="2"/>
            <w:tcBorders>
              <w:top w:val="single" w:color="auto" w:sz="4" w:space="0"/>
              <w:left w:val="nil"/>
              <w:bottom w:val="single" w:color="auto" w:sz="4" w:space="0"/>
              <w:right w:val="single" w:color="auto" w:sz="4" w:space="0"/>
            </w:tcBorders>
            <w:vAlign w:val="center"/>
          </w:tcPr>
          <w:p w14:paraId="73FE8A89">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2537" w:type="dxa"/>
            <w:gridSpan w:val="2"/>
            <w:tcBorders>
              <w:top w:val="single" w:color="auto" w:sz="4" w:space="0"/>
              <w:left w:val="nil"/>
              <w:bottom w:val="single" w:color="auto" w:sz="4" w:space="0"/>
              <w:right w:val="single" w:color="auto" w:sz="4" w:space="0"/>
            </w:tcBorders>
            <w:vAlign w:val="center"/>
          </w:tcPr>
          <w:p w14:paraId="324A31F7">
            <w:pPr>
              <w:widowControl/>
              <w:spacing w:line="360" w:lineRule="auto"/>
              <w:jc w:val="center"/>
              <w:rPr>
                <w:rFonts w:hint="eastAsia" w:ascii="宋体" w:hAnsi="宋体" w:eastAsia="宋体" w:cs="宋体"/>
                <w:color w:val="auto"/>
                <w:sz w:val="24"/>
                <w:szCs w:val="24"/>
              </w:rPr>
            </w:pPr>
          </w:p>
        </w:tc>
      </w:tr>
      <w:tr w14:paraId="0CA0D6AD">
        <w:tblPrEx>
          <w:tblCellMar>
            <w:top w:w="0" w:type="dxa"/>
            <w:left w:w="108" w:type="dxa"/>
            <w:bottom w:w="0" w:type="dxa"/>
            <w:right w:w="108" w:type="dxa"/>
          </w:tblCellMar>
        </w:tblPrEx>
        <w:trPr>
          <w:trHeight w:val="703"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7CBBCA6B">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项目负责人</w:t>
            </w:r>
          </w:p>
        </w:tc>
        <w:tc>
          <w:tcPr>
            <w:tcW w:w="1048" w:type="dxa"/>
            <w:tcBorders>
              <w:top w:val="single" w:color="auto" w:sz="4" w:space="0"/>
              <w:left w:val="nil"/>
              <w:bottom w:val="single" w:color="auto" w:sz="4" w:space="0"/>
              <w:right w:val="single" w:color="auto" w:sz="4" w:space="0"/>
            </w:tcBorders>
            <w:vAlign w:val="center"/>
          </w:tcPr>
          <w:p w14:paraId="29DAD39B">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姓名</w:t>
            </w:r>
          </w:p>
        </w:tc>
        <w:tc>
          <w:tcPr>
            <w:tcW w:w="1757" w:type="dxa"/>
            <w:tcBorders>
              <w:top w:val="single" w:color="auto" w:sz="4" w:space="0"/>
              <w:left w:val="nil"/>
              <w:bottom w:val="single" w:color="auto" w:sz="4" w:space="0"/>
              <w:right w:val="single" w:color="auto" w:sz="4" w:space="0"/>
            </w:tcBorders>
            <w:vAlign w:val="center"/>
          </w:tcPr>
          <w:p w14:paraId="3F087826">
            <w:pPr>
              <w:widowControl/>
              <w:spacing w:line="360" w:lineRule="auto"/>
              <w:jc w:val="center"/>
              <w:rPr>
                <w:rFonts w:hint="eastAsia" w:ascii="宋体" w:hAnsi="宋体" w:eastAsia="宋体" w:cs="宋体"/>
                <w:color w:val="auto"/>
                <w:sz w:val="24"/>
                <w:szCs w:val="24"/>
              </w:rPr>
            </w:pPr>
          </w:p>
        </w:tc>
        <w:tc>
          <w:tcPr>
            <w:tcW w:w="2015" w:type="dxa"/>
            <w:gridSpan w:val="2"/>
            <w:tcBorders>
              <w:top w:val="single" w:color="auto" w:sz="4" w:space="0"/>
              <w:left w:val="nil"/>
              <w:bottom w:val="single" w:color="auto" w:sz="4" w:space="0"/>
              <w:right w:val="single" w:color="auto" w:sz="4" w:space="0"/>
            </w:tcBorders>
            <w:vAlign w:val="center"/>
          </w:tcPr>
          <w:p w14:paraId="27FE8A2E">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2537" w:type="dxa"/>
            <w:gridSpan w:val="2"/>
            <w:tcBorders>
              <w:top w:val="single" w:color="auto" w:sz="4" w:space="0"/>
              <w:left w:val="nil"/>
              <w:bottom w:val="single" w:color="auto" w:sz="4" w:space="0"/>
              <w:right w:val="single" w:color="auto" w:sz="4" w:space="0"/>
            </w:tcBorders>
            <w:vAlign w:val="center"/>
          </w:tcPr>
          <w:p w14:paraId="5C732050">
            <w:pPr>
              <w:widowControl/>
              <w:spacing w:line="360" w:lineRule="auto"/>
              <w:jc w:val="center"/>
              <w:rPr>
                <w:rFonts w:hint="eastAsia" w:ascii="宋体" w:hAnsi="宋体" w:eastAsia="宋体" w:cs="宋体"/>
                <w:color w:val="auto"/>
                <w:sz w:val="24"/>
                <w:szCs w:val="24"/>
              </w:rPr>
            </w:pPr>
          </w:p>
        </w:tc>
      </w:tr>
      <w:tr w14:paraId="6CC78555">
        <w:tblPrEx>
          <w:tblCellMar>
            <w:top w:w="0" w:type="dxa"/>
            <w:left w:w="108" w:type="dxa"/>
            <w:bottom w:w="0" w:type="dxa"/>
            <w:right w:w="108" w:type="dxa"/>
          </w:tblCellMar>
        </w:tblPrEx>
        <w:trPr>
          <w:trHeight w:val="661"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4880742C">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成立时间</w:t>
            </w:r>
          </w:p>
        </w:tc>
        <w:tc>
          <w:tcPr>
            <w:tcW w:w="2805" w:type="dxa"/>
            <w:gridSpan w:val="2"/>
            <w:tcBorders>
              <w:top w:val="single" w:color="auto" w:sz="4" w:space="0"/>
              <w:left w:val="nil"/>
              <w:bottom w:val="single" w:color="auto" w:sz="4" w:space="0"/>
              <w:right w:val="single" w:color="auto" w:sz="4" w:space="0"/>
            </w:tcBorders>
            <w:vAlign w:val="center"/>
          </w:tcPr>
          <w:p w14:paraId="23BAD1CD">
            <w:pPr>
              <w:widowControl/>
              <w:spacing w:line="360" w:lineRule="auto"/>
              <w:jc w:val="center"/>
              <w:rPr>
                <w:rFonts w:hint="eastAsia" w:ascii="宋体" w:hAnsi="宋体" w:eastAsia="宋体" w:cs="宋体"/>
                <w:color w:val="auto"/>
                <w:sz w:val="24"/>
                <w:szCs w:val="24"/>
              </w:rPr>
            </w:pPr>
          </w:p>
        </w:tc>
        <w:tc>
          <w:tcPr>
            <w:tcW w:w="4552" w:type="dxa"/>
            <w:gridSpan w:val="4"/>
            <w:tcBorders>
              <w:top w:val="single" w:color="auto" w:sz="4" w:space="0"/>
              <w:left w:val="nil"/>
              <w:bottom w:val="single" w:color="auto" w:sz="4" w:space="0"/>
              <w:right w:val="single" w:color="auto" w:sz="4" w:space="0"/>
            </w:tcBorders>
            <w:vAlign w:val="center"/>
          </w:tcPr>
          <w:p w14:paraId="2AD8A310">
            <w:pPr>
              <w:widowControl/>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员工总人数：</w:t>
            </w:r>
          </w:p>
        </w:tc>
      </w:tr>
      <w:tr w14:paraId="7DB5AFE9">
        <w:tblPrEx>
          <w:tblCellMar>
            <w:top w:w="0" w:type="dxa"/>
            <w:left w:w="108" w:type="dxa"/>
            <w:bottom w:w="0" w:type="dxa"/>
            <w:right w:w="108" w:type="dxa"/>
          </w:tblCellMar>
        </w:tblPrEx>
        <w:trPr>
          <w:trHeight w:val="749"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7C7A123E">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营业执照号</w:t>
            </w:r>
          </w:p>
        </w:tc>
        <w:tc>
          <w:tcPr>
            <w:tcW w:w="7357" w:type="dxa"/>
            <w:gridSpan w:val="6"/>
            <w:tcBorders>
              <w:top w:val="single" w:color="auto" w:sz="4" w:space="0"/>
              <w:left w:val="nil"/>
              <w:bottom w:val="single" w:color="auto" w:sz="4" w:space="0"/>
              <w:right w:val="single" w:color="auto" w:sz="4" w:space="0"/>
            </w:tcBorders>
            <w:vAlign w:val="center"/>
          </w:tcPr>
          <w:p w14:paraId="539E6A38">
            <w:pPr>
              <w:widowControl/>
              <w:spacing w:line="360" w:lineRule="auto"/>
              <w:jc w:val="center"/>
              <w:rPr>
                <w:rFonts w:hint="eastAsia" w:ascii="宋体" w:hAnsi="宋体" w:eastAsia="宋体" w:cs="宋体"/>
                <w:color w:val="auto"/>
                <w:sz w:val="24"/>
                <w:szCs w:val="24"/>
              </w:rPr>
            </w:pPr>
          </w:p>
        </w:tc>
      </w:tr>
      <w:tr w14:paraId="4ABE4D09">
        <w:tblPrEx>
          <w:tblCellMar>
            <w:top w:w="0" w:type="dxa"/>
            <w:left w:w="108" w:type="dxa"/>
            <w:bottom w:w="0" w:type="dxa"/>
            <w:right w:w="108" w:type="dxa"/>
          </w:tblCellMar>
        </w:tblPrEx>
        <w:trPr>
          <w:trHeight w:val="658"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71788CE9">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7357" w:type="dxa"/>
            <w:gridSpan w:val="6"/>
            <w:tcBorders>
              <w:top w:val="single" w:color="auto" w:sz="4" w:space="0"/>
              <w:left w:val="nil"/>
              <w:bottom w:val="single" w:color="auto" w:sz="4" w:space="0"/>
              <w:right w:val="single" w:color="auto" w:sz="4" w:space="0"/>
            </w:tcBorders>
            <w:vAlign w:val="center"/>
          </w:tcPr>
          <w:p w14:paraId="5BB842CB">
            <w:pPr>
              <w:widowControl/>
              <w:spacing w:line="360" w:lineRule="auto"/>
              <w:jc w:val="center"/>
              <w:rPr>
                <w:rFonts w:hint="eastAsia" w:ascii="宋体" w:hAnsi="宋体" w:eastAsia="宋体" w:cs="宋体"/>
                <w:color w:val="auto"/>
                <w:sz w:val="24"/>
                <w:szCs w:val="24"/>
              </w:rPr>
            </w:pPr>
          </w:p>
        </w:tc>
      </w:tr>
      <w:tr w14:paraId="5E334A0C">
        <w:tblPrEx>
          <w:tblCellMar>
            <w:top w:w="0" w:type="dxa"/>
            <w:left w:w="108" w:type="dxa"/>
            <w:bottom w:w="0" w:type="dxa"/>
            <w:right w:w="108" w:type="dxa"/>
          </w:tblCellMar>
        </w:tblPrEx>
        <w:trPr>
          <w:trHeight w:val="809"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7D2EEC58">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7357" w:type="dxa"/>
            <w:gridSpan w:val="6"/>
            <w:tcBorders>
              <w:top w:val="single" w:color="auto" w:sz="4" w:space="0"/>
              <w:left w:val="nil"/>
              <w:bottom w:val="single" w:color="auto" w:sz="4" w:space="0"/>
              <w:right w:val="single" w:color="auto" w:sz="4" w:space="0"/>
            </w:tcBorders>
            <w:vAlign w:val="center"/>
          </w:tcPr>
          <w:p w14:paraId="2A3E7C26">
            <w:pPr>
              <w:widowControl/>
              <w:spacing w:line="360" w:lineRule="auto"/>
              <w:jc w:val="center"/>
              <w:rPr>
                <w:rFonts w:hint="eastAsia" w:ascii="宋体" w:hAnsi="宋体" w:eastAsia="宋体" w:cs="宋体"/>
                <w:color w:val="auto"/>
                <w:sz w:val="24"/>
                <w:szCs w:val="24"/>
              </w:rPr>
            </w:pPr>
          </w:p>
        </w:tc>
      </w:tr>
      <w:tr w14:paraId="1D1178E5">
        <w:tblPrEx>
          <w:tblCellMar>
            <w:top w:w="0" w:type="dxa"/>
            <w:left w:w="108" w:type="dxa"/>
            <w:bottom w:w="0" w:type="dxa"/>
            <w:right w:w="108" w:type="dxa"/>
          </w:tblCellMar>
        </w:tblPrEx>
        <w:trPr>
          <w:trHeight w:val="677"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2BC8EEC2">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账号</w:t>
            </w:r>
          </w:p>
        </w:tc>
        <w:tc>
          <w:tcPr>
            <w:tcW w:w="7357" w:type="dxa"/>
            <w:gridSpan w:val="6"/>
            <w:tcBorders>
              <w:top w:val="single" w:color="auto" w:sz="4" w:space="0"/>
              <w:left w:val="nil"/>
              <w:bottom w:val="single" w:color="auto" w:sz="4" w:space="0"/>
              <w:right w:val="single" w:color="auto" w:sz="4" w:space="0"/>
            </w:tcBorders>
            <w:vAlign w:val="center"/>
          </w:tcPr>
          <w:p w14:paraId="7FDCDB99">
            <w:pPr>
              <w:widowControl/>
              <w:spacing w:line="360" w:lineRule="auto"/>
              <w:jc w:val="center"/>
              <w:rPr>
                <w:rFonts w:hint="eastAsia" w:ascii="宋体" w:hAnsi="宋体" w:eastAsia="宋体" w:cs="宋体"/>
                <w:color w:val="auto"/>
                <w:sz w:val="24"/>
                <w:szCs w:val="24"/>
              </w:rPr>
            </w:pPr>
          </w:p>
        </w:tc>
      </w:tr>
      <w:tr w14:paraId="6F3A5894">
        <w:tblPrEx>
          <w:tblCellMar>
            <w:top w:w="0" w:type="dxa"/>
            <w:left w:w="108" w:type="dxa"/>
            <w:bottom w:w="0" w:type="dxa"/>
            <w:right w:w="108" w:type="dxa"/>
          </w:tblCellMar>
        </w:tblPrEx>
        <w:trPr>
          <w:trHeight w:val="716"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5246FD64">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7357" w:type="dxa"/>
            <w:gridSpan w:val="6"/>
            <w:tcBorders>
              <w:top w:val="single" w:color="auto" w:sz="4" w:space="0"/>
              <w:left w:val="nil"/>
              <w:bottom w:val="single" w:color="auto" w:sz="4" w:space="0"/>
              <w:right w:val="single" w:color="auto" w:sz="4" w:space="0"/>
            </w:tcBorders>
            <w:vAlign w:val="center"/>
          </w:tcPr>
          <w:p w14:paraId="6F85FFBA">
            <w:pPr>
              <w:widowControl/>
              <w:spacing w:line="360" w:lineRule="auto"/>
              <w:ind w:firstLine="480" w:firstLineChars="200"/>
              <w:jc w:val="center"/>
              <w:rPr>
                <w:rFonts w:hint="eastAsia" w:ascii="宋体" w:hAnsi="宋体" w:eastAsia="宋体" w:cs="宋体"/>
                <w:color w:val="auto"/>
                <w:sz w:val="24"/>
                <w:szCs w:val="24"/>
              </w:rPr>
            </w:pPr>
          </w:p>
        </w:tc>
      </w:tr>
      <w:tr w14:paraId="105E3A50">
        <w:tblPrEx>
          <w:tblCellMar>
            <w:top w:w="0" w:type="dxa"/>
            <w:left w:w="108" w:type="dxa"/>
            <w:bottom w:w="0" w:type="dxa"/>
            <w:right w:w="108" w:type="dxa"/>
          </w:tblCellMar>
        </w:tblPrEx>
        <w:trPr>
          <w:trHeight w:val="1231" w:hRule="atLeast"/>
          <w:jc w:val="center"/>
        </w:trPr>
        <w:tc>
          <w:tcPr>
            <w:tcW w:w="1930" w:type="dxa"/>
            <w:tcBorders>
              <w:top w:val="single" w:color="auto" w:sz="4" w:space="0"/>
              <w:left w:val="single" w:color="auto" w:sz="4" w:space="0"/>
              <w:bottom w:val="single" w:color="auto" w:sz="4" w:space="0"/>
              <w:right w:val="single" w:color="auto" w:sz="4" w:space="0"/>
            </w:tcBorders>
            <w:vAlign w:val="center"/>
          </w:tcPr>
          <w:p w14:paraId="378110E6">
            <w:pPr>
              <w:widowControl/>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c>
          <w:tcPr>
            <w:tcW w:w="7357" w:type="dxa"/>
            <w:gridSpan w:val="6"/>
            <w:tcBorders>
              <w:top w:val="single" w:color="auto" w:sz="4" w:space="0"/>
              <w:left w:val="nil"/>
              <w:bottom w:val="single" w:color="auto" w:sz="4" w:space="0"/>
              <w:right w:val="single" w:color="auto" w:sz="4" w:space="0"/>
            </w:tcBorders>
            <w:vAlign w:val="center"/>
          </w:tcPr>
          <w:p w14:paraId="6EB405F4">
            <w:pPr>
              <w:widowControl/>
              <w:spacing w:line="360" w:lineRule="auto"/>
              <w:ind w:firstLine="480" w:firstLineChars="200"/>
              <w:jc w:val="center"/>
              <w:rPr>
                <w:rFonts w:hint="eastAsia" w:ascii="宋体" w:hAnsi="宋体" w:eastAsia="宋体" w:cs="宋体"/>
                <w:color w:val="auto"/>
                <w:sz w:val="24"/>
                <w:szCs w:val="24"/>
              </w:rPr>
            </w:pPr>
          </w:p>
        </w:tc>
      </w:tr>
    </w:tbl>
    <w:p w14:paraId="6A7F8A3E">
      <w:pPr>
        <w:rPr>
          <w:rFonts w:hint="eastAsia" w:ascii="宋体" w:hAnsi="宋体" w:eastAsia="宋体" w:cs="宋体"/>
          <w:color w:val="auto"/>
          <w:kern w:val="0"/>
          <w:sz w:val="32"/>
          <w:szCs w:val="32"/>
        </w:rPr>
      </w:pPr>
      <w:r>
        <w:rPr>
          <w:rFonts w:hint="eastAsia" w:ascii="宋体" w:hAnsi="宋体" w:eastAsia="宋体" w:cs="宋体"/>
          <w:color w:val="auto"/>
          <w:kern w:val="0"/>
          <w:sz w:val="32"/>
          <w:szCs w:val="32"/>
        </w:rPr>
        <w:br w:type="page"/>
      </w:r>
    </w:p>
    <w:p w14:paraId="4DA2A022">
      <w:pPr>
        <w:keepNext/>
        <w:keepLines/>
        <w:spacing w:line="415" w:lineRule="auto"/>
        <w:ind w:right="210" w:rightChars="100"/>
        <w:jc w:val="center"/>
        <w:outlineLvl w:val="2"/>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（二）投标人资格证明文件</w:t>
      </w:r>
    </w:p>
    <w:p w14:paraId="7EFC3AE8">
      <w:pPr>
        <w:widowControl/>
        <w:rPr>
          <w:rFonts w:hint="eastAsia" w:ascii="宋体" w:hAnsi="宋体" w:eastAsia="宋体" w:cs="宋体"/>
          <w:color w:val="auto"/>
          <w:kern w:val="0"/>
          <w:sz w:val="32"/>
          <w:szCs w:val="32"/>
        </w:rPr>
      </w:pPr>
    </w:p>
    <w:p w14:paraId="18DB5ECA">
      <w:pPr>
        <w:widowControl/>
        <w:jc w:val="center"/>
        <w:rPr>
          <w:rFonts w:hint="eastAsia" w:ascii="宋体" w:hAnsi="宋体" w:eastAsia="宋体" w:cs="宋体"/>
          <w:color w:val="auto"/>
          <w:kern w:val="0"/>
          <w:sz w:val="32"/>
          <w:szCs w:val="32"/>
        </w:rPr>
      </w:pPr>
    </w:p>
    <w:p w14:paraId="7BB8BD45">
      <w:pPr>
        <w:widowControl/>
        <w:jc w:val="center"/>
        <w:rPr>
          <w:rFonts w:hint="eastAsia" w:ascii="宋体" w:hAnsi="宋体" w:eastAsia="宋体" w:cs="宋体"/>
          <w:color w:val="auto"/>
          <w:kern w:val="0"/>
          <w:sz w:val="32"/>
          <w:szCs w:val="32"/>
        </w:rPr>
      </w:pPr>
    </w:p>
    <w:p w14:paraId="0172988B">
      <w:pPr>
        <w:widowControl/>
        <w:jc w:val="left"/>
        <w:rPr>
          <w:rFonts w:hint="eastAsia" w:ascii="宋体" w:hAnsi="宋体" w:eastAsia="宋体" w:cs="宋体"/>
          <w:color w:val="auto"/>
          <w:kern w:val="0"/>
          <w:sz w:val="28"/>
          <w:szCs w:val="28"/>
        </w:rPr>
      </w:pPr>
    </w:p>
    <w:p w14:paraId="13BCFA9B">
      <w:pPr>
        <w:rPr>
          <w:rFonts w:hint="eastAsia" w:ascii="宋体" w:hAnsi="宋体" w:eastAsia="宋体" w:cs="宋体"/>
          <w:b/>
          <w:bCs/>
          <w:color w:val="auto"/>
          <w:kern w:val="0"/>
          <w:sz w:val="32"/>
          <w:szCs w:val="32"/>
        </w:rPr>
      </w:pPr>
      <w:r>
        <w:rPr>
          <w:rFonts w:hint="eastAsia" w:ascii="宋体" w:hAnsi="宋体" w:eastAsia="宋体" w:cs="宋体"/>
          <w:b/>
          <w:bCs/>
          <w:color w:val="auto"/>
          <w:kern w:val="0"/>
          <w:sz w:val="32"/>
          <w:szCs w:val="32"/>
        </w:rPr>
        <w:br w:type="page"/>
      </w:r>
    </w:p>
    <w:p w14:paraId="2CF710B4">
      <w:pPr>
        <w:pStyle w:val="8"/>
        <w:keepNext/>
        <w:keepLines/>
        <w:pageBreakBefore w:val="0"/>
        <w:widowControl w:val="0"/>
        <w:numPr>
          <w:ilvl w:val="1"/>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sz w:val="28"/>
          <w:szCs w:val="18"/>
          <w:lang w:eastAsia="zh-CN"/>
        </w:rPr>
      </w:pPr>
      <w:bookmarkStart w:id="53" w:name="_Toc15887"/>
      <w:r>
        <w:rPr>
          <w:rFonts w:hint="eastAsia" w:ascii="宋体" w:hAnsi="宋体" w:eastAsia="宋体" w:cs="宋体"/>
          <w:color w:val="auto"/>
          <w:sz w:val="28"/>
          <w:szCs w:val="18"/>
          <w:lang w:eastAsia="zh-CN"/>
        </w:rPr>
        <w:t>六</w:t>
      </w:r>
      <w:r>
        <w:rPr>
          <w:rFonts w:hint="eastAsia" w:ascii="宋体" w:hAnsi="宋体" w:eastAsia="宋体" w:cs="宋体"/>
          <w:color w:val="auto"/>
          <w:sz w:val="28"/>
          <w:szCs w:val="18"/>
        </w:rPr>
        <w:t>、</w:t>
      </w:r>
      <w:r>
        <w:rPr>
          <w:rFonts w:hint="eastAsia" w:ascii="宋体" w:hAnsi="宋体" w:eastAsia="宋体" w:cs="宋体"/>
          <w:color w:val="auto"/>
          <w:sz w:val="28"/>
          <w:szCs w:val="18"/>
          <w:lang w:eastAsia="zh-CN"/>
        </w:rPr>
        <w:t>技术部分</w:t>
      </w:r>
      <w:bookmarkEnd w:id="53"/>
    </w:p>
    <w:p w14:paraId="6741BD11">
      <w:pPr>
        <w:keepNext/>
        <w:keepLines/>
        <w:spacing w:line="415" w:lineRule="auto"/>
        <w:ind w:right="210" w:rightChars="100"/>
        <w:jc w:val="center"/>
        <w:outlineLvl w:val="2"/>
        <w:rPr>
          <w:rFonts w:hint="eastAsia" w:ascii="宋体" w:hAnsi="宋体" w:eastAsia="宋体" w:cs="宋体"/>
          <w:b/>
          <w:bCs/>
          <w:color w:val="auto"/>
          <w:sz w:val="28"/>
          <w:szCs w:val="28"/>
        </w:rPr>
      </w:pPr>
      <w:r>
        <w:rPr>
          <w:rFonts w:hint="eastAsia" w:ascii="宋体" w:hAnsi="宋体" w:eastAsia="宋体" w:cs="宋体"/>
          <w:b/>
          <w:bCs/>
          <w:color w:val="auto"/>
          <w:sz w:val="28"/>
          <w:szCs w:val="28"/>
        </w:rPr>
        <w:t>（投标人根据本项目实际情况编写）</w:t>
      </w:r>
    </w:p>
    <w:p w14:paraId="154028A5">
      <w:pPr>
        <w:pStyle w:val="8"/>
        <w:keepNext/>
        <w:keepLines/>
        <w:pageBreakBefore w:val="0"/>
        <w:widowControl w:val="0"/>
        <w:numPr>
          <w:ilvl w:val="1"/>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color w:val="auto"/>
          <w:lang w:val="en-US" w:eastAsia="zh-CN"/>
        </w:rPr>
      </w:pPr>
      <w:r>
        <w:rPr>
          <w:rFonts w:hint="eastAsia" w:ascii="宋体" w:hAnsi="宋体" w:eastAsia="宋体" w:cs="宋体"/>
          <w:color w:val="auto"/>
          <w:kern w:val="0"/>
          <w:sz w:val="28"/>
          <w:szCs w:val="28"/>
        </w:rPr>
        <w:br w:type="page"/>
      </w:r>
      <w:bookmarkEnd w:id="32"/>
      <w:bookmarkStart w:id="54" w:name="_Toc21500"/>
      <w:r>
        <w:rPr>
          <w:rFonts w:hint="eastAsia" w:ascii="宋体" w:hAnsi="宋体" w:eastAsia="宋体" w:cs="宋体"/>
          <w:color w:val="auto"/>
          <w:sz w:val="28"/>
          <w:szCs w:val="18"/>
          <w:lang w:val="en-US" w:eastAsia="zh-CN"/>
        </w:rPr>
        <w:t>七、商务部分</w:t>
      </w:r>
      <w:bookmarkEnd w:id="54"/>
    </w:p>
    <w:p w14:paraId="1A2C8EA3">
      <w:pPr>
        <w:numPr>
          <w:ilvl w:val="1"/>
          <w:numId w:val="0"/>
        </w:numPr>
        <w:tabs>
          <w:tab w:val="left" w:pos="840"/>
        </w:tabs>
        <w:jc w:val="center"/>
        <w:outlineLvl w:val="9"/>
        <w:rPr>
          <w:rFonts w:hint="eastAsia"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（投标人根据本项目实际情况编写）</w:t>
      </w:r>
    </w:p>
    <w:p w14:paraId="2B09C9D6">
      <w:pPr>
        <w:rPr>
          <w:rFonts w:hint="eastAsia" w:ascii="宋体" w:hAnsi="宋体" w:eastAsia="宋体" w:cs="宋体"/>
          <w:color w:val="auto"/>
          <w:lang w:val="en-US" w:eastAsia="zh-CN"/>
        </w:rPr>
      </w:pPr>
      <w:r>
        <w:rPr>
          <w:rFonts w:hint="eastAsia" w:ascii="宋体" w:hAnsi="宋体" w:eastAsia="宋体" w:cs="宋体"/>
          <w:color w:val="auto"/>
          <w:lang w:val="en-US" w:eastAsia="zh-CN"/>
        </w:rPr>
        <w:br w:type="page"/>
      </w:r>
    </w:p>
    <w:p w14:paraId="1A9FF5C0">
      <w:pPr>
        <w:pStyle w:val="8"/>
        <w:keepNext/>
        <w:keepLines/>
        <w:pageBreakBefore w:val="0"/>
        <w:widowControl w:val="0"/>
        <w:numPr>
          <w:ilvl w:val="1"/>
          <w:numId w:val="0"/>
        </w:numPr>
        <w:kinsoku/>
        <w:wordWrap/>
        <w:overflowPunct/>
        <w:topLinePunct w:val="0"/>
        <w:autoSpaceDE/>
        <w:autoSpaceDN/>
        <w:bidi w:val="0"/>
        <w:adjustRightInd/>
        <w:snapToGrid/>
        <w:spacing w:before="0" w:after="0" w:line="360" w:lineRule="auto"/>
        <w:textAlignment w:val="auto"/>
        <w:rPr>
          <w:rFonts w:hint="eastAsia" w:ascii="宋体" w:hAnsi="宋体" w:eastAsia="宋体" w:cs="宋体"/>
          <w:b/>
          <w:bCs/>
          <w:color w:val="auto"/>
          <w:sz w:val="28"/>
          <w:szCs w:val="28"/>
        </w:rPr>
      </w:pPr>
      <w:bookmarkStart w:id="55" w:name="_Toc4325"/>
      <w:bookmarkStart w:id="56" w:name="_Toc14263"/>
      <w:r>
        <w:rPr>
          <w:rFonts w:hint="eastAsia" w:ascii="宋体" w:hAnsi="宋体" w:eastAsia="宋体" w:cs="宋体"/>
          <w:color w:val="auto"/>
          <w:sz w:val="28"/>
          <w:szCs w:val="28"/>
          <w:lang w:val="en-US" w:eastAsia="zh-CN"/>
        </w:rPr>
        <w:t>八</w:t>
      </w:r>
      <w:r>
        <w:rPr>
          <w:rFonts w:hint="eastAsia" w:ascii="宋体" w:hAnsi="宋体" w:eastAsia="宋体" w:cs="宋体"/>
          <w:color w:val="auto"/>
          <w:sz w:val="28"/>
          <w:szCs w:val="28"/>
        </w:rPr>
        <w:t>、</w:t>
      </w:r>
      <w:bookmarkEnd w:id="55"/>
      <w:bookmarkEnd w:id="56"/>
      <w:bookmarkStart w:id="57" w:name="_Toc45"/>
      <w:bookmarkStart w:id="58" w:name="_Toc23107"/>
      <w:bookmarkStart w:id="59" w:name="_Toc20348"/>
      <w:bookmarkStart w:id="60" w:name="_Toc26103"/>
      <w:bookmarkStart w:id="61" w:name="_Toc15612"/>
      <w:bookmarkStart w:id="62" w:name="_Toc7119"/>
      <w:r>
        <w:rPr>
          <w:rFonts w:hint="eastAsia" w:ascii="宋体" w:hAnsi="宋体" w:eastAsia="宋体" w:cs="宋体"/>
          <w:color w:val="auto"/>
          <w:sz w:val="28"/>
          <w:szCs w:val="28"/>
          <w:lang w:val="zh-CN"/>
        </w:rPr>
        <w:t>供应商认为有必要提供的其他资料</w:t>
      </w:r>
    </w:p>
    <w:bookmarkEnd w:id="57"/>
    <w:bookmarkEnd w:id="58"/>
    <w:bookmarkEnd w:id="59"/>
    <w:bookmarkEnd w:id="60"/>
    <w:bookmarkEnd w:id="61"/>
    <w:bookmarkEnd w:id="62"/>
    <w:p w14:paraId="6534605E">
      <w:pPr>
        <w:rPr>
          <w:rFonts w:hint="eastAsia" w:ascii="宋体" w:hAnsi="宋体" w:eastAsia="宋体" w:cs="宋体"/>
          <w:b/>
          <w:bCs/>
          <w:color w:val="auto"/>
          <w:sz w:val="24"/>
        </w:rPr>
      </w:pPr>
    </w:p>
    <w:p w14:paraId="6CDA68CD">
      <w:pPr>
        <w:rPr>
          <w:rFonts w:hint="eastAsia" w:ascii="宋体" w:hAnsi="宋体"/>
          <w:b/>
          <w:bCs/>
          <w:color w:val="auto"/>
          <w:kern w:val="0"/>
          <w:sz w:val="24"/>
          <w:szCs w:val="24"/>
        </w:rPr>
      </w:pPr>
      <w:r>
        <w:rPr>
          <w:rFonts w:hint="eastAsia" w:ascii="宋体" w:hAnsi="宋体"/>
          <w:b/>
          <w:bCs/>
          <w:color w:val="auto"/>
          <w:kern w:val="0"/>
          <w:sz w:val="24"/>
          <w:szCs w:val="24"/>
        </w:rPr>
        <w:br w:type="page"/>
      </w:r>
    </w:p>
    <w:p w14:paraId="2FBAEE0D">
      <w:pPr>
        <w:widowControl/>
        <w:spacing w:before="100" w:beforeAutospacing="1" w:after="100" w:afterAutospacing="1" w:line="360" w:lineRule="auto"/>
        <w:jc w:val="left"/>
        <w:rPr>
          <w:rFonts w:hint="eastAsia" w:ascii="宋体" w:hAnsi="宋体"/>
          <w:b/>
          <w:bCs/>
          <w:color w:val="auto"/>
          <w:kern w:val="0"/>
          <w:sz w:val="24"/>
          <w:szCs w:val="24"/>
        </w:rPr>
      </w:pPr>
      <w:r>
        <w:rPr>
          <w:rFonts w:hint="eastAsia" w:ascii="宋体" w:hAnsi="宋体"/>
          <w:b/>
          <w:bCs/>
          <w:color w:val="auto"/>
          <w:kern w:val="0"/>
          <w:sz w:val="24"/>
          <w:szCs w:val="24"/>
        </w:rPr>
        <w:t>附件1：</w:t>
      </w:r>
    </w:p>
    <w:p w14:paraId="7F74602E">
      <w:pPr>
        <w:widowControl/>
        <w:spacing w:before="100" w:beforeAutospacing="1" w:after="100" w:afterAutospacing="1" w:line="360" w:lineRule="auto"/>
        <w:jc w:val="center"/>
        <w:rPr>
          <w:rFonts w:hint="eastAsia" w:ascii="宋体" w:hAnsi="宋体" w:eastAsia="宋体" w:cs="宋体"/>
          <w:b/>
          <w:bCs/>
          <w:color w:val="auto"/>
          <w:sz w:val="24"/>
        </w:rPr>
      </w:pPr>
      <w:r>
        <w:rPr>
          <w:rFonts w:hint="eastAsia" w:ascii="宋体" w:hAnsi="宋体" w:eastAsia="宋体" w:cs="宋体"/>
          <w:b/>
          <w:bCs/>
          <w:color w:val="auto"/>
          <w:sz w:val="24"/>
        </w:rPr>
        <w:t>中小企业声明函（工程、服务）</w:t>
      </w:r>
    </w:p>
    <w:p w14:paraId="2E9AD21A">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47AFFFF">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1.(标的名称）,属于(</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文件中明确的所属行业);承建(承接)企业为(企业名称)，从业人员人，营业收入为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万元，资产总额为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万元，属于(中型企业、小型企业、微型企业);</w:t>
      </w:r>
    </w:p>
    <w:p w14:paraId="7DBB9739">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2.(标的名称)，属于(</w:t>
      </w:r>
      <w:r>
        <w:rPr>
          <w:rFonts w:hint="eastAsia" w:ascii="宋体" w:hAnsi="宋体" w:eastAsia="宋体" w:cs="宋体"/>
          <w:color w:val="auto"/>
          <w:kern w:val="0"/>
          <w:sz w:val="24"/>
          <w:szCs w:val="24"/>
          <w:lang w:eastAsia="zh-CN"/>
        </w:rPr>
        <w:t>磋商</w:t>
      </w:r>
      <w:r>
        <w:rPr>
          <w:rFonts w:hint="eastAsia" w:ascii="宋体" w:hAnsi="宋体" w:eastAsia="宋体" w:cs="宋体"/>
          <w:color w:val="auto"/>
          <w:kern w:val="0"/>
          <w:sz w:val="24"/>
          <w:szCs w:val="24"/>
        </w:rPr>
        <w:t>文件中明确的所属行业);承建(承接)企业为(企业名称)，从业人员人，营业收入为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万元，资产总额为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万元，属于(中型企业、小型企业、微型企业);</w:t>
      </w:r>
    </w:p>
    <w:p w14:paraId="20A571C0">
      <w:pPr>
        <w:spacing w:line="360" w:lineRule="auto"/>
        <w:ind w:firstLine="480" w:firstLineChars="200"/>
        <w:rPr>
          <w:rFonts w:hint="eastAsia" w:ascii="宋体" w:hAnsi="宋体" w:eastAsia="宋体" w:cs="宋体"/>
          <w:color w:val="auto"/>
          <w:kern w:val="0"/>
          <w:sz w:val="24"/>
          <w:szCs w:val="24"/>
        </w:rPr>
      </w:pPr>
    </w:p>
    <w:p w14:paraId="060998F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kern w:val="0"/>
          <w:sz w:val="24"/>
          <w:szCs w:val="24"/>
        </w:rPr>
        <w:t>以上企业，不属于大企业的分支机构，不存在控股股东为大企业的情形，也不存在与大企业的负责人为同一人的情</w:t>
      </w:r>
      <w:r>
        <w:rPr>
          <w:rFonts w:hint="eastAsia" w:ascii="宋体" w:hAnsi="宋体" w:eastAsia="宋体" w:cs="宋体"/>
          <w:bCs/>
          <w:color w:val="auto"/>
          <w:sz w:val="24"/>
          <w:szCs w:val="24"/>
        </w:rPr>
        <w:t>形。</w:t>
      </w:r>
    </w:p>
    <w:p w14:paraId="393DD069">
      <w:pPr>
        <w:spacing w:line="360" w:lineRule="auto"/>
        <w:ind w:firstLine="4320" w:firstLineChars="1800"/>
        <w:rPr>
          <w:rFonts w:hint="eastAsia" w:ascii="宋体" w:hAnsi="宋体" w:eastAsia="宋体" w:cs="宋体"/>
          <w:color w:val="auto"/>
          <w:sz w:val="24"/>
          <w:szCs w:val="24"/>
        </w:rPr>
      </w:pPr>
    </w:p>
    <w:p w14:paraId="13712B15">
      <w:pPr>
        <w:spacing w:line="360" w:lineRule="auto"/>
        <w:ind w:firstLine="56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8"/>
          <w:szCs w:val="28"/>
        </w:rPr>
        <w:t xml:space="preserve">                                 </w:t>
      </w:r>
    </w:p>
    <w:p w14:paraId="778E7D6C">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磋商供应商：（盖公章）</w:t>
      </w:r>
    </w:p>
    <w:p w14:paraId="306E8C4D">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                                         年  月  日</w:t>
      </w:r>
    </w:p>
    <w:p w14:paraId="5AF146A2">
      <w:pPr>
        <w:spacing w:line="360" w:lineRule="auto"/>
        <w:ind w:firstLine="4320" w:firstLineChars="1800"/>
        <w:rPr>
          <w:rFonts w:hint="eastAsia" w:ascii="宋体" w:hAnsi="宋体" w:eastAsia="宋体" w:cs="宋体"/>
          <w:color w:val="auto"/>
          <w:kern w:val="0"/>
          <w:sz w:val="24"/>
          <w:szCs w:val="24"/>
        </w:rPr>
      </w:pPr>
    </w:p>
    <w:p w14:paraId="788A443E">
      <w:pPr>
        <w:widowControl/>
        <w:spacing w:before="100" w:beforeAutospacing="1" w:after="100" w:afterAutospacing="1" w:line="360" w:lineRule="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注：从业人员、营业收入、资产总额填报上一年度数据，无上一年度数据的新成立企业可不填报。</w:t>
      </w:r>
    </w:p>
    <w:p w14:paraId="71445B9D">
      <w:pPr>
        <w:widowControl/>
        <w:spacing w:line="340" w:lineRule="exact"/>
        <w:rPr>
          <w:rFonts w:hint="eastAsia" w:ascii="宋体" w:hAnsi="宋体" w:eastAsia="宋体" w:cs="宋体"/>
          <w:b/>
          <w:color w:val="auto"/>
          <w:sz w:val="24"/>
          <w:szCs w:val="24"/>
        </w:rPr>
      </w:pPr>
    </w:p>
    <w:p w14:paraId="69C6E27B">
      <w:pPr>
        <w:rPr>
          <w:rFonts w:hint="eastAsia" w:ascii="宋体" w:hAnsi="宋体" w:eastAsia="宋体" w:cs="宋体"/>
          <w:b/>
          <w:bCs/>
          <w:color w:val="auto"/>
          <w:sz w:val="24"/>
          <w:szCs w:val="24"/>
        </w:rPr>
      </w:pPr>
      <w:bookmarkStart w:id="63" w:name="_Toc532473512"/>
      <w:bookmarkStart w:id="64" w:name="_Toc16229659"/>
      <w:r>
        <w:rPr>
          <w:rFonts w:hint="eastAsia" w:ascii="宋体" w:hAnsi="宋体" w:eastAsia="宋体" w:cs="宋体"/>
          <w:b/>
          <w:bCs/>
          <w:color w:val="auto"/>
          <w:sz w:val="24"/>
          <w:szCs w:val="24"/>
        </w:rPr>
        <w:br w:type="page"/>
      </w:r>
    </w:p>
    <w:p w14:paraId="02C2BA95">
      <w:pPr>
        <w:widowControl/>
        <w:spacing w:before="100" w:beforeAutospacing="1" w:after="100" w:afterAutospacing="1" w:line="360" w:lineRule="auto"/>
        <w:jc w:val="both"/>
        <w:rPr>
          <w:rFonts w:hint="eastAsia" w:ascii="宋体" w:hAnsi="宋体"/>
          <w:b/>
          <w:bCs/>
          <w:color w:val="auto"/>
          <w:kern w:val="0"/>
          <w:sz w:val="24"/>
          <w:szCs w:val="24"/>
        </w:rPr>
      </w:pPr>
      <w:r>
        <w:rPr>
          <w:rFonts w:hint="eastAsia" w:ascii="宋体" w:hAnsi="宋体"/>
          <w:b/>
          <w:bCs/>
          <w:color w:val="auto"/>
          <w:kern w:val="0"/>
          <w:sz w:val="24"/>
          <w:szCs w:val="24"/>
        </w:rPr>
        <w:t>附件</w:t>
      </w:r>
      <w:r>
        <w:rPr>
          <w:rFonts w:hint="eastAsia" w:ascii="宋体" w:hAnsi="宋体"/>
          <w:b/>
          <w:bCs/>
          <w:color w:val="auto"/>
          <w:kern w:val="0"/>
          <w:sz w:val="24"/>
          <w:szCs w:val="24"/>
          <w:lang w:val="en-US" w:eastAsia="zh-CN"/>
        </w:rPr>
        <w:t>2</w:t>
      </w:r>
      <w:r>
        <w:rPr>
          <w:rFonts w:hint="eastAsia" w:ascii="宋体" w:hAnsi="宋体"/>
          <w:b/>
          <w:bCs/>
          <w:color w:val="auto"/>
          <w:kern w:val="0"/>
          <w:sz w:val="24"/>
          <w:szCs w:val="24"/>
        </w:rPr>
        <w:t>：</w:t>
      </w:r>
    </w:p>
    <w:p w14:paraId="4DB0DEAF">
      <w:pPr>
        <w:widowControl/>
        <w:spacing w:before="100" w:beforeAutospacing="1" w:after="100" w:afterAutospacing="1" w:line="360" w:lineRule="auto"/>
        <w:jc w:val="center"/>
        <w:rPr>
          <w:rFonts w:hint="eastAsia" w:ascii="宋体" w:hAnsi="宋体" w:eastAsia="宋体" w:cs="宋体"/>
          <w:b/>
          <w:color w:val="auto"/>
          <w:kern w:val="0"/>
          <w:sz w:val="24"/>
          <w:szCs w:val="24"/>
        </w:rPr>
      </w:pPr>
      <w:r>
        <w:rPr>
          <w:rFonts w:hint="eastAsia" w:ascii="宋体" w:hAnsi="宋体" w:eastAsia="宋体" w:cs="宋体"/>
          <w:b/>
          <w:bCs/>
          <w:color w:val="auto"/>
          <w:sz w:val="24"/>
          <w:szCs w:val="24"/>
        </w:rPr>
        <w:t>供应商监狱企业声明函</w:t>
      </w:r>
      <w:bookmarkEnd w:id="63"/>
      <w:bookmarkEnd w:id="64"/>
    </w:p>
    <w:p w14:paraId="1006B9CB">
      <w:pPr>
        <w:widowControl/>
        <w:spacing w:before="100" w:beforeAutospacing="1" w:after="100" w:afterAutospacing="1" w:line="360" w:lineRule="auto"/>
        <w:ind w:firstLine="480" w:firstLineChars="20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（属于残疾人福利性单位的填写，不属于的无需填写此项内容）</w:t>
      </w:r>
    </w:p>
    <w:p w14:paraId="49588C71">
      <w:pPr>
        <w:widowControl/>
        <w:spacing w:before="100" w:beforeAutospacing="1" w:after="100" w:afterAutospacing="1"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本企业（单位）郑重声明下列事项（按照实际情况勾选或填空）：</w:t>
      </w:r>
    </w:p>
    <w:p w14:paraId="56193C00">
      <w:pPr>
        <w:widowControl/>
        <w:spacing w:before="100" w:beforeAutospacing="1" w:after="100" w:afterAutospacing="1" w:line="360" w:lineRule="auto"/>
        <w:ind w:firstLine="480" w:firstLineChars="20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本企业（单位）为直接供应商提供本企业（单位）制造的货物。</w:t>
      </w:r>
    </w:p>
    <w:p w14:paraId="73E05298">
      <w:pPr>
        <w:widowControl/>
        <w:spacing w:before="100" w:beforeAutospacing="1" w:after="100" w:afterAutospacing="1" w:line="360" w:lineRule="auto"/>
        <w:ind w:firstLine="360" w:firstLineChars="15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（1）本企业（单位）</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（请填写：是、不是）监狱企业。后附省级以上监狱管理局、戒毒管理局（含新疆生产建设兵团）出具的属于监狱企业的证明文件。</w:t>
      </w:r>
    </w:p>
    <w:p w14:paraId="2936F486">
      <w:pPr>
        <w:widowControl/>
        <w:spacing w:before="100" w:beforeAutospacing="1" w:after="100" w:afterAutospacing="1" w:line="360" w:lineRule="auto"/>
        <w:ind w:firstLine="42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（2）本企业（单位）</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（请填写：是、不是）为联合体一方，提供本企业（单位）制造的货物，由本企业（单位）承担工程、提供服务。本企业（单位）提供协议合同金额占到共同投标协议合同总金额的比例为</w:t>
      </w:r>
      <w:r>
        <w:rPr>
          <w:rFonts w:hint="eastAsia" w:ascii="宋体" w:hAnsi="宋体" w:eastAsia="宋体" w:cs="宋体"/>
          <w:color w:val="auto"/>
          <w:kern w:val="0"/>
          <w:sz w:val="24"/>
          <w:szCs w:val="24"/>
          <w:u w:val="single"/>
        </w:rPr>
        <w:t xml:space="preserve">       </w:t>
      </w:r>
      <w:r>
        <w:rPr>
          <w:rFonts w:hint="eastAsia" w:ascii="宋体" w:hAnsi="宋体" w:eastAsia="宋体" w:cs="宋体"/>
          <w:color w:val="auto"/>
          <w:kern w:val="0"/>
          <w:sz w:val="24"/>
          <w:szCs w:val="24"/>
        </w:rPr>
        <w:t>。</w:t>
      </w:r>
    </w:p>
    <w:p w14:paraId="122F9B55">
      <w:pPr>
        <w:widowControl/>
        <w:spacing w:before="100" w:beforeAutospacing="1" w:after="100" w:afterAutospacing="1" w:line="360" w:lineRule="auto"/>
        <w:ind w:firstLine="475"/>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本企业（单位）对上述声明的真实性负责。如有虚假，将依法承担相应责任。</w:t>
      </w:r>
    </w:p>
    <w:p w14:paraId="3010B3F5">
      <w:pPr>
        <w:widowControl/>
        <w:spacing w:before="100" w:beforeAutospacing="1" w:after="100" w:afterAutospacing="1" w:line="360" w:lineRule="auto"/>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w:t>
      </w:r>
    </w:p>
    <w:p w14:paraId="449366AF">
      <w:pPr>
        <w:widowControl/>
        <w:spacing w:before="100" w:beforeAutospacing="1" w:after="100" w:afterAutospacing="1" w:line="360" w:lineRule="auto"/>
        <w:jc w:val="left"/>
        <w:rPr>
          <w:rFonts w:hint="eastAsia" w:ascii="宋体" w:hAnsi="宋体" w:eastAsia="宋体" w:cs="宋体"/>
          <w:color w:val="auto"/>
          <w:kern w:val="0"/>
          <w:sz w:val="24"/>
          <w:szCs w:val="24"/>
        </w:rPr>
      </w:pPr>
    </w:p>
    <w:p w14:paraId="52501716">
      <w:pPr>
        <w:spacing w:line="360" w:lineRule="auto"/>
        <w:ind w:firstLine="4320" w:firstLineChars="1800"/>
        <w:rPr>
          <w:rFonts w:hint="eastAsia" w:ascii="宋体" w:hAnsi="宋体" w:eastAsia="宋体" w:cs="宋体"/>
          <w:color w:val="auto"/>
          <w:sz w:val="24"/>
          <w:szCs w:val="24"/>
        </w:rPr>
      </w:pPr>
      <w:r>
        <w:rPr>
          <w:rFonts w:hint="eastAsia" w:ascii="宋体" w:hAnsi="宋体" w:eastAsia="宋体" w:cs="宋体"/>
          <w:bCs/>
          <w:color w:val="auto"/>
          <w:sz w:val="24"/>
          <w:szCs w:val="24"/>
        </w:rPr>
        <w:t>磋商供应商（盖公章）：</w:t>
      </w:r>
    </w:p>
    <w:p w14:paraId="6244EFDA">
      <w:pPr>
        <w:spacing w:line="360" w:lineRule="auto"/>
        <w:ind w:firstLine="4320" w:firstLineChars="1800"/>
        <w:rPr>
          <w:rFonts w:hint="eastAsia" w:ascii="宋体" w:hAnsi="宋体" w:eastAsia="宋体" w:cs="宋体"/>
          <w:color w:val="auto"/>
          <w:sz w:val="24"/>
          <w:szCs w:val="24"/>
        </w:rPr>
      </w:pPr>
    </w:p>
    <w:p w14:paraId="3E3EB89D">
      <w:pPr>
        <w:spacing w:line="360" w:lineRule="auto"/>
        <w:ind w:firstLine="4320" w:firstLineChars="1800"/>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2AD380A8">
      <w:pPr>
        <w:pStyle w:val="5"/>
        <w:ind w:firstLine="480"/>
        <w:rPr>
          <w:rFonts w:hint="eastAsia" w:ascii="宋体" w:hAnsi="宋体" w:eastAsia="宋体" w:cs="宋体"/>
          <w:color w:val="auto"/>
          <w:sz w:val="24"/>
          <w:szCs w:val="24"/>
          <w:lang w:eastAsia="zh-CN"/>
        </w:rPr>
      </w:pPr>
    </w:p>
    <w:p w14:paraId="6D5927E4">
      <w:pPr>
        <w:pStyle w:val="5"/>
        <w:ind w:firstLine="480"/>
        <w:rPr>
          <w:rFonts w:hint="eastAsia" w:ascii="宋体" w:hAnsi="宋体" w:eastAsia="宋体" w:cs="宋体"/>
          <w:color w:val="auto"/>
          <w:sz w:val="24"/>
          <w:szCs w:val="24"/>
          <w:lang w:eastAsia="zh-CN"/>
        </w:rPr>
      </w:pPr>
    </w:p>
    <w:p w14:paraId="24D4210B">
      <w:pPr>
        <w:pStyle w:val="5"/>
        <w:ind w:firstLine="480"/>
        <w:rPr>
          <w:rFonts w:hint="eastAsia" w:ascii="宋体" w:hAnsi="宋体" w:eastAsia="宋体" w:cs="宋体"/>
          <w:color w:val="auto"/>
          <w:sz w:val="24"/>
          <w:szCs w:val="24"/>
          <w:lang w:eastAsia="zh-CN"/>
        </w:rPr>
      </w:pPr>
    </w:p>
    <w:p w14:paraId="2EF33AF0">
      <w:pPr>
        <w:pStyle w:val="5"/>
        <w:ind w:firstLine="480"/>
        <w:rPr>
          <w:rFonts w:hint="eastAsia" w:ascii="宋体" w:hAnsi="宋体" w:eastAsia="宋体" w:cs="宋体"/>
          <w:color w:val="auto"/>
          <w:sz w:val="24"/>
          <w:szCs w:val="24"/>
          <w:lang w:eastAsia="zh-CN"/>
        </w:rPr>
      </w:pPr>
    </w:p>
    <w:p w14:paraId="796AE88C">
      <w:pPr>
        <w:pStyle w:val="3"/>
        <w:rPr>
          <w:rFonts w:hint="eastAsia" w:ascii="宋体" w:hAnsi="宋体" w:eastAsia="宋体" w:cs="宋体"/>
          <w:color w:val="auto"/>
        </w:rPr>
      </w:pPr>
    </w:p>
    <w:p w14:paraId="23D67741">
      <w:pPr>
        <w:pStyle w:val="8"/>
        <w:numPr>
          <w:ilvl w:val="1"/>
          <w:numId w:val="0"/>
        </w:numPr>
        <w:wordWrap w:val="0"/>
        <w:topLinePunct/>
        <w:spacing w:before="0" w:after="0" w:line="360" w:lineRule="auto"/>
        <w:rPr>
          <w:rFonts w:hint="eastAsia" w:ascii="宋体" w:hAnsi="宋体" w:eastAsia="宋体" w:cs="宋体"/>
          <w:bCs/>
          <w:color w:val="auto"/>
          <w:sz w:val="24"/>
          <w:szCs w:val="24"/>
        </w:rPr>
      </w:pPr>
    </w:p>
    <w:p w14:paraId="22E61B4E">
      <w:pPr>
        <w:rPr>
          <w:rFonts w:hint="eastAsia" w:ascii="宋体" w:hAnsi="宋体" w:eastAsia="宋体" w:cs="宋体"/>
          <w:color w:val="auto"/>
          <w:sz w:val="24"/>
          <w:szCs w:val="24"/>
        </w:rPr>
      </w:pPr>
    </w:p>
    <w:p w14:paraId="671772D5">
      <w:pPr>
        <w:widowControl/>
        <w:spacing w:before="100" w:beforeAutospacing="1" w:after="100" w:afterAutospacing="1" w:line="360" w:lineRule="auto"/>
        <w:jc w:val="left"/>
        <w:rPr>
          <w:rFonts w:hint="eastAsia" w:ascii="宋体" w:hAnsi="宋体"/>
          <w:b/>
          <w:bCs/>
          <w:color w:val="auto"/>
          <w:kern w:val="0"/>
          <w:sz w:val="24"/>
          <w:szCs w:val="24"/>
        </w:rPr>
      </w:pPr>
      <w:r>
        <w:rPr>
          <w:rFonts w:hint="eastAsia" w:ascii="宋体" w:hAnsi="宋体" w:eastAsia="宋体" w:cs="宋体"/>
          <w:bCs/>
          <w:color w:val="auto"/>
          <w:sz w:val="24"/>
          <w:szCs w:val="24"/>
        </w:rPr>
        <w:br w:type="page"/>
      </w:r>
      <w:bookmarkStart w:id="65" w:name="_Toc30542"/>
      <w:bookmarkStart w:id="66" w:name="_Toc22043"/>
      <w:bookmarkStart w:id="67" w:name="_Toc15018"/>
      <w:bookmarkStart w:id="68" w:name="_Toc13311"/>
      <w:r>
        <w:rPr>
          <w:rFonts w:hint="eastAsia" w:ascii="宋体" w:hAnsi="宋体"/>
          <w:b/>
          <w:bCs/>
          <w:color w:val="auto"/>
          <w:kern w:val="0"/>
          <w:sz w:val="24"/>
          <w:szCs w:val="24"/>
        </w:rPr>
        <w:t>附件</w:t>
      </w:r>
      <w:r>
        <w:rPr>
          <w:rFonts w:hint="eastAsia" w:ascii="宋体" w:hAnsi="宋体"/>
          <w:b/>
          <w:bCs/>
          <w:color w:val="auto"/>
          <w:kern w:val="0"/>
          <w:sz w:val="24"/>
          <w:szCs w:val="24"/>
          <w:lang w:val="en-US" w:eastAsia="zh-CN"/>
        </w:rPr>
        <w:t>3</w:t>
      </w:r>
      <w:r>
        <w:rPr>
          <w:rFonts w:hint="eastAsia" w:ascii="宋体" w:hAnsi="宋体"/>
          <w:b/>
          <w:bCs/>
          <w:color w:val="auto"/>
          <w:kern w:val="0"/>
          <w:sz w:val="24"/>
          <w:szCs w:val="24"/>
        </w:rPr>
        <w:t>：</w:t>
      </w:r>
    </w:p>
    <w:p w14:paraId="694C3F14">
      <w:pPr>
        <w:widowControl/>
        <w:spacing w:before="100" w:beforeAutospacing="1" w:after="100" w:afterAutospacing="1" w:line="360"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残疾人福利性单位声明函</w:t>
      </w:r>
      <w:bookmarkEnd w:id="65"/>
      <w:bookmarkEnd w:id="66"/>
      <w:bookmarkEnd w:id="67"/>
      <w:bookmarkEnd w:id="68"/>
    </w:p>
    <w:p w14:paraId="30E885B3">
      <w:pPr>
        <w:spacing w:line="360" w:lineRule="auto"/>
        <w:jc w:val="center"/>
        <w:rPr>
          <w:rFonts w:hint="eastAsia" w:ascii="宋体" w:hAnsi="宋体" w:eastAsia="宋体" w:cs="宋体"/>
          <w:color w:val="auto"/>
        </w:rPr>
      </w:pPr>
      <w:r>
        <w:rPr>
          <w:rFonts w:hint="eastAsia" w:ascii="宋体" w:hAnsi="宋体" w:eastAsia="宋体" w:cs="宋体"/>
          <w:color w:val="auto"/>
          <w:kern w:val="0"/>
          <w:sz w:val="24"/>
          <w:szCs w:val="24"/>
        </w:rPr>
        <w:t>（属于监狱企业的提供，不属于的无需提供此项内容）</w:t>
      </w:r>
    </w:p>
    <w:p w14:paraId="19B20A41">
      <w:pPr>
        <w:spacing w:line="360" w:lineRule="auto"/>
        <w:ind w:firstLine="504" w:firstLineChars="20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本单位郑重声明，根据《财政部 民政部 中国残疾人联合会关于促进残疾人就业政府采购政策的通知》（财库</w:t>
      </w:r>
      <w:r>
        <w:rPr>
          <w:rFonts w:hint="eastAsia" w:ascii="宋体" w:hAnsi="宋体" w:eastAsia="宋体" w:cs="宋体"/>
          <w:color w:val="auto"/>
          <w:sz w:val="24"/>
          <w:szCs w:val="24"/>
        </w:rPr>
        <w:t>〔2017〕141</w:t>
      </w:r>
      <w:r>
        <w:rPr>
          <w:rFonts w:hint="eastAsia" w:ascii="宋体" w:hAnsi="宋体" w:eastAsia="宋体" w:cs="宋体"/>
          <w:color w:val="auto"/>
          <w:spacing w:val="6"/>
          <w:sz w:val="24"/>
          <w:szCs w:val="24"/>
        </w:rPr>
        <w:t>号）的规定，本单位为符合条件的残疾人福利性单位，且本单位参加</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rPr>
        <w:t>单位的</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rPr>
        <w:t>项目采购活动提供本单位制造的货物（由本单位承担工程/提供服务），或者提供其他残疾人福利性单位制造的货物（不包括使用非残疾人福利性单位注册商标的货物）。</w:t>
      </w:r>
    </w:p>
    <w:p w14:paraId="31F93157">
      <w:pPr>
        <w:spacing w:line="360" w:lineRule="auto"/>
        <w:ind w:firstLine="504" w:firstLineChars="20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本单位对上述声明的真实性负责。如有虚假，将依法承担相应责任。</w:t>
      </w:r>
    </w:p>
    <w:p w14:paraId="7D0636D6">
      <w:pPr>
        <w:spacing w:line="360" w:lineRule="auto"/>
        <w:ind w:firstLine="504" w:firstLineChars="200"/>
        <w:rPr>
          <w:rFonts w:hint="eastAsia" w:ascii="宋体" w:hAnsi="宋体" w:eastAsia="宋体" w:cs="宋体"/>
          <w:color w:val="auto"/>
          <w:spacing w:val="6"/>
          <w:sz w:val="24"/>
          <w:szCs w:val="24"/>
        </w:rPr>
      </w:pPr>
    </w:p>
    <w:p w14:paraId="0E51761B">
      <w:pPr>
        <w:spacing w:line="360" w:lineRule="auto"/>
        <w:ind w:firstLine="4536" w:firstLineChars="1800"/>
        <w:rPr>
          <w:rFonts w:hint="eastAsia" w:ascii="宋体" w:hAnsi="宋体" w:eastAsia="宋体" w:cs="宋体"/>
          <w:color w:val="auto"/>
          <w:sz w:val="24"/>
          <w:szCs w:val="24"/>
        </w:rPr>
      </w:pPr>
      <w:r>
        <w:rPr>
          <w:rFonts w:hint="eastAsia" w:ascii="宋体" w:hAnsi="宋体" w:eastAsia="宋体" w:cs="宋体"/>
          <w:color w:val="auto"/>
          <w:spacing w:val="6"/>
          <w:sz w:val="24"/>
          <w:szCs w:val="24"/>
        </w:rPr>
        <w:t xml:space="preserve"> </w:t>
      </w:r>
      <w:r>
        <w:rPr>
          <w:rFonts w:hint="eastAsia" w:ascii="宋体" w:hAnsi="宋体" w:eastAsia="宋体" w:cs="宋体"/>
          <w:bCs/>
          <w:color w:val="auto"/>
          <w:sz w:val="24"/>
          <w:szCs w:val="24"/>
        </w:rPr>
        <w:t>磋商供应商（盖公章）：</w:t>
      </w:r>
    </w:p>
    <w:p w14:paraId="521D587F">
      <w:pPr>
        <w:spacing w:line="360" w:lineRule="auto"/>
        <w:ind w:firstLine="4320" w:firstLineChars="1800"/>
        <w:rPr>
          <w:rFonts w:hint="eastAsia" w:ascii="宋体" w:hAnsi="宋体" w:eastAsia="宋体" w:cs="宋体"/>
          <w:color w:val="auto"/>
          <w:sz w:val="24"/>
          <w:szCs w:val="24"/>
        </w:rPr>
      </w:pPr>
    </w:p>
    <w:p w14:paraId="50638092">
      <w:pPr>
        <w:spacing w:line="360" w:lineRule="auto"/>
        <w:ind w:firstLine="4320" w:firstLineChars="1800"/>
        <w:rPr>
          <w:rFonts w:hint="eastAsia" w:ascii="宋体" w:hAnsi="宋体" w:eastAsia="宋体" w:cs="宋体"/>
          <w:b/>
          <w:color w:val="auto"/>
          <w:sz w:val="28"/>
          <w:szCs w:val="28"/>
        </w:rPr>
      </w:pPr>
      <w:r>
        <w:rPr>
          <w:rFonts w:hint="eastAsia" w:ascii="宋体" w:hAnsi="宋体" w:eastAsia="宋体" w:cs="宋体"/>
          <w:color w:val="auto"/>
          <w:sz w:val="24"/>
          <w:szCs w:val="24"/>
        </w:rPr>
        <w:t>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0ECA8FF0">
      <w:pPr>
        <w:tabs>
          <w:tab w:val="left" w:pos="840"/>
        </w:tabs>
        <w:autoSpaceDE w:val="0"/>
        <w:autoSpaceDN w:val="0"/>
        <w:adjustRightInd w:val="0"/>
        <w:spacing w:line="360" w:lineRule="auto"/>
        <w:rPr>
          <w:rFonts w:hint="eastAsia" w:ascii="宋体" w:hAnsi="宋体" w:eastAsia="宋体" w:cs="宋体"/>
          <w:b/>
          <w:color w:val="auto"/>
          <w:sz w:val="28"/>
          <w:szCs w:val="28"/>
        </w:rPr>
      </w:pPr>
    </w:p>
    <w:p w14:paraId="6040A68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《财政部民政部中国残疾人联合会关于促进残疾人就业政府采购政策的通知》（财库2017〔141〕号）的规定：</w:t>
      </w:r>
    </w:p>
    <w:p w14:paraId="67E468C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 享受政府采购支持政策的残疾人福利性单位应当同时满足以下条件：</w:t>
      </w:r>
    </w:p>
    <w:p w14:paraId="72EC277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（1）安置的残疾人占本单位在职职工人数的比例不低于25%（含25%），并且安置的残疾人人数不少于10人（含10人）；</w:t>
      </w:r>
    </w:p>
    <w:p w14:paraId="0312ABB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（2）依法与安置的每位残疾人签订了一年以上（含一年）的劳动合同或服务协议；</w:t>
      </w:r>
    </w:p>
    <w:p w14:paraId="5E358FF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（3）为安置的每位残疾人按月足额缴纳了基本养老保险、基本医疗保险、失业保险、工伤保险和生育保险等社会保险费；</w:t>
      </w:r>
    </w:p>
    <w:p w14:paraId="32519B0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（4）通过银行等金融机构向安置的每位残疾人，按月支付了不低于单位所在区县适用的经省级人民政府批准的月最低工资标准的工资；</w:t>
      </w:r>
    </w:p>
    <w:p w14:paraId="71A7D00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（5）提供本单位制造的货物、承担的工程或者服务（以下简称产品），或者提供其他残疾人福利性单位制造的货物（不包括使用非残疾人福利性单位注册商标的货物）。</w:t>
      </w:r>
    </w:p>
    <w:p w14:paraId="7B4C3295">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rPr>
        <w:t>2. 成交人为残疾人福利性单位的，采购人或者其委托的采购代理机构应当随成交、成交结果同时公告其《残疾人福利性单位声明函》，接受社会监督。</w:t>
      </w:r>
    </w:p>
    <w:p w14:paraId="1CC85986">
      <w:pPr>
        <w:pStyle w:val="11"/>
        <w:rPr>
          <w:rFonts w:hint="eastAsia" w:ascii="宋体" w:hAnsi="宋体" w:eastAsia="宋体" w:cs="宋体"/>
          <w:color w:val="auto"/>
        </w:rPr>
      </w:pPr>
    </w:p>
    <w:p w14:paraId="368BE78E">
      <w:pPr>
        <w:pStyle w:val="11"/>
        <w:rPr>
          <w:rFonts w:hint="eastAsia" w:ascii="宋体" w:hAnsi="宋体" w:eastAsia="宋体" w:cs="宋体"/>
          <w:color w:val="auto"/>
        </w:rPr>
      </w:pPr>
    </w:p>
    <w:p w14:paraId="3A6482AD">
      <w:pPr>
        <w:pStyle w:val="11"/>
        <w:rPr>
          <w:rFonts w:hint="eastAsia" w:ascii="宋体" w:hAnsi="宋体" w:eastAsia="宋体" w:cs="宋体"/>
          <w:color w:val="auto"/>
        </w:rPr>
      </w:pPr>
    </w:p>
    <w:p w14:paraId="5C9608F4">
      <w:pPr>
        <w:rPr>
          <w:rFonts w:hint="eastAsia" w:ascii="宋体" w:hAnsi="宋体" w:eastAsia="宋体" w:cs="宋体"/>
          <w:color w:val="auto"/>
        </w:rPr>
      </w:pPr>
    </w:p>
    <w:sectPr>
      <w:headerReference r:id="rId5" w:type="default"/>
      <w:footerReference r:id="rId6" w:type="default"/>
      <w:pgSz w:w="11906" w:h="16838"/>
      <w:pgMar w:top="1440" w:right="1689" w:bottom="1440" w:left="168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宋体">
    <w:altName w:val="宋体"/>
    <w:panose1 w:val="02010600040101010101"/>
    <w:charset w:val="86"/>
    <w:family w:val="auto"/>
    <w:pitch w:val="default"/>
    <w:sig w:usb0="00000000" w:usb1="00000000" w:usb2="00000000" w:usb3="00000000" w:csb0="0004009F" w:csb1="DFD7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0EEAF0">
    <w:pPr>
      <w:pStyle w:val="1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119279">
                          <w:pPr>
                            <w:pStyle w:val="13"/>
                            <w:jc w:val="center"/>
                          </w:pPr>
                          <w:r>
                            <w:fldChar w:fldCharType="begin"/>
                          </w:r>
                          <w:r>
                            <w:instrText xml:space="preserve">PAGE   \* MERGEFORMAT</w:instrText>
                          </w:r>
                          <w:r>
                            <w:fldChar w:fldCharType="separate"/>
                          </w:r>
                          <w:r>
                            <w:rPr>
                              <w:lang w:val="zh-CN"/>
                            </w:rPr>
                            <w:t>24</w:t>
                          </w:r>
                          <w:r>
                            <w:rPr>
                              <w:lang w:val="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D119279">
                    <w:pPr>
                      <w:pStyle w:val="13"/>
                      <w:jc w:val="center"/>
                    </w:pPr>
                    <w:r>
                      <w:fldChar w:fldCharType="begin"/>
                    </w:r>
                    <w:r>
                      <w:instrText xml:space="preserve">PAGE   \* MERGEFORMAT</w:instrText>
                    </w:r>
                    <w:r>
                      <w:fldChar w:fldCharType="separate"/>
                    </w:r>
                    <w:r>
                      <w:rPr>
                        <w:lang w:val="zh-CN"/>
                      </w:rPr>
                      <w:t>24</w:t>
                    </w:r>
                    <w:r>
                      <w:rPr>
                        <w:lang w:val="zh-CN"/>
                      </w:rPr>
                      <w:fldChar w:fldCharType="end"/>
                    </w:r>
                  </w:p>
                </w:txbxContent>
              </v:textbox>
            </v:shape>
          </w:pict>
        </mc:Fallback>
      </mc:AlternateContent>
    </w:r>
  </w:p>
  <w:p w14:paraId="7B4D132E">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8C1E0">
    <w:pPr>
      <w:spacing w:line="176" w:lineRule="auto"/>
      <w:ind w:left="45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4911CD">
                          <w:pPr>
                            <w:pStyle w:val="13"/>
                          </w:pPr>
                          <w:r>
                            <w:fldChar w:fldCharType="begin"/>
                          </w:r>
                          <w:r>
                            <w:instrText xml:space="preserve"> PAGE  \* MERGEFORMAT </w:instrText>
                          </w:r>
                          <w:r>
                            <w:fldChar w:fldCharType="separate"/>
                          </w:r>
                          <w:r>
                            <w:t>28</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3D4911CD">
                    <w:pPr>
                      <w:pStyle w:val="1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7427A">
    <w:pPr>
      <w:pStyle w:val="15"/>
      <w:pBdr>
        <w:bottom w:val="none" w:color="auto" w:sz="0" w:space="0"/>
      </w:pBdr>
      <w:ind w:firstLine="480"/>
      <w:rPr>
        <w:color w:val="80808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B4836">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宋体" w:hAnsi="宋体" w:eastAsia="宋体" w:cs="宋体"/>
        <w:kern w:val="2"/>
        <w:sz w:val="18"/>
        <w:szCs w:val="2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CD640A"/>
    <w:multiLevelType w:val="multilevel"/>
    <w:tmpl w:val="0BCD640A"/>
    <w:lvl w:ilvl="0" w:tentative="0">
      <w:start w:val="1"/>
      <w:numFmt w:val="chineseCountingThousand"/>
      <w:lvlText w:val="(%1)"/>
      <w:lvlJc w:val="left"/>
      <w:pPr>
        <w:tabs>
          <w:tab w:val="left" w:pos="420"/>
        </w:tabs>
        <w:ind w:left="420" w:hanging="420"/>
      </w:pPr>
      <w:rPr>
        <w:rFonts w:hint="eastAsia"/>
      </w:rPr>
    </w:lvl>
    <w:lvl w:ilvl="1" w:tentative="0">
      <w:start w:val="1"/>
      <w:numFmt w:val="decimal"/>
      <w:pStyle w:val="8"/>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37E4D61"/>
    <w:multiLevelType w:val="multilevel"/>
    <w:tmpl w:val="237E4D61"/>
    <w:lvl w:ilvl="0" w:tentative="0">
      <w:start w:val="1"/>
      <w:numFmt w:val="japaneseCounting"/>
      <w:lvlText w:val="第%1章"/>
      <w:lvlJc w:val="left"/>
      <w:pPr>
        <w:ind w:left="300" w:hanging="420"/>
      </w:pPr>
      <w:rPr>
        <w:rFonts w:hint="eastAsia" w:ascii="黑体" w:eastAsia="黑体"/>
        <w:b w:val="0"/>
        <w:sz w:val="36"/>
        <w:lang w:val="en-US"/>
      </w:rPr>
    </w:lvl>
    <w:lvl w:ilvl="1" w:tentative="0">
      <w:start w:val="1"/>
      <w:numFmt w:val="decimal"/>
      <w:isLgl/>
      <w:lvlText w:val="%1.%2"/>
      <w:lvlJc w:val="left"/>
      <w:pPr>
        <w:tabs>
          <w:tab w:val="left" w:pos="851"/>
        </w:tabs>
        <w:ind w:left="0" w:firstLine="0"/>
      </w:pPr>
      <w:rPr>
        <w:rFonts w:hint="eastAsia"/>
      </w:rPr>
    </w:lvl>
    <w:lvl w:ilvl="2" w:tentative="0">
      <w:start w:val="1"/>
      <w:numFmt w:val="decimal"/>
      <w:pStyle w:val="50"/>
      <w:isLgl/>
      <w:lvlText w:val="%1.%2.%3"/>
      <w:lvlJc w:val="left"/>
      <w:pPr>
        <w:tabs>
          <w:tab w:val="left" w:pos="851"/>
        </w:tabs>
        <w:ind w:left="0" w:firstLine="0"/>
      </w:pPr>
      <w:rPr>
        <w:rFonts w:hint="eastAsia"/>
        <w:color w:val="000000"/>
      </w:rPr>
    </w:lvl>
    <w:lvl w:ilvl="3" w:tentative="0">
      <w:start w:val="1"/>
      <w:numFmt w:val="decimal"/>
      <w:isLgl/>
      <w:lvlText w:val="%1.%2.%3.%4"/>
      <w:lvlJc w:val="left"/>
      <w:pPr>
        <w:tabs>
          <w:tab w:val="left" w:pos="1134"/>
        </w:tabs>
        <w:ind w:left="0" w:firstLine="0"/>
      </w:pPr>
      <w:rPr>
        <w:rFonts w:hint="eastAsia"/>
      </w:rPr>
    </w:lvl>
    <w:lvl w:ilvl="4" w:tentative="0">
      <w:start w:val="1"/>
      <w:numFmt w:val="decimal"/>
      <w:lvlText w:val="%1.%2.%3.%4.%5"/>
      <w:lvlJc w:val="left"/>
      <w:pPr>
        <w:tabs>
          <w:tab w:val="left" w:pos="4850"/>
        </w:tabs>
        <w:ind w:left="4620" w:hanging="850"/>
      </w:pPr>
      <w:rPr>
        <w:rFonts w:hint="eastAsia"/>
      </w:rPr>
    </w:lvl>
    <w:lvl w:ilvl="5" w:tentative="0">
      <w:start w:val="1"/>
      <w:numFmt w:val="decimal"/>
      <w:lvlText w:val="%1.%2.%3.%4.%5.%6"/>
      <w:lvlJc w:val="left"/>
      <w:pPr>
        <w:tabs>
          <w:tab w:val="left" w:pos="5635"/>
        </w:tabs>
        <w:ind w:left="5329" w:hanging="1134"/>
      </w:pPr>
      <w:rPr>
        <w:rFonts w:hint="eastAsia"/>
      </w:rPr>
    </w:lvl>
    <w:lvl w:ilvl="6" w:tentative="0">
      <w:start w:val="1"/>
      <w:numFmt w:val="decimal"/>
      <w:lvlText w:val="%1.%2.%3.%4.%5.%6.%7"/>
      <w:lvlJc w:val="left"/>
      <w:pPr>
        <w:tabs>
          <w:tab w:val="left" w:pos="6420"/>
        </w:tabs>
        <w:ind w:left="5896" w:hanging="1276"/>
      </w:pPr>
      <w:rPr>
        <w:rFonts w:hint="eastAsia"/>
      </w:rPr>
    </w:lvl>
    <w:lvl w:ilvl="7" w:tentative="0">
      <w:start w:val="1"/>
      <w:numFmt w:val="decimal"/>
      <w:lvlText w:val="%1.%2.%3.%4.%5.%6.%7.%8"/>
      <w:lvlJc w:val="left"/>
      <w:pPr>
        <w:tabs>
          <w:tab w:val="left" w:pos="6845"/>
        </w:tabs>
        <w:ind w:left="6463" w:hanging="1418"/>
      </w:pPr>
      <w:rPr>
        <w:rFonts w:hint="eastAsia"/>
      </w:rPr>
    </w:lvl>
    <w:lvl w:ilvl="8" w:tentative="0">
      <w:start w:val="1"/>
      <w:numFmt w:val="decimal"/>
      <w:lvlText w:val="%1.%2.%3.%4.%5.%6.%7.%8.%9"/>
      <w:lvlJc w:val="left"/>
      <w:pPr>
        <w:tabs>
          <w:tab w:val="left" w:pos="7631"/>
        </w:tabs>
        <w:ind w:left="7171" w:hanging="1700"/>
      </w:pPr>
      <w:rPr>
        <w:rFonts w:hint="eastAsia"/>
      </w:rPr>
    </w:lvl>
  </w:abstractNum>
  <w:abstractNum w:abstractNumId="2">
    <w:nsid w:val="24EF7AC4"/>
    <w:multiLevelType w:val="singleLevel"/>
    <w:tmpl w:val="24EF7AC4"/>
    <w:lvl w:ilvl="0" w:tentative="0">
      <w:start w:val="5"/>
      <w:numFmt w:val="chineseCounting"/>
      <w:suff w:val="space"/>
      <w:lvlText w:val="第%1章"/>
      <w:lvlJc w:val="left"/>
      <w:rPr>
        <w:rFonts w:hint="eastAsia"/>
      </w:rPr>
    </w:lvl>
  </w:abstractNum>
  <w:abstractNum w:abstractNumId="3">
    <w:nsid w:val="64172593"/>
    <w:multiLevelType w:val="multilevel"/>
    <w:tmpl w:val="64172593"/>
    <w:lvl w:ilvl="0" w:tentative="0">
      <w:start w:val="1"/>
      <w:numFmt w:val="japaneseCounting"/>
      <w:lvlText w:val="第%1章"/>
      <w:lvlJc w:val="left"/>
      <w:pPr>
        <w:ind w:left="2252" w:hanging="1710"/>
      </w:pPr>
      <w:rPr>
        <w:rFonts w:hint="default"/>
      </w:rPr>
    </w:lvl>
    <w:lvl w:ilvl="1" w:tentative="0">
      <w:start w:val="1"/>
      <w:numFmt w:val="lowerLetter"/>
      <w:lvlText w:val="%2)"/>
      <w:lvlJc w:val="left"/>
      <w:pPr>
        <w:ind w:left="1382" w:hanging="420"/>
      </w:pPr>
    </w:lvl>
    <w:lvl w:ilvl="2" w:tentative="0">
      <w:start w:val="1"/>
      <w:numFmt w:val="lowerRoman"/>
      <w:lvlText w:val="%3."/>
      <w:lvlJc w:val="right"/>
      <w:pPr>
        <w:ind w:left="1802" w:hanging="420"/>
      </w:pPr>
    </w:lvl>
    <w:lvl w:ilvl="3" w:tentative="0">
      <w:start w:val="1"/>
      <w:numFmt w:val="decimal"/>
      <w:lvlText w:val="%4."/>
      <w:lvlJc w:val="left"/>
      <w:pPr>
        <w:ind w:left="2222" w:hanging="420"/>
      </w:pPr>
    </w:lvl>
    <w:lvl w:ilvl="4" w:tentative="0">
      <w:start w:val="1"/>
      <w:numFmt w:val="lowerLetter"/>
      <w:lvlText w:val="%5)"/>
      <w:lvlJc w:val="left"/>
      <w:pPr>
        <w:ind w:left="2642" w:hanging="420"/>
      </w:pPr>
    </w:lvl>
    <w:lvl w:ilvl="5" w:tentative="0">
      <w:start w:val="1"/>
      <w:numFmt w:val="lowerRoman"/>
      <w:lvlText w:val="%6."/>
      <w:lvlJc w:val="right"/>
      <w:pPr>
        <w:ind w:left="3062" w:hanging="420"/>
      </w:pPr>
    </w:lvl>
    <w:lvl w:ilvl="6" w:tentative="0">
      <w:start w:val="1"/>
      <w:numFmt w:val="decimal"/>
      <w:lvlText w:val="%7."/>
      <w:lvlJc w:val="left"/>
      <w:pPr>
        <w:ind w:left="3482" w:hanging="420"/>
      </w:pPr>
    </w:lvl>
    <w:lvl w:ilvl="7" w:tentative="0">
      <w:start w:val="1"/>
      <w:numFmt w:val="lowerLetter"/>
      <w:lvlText w:val="%8)"/>
      <w:lvlJc w:val="left"/>
      <w:pPr>
        <w:ind w:left="3902" w:hanging="420"/>
      </w:pPr>
    </w:lvl>
    <w:lvl w:ilvl="8" w:tentative="0">
      <w:start w:val="1"/>
      <w:numFmt w:val="lowerRoman"/>
      <w:lvlText w:val="%9."/>
      <w:lvlJc w:val="right"/>
      <w:pPr>
        <w:ind w:left="4322"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ZjBhNzVhNDFhZTQ4ZjMwMzY0ZWRjZDhkMjY4NjYifQ=="/>
  </w:docVars>
  <w:rsids>
    <w:rsidRoot w:val="00172A27"/>
    <w:rsid w:val="000B44D3"/>
    <w:rsid w:val="00117EB6"/>
    <w:rsid w:val="00162073"/>
    <w:rsid w:val="00172A27"/>
    <w:rsid w:val="0020634D"/>
    <w:rsid w:val="00247B5B"/>
    <w:rsid w:val="002668BB"/>
    <w:rsid w:val="00396A0E"/>
    <w:rsid w:val="003D0326"/>
    <w:rsid w:val="00425595"/>
    <w:rsid w:val="00456938"/>
    <w:rsid w:val="0049159D"/>
    <w:rsid w:val="004F1AD0"/>
    <w:rsid w:val="004F215C"/>
    <w:rsid w:val="005514B9"/>
    <w:rsid w:val="00575D35"/>
    <w:rsid w:val="006017CF"/>
    <w:rsid w:val="0073438F"/>
    <w:rsid w:val="007526B2"/>
    <w:rsid w:val="00794998"/>
    <w:rsid w:val="00795127"/>
    <w:rsid w:val="007D582E"/>
    <w:rsid w:val="007E0862"/>
    <w:rsid w:val="007E0A45"/>
    <w:rsid w:val="00825C5E"/>
    <w:rsid w:val="00844E64"/>
    <w:rsid w:val="00857E1A"/>
    <w:rsid w:val="008669ED"/>
    <w:rsid w:val="00985CEA"/>
    <w:rsid w:val="00BB0865"/>
    <w:rsid w:val="00C107A1"/>
    <w:rsid w:val="00C22257"/>
    <w:rsid w:val="00CA446C"/>
    <w:rsid w:val="00D20314"/>
    <w:rsid w:val="00D74F5D"/>
    <w:rsid w:val="00D91368"/>
    <w:rsid w:val="00D935F5"/>
    <w:rsid w:val="00F34C63"/>
    <w:rsid w:val="00F64BF3"/>
    <w:rsid w:val="00F90020"/>
    <w:rsid w:val="00FC083F"/>
    <w:rsid w:val="011949CD"/>
    <w:rsid w:val="01582AD6"/>
    <w:rsid w:val="01A9310D"/>
    <w:rsid w:val="02A36C44"/>
    <w:rsid w:val="02B20BE4"/>
    <w:rsid w:val="02DF09C2"/>
    <w:rsid w:val="02F32FFC"/>
    <w:rsid w:val="031A5FD6"/>
    <w:rsid w:val="035937A7"/>
    <w:rsid w:val="03BA365B"/>
    <w:rsid w:val="03ED5234"/>
    <w:rsid w:val="03F670E7"/>
    <w:rsid w:val="04377468"/>
    <w:rsid w:val="04B64F6B"/>
    <w:rsid w:val="04E452F2"/>
    <w:rsid w:val="04E87DB0"/>
    <w:rsid w:val="04F512AE"/>
    <w:rsid w:val="0522610D"/>
    <w:rsid w:val="055511AF"/>
    <w:rsid w:val="055545AB"/>
    <w:rsid w:val="05C23886"/>
    <w:rsid w:val="05C3315A"/>
    <w:rsid w:val="06DA1CD6"/>
    <w:rsid w:val="06DE77FB"/>
    <w:rsid w:val="071F6AB6"/>
    <w:rsid w:val="072C1FA0"/>
    <w:rsid w:val="07470439"/>
    <w:rsid w:val="082A74C0"/>
    <w:rsid w:val="083E7131"/>
    <w:rsid w:val="09945899"/>
    <w:rsid w:val="09B63701"/>
    <w:rsid w:val="09BB75C6"/>
    <w:rsid w:val="09FE5233"/>
    <w:rsid w:val="0A1351ED"/>
    <w:rsid w:val="0A250212"/>
    <w:rsid w:val="0A8455AD"/>
    <w:rsid w:val="0B6D49EB"/>
    <w:rsid w:val="0B846AE2"/>
    <w:rsid w:val="0C0B13B7"/>
    <w:rsid w:val="0C0F534B"/>
    <w:rsid w:val="0C645214"/>
    <w:rsid w:val="0CB47CA0"/>
    <w:rsid w:val="0DC161D1"/>
    <w:rsid w:val="0DF93BBD"/>
    <w:rsid w:val="0E2026C4"/>
    <w:rsid w:val="0EBA33F8"/>
    <w:rsid w:val="0EBB3B81"/>
    <w:rsid w:val="0EC7551F"/>
    <w:rsid w:val="0F8B71C4"/>
    <w:rsid w:val="0FB067AC"/>
    <w:rsid w:val="0FDD4DFD"/>
    <w:rsid w:val="10B65D95"/>
    <w:rsid w:val="10C76AC0"/>
    <w:rsid w:val="111676A1"/>
    <w:rsid w:val="112B06EC"/>
    <w:rsid w:val="11447845"/>
    <w:rsid w:val="11585FBF"/>
    <w:rsid w:val="1187232C"/>
    <w:rsid w:val="1198193E"/>
    <w:rsid w:val="11E903EC"/>
    <w:rsid w:val="1245436D"/>
    <w:rsid w:val="128C2D7C"/>
    <w:rsid w:val="129040CB"/>
    <w:rsid w:val="12FE2779"/>
    <w:rsid w:val="13182E59"/>
    <w:rsid w:val="13C251CA"/>
    <w:rsid w:val="13FB7F63"/>
    <w:rsid w:val="1437543F"/>
    <w:rsid w:val="14A25EBC"/>
    <w:rsid w:val="14F76F98"/>
    <w:rsid w:val="15241533"/>
    <w:rsid w:val="15EB2077"/>
    <w:rsid w:val="16094EB9"/>
    <w:rsid w:val="160A7ECE"/>
    <w:rsid w:val="164505E1"/>
    <w:rsid w:val="16AB397D"/>
    <w:rsid w:val="16D4772E"/>
    <w:rsid w:val="16DC78F0"/>
    <w:rsid w:val="171D2A06"/>
    <w:rsid w:val="17F22F49"/>
    <w:rsid w:val="181D494B"/>
    <w:rsid w:val="183766F7"/>
    <w:rsid w:val="19061883"/>
    <w:rsid w:val="19173A91"/>
    <w:rsid w:val="195A67FA"/>
    <w:rsid w:val="19BF485E"/>
    <w:rsid w:val="1A4E5290"/>
    <w:rsid w:val="1AEB6F83"/>
    <w:rsid w:val="1C654B13"/>
    <w:rsid w:val="1CDE345E"/>
    <w:rsid w:val="1DA022A7"/>
    <w:rsid w:val="1DDC7738"/>
    <w:rsid w:val="1DF223D6"/>
    <w:rsid w:val="1DFE71E1"/>
    <w:rsid w:val="1E562965"/>
    <w:rsid w:val="1E575144"/>
    <w:rsid w:val="1EFD54D7"/>
    <w:rsid w:val="1F914E56"/>
    <w:rsid w:val="1FAB0A8F"/>
    <w:rsid w:val="203647FC"/>
    <w:rsid w:val="203C2ECF"/>
    <w:rsid w:val="20955ECF"/>
    <w:rsid w:val="209E6733"/>
    <w:rsid w:val="20D34741"/>
    <w:rsid w:val="21257950"/>
    <w:rsid w:val="21820366"/>
    <w:rsid w:val="218B501C"/>
    <w:rsid w:val="224A3CF2"/>
    <w:rsid w:val="23244DE0"/>
    <w:rsid w:val="23B55710"/>
    <w:rsid w:val="23BD6620"/>
    <w:rsid w:val="23F549CE"/>
    <w:rsid w:val="26355263"/>
    <w:rsid w:val="267A11BB"/>
    <w:rsid w:val="267A740D"/>
    <w:rsid w:val="267D5831"/>
    <w:rsid w:val="272F01F7"/>
    <w:rsid w:val="2737717E"/>
    <w:rsid w:val="2839069B"/>
    <w:rsid w:val="28665E9B"/>
    <w:rsid w:val="28E57488"/>
    <w:rsid w:val="29023E15"/>
    <w:rsid w:val="29422464"/>
    <w:rsid w:val="294A1318"/>
    <w:rsid w:val="29944785"/>
    <w:rsid w:val="2A4915D0"/>
    <w:rsid w:val="2AC51619"/>
    <w:rsid w:val="2AE03D95"/>
    <w:rsid w:val="2B9837E3"/>
    <w:rsid w:val="2D430559"/>
    <w:rsid w:val="2D5A6F34"/>
    <w:rsid w:val="2E4032CC"/>
    <w:rsid w:val="2EBE1EC3"/>
    <w:rsid w:val="2F224DF5"/>
    <w:rsid w:val="2F8119E7"/>
    <w:rsid w:val="30465D07"/>
    <w:rsid w:val="30590093"/>
    <w:rsid w:val="30A5135D"/>
    <w:rsid w:val="31E732DE"/>
    <w:rsid w:val="31EA4315"/>
    <w:rsid w:val="32FF1CC1"/>
    <w:rsid w:val="33752ADF"/>
    <w:rsid w:val="337E22EA"/>
    <w:rsid w:val="338A56D7"/>
    <w:rsid w:val="33C70135"/>
    <w:rsid w:val="345E62FD"/>
    <w:rsid w:val="346302C8"/>
    <w:rsid w:val="34D83C7C"/>
    <w:rsid w:val="35305866"/>
    <w:rsid w:val="35577297"/>
    <w:rsid w:val="359E4EC6"/>
    <w:rsid w:val="35AA7531"/>
    <w:rsid w:val="360D3DFA"/>
    <w:rsid w:val="36486BE0"/>
    <w:rsid w:val="36631C6B"/>
    <w:rsid w:val="36822694"/>
    <w:rsid w:val="370A2252"/>
    <w:rsid w:val="375B2943"/>
    <w:rsid w:val="376D34A5"/>
    <w:rsid w:val="38112631"/>
    <w:rsid w:val="385C2E16"/>
    <w:rsid w:val="38AC78FA"/>
    <w:rsid w:val="38D7402F"/>
    <w:rsid w:val="38FC6AC6"/>
    <w:rsid w:val="39EC450F"/>
    <w:rsid w:val="39F63332"/>
    <w:rsid w:val="3A1C0AAF"/>
    <w:rsid w:val="3AE3337B"/>
    <w:rsid w:val="3B4B164C"/>
    <w:rsid w:val="3BA13E5B"/>
    <w:rsid w:val="3BED44B1"/>
    <w:rsid w:val="3C073099"/>
    <w:rsid w:val="3C8150BB"/>
    <w:rsid w:val="3CB46D7D"/>
    <w:rsid w:val="3CE533DA"/>
    <w:rsid w:val="3D424389"/>
    <w:rsid w:val="3E9C33B9"/>
    <w:rsid w:val="3EAA1BCF"/>
    <w:rsid w:val="3EE31B9B"/>
    <w:rsid w:val="3F216F60"/>
    <w:rsid w:val="3F277CDA"/>
    <w:rsid w:val="3F3B5533"/>
    <w:rsid w:val="3F634A8A"/>
    <w:rsid w:val="3F695775"/>
    <w:rsid w:val="3F961152"/>
    <w:rsid w:val="3FC25C55"/>
    <w:rsid w:val="40595AC1"/>
    <w:rsid w:val="407D7AD4"/>
    <w:rsid w:val="40956EC5"/>
    <w:rsid w:val="40D5220D"/>
    <w:rsid w:val="415C59D4"/>
    <w:rsid w:val="41827323"/>
    <w:rsid w:val="41D06A9C"/>
    <w:rsid w:val="41E73751"/>
    <w:rsid w:val="41F8770C"/>
    <w:rsid w:val="42563851"/>
    <w:rsid w:val="425860D3"/>
    <w:rsid w:val="425D1D76"/>
    <w:rsid w:val="4262727B"/>
    <w:rsid w:val="42BF3D62"/>
    <w:rsid w:val="42DA1507"/>
    <w:rsid w:val="432E524F"/>
    <w:rsid w:val="434F7385"/>
    <w:rsid w:val="4385272C"/>
    <w:rsid w:val="438E21FE"/>
    <w:rsid w:val="43B11970"/>
    <w:rsid w:val="43B9736F"/>
    <w:rsid w:val="43BA1602"/>
    <w:rsid w:val="4403299E"/>
    <w:rsid w:val="44937970"/>
    <w:rsid w:val="44EB6D91"/>
    <w:rsid w:val="44F7014F"/>
    <w:rsid w:val="45A85719"/>
    <w:rsid w:val="469814BD"/>
    <w:rsid w:val="46AB7443"/>
    <w:rsid w:val="478A52AA"/>
    <w:rsid w:val="47925104"/>
    <w:rsid w:val="47A619B8"/>
    <w:rsid w:val="47EB386F"/>
    <w:rsid w:val="481A19B4"/>
    <w:rsid w:val="488F483F"/>
    <w:rsid w:val="490D599A"/>
    <w:rsid w:val="493D00FA"/>
    <w:rsid w:val="49575660"/>
    <w:rsid w:val="495C4470"/>
    <w:rsid w:val="499E3B85"/>
    <w:rsid w:val="49C040CA"/>
    <w:rsid w:val="49EC3C69"/>
    <w:rsid w:val="4A6B654B"/>
    <w:rsid w:val="4AAE1900"/>
    <w:rsid w:val="4ACB25F2"/>
    <w:rsid w:val="4B2C330C"/>
    <w:rsid w:val="4B375749"/>
    <w:rsid w:val="4B9672D6"/>
    <w:rsid w:val="4BBD5522"/>
    <w:rsid w:val="4BCF3255"/>
    <w:rsid w:val="4C2975BD"/>
    <w:rsid w:val="4C8813A7"/>
    <w:rsid w:val="4C9C5C47"/>
    <w:rsid w:val="4D082E19"/>
    <w:rsid w:val="4D76146A"/>
    <w:rsid w:val="4DFF1E22"/>
    <w:rsid w:val="4E0C756A"/>
    <w:rsid w:val="4EAE3292"/>
    <w:rsid w:val="4EE92F3D"/>
    <w:rsid w:val="4EF304F1"/>
    <w:rsid w:val="4F334479"/>
    <w:rsid w:val="4F450036"/>
    <w:rsid w:val="4F862566"/>
    <w:rsid w:val="4F91533A"/>
    <w:rsid w:val="4FA17635"/>
    <w:rsid w:val="4FC47605"/>
    <w:rsid w:val="4FDE43D3"/>
    <w:rsid w:val="4FFC0D0F"/>
    <w:rsid w:val="50067498"/>
    <w:rsid w:val="503A2AB3"/>
    <w:rsid w:val="50483F54"/>
    <w:rsid w:val="505A34EE"/>
    <w:rsid w:val="50A60E94"/>
    <w:rsid w:val="513F0D1B"/>
    <w:rsid w:val="5165083E"/>
    <w:rsid w:val="51BF0246"/>
    <w:rsid w:val="51CF3E14"/>
    <w:rsid w:val="51D41806"/>
    <w:rsid w:val="51FF0623"/>
    <w:rsid w:val="52F7756C"/>
    <w:rsid w:val="535D5D26"/>
    <w:rsid w:val="53AF1CD0"/>
    <w:rsid w:val="54101315"/>
    <w:rsid w:val="545D7674"/>
    <w:rsid w:val="54DC6FD2"/>
    <w:rsid w:val="550C1507"/>
    <w:rsid w:val="551268DF"/>
    <w:rsid w:val="551A3A71"/>
    <w:rsid w:val="555B4E8C"/>
    <w:rsid w:val="558477DD"/>
    <w:rsid w:val="55B300C2"/>
    <w:rsid w:val="56934B2D"/>
    <w:rsid w:val="56FC33A3"/>
    <w:rsid w:val="57C36DC2"/>
    <w:rsid w:val="57E75E01"/>
    <w:rsid w:val="58366D88"/>
    <w:rsid w:val="587C516F"/>
    <w:rsid w:val="589B01C2"/>
    <w:rsid w:val="58B95835"/>
    <w:rsid w:val="59205A6E"/>
    <w:rsid w:val="59997F3C"/>
    <w:rsid w:val="5A2570B4"/>
    <w:rsid w:val="5A9303F0"/>
    <w:rsid w:val="5AB60C96"/>
    <w:rsid w:val="5AC4067B"/>
    <w:rsid w:val="5ACB37B8"/>
    <w:rsid w:val="5B3475AF"/>
    <w:rsid w:val="5B440FD7"/>
    <w:rsid w:val="5B765E19"/>
    <w:rsid w:val="5BD14DFE"/>
    <w:rsid w:val="5BD32F24"/>
    <w:rsid w:val="5C1A7475"/>
    <w:rsid w:val="5C205D85"/>
    <w:rsid w:val="5C294C3A"/>
    <w:rsid w:val="5C584438"/>
    <w:rsid w:val="5DD155AA"/>
    <w:rsid w:val="5DD92690"/>
    <w:rsid w:val="5DE30A98"/>
    <w:rsid w:val="5E3A1D39"/>
    <w:rsid w:val="5EF5550A"/>
    <w:rsid w:val="5F154453"/>
    <w:rsid w:val="5F8D48C9"/>
    <w:rsid w:val="5FEE7CF3"/>
    <w:rsid w:val="60487659"/>
    <w:rsid w:val="61135EB8"/>
    <w:rsid w:val="614A2F70"/>
    <w:rsid w:val="61EF7765"/>
    <w:rsid w:val="62175534"/>
    <w:rsid w:val="624D3A32"/>
    <w:rsid w:val="63081603"/>
    <w:rsid w:val="63366E8D"/>
    <w:rsid w:val="635701C0"/>
    <w:rsid w:val="63960976"/>
    <w:rsid w:val="63BA0672"/>
    <w:rsid w:val="63F21DB5"/>
    <w:rsid w:val="64454028"/>
    <w:rsid w:val="647C0409"/>
    <w:rsid w:val="64D926F4"/>
    <w:rsid w:val="64E75692"/>
    <w:rsid w:val="652E26D2"/>
    <w:rsid w:val="6558033E"/>
    <w:rsid w:val="65D74B1E"/>
    <w:rsid w:val="662F40C2"/>
    <w:rsid w:val="665C3E5E"/>
    <w:rsid w:val="666D45F1"/>
    <w:rsid w:val="668F4A03"/>
    <w:rsid w:val="66C16BE1"/>
    <w:rsid w:val="66D72F57"/>
    <w:rsid w:val="66E300DB"/>
    <w:rsid w:val="66F9784F"/>
    <w:rsid w:val="681317B4"/>
    <w:rsid w:val="68451FB4"/>
    <w:rsid w:val="68494705"/>
    <w:rsid w:val="687758A1"/>
    <w:rsid w:val="687C07E7"/>
    <w:rsid w:val="6885769C"/>
    <w:rsid w:val="690F05BC"/>
    <w:rsid w:val="69110F2F"/>
    <w:rsid w:val="691E48B9"/>
    <w:rsid w:val="69377C51"/>
    <w:rsid w:val="69474951"/>
    <w:rsid w:val="69747974"/>
    <w:rsid w:val="697531CB"/>
    <w:rsid w:val="69C73CAC"/>
    <w:rsid w:val="69CA3BFB"/>
    <w:rsid w:val="6AD14E1A"/>
    <w:rsid w:val="6AD71D05"/>
    <w:rsid w:val="6B210714"/>
    <w:rsid w:val="6B621F16"/>
    <w:rsid w:val="6B673089"/>
    <w:rsid w:val="6BAC3191"/>
    <w:rsid w:val="6BE427D4"/>
    <w:rsid w:val="6C030964"/>
    <w:rsid w:val="6CB415FB"/>
    <w:rsid w:val="6D9B34BE"/>
    <w:rsid w:val="6DDF3EE6"/>
    <w:rsid w:val="6E420D3E"/>
    <w:rsid w:val="6EBF4F8A"/>
    <w:rsid w:val="6EE964AB"/>
    <w:rsid w:val="6F057BA2"/>
    <w:rsid w:val="6F1D235F"/>
    <w:rsid w:val="6F1E43A6"/>
    <w:rsid w:val="6FBE2686"/>
    <w:rsid w:val="70143E0F"/>
    <w:rsid w:val="70242FB1"/>
    <w:rsid w:val="707B32B8"/>
    <w:rsid w:val="711808F3"/>
    <w:rsid w:val="71186BD3"/>
    <w:rsid w:val="713D0BC2"/>
    <w:rsid w:val="71AF7537"/>
    <w:rsid w:val="71BC3A02"/>
    <w:rsid w:val="71F057FB"/>
    <w:rsid w:val="72BB1F0C"/>
    <w:rsid w:val="72CC24C1"/>
    <w:rsid w:val="73A03989"/>
    <w:rsid w:val="74741F2C"/>
    <w:rsid w:val="75960F26"/>
    <w:rsid w:val="75A5137D"/>
    <w:rsid w:val="75B25848"/>
    <w:rsid w:val="75B710B1"/>
    <w:rsid w:val="76360227"/>
    <w:rsid w:val="76B34539"/>
    <w:rsid w:val="76D90BB3"/>
    <w:rsid w:val="774D42A6"/>
    <w:rsid w:val="776D6665"/>
    <w:rsid w:val="77AE3DED"/>
    <w:rsid w:val="77CE51D0"/>
    <w:rsid w:val="77E003F1"/>
    <w:rsid w:val="77F9192D"/>
    <w:rsid w:val="782A69D8"/>
    <w:rsid w:val="78520C1D"/>
    <w:rsid w:val="78827754"/>
    <w:rsid w:val="78941235"/>
    <w:rsid w:val="78E21FA1"/>
    <w:rsid w:val="78FB0617"/>
    <w:rsid w:val="790E7239"/>
    <w:rsid w:val="792960F5"/>
    <w:rsid w:val="79542F67"/>
    <w:rsid w:val="79546533"/>
    <w:rsid w:val="79A01DE7"/>
    <w:rsid w:val="79BC2B8D"/>
    <w:rsid w:val="7A47723D"/>
    <w:rsid w:val="7C342441"/>
    <w:rsid w:val="7C621C44"/>
    <w:rsid w:val="7CFB1883"/>
    <w:rsid w:val="7D485098"/>
    <w:rsid w:val="7DA71951"/>
    <w:rsid w:val="7DD00C06"/>
    <w:rsid w:val="7EC76812"/>
    <w:rsid w:val="7F306D26"/>
    <w:rsid w:val="7FAB2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qFormat="1" w:uiPriority="0" w:semiHidden="0" w:name="Body Text Indent 2"/>
    <w:lsdException w:unhideWhenUsed="0" w:uiPriority="0" w:semiHidden="0" w:name="Body Text Indent 3"/>
    <w:lsdException w:qFormat="1"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7">
    <w:name w:val="heading 1"/>
    <w:basedOn w:val="1"/>
    <w:next w:val="1"/>
    <w:autoRedefine/>
    <w:qFormat/>
    <w:uiPriority w:val="0"/>
    <w:pPr>
      <w:keepNext/>
      <w:keepLines/>
      <w:spacing w:line="480" w:lineRule="auto"/>
      <w:jc w:val="center"/>
      <w:outlineLvl w:val="0"/>
    </w:pPr>
    <w:rPr>
      <w:b/>
      <w:kern w:val="44"/>
      <w:sz w:val="32"/>
      <w:szCs w:val="20"/>
    </w:rPr>
  </w:style>
  <w:style w:type="paragraph" w:styleId="8">
    <w:name w:val="heading 2"/>
    <w:basedOn w:val="1"/>
    <w:next w:val="1"/>
    <w:qFormat/>
    <w:uiPriority w:val="99"/>
    <w:pPr>
      <w:keepNext/>
      <w:keepLines/>
      <w:numPr>
        <w:ilvl w:val="1"/>
        <w:numId w:val="1"/>
      </w:numPr>
      <w:spacing w:before="500" w:after="500" w:line="480" w:lineRule="auto"/>
      <w:ind w:left="839"/>
      <w:jc w:val="center"/>
      <w:outlineLvl w:val="1"/>
    </w:pPr>
    <w:rPr>
      <w:rFonts w:ascii="Arial" w:hAnsi="Arial" w:eastAsia="黑体"/>
      <w:b/>
      <w:sz w:val="32"/>
      <w:szCs w:val="20"/>
    </w:rPr>
  </w:style>
  <w:style w:type="paragraph" w:styleId="9">
    <w:name w:val="heading 4"/>
    <w:basedOn w:val="1"/>
    <w:next w:val="1"/>
    <w:qFormat/>
    <w:uiPriority w:val="9"/>
    <w:pPr>
      <w:outlineLvl w:val="3"/>
    </w:pPr>
    <w:rPr>
      <w:rFonts w:eastAsia="黑体"/>
      <w:sz w:val="36"/>
    </w:rPr>
  </w:style>
  <w:style w:type="character" w:default="1" w:styleId="20">
    <w:name w:val="Default Paragraph Font"/>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5"/>
    <w:autoRedefine/>
    <w:unhideWhenUsed/>
    <w:qFormat/>
    <w:uiPriority w:val="99"/>
    <w:pPr>
      <w:spacing w:after="120" w:line="240" w:lineRule="auto"/>
      <w:ind w:firstLine="420" w:firstLineChars="100"/>
    </w:pPr>
  </w:style>
  <w:style w:type="paragraph" w:styleId="3">
    <w:name w:val="Body Text"/>
    <w:basedOn w:val="1"/>
    <w:next w:val="4"/>
    <w:autoRedefine/>
    <w:qFormat/>
    <w:uiPriority w:val="0"/>
    <w:pPr>
      <w:spacing w:line="520" w:lineRule="exact"/>
    </w:pPr>
    <w:rPr>
      <w:rFonts w:ascii="仿宋_GB2312" w:hAnsi="宋体" w:eastAsia="仿宋_GB2312" w:cs="Times New Roman"/>
      <w:color w:val="008000"/>
      <w:kern w:val="0"/>
      <w:sz w:val="24"/>
      <w:szCs w:val="24"/>
    </w:rPr>
  </w:style>
  <w:style w:type="paragraph" w:styleId="4">
    <w:name w:val="Body Text 2"/>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5">
    <w:name w:val="Body Text First Indent 2"/>
    <w:basedOn w:val="6"/>
    <w:next w:val="1"/>
    <w:autoRedefine/>
    <w:qFormat/>
    <w:uiPriority w:val="0"/>
    <w:pPr>
      <w:ind w:firstLine="420" w:firstLineChars="200"/>
    </w:pPr>
  </w:style>
  <w:style w:type="paragraph" w:styleId="6">
    <w:name w:val="Body Text Indent"/>
    <w:basedOn w:val="1"/>
    <w:autoRedefine/>
    <w:qFormat/>
    <w:uiPriority w:val="0"/>
    <w:pPr>
      <w:widowControl/>
      <w:spacing w:after="120"/>
      <w:ind w:left="420" w:leftChars="200" w:firstLine="360"/>
    </w:pPr>
    <w:rPr>
      <w:rFonts w:eastAsia="宋体"/>
      <w:kern w:val="0"/>
      <w:sz w:val="22"/>
      <w:szCs w:val="20"/>
      <w:lang w:eastAsia="en-US" w:bidi="en-US"/>
    </w:rPr>
  </w:style>
  <w:style w:type="paragraph" w:styleId="10">
    <w:name w:val="Block Text"/>
    <w:basedOn w:val="1"/>
    <w:semiHidden/>
    <w:unhideWhenUsed/>
    <w:qFormat/>
    <w:uiPriority w:val="99"/>
    <w:pPr>
      <w:spacing w:after="120"/>
      <w:ind w:left="1440" w:leftChars="700" w:right="1440" w:rightChars="700"/>
    </w:pPr>
  </w:style>
  <w:style w:type="paragraph" w:styleId="11">
    <w:name w:val="Plain Text"/>
    <w:basedOn w:val="1"/>
    <w:next w:val="1"/>
    <w:autoRedefine/>
    <w:qFormat/>
    <w:uiPriority w:val="99"/>
    <w:rPr>
      <w:rFonts w:ascii="宋体" w:hAnsi="Courier New" w:eastAsia="华文宋体" w:cs="Times New Roman"/>
      <w:kern w:val="0"/>
      <w:sz w:val="28"/>
      <w:szCs w:val="28"/>
    </w:rPr>
  </w:style>
  <w:style w:type="paragraph" w:styleId="12">
    <w:name w:val="Body Text Indent 2"/>
    <w:basedOn w:val="1"/>
    <w:autoRedefine/>
    <w:unhideWhenUsed/>
    <w:qFormat/>
    <w:uiPriority w:val="0"/>
    <w:pPr>
      <w:spacing w:after="120" w:line="480" w:lineRule="auto"/>
      <w:ind w:left="420" w:leftChars="200"/>
    </w:pPr>
    <w:rPr>
      <w:rFonts w:ascii="Times New Roman" w:hAnsi="Times New Roman" w:eastAsia="宋体" w:cs="Times New Roman"/>
      <w:kern w:val="0"/>
      <w:sz w:val="20"/>
      <w:szCs w:val="24"/>
    </w:rPr>
  </w:style>
  <w:style w:type="paragraph" w:styleId="13">
    <w:name w:val="footer"/>
    <w:basedOn w:val="1"/>
    <w:autoRedefine/>
    <w:unhideWhenUsed/>
    <w:qFormat/>
    <w:uiPriority w:val="0"/>
    <w:pPr>
      <w:tabs>
        <w:tab w:val="center" w:pos="4153"/>
        <w:tab w:val="right" w:pos="8306"/>
      </w:tabs>
      <w:snapToGrid w:val="0"/>
      <w:jc w:val="left"/>
    </w:pPr>
    <w:rPr>
      <w:sz w:val="18"/>
      <w:szCs w:val="18"/>
    </w:rPr>
  </w:style>
  <w:style w:type="paragraph" w:styleId="14">
    <w:name w:val="envelope return"/>
    <w:basedOn w:val="1"/>
    <w:autoRedefine/>
    <w:qFormat/>
    <w:uiPriority w:val="0"/>
    <w:pPr>
      <w:snapToGrid w:val="0"/>
    </w:pPr>
    <w:rPr>
      <w:rFonts w:ascii="Arial" w:hAnsi="Arial" w:eastAsia="宋体" w:cs="Times New Roman"/>
    </w:rPr>
  </w:style>
  <w:style w:type="paragraph" w:styleId="15">
    <w:name w:val="header"/>
    <w:basedOn w:val="1"/>
    <w:link w:val="40"/>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0"/>
    <w:rPr>
      <w:rFonts w:asciiTheme="minorAscii" w:hAnsiTheme="minorAscii"/>
      <w:sz w:val="24"/>
    </w:rPr>
  </w:style>
  <w:style w:type="paragraph" w:styleId="17">
    <w:name w:val="toc 2"/>
    <w:basedOn w:val="1"/>
    <w:next w:val="1"/>
    <w:autoRedefine/>
    <w:qFormat/>
    <w:uiPriority w:val="0"/>
    <w:pPr>
      <w:ind w:left="420" w:leftChars="200"/>
    </w:pPr>
  </w:style>
  <w:style w:type="paragraph" w:styleId="18">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21">
    <w:name w:val="Strong"/>
    <w:basedOn w:val="20"/>
    <w:autoRedefine/>
    <w:qFormat/>
    <w:uiPriority w:val="0"/>
    <w:rPr>
      <w:b/>
      <w:bCs/>
    </w:rPr>
  </w:style>
  <w:style w:type="character" w:styleId="22">
    <w:name w:val="FollowedHyperlink"/>
    <w:basedOn w:val="20"/>
    <w:autoRedefine/>
    <w:qFormat/>
    <w:uiPriority w:val="0"/>
    <w:rPr>
      <w:color w:val="800080"/>
      <w:u w:val="none"/>
    </w:rPr>
  </w:style>
  <w:style w:type="character" w:styleId="23">
    <w:name w:val="Emphasis"/>
    <w:basedOn w:val="20"/>
    <w:autoRedefine/>
    <w:qFormat/>
    <w:uiPriority w:val="0"/>
    <w:rPr>
      <w:b/>
      <w:bCs/>
    </w:rPr>
  </w:style>
  <w:style w:type="character" w:styleId="24">
    <w:name w:val="HTML Definition"/>
    <w:basedOn w:val="20"/>
    <w:autoRedefine/>
    <w:qFormat/>
    <w:uiPriority w:val="0"/>
  </w:style>
  <w:style w:type="character" w:styleId="25">
    <w:name w:val="HTML Typewriter"/>
    <w:basedOn w:val="20"/>
    <w:autoRedefine/>
    <w:qFormat/>
    <w:uiPriority w:val="0"/>
    <w:rPr>
      <w:rFonts w:ascii="monospace" w:hAnsi="monospace" w:eastAsia="monospace" w:cs="monospace"/>
      <w:sz w:val="20"/>
    </w:rPr>
  </w:style>
  <w:style w:type="character" w:styleId="26">
    <w:name w:val="HTML Acronym"/>
    <w:basedOn w:val="20"/>
    <w:autoRedefine/>
    <w:qFormat/>
    <w:uiPriority w:val="0"/>
  </w:style>
  <w:style w:type="character" w:styleId="27">
    <w:name w:val="HTML Variable"/>
    <w:basedOn w:val="20"/>
    <w:autoRedefine/>
    <w:qFormat/>
    <w:uiPriority w:val="0"/>
  </w:style>
  <w:style w:type="character" w:styleId="28">
    <w:name w:val="Hyperlink"/>
    <w:basedOn w:val="20"/>
    <w:autoRedefine/>
    <w:qFormat/>
    <w:uiPriority w:val="0"/>
    <w:rPr>
      <w:color w:val="0000FF"/>
      <w:u w:val="none"/>
    </w:rPr>
  </w:style>
  <w:style w:type="character" w:styleId="29">
    <w:name w:val="HTML Code"/>
    <w:basedOn w:val="20"/>
    <w:autoRedefine/>
    <w:qFormat/>
    <w:uiPriority w:val="0"/>
    <w:rPr>
      <w:rFonts w:hint="default" w:ascii="monospace" w:hAnsi="monospace" w:eastAsia="monospace" w:cs="monospace"/>
      <w:sz w:val="20"/>
    </w:rPr>
  </w:style>
  <w:style w:type="character" w:styleId="30">
    <w:name w:val="HTML Cite"/>
    <w:basedOn w:val="20"/>
    <w:autoRedefine/>
    <w:qFormat/>
    <w:uiPriority w:val="0"/>
  </w:style>
  <w:style w:type="character" w:styleId="31">
    <w:name w:val="HTML Keyboard"/>
    <w:basedOn w:val="20"/>
    <w:autoRedefine/>
    <w:qFormat/>
    <w:uiPriority w:val="0"/>
    <w:rPr>
      <w:rFonts w:hint="default" w:ascii="monospace" w:hAnsi="monospace" w:eastAsia="monospace" w:cs="monospace"/>
      <w:sz w:val="20"/>
    </w:rPr>
  </w:style>
  <w:style w:type="character" w:styleId="32">
    <w:name w:val="HTML Sample"/>
    <w:basedOn w:val="20"/>
    <w:autoRedefine/>
    <w:qFormat/>
    <w:uiPriority w:val="0"/>
    <w:rPr>
      <w:rFonts w:hint="default" w:ascii="monospace" w:hAnsi="monospace" w:eastAsia="monospace" w:cs="monospace"/>
    </w:rPr>
  </w:style>
  <w:style w:type="paragraph" w:customStyle="1" w:styleId="33">
    <w:name w:val="样式 样式 左侧:  2 字符 + 左侧:  0.85 厘米 首行缩进:  2 字符1"/>
    <w:basedOn w:val="1"/>
    <w:autoRedefine/>
    <w:qFormat/>
    <w:uiPriority w:val="0"/>
    <w:pPr>
      <w:ind w:left="482" w:firstLine="200" w:firstLineChars="200"/>
    </w:pPr>
    <w:rPr>
      <w:rFonts w:cs="宋体"/>
      <w:szCs w:val="20"/>
    </w:rPr>
  </w:style>
  <w:style w:type="paragraph" w:customStyle="1" w:styleId="34">
    <w:name w:val="Default"/>
    <w:basedOn w:val="1"/>
    <w:next w:val="1"/>
    <w:autoRedefine/>
    <w:qFormat/>
    <w:uiPriority w:val="99"/>
    <w:pPr>
      <w:autoSpaceDE w:val="0"/>
      <w:autoSpaceDN w:val="0"/>
      <w:adjustRightInd w:val="0"/>
      <w:jc w:val="left"/>
    </w:pPr>
    <w:rPr>
      <w:rFonts w:ascii="仿宋_GB2312" w:hAnsi="Times New Roman" w:eastAsia="仿宋_GB2312"/>
      <w:color w:val="000000"/>
      <w:kern w:val="0"/>
      <w:sz w:val="24"/>
    </w:rPr>
  </w:style>
  <w:style w:type="character" w:customStyle="1" w:styleId="35">
    <w:name w:val="font01"/>
    <w:basedOn w:val="20"/>
    <w:autoRedefine/>
    <w:qFormat/>
    <w:uiPriority w:val="0"/>
    <w:rPr>
      <w:rFonts w:hint="eastAsia" w:ascii="宋体" w:hAnsi="宋体" w:eastAsia="宋体" w:cs="宋体"/>
      <w:color w:val="000000"/>
      <w:sz w:val="22"/>
      <w:szCs w:val="22"/>
      <w:u w:val="none"/>
    </w:rPr>
  </w:style>
  <w:style w:type="character" w:customStyle="1" w:styleId="36">
    <w:name w:val="font61"/>
    <w:basedOn w:val="20"/>
    <w:autoRedefine/>
    <w:qFormat/>
    <w:uiPriority w:val="0"/>
    <w:rPr>
      <w:rFonts w:ascii="Calibri" w:hAnsi="Calibri" w:cs="Calibri"/>
      <w:color w:val="000000"/>
      <w:sz w:val="22"/>
      <w:szCs w:val="22"/>
      <w:u w:val="none"/>
    </w:rPr>
  </w:style>
  <w:style w:type="character" w:customStyle="1" w:styleId="37">
    <w:name w:val="font41"/>
    <w:basedOn w:val="20"/>
    <w:autoRedefine/>
    <w:qFormat/>
    <w:uiPriority w:val="0"/>
    <w:rPr>
      <w:rFonts w:hint="eastAsia" w:ascii="宋体" w:hAnsi="宋体" w:eastAsia="宋体" w:cs="宋体"/>
      <w:color w:val="000000"/>
      <w:sz w:val="22"/>
      <w:szCs w:val="22"/>
      <w:u w:val="none"/>
    </w:rPr>
  </w:style>
  <w:style w:type="character" w:customStyle="1" w:styleId="38">
    <w:name w:val="font11"/>
    <w:basedOn w:val="20"/>
    <w:autoRedefine/>
    <w:qFormat/>
    <w:uiPriority w:val="0"/>
    <w:rPr>
      <w:rFonts w:hint="eastAsia" w:ascii="宋体" w:hAnsi="宋体" w:eastAsia="宋体" w:cs="宋体"/>
      <w:color w:val="000000"/>
      <w:sz w:val="22"/>
      <w:szCs w:val="22"/>
      <w:u w:val="none"/>
    </w:rPr>
  </w:style>
  <w:style w:type="character" w:customStyle="1" w:styleId="39">
    <w:name w:val="font31"/>
    <w:basedOn w:val="20"/>
    <w:autoRedefine/>
    <w:qFormat/>
    <w:uiPriority w:val="0"/>
    <w:rPr>
      <w:rFonts w:hint="default" w:ascii="Calibri" w:hAnsi="Calibri" w:cs="Calibri"/>
      <w:color w:val="000000"/>
      <w:sz w:val="22"/>
      <w:szCs w:val="22"/>
      <w:u w:val="none"/>
    </w:rPr>
  </w:style>
  <w:style w:type="character" w:customStyle="1" w:styleId="40">
    <w:name w:val="页眉 字符"/>
    <w:basedOn w:val="20"/>
    <w:link w:val="15"/>
    <w:autoRedefine/>
    <w:qFormat/>
    <w:uiPriority w:val="0"/>
    <w:rPr>
      <w:rFonts w:asciiTheme="minorHAnsi" w:hAnsiTheme="minorHAnsi" w:eastAsiaTheme="minorEastAsia" w:cstheme="minorBidi"/>
      <w:kern w:val="2"/>
      <w:sz w:val="18"/>
      <w:szCs w:val="18"/>
    </w:rPr>
  </w:style>
  <w:style w:type="character" w:customStyle="1" w:styleId="41">
    <w:name w:val="hover"/>
    <w:basedOn w:val="20"/>
    <w:autoRedefine/>
    <w:qFormat/>
    <w:uiPriority w:val="0"/>
    <w:rPr>
      <w:color w:val="2590EB"/>
    </w:rPr>
  </w:style>
  <w:style w:type="character" w:customStyle="1" w:styleId="42">
    <w:name w:val="hover1"/>
    <w:basedOn w:val="20"/>
    <w:autoRedefine/>
    <w:qFormat/>
    <w:uiPriority w:val="0"/>
    <w:rPr>
      <w:color w:val="2590EB"/>
    </w:rPr>
  </w:style>
  <w:style w:type="character" w:customStyle="1" w:styleId="43">
    <w:name w:val="hover2"/>
    <w:basedOn w:val="20"/>
    <w:autoRedefine/>
    <w:qFormat/>
    <w:uiPriority w:val="0"/>
  </w:style>
  <w:style w:type="character" w:customStyle="1" w:styleId="44">
    <w:name w:val="mini-outputtext1"/>
    <w:basedOn w:val="20"/>
    <w:autoRedefine/>
    <w:qFormat/>
    <w:uiPriority w:val="0"/>
  </w:style>
  <w:style w:type="character" w:customStyle="1" w:styleId="45">
    <w:name w:val="hover3"/>
    <w:basedOn w:val="20"/>
    <w:autoRedefine/>
    <w:qFormat/>
    <w:uiPriority w:val="0"/>
  </w:style>
  <w:style w:type="character" w:customStyle="1" w:styleId="46">
    <w:name w:val="first-child"/>
    <w:basedOn w:val="20"/>
    <w:qFormat/>
    <w:uiPriority w:val="0"/>
  </w:style>
  <w:style w:type="character" w:customStyle="1" w:styleId="47">
    <w:name w:val="layui-layer-tabnow"/>
    <w:basedOn w:val="20"/>
    <w:qFormat/>
    <w:uiPriority w:val="0"/>
    <w:rPr>
      <w:bdr w:val="single" w:color="CCCCCC" w:sz="6" w:space="0"/>
      <w:shd w:val="clear" w:fill="FFFFFF"/>
    </w:rPr>
  </w:style>
  <w:style w:type="paragraph" w:styleId="48">
    <w:name w:val="List Paragraph"/>
    <w:basedOn w:val="1"/>
    <w:qFormat/>
    <w:uiPriority w:val="34"/>
    <w:pPr>
      <w:ind w:firstLine="420" w:firstLineChars="200"/>
    </w:pPr>
  </w:style>
  <w:style w:type="paragraph" w:customStyle="1" w:styleId="49">
    <w:name w:val="正文 1.1"/>
    <w:basedOn w:val="1"/>
    <w:next w:val="50"/>
    <w:qFormat/>
    <w:uiPriority w:val="0"/>
    <w:pPr>
      <w:ind w:left="980" w:hanging="980"/>
      <w:outlineLvl w:val="1"/>
    </w:pPr>
    <w:rPr>
      <w:rFonts w:ascii="仿宋" w:hAnsi="仿宋"/>
      <w:b/>
      <w:sz w:val="24"/>
      <w:szCs w:val="24"/>
      <w:lang w:eastAsia="zh-CN"/>
    </w:rPr>
  </w:style>
  <w:style w:type="paragraph" w:customStyle="1" w:styleId="50">
    <w:name w:val="正文 1.1.1"/>
    <w:basedOn w:val="1"/>
    <w:next w:val="1"/>
    <w:qFormat/>
    <w:uiPriority w:val="0"/>
    <w:pPr>
      <w:numPr>
        <w:ilvl w:val="2"/>
        <w:numId w:val="2"/>
      </w:numPr>
      <w:outlineLvl w:val="2"/>
    </w:pPr>
    <w:rPr>
      <w:rFonts w:hAnsi="宋体" w:eastAsia="宋体"/>
      <w:color w:val="FF000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8587</Words>
  <Characters>9701</Characters>
  <Lines>161</Lines>
  <Paragraphs>45</Paragraphs>
  <TotalTime>36</TotalTime>
  <ScaleCrop>false</ScaleCrop>
  <LinksUpToDate>false</LinksUpToDate>
  <CharactersWithSpaces>9763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2023-05-11T02:07:00Z</dcterms:created>
  <dc:creator>Administrator</dc:creator>
  <cp:lastModifiedBy>崔静</cp:lastModifiedBy>
  <cp:lastPrinted>2025-03-20T03:36:00Z</cp:lastPrinted>
  <dcterms:modified xsi:type="dcterms:W3CDTF">2025-07-08T07:45:07Z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C091078B6140415490CFEAA480F66CB1_13</vt:lpwstr>
  </property>
  <property fmtid="{D5CDD505-2E9C-101B-9397-08002B2CF9AE}" pid="4" name="KSOTemplateDocerSaveRecord">
    <vt:lpwstr>eyJoZGlkIjoiYTgxODFlNGRlMDU2OTZhYjJiNDUxNDhjYzIwNmQ1NWUiLCJ1c2VySWQiOiIyMDk0MzY2ODkifQ==</vt:lpwstr>
  </property>
</Properties>
</file>