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68D040">
      <w:pPr>
        <w:spacing w:line="360" w:lineRule="auto"/>
        <w:jc w:val="center"/>
        <w:rPr>
          <w:rFonts w:ascii="宋体" w:hAnsi="宋体" w:cs="宋体"/>
          <w:b/>
          <w:sz w:val="44"/>
        </w:rPr>
      </w:pPr>
    </w:p>
    <w:p w14:paraId="6FB507BD">
      <w:pPr>
        <w:spacing w:line="360" w:lineRule="auto"/>
        <w:jc w:val="center"/>
        <w:outlineLvl w:val="0"/>
        <w:rPr>
          <w:rFonts w:hint="eastAsia" w:ascii="宋体" w:hAnsi="宋体" w:eastAsia="宋体" w:cs="宋体"/>
          <w:b/>
          <w:sz w:val="44"/>
          <w:lang w:eastAsia="zh-CN"/>
        </w:rPr>
      </w:pPr>
      <w:r>
        <w:rPr>
          <w:rFonts w:hint="eastAsia" w:ascii="宋体" w:hAnsi="宋体" w:cs="宋体"/>
          <w:b/>
          <w:sz w:val="36"/>
          <w:szCs w:val="36"/>
          <w:lang w:eastAsia="zh-CN"/>
        </w:rPr>
        <w:t>三门峡市陕州区2024年中央和地方水库移民扶持基金项目（第一标段—第四标段项目）第三标段（四次）</w:t>
      </w:r>
    </w:p>
    <w:p w14:paraId="325A25B9">
      <w:pPr>
        <w:spacing w:line="360" w:lineRule="auto"/>
        <w:jc w:val="center"/>
        <w:rPr>
          <w:rFonts w:ascii="宋体" w:hAnsi="宋体" w:cs="宋体"/>
          <w:b/>
          <w:spacing w:val="20"/>
          <w:kern w:val="0"/>
          <w:sz w:val="36"/>
          <w:szCs w:val="36"/>
        </w:rPr>
      </w:pPr>
    </w:p>
    <w:p w14:paraId="7DE7F055">
      <w:pPr>
        <w:spacing w:line="360" w:lineRule="auto"/>
        <w:jc w:val="center"/>
        <w:rPr>
          <w:rFonts w:ascii="宋体" w:hAnsi="宋体" w:cs="宋体"/>
          <w:b/>
          <w:sz w:val="84"/>
          <w:szCs w:val="84"/>
        </w:rPr>
      </w:pPr>
      <w:r>
        <w:rPr>
          <w:rFonts w:hint="eastAsia" w:ascii="宋体" w:hAnsi="宋体" w:cs="宋体"/>
          <w:b/>
          <w:spacing w:val="20"/>
          <w:kern w:val="0"/>
          <w:sz w:val="84"/>
          <w:szCs w:val="84"/>
        </w:rPr>
        <w:t xml:space="preserve"> </w:t>
      </w:r>
      <w:r>
        <w:rPr>
          <w:rFonts w:hint="eastAsia" w:ascii="宋体" w:hAnsi="宋体" w:cs="宋体"/>
          <w:b/>
          <w:spacing w:val="20"/>
          <w:kern w:val="0"/>
          <w:sz w:val="84"/>
          <w:szCs w:val="84"/>
          <w:lang w:val="en-US" w:eastAsia="zh-CN"/>
        </w:rPr>
        <w:t>竞争性磋商</w:t>
      </w:r>
      <w:r>
        <w:rPr>
          <w:rFonts w:hint="eastAsia" w:ascii="宋体" w:hAnsi="宋体" w:cs="宋体"/>
          <w:b/>
          <w:spacing w:val="20"/>
          <w:kern w:val="0"/>
          <w:sz w:val="84"/>
          <w:szCs w:val="84"/>
        </w:rPr>
        <w:t>文件</w:t>
      </w:r>
    </w:p>
    <w:p w14:paraId="1436B550">
      <w:pPr>
        <w:spacing w:line="480" w:lineRule="exact"/>
        <w:jc w:val="center"/>
        <w:rPr>
          <w:rFonts w:hint="default" w:ascii="宋体" w:hAnsi="宋体" w:eastAsia="宋体"/>
          <w:b/>
          <w:color w:val="0000FF"/>
          <w:sz w:val="28"/>
          <w:szCs w:val="28"/>
          <w:lang w:val="en-US" w:eastAsia="zh-CN"/>
        </w:rPr>
      </w:pPr>
      <w:bookmarkStart w:id="0" w:name="_Toc1809"/>
      <w:bookmarkStart w:id="1" w:name="_Toc25549"/>
      <w:bookmarkStart w:id="2" w:name="_Toc4067"/>
      <w:bookmarkStart w:id="3" w:name="_Toc181711534"/>
      <w:bookmarkStart w:id="4" w:name="_Toc31440"/>
      <w:bookmarkStart w:id="5" w:name="_Toc1649"/>
      <w:r>
        <w:rPr>
          <w:rFonts w:hint="eastAsia" w:ascii="宋体" w:hAnsi="宋体" w:cs="宋体"/>
          <w:b/>
          <w:sz w:val="32"/>
          <w:szCs w:val="28"/>
        </w:rPr>
        <w:t xml:space="preserve"> </w:t>
      </w:r>
      <w:r>
        <w:rPr>
          <w:rFonts w:hint="eastAsia" w:ascii="宋体" w:hAnsi="宋体" w:cs="宋体"/>
          <w:b/>
          <w:sz w:val="32"/>
          <w:szCs w:val="32"/>
        </w:rPr>
        <w:t>项目编号：</w:t>
      </w:r>
      <w:bookmarkEnd w:id="0"/>
      <w:bookmarkEnd w:id="1"/>
      <w:bookmarkEnd w:id="2"/>
      <w:bookmarkEnd w:id="3"/>
      <w:bookmarkEnd w:id="4"/>
      <w:bookmarkEnd w:id="5"/>
      <w:r>
        <w:rPr>
          <w:rFonts w:hint="eastAsia" w:ascii="宋体" w:hAnsi="宋体"/>
          <w:b/>
          <w:color w:val="auto"/>
          <w:sz w:val="32"/>
          <w:szCs w:val="32"/>
          <w:lang w:eastAsia="zh-CN"/>
        </w:rPr>
        <w:t>SZGZ[2025]094-ZC062</w:t>
      </w:r>
      <w:r>
        <w:rPr>
          <w:rFonts w:hint="eastAsia" w:ascii="宋体" w:hAnsi="宋体"/>
          <w:b/>
          <w:color w:val="auto"/>
          <w:sz w:val="32"/>
          <w:szCs w:val="32"/>
        </w:rPr>
        <w:t>、</w:t>
      </w:r>
      <w:r>
        <w:rPr>
          <w:rFonts w:hint="eastAsia" w:ascii="宋体" w:hAnsi="宋体"/>
          <w:b/>
          <w:color w:val="auto"/>
          <w:sz w:val="32"/>
          <w:szCs w:val="32"/>
          <w:lang w:val="en-US" w:eastAsia="zh-CN"/>
        </w:rPr>
        <w:t>陕州竞磋采购</w:t>
      </w:r>
      <w:r>
        <w:rPr>
          <w:rFonts w:hint="eastAsia" w:ascii="宋体" w:hAnsi="宋体"/>
          <w:b/>
          <w:color w:val="auto"/>
          <w:sz w:val="32"/>
          <w:szCs w:val="32"/>
        </w:rPr>
        <w:t>-2025-</w:t>
      </w:r>
      <w:r>
        <w:rPr>
          <w:rFonts w:hint="eastAsia" w:ascii="宋体" w:hAnsi="宋体"/>
          <w:b/>
          <w:color w:val="auto"/>
          <w:sz w:val="32"/>
          <w:szCs w:val="32"/>
          <w:lang w:val="en-US" w:eastAsia="zh-CN"/>
        </w:rPr>
        <w:t>27</w:t>
      </w:r>
      <w:bookmarkStart w:id="492" w:name="_GoBack"/>
      <w:bookmarkEnd w:id="492"/>
    </w:p>
    <w:p w14:paraId="1CCF514A">
      <w:pPr>
        <w:adjustRightInd w:val="0"/>
        <w:snapToGrid w:val="0"/>
        <w:spacing w:line="360" w:lineRule="auto"/>
        <w:jc w:val="center"/>
        <w:outlineLvl w:val="0"/>
        <w:rPr>
          <w:rFonts w:hint="eastAsia" w:ascii="宋体" w:hAnsi="宋体" w:cs="宋体"/>
          <w:b/>
          <w:w w:val="110"/>
          <w:sz w:val="36"/>
          <w:szCs w:val="36"/>
        </w:rPr>
      </w:pPr>
    </w:p>
    <w:p w14:paraId="25562BB1">
      <w:pPr>
        <w:adjustRightInd w:val="0"/>
        <w:snapToGrid w:val="0"/>
        <w:spacing w:line="360" w:lineRule="auto"/>
        <w:jc w:val="center"/>
        <w:outlineLvl w:val="0"/>
        <w:rPr>
          <w:rFonts w:hint="eastAsia" w:ascii="宋体" w:hAnsi="宋体" w:cs="宋体"/>
          <w:b/>
          <w:w w:val="110"/>
          <w:sz w:val="36"/>
          <w:szCs w:val="36"/>
        </w:rPr>
      </w:pPr>
    </w:p>
    <w:p w14:paraId="3A9457D3">
      <w:pPr>
        <w:adjustRightInd w:val="0"/>
        <w:snapToGrid w:val="0"/>
        <w:spacing w:line="360" w:lineRule="auto"/>
        <w:jc w:val="center"/>
        <w:outlineLvl w:val="0"/>
        <w:rPr>
          <w:rFonts w:ascii="宋体" w:hAnsi="宋体" w:cs="宋体"/>
          <w:sz w:val="24"/>
        </w:rPr>
      </w:pPr>
      <w:r>
        <w:rPr>
          <w:rFonts w:hint="eastAsia" w:ascii="宋体" w:hAnsi="宋体" w:cs="宋体"/>
          <w:b/>
          <w:w w:val="110"/>
          <w:sz w:val="36"/>
          <w:szCs w:val="36"/>
        </w:rPr>
        <w:t xml:space="preserve"> </w:t>
      </w:r>
      <w:r>
        <w:rPr>
          <w:rFonts w:ascii="宋体" w:hAnsi="宋体" w:cs="宋体"/>
          <w:sz w:val="32"/>
          <w:szCs w:val="32"/>
        </w:rPr>
        <w:drawing>
          <wp:inline distT="0" distB="0" distL="0" distR="0">
            <wp:extent cx="2990850" cy="1943100"/>
            <wp:effectExtent l="0" t="0" r="0" b="0"/>
            <wp:docPr id="7" name="图片 7" descr="G:\河南禾众工程管理公司\0单位资料\公司标志\禾众管理.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G:\河南禾众工程管理公司\0单位资料\公司标志\禾众管理.jpg"/>
                    <pic:cNvPicPr>
                      <a:picLocks noChangeAspect="1" noChangeArrowheads="1"/>
                    </pic:cNvPicPr>
                  </pic:nvPicPr>
                  <pic:blipFill>
                    <a:blip r:embed="rId5" cstate="print">
                      <a:extLst>
                        <a:ext uri="{28A0092B-C50C-407E-A947-70E740481C1C}">
                          <a14:useLocalDpi xmlns:a14="http://schemas.microsoft.com/office/drawing/2010/main" val="0"/>
                        </a:ext>
                      </a:extLst>
                    </a:blip>
                    <a:srcRect l="24538" t="24348" r="19449" b="27106"/>
                    <a:stretch>
                      <a:fillRect/>
                    </a:stretch>
                  </pic:blipFill>
                  <pic:spPr>
                    <a:xfrm>
                      <a:off x="0" y="0"/>
                      <a:ext cx="2990850" cy="1943100"/>
                    </a:xfrm>
                    <a:prstGeom prst="rect">
                      <a:avLst/>
                    </a:prstGeom>
                    <a:noFill/>
                    <a:ln>
                      <a:noFill/>
                    </a:ln>
                  </pic:spPr>
                </pic:pic>
              </a:graphicData>
            </a:graphic>
          </wp:inline>
        </w:drawing>
      </w:r>
    </w:p>
    <w:p w14:paraId="06DD1E80">
      <w:pPr>
        <w:pStyle w:val="168"/>
        <w:spacing w:line="360" w:lineRule="auto"/>
        <w:jc w:val="center"/>
        <w:rPr>
          <w:rFonts w:ascii="宋体" w:hAnsi="宋体" w:cs="宋体"/>
          <w:sz w:val="30"/>
          <w:szCs w:val="30"/>
        </w:rPr>
      </w:pPr>
    </w:p>
    <w:p w14:paraId="5B06FA3B">
      <w:pPr>
        <w:pStyle w:val="168"/>
        <w:spacing w:line="360" w:lineRule="auto"/>
        <w:rPr>
          <w:rFonts w:ascii="宋体" w:hAnsi="宋体" w:cs="宋体"/>
          <w:sz w:val="30"/>
          <w:szCs w:val="30"/>
        </w:rPr>
      </w:pPr>
    </w:p>
    <w:p w14:paraId="5FF26B84">
      <w:pPr>
        <w:pStyle w:val="168"/>
        <w:spacing w:line="360" w:lineRule="auto"/>
        <w:rPr>
          <w:rFonts w:ascii="宋体" w:hAnsi="宋体" w:cs="宋体"/>
          <w:sz w:val="24"/>
          <w:szCs w:val="24"/>
        </w:rPr>
      </w:pPr>
    </w:p>
    <w:p w14:paraId="18ED9D0B">
      <w:pPr>
        <w:spacing w:line="360" w:lineRule="auto"/>
        <w:ind w:firstLine="1706" w:firstLineChars="531"/>
        <w:outlineLvl w:val="0"/>
        <w:rPr>
          <w:rFonts w:hint="eastAsia" w:ascii="宋体" w:hAnsi="宋体" w:eastAsia="宋体" w:cs="宋体"/>
          <w:b/>
          <w:sz w:val="32"/>
          <w:szCs w:val="32"/>
          <w:lang w:eastAsia="zh-CN"/>
        </w:rPr>
      </w:pPr>
      <w:bookmarkStart w:id="6" w:name="_Toc31788"/>
      <w:bookmarkStart w:id="7" w:name="_Toc19743"/>
      <w:bookmarkStart w:id="8" w:name="_Toc193295699"/>
      <w:bookmarkStart w:id="9" w:name="_Toc23965"/>
      <w:bookmarkStart w:id="10" w:name="_Toc181711536"/>
      <w:bookmarkStart w:id="11" w:name="_Toc192673514"/>
      <w:bookmarkStart w:id="12" w:name="_Toc23373"/>
      <w:bookmarkStart w:id="13" w:name="_Toc29393"/>
      <w:r>
        <w:rPr>
          <w:rFonts w:hint="eastAsia" w:ascii="宋体" w:hAnsi="宋体" w:cs="宋体"/>
          <w:b/>
          <w:sz w:val="32"/>
          <w:szCs w:val="32"/>
          <w:lang w:val="en-US" w:eastAsia="zh-CN"/>
        </w:rPr>
        <w:t>采   购   人</w:t>
      </w:r>
      <w:r>
        <w:rPr>
          <w:rFonts w:hint="eastAsia" w:ascii="宋体" w:hAnsi="宋体" w:cs="宋体"/>
          <w:b/>
          <w:sz w:val="32"/>
          <w:szCs w:val="32"/>
        </w:rPr>
        <w:t>：</w:t>
      </w:r>
      <w:bookmarkEnd w:id="6"/>
      <w:bookmarkEnd w:id="7"/>
      <w:bookmarkEnd w:id="8"/>
      <w:bookmarkEnd w:id="9"/>
      <w:bookmarkEnd w:id="10"/>
      <w:bookmarkEnd w:id="11"/>
      <w:bookmarkEnd w:id="12"/>
      <w:bookmarkEnd w:id="13"/>
      <w:r>
        <w:rPr>
          <w:rFonts w:hint="eastAsia" w:ascii="宋体" w:hAnsi="宋体" w:cs="宋体"/>
          <w:b/>
          <w:sz w:val="32"/>
          <w:szCs w:val="32"/>
          <w:lang w:eastAsia="zh-CN"/>
        </w:rPr>
        <w:t>三门峡市陕州区黄河河务局</w:t>
      </w:r>
    </w:p>
    <w:p w14:paraId="69425495">
      <w:pPr>
        <w:spacing w:line="360" w:lineRule="auto"/>
        <w:ind w:firstLine="1706" w:firstLineChars="531"/>
        <w:outlineLvl w:val="0"/>
        <w:rPr>
          <w:rFonts w:hint="eastAsia" w:ascii="宋体" w:hAnsi="宋体" w:eastAsia="宋体" w:cs="宋体"/>
          <w:b/>
          <w:sz w:val="30"/>
          <w:szCs w:val="30"/>
          <w:lang w:eastAsia="zh-CN"/>
        </w:rPr>
      </w:pPr>
      <w:bookmarkStart w:id="14" w:name="_Toc192673515"/>
      <w:bookmarkStart w:id="15" w:name="_Toc23130"/>
      <w:bookmarkStart w:id="16" w:name="_Toc14580"/>
      <w:bookmarkStart w:id="17" w:name="_Toc193295700"/>
      <w:bookmarkStart w:id="18" w:name="_Toc13796"/>
      <w:bookmarkStart w:id="19" w:name="_Toc19813"/>
      <w:bookmarkStart w:id="20" w:name="_Toc181711537"/>
      <w:bookmarkStart w:id="21" w:name="_Toc17888"/>
      <w:r>
        <w:rPr>
          <w:rFonts w:hint="eastAsia" w:ascii="宋体" w:hAnsi="宋体" w:cs="宋体"/>
          <w:b/>
          <w:sz w:val="32"/>
          <w:szCs w:val="32"/>
          <w:lang w:val="en-US" w:eastAsia="zh-CN"/>
        </w:rPr>
        <w:t>采购</w:t>
      </w:r>
      <w:r>
        <w:rPr>
          <w:rFonts w:hint="eastAsia" w:ascii="宋体" w:hAnsi="宋体" w:cs="宋体"/>
          <w:b/>
          <w:sz w:val="32"/>
          <w:szCs w:val="32"/>
        </w:rPr>
        <w:t>代理机构：</w:t>
      </w:r>
      <w:bookmarkEnd w:id="14"/>
      <w:bookmarkEnd w:id="15"/>
      <w:bookmarkEnd w:id="16"/>
      <w:bookmarkEnd w:id="17"/>
      <w:bookmarkEnd w:id="18"/>
      <w:bookmarkEnd w:id="19"/>
      <w:bookmarkEnd w:id="20"/>
      <w:bookmarkEnd w:id="21"/>
      <w:bookmarkStart w:id="22" w:name="_Toc8305"/>
      <w:bookmarkStart w:id="23" w:name="_Toc20082"/>
      <w:bookmarkStart w:id="24" w:name="_Toc30211"/>
      <w:bookmarkStart w:id="25" w:name="_Toc15023"/>
      <w:bookmarkStart w:id="26" w:name="_Toc22202"/>
      <w:bookmarkStart w:id="27" w:name="_Toc181711538"/>
      <w:r>
        <w:rPr>
          <w:rFonts w:hint="eastAsia" w:ascii="宋体" w:hAnsi="宋体" w:cs="宋体"/>
          <w:b/>
          <w:sz w:val="30"/>
          <w:szCs w:val="30"/>
          <w:lang w:eastAsia="zh-CN"/>
        </w:rPr>
        <w:t>河南禾众工程管理有限公司</w:t>
      </w:r>
    </w:p>
    <w:p w14:paraId="22A45C5B">
      <w:pPr>
        <w:spacing w:line="360" w:lineRule="auto"/>
        <w:ind w:firstLine="1706" w:firstLineChars="531"/>
        <w:outlineLvl w:val="0"/>
        <w:rPr>
          <w:rFonts w:ascii="宋体" w:hAnsi="宋体" w:cs="宋体"/>
          <w:b/>
          <w:sz w:val="44"/>
          <w:szCs w:val="44"/>
        </w:rPr>
      </w:pPr>
      <w:bookmarkStart w:id="28" w:name="_Toc193295701"/>
      <w:bookmarkStart w:id="29" w:name="_Toc192673516"/>
      <w:r>
        <w:rPr>
          <w:rFonts w:hint="eastAsia" w:ascii="宋体" w:hAnsi="宋体" w:cs="宋体"/>
          <w:b/>
          <w:sz w:val="32"/>
          <w:szCs w:val="32"/>
        </w:rPr>
        <w:t>日    期：</w:t>
      </w:r>
      <w:bookmarkEnd w:id="22"/>
      <w:bookmarkEnd w:id="23"/>
      <w:bookmarkEnd w:id="24"/>
      <w:bookmarkEnd w:id="25"/>
      <w:bookmarkEnd w:id="26"/>
      <w:r>
        <w:rPr>
          <w:rFonts w:hint="eastAsia" w:ascii="宋体" w:hAnsi="宋体" w:cs="宋体"/>
          <w:b/>
          <w:sz w:val="32"/>
          <w:szCs w:val="32"/>
        </w:rPr>
        <w:t>二〇二五年</w:t>
      </w:r>
      <w:r>
        <w:rPr>
          <w:rFonts w:hint="eastAsia" w:ascii="宋体" w:hAnsi="宋体" w:cs="宋体"/>
          <w:b/>
          <w:sz w:val="32"/>
          <w:szCs w:val="32"/>
          <w:lang w:val="en-US" w:eastAsia="zh-CN"/>
        </w:rPr>
        <w:t>六</w:t>
      </w:r>
      <w:r>
        <w:rPr>
          <w:rFonts w:hint="eastAsia" w:ascii="宋体" w:hAnsi="宋体" w:cs="宋体"/>
          <w:b/>
          <w:sz w:val="32"/>
          <w:szCs w:val="32"/>
        </w:rPr>
        <w:t>月</w:t>
      </w:r>
      <w:bookmarkEnd w:id="27"/>
      <w:bookmarkEnd w:id="28"/>
      <w:bookmarkEnd w:id="29"/>
    </w:p>
    <w:p w14:paraId="39A0B710">
      <w:pPr>
        <w:pStyle w:val="169"/>
        <w:widowControl/>
        <w:spacing w:line="360" w:lineRule="auto"/>
        <w:ind w:firstLineChars="0"/>
        <w:jc w:val="center"/>
        <w:rPr>
          <w:rFonts w:ascii="宋体" w:hAnsi="宋体" w:cs="宋体"/>
          <w:b/>
          <w:spacing w:val="14"/>
          <w:sz w:val="32"/>
          <w:szCs w:val="32"/>
        </w:rPr>
      </w:pPr>
    </w:p>
    <w:p w14:paraId="67B26801">
      <w:pPr>
        <w:pStyle w:val="169"/>
        <w:widowControl/>
        <w:spacing w:line="360" w:lineRule="auto"/>
        <w:ind w:firstLineChars="0"/>
        <w:jc w:val="center"/>
        <w:rPr>
          <w:rFonts w:ascii="宋体" w:hAnsi="宋体" w:cs="宋体"/>
          <w:b/>
          <w:spacing w:val="14"/>
          <w:sz w:val="32"/>
          <w:szCs w:val="32"/>
        </w:rPr>
      </w:pPr>
    </w:p>
    <w:p w14:paraId="4037F261">
      <w:pPr>
        <w:pStyle w:val="169"/>
        <w:widowControl/>
        <w:spacing w:line="360" w:lineRule="auto"/>
        <w:ind w:firstLineChars="0"/>
        <w:jc w:val="center"/>
        <w:rPr>
          <w:rFonts w:ascii="宋体" w:hAnsi="宋体" w:cs="宋体"/>
          <w:b/>
          <w:spacing w:val="14"/>
          <w:sz w:val="32"/>
          <w:szCs w:val="32"/>
        </w:rPr>
      </w:pPr>
    </w:p>
    <w:p w14:paraId="0652E112">
      <w:pPr>
        <w:pStyle w:val="169"/>
        <w:widowControl/>
        <w:spacing w:line="360" w:lineRule="auto"/>
        <w:ind w:firstLineChars="0"/>
        <w:jc w:val="center"/>
        <w:rPr>
          <w:rFonts w:ascii="宋体" w:hAnsi="宋体" w:cs="宋体"/>
          <w:b/>
          <w:spacing w:val="14"/>
          <w:sz w:val="32"/>
          <w:szCs w:val="32"/>
        </w:rPr>
      </w:pPr>
    </w:p>
    <w:sdt>
      <w:sdtPr>
        <w:rPr>
          <w:rFonts w:ascii="宋体" w:hAnsi="宋体"/>
          <w:sz w:val="32"/>
          <w:szCs w:val="40"/>
        </w:rPr>
        <w:id w:val="147472648"/>
        <w:docPartObj>
          <w:docPartGallery w:val="Table of Contents"/>
          <w:docPartUnique/>
        </w:docPartObj>
      </w:sdtPr>
      <w:sdtEndPr>
        <w:rPr>
          <w:rFonts w:asciiTheme="minorEastAsia" w:hAnsiTheme="minorEastAsia" w:eastAsiaTheme="minorEastAsia"/>
          <w:sz w:val="24"/>
          <w:szCs w:val="24"/>
        </w:rPr>
      </w:sdtEndPr>
      <w:sdtContent>
        <w:p w14:paraId="0E8C6888">
          <w:pPr>
            <w:jc w:val="center"/>
            <w:rPr>
              <w:sz w:val="32"/>
              <w:szCs w:val="40"/>
            </w:rPr>
          </w:pPr>
          <w:r>
            <w:rPr>
              <w:rFonts w:ascii="宋体" w:hAnsi="宋体"/>
              <w:b/>
              <w:sz w:val="32"/>
              <w:szCs w:val="40"/>
            </w:rPr>
            <w:t>目</w:t>
          </w:r>
          <w:r>
            <w:rPr>
              <w:rFonts w:hint="eastAsia" w:ascii="宋体" w:hAnsi="宋体"/>
              <w:b/>
              <w:sz w:val="32"/>
              <w:szCs w:val="40"/>
            </w:rPr>
            <w:t xml:space="preserve"> </w:t>
          </w:r>
          <w:r>
            <w:rPr>
              <w:rFonts w:ascii="宋体" w:hAnsi="宋体"/>
              <w:b/>
              <w:sz w:val="32"/>
              <w:szCs w:val="40"/>
            </w:rPr>
            <w:t>录</w:t>
          </w:r>
        </w:p>
        <w:p w14:paraId="00338CE5">
          <w:pPr>
            <w:pStyle w:val="29"/>
            <w:spacing w:line="480" w:lineRule="auto"/>
            <w:ind w:firstLine="120"/>
            <w:rPr>
              <w:rFonts w:hint="default" w:asciiTheme="minorHAnsi" w:hAnsiTheme="minorHAnsi" w:eastAsiaTheme="minorEastAsia" w:cstheme="minorBidi"/>
              <w:sz w:val="28"/>
              <w:szCs w:val="28"/>
            </w:rPr>
          </w:pPr>
          <w:r>
            <w:rPr>
              <w:rFonts w:hint="default" w:asciiTheme="minorEastAsia" w:hAnsiTheme="minorEastAsia" w:eastAsiaTheme="minorEastAsia"/>
              <w:sz w:val="24"/>
              <w:szCs w:val="24"/>
            </w:rPr>
            <w:fldChar w:fldCharType="begin"/>
          </w:r>
          <w:r>
            <w:rPr>
              <w:rFonts w:asciiTheme="minorEastAsia" w:hAnsiTheme="minorEastAsia" w:eastAsiaTheme="minorEastAsia"/>
              <w:sz w:val="24"/>
              <w:szCs w:val="24"/>
            </w:rPr>
            <w:instrText xml:space="preserve">TOC \o "1-1" \h \u </w:instrText>
          </w:r>
          <w:r>
            <w:rPr>
              <w:rFonts w:hint="default" w:asciiTheme="minorEastAsia" w:hAnsiTheme="minorEastAsia" w:eastAsiaTheme="minorEastAsia"/>
              <w:sz w:val="24"/>
              <w:szCs w:val="24"/>
            </w:rPr>
            <w:fldChar w:fldCharType="separate"/>
          </w:r>
        </w:p>
        <w:p w14:paraId="312FC838">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"_Toc193295702" </w:instrText>
          </w:r>
          <w:r>
            <w:fldChar w:fldCharType="separate"/>
          </w:r>
          <w:r>
            <w:rPr>
              <w:rStyle w:val="54"/>
              <w:rFonts w:hint="eastAsia"/>
              <w:sz w:val="28"/>
              <w:szCs w:val="28"/>
            </w:rPr>
            <w:t>第一章  招标公告</w:t>
          </w:r>
          <w:r>
            <w:rPr>
              <w:sz w:val="28"/>
              <w:szCs w:val="28"/>
            </w:rPr>
            <w:tab/>
          </w:r>
          <w:r>
            <w:rPr>
              <w:sz w:val="28"/>
              <w:szCs w:val="28"/>
            </w:rPr>
            <w:fldChar w:fldCharType="begin"/>
          </w:r>
          <w:r>
            <w:rPr>
              <w:sz w:val="28"/>
              <w:szCs w:val="28"/>
            </w:rPr>
            <w:instrText xml:space="preserve"> PAGEREF _Toc193295702 \h </w:instrText>
          </w:r>
          <w:r>
            <w:rPr>
              <w:rFonts w:hint="default"/>
              <w:sz w:val="28"/>
              <w:szCs w:val="28"/>
            </w:rPr>
            <w:fldChar w:fldCharType="separate"/>
          </w:r>
          <w:r>
            <w:rPr>
              <w:rFonts w:hint="default"/>
              <w:sz w:val="28"/>
              <w:szCs w:val="28"/>
            </w:rPr>
            <w:t>3</w:t>
          </w:r>
          <w:r>
            <w:rPr>
              <w:sz w:val="28"/>
              <w:szCs w:val="28"/>
            </w:rPr>
            <w:fldChar w:fldCharType="end"/>
          </w:r>
          <w:r>
            <w:rPr>
              <w:sz w:val="28"/>
              <w:szCs w:val="28"/>
            </w:rPr>
            <w:fldChar w:fldCharType="end"/>
          </w:r>
        </w:p>
        <w:p w14:paraId="10571FEB">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"_Toc193295703" </w:instrText>
          </w:r>
          <w:r>
            <w:fldChar w:fldCharType="separate"/>
          </w:r>
          <w:r>
            <w:rPr>
              <w:rStyle w:val="54"/>
              <w:rFonts w:hint="eastAsia"/>
              <w:sz w:val="28"/>
              <w:szCs w:val="28"/>
            </w:rPr>
            <w:t xml:space="preserve">第二章 </w:t>
          </w:r>
          <w:r>
            <w:rPr>
              <w:rStyle w:val="54"/>
              <w:rFonts w:hint="eastAsia"/>
              <w:sz w:val="28"/>
              <w:szCs w:val="28"/>
              <w:lang w:eastAsia="zh-CN"/>
            </w:rPr>
            <w:t>供应商</w:t>
          </w:r>
          <w:r>
            <w:rPr>
              <w:rStyle w:val="54"/>
              <w:rFonts w:hint="eastAsia"/>
              <w:sz w:val="28"/>
              <w:szCs w:val="28"/>
            </w:rPr>
            <w:t>须知</w:t>
          </w:r>
          <w:r>
            <w:rPr>
              <w:sz w:val="28"/>
              <w:szCs w:val="28"/>
            </w:rPr>
            <w:tab/>
          </w:r>
          <w:r>
            <w:rPr>
              <w:sz w:val="28"/>
              <w:szCs w:val="28"/>
            </w:rPr>
            <w:fldChar w:fldCharType="begin"/>
          </w:r>
          <w:r>
            <w:rPr>
              <w:sz w:val="28"/>
              <w:szCs w:val="28"/>
            </w:rPr>
            <w:instrText xml:space="preserve"> PAGEREF _Toc193295703 \h </w:instrText>
          </w:r>
          <w:r>
            <w:rPr>
              <w:rFonts w:hint="default"/>
              <w:sz w:val="28"/>
              <w:szCs w:val="28"/>
            </w:rPr>
            <w:fldChar w:fldCharType="separate"/>
          </w:r>
          <w:r>
            <w:rPr>
              <w:rFonts w:hint="default"/>
              <w:sz w:val="28"/>
              <w:szCs w:val="28"/>
            </w:rPr>
            <w:t>9</w:t>
          </w:r>
          <w:r>
            <w:rPr>
              <w:sz w:val="28"/>
              <w:szCs w:val="28"/>
            </w:rPr>
            <w:fldChar w:fldCharType="end"/>
          </w:r>
          <w:r>
            <w:rPr>
              <w:sz w:val="28"/>
              <w:szCs w:val="28"/>
            </w:rPr>
            <w:fldChar w:fldCharType="end"/>
          </w:r>
        </w:p>
        <w:p w14:paraId="26AD5C10">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"_Toc193295704" </w:instrText>
          </w:r>
          <w:r>
            <w:fldChar w:fldCharType="separate"/>
          </w:r>
          <w:r>
            <w:rPr>
              <w:rStyle w:val="54"/>
              <w:rFonts w:hint="eastAsia"/>
              <w:sz w:val="28"/>
              <w:szCs w:val="28"/>
            </w:rPr>
            <w:t>第三章 招标控制价的编制依据</w:t>
          </w:r>
          <w:r>
            <w:rPr>
              <w:sz w:val="28"/>
              <w:szCs w:val="28"/>
            </w:rPr>
            <w:tab/>
          </w:r>
          <w:r>
            <w:rPr>
              <w:sz w:val="28"/>
              <w:szCs w:val="28"/>
            </w:rPr>
            <w:fldChar w:fldCharType="begin"/>
          </w:r>
          <w:r>
            <w:rPr>
              <w:sz w:val="28"/>
              <w:szCs w:val="28"/>
            </w:rPr>
            <w:instrText xml:space="preserve"> PAGEREF _Toc193295704 \h </w:instrText>
          </w:r>
          <w:r>
            <w:rPr>
              <w:rFonts w:hint="default"/>
              <w:sz w:val="28"/>
              <w:szCs w:val="28"/>
            </w:rPr>
            <w:fldChar w:fldCharType="separate"/>
          </w:r>
          <w:r>
            <w:rPr>
              <w:rFonts w:hint="default"/>
              <w:sz w:val="28"/>
              <w:szCs w:val="28"/>
            </w:rPr>
            <w:t>34</w:t>
          </w:r>
          <w:r>
            <w:rPr>
              <w:sz w:val="28"/>
              <w:szCs w:val="28"/>
            </w:rPr>
            <w:fldChar w:fldCharType="end"/>
          </w:r>
          <w:r>
            <w:rPr>
              <w:sz w:val="28"/>
              <w:szCs w:val="28"/>
            </w:rPr>
            <w:fldChar w:fldCharType="end"/>
          </w:r>
        </w:p>
        <w:p w14:paraId="3A5DFCB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"_Toc193295705" </w:instrText>
          </w:r>
          <w:r>
            <w:fldChar w:fldCharType="separate"/>
          </w:r>
          <w:r>
            <w:rPr>
              <w:rStyle w:val="54"/>
              <w:rFonts w:hint="eastAsia"/>
              <w:sz w:val="28"/>
              <w:szCs w:val="28"/>
            </w:rPr>
            <w:t>第四章 评标办法（综合评分法）</w:t>
          </w:r>
          <w:r>
            <w:rPr>
              <w:sz w:val="28"/>
              <w:szCs w:val="28"/>
            </w:rPr>
            <w:tab/>
          </w:r>
          <w:r>
            <w:rPr>
              <w:sz w:val="28"/>
              <w:szCs w:val="28"/>
            </w:rPr>
            <w:fldChar w:fldCharType="begin"/>
          </w:r>
          <w:r>
            <w:rPr>
              <w:sz w:val="28"/>
              <w:szCs w:val="28"/>
            </w:rPr>
            <w:instrText xml:space="preserve"> PAGEREF _Toc193295705 \h </w:instrText>
          </w:r>
          <w:r>
            <w:rPr>
              <w:rFonts w:hint="default"/>
              <w:sz w:val="28"/>
              <w:szCs w:val="28"/>
            </w:rPr>
            <w:fldChar w:fldCharType="separate"/>
          </w:r>
          <w:r>
            <w:rPr>
              <w:rFonts w:hint="default"/>
              <w:sz w:val="28"/>
              <w:szCs w:val="28"/>
            </w:rPr>
            <w:t>35</w:t>
          </w:r>
          <w:r>
            <w:rPr>
              <w:sz w:val="28"/>
              <w:szCs w:val="28"/>
            </w:rPr>
            <w:fldChar w:fldCharType="end"/>
          </w:r>
          <w:r>
            <w:rPr>
              <w:sz w:val="28"/>
              <w:szCs w:val="28"/>
            </w:rPr>
            <w:fldChar w:fldCharType="end"/>
          </w:r>
        </w:p>
        <w:p w14:paraId="05C4BE17">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"_Toc193295706" </w:instrText>
          </w:r>
          <w:r>
            <w:fldChar w:fldCharType="separate"/>
          </w:r>
          <w:r>
            <w:rPr>
              <w:rStyle w:val="54"/>
              <w:rFonts w:hint="eastAsia"/>
              <w:sz w:val="28"/>
              <w:szCs w:val="28"/>
            </w:rPr>
            <w:t>第五章 合同条款及格式</w:t>
          </w:r>
          <w:r>
            <w:rPr>
              <w:sz w:val="28"/>
              <w:szCs w:val="28"/>
            </w:rPr>
            <w:tab/>
          </w:r>
          <w:r>
            <w:rPr>
              <w:sz w:val="28"/>
              <w:szCs w:val="28"/>
            </w:rPr>
            <w:fldChar w:fldCharType="begin"/>
          </w:r>
          <w:r>
            <w:rPr>
              <w:sz w:val="28"/>
              <w:szCs w:val="28"/>
            </w:rPr>
            <w:instrText xml:space="preserve"> PAGEREF _Toc193295706 \h </w:instrText>
          </w:r>
          <w:r>
            <w:rPr>
              <w:rFonts w:hint="default"/>
              <w:sz w:val="28"/>
              <w:szCs w:val="28"/>
            </w:rPr>
            <w:fldChar w:fldCharType="separate"/>
          </w:r>
          <w:r>
            <w:rPr>
              <w:rFonts w:hint="default"/>
              <w:sz w:val="28"/>
              <w:szCs w:val="28"/>
            </w:rPr>
            <w:t>45</w:t>
          </w:r>
          <w:r>
            <w:rPr>
              <w:sz w:val="28"/>
              <w:szCs w:val="28"/>
            </w:rPr>
            <w:fldChar w:fldCharType="end"/>
          </w:r>
          <w:r>
            <w:rPr>
              <w:sz w:val="28"/>
              <w:szCs w:val="28"/>
            </w:rPr>
            <w:fldChar w:fldCharType="end"/>
          </w:r>
        </w:p>
        <w:p w14:paraId="279FAE93">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"_Toc193295707" </w:instrText>
          </w:r>
          <w:r>
            <w:fldChar w:fldCharType="separate"/>
          </w:r>
          <w:r>
            <w:rPr>
              <w:rStyle w:val="54"/>
              <w:rFonts w:hint="eastAsia"/>
              <w:sz w:val="28"/>
              <w:szCs w:val="28"/>
            </w:rPr>
            <w:t>第六章 工程量清单及图纸</w:t>
          </w:r>
          <w:r>
            <w:rPr>
              <w:sz w:val="28"/>
              <w:szCs w:val="28"/>
            </w:rPr>
            <w:tab/>
          </w:r>
          <w:r>
            <w:rPr>
              <w:sz w:val="28"/>
              <w:szCs w:val="28"/>
            </w:rPr>
            <w:fldChar w:fldCharType="begin"/>
          </w:r>
          <w:r>
            <w:rPr>
              <w:sz w:val="28"/>
              <w:szCs w:val="28"/>
            </w:rPr>
            <w:instrText xml:space="preserve"> PAGEREF _Toc193295707 \h </w:instrText>
          </w:r>
          <w:r>
            <w:rPr>
              <w:rFonts w:hint="default"/>
              <w:sz w:val="28"/>
              <w:szCs w:val="28"/>
            </w:rPr>
            <w:fldChar w:fldCharType="separate"/>
          </w:r>
          <w:r>
            <w:rPr>
              <w:rFonts w:hint="default"/>
              <w:sz w:val="28"/>
              <w:szCs w:val="28"/>
            </w:rPr>
            <w:t>91</w:t>
          </w:r>
          <w:r>
            <w:rPr>
              <w:sz w:val="28"/>
              <w:szCs w:val="28"/>
            </w:rPr>
            <w:fldChar w:fldCharType="end"/>
          </w:r>
          <w:r>
            <w:rPr>
              <w:sz w:val="28"/>
              <w:szCs w:val="28"/>
            </w:rPr>
            <w:fldChar w:fldCharType="end"/>
          </w:r>
        </w:p>
        <w:p w14:paraId="0822CAC2">
          <w:pPr>
            <w:pStyle w:val="29"/>
            <w:spacing w:line="480" w:lineRule="auto"/>
            <w:ind w:firstLine="140"/>
            <w:rPr>
              <w:rFonts w:hint="default" w:asciiTheme="minorHAnsi" w:hAnsiTheme="minorHAnsi" w:eastAsiaTheme="minorEastAsia" w:cstheme="minorBidi"/>
              <w:sz w:val="28"/>
              <w:szCs w:val="28"/>
            </w:rPr>
          </w:pPr>
          <w:r>
            <w:fldChar w:fldCharType="begin"/>
          </w:r>
          <w:r>
            <w:instrText xml:space="preserve"> HYPERLINK \l "_Toc193295708" </w:instrText>
          </w:r>
          <w:r>
            <w:fldChar w:fldCharType="separate"/>
          </w:r>
          <w:r>
            <w:rPr>
              <w:rStyle w:val="54"/>
              <w:rFonts w:hint="eastAsia"/>
              <w:sz w:val="28"/>
              <w:szCs w:val="28"/>
            </w:rPr>
            <w:t>第七章  技术标准和要求</w:t>
          </w:r>
          <w:r>
            <w:rPr>
              <w:sz w:val="28"/>
              <w:szCs w:val="28"/>
            </w:rPr>
            <w:tab/>
          </w:r>
          <w:r>
            <w:rPr>
              <w:sz w:val="28"/>
              <w:szCs w:val="28"/>
            </w:rPr>
            <w:fldChar w:fldCharType="begin"/>
          </w:r>
          <w:r>
            <w:rPr>
              <w:sz w:val="28"/>
              <w:szCs w:val="28"/>
            </w:rPr>
            <w:instrText xml:space="preserve"> PAGEREF _Toc193295708 \h </w:instrText>
          </w:r>
          <w:r>
            <w:rPr>
              <w:rFonts w:hint="default"/>
              <w:sz w:val="28"/>
              <w:szCs w:val="28"/>
            </w:rPr>
            <w:fldChar w:fldCharType="separate"/>
          </w:r>
          <w:r>
            <w:rPr>
              <w:rFonts w:hint="default"/>
              <w:sz w:val="28"/>
              <w:szCs w:val="28"/>
            </w:rPr>
            <w:t>92</w:t>
          </w:r>
          <w:r>
            <w:rPr>
              <w:sz w:val="28"/>
              <w:szCs w:val="28"/>
            </w:rPr>
            <w:fldChar w:fldCharType="end"/>
          </w:r>
          <w:r>
            <w:rPr>
              <w:sz w:val="28"/>
              <w:szCs w:val="28"/>
            </w:rPr>
            <w:fldChar w:fldCharType="end"/>
          </w:r>
        </w:p>
        <w:p w14:paraId="3A0D556F">
          <w:pPr>
            <w:pStyle w:val="29"/>
            <w:spacing w:line="480" w:lineRule="auto"/>
            <w:ind w:firstLine="140"/>
            <w:rPr>
              <w:rFonts w:hint="default" w:asciiTheme="minorHAnsi" w:hAnsiTheme="minorHAnsi" w:eastAsiaTheme="minorEastAsia" w:cstheme="minorBidi"/>
              <w:sz w:val="21"/>
              <w:szCs w:val="22"/>
            </w:rPr>
          </w:pPr>
          <w:r>
            <w:fldChar w:fldCharType="begin"/>
          </w:r>
          <w:r>
            <w:instrText xml:space="preserve"> HYPERLINK \l "_Toc193295709" </w:instrText>
          </w:r>
          <w:r>
            <w:fldChar w:fldCharType="separate"/>
          </w:r>
          <w:r>
            <w:rPr>
              <w:rStyle w:val="54"/>
              <w:rFonts w:hint="eastAsia"/>
              <w:sz w:val="28"/>
              <w:szCs w:val="28"/>
            </w:rPr>
            <w:t xml:space="preserve">第八章  </w:t>
          </w:r>
          <w:r>
            <w:rPr>
              <w:rStyle w:val="54"/>
              <w:rFonts w:hint="eastAsia"/>
              <w:sz w:val="28"/>
              <w:szCs w:val="28"/>
              <w:lang w:eastAsia="zh-CN"/>
            </w:rPr>
            <w:t>响应文件</w:t>
          </w:r>
          <w:r>
            <w:rPr>
              <w:rStyle w:val="54"/>
              <w:rFonts w:hint="eastAsia"/>
              <w:sz w:val="28"/>
              <w:szCs w:val="28"/>
            </w:rPr>
            <w:t>格式</w:t>
          </w:r>
          <w:r>
            <w:rPr>
              <w:sz w:val="28"/>
              <w:szCs w:val="28"/>
            </w:rPr>
            <w:tab/>
          </w:r>
          <w:r>
            <w:rPr>
              <w:sz w:val="28"/>
              <w:szCs w:val="28"/>
            </w:rPr>
            <w:fldChar w:fldCharType="begin"/>
          </w:r>
          <w:r>
            <w:rPr>
              <w:sz w:val="28"/>
              <w:szCs w:val="28"/>
            </w:rPr>
            <w:instrText xml:space="preserve"> PAGEREF _Toc193295709 \h </w:instrText>
          </w:r>
          <w:r>
            <w:rPr>
              <w:rFonts w:hint="default"/>
              <w:sz w:val="28"/>
              <w:szCs w:val="28"/>
            </w:rPr>
            <w:fldChar w:fldCharType="separate"/>
          </w:r>
          <w:r>
            <w:rPr>
              <w:rFonts w:hint="default"/>
              <w:sz w:val="28"/>
              <w:szCs w:val="28"/>
            </w:rPr>
            <w:t>93</w:t>
          </w:r>
          <w:r>
            <w:rPr>
              <w:sz w:val="28"/>
              <w:szCs w:val="28"/>
            </w:rPr>
            <w:fldChar w:fldCharType="end"/>
          </w:r>
          <w:r>
            <w:rPr>
              <w:sz w:val="28"/>
              <w:szCs w:val="28"/>
            </w:rPr>
            <w:fldChar w:fldCharType="end"/>
          </w:r>
        </w:p>
        <w:p w14:paraId="49BFA70D">
          <w:pPr>
            <w:spacing w:line="720" w:lineRule="auto"/>
            <w:rPr>
              <w:rFonts w:asciiTheme="minorEastAsia" w:hAnsiTheme="minorEastAsia" w:eastAsiaTheme="minorEastAsia"/>
              <w:sz w:val="24"/>
            </w:rPr>
          </w:pPr>
          <w:r>
            <w:rPr>
              <w:rFonts w:asciiTheme="minorEastAsia" w:hAnsiTheme="minorEastAsia" w:eastAsiaTheme="minorEastAsia"/>
              <w:sz w:val="24"/>
            </w:rPr>
            <w:fldChar w:fldCharType="end"/>
          </w:r>
        </w:p>
      </w:sdtContent>
    </w:sdt>
    <w:p w14:paraId="126B90A8">
      <w:pPr>
        <w:pStyle w:val="3"/>
        <w:jc w:val="center"/>
        <w:rPr>
          <w:rFonts w:hint="eastAsia"/>
        </w:rPr>
      </w:pPr>
      <w:bookmarkStart w:id="30" w:name="_Toc16410"/>
      <w:bookmarkStart w:id="31" w:name="_Toc142932626"/>
    </w:p>
    <w:p w14:paraId="3DC5FEF7">
      <w:pPr>
        <w:pStyle w:val="3"/>
        <w:jc w:val="center"/>
        <w:rPr>
          <w:rFonts w:hint="eastAsia"/>
        </w:rPr>
      </w:pPr>
    </w:p>
    <w:p w14:paraId="68244270">
      <w:pPr>
        <w:pStyle w:val="3"/>
        <w:jc w:val="center"/>
        <w:rPr>
          <w:rFonts w:hint="eastAsia"/>
        </w:rPr>
      </w:pPr>
    </w:p>
    <w:p w14:paraId="48DFB194">
      <w:pPr>
        <w:pStyle w:val="3"/>
        <w:jc w:val="center"/>
        <w:rPr>
          <w:rFonts w:hint="eastAsia"/>
        </w:rPr>
      </w:pPr>
    </w:p>
    <w:p w14:paraId="55F8B8FE">
      <w:pPr>
        <w:pStyle w:val="3"/>
        <w:jc w:val="center"/>
        <w:rPr>
          <w:rFonts w:hint="eastAsia"/>
        </w:rPr>
      </w:pPr>
    </w:p>
    <w:p w14:paraId="3CD6B299">
      <w:pPr>
        <w:widowControl/>
        <w:jc w:val="left"/>
        <w:rPr>
          <w:b/>
          <w:kern w:val="44"/>
          <w:sz w:val="32"/>
          <w:szCs w:val="44"/>
        </w:rPr>
      </w:pPr>
      <w:r>
        <w:br w:type="page"/>
      </w:r>
    </w:p>
    <w:p w14:paraId="73F589D7">
      <w:pPr>
        <w:pStyle w:val="3"/>
        <w:jc w:val="center"/>
      </w:pPr>
      <w:bookmarkStart w:id="32" w:name="_Toc193295702"/>
      <w:r>
        <w:rPr>
          <w:rFonts w:hint="eastAsia"/>
        </w:rPr>
        <w:t>第一章  招标公告</w:t>
      </w:r>
      <w:bookmarkEnd w:id="30"/>
      <w:bookmarkEnd w:id="31"/>
      <w:bookmarkEnd w:id="32"/>
    </w:p>
    <w:p w14:paraId="1D5EFC77">
      <w:pPr>
        <w:spacing w:line="440" w:lineRule="exact"/>
        <w:ind w:firstLine="482" w:firstLineChars="200"/>
        <w:outlineLvl w:val="1"/>
        <w:rPr>
          <w:rFonts w:ascii="宋体" w:hAnsi="宋体" w:cs="宋体"/>
          <w:b/>
          <w:sz w:val="24"/>
        </w:rPr>
      </w:pPr>
      <w:bookmarkStart w:id="33" w:name="_Toc4073"/>
      <w:r>
        <w:rPr>
          <w:rFonts w:hint="eastAsia" w:ascii="宋体" w:hAnsi="宋体" w:cs="宋体"/>
          <w:b/>
          <w:sz w:val="24"/>
        </w:rPr>
        <w:t>一、招标条件</w:t>
      </w:r>
      <w:bookmarkEnd w:id="33"/>
    </w:p>
    <w:p w14:paraId="5A329EE9">
      <w:pPr>
        <w:spacing w:line="440" w:lineRule="exact"/>
        <w:ind w:firstLine="480" w:firstLineChars="200"/>
        <w:jc w:val="left"/>
        <w:rPr>
          <w:rFonts w:ascii="宋体" w:hAnsi="宋体" w:cs="宋体"/>
          <w:sz w:val="24"/>
        </w:rPr>
      </w:pPr>
      <w:r>
        <w:rPr>
          <w:rFonts w:hint="eastAsia" w:ascii="宋体" w:hAnsi="宋体" w:cs="宋体"/>
          <w:sz w:val="24"/>
          <w:lang w:eastAsia="zh-CN"/>
        </w:rPr>
        <w:t>三门峡市陕州区2024年中央和地方水库移民扶持基金项目（第一标段—第四标段项目）第三标段（四次）</w:t>
      </w:r>
      <w:r>
        <w:rPr>
          <w:rFonts w:hint="eastAsia" w:ascii="宋体" w:hAnsi="宋体" w:cs="宋体"/>
          <w:sz w:val="24"/>
        </w:rPr>
        <w:t>，资金来源为财政资金，</w:t>
      </w:r>
      <w:r>
        <w:rPr>
          <w:rFonts w:hint="eastAsia" w:ascii="宋体" w:hAnsi="宋体" w:cs="宋体"/>
          <w:sz w:val="24"/>
          <w:lang w:eastAsia="zh-CN"/>
        </w:rPr>
        <w:t>采购人</w:t>
      </w:r>
      <w:r>
        <w:rPr>
          <w:rFonts w:hint="eastAsia" w:ascii="宋体" w:hAnsi="宋体" w:cs="宋体"/>
          <w:sz w:val="24"/>
        </w:rPr>
        <w:t>为</w:t>
      </w:r>
      <w:r>
        <w:rPr>
          <w:rFonts w:hint="eastAsia" w:ascii="宋体" w:hAnsi="宋体" w:cs="宋体"/>
          <w:sz w:val="24"/>
          <w:lang w:eastAsia="zh-CN"/>
        </w:rPr>
        <w:t>三门峡市陕州区黄河河务局</w:t>
      </w:r>
      <w:r>
        <w:rPr>
          <w:rFonts w:hint="eastAsia" w:ascii="宋体" w:hAnsi="宋体" w:cs="宋体"/>
          <w:sz w:val="24"/>
        </w:rPr>
        <w:t>，</w:t>
      </w:r>
      <w:r>
        <w:rPr>
          <w:rFonts w:hint="eastAsia" w:ascii="宋体" w:hAnsi="宋体" w:cs="宋体"/>
          <w:sz w:val="24"/>
          <w:lang w:val="en-US" w:eastAsia="zh-CN"/>
        </w:rPr>
        <w:t>采购</w:t>
      </w:r>
      <w:r>
        <w:rPr>
          <w:rFonts w:hint="eastAsia" w:ascii="宋体" w:hAnsi="宋体" w:cs="宋体"/>
          <w:sz w:val="24"/>
        </w:rPr>
        <w:t>代理机构为</w:t>
      </w:r>
      <w:r>
        <w:rPr>
          <w:rFonts w:hint="eastAsia" w:ascii="宋体" w:hAnsi="宋体" w:cs="宋体"/>
          <w:sz w:val="24"/>
          <w:lang w:eastAsia="zh-CN"/>
        </w:rPr>
        <w:t>河南禾众工程管理有限公司</w:t>
      </w:r>
      <w:r>
        <w:rPr>
          <w:rFonts w:hint="eastAsia" w:ascii="宋体" w:hAnsi="宋体" w:cs="宋体"/>
          <w:sz w:val="24"/>
        </w:rPr>
        <w:t>。项目已具备</w:t>
      </w:r>
      <w:r>
        <w:rPr>
          <w:rFonts w:hint="eastAsia" w:ascii="宋体" w:hAnsi="宋体" w:cs="宋体"/>
          <w:sz w:val="24"/>
          <w:lang w:val="en-US" w:eastAsia="zh-CN"/>
        </w:rPr>
        <w:t>采购</w:t>
      </w:r>
      <w:r>
        <w:rPr>
          <w:rFonts w:hint="eastAsia" w:ascii="宋体" w:hAnsi="宋体" w:cs="宋体"/>
          <w:sz w:val="24"/>
        </w:rPr>
        <w:t>条件，现对该项目施工进行</w:t>
      </w:r>
      <w:r>
        <w:rPr>
          <w:rFonts w:hint="eastAsia" w:ascii="宋体" w:hAnsi="宋体" w:cs="宋体"/>
          <w:sz w:val="24"/>
          <w:lang w:val="en-US" w:eastAsia="zh-CN"/>
        </w:rPr>
        <w:t>竞争性磋商</w:t>
      </w:r>
      <w:r>
        <w:rPr>
          <w:rFonts w:hint="eastAsia" w:ascii="宋体" w:hAnsi="宋体" w:cs="宋体"/>
          <w:sz w:val="24"/>
        </w:rPr>
        <w:t>。</w:t>
      </w:r>
    </w:p>
    <w:p w14:paraId="6E509042">
      <w:pPr>
        <w:spacing w:line="440" w:lineRule="exact"/>
        <w:ind w:firstLine="482" w:firstLineChars="200"/>
        <w:outlineLvl w:val="1"/>
        <w:rPr>
          <w:rFonts w:ascii="宋体" w:hAnsi="宋体" w:cs="宋体"/>
          <w:b/>
          <w:sz w:val="24"/>
        </w:rPr>
      </w:pPr>
      <w:bookmarkStart w:id="34" w:name="_Toc26764"/>
      <w:r>
        <w:rPr>
          <w:rFonts w:hint="eastAsia" w:ascii="宋体" w:hAnsi="宋体" w:cs="宋体"/>
          <w:b/>
          <w:sz w:val="24"/>
        </w:rPr>
        <w:t>二、项目概况</w:t>
      </w:r>
      <w:bookmarkEnd w:id="34"/>
      <w:bookmarkStart w:id="35" w:name="_Toc24891"/>
      <w:bookmarkEnd w:id="35"/>
      <w:bookmarkStart w:id="36" w:name="_Toc21807"/>
      <w:bookmarkEnd w:id="36"/>
      <w:r>
        <w:rPr>
          <w:rFonts w:hint="eastAsia" w:ascii="宋体" w:hAnsi="宋体" w:cs="宋体"/>
          <w:b/>
          <w:sz w:val="24"/>
        </w:rPr>
        <w:t xml:space="preserve"> </w:t>
      </w:r>
    </w:p>
    <w:p w14:paraId="13765EF7">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1、项目名称：</w:t>
      </w:r>
      <w:bookmarkStart w:id="37" w:name="OLE_LINK7"/>
      <w:bookmarkStart w:id="38" w:name="OLE_LINK6"/>
      <w:r>
        <w:rPr>
          <w:rFonts w:hint="eastAsia" w:ascii="宋体" w:hAnsi="宋体" w:cs="宋体"/>
          <w:sz w:val="24"/>
          <w:lang w:eastAsia="zh-CN"/>
        </w:rPr>
        <w:t>三门峡市陕州区2024年中央和地方水库移民扶持基金项目（第一标段—第四标段项目）第三标段（四次）</w:t>
      </w:r>
    </w:p>
    <w:bookmarkEnd w:id="37"/>
    <w:bookmarkEnd w:id="38"/>
    <w:p w14:paraId="68576FC9">
      <w:pPr>
        <w:spacing w:line="440" w:lineRule="exact"/>
        <w:ind w:firstLine="480" w:firstLineChars="200"/>
        <w:jc w:val="left"/>
        <w:rPr>
          <w:rFonts w:hint="eastAsia" w:ascii="宋体" w:hAnsi="宋体" w:eastAsia="宋体" w:cs="宋体"/>
          <w:color w:val="auto"/>
          <w:sz w:val="24"/>
          <w:lang w:eastAsia="zh-CN"/>
        </w:rPr>
      </w:pPr>
      <w:r>
        <w:rPr>
          <w:rFonts w:hint="eastAsia" w:ascii="宋体" w:hAnsi="宋体" w:cs="宋体"/>
          <w:sz w:val="24"/>
        </w:rPr>
        <w:t>2、项目编号</w:t>
      </w:r>
      <w:r>
        <w:rPr>
          <w:rFonts w:hint="eastAsia" w:ascii="宋体" w:hAnsi="宋体" w:cs="宋体"/>
          <w:color w:val="auto"/>
          <w:sz w:val="24"/>
        </w:rPr>
        <w:t>：</w:t>
      </w:r>
      <w:bookmarkStart w:id="39" w:name="_Toc25404"/>
      <w:bookmarkEnd w:id="39"/>
      <w:bookmarkStart w:id="40" w:name="_Toc15152"/>
      <w:bookmarkEnd w:id="40"/>
      <w:bookmarkStart w:id="41" w:name="_Toc20853"/>
      <w:bookmarkEnd w:id="41"/>
      <w:r>
        <w:rPr>
          <w:rFonts w:hint="eastAsia" w:ascii="宋体" w:hAnsi="宋体" w:cs="宋体"/>
          <w:color w:val="auto"/>
          <w:sz w:val="24"/>
          <w:lang w:eastAsia="zh-CN"/>
        </w:rPr>
        <w:t>SZGZ[2025]094-ZC062</w:t>
      </w:r>
      <w:r>
        <w:rPr>
          <w:rFonts w:hint="eastAsia" w:ascii="宋体" w:hAnsi="宋体" w:cs="宋体"/>
          <w:color w:val="auto"/>
          <w:sz w:val="24"/>
        </w:rPr>
        <w:t>、陕州竞磋采购-2025-2</w:t>
      </w:r>
      <w:r>
        <w:rPr>
          <w:rFonts w:hint="eastAsia" w:ascii="宋体" w:hAnsi="宋体" w:cs="宋体"/>
          <w:color w:val="auto"/>
          <w:sz w:val="24"/>
          <w:lang w:val="en-US" w:eastAsia="zh-CN"/>
        </w:rPr>
        <w:t>7</w:t>
      </w:r>
    </w:p>
    <w:p w14:paraId="5074F3F1">
      <w:pPr>
        <w:spacing w:line="440" w:lineRule="exact"/>
        <w:ind w:firstLine="480" w:firstLineChars="200"/>
        <w:jc w:val="left"/>
        <w:rPr>
          <w:rFonts w:ascii="宋体" w:hAnsi="宋体"/>
          <w:sz w:val="24"/>
        </w:rPr>
      </w:pPr>
      <w:r>
        <w:rPr>
          <w:rFonts w:hint="eastAsia" w:ascii="宋体" w:hAnsi="宋体" w:cs="宋体"/>
          <w:color w:val="auto"/>
          <w:sz w:val="24"/>
        </w:rPr>
        <w:t>3、项目概况：</w:t>
      </w:r>
      <w:bookmarkStart w:id="42" w:name="OLE_LINK2"/>
      <w:bookmarkStart w:id="43" w:name="OLE_LINK1"/>
      <w:bookmarkStart w:id="44" w:name="OLE_LINK4"/>
      <w:bookmarkStart w:id="45" w:name="OLE_LINK3"/>
      <w:r>
        <w:rPr>
          <w:rFonts w:hint="eastAsia" w:ascii="宋体" w:hAnsi="宋体" w:cs="宋体"/>
          <w:color w:val="auto"/>
          <w:sz w:val="24"/>
          <w:lang w:eastAsia="zh-CN"/>
        </w:rPr>
        <w:t>三门峡市陕州区2024年中央和地方水库移民扶持基金项目（第一标段—第四标段项目）第三标段（四次）</w:t>
      </w:r>
      <w:r>
        <w:rPr>
          <w:rFonts w:hint="eastAsia" w:ascii="宋体" w:hAnsi="宋体" w:cs="宋体"/>
          <w:sz w:val="24"/>
        </w:rPr>
        <w:t>，项目地点位于</w:t>
      </w:r>
      <w:r>
        <w:rPr>
          <w:rFonts w:hint="eastAsia" w:ascii="宋体" w:hAnsi="宋体" w:cs="宋体"/>
          <w:sz w:val="24"/>
          <w:lang w:val="en-US" w:eastAsia="zh-CN"/>
        </w:rPr>
        <w:t>三门峡市陕州区</w:t>
      </w:r>
      <w:r>
        <w:rPr>
          <w:rFonts w:hint="eastAsia" w:ascii="宋体" w:hAnsi="宋体" w:cs="宋体"/>
          <w:sz w:val="24"/>
        </w:rPr>
        <w:t>域内，</w:t>
      </w:r>
      <w:bookmarkStart w:id="46" w:name="OLE_LINK8"/>
      <w:bookmarkStart w:id="47" w:name="OLE_LINK9"/>
      <w:r>
        <w:rPr>
          <w:rFonts w:hint="eastAsia" w:ascii="宋体" w:hAnsi="宋体"/>
          <w:sz w:val="24"/>
        </w:rPr>
        <w:t>主要</w:t>
      </w:r>
      <w:r>
        <w:rPr>
          <w:rFonts w:hint="eastAsia" w:ascii="宋体" w:hAnsi="宋体"/>
          <w:sz w:val="24"/>
          <w:lang w:val="en-US" w:eastAsia="zh-CN"/>
        </w:rPr>
        <w:t>建设</w:t>
      </w:r>
      <w:r>
        <w:rPr>
          <w:rFonts w:hint="eastAsia" w:ascii="宋体" w:hAnsi="宋体"/>
          <w:sz w:val="24"/>
        </w:rPr>
        <w:t>内容包括：甘棠街道三元村、王家后乡鹿马村道路硬化项目。</w:t>
      </w:r>
      <w:bookmarkEnd w:id="42"/>
      <w:bookmarkEnd w:id="43"/>
      <w:bookmarkEnd w:id="46"/>
      <w:bookmarkEnd w:id="47"/>
      <w:r>
        <w:rPr>
          <w:rFonts w:hint="eastAsia" w:ascii="宋体" w:hAnsi="宋体" w:cs="宋体"/>
          <w:sz w:val="24"/>
        </w:rPr>
        <w:t>具体内容详见工程量清单。</w:t>
      </w:r>
    </w:p>
    <w:bookmarkEnd w:id="44"/>
    <w:bookmarkEnd w:id="45"/>
    <w:p w14:paraId="56947141">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4、</w:t>
      </w:r>
      <w:r>
        <w:rPr>
          <w:rFonts w:hint="eastAsia" w:ascii="宋体" w:hAnsi="宋体" w:cs="宋体"/>
          <w:kern w:val="0"/>
          <w:sz w:val="24"/>
          <w:lang w:val="en-US" w:eastAsia="zh-CN"/>
        </w:rPr>
        <w:t>采购</w:t>
      </w:r>
      <w:r>
        <w:rPr>
          <w:rFonts w:ascii="宋体" w:hAnsi="宋体" w:cs="宋体"/>
          <w:kern w:val="0"/>
          <w:sz w:val="24"/>
        </w:rPr>
        <w:t>范围：</w:t>
      </w:r>
      <w:r>
        <w:rPr>
          <w:rFonts w:hint="eastAsia" w:ascii="宋体" w:hAnsi="宋体" w:cs="宋体"/>
          <w:kern w:val="0"/>
          <w:sz w:val="24"/>
        </w:rPr>
        <w:t>本工程相应标段</w:t>
      </w:r>
      <w:r>
        <w:rPr>
          <w:rFonts w:hint="eastAsia" w:ascii="宋体" w:hAnsi="宋体" w:cs="宋体"/>
          <w:kern w:val="0"/>
          <w:sz w:val="24"/>
          <w:lang w:eastAsia="zh-CN"/>
        </w:rPr>
        <w:t>竞争性磋商文件</w:t>
      </w:r>
      <w:r>
        <w:rPr>
          <w:rFonts w:hint="eastAsia" w:ascii="宋体" w:hAnsi="宋体" w:cs="宋体"/>
          <w:kern w:val="0"/>
          <w:sz w:val="24"/>
        </w:rPr>
        <w:t>、补充文件、施工图纸及工程量清单等包含的所有建设内容。</w:t>
      </w:r>
    </w:p>
    <w:p w14:paraId="2F75CC83">
      <w:pPr>
        <w:widowControl/>
        <w:spacing w:line="480" w:lineRule="exact"/>
        <w:ind w:firstLine="480" w:firstLineChars="200"/>
        <w:jc w:val="left"/>
        <w:rPr>
          <w:rFonts w:ascii="宋体" w:hAnsi="宋体" w:cs="宋体"/>
          <w:kern w:val="0"/>
          <w:sz w:val="24"/>
        </w:rPr>
      </w:pPr>
      <w:r>
        <w:rPr>
          <w:rFonts w:hint="eastAsia" w:ascii="宋体" w:hAnsi="宋体" w:cs="宋体"/>
          <w:kern w:val="0"/>
          <w:sz w:val="24"/>
        </w:rPr>
        <w:t>5、</w:t>
      </w:r>
      <w:r>
        <w:rPr>
          <w:rFonts w:ascii="宋体" w:hAnsi="宋体" w:cs="宋体"/>
          <w:kern w:val="0"/>
          <w:sz w:val="24"/>
        </w:rPr>
        <w:t>资金来源：</w:t>
      </w:r>
      <w:r>
        <w:rPr>
          <w:rFonts w:hint="eastAsia" w:ascii="宋体" w:hAnsi="宋体" w:cs="宋体"/>
          <w:kern w:val="0"/>
          <w:sz w:val="24"/>
        </w:rPr>
        <w:t>财政资金</w:t>
      </w:r>
      <w:r>
        <w:rPr>
          <w:rFonts w:ascii="宋体" w:hAnsi="宋体" w:cs="宋体"/>
          <w:kern w:val="0"/>
          <w:sz w:val="24"/>
        </w:rPr>
        <w:t>。</w:t>
      </w:r>
    </w:p>
    <w:p w14:paraId="7D57A913">
      <w:pPr>
        <w:widowControl/>
        <w:spacing w:line="560" w:lineRule="exact"/>
        <w:ind w:firstLine="480" w:firstLineChars="200"/>
        <w:jc w:val="left"/>
        <w:rPr>
          <w:rFonts w:ascii="宋体" w:hAnsi="宋体"/>
          <w:sz w:val="24"/>
          <w:shd w:val="clear" w:color="auto" w:fill="FFFFFF"/>
        </w:rPr>
      </w:pPr>
      <w:r>
        <w:rPr>
          <w:rFonts w:hint="eastAsia" w:ascii="宋体" w:hAnsi="宋体" w:cs="宋体"/>
          <w:sz w:val="24"/>
        </w:rPr>
        <w:t>6、标段划分，</w:t>
      </w:r>
      <w:r>
        <w:rPr>
          <w:rFonts w:hint="eastAsia" w:ascii="宋体" w:hAnsi="宋体"/>
          <w:sz w:val="24"/>
          <w:shd w:val="clear" w:color="auto" w:fill="FFFFFF"/>
        </w:rPr>
        <w:t>本项目划分为</w:t>
      </w:r>
      <w:r>
        <w:rPr>
          <w:rFonts w:hint="eastAsia" w:ascii="宋体" w:hAnsi="宋体"/>
          <w:sz w:val="24"/>
          <w:shd w:val="clear" w:color="auto" w:fill="FFFFFF"/>
          <w:lang w:val="en-US" w:eastAsia="zh-CN"/>
        </w:rPr>
        <w:t>一</w:t>
      </w:r>
      <w:r>
        <w:rPr>
          <w:rFonts w:hint="eastAsia" w:ascii="宋体" w:hAnsi="宋体"/>
          <w:sz w:val="24"/>
          <w:shd w:val="clear" w:color="auto" w:fill="FFFFFF"/>
        </w:rPr>
        <w:t>个标段。</w:t>
      </w:r>
    </w:p>
    <w:p w14:paraId="73782292">
      <w:pPr>
        <w:pStyle w:val="5"/>
        <w:spacing w:line="440" w:lineRule="exact"/>
        <w:ind w:firstLine="480" w:firstLineChars="200"/>
        <w:rPr>
          <w:rFonts w:hint="eastAsia" w:ascii="宋体" w:hAnsi="宋体" w:cs="宋体"/>
          <w:b w:val="0"/>
          <w:szCs w:val="24"/>
        </w:rPr>
      </w:pPr>
      <w:r>
        <w:rPr>
          <w:rFonts w:hint="eastAsia" w:ascii="宋体" w:hAnsi="宋体" w:cs="宋体"/>
          <w:b w:val="0"/>
          <w:szCs w:val="24"/>
          <w:lang w:val="en-US" w:eastAsia="zh-CN"/>
        </w:rPr>
        <w:t>第</w:t>
      </w:r>
      <w:r>
        <w:rPr>
          <w:rFonts w:hint="eastAsia" w:ascii="宋体" w:hAnsi="宋体" w:cs="宋体"/>
          <w:b w:val="0"/>
          <w:szCs w:val="24"/>
        </w:rPr>
        <w:t>三标段：陕州区甘棠街道三元村、王家后乡鹿马村道路硬化项目。分别位于陕州区甘棠街道三元村、王家后乡鹿马村，建设内容为甘棠街道三元村硬化3m宽C20混凝土道路1050m；王家后乡鹿马村硬化3m宽C20混凝土道路1000m</w:t>
      </w:r>
      <w:r>
        <w:rPr>
          <w:rFonts w:hint="eastAsia" w:ascii="宋体" w:hAnsi="宋体" w:cs="宋体"/>
          <w:b w:val="0"/>
          <w:szCs w:val="24"/>
          <w:lang w:eastAsia="zh-CN"/>
        </w:rPr>
        <w:t>；</w:t>
      </w:r>
      <w:r>
        <w:rPr>
          <w:rFonts w:hint="eastAsia" w:ascii="宋体" w:hAnsi="宋体" w:cs="宋体"/>
          <w:b w:val="0"/>
          <w:szCs w:val="24"/>
        </w:rPr>
        <w:t>具体内容详见工程量清单</w:t>
      </w:r>
      <w:r>
        <w:rPr>
          <w:rFonts w:hint="eastAsia" w:ascii="宋体" w:hAnsi="宋体" w:cs="宋体"/>
          <w:b w:val="0"/>
          <w:szCs w:val="24"/>
          <w:lang w:eastAsia="zh-CN"/>
        </w:rPr>
        <w:t>。</w:t>
      </w:r>
    </w:p>
    <w:p w14:paraId="2D4686A5">
      <w:pPr>
        <w:spacing w:line="440" w:lineRule="exact"/>
        <w:ind w:firstLine="480" w:firstLineChars="200"/>
        <w:jc w:val="left"/>
        <w:rPr>
          <w:rFonts w:ascii="宋体" w:hAnsi="宋体" w:cs="宋体"/>
          <w:sz w:val="24"/>
        </w:rPr>
      </w:pPr>
      <w:r>
        <w:rPr>
          <w:rFonts w:hint="eastAsia" w:ascii="宋体" w:hAnsi="宋体" w:cs="宋体"/>
          <w:sz w:val="24"/>
        </w:rPr>
        <w:t>7、预算金额：</w:t>
      </w:r>
      <w:bookmarkStart w:id="48" w:name="_Toc5021"/>
      <w:bookmarkEnd w:id="48"/>
      <w:bookmarkStart w:id="49" w:name="_Toc32669"/>
      <w:bookmarkEnd w:id="49"/>
      <w:bookmarkStart w:id="50" w:name="_Toc13998"/>
      <w:bookmarkEnd w:id="50"/>
      <w:r>
        <w:rPr>
          <w:rFonts w:hint="eastAsia" w:ascii="宋体" w:hAnsi="宋体" w:cs="宋体"/>
          <w:sz w:val="24"/>
          <w:lang w:val="en-US" w:eastAsia="zh-CN"/>
        </w:rPr>
        <w:t>第</w:t>
      </w:r>
      <w:r>
        <w:rPr>
          <w:rFonts w:hint="eastAsia" w:ascii="宋体" w:hAnsi="宋体" w:cs="宋体"/>
          <w:sz w:val="24"/>
        </w:rPr>
        <w:t>三标段：624413.79元。</w:t>
      </w:r>
    </w:p>
    <w:p w14:paraId="46A35031">
      <w:pPr>
        <w:spacing w:line="440" w:lineRule="exact"/>
        <w:ind w:firstLine="480" w:firstLineChars="200"/>
        <w:jc w:val="left"/>
        <w:rPr>
          <w:rFonts w:ascii="宋体" w:hAnsi="宋体" w:cs="宋体"/>
          <w:sz w:val="24"/>
        </w:rPr>
      </w:pPr>
      <w:r>
        <w:rPr>
          <w:rFonts w:hint="eastAsia" w:ascii="宋体" w:hAnsi="宋体" w:cs="宋体"/>
          <w:sz w:val="24"/>
        </w:rPr>
        <w:t>8、质量要求：</w:t>
      </w:r>
      <w:bookmarkStart w:id="51" w:name="_Toc1893"/>
      <w:bookmarkEnd w:id="51"/>
      <w:bookmarkStart w:id="52" w:name="_Toc19921"/>
      <w:bookmarkEnd w:id="52"/>
      <w:bookmarkStart w:id="53" w:name="_Toc29008"/>
      <w:bookmarkEnd w:id="53"/>
      <w:r>
        <w:rPr>
          <w:rFonts w:hint="eastAsia" w:ascii="宋体" w:hAnsi="宋体" w:cs="宋体"/>
          <w:sz w:val="24"/>
        </w:rPr>
        <w:t xml:space="preserve">达到国家现行有关施工质量验收规范要求，并达到合格标准。 </w:t>
      </w:r>
    </w:p>
    <w:p w14:paraId="43251473">
      <w:pPr>
        <w:spacing w:line="440" w:lineRule="exact"/>
        <w:ind w:firstLine="480" w:firstLineChars="200"/>
        <w:jc w:val="left"/>
        <w:rPr>
          <w:rFonts w:ascii="宋体" w:hAnsi="宋体" w:cs="宋体"/>
          <w:sz w:val="24"/>
        </w:rPr>
      </w:pPr>
      <w:r>
        <w:rPr>
          <w:rFonts w:hint="eastAsia" w:ascii="宋体" w:hAnsi="宋体" w:cs="宋体"/>
          <w:sz w:val="24"/>
        </w:rPr>
        <w:t>9、计划工期：</w:t>
      </w:r>
      <w:r>
        <w:rPr>
          <w:rFonts w:hint="eastAsia" w:ascii="宋体" w:hAnsi="宋体" w:cs="宋体"/>
          <w:sz w:val="24"/>
          <w:lang w:val="en-US" w:eastAsia="zh-CN"/>
        </w:rPr>
        <w:t>6</w:t>
      </w:r>
      <w:r>
        <w:rPr>
          <w:rFonts w:hint="eastAsia" w:ascii="宋体" w:hAnsi="宋体" w:cs="宋体"/>
          <w:sz w:val="24"/>
        </w:rPr>
        <w:t>0日历天；</w:t>
      </w:r>
    </w:p>
    <w:p w14:paraId="1368E4D2">
      <w:pPr>
        <w:spacing w:line="440" w:lineRule="exact"/>
        <w:ind w:firstLine="482" w:firstLineChars="200"/>
        <w:outlineLvl w:val="1"/>
        <w:rPr>
          <w:rFonts w:ascii="宋体" w:hAnsi="宋体" w:cs="宋体"/>
          <w:b/>
          <w:sz w:val="24"/>
        </w:rPr>
      </w:pPr>
      <w:bookmarkStart w:id="54" w:name="_Toc18719"/>
      <w:r>
        <w:rPr>
          <w:rFonts w:hint="eastAsia" w:ascii="宋体" w:hAnsi="宋体" w:cs="宋体"/>
          <w:b/>
          <w:sz w:val="24"/>
        </w:rPr>
        <w:t>三、</w:t>
      </w:r>
      <w:r>
        <w:rPr>
          <w:rFonts w:hint="eastAsia" w:ascii="宋体" w:hAnsi="宋体" w:cs="宋体"/>
          <w:b/>
          <w:sz w:val="24"/>
          <w:lang w:val="en-US" w:eastAsia="zh-CN"/>
        </w:rPr>
        <w:t>供应商</w:t>
      </w:r>
      <w:r>
        <w:rPr>
          <w:rFonts w:hint="eastAsia" w:ascii="宋体" w:hAnsi="宋体" w:cs="宋体"/>
          <w:b/>
          <w:sz w:val="24"/>
        </w:rPr>
        <w:t>资格要求及提交资料</w:t>
      </w:r>
      <w:bookmarkEnd w:id="54"/>
      <w:r>
        <w:drawing>
          <wp:anchor distT="0" distB="0" distL="114300" distR="114300" simplePos="0" relativeHeight="251659264" behindDoc="0" locked="0" layoutInCell="1" allowOverlap="1">
            <wp:simplePos x="0" y="0"/>
            <wp:positionH relativeFrom="column">
              <wp:posOffset>4753610</wp:posOffset>
            </wp:positionH>
            <wp:positionV relativeFrom="paragraph">
              <wp:posOffset>7670165</wp:posOffset>
            </wp:positionV>
            <wp:extent cx="1711960" cy="1572895"/>
            <wp:effectExtent l="0" t="0" r="2540" b="8255"/>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1711960" cy="1572895"/>
                    </a:xfrm>
                    <a:prstGeom prst="rect">
                      <a:avLst/>
                    </a:prstGeom>
                    <a:noFill/>
                    <a:ln>
                      <a:noFill/>
                    </a:ln>
                  </pic:spPr>
                </pic:pic>
              </a:graphicData>
            </a:graphic>
          </wp:anchor>
        </w:drawing>
      </w:r>
    </w:p>
    <w:p w14:paraId="6D4323CA">
      <w:pPr>
        <w:spacing w:line="440" w:lineRule="exact"/>
        <w:ind w:firstLine="480" w:firstLineChars="200"/>
        <w:jc w:val="left"/>
        <w:rPr>
          <w:rFonts w:hint="eastAsia" w:ascii="宋体" w:hAnsi="宋体" w:cs="宋体"/>
          <w:sz w:val="24"/>
        </w:rPr>
      </w:pPr>
      <w:r>
        <w:rPr>
          <w:rFonts w:hint="eastAsia" w:ascii="宋体" w:hAnsi="宋体" w:cs="宋体"/>
          <w:sz w:val="24"/>
        </w:rPr>
        <w:t>1.满足《中华人民共和国政府采购法》第二十二条规定；</w:t>
      </w:r>
    </w:p>
    <w:p w14:paraId="6DE40D85">
      <w:pPr>
        <w:spacing w:line="440" w:lineRule="exact"/>
        <w:ind w:firstLine="480" w:firstLineChars="200"/>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476E3612">
      <w:pPr>
        <w:pStyle w:val="5"/>
        <w:rPr>
          <w:rFonts w:ascii="宋体" w:hAnsi="宋体" w:cs="宋体"/>
          <w:b w:val="0"/>
          <w:szCs w:val="24"/>
        </w:rPr>
      </w:pPr>
      <w:r>
        <w:rPr>
          <w:rFonts w:hint="eastAsia" w:ascii="宋体" w:hAnsi="宋体" w:cs="宋体"/>
          <w:sz w:val="24"/>
          <w:lang w:val="en-US" w:eastAsia="zh-CN"/>
        </w:rPr>
        <w:t xml:space="preserve">    </w:t>
      </w:r>
      <w:r>
        <w:rPr>
          <w:rFonts w:hint="eastAsia" w:ascii="宋体" w:hAnsi="宋体" w:cs="宋体"/>
          <w:b w:val="0"/>
          <w:szCs w:val="24"/>
          <w:lang w:val="en-US" w:eastAsia="zh-CN"/>
        </w:rPr>
        <w:t>3</w:t>
      </w:r>
      <w:r>
        <w:rPr>
          <w:rFonts w:hint="eastAsia" w:ascii="宋体" w:hAnsi="宋体" w:cs="宋体"/>
          <w:b w:val="0"/>
          <w:szCs w:val="24"/>
        </w:rPr>
        <w:t>、</w:t>
      </w:r>
      <w:r>
        <w:rPr>
          <w:rFonts w:hint="eastAsia" w:ascii="宋体" w:hAnsi="宋体" w:cs="宋体"/>
          <w:b w:val="0"/>
        </w:rPr>
        <w:t>本项目特定资格要求：</w:t>
      </w:r>
    </w:p>
    <w:p w14:paraId="5B7D63BB">
      <w:pPr>
        <w:spacing w:line="440" w:lineRule="exact"/>
        <w:ind w:firstLine="480" w:firstLineChars="200"/>
        <w:jc w:val="left"/>
        <w:rPr>
          <w:rFonts w:hint="eastAsia" w:ascii="宋体" w:hAnsi="宋体" w:cs="宋体"/>
          <w:sz w:val="24"/>
        </w:rPr>
      </w:pPr>
      <w:r>
        <w:rPr>
          <w:rFonts w:hint="eastAsia" w:ascii="宋体" w:hAnsi="宋体" w:cs="宋体"/>
          <w:sz w:val="24"/>
          <w:lang w:val="en-US" w:eastAsia="zh-CN"/>
        </w:rPr>
        <w:t>3.</w:t>
      </w:r>
      <w:r>
        <w:rPr>
          <w:rFonts w:hint="eastAsia" w:ascii="宋体" w:hAnsi="宋体" w:cs="宋体"/>
          <w:sz w:val="24"/>
        </w:rPr>
        <w:t>1供应商应在中华人民共和国境内注册，具有独立承担民事责任的能力，具有有效的企业营业执照；</w:t>
      </w:r>
    </w:p>
    <w:p w14:paraId="0C79E71F">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w:t>
      </w:r>
      <w:r>
        <w:rPr>
          <w:rFonts w:hint="eastAsia" w:ascii="宋体" w:hAnsi="宋体" w:cs="宋体"/>
          <w:sz w:val="24"/>
          <w:lang w:val="en-US" w:eastAsia="zh-CN"/>
        </w:rPr>
        <w:t>2供应商</w:t>
      </w:r>
      <w:r>
        <w:rPr>
          <w:rFonts w:hint="eastAsia" w:ascii="宋体" w:hAnsi="宋体" w:cs="宋体"/>
          <w:sz w:val="24"/>
        </w:rPr>
        <w:t>须</w:t>
      </w:r>
      <w:r>
        <w:rPr>
          <w:rFonts w:hint="eastAsia" w:ascii="宋体" w:hAnsi="宋体"/>
          <w:sz w:val="24"/>
        </w:rPr>
        <w:t>具有</w:t>
      </w:r>
      <w:r>
        <w:rPr>
          <w:rFonts w:hint="eastAsia" w:ascii="宋体" w:hAnsi="宋体" w:cs="宋体"/>
          <w:sz w:val="24"/>
        </w:rPr>
        <w:t>行政主管部门</w:t>
      </w:r>
      <w:r>
        <w:rPr>
          <w:rFonts w:hint="eastAsia" w:ascii="宋体" w:hAnsi="宋体" w:cs="宋体"/>
          <w:kern w:val="0"/>
          <w:sz w:val="24"/>
        </w:rPr>
        <w:t>核发的</w:t>
      </w:r>
      <w:r>
        <w:rPr>
          <w:rFonts w:hint="eastAsia" w:ascii="宋体" w:hAnsi="宋体" w:cs="宋体"/>
          <w:kern w:val="0"/>
          <w:sz w:val="24"/>
          <w:lang w:val="en-US" w:eastAsia="zh-CN"/>
        </w:rPr>
        <w:t>公路工程或</w:t>
      </w:r>
      <w:r>
        <w:rPr>
          <w:rFonts w:hint="eastAsia" w:ascii="宋体" w:hAnsi="宋体"/>
          <w:sz w:val="24"/>
        </w:rPr>
        <w:t>市政公用工程施工总承包</w:t>
      </w:r>
      <w:r>
        <w:rPr>
          <w:rFonts w:hint="eastAsia" w:ascii="宋体" w:hAnsi="宋体" w:cs="宋体"/>
          <w:sz w:val="24"/>
        </w:rPr>
        <w:t>叁级及以上资质，并具有有效的安全生产许可证；</w:t>
      </w:r>
    </w:p>
    <w:p w14:paraId="1342ACA8">
      <w:pPr>
        <w:spacing w:line="440" w:lineRule="exact"/>
        <w:ind w:firstLine="480" w:firstLineChars="200"/>
        <w:jc w:val="left"/>
        <w:rPr>
          <w:rFonts w:ascii="宋体" w:hAnsi="宋体" w:cs="宋体"/>
          <w:sz w:val="24"/>
        </w:rPr>
      </w:pPr>
      <w:r>
        <w:rPr>
          <w:rFonts w:hint="eastAsia" w:ascii="宋体" w:hAnsi="宋体" w:cs="宋体"/>
          <w:sz w:val="24"/>
          <w:lang w:val="en-US" w:eastAsia="zh-CN"/>
        </w:rPr>
        <w:t>3</w:t>
      </w:r>
      <w:r>
        <w:rPr>
          <w:rFonts w:hint="eastAsia" w:ascii="宋体" w:hAnsi="宋体" w:cs="宋体"/>
          <w:sz w:val="24"/>
        </w:rPr>
        <w:t>.2 拟投入该项目的项目经理应具备</w:t>
      </w:r>
      <w:r>
        <w:rPr>
          <w:rFonts w:hint="eastAsia" w:ascii="宋体" w:hAnsi="宋体" w:cs="宋体"/>
          <w:sz w:val="24"/>
          <w:lang w:val="en-US" w:eastAsia="zh-CN"/>
        </w:rPr>
        <w:t>公路工程或</w:t>
      </w:r>
      <w:r>
        <w:rPr>
          <w:rFonts w:hint="eastAsia" w:ascii="宋体" w:hAnsi="宋体"/>
          <w:sz w:val="24"/>
        </w:rPr>
        <w:t>市政公用工程</w:t>
      </w:r>
      <w:r>
        <w:rPr>
          <w:rFonts w:hint="eastAsia" w:ascii="宋体" w:hAnsi="宋体" w:cs="宋体"/>
          <w:sz w:val="24"/>
        </w:rPr>
        <w:t>专业贰级及以上注册建造师资格，</w:t>
      </w:r>
      <w:r>
        <w:rPr>
          <w:rFonts w:hint="eastAsia" w:ascii="宋体" w:hAnsi="宋体"/>
          <w:sz w:val="24"/>
        </w:rPr>
        <w:t>具有有效的安全生产考核合格证书，且无在建和新承接工程，在投标企业办理的劳动合同关系（提供劳动合同）、</w:t>
      </w:r>
      <w:r>
        <w:rPr>
          <w:rFonts w:hint="eastAsia" w:ascii="宋体" w:hAnsi="宋体"/>
          <w:sz w:val="24"/>
          <w:lang w:val="en-US" w:eastAsia="zh-CN"/>
        </w:rPr>
        <w:t>近三个月的</w:t>
      </w:r>
      <w:r>
        <w:rPr>
          <w:rFonts w:hint="eastAsia" w:ascii="宋体" w:hAnsi="宋体"/>
          <w:sz w:val="24"/>
        </w:rPr>
        <w:t xml:space="preserve">社会养老保险的缴费证明； </w:t>
      </w:r>
    </w:p>
    <w:p w14:paraId="4C878F64">
      <w:pPr>
        <w:autoSpaceDE w:val="0"/>
        <w:spacing w:line="480" w:lineRule="exact"/>
        <w:ind w:firstLine="480" w:firstLineChars="200"/>
        <w:jc w:val="left"/>
        <w:rPr>
          <w:rFonts w:ascii="宋体" w:hAnsi="宋体"/>
          <w:sz w:val="24"/>
        </w:rPr>
      </w:pPr>
      <w:r>
        <w:rPr>
          <w:rFonts w:hint="eastAsia" w:ascii="宋体" w:hAnsi="宋体"/>
          <w:sz w:val="24"/>
          <w:lang w:val="en-US" w:eastAsia="zh-CN"/>
        </w:rPr>
        <w:t>3</w:t>
      </w:r>
      <w:r>
        <w:rPr>
          <w:rFonts w:hint="eastAsia" w:ascii="宋体" w:hAnsi="宋体"/>
          <w:sz w:val="24"/>
        </w:rPr>
        <w:t>.3拟派技术负责人须具备相关专业中级及以上职称，在投标企业办理的劳动合同关系（提供劳动合同）、</w:t>
      </w:r>
      <w:r>
        <w:rPr>
          <w:rFonts w:hint="eastAsia" w:ascii="宋体" w:hAnsi="宋体"/>
          <w:sz w:val="24"/>
          <w:lang w:val="en-US" w:eastAsia="zh-CN"/>
        </w:rPr>
        <w:t>近三个月的</w:t>
      </w:r>
      <w:r>
        <w:rPr>
          <w:rFonts w:hint="eastAsia" w:ascii="宋体" w:hAnsi="宋体"/>
          <w:sz w:val="24"/>
        </w:rPr>
        <w:t>参加社会养老保险的缴费证明；</w:t>
      </w:r>
    </w:p>
    <w:p w14:paraId="2CCD5E67">
      <w:pPr>
        <w:spacing w:line="480" w:lineRule="exact"/>
        <w:ind w:firstLine="480" w:firstLineChars="200"/>
        <w:jc w:val="left"/>
        <w:rPr>
          <w:rFonts w:ascii="宋体" w:hAnsi="宋体" w:cs="宋体"/>
          <w:bCs/>
          <w:sz w:val="24"/>
        </w:rPr>
      </w:pPr>
      <w:r>
        <w:rPr>
          <w:rFonts w:hint="eastAsia" w:ascii="宋体" w:hAnsi="宋体" w:cs="宋体"/>
          <w:sz w:val="24"/>
          <w:lang w:val="en-US" w:eastAsia="zh-CN"/>
        </w:rPr>
        <w:t>3.4</w:t>
      </w:r>
      <w:r>
        <w:rPr>
          <w:rFonts w:hint="eastAsia" w:ascii="宋体" w:hAnsi="宋体" w:cs="宋体"/>
          <w:sz w:val="24"/>
        </w:rPr>
        <w:t>、</w:t>
      </w:r>
      <w:r>
        <w:rPr>
          <w:rFonts w:hint="eastAsia" w:ascii="宋体" w:hAnsi="宋体" w:cs="宋体"/>
          <w:bCs/>
          <w:sz w:val="24"/>
        </w:rPr>
        <w:t>参加本次</w:t>
      </w:r>
      <w:r>
        <w:rPr>
          <w:rFonts w:hint="eastAsia" w:ascii="宋体" w:hAnsi="宋体" w:cs="宋体"/>
          <w:bCs/>
          <w:sz w:val="24"/>
          <w:lang w:val="en-US" w:eastAsia="zh-CN"/>
        </w:rPr>
        <w:t>采购</w:t>
      </w:r>
      <w:r>
        <w:rPr>
          <w:rFonts w:hint="eastAsia" w:ascii="宋体" w:hAnsi="宋体" w:cs="宋体"/>
          <w:bCs/>
          <w:sz w:val="24"/>
        </w:rPr>
        <w:t xml:space="preserve">活动前三年内在经营活动中没有重大违法记录的承诺书（格式详见“第八章 </w:t>
      </w:r>
      <w:r>
        <w:rPr>
          <w:rFonts w:hint="eastAsia" w:ascii="宋体" w:hAnsi="宋体" w:cs="宋体"/>
          <w:bCs/>
          <w:sz w:val="24"/>
          <w:lang w:val="en-US" w:eastAsia="zh-CN"/>
        </w:rPr>
        <w:t>供应商</w:t>
      </w:r>
      <w:r>
        <w:rPr>
          <w:rFonts w:hint="eastAsia" w:ascii="宋体" w:hAnsi="宋体" w:cs="宋体"/>
          <w:bCs/>
          <w:sz w:val="24"/>
        </w:rPr>
        <w:t>认为需要提供的其他材料”附件1）；</w:t>
      </w:r>
    </w:p>
    <w:p w14:paraId="3B086D29">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3.5</w:t>
      </w:r>
      <w:r>
        <w:rPr>
          <w:rFonts w:hint="eastAsia" w:ascii="宋体" w:hAnsi="宋体" w:cs="仿宋_GB2312"/>
          <w:kern w:val="0"/>
          <w:sz w:val="24"/>
        </w:rPr>
        <w:t>、</w:t>
      </w:r>
      <w:r>
        <w:rPr>
          <w:rFonts w:hint="eastAsia" w:ascii="宋体" w:hAnsi="宋体" w:cs="宋体"/>
          <w:bCs/>
          <w:sz w:val="24"/>
          <w:lang w:val="en-US" w:eastAsia="zh-CN"/>
        </w:rPr>
        <w:t>供应商</w:t>
      </w:r>
      <w:r>
        <w:rPr>
          <w:rFonts w:hint="eastAsia" w:ascii="宋体" w:hAnsi="宋体" w:cs="宋体"/>
          <w:bCs/>
          <w:sz w:val="24"/>
        </w:rPr>
        <w:t>出具本企业近三年无商业贿赂及无不正当竞争行为的承诺书（</w:t>
      </w:r>
      <w:r>
        <w:rPr>
          <w:rFonts w:ascii="宋体" w:hAnsi="宋体" w:cs="仿宋_GB2312"/>
          <w:kern w:val="0"/>
          <w:sz w:val="24"/>
        </w:rPr>
        <w:t>承诺对象：企业、法定代表人、项目经理</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val="en-US" w:eastAsia="zh-CN"/>
        </w:rPr>
        <w:t>供应商</w:t>
      </w:r>
      <w:r>
        <w:rPr>
          <w:rFonts w:hint="eastAsia" w:ascii="宋体" w:hAnsi="宋体" w:cs="宋体"/>
          <w:bCs/>
          <w:sz w:val="24"/>
        </w:rPr>
        <w:t xml:space="preserve">认为需要提供的其他材料”附件2）； </w:t>
      </w:r>
    </w:p>
    <w:p w14:paraId="560481D2">
      <w:pPr>
        <w:widowControl/>
        <w:autoSpaceDE w:val="0"/>
        <w:spacing w:line="480" w:lineRule="exact"/>
        <w:ind w:firstLine="480" w:firstLineChars="200"/>
        <w:jc w:val="left"/>
        <w:rPr>
          <w:rFonts w:ascii="宋体" w:hAnsi="宋体" w:cs="宋体"/>
          <w:bCs/>
          <w:sz w:val="24"/>
        </w:rPr>
      </w:pPr>
      <w:r>
        <w:rPr>
          <w:rFonts w:hint="eastAsia" w:ascii="宋体" w:hAnsi="宋体" w:cs="宋体"/>
          <w:bCs/>
          <w:sz w:val="24"/>
          <w:lang w:val="en-US" w:eastAsia="zh-CN"/>
        </w:rPr>
        <w:t>3.6</w:t>
      </w:r>
      <w:r>
        <w:rPr>
          <w:rFonts w:hint="eastAsia" w:ascii="宋体" w:hAnsi="宋体" w:cs="宋体"/>
          <w:bCs/>
          <w:sz w:val="24"/>
        </w:rPr>
        <w:t>、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5DE841C7">
      <w:pPr>
        <w:spacing w:line="480" w:lineRule="exact"/>
        <w:ind w:firstLine="480" w:firstLineChars="200"/>
        <w:jc w:val="left"/>
        <w:rPr>
          <w:rFonts w:ascii="宋体" w:hAnsi="宋体" w:cs="宋体"/>
          <w:bCs/>
          <w:sz w:val="24"/>
        </w:rPr>
      </w:pPr>
      <w:r>
        <w:rPr>
          <w:rFonts w:hint="eastAsia" w:ascii="宋体" w:hAnsi="宋体" w:cs="仿宋_GB2312"/>
          <w:kern w:val="0"/>
          <w:sz w:val="24"/>
          <w:lang w:val="en-US" w:eastAsia="zh-CN"/>
        </w:rPr>
        <w:t>3.7</w:t>
      </w:r>
      <w:r>
        <w:rPr>
          <w:rFonts w:hint="eastAsia" w:ascii="宋体" w:hAnsi="宋体" w:cs="仿宋_GB2312"/>
          <w:kern w:val="0"/>
          <w:sz w:val="24"/>
        </w:rPr>
        <w:t>、</w:t>
      </w:r>
      <w:r>
        <w:rPr>
          <w:rFonts w:hint="eastAsia" w:ascii="宋体" w:hAnsi="宋体" w:cs="宋体"/>
          <w:bCs/>
          <w:sz w:val="24"/>
        </w:rPr>
        <w:t>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3CDB0EA2">
      <w:pPr>
        <w:spacing w:line="480" w:lineRule="exact"/>
        <w:ind w:firstLine="480" w:firstLineChars="200"/>
        <w:jc w:val="left"/>
        <w:rPr>
          <w:rFonts w:ascii="宋体" w:hAnsi="宋体" w:cs="宋体"/>
          <w:bCs/>
          <w:sz w:val="24"/>
        </w:rPr>
      </w:pPr>
      <w:r>
        <w:rPr>
          <w:rFonts w:hint="eastAsia" w:ascii="宋体" w:hAnsi="宋体" w:cs="宋体"/>
          <w:bCs/>
          <w:sz w:val="24"/>
          <w:lang w:val="en-US" w:eastAsia="zh-CN"/>
        </w:rPr>
        <w:t>3.8</w:t>
      </w:r>
      <w:r>
        <w:rPr>
          <w:rFonts w:hint="eastAsia" w:ascii="宋体" w:hAnsi="宋体" w:cs="宋体"/>
          <w:bCs/>
          <w:sz w:val="24"/>
        </w:rPr>
        <w:t>、本项目不接受联合体投标（</w:t>
      </w:r>
      <w:r>
        <w:rPr>
          <w:rFonts w:hint="eastAsia" w:ascii="宋体" w:hAnsi="宋体" w:cs="仿宋_GB2312"/>
          <w:kern w:val="0"/>
          <w:sz w:val="24"/>
        </w:rPr>
        <w:t>格式</w:t>
      </w:r>
      <w:r>
        <w:rPr>
          <w:rFonts w:hint="eastAsia" w:ascii="宋体" w:hAnsi="宋体" w:cs="宋体"/>
          <w:bCs/>
          <w:sz w:val="24"/>
        </w:rPr>
        <w:t xml:space="preserve">详见“第八章 </w:t>
      </w:r>
      <w:r>
        <w:rPr>
          <w:rFonts w:hint="eastAsia" w:ascii="宋体" w:hAnsi="宋体" w:cs="宋体"/>
          <w:bCs/>
          <w:sz w:val="24"/>
          <w:lang w:eastAsia="zh-CN"/>
        </w:rPr>
        <w:t>供应商</w:t>
      </w:r>
      <w:r>
        <w:rPr>
          <w:rFonts w:hint="eastAsia" w:ascii="宋体" w:hAnsi="宋体" w:cs="宋体"/>
          <w:bCs/>
          <w:sz w:val="24"/>
        </w:rPr>
        <w:t>认为需要提供的其他材料”附件3）；</w:t>
      </w:r>
      <w:r>
        <w:rPr>
          <w:rFonts w:hint="eastAsia" w:ascii="宋体" w:hAnsi="宋体" w:cs="宋体"/>
          <w:sz w:val="24"/>
        </w:rPr>
        <w:t xml:space="preserve"> </w:t>
      </w:r>
    </w:p>
    <w:p w14:paraId="32936B91">
      <w:pPr>
        <w:spacing w:line="440" w:lineRule="exact"/>
        <w:ind w:firstLine="482" w:firstLineChars="200"/>
        <w:outlineLvl w:val="1"/>
        <w:rPr>
          <w:rFonts w:ascii="宋体" w:hAnsi="宋体" w:cs="宋体"/>
          <w:b/>
          <w:sz w:val="24"/>
        </w:rPr>
      </w:pPr>
      <w:bookmarkStart w:id="55" w:name="_Toc19043"/>
      <w:r>
        <w:rPr>
          <w:rFonts w:hint="eastAsia" w:ascii="宋体" w:hAnsi="宋体" w:cs="宋体"/>
          <w:b/>
          <w:sz w:val="24"/>
        </w:rPr>
        <w:t>四、投标报名及</w:t>
      </w:r>
      <w:r>
        <w:rPr>
          <w:rFonts w:hint="eastAsia" w:ascii="宋体" w:hAnsi="宋体" w:cs="宋体"/>
          <w:b/>
          <w:sz w:val="24"/>
          <w:lang w:eastAsia="zh-CN"/>
        </w:rPr>
        <w:t>竞争性磋商文件</w:t>
      </w:r>
      <w:r>
        <w:rPr>
          <w:rFonts w:hint="eastAsia" w:ascii="宋体" w:hAnsi="宋体" w:cs="宋体"/>
          <w:b/>
          <w:sz w:val="24"/>
        </w:rPr>
        <w:t>的获取方式：</w:t>
      </w:r>
      <w:bookmarkEnd w:id="55"/>
    </w:p>
    <w:p w14:paraId="450F0414">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1、</w:t>
      </w:r>
      <w:r>
        <w:rPr>
          <w:rFonts w:hint="eastAsia" w:ascii="宋体" w:hAnsi="宋体" w:cs="宋体"/>
          <w:sz w:val="24"/>
          <w:lang w:eastAsia="zh-CN"/>
        </w:rPr>
        <w:t>竞争性磋商文件</w:t>
      </w:r>
      <w:r>
        <w:rPr>
          <w:rFonts w:hint="eastAsia" w:ascii="宋体" w:hAnsi="宋体" w:cs="宋体"/>
          <w:sz w:val="24"/>
        </w:rPr>
        <w:t>获取方式：本项目没有报名环节，</w:t>
      </w:r>
      <w:r>
        <w:rPr>
          <w:rFonts w:hint="eastAsia" w:ascii="宋体" w:hAnsi="宋体" w:cs="宋体"/>
          <w:sz w:val="24"/>
          <w:lang w:eastAsia="zh-CN"/>
        </w:rPr>
        <w:t>供应商</w:t>
      </w:r>
      <w:r>
        <w:rPr>
          <w:rFonts w:hint="eastAsia" w:ascii="宋体" w:hAnsi="宋体" w:cs="宋体"/>
          <w:sz w:val="24"/>
        </w:rPr>
        <w:t>凭CA数字证书通过三门峡市公共资源交易中心网（网址：gzjy.smx.gov.cn），点击交易平台选择“市场主体登录”，</w:t>
      </w:r>
      <w:r>
        <w:rPr>
          <w:rFonts w:ascii="宋体" w:hAnsi="宋体" w:cs="仿宋_GB2312"/>
          <w:kern w:val="0"/>
          <w:sz w:val="24"/>
        </w:rPr>
        <w:t>登陆系统后，点击工程业务-业务管理-</w:t>
      </w:r>
      <w:r>
        <w:rPr>
          <w:rFonts w:hint="eastAsia" w:ascii="宋体" w:hAnsi="宋体" w:cs="仿宋_GB2312"/>
          <w:kern w:val="0"/>
          <w:sz w:val="24"/>
          <w:lang w:eastAsia="zh-CN"/>
        </w:rPr>
        <w:t>竞争性磋商文件</w:t>
      </w:r>
      <w:r>
        <w:rPr>
          <w:rFonts w:ascii="宋体" w:hAnsi="宋体" w:cs="仿宋_GB2312"/>
          <w:kern w:val="0"/>
          <w:sz w:val="24"/>
        </w:rPr>
        <w:t>领取菜单-点击领取按钮-领取.smxzf格式的电子</w:t>
      </w:r>
      <w:r>
        <w:rPr>
          <w:rFonts w:hint="eastAsia" w:ascii="宋体" w:hAnsi="宋体" w:cs="仿宋_GB2312"/>
          <w:kern w:val="0"/>
          <w:sz w:val="24"/>
          <w:lang w:eastAsia="zh-CN"/>
        </w:rPr>
        <w:t>竞争性磋商文件</w:t>
      </w:r>
      <w:r>
        <w:rPr>
          <w:rFonts w:ascii="宋体" w:hAnsi="宋体" w:cs="仿宋_GB2312"/>
          <w:kern w:val="0"/>
          <w:sz w:val="24"/>
        </w:rPr>
        <w:t>。</w:t>
      </w:r>
    </w:p>
    <w:p w14:paraId="05A24977">
      <w:pPr>
        <w:spacing w:line="440" w:lineRule="exact"/>
        <w:ind w:firstLine="480" w:firstLineChars="200"/>
        <w:jc w:val="left"/>
        <w:rPr>
          <w:rFonts w:ascii="宋体" w:hAnsi="宋体" w:cs="宋体"/>
          <w:sz w:val="24"/>
        </w:rPr>
      </w:pPr>
      <w:r>
        <w:rPr>
          <w:rFonts w:hint="eastAsia" w:ascii="宋体" w:hAnsi="宋体" w:cs="宋体"/>
          <w:sz w:val="24"/>
        </w:rPr>
        <w:t>具体操作请查看以下链接：</w:t>
      </w:r>
    </w:p>
    <w:p w14:paraId="37301488">
      <w:pPr>
        <w:spacing w:line="440" w:lineRule="exact"/>
        <w:ind w:firstLine="480" w:firstLineChars="200"/>
        <w:jc w:val="left"/>
        <w:rPr>
          <w:rFonts w:ascii="宋体" w:hAnsi="宋体" w:cs="宋体"/>
          <w:sz w:val="24"/>
        </w:rPr>
      </w:pPr>
      <w:r>
        <w:rPr>
          <w:rFonts w:hint="eastAsia" w:ascii="宋体" w:hAnsi="宋体" w:cs="宋体"/>
          <w:sz w:val="24"/>
        </w:rPr>
        <w:t>办理CA证书：</w:t>
      </w:r>
    </w:p>
    <w:p w14:paraId="42ED3F9A">
      <w:pPr>
        <w:spacing w:line="440" w:lineRule="exact"/>
        <w:ind w:firstLine="480" w:firstLineChars="200"/>
        <w:jc w:val="left"/>
        <w:rPr>
          <w:rFonts w:ascii="宋体" w:hAnsi="宋体" w:cs="宋体"/>
          <w:sz w:val="24"/>
        </w:rPr>
      </w:pPr>
      <w:r>
        <w:rPr>
          <w:rFonts w:hint="eastAsia" w:ascii="宋体" w:hAnsi="宋体" w:cs="宋体"/>
          <w:sz w:val="24"/>
        </w:rPr>
        <w:t>http://gzjy.smx.gov.cn/bzzx/008001/20211105/57b16af9-ab87-4395-a723-7758c628a3f8.html</w:t>
      </w:r>
    </w:p>
    <w:p w14:paraId="324DC13A">
      <w:pPr>
        <w:spacing w:line="440" w:lineRule="exact"/>
        <w:ind w:firstLine="480" w:firstLineChars="200"/>
        <w:jc w:val="left"/>
        <w:rPr>
          <w:rFonts w:ascii="宋体" w:hAnsi="宋体" w:cs="宋体"/>
          <w:sz w:val="24"/>
        </w:rPr>
      </w:pPr>
      <w:r>
        <w:rPr>
          <w:rFonts w:hint="eastAsia" w:ascii="宋体" w:hAnsi="宋体" w:cs="宋体"/>
          <w:sz w:val="24"/>
        </w:rPr>
        <w:t>三门峡市公共资源交易服务平台（市场主体信息库）操作手册：</w:t>
      </w:r>
    </w:p>
    <w:p w14:paraId="5A103748">
      <w:pPr>
        <w:spacing w:line="440" w:lineRule="exact"/>
        <w:ind w:firstLine="420" w:firstLineChars="200"/>
        <w:jc w:val="left"/>
        <w:rPr>
          <w:rFonts w:ascii="宋体" w:hAnsi="宋体" w:cs="宋体"/>
          <w:sz w:val="24"/>
        </w:rPr>
      </w:pPr>
      <w:r>
        <w:fldChar w:fldCharType="begin"/>
      </w:r>
      <w:r>
        <w:instrText xml:space="preserve"> HYPERLINK "http://gzjy.smx.gov.cn/fwzn/004003/20200325/b13aa3fa-a543-403f-b537-82cb417132bd.html" </w:instrText>
      </w:r>
      <w:r>
        <w:fldChar w:fldCharType="separate"/>
      </w:r>
      <w:r>
        <w:rPr>
          <w:rStyle w:val="54"/>
          <w:rFonts w:hint="eastAsia" w:ascii="宋体" w:hAnsi="宋体" w:cs="宋体"/>
          <w:color w:val="auto"/>
          <w:sz w:val="24"/>
        </w:rPr>
        <w:t>http://gzjy.smx.gov.cn/fwzn/004003/20200325/b13aa3fa-a543-403f-b537-82cb417132bd.html</w:t>
      </w:r>
      <w:r>
        <w:rPr>
          <w:rStyle w:val="54"/>
          <w:rFonts w:hint="eastAsia" w:ascii="宋体" w:hAnsi="宋体" w:cs="宋体"/>
          <w:color w:val="auto"/>
          <w:sz w:val="24"/>
        </w:rPr>
        <w:fldChar w:fldCharType="end"/>
      </w:r>
    </w:p>
    <w:p w14:paraId="12569DC3">
      <w:pPr>
        <w:spacing w:line="440" w:lineRule="exact"/>
        <w:ind w:firstLine="480" w:firstLineChars="200"/>
        <w:jc w:val="left"/>
        <w:rPr>
          <w:rFonts w:ascii="宋体" w:hAnsi="宋体" w:cs="宋体"/>
          <w:sz w:val="24"/>
        </w:rPr>
      </w:pPr>
      <w:r>
        <w:rPr>
          <w:rFonts w:hint="eastAsia" w:ascii="宋体" w:hAnsi="宋体" w:cs="宋体"/>
          <w:sz w:val="24"/>
        </w:rPr>
        <w:t>三门峡市公共资源交易平台操作手册：</w:t>
      </w:r>
    </w:p>
    <w:p w14:paraId="3ACC7B89">
      <w:pPr>
        <w:spacing w:line="440" w:lineRule="exact"/>
        <w:ind w:firstLine="420" w:firstLineChars="200"/>
        <w:jc w:val="left"/>
        <w:rPr>
          <w:rFonts w:ascii="宋体" w:hAnsi="宋体" w:cs="宋体"/>
          <w:sz w:val="24"/>
        </w:rPr>
      </w:pPr>
      <w:r>
        <w:fldChar w:fldCharType="begin"/>
      </w:r>
      <w:r>
        <w:instrText xml:space="preserve"> HYPERLINK "http://gzjy.smx.gov.cn/fwzn/004003/20200325/2b5a3a5a-f987-405c-993f-88f43e1d1ac3.html" </w:instrText>
      </w:r>
      <w:r>
        <w:fldChar w:fldCharType="separate"/>
      </w:r>
      <w:r>
        <w:rPr>
          <w:rStyle w:val="54"/>
          <w:rFonts w:hint="eastAsia" w:ascii="宋体" w:hAnsi="宋体" w:cs="宋体"/>
          <w:color w:val="auto"/>
          <w:sz w:val="24"/>
        </w:rPr>
        <w:t>http://gzjy.smx.gov.cn/fwzn/004003/20200325/2b5a3a5a-f987-405c-993f-88f43e1d1ac3.html</w:t>
      </w:r>
      <w:r>
        <w:rPr>
          <w:rStyle w:val="54"/>
          <w:rFonts w:hint="eastAsia" w:ascii="宋体" w:hAnsi="宋体" w:cs="宋体"/>
          <w:color w:val="auto"/>
          <w:sz w:val="24"/>
        </w:rPr>
        <w:fldChar w:fldCharType="end"/>
      </w:r>
    </w:p>
    <w:p w14:paraId="03BE2DEE">
      <w:pPr>
        <w:spacing w:line="440" w:lineRule="exact"/>
        <w:ind w:firstLine="480" w:firstLineChars="200"/>
        <w:jc w:val="left"/>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下载时间：</w:t>
      </w:r>
      <w:r>
        <w:rPr>
          <w:rFonts w:hint="eastAsia" w:ascii="宋体" w:hAnsi="宋体" w:cs="宋体"/>
          <w:sz w:val="24"/>
          <w:lang w:eastAsia="zh-CN"/>
        </w:rPr>
        <w:t>2025年</w:t>
      </w:r>
      <w:r>
        <w:rPr>
          <w:rFonts w:hint="eastAsia" w:ascii="宋体" w:hAnsi="宋体" w:cs="宋体"/>
          <w:sz w:val="24"/>
          <w:lang w:val="en-US" w:eastAsia="zh-CN"/>
        </w:rPr>
        <w:t>6</w:t>
      </w:r>
      <w:r>
        <w:rPr>
          <w:rFonts w:hint="eastAsia" w:ascii="宋体" w:hAnsi="宋体" w:cs="宋体"/>
          <w:sz w:val="24"/>
          <w:lang w:eastAsia="zh-CN"/>
        </w:rPr>
        <w:t>月</w:t>
      </w:r>
      <w:r>
        <w:rPr>
          <w:rFonts w:hint="eastAsia" w:ascii="宋体" w:hAnsi="宋体" w:cs="宋体"/>
          <w:sz w:val="24"/>
          <w:lang w:val="en-US" w:eastAsia="zh-CN"/>
        </w:rPr>
        <w:t>11</w:t>
      </w:r>
      <w:r>
        <w:rPr>
          <w:rFonts w:hint="eastAsia" w:ascii="宋体" w:hAnsi="宋体" w:cs="宋体"/>
          <w:sz w:val="24"/>
          <w:lang w:eastAsia="zh-CN"/>
        </w:rPr>
        <w:t>日</w:t>
      </w:r>
      <w:r>
        <w:rPr>
          <w:rFonts w:hint="eastAsia" w:ascii="宋体" w:hAnsi="宋体" w:cs="宋体"/>
          <w:sz w:val="24"/>
        </w:rPr>
        <w:t>至</w:t>
      </w:r>
      <w:r>
        <w:rPr>
          <w:rFonts w:hint="eastAsia" w:ascii="宋体" w:hAnsi="宋体" w:cs="宋体"/>
          <w:sz w:val="24"/>
          <w:lang w:eastAsia="zh-CN"/>
        </w:rPr>
        <w:t>2025年6月23日08时30分</w:t>
      </w:r>
      <w:r>
        <w:rPr>
          <w:rFonts w:hint="eastAsia" w:ascii="宋体" w:hAnsi="宋体" w:cs="宋体"/>
          <w:sz w:val="24"/>
        </w:rPr>
        <w:t>。</w:t>
      </w:r>
    </w:p>
    <w:p w14:paraId="461A2A6F">
      <w:pPr>
        <w:spacing w:line="440" w:lineRule="exact"/>
        <w:ind w:firstLine="480" w:firstLineChars="200"/>
        <w:jc w:val="left"/>
        <w:rPr>
          <w:rFonts w:ascii="宋体" w:hAnsi="宋体" w:cs="宋体"/>
          <w:sz w:val="24"/>
        </w:rPr>
      </w:pPr>
      <w:r>
        <w:rPr>
          <w:rFonts w:hint="eastAsia" w:ascii="宋体" w:hAnsi="宋体" w:cs="宋体"/>
          <w:sz w:val="24"/>
        </w:rPr>
        <w:t>3、本项目采用全电子化招标，不再收取</w:t>
      </w:r>
      <w:r>
        <w:rPr>
          <w:rFonts w:hint="eastAsia" w:ascii="宋体" w:hAnsi="宋体" w:cs="宋体"/>
          <w:sz w:val="24"/>
          <w:lang w:eastAsia="zh-CN"/>
        </w:rPr>
        <w:t>竞争性磋商文件</w:t>
      </w:r>
      <w:r>
        <w:rPr>
          <w:rFonts w:hint="eastAsia" w:ascii="宋体" w:hAnsi="宋体" w:cs="宋体"/>
          <w:sz w:val="24"/>
        </w:rPr>
        <w:t>费。</w:t>
      </w:r>
    </w:p>
    <w:p w14:paraId="253B0EB7">
      <w:pPr>
        <w:spacing w:line="440" w:lineRule="exact"/>
        <w:ind w:firstLine="480" w:firstLineChars="200"/>
        <w:jc w:val="left"/>
        <w:rPr>
          <w:rFonts w:ascii="宋体" w:hAnsi="宋体" w:cs="宋体"/>
          <w:sz w:val="24"/>
        </w:rPr>
      </w:pPr>
      <w:r>
        <w:rPr>
          <w:rFonts w:hint="eastAsia" w:ascii="宋体" w:hAnsi="宋体" w:cs="宋体"/>
          <w:sz w:val="24"/>
        </w:rPr>
        <w:t>4、本项目为不见面开标项目，开标当日，</w:t>
      </w:r>
      <w:r>
        <w:rPr>
          <w:rFonts w:hint="eastAsia" w:ascii="宋体" w:hAnsi="宋体" w:cs="宋体"/>
          <w:sz w:val="24"/>
          <w:lang w:eastAsia="zh-CN"/>
        </w:rPr>
        <w:t>供应商</w:t>
      </w:r>
      <w:r>
        <w:rPr>
          <w:rFonts w:hint="eastAsia" w:ascii="宋体" w:hAnsi="宋体" w:cs="宋体"/>
          <w:sz w:val="24"/>
        </w:rPr>
        <w:t>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应当在投标截止时间前，登陆不见面开标大厅选择登陆三门峡市公共资源电子招投标系统进行登陆（网址为http://120.194.249.36:10094/BidOpening/bidopeninghallaction/hall/login）, 在线准时参加开标活动并进行</w:t>
      </w:r>
      <w:r>
        <w:rPr>
          <w:rFonts w:hint="eastAsia" w:ascii="宋体" w:hAnsi="宋体" w:cs="宋体"/>
          <w:sz w:val="24"/>
          <w:lang w:eastAsia="zh-CN"/>
        </w:rPr>
        <w:t>响应文件</w:t>
      </w:r>
      <w:r>
        <w:rPr>
          <w:rFonts w:hint="eastAsia" w:ascii="宋体" w:hAnsi="宋体" w:cs="宋体"/>
          <w:sz w:val="24"/>
        </w:rPr>
        <w:t>解密等。每位</w:t>
      </w:r>
      <w:r>
        <w:rPr>
          <w:rFonts w:hint="eastAsia" w:ascii="宋体" w:hAnsi="宋体" w:cs="宋体"/>
          <w:sz w:val="24"/>
          <w:lang w:eastAsia="zh-CN"/>
        </w:rPr>
        <w:t>供应商</w:t>
      </w:r>
      <w:r>
        <w:rPr>
          <w:rFonts w:hint="eastAsia" w:ascii="宋体" w:hAnsi="宋体" w:cs="宋体"/>
          <w:sz w:val="24"/>
        </w:rPr>
        <w:t>的解密时间为开标时间起30分钟内完成。因</w:t>
      </w:r>
      <w:r>
        <w:rPr>
          <w:rFonts w:hint="eastAsia" w:ascii="宋体" w:hAnsi="宋体" w:cs="宋体"/>
          <w:sz w:val="24"/>
          <w:lang w:eastAsia="zh-CN"/>
        </w:rPr>
        <w:t>供应商</w:t>
      </w:r>
      <w:r>
        <w:rPr>
          <w:rFonts w:hint="eastAsia" w:ascii="宋体" w:hAnsi="宋体" w:cs="宋体"/>
          <w:sz w:val="24"/>
        </w:rPr>
        <w:t>原因未能解密、解密失败或解密超时的将被拒绝。</w:t>
      </w:r>
    </w:p>
    <w:p w14:paraId="6DD2E188">
      <w:pPr>
        <w:spacing w:line="440" w:lineRule="exact"/>
        <w:ind w:firstLine="482" w:firstLineChars="200"/>
        <w:outlineLvl w:val="1"/>
        <w:rPr>
          <w:rFonts w:ascii="宋体" w:hAnsi="宋体" w:cs="宋体"/>
          <w:b/>
          <w:sz w:val="24"/>
        </w:rPr>
      </w:pPr>
      <w:bookmarkStart w:id="56" w:name="_Toc13813"/>
      <w:r>
        <w:rPr>
          <w:rFonts w:hint="eastAsia" w:ascii="宋体" w:hAnsi="宋体" w:cs="宋体"/>
          <w:b/>
          <w:sz w:val="24"/>
        </w:rPr>
        <w:t>五、投标资料的提交</w:t>
      </w:r>
      <w:bookmarkEnd w:id="56"/>
    </w:p>
    <w:p w14:paraId="15459800">
      <w:pPr>
        <w:widowControl/>
        <w:autoSpaceDE w:val="0"/>
        <w:spacing w:line="480" w:lineRule="exact"/>
        <w:ind w:firstLine="480" w:firstLineChars="200"/>
        <w:jc w:val="left"/>
        <w:rPr>
          <w:rFonts w:ascii="宋体" w:hAnsi="宋体" w:cs="仿宋_GB2312"/>
          <w:kern w:val="0"/>
          <w:sz w:val="24"/>
        </w:rPr>
      </w:pPr>
      <w:r>
        <w:rPr>
          <w:rFonts w:hint="eastAsia" w:ascii="宋体" w:hAnsi="宋体" w:cs="宋体"/>
          <w:sz w:val="24"/>
        </w:rPr>
        <w:t>本项目实行资格后审，</w:t>
      </w:r>
      <w:r>
        <w:rPr>
          <w:rFonts w:hint="eastAsia" w:ascii="宋体" w:hAnsi="宋体" w:cs="宋体"/>
          <w:sz w:val="24"/>
          <w:lang w:eastAsia="zh-CN"/>
        </w:rPr>
        <w:t>竞争性磋商文件</w:t>
      </w:r>
      <w:r>
        <w:rPr>
          <w:rFonts w:hint="eastAsia" w:ascii="宋体" w:hAnsi="宋体" w:cs="宋体"/>
          <w:sz w:val="24"/>
        </w:rPr>
        <w:t>初步评审及评标办法中所有有关的证明、证件、证书均以三门峡市公共资源交易平台中电子版</w:t>
      </w:r>
      <w:r>
        <w:rPr>
          <w:rFonts w:hint="eastAsia" w:ascii="宋体" w:hAnsi="宋体" w:cs="宋体"/>
          <w:sz w:val="24"/>
          <w:lang w:eastAsia="zh-CN"/>
        </w:rPr>
        <w:t>响应文件</w:t>
      </w:r>
      <w:r>
        <w:rPr>
          <w:rFonts w:hint="eastAsia" w:ascii="宋体" w:hAnsi="宋体" w:cs="宋体"/>
          <w:sz w:val="24"/>
        </w:rPr>
        <w:t>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r>
        <w:rPr>
          <w:rFonts w:ascii="宋体" w:hAnsi="宋体" w:cs="仿宋_GB2312"/>
          <w:kern w:val="0"/>
          <w:sz w:val="24"/>
        </w:rPr>
        <w:t>规定时间外上传或更改的信息不作为评标依据。</w:t>
      </w:r>
      <w:r>
        <w:rPr>
          <w:rFonts w:hint="eastAsia" w:ascii="宋体" w:hAnsi="宋体" w:cs="仿宋_GB2312"/>
          <w:kern w:val="0"/>
          <w:sz w:val="24"/>
          <w:lang w:eastAsia="zh-CN"/>
        </w:rPr>
        <w:t>响应文件</w:t>
      </w:r>
      <w:r>
        <w:rPr>
          <w:rFonts w:ascii="宋体" w:hAnsi="宋体" w:cs="仿宋_GB2312"/>
          <w:kern w:val="0"/>
          <w:sz w:val="24"/>
        </w:rPr>
        <w:t>中上传的信息真实有效，扫描件清晰可辨。否则，由此造成应得分而未得分或资格审查不合格等情况的，由</w:t>
      </w:r>
      <w:r>
        <w:rPr>
          <w:rFonts w:hint="eastAsia" w:ascii="宋体" w:hAnsi="宋体" w:cs="仿宋_GB2312"/>
          <w:kern w:val="0"/>
          <w:sz w:val="24"/>
          <w:lang w:eastAsia="zh-CN"/>
        </w:rPr>
        <w:t>供应商</w:t>
      </w:r>
      <w:r>
        <w:rPr>
          <w:rFonts w:ascii="宋体" w:hAnsi="宋体" w:cs="仿宋_GB2312"/>
          <w:kern w:val="0"/>
          <w:sz w:val="24"/>
        </w:rPr>
        <w:t>承担责任。</w:t>
      </w:r>
    </w:p>
    <w:p w14:paraId="047EB710">
      <w:pPr>
        <w:spacing w:line="440" w:lineRule="exact"/>
        <w:ind w:firstLine="480" w:firstLineChars="200"/>
        <w:jc w:val="left"/>
        <w:rPr>
          <w:rFonts w:ascii="宋体" w:hAnsi="宋体" w:cs="宋体"/>
          <w:b/>
          <w:sz w:val="24"/>
        </w:rPr>
      </w:pPr>
      <w:r>
        <w:rPr>
          <w:rFonts w:hint="eastAsia" w:ascii="宋体" w:hAnsi="宋体" w:cs="宋体"/>
          <w:sz w:val="24"/>
        </w:rPr>
        <w:t xml:space="preserve"> </w:t>
      </w:r>
      <w:bookmarkStart w:id="57" w:name="_Toc2974"/>
      <w:r>
        <w:rPr>
          <w:rFonts w:hint="eastAsia" w:ascii="宋体" w:hAnsi="宋体" w:cs="宋体"/>
          <w:b/>
          <w:sz w:val="24"/>
        </w:rPr>
        <w:t>六、投标保证金</w:t>
      </w:r>
      <w:bookmarkEnd w:id="57"/>
    </w:p>
    <w:p w14:paraId="51A92FEE">
      <w:pPr>
        <w:autoSpaceDE w:val="0"/>
        <w:spacing w:line="480" w:lineRule="exact"/>
        <w:ind w:firstLine="480" w:firstLineChars="200"/>
        <w:rPr>
          <w:rFonts w:ascii="宋体" w:hAnsi="宋体" w:cs="仿宋_GB2312"/>
          <w:kern w:val="0"/>
          <w:sz w:val="24"/>
        </w:rPr>
      </w:pPr>
      <w:bookmarkStart w:id="58" w:name="_Toc13427"/>
      <w:r>
        <w:rPr>
          <w:rFonts w:hint="eastAsia" w:ascii="宋体" w:hAnsi="宋体" w:cs="宋体"/>
          <w:sz w:val="24"/>
          <w:szCs w:val="24"/>
        </w:rPr>
        <w:t>根据《河南省财政厅关于优化政府采购营商环境有关问题的通知》（豫财购【2019】4号）第6条的规定，本项目不收取磋商保证金。</w:t>
      </w:r>
    </w:p>
    <w:p w14:paraId="3145D970">
      <w:pPr>
        <w:spacing w:line="440" w:lineRule="exact"/>
        <w:ind w:firstLine="482" w:firstLineChars="200"/>
        <w:outlineLvl w:val="1"/>
        <w:rPr>
          <w:rFonts w:ascii="宋体" w:hAnsi="宋体" w:cs="宋体"/>
          <w:b/>
          <w:sz w:val="24"/>
        </w:rPr>
      </w:pPr>
      <w:r>
        <w:rPr>
          <w:rFonts w:hint="eastAsia" w:ascii="宋体" w:hAnsi="宋体" w:cs="宋体"/>
          <w:b/>
          <w:sz w:val="24"/>
        </w:rPr>
        <w:t>七、</w:t>
      </w:r>
      <w:r>
        <w:rPr>
          <w:rFonts w:hint="eastAsia" w:ascii="宋体" w:hAnsi="宋体" w:cs="宋体"/>
          <w:b/>
          <w:sz w:val="24"/>
          <w:lang w:val="en-US" w:eastAsia="zh-CN"/>
        </w:rPr>
        <w:t>响应</w:t>
      </w:r>
      <w:r>
        <w:rPr>
          <w:rFonts w:hint="eastAsia" w:ascii="宋体" w:hAnsi="宋体" w:cs="宋体"/>
          <w:b/>
          <w:sz w:val="24"/>
        </w:rPr>
        <w:t>文件的递交</w:t>
      </w:r>
      <w:bookmarkEnd w:id="58"/>
    </w:p>
    <w:p w14:paraId="60D50046">
      <w:pPr>
        <w:spacing w:line="440" w:lineRule="exact"/>
        <w:ind w:firstLine="480" w:firstLineChars="200"/>
        <w:jc w:val="left"/>
        <w:rPr>
          <w:rFonts w:ascii="宋体" w:hAnsi="宋体" w:cs="宋体"/>
          <w:color w:val="auto"/>
          <w:sz w:val="24"/>
        </w:rPr>
      </w:pPr>
      <w:r>
        <w:rPr>
          <w:rFonts w:hint="eastAsia" w:ascii="宋体" w:hAnsi="宋体" w:cs="宋体"/>
          <w:sz w:val="24"/>
        </w:rPr>
        <w:t>1、</w:t>
      </w:r>
      <w:r>
        <w:rPr>
          <w:rFonts w:hint="eastAsia" w:ascii="宋体" w:hAnsi="宋体" w:cs="宋体"/>
          <w:sz w:val="24"/>
          <w:lang w:val="en-US" w:eastAsia="zh-CN"/>
        </w:rPr>
        <w:t>响应</w:t>
      </w:r>
      <w:r>
        <w:rPr>
          <w:rFonts w:hint="eastAsia" w:ascii="宋体" w:hAnsi="宋体" w:cs="宋体"/>
          <w:sz w:val="24"/>
        </w:rPr>
        <w:t>文件</w:t>
      </w:r>
      <w:r>
        <w:rPr>
          <w:rFonts w:hint="eastAsia" w:ascii="宋体" w:hAnsi="宋体" w:cs="宋体"/>
          <w:color w:val="auto"/>
          <w:sz w:val="24"/>
        </w:rPr>
        <w:t>递交截止（开标）时间：</w:t>
      </w:r>
      <w:r>
        <w:rPr>
          <w:rFonts w:hint="eastAsia" w:ascii="宋体" w:hAnsi="宋体" w:cs="宋体"/>
          <w:color w:val="auto"/>
          <w:sz w:val="24"/>
          <w:lang w:eastAsia="zh-CN"/>
        </w:rPr>
        <w:t>2025年6月23日08时30分</w:t>
      </w:r>
      <w:r>
        <w:rPr>
          <w:rFonts w:hint="eastAsia" w:ascii="宋体" w:hAnsi="宋体" w:cs="宋体"/>
          <w:color w:val="auto"/>
          <w:sz w:val="24"/>
        </w:rPr>
        <w:t xml:space="preserve">。 </w:t>
      </w:r>
    </w:p>
    <w:p w14:paraId="3AC7ED4D">
      <w:pPr>
        <w:spacing w:line="440" w:lineRule="exact"/>
        <w:ind w:firstLine="480" w:firstLineChars="200"/>
        <w:jc w:val="left"/>
        <w:rPr>
          <w:rFonts w:ascii="宋体" w:hAnsi="宋体" w:cs="宋体"/>
          <w:color w:val="auto"/>
          <w:sz w:val="24"/>
        </w:rPr>
      </w:pPr>
      <w:r>
        <w:rPr>
          <w:rFonts w:hint="eastAsia" w:ascii="宋体" w:hAnsi="宋体" w:cs="宋体"/>
          <w:color w:val="auto"/>
          <w:sz w:val="24"/>
        </w:rPr>
        <w:t>2、开标地点：</w:t>
      </w:r>
      <w:r>
        <w:rPr>
          <w:rFonts w:hint="eastAsia" w:ascii="宋体" w:hAnsi="宋体" w:cs="宋体"/>
          <w:color w:val="auto"/>
          <w:sz w:val="24"/>
          <w:lang w:val="en-US" w:eastAsia="zh-CN"/>
        </w:rPr>
        <w:t>三门峡市陕州区</w:t>
      </w:r>
      <w:r>
        <w:rPr>
          <w:rFonts w:hint="eastAsia" w:ascii="宋体" w:hAnsi="宋体" w:cs="宋体"/>
          <w:color w:val="auto"/>
          <w:sz w:val="24"/>
        </w:rPr>
        <w:t>公共资源交易中心</w:t>
      </w:r>
      <w:r>
        <w:rPr>
          <w:rFonts w:hint="eastAsia" w:ascii="宋体" w:hAnsi="宋体" w:cs="宋体"/>
          <w:color w:val="auto"/>
          <w:sz w:val="24"/>
          <w:lang w:eastAsia="zh-CN"/>
        </w:rPr>
        <w:t>开标二室</w:t>
      </w:r>
      <w:r>
        <w:rPr>
          <w:rFonts w:hint="eastAsia" w:ascii="宋体" w:hAnsi="宋体" w:cs="宋体"/>
          <w:color w:val="auto"/>
          <w:sz w:val="24"/>
        </w:rPr>
        <w:t>（</w:t>
      </w:r>
      <w:r>
        <w:rPr>
          <w:rFonts w:hint="eastAsia" w:ascii="宋体" w:hAnsi="宋体" w:cs="宋体"/>
          <w:color w:val="auto"/>
          <w:sz w:val="24"/>
          <w:lang w:eastAsia="zh-CN"/>
        </w:rPr>
        <w:t>三门峡市陕州区广电局四楼开标室</w:t>
      </w:r>
      <w:r>
        <w:rPr>
          <w:rFonts w:hint="eastAsia" w:ascii="宋体" w:hAnsi="宋体" w:cs="宋体"/>
          <w:color w:val="auto"/>
          <w:sz w:val="24"/>
        </w:rPr>
        <w:t>）。</w:t>
      </w:r>
    </w:p>
    <w:p w14:paraId="01DFB786">
      <w:pPr>
        <w:spacing w:line="440" w:lineRule="exact"/>
        <w:ind w:firstLine="482" w:firstLineChars="200"/>
        <w:outlineLvl w:val="1"/>
        <w:rPr>
          <w:rFonts w:ascii="宋体" w:hAnsi="宋体" w:cs="宋体"/>
          <w:b/>
          <w:color w:val="auto"/>
          <w:sz w:val="24"/>
        </w:rPr>
      </w:pPr>
      <w:bookmarkStart w:id="59" w:name="_Toc9142"/>
      <w:r>
        <w:rPr>
          <w:rFonts w:hint="eastAsia" w:ascii="宋体" w:hAnsi="宋体" w:cs="宋体"/>
          <w:b/>
          <w:color w:val="auto"/>
          <w:sz w:val="24"/>
        </w:rPr>
        <w:t>八、其他事项</w:t>
      </w:r>
      <w:bookmarkEnd w:id="59"/>
    </w:p>
    <w:p w14:paraId="1855562F">
      <w:pPr>
        <w:spacing w:line="440" w:lineRule="exact"/>
        <w:ind w:firstLine="480" w:firstLineChars="200"/>
        <w:jc w:val="left"/>
        <w:rPr>
          <w:rFonts w:ascii="宋体" w:hAnsi="宋体" w:cs="宋体"/>
          <w:sz w:val="24"/>
        </w:rPr>
      </w:pPr>
      <w:r>
        <w:rPr>
          <w:rFonts w:hint="eastAsia" w:ascii="宋体" w:hAnsi="宋体" w:cs="宋体"/>
          <w:sz w:val="24"/>
        </w:rPr>
        <w:t>1、</w:t>
      </w:r>
      <w:r>
        <w:rPr>
          <w:rFonts w:hint="eastAsia" w:ascii="宋体" w:hAnsi="宋体" w:cs="宋体"/>
          <w:sz w:val="24"/>
          <w:lang w:val="en-US" w:eastAsia="zh-CN"/>
        </w:rPr>
        <w:t>供应商</w:t>
      </w:r>
      <w:r>
        <w:rPr>
          <w:rFonts w:hint="eastAsia" w:ascii="宋体" w:hAnsi="宋体" w:cs="宋体"/>
          <w:sz w:val="24"/>
        </w:rPr>
        <w:t>应仔细阅读操作手册，在本公告中要求的截止时间前完成下载</w:t>
      </w:r>
      <w:r>
        <w:rPr>
          <w:rFonts w:hint="eastAsia" w:ascii="宋体" w:hAnsi="宋体" w:cs="宋体"/>
          <w:sz w:val="24"/>
          <w:lang w:eastAsia="zh-CN"/>
        </w:rPr>
        <w:t>竞争性磋商文件</w:t>
      </w:r>
      <w:r>
        <w:rPr>
          <w:rFonts w:hint="eastAsia" w:ascii="宋体" w:hAnsi="宋体" w:cs="宋体"/>
          <w:sz w:val="24"/>
        </w:rPr>
        <w:t>、保证金的缴纳和绑定等工作。并充分考虑人为操作和银行异地跨行转账到账的时间等因素，因</w:t>
      </w:r>
      <w:r>
        <w:rPr>
          <w:rFonts w:hint="eastAsia" w:ascii="宋体" w:hAnsi="宋体" w:cs="宋体"/>
          <w:sz w:val="24"/>
          <w:lang w:eastAsia="zh-CN"/>
        </w:rPr>
        <w:t>供应商</w:t>
      </w:r>
      <w:r>
        <w:rPr>
          <w:rFonts w:hint="eastAsia" w:ascii="宋体" w:hAnsi="宋体" w:cs="宋体"/>
          <w:sz w:val="24"/>
        </w:rPr>
        <w:t>操作不当或银行到账时间等问题造成的无法下载</w:t>
      </w:r>
      <w:r>
        <w:rPr>
          <w:rFonts w:hint="eastAsia" w:ascii="宋体" w:hAnsi="宋体" w:cs="宋体"/>
          <w:sz w:val="24"/>
          <w:lang w:eastAsia="zh-CN"/>
        </w:rPr>
        <w:t>竞争性磋商文件</w:t>
      </w:r>
      <w:r>
        <w:rPr>
          <w:rFonts w:hint="eastAsia" w:ascii="宋体" w:hAnsi="宋体" w:cs="宋体"/>
          <w:sz w:val="24"/>
        </w:rPr>
        <w:t>、无法投标等一切后果，由</w:t>
      </w:r>
      <w:r>
        <w:rPr>
          <w:rFonts w:hint="eastAsia" w:ascii="宋体" w:hAnsi="宋体" w:cs="宋体"/>
          <w:sz w:val="24"/>
          <w:lang w:val="en-US" w:eastAsia="zh-CN"/>
        </w:rPr>
        <w:t>供应商</w:t>
      </w:r>
      <w:r>
        <w:rPr>
          <w:rFonts w:hint="eastAsia" w:ascii="宋体" w:hAnsi="宋体" w:cs="宋体"/>
          <w:sz w:val="24"/>
        </w:rPr>
        <w:t>自行承担。</w:t>
      </w:r>
    </w:p>
    <w:p w14:paraId="5D736A05">
      <w:pPr>
        <w:spacing w:line="440" w:lineRule="exact"/>
        <w:ind w:firstLine="480" w:firstLineChars="200"/>
        <w:jc w:val="left"/>
        <w:rPr>
          <w:rFonts w:ascii="宋体" w:hAnsi="宋体" w:cs="宋体"/>
          <w:sz w:val="24"/>
        </w:rPr>
      </w:pPr>
      <w:r>
        <w:rPr>
          <w:rFonts w:hint="eastAsia" w:ascii="宋体" w:hAnsi="宋体" w:cs="宋体"/>
          <w:sz w:val="24"/>
        </w:rPr>
        <w:t>2、根据优化营商环境的要求，评标时以</w:t>
      </w:r>
      <w:r>
        <w:rPr>
          <w:rFonts w:hint="eastAsia" w:ascii="宋体" w:hAnsi="宋体" w:cs="宋体"/>
          <w:sz w:val="24"/>
          <w:lang w:eastAsia="zh-CN"/>
        </w:rPr>
        <w:t>响应文件</w:t>
      </w:r>
      <w:r>
        <w:rPr>
          <w:rFonts w:hint="eastAsia" w:ascii="宋体" w:hAnsi="宋体" w:cs="宋体"/>
          <w:sz w:val="24"/>
        </w:rPr>
        <w:t>为准：</w:t>
      </w:r>
    </w:p>
    <w:p w14:paraId="25E45072">
      <w:pPr>
        <w:spacing w:line="440" w:lineRule="exact"/>
        <w:ind w:firstLine="480" w:firstLineChars="200"/>
        <w:jc w:val="left"/>
        <w:rPr>
          <w:rFonts w:ascii="宋体" w:hAnsi="宋体" w:cs="宋体"/>
          <w:sz w:val="24"/>
        </w:rPr>
      </w:pPr>
      <w:r>
        <w:rPr>
          <w:rFonts w:hint="eastAsia" w:ascii="宋体" w:hAnsi="宋体" w:cs="宋体"/>
          <w:sz w:val="24"/>
        </w:rPr>
        <w:t>（1）资格评（预）审部分：资格评（预）以</w:t>
      </w:r>
      <w:r>
        <w:rPr>
          <w:rFonts w:hint="eastAsia" w:ascii="宋体" w:hAnsi="宋体" w:cs="宋体"/>
          <w:sz w:val="24"/>
          <w:lang w:val="en-US" w:eastAsia="zh-CN"/>
        </w:rPr>
        <w:t>响应</w:t>
      </w:r>
      <w:r>
        <w:rPr>
          <w:rFonts w:hint="eastAsia" w:ascii="宋体" w:hAnsi="宋体" w:cs="宋体"/>
          <w:sz w:val="24"/>
        </w:rPr>
        <w:t>文件为准，其上传资料真实性由</w:t>
      </w:r>
      <w:r>
        <w:rPr>
          <w:rFonts w:hint="eastAsia" w:ascii="宋体" w:hAnsi="宋体" w:cs="宋体"/>
          <w:sz w:val="24"/>
          <w:lang w:eastAsia="zh-CN"/>
        </w:rPr>
        <w:t>供应商</w:t>
      </w:r>
      <w:r>
        <w:rPr>
          <w:rFonts w:hint="eastAsia" w:ascii="宋体" w:hAnsi="宋体" w:cs="宋体"/>
          <w:sz w:val="24"/>
        </w:rPr>
        <w:t>自行承担，同时，</w:t>
      </w:r>
      <w:r>
        <w:rPr>
          <w:rFonts w:hint="eastAsia" w:ascii="宋体" w:hAnsi="宋体" w:cs="宋体"/>
          <w:sz w:val="24"/>
          <w:lang w:eastAsia="zh-CN"/>
        </w:rPr>
        <w:t>供应商</w:t>
      </w:r>
      <w:r>
        <w:rPr>
          <w:rFonts w:hint="eastAsia" w:ascii="宋体" w:hAnsi="宋体" w:cs="宋体"/>
          <w:sz w:val="24"/>
        </w:rPr>
        <w:t>要完善主体库。</w:t>
      </w:r>
    </w:p>
    <w:p w14:paraId="2B7CFB25">
      <w:pPr>
        <w:spacing w:line="440" w:lineRule="exact"/>
        <w:ind w:firstLine="480" w:firstLineChars="200"/>
        <w:jc w:val="left"/>
        <w:rPr>
          <w:rFonts w:ascii="宋体" w:hAnsi="宋体" w:cs="宋体"/>
          <w:sz w:val="24"/>
        </w:rPr>
      </w:pPr>
      <w:r>
        <w:rPr>
          <w:rFonts w:hint="eastAsia" w:ascii="宋体" w:hAnsi="宋体" w:cs="宋体"/>
          <w:sz w:val="24"/>
        </w:rPr>
        <w:t>（2）评标打分部分：评标打分部分仍按照100分制原则进行，涉及到资格审查、企业荣誉、人员业绩、企业业绩等计分部分时，以</w:t>
      </w:r>
      <w:r>
        <w:rPr>
          <w:rFonts w:hint="eastAsia" w:ascii="宋体" w:hAnsi="宋体" w:cs="宋体"/>
          <w:sz w:val="24"/>
          <w:lang w:eastAsia="zh-CN"/>
        </w:rPr>
        <w:t>供应商</w:t>
      </w:r>
      <w:r>
        <w:rPr>
          <w:rFonts w:hint="eastAsia" w:ascii="宋体" w:hAnsi="宋体" w:cs="宋体"/>
          <w:sz w:val="24"/>
        </w:rPr>
        <w:t>自行上传到</w:t>
      </w:r>
      <w:r>
        <w:rPr>
          <w:rFonts w:hint="eastAsia" w:ascii="宋体" w:hAnsi="宋体" w:cs="宋体"/>
          <w:sz w:val="24"/>
          <w:lang w:eastAsia="zh-CN"/>
        </w:rPr>
        <w:t>响应文件</w:t>
      </w:r>
      <w:r>
        <w:rPr>
          <w:rFonts w:hint="eastAsia" w:ascii="宋体" w:hAnsi="宋体" w:cs="宋体"/>
          <w:sz w:val="24"/>
        </w:rPr>
        <w:t>中的相应内容为准。</w:t>
      </w:r>
    </w:p>
    <w:p w14:paraId="5C3B9007">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响应文件</w:t>
      </w:r>
      <w:r>
        <w:rPr>
          <w:rFonts w:hint="eastAsia" w:ascii="宋体" w:hAnsi="宋体" w:cs="宋体"/>
          <w:sz w:val="24"/>
        </w:rPr>
        <w:t>编制部分：在</w:t>
      </w:r>
      <w:r>
        <w:rPr>
          <w:rFonts w:hint="eastAsia" w:ascii="宋体" w:hAnsi="宋体" w:cs="宋体"/>
          <w:sz w:val="24"/>
          <w:lang w:eastAsia="zh-CN"/>
        </w:rPr>
        <w:t>竞争性磋商文件</w:t>
      </w:r>
      <w:r>
        <w:rPr>
          <w:rFonts w:hint="eastAsia" w:ascii="宋体" w:hAnsi="宋体" w:cs="宋体"/>
          <w:sz w:val="24"/>
        </w:rPr>
        <w:t>中要求</w:t>
      </w:r>
      <w:r>
        <w:rPr>
          <w:rFonts w:hint="eastAsia" w:ascii="宋体" w:hAnsi="宋体" w:cs="宋体"/>
          <w:sz w:val="24"/>
          <w:lang w:eastAsia="zh-CN"/>
        </w:rPr>
        <w:t>供应商</w:t>
      </w:r>
      <w:r>
        <w:rPr>
          <w:rFonts w:hint="eastAsia" w:ascii="宋体" w:hAnsi="宋体" w:cs="宋体"/>
          <w:sz w:val="24"/>
        </w:rPr>
        <w:t>按照</w:t>
      </w:r>
      <w:r>
        <w:rPr>
          <w:rFonts w:hint="eastAsia" w:ascii="宋体" w:hAnsi="宋体" w:cs="宋体"/>
          <w:sz w:val="24"/>
          <w:lang w:eastAsia="zh-CN"/>
        </w:rPr>
        <w:t>响应文件</w:t>
      </w:r>
      <w:r>
        <w:rPr>
          <w:rFonts w:hint="eastAsia" w:ascii="宋体" w:hAnsi="宋体" w:cs="宋体"/>
          <w:sz w:val="24"/>
        </w:rPr>
        <w:t>格式进行</w:t>
      </w:r>
      <w:r>
        <w:rPr>
          <w:rFonts w:hint="eastAsia" w:ascii="宋体" w:hAnsi="宋体" w:cs="宋体"/>
          <w:sz w:val="24"/>
          <w:lang w:eastAsia="zh-CN"/>
        </w:rPr>
        <w:t>响应文件</w:t>
      </w:r>
      <w:r>
        <w:rPr>
          <w:rFonts w:hint="eastAsia" w:ascii="宋体" w:hAnsi="宋体" w:cs="宋体"/>
          <w:sz w:val="24"/>
        </w:rPr>
        <w:t>编制，在</w:t>
      </w:r>
      <w:r>
        <w:rPr>
          <w:rFonts w:hint="eastAsia" w:ascii="宋体" w:hAnsi="宋体" w:cs="宋体"/>
          <w:sz w:val="24"/>
          <w:lang w:eastAsia="zh-CN"/>
        </w:rPr>
        <w:t>响应文件</w:t>
      </w:r>
      <w:r>
        <w:rPr>
          <w:rFonts w:hint="eastAsia" w:ascii="宋体" w:hAnsi="宋体" w:cs="宋体"/>
          <w:sz w:val="24"/>
        </w:rPr>
        <w:t>编制时，应明确将</w:t>
      </w:r>
      <w:r>
        <w:rPr>
          <w:rFonts w:hint="eastAsia" w:ascii="宋体" w:hAnsi="宋体" w:cs="宋体"/>
          <w:sz w:val="24"/>
          <w:lang w:eastAsia="zh-CN"/>
        </w:rPr>
        <w:t>供应商</w:t>
      </w:r>
      <w:r>
        <w:rPr>
          <w:rFonts w:hint="eastAsia" w:ascii="宋体" w:hAnsi="宋体" w:cs="宋体"/>
          <w:sz w:val="24"/>
        </w:rPr>
        <w:t>企业基本情况、资质情况、人员情况、财务情况、业绩情况编入</w:t>
      </w:r>
      <w:r>
        <w:rPr>
          <w:rFonts w:hint="eastAsia" w:ascii="宋体" w:hAnsi="宋体" w:cs="宋体"/>
          <w:sz w:val="24"/>
          <w:lang w:eastAsia="zh-CN"/>
        </w:rPr>
        <w:t>响应文件</w:t>
      </w:r>
      <w:r>
        <w:rPr>
          <w:rFonts w:hint="eastAsia" w:ascii="宋体" w:hAnsi="宋体" w:cs="宋体"/>
          <w:sz w:val="24"/>
        </w:rPr>
        <w:t>，便于进行资格审查及评标打分。</w:t>
      </w:r>
    </w:p>
    <w:p w14:paraId="6D34504A">
      <w:pPr>
        <w:spacing w:line="440" w:lineRule="exact"/>
        <w:ind w:firstLine="480" w:firstLineChars="200"/>
        <w:jc w:val="left"/>
        <w:rPr>
          <w:rFonts w:ascii="宋体" w:hAnsi="宋体" w:cs="宋体"/>
          <w:sz w:val="24"/>
        </w:rPr>
      </w:pPr>
      <w:r>
        <w:rPr>
          <w:rFonts w:hint="eastAsia" w:ascii="宋体" w:hAnsi="宋体" w:cs="宋体"/>
          <w:sz w:val="24"/>
        </w:rPr>
        <w:t>3、</w:t>
      </w:r>
      <w:r>
        <w:rPr>
          <w:rFonts w:hint="eastAsia" w:ascii="宋体" w:hAnsi="宋体" w:cs="宋体"/>
          <w:sz w:val="24"/>
          <w:lang w:eastAsia="zh-CN"/>
        </w:rPr>
        <w:t>供应商</w:t>
      </w:r>
      <w:r>
        <w:rPr>
          <w:rFonts w:hint="eastAsia" w:ascii="宋体" w:hAnsi="宋体" w:cs="宋体"/>
          <w:sz w:val="24"/>
        </w:rPr>
        <w:t>递交的资料和</w:t>
      </w:r>
      <w:r>
        <w:rPr>
          <w:rFonts w:hint="eastAsia" w:ascii="宋体" w:hAnsi="宋体" w:cs="宋体"/>
          <w:sz w:val="24"/>
          <w:lang w:eastAsia="zh-CN"/>
        </w:rPr>
        <w:t>响应文件</w:t>
      </w:r>
      <w:r>
        <w:rPr>
          <w:rFonts w:hint="eastAsia" w:ascii="宋体" w:hAnsi="宋体" w:cs="宋体"/>
          <w:sz w:val="24"/>
        </w:rPr>
        <w:t>不论中标与否均不予退还。</w:t>
      </w:r>
    </w:p>
    <w:p w14:paraId="52FF3559">
      <w:pPr>
        <w:spacing w:line="440" w:lineRule="exact"/>
        <w:ind w:firstLine="480" w:firstLineChars="200"/>
        <w:jc w:val="left"/>
        <w:rPr>
          <w:rFonts w:ascii="宋体" w:hAnsi="宋体" w:cs="宋体"/>
          <w:sz w:val="24"/>
        </w:rPr>
      </w:pPr>
      <w:r>
        <w:rPr>
          <w:rFonts w:hint="eastAsia" w:ascii="宋体" w:hAnsi="宋体" w:cs="宋体"/>
          <w:sz w:val="24"/>
        </w:rPr>
        <w:t>4、本项目评分业绩以</w:t>
      </w:r>
      <w:r>
        <w:rPr>
          <w:rFonts w:hint="eastAsia" w:ascii="宋体" w:hAnsi="宋体" w:cs="宋体"/>
          <w:sz w:val="24"/>
          <w:lang w:eastAsia="zh-CN"/>
        </w:rPr>
        <w:t>响应文件</w:t>
      </w:r>
      <w:r>
        <w:rPr>
          <w:rFonts w:hint="eastAsia" w:ascii="宋体" w:hAnsi="宋体" w:cs="宋体"/>
          <w:sz w:val="24"/>
        </w:rPr>
        <w:t>业绩信息为准，可使用电子营业执照。</w:t>
      </w:r>
    </w:p>
    <w:p w14:paraId="6765E466">
      <w:pPr>
        <w:spacing w:line="440" w:lineRule="exact"/>
        <w:ind w:firstLine="480" w:firstLineChars="200"/>
        <w:jc w:val="left"/>
        <w:rPr>
          <w:rFonts w:ascii="宋体" w:hAnsi="宋体" w:cs="宋体"/>
          <w:sz w:val="24"/>
        </w:rPr>
      </w:pPr>
      <w:r>
        <w:rPr>
          <w:rFonts w:hint="eastAsia" w:ascii="宋体" w:hAnsi="宋体" w:cs="宋体"/>
          <w:sz w:val="24"/>
        </w:rPr>
        <w:t>5、</w:t>
      </w:r>
      <w:r>
        <w:rPr>
          <w:rFonts w:hint="eastAsia" w:ascii="宋体" w:hAnsi="宋体" w:cs="宋体"/>
          <w:sz w:val="24"/>
          <w:lang w:eastAsia="zh-CN"/>
        </w:rPr>
        <w:t>采购人</w:t>
      </w: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踏勘现场。</w:t>
      </w:r>
    </w:p>
    <w:p w14:paraId="0272259B">
      <w:pPr>
        <w:spacing w:line="440" w:lineRule="exact"/>
        <w:ind w:firstLine="480" w:firstLineChars="200"/>
        <w:jc w:val="left"/>
        <w:rPr>
          <w:rFonts w:ascii="宋体" w:hAnsi="宋体" w:cs="宋体"/>
          <w:sz w:val="24"/>
        </w:rPr>
      </w:pPr>
      <w:r>
        <w:rPr>
          <w:rFonts w:hint="eastAsia" w:ascii="宋体" w:hAnsi="宋体" w:cs="宋体"/>
          <w:sz w:val="24"/>
        </w:rPr>
        <w:t>6、</w:t>
      </w:r>
      <w:r>
        <w:rPr>
          <w:rFonts w:hint="eastAsia" w:ascii="宋体" w:hAnsi="宋体" w:cs="宋体"/>
          <w:sz w:val="24"/>
          <w:lang w:eastAsia="zh-CN"/>
        </w:rPr>
        <w:t>供应商</w:t>
      </w:r>
      <w:r>
        <w:rPr>
          <w:rFonts w:hint="eastAsia" w:ascii="宋体" w:hAnsi="宋体" w:cs="宋体"/>
          <w:sz w:val="24"/>
        </w:rPr>
        <w:t>在参与本项目采购活动期间应及时关注本网站获取相关澄清或变更等信息（如果有）。</w:t>
      </w:r>
    </w:p>
    <w:p w14:paraId="3EEBEEB1">
      <w:pPr>
        <w:spacing w:line="440" w:lineRule="exact"/>
        <w:ind w:firstLine="480" w:firstLineChars="200"/>
        <w:jc w:val="left"/>
        <w:rPr>
          <w:rFonts w:ascii="宋体" w:hAnsi="宋体" w:cs="宋体"/>
          <w:b w:val="0"/>
          <w:szCs w:val="24"/>
        </w:rPr>
      </w:pPr>
      <w:r>
        <w:rPr>
          <w:rFonts w:hint="eastAsia" w:ascii="宋体" w:hAnsi="宋体" w:cs="宋体"/>
          <w:sz w:val="24"/>
        </w:rPr>
        <w:t>7、我单位（</w:t>
      </w:r>
      <w:r>
        <w:rPr>
          <w:rFonts w:hint="eastAsia" w:ascii="宋体" w:hAnsi="宋体" w:cs="宋体"/>
          <w:sz w:val="24"/>
          <w:lang w:val="en-US" w:eastAsia="zh-CN"/>
        </w:rPr>
        <w:t>采购人</w:t>
      </w:r>
      <w:r>
        <w:rPr>
          <w:rFonts w:hint="eastAsia" w:ascii="宋体" w:hAnsi="宋体" w:cs="宋体"/>
          <w:sz w:val="24"/>
        </w:rPr>
        <w:t>）严格按三财购【2021】9号文要求的时限发布中标结果公告，发出中标通知书，签订采购合同，上传采购合同。</w:t>
      </w:r>
    </w:p>
    <w:p w14:paraId="5344521F">
      <w:pPr>
        <w:spacing w:line="440" w:lineRule="exact"/>
        <w:ind w:firstLine="482" w:firstLineChars="200"/>
        <w:outlineLvl w:val="1"/>
        <w:rPr>
          <w:rFonts w:ascii="宋体" w:hAnsi="宋体" w:cs="宋体"/>
          <w:b/>
          <w:sz w:val="24"/>
        </w:rPr>
      </w:pPr>
      <w:bookmarkStart w:id="60" w:name="_Toc8989"/>
      <w:r>
        <w:rPr>
          <w:rFonts w:hint="eastAsia" w:ascii="宋体" w:hAnsi="宋体" w:cs="宋体"/>
          <w:b/>
          <w:sz w:val="24"/>
        </w:rPr>
        <w:t>九、发布公告的媒介</w:t>
      </w:r>
      <w:bookmarkEnd w:id="60"/>
    </w:p>
    <w:p w14:paraId="3A9D9867">
      <w:pPr>
        <w:spacing w:line="440" w:lineRule="exact"/>
        <w:ind w:firstLine="480" w:firstLineChars="200"/>
        <w:jc w:val="left"/>
        <w:rPr>
          <w:rFonts w:ascii="宋体" w:hAnsi="宋体" w:cs="宋体"/>
          <w:sz w:val="24"/>
        </w:rPr>
      </w:pPr>
      <w:r>
        <w:rPr>
          <w:rFonts w:hint="eastAsia" w:ascii="宋体" w:hAnsi="宋体" w:cs="宋体"/>
          <w:sz w:val="24"/>
        </w:rPr>
        <w:t>本次</w:t>
      </w:r>
      <w:r>
        <w:rPr>
          <w:rFonts w:hint="eastAsia" w:ascii="宋体" w:hAnsi="宋体" w:cs="宋体"/>
          <w:sz w:val="24"/>
          <w:lang w:val="en-US" w:eastAsia="zh-CN"/>
        </w:rPr>
        <w:t>竞争性磋商</w:t>
      </w:r>
      <w:r>
        <w:rPr>
          <w:rFonts w:hint="eastAsia" w:ascii="宋体" w:hAnsi="宋体" w:cs="宋体"/>
          <w:sz w:val="24"/>
        </w:rPr>
        <w:t>公告同时在</w:t>
      </w:r>
      <w:r>
        <w:rPr>
          <w:rFonts w:hint="eastAsia" w:ascii="宋体" w:hAnsi="宋体"/>
          <w:sz w:val="24"/>
        </w:rPr>
        <w:t>《中国采购与招标网》、《中国招标投标公共服务平台》、</w:t>
      </w:r>
      <w:r>
        <w:rPr>
          <w:rFonts w:hint="eastAsia" w:ascii="宋体" w:hAnsi="宋体" w:cs="宋体"/>
          <w:sz w:val="24"/>
        </w:rPr>
        <w:t>《河南省政府采购网》、《三门峡市公共资源交易中心》等媒体公开发布。</w:t>
      </w:r>
    </w:p>
    <w:p w14:paraId="615B7EB9">
      <w:pPr>
        <w:spacing w:line="440" w:lineRule="exact"/>
        <w:ind w:firstLine="480" w:firstLineChars="200"/>
        <w:jc w:val="left"/>
        <w:rPr>
          <w:rFonts w:ascii="宋体" w:hAnsi="宋体" w:cs="宋体"/>
          <w:sz w:val="24"/>
        </w:rPr>
      </w:pPr>
      <w:r>
        <w:rPr>
          <w:rFonts w:hint="eastAsia" w:ascii="宋体" w:hAnsi="宋体" w:cs="宋体"/>
          <w:sz w:val="24"/>
        </w:rPr>
        <w:t>温馨提示：本项目为电子化、无纸化交易项目，开标时不再接受任何纸质资料，为保证您能投标成功，请需仔细阅读</w:t>
      </w:r>
      <w:r>
        <w:rPr>
          <w:rFonts w:hint="eastAsia" w:ascii="宋体" w:hAnsi="宋体" w:cs="宋体"/>
          <w:sz w:val="24"/>
          <w:lang w:eastAsia="zh-CN"/>
        </w:rPr>
        <w:t>竞争性磋商文件</w:t>
      </w:r>
      <w:r>
        <w:rPr>
          <w:rFonts w:hint="eastAsia" w:ascii="宋体" w:hAnsi="宋体" w:cs="宋体"/>
          <w:sz w:val="24"/>
        </w:rPr>
        <w:t>和三门峡市公共资源交易中心官网业务办理指南。</w:t>
      </w:r>
    </w:p>
    <w:p w14:paraId="65626A64">
      <w:pPr>
        <w:numPr>
          <w:ilvl w:val="0"/>
          <w:numId w:val="1"/>
        </w:numPr>
        <w:spacing w:line="440" w:lineRule="exact"/>
        <w:ind w:firstLine="482" w:firstLineChars="200"/>
        <w:outlineLvl w:val="1"/>
        <w:rPr>
          <w:rFonts w:ascii="宋体" w:hAnsi="宋体" w:cs="宋体"/>
          <w:b/>
          <w:sz w:val="24"/>
        </w:rPr>
      </w:pPr>
      <w:bookmarkStart w:id="61" w:name="_Toc24069"/>
      <w:r>
        <w:rPr>
          <w:rFonts w:hint="eastAsia" w:ascii="宋体" w:hAnsi="宋体" w:cs="宋体"/>
          <w:b/>
          <w:sz w:val="24"/>
        </w:rPr>
        <w:t>联系方式</w:t>
      </w:r>
      <w:bookmarkEnd w:id="61"/>
    </w:p>
    <w:p w14:paraId="5F35977B">
      <w:pPr>
        <w:spacing w:line="440" w:lineRule="exact"/>
        <w:ind w:firstLine="480" w:firstLineChars="200"/>
        <w:jc w:val="left"/>
        <w:rPr>
          <w:rFonts w:ascii="宋体" w:hAnsi="宋体" w:cs="宋体"/>
          <w:sz w:val="24"/>
        </w:rPr>
      </w:pPr>
      <w:r>
        <w:rPr>
          <w:rFonts w:hint="eastAsia" w:ascii="宋体" w:hAnsi="宋体" w:cs="宋体"/>
          <w:sz w:val="24"/>
        </w:rPr>
        <w:t>监督部门：三门峡市陕州区财政局采购监督管理科</w:t>
      </w:r>
    </w:p>
    <w:p w14:paraId="1184BE3E">
      <w:pPr>
        <w:spacing w:line="440" w:lineRule="exact"/>
        <w:ind w:firstLine="480" w:firstLineChars="200"/>
        <w:jc w:val="left"/>
        <w:rPr>
          <w:rFonts w:ascii="宋体" w:hAnsi="宋体" w:cs="宋体"/>
          <w:sz w:val="24"/>
        </w:rPr>
      </w:pPr>
      <w:r>
        <w:rPr>
          <w:rFonts w:hint="eastAsia" w:ascii="宋体" w:hAnsi="宋体" w:cs="宋体"/>
          <w:sz w:val="24"/>
        </w:rPr>
        <w:t>联系电话：0398-3839210</w:t>
      </w:r>
    </w:p>
    <w:p w14:paraId="68EAC665">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1C2ABB55">
      <w:pPr>
        <w:spacing w:line="440" w:lineRule="exact"/>
        <w:ind w:firstLine="480" w:firstLineChars="200"/>
        <w:jc w:val="left"/>
        <w:rPr>
          <w:rFonts w:ascii="宋体" w:hAnsi="宋体" w:cs="宋体"/>
          <w:sz w:val="24"/>
        </w:rPr>
      </w:pPr>
      <w:r>
        <w:rPr>
          <w:rFonts w:hint="eastAsia" w:ascii="宋体" w:hAnsi="宋体" w:cs="宋体"/>
          <w:sz w:val="24"/>
        </w:rPr>
        <w:t>地址：三门峡市陕州区通秦路与神力路交叉口东南角</w:t>
      </w:r>
    </w:p>
    <w:p w14:paraId="42FD7EF3">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6B189EF8">
      <w:pPr>
        <w:spacing w:line="440" w:lineRule="exact"/>
        <w:ind w:firstLine="480" w:firstLineChars="200"/>
        <w:jc w:val="left"/>
        <w:rPr>
          <w:rFonts w:ascii="宋体" w:hAnsi="宋体" w:cs="宋体"/>
          <w:sz w:val="24"/>
        </w:rPr>
      </w:pPr>
      <w:r>
        <w:rPr>
          <w:rFonts w:hint="eastAsia" w:ascii="宋体" w:hAnsi="宋体" w:cs="宋体"/>
          <w:sz w:val="24"/>
        </w:rPr>
        <w:t>电  话：15939878271</w:t>
      </w:r>
    </w:p>
    <w:p w14:paraId="7BF66231">
      <w:pPr>
        <w:spacing w:line="440" w:lineRule="exact"/>
        <w:ind w:firstLine="480" w:firstLineChars="200"/>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79656C1E">
      <w:pPr>
        <w:spacing w:line="600" w:lineRule="exact"/>
        <w:ind w:firstLine="480" w:firstLineChars="200"/>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14E66141">
      <w:pPr>
        <w:spacing w:line="440" w:lineRule="exact"/>
        <w:ind w:firstLine="480" w:firstLineChars="200"/>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0287E32E">
      <w:pPr>
        <w:spacing w:line="440" w:lineRule="exact"/>
        <w:ind w:firstLine="480" w:firstLineChars="200"/>
        <w:jc w:val="left"/>
        <w:rPr>
          <w:rFonts w:hint="eastAsia" w:ascii="宋体" w:hAnsi="宋体"/>
          <w:sz w:val="24"/>
          <w:lang w:val="en-US" w:eastAsia="zh-CN"/>
        </w:rPr>
      </w:pPr>
      <w:r>
        <w:rPr>
          <w:rFonts w:hint="eastAsia" w:ascii="宋体" w:hAnsi="宋体" w:cs="宋体"/>
          <w:sz w:val="24"/>
        </w:rPr>
        <w:t>电  话：</w:t>
      </w:r>
      <w:r>
        <w:rPr>
          <w:rFonts w:hint="eastAsia" w:ascii="宋体" w:hAnsi="宋体"/>
          <w:sz w:val="24"/>
          <w:lang w:val="en-US" w:eastAsia="zh-CN"/>
        </w:rPr>
        <w:t>13849837215</w:t>
      </w:r>
    </w:p>
    <w:p w14:paraId="49209FDF">
      <w:pPr>
        <w:widowControl/>
        <w:spacing w:line="360" w:lineRule="auto"/>
        <w:jc w:val="left"/>
        <w:rPr>
          <w:rFonts w:ascii="宋体" w:hAnsi="宋体" w:cs="宋体"/>
          <w:b/>
          <w:spacing w:val="14"/>
          <w:sz w:val="32"/>
          <w:szCs w:val="32"/>
        </w:rPr>
      </w:pPr>
      <w:bookmarkStart w:id="62" w:name="_Toc13502"/>
      <w:r>
        <w:rPr>
          <w:rFonts w:hint="eastAsia" w:ascii="宋体" w:hAnsi="宋体" w:cs="宋体"/>
          <w:b/>
          <w:spacing w:val="14"/>
          <w:sz w:val="32"/>
          <w:szCs w:val="32"/>
        </w:rPr>
        <w:br w:type="page"/>
      </w:r>
    </w:p>
    <w:p w14:paraId="5B192F5A">
      <w:pPr>
        <w:pStyle w:val="3"/>
        <w:jc w:val="center"/>
      </w:pPr>
      <w:bookmarkStart w:id="63" w:name="_Toc193295703"/>
      <w:bookmarkStart w:id="64" w:name="_Toc142932627"/>
      <w:bookmarkStart w:id="65" w:name="_Toc24547"/>
      <w:r>
        <w:rPr>
          <w:rFonts w:hint="eastAsia"/>
        </w:rPr>
        <w:t xml:space="preserve">第二章 </w:t>
      </w:r>
      <w:r>
        <w:rPr>
          <w:rFonts w:hint="eastAsia"/>
          <w:lang w:eastAsia="zh-CN"/>
        </w:rPr>
        <w:t>供应商</w:t>
      </w:r>
      <w:r>
        <w:rPr>
          <w:rFonts w:hint="eastAsia"/>
        </w:rPr>
        <w:t>须知</w:t>
      </w:r>
      <w:bookmarkEnd w:id="62"/>
      <w:bookmarkEnd w:id="63"/>
      <w:bookmarkEnd w:id="64"/>
      <w:bookmarkEnd w:id="65"/>
    </w:p>
    <w:p w14:paraId="7AA8E516">
      <w:pPr>
        <w:pStyle w:val="5"/>
        <w:keepNext w:val="0"/>
        <w:keepLines w:val="0"/>
        <w:widowControl/>
        <w:jc w:val="center"/>
        <w:rPr>
          <w:rFonts w:ascii="宋体" w:hAnsi="宋体" w:cs="宋体"/>
        </w:rPr>
      </w:pPr>
      <w:bookmarkStart w:id="66" w:name="_Toc25088"/>
      <w:bookmarkEnd w:id="66"/>
      <w:bookmarkStart w:id="67" w:name="_Toc12765"/>
      <w:bookmarkEnd w:id="67"/>
      <w:bookmarkStart w:id="68" w:name="_Toc184635070"/>
      <w:bookmarkEnd w:id="68"/>
      <w:bookmarkStart w:id="69" w:name="_Toc26812"/>
      <w:bookmarkStart w:id="70" w:name="_Toc28094"/>
      <w:r>
        <w:rPr>
          <w:rFonts w:hint="eastAsia" w:ascii="宋体" w:hAnsi="宋体" w:cs="宋体"/>
          <w:lang w:eastAsia="zh-CN"/>
        </w:rPr>
        <w:t>供应商</w:t>
      </w:r>
      <w:r>
        <w:rPr>
          <w:rFonts w:hint="eastAsia" w:ascii="宋体" w:hAnsi="宋体" w:cs="宋体"/>
        </w:rPr>
        <w:t>须知前附表</w:t>
      </w:r>
      <w:bookmarkEnd w:id="69"/>
      <w:bookmarkEnd w:id="70"/>
    </w:p>
    <w:tbl>
      <w:tblPr>
        <w:tblStyle w:val="43"/>
        <w:tblW w:w="1008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6"/>
        <w:gridCol w:w="2400"/>
        <w:gridCol w:w="6623"/>
      </w:tblGrid>
      <w:tr w14:paraId="5AEDE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8107799">
            <w:pPr>
              <w:spacing w:line="360" w:lineRule="auto"/>
              <w:rPr>
                <w:rFonts w:ascii="宋体" w:hAnsi="宋体" w:cs="宋体"/>
                <w:sz w:val="24"/>
              </w:rPr>
            </w:pPr>
            <w:r>
              <w:rPr>
                <w:rFonts w:hint="eastAsia" w:ascii="宋体" w:hAnsi="宋体" w:cs="宋体"/>
                <w:sz w:val="24"/>
              </w:rPr>
              <w:t>条款号</w:t>
            </w:r>
          </w:p>
        </w:tc>
        <w:tc>
          <w:tcPr>
            <w:tcW w:w="2400" w:type="dxa"/>
            <w:tcBorders>
              <w:top w:val="single" w:color="auto" w:sz="4" w:space="0"/>
              <w:left w:val="nil"/>
              <w:bottom w:val="single" w:color="auto" w:sz="4" w:space="0"/>
              <w:right w:val="single" w:color="auto" w:sz="4" w:space="0"/>
            </w:tcBorders>
            <w:vAlign w:val="center"/>
          </w:tcPr>
          <w:p w14:paraId="3C6A46C9">
            <w:pPr>
              <w:spacing w:line="360" w:lineRule="auto"/>
              <w:rPr>
                <w:rFonts w:ascii="宋体" w:hAnsi="宋体" w:cs="宋体"/>
                <w:sz w:val="24"/>
              </w:rPr>
            </w:pPr>
            <w:r>
              <w:rPr>
                <w:rFonts w:hint="eastAsia" w:ascii="宋体" w:hAnsi="宋体" w:cs="宋体"/>
                <w:sz w:val="24"/>
              </w:rPr>
              <w:t>条 款 名 称</w:t>
            </w:r>
          </w:p>
        </w:tc>
        <w:tc>
          <w:tcPr>
            <w:tcW w:w="6623" w:type="dxa"/>
            <w:tcBorders>
              <w:top w:val="single" w:color="auto" w:sz="4" w:space="0"/>
              <w:left w:val="nil"/>
              <w:bottom w:val="single" w:color="auto" w:sz="4" w:space="0"/>
              <w:right w:val="single" w:color="auto" w:sz="4" w:space="0"/>
            </w:tcBorders>
            <w:vAlign w:val="center"/>
          </w:tcPr>
          <w:p w14:paraId="2093C112">
            <w:pPr>
              <w:spacing w:line="360" w:lineRule="auto"/>
              <w:rPr>
                <w:rFonts w:ascii="宋体" w:hAnsi="宋体" w:cs="宋体"/>
                <w:sz w:val="24"/>
              </w:rPr>
            </w:pPr>
            <w:r>
              <w:rPr>
                <w:rFonts w:hint="eastAsia" w:ascii="宋体" w:hAnsi="宋体" w:cs="宋体"/>
                <w:sz w:val="24"/>
              </w:rPr>
              <w:t>编 列 内 容</w:t>
            </w:r>
          </w:p>
        </w:tc>
      </w:tr>
      <w:tr w14:paraId="6E5CF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518C5E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3114A92">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采购人</w:t>
            </w:r>
          </w:p>
        </w:tc>
        <w:tc>
          <w:tcPr>
            <w:tcW w:w="6623" w:type="dxa"/>
            <w:tcBorders>
              <w:top w:val="single" w:color="auto" w:sz="4" w:space="0"/>
              <w:left w:val="nil"/>
              <w:bottom w:val="single" w:color="auto" w:sz="4" w:space="0"/>
              <w:right w:val="single" w:color="auto" w:sz="4" w:space="0"/>
            </w:tcBorders>
            <w:vAlign w:val="center"/>
          </w:tcPr>
          <w:p w14:paraId="1FCF3672">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采购人</w:t>
            </w:r>
            <w:r>
              <w:rPr>
                <w:rFonts w:hint="eastAsia" w:ascii="宋体" w:hAnsi="宋体" w:cs="宋体"/>
                <w:sz w:val="24"/>
              </w:rPr>
              <w:t>：</w:t>
            </w:r>
            <w:r>
              <w:rPr>
                <w:rFonts w:hint="eastAsia" w:ascii="宋体" w:hAnsi="宋体" w:cs="宋体"/>
                <w:sz w:val="24"/>
                <w:lang w:eastAsia="zh-CN"/>
              </w:rPr>
              <w:t>三门峡市陕州区黄河河务局</w:t>
            </w:r>
          </w:p>
          <w:p w14:paraId="5F23CB0A">
            <w:pPr>
              <w:spacing w:line="440" w:lineRule="exact"/>
              <w:jc w:val="left"/>
              <w:rPr>
                <w:rFonts w:ascii="宋体" w:hAnsi="宋体" w:cs="宋体"/>
                <w:sz w:val="24"/>
              </w:rPr>
            </w:pPr>
            <w:r>
              <w:rPr>
                <w:rFonts w:hint="eastAsia" w:ascii="宋体" w:hAnsi="宋体" w:cs="宋体"/>
                <w:sz w:val="24"/>
              </w:rPr>
              <w:t>地址：三门峡市陕州区通秦路与神力路交叉口东南角</w:t>
            </w:r>
          </w:p>
          <w:p w14:paraId="0D05CA09">
            <w:pPr>
              <w:spacing w:line="440" w:lineRule="exact"/>
              <w:jc w:val="left"/>
              <w:rPr>
                <w:rFonts w:hint="eastAsia" w:ascii="宋体" w:hAnsi="宋体" w:eastAsia="宋体" w:cs="宋体"/>
                <w:sz w:val="24"/>
                <w:lang w:eastAsia="zh-CN"/>
              </w:rPr>
            </w:pPr>
            <w:r>
              <w:rPr>
                <w:rFonts w:hint="eastAsia" w:ascii="宋体" w:hAnsi="宋体" w:cs="宋体"/>
                <w:sz w:val="24"/>
              </w:rPr>
              <w:t>联系人：</w:t>
            </w:r>
            <w:r>
              <w:rPr>
                <w:rFonts w:hint="eastAsia" w:ascii="宋体" w:hAnsi="宋体" w:cs="宋体"/>
                <w:sz w:val="24"/>
                <w:lang w:val="en-US" w:eastAsia="zh-CN"/>
              </w:rPr>
              <w:t>卢先生</w:t>
            </w:r>
          </w:p>
          <w:p w14:paraId="22F08E03">
            <w:pPr>
              <w:spacing w:line="440" w:lineRule="exact"/>
              <w:jc w:val="left"/>
              <w:rPr>
                <w:rFonts w:ascii="宋体" w:hAnsi="宋体" w:cs="宋体"/>
                <w:sz w:val="24"/>
              </w:rPr>
            </w:pPr>
            <w:r>
              <w:rPr>
                <w:rFonts w:hint="eastAsia" w:ascii="宋体" w:hAnsi="宋体" w:cs="宋体"/>
                <w:sz w:val="24"/>
              </w:rPr>
              <w:t>电  话：15939878271</w:t>
            </w:r>
          </w:p>
        </w:tc>
      </w:tr>
      <w:tr w14:paraId="58DDC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AE7CA">
            <w:pPr>
              <w:spacing w:line="360" w:lineRule="auto"/>
              <w:jc w:val="center"/>
              <w:rPr>
                <w:rFonts w:ascii="宋体" w:hAnsi="宋体" w:cs="宋体"/>
                <w:sz w:val="24"/>
              </w:rPr>
            </w:pPr>
            <w:r>
              <w:rPr>
                <w:rFonts w:hint="eastAsia" w:ascii="宋体" w:hAnsi="宋体" w:cs="宋体"/>
                <w:sz w:val="24"/>
              </w:rPr>
              <w:t>1.1.3</w:t>
            </w:r>
          </w:p>
        </w:tc>
        <w:tc>
          <w:tcPr>
            <w:tcW w:w="2400" w:type="dxa"/>
            <w:tcBorders>
              <w:top w:val="single" w:color="auto" w:sz="4" w:space="0"/>
              <w:left w:val="nil"/>
              <w:bottom w:val="single" w:color="auto" w:sz="4" w:space="0"/>
              <w:right w:val="single" w:color="auto" w:sz="4" w:space="0"/>
            </w:tcBorders>
            <w:vAlign w:val="center"/>
          </w:tcPr>
          <w:p w14:paraId="28F83DA9">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代理机构</w:t>
            </w:r>
          </w:p>
        </w:tc>
        <w:tc>
          <w:tcPr>
            <w:tcW w:w="6623" w:type="dxa"/>
            <w:tcBorders>
              <w:top w:val="single" w:color="auto" w:sz="4" w:space="0"/>
              <w:left w:val="nil"/>
              <w:bottom w:val="single" w:color="auto" w:sz="4" w:space="0"/>
              <w:right w:val="single" w:color="auto" w:sz="4" w:space="0"/>
            </w:tcBorders>
            <w:vAlign w:val="center"/>
          </w:tcPr>
          <w:p w14:paraId="6273AA45">
            <w:pPr>
              <w:spacing w:line="440" w:lineRule="exact"/>
              <w:jc w:val="left"/>
              <w:rPr>
                <w:rFonts w:hint="eastAsia" w:ascii="宋体" w:hAnsi="宋体" w:eastAsia="宋体" w:cs="宋体"/>
                <w:sz w:val="24"/>
                <w:lang w:eastAsia="zh-CN"/>
              </w:rPr>
            </w:pPr>
            <w:r>
              <w:rPr>
                <w:rFonts w:hint="eastAsia" w:ascii="宋体" w:hAnsi="宋体" w:cs="宋体"/>
                <w:sz w:val="24"/>
                <w:lang w:val="en-US" w:eastAsia="zh-CN"/>
              </w:rPr>
              <w:t>采购</w:t>
            </w:r>
            <w:r>
              <w:rPr>
                <w:rFonts w:hint="eastAsia" w:ascii="宋体" w:hAnsi="宋体" w:cs="宋体"/>
                <w:sz w:val="24"/>
              </w:rPr>
              <w:t>代理机构:</w:t>
            </w:r>
            <w:r>
              <w:rPr>
                <w:rFonts w:hint="eastAsia" w:ascii="宋体" w:hAnsi="宋体" w:cs="宋体"/>
                <w:sz w:val="24"/>
                <w:lang w:eastAsia="zh-CN"/>
              </w:rPr>
              <w:t>河南禾众工程管理有限公司</w:t>
            </w:r>
          </w:p>
          <w:p w14:paraId="0CB1AF31">
            <w:pPr>
              <w:spacing w:line="600" w:lineRule="exact"/>
              <w:jc w:val="left"/>
              <w:rPr>
                <w:rFonts w:hint="default" w:ascii="宋体" w:hAnsi="宋体" w:eastAsia="宋体"/>
                <w:sz w:val="24"/>
                <w:lang w:val="en-US" w:eastAsia="zh-CN"/>
              </w:rPr>
            </w:pPr>
            <w:r>
              <w:rPr>
                <w:rFonts w:hint="eastAsia" w:ascii="宋体" w:hAnsi="宋体" w:cs="宋体"/>
                <w:sz w:val="24"/>
              </w:rPr>
              <w:t>地址：</w:t>
            </w:r>
            <w:r>
              <w:rPr>
                <w:rFonts w:hint="eastAsia" w:ascii="宋体" w:hAnsi="宋体"/>
                <w:sz w:val="24"/>
                <w:lang w:val="en-US" w:eastAsia="zh-CN"/>
              </w:rPr>
              <w:t>三门峡市商务中心区鸿庆国际1310室</w:t>
            </w:r>
          </w:p>
          <w:p w14:paraId="3C822EF7">
            <w:pPr>
              <w:spacing w:line="440" w:lineRule="exact"/>
              <w:jc w:val="left"/>
              <w:rPr>
                <w:rFonts w:hint="eastAsia" w:ascii="宋体" w:hAnsi="宋体"/>
                <w:sz w:val="24"/>
              </w:rPr>
            </w:pPr>
            <w:r>
              <w:rPr>
                <w:rFonts w:hint="eastAsia" w:ascii="宋体" w:hAnsi="宋体" w:cs="宋体"/>
                <w:sz w:val="24"/>
              </w:rPr>
              <w:t>联</w:t>
            </w:r>
            <w:r>
              <w:rPr>
                <w:rFonts w:ascii="宋体" w:hAnsi="宋体" w:cs="宋体"/>
                <w:sz w:val="24"/>
              </w:rPr>
              <w:t xml:space="preserve"> 系 人：</w:t>
            </w:r>
            <w:r>
              <w:rPr>
                <w:rFonts w:hint="eastAsia" w:ascii="宋体" w:hAnsi="宋体"/>
                <w:sz w:val="24"/>
                <w:lang w:val="en-US" w:eastAsia="zh-CN"/>
              </w:rPr>
              <w:t>狄女士</w:t>
            </w:r>
            <w:r>
              <w:rPr>
                <w:rFonts w:hint="eastAsia" w:ascii="宋体" w:hAnsi="宋体"/>
                <w:sz w:val="24"/>
              </w:rPr>
              <w:t xml:space="preserve">   </w:t>
            </w:r>
          </w:p>
          <w:p w14:paraId="20DA4C81">
            <w:pPr>
              <w:spacing w:line="360" w:lineRule="auto"/>
              <w:jc w:val="left"/>
              <w:rPr>
                <w:rFonts w:ascii="宋体" w:hAnsi="宋体" w:cs="宋体"/>
                <w:sz w:val="24"/>
              </w:rPr>
            </w:pPr>
            <w:r>
              <w:rPr>
                <w:rFonts w:hint="eastAsia" w:ascii="宋体" w:hAnsi="宋体" w:cs="宋体"/>
                <w:sz w:val="24"/>
              </w:rPr>
              <w:t>电  话：</w:t>
            </w:r>
            <w:r>
              <w:rPr>
                <w:rFonts w:hint="eastAsia" w:ascii="宋体" w:hAnsi="宋体"/>
                <w:sz w:val="24"/>
                <w:lang w:val="en-US" w:eastAsia="zh-CN"/>
              </w:rPr>
              <w:t>13849837215</w:t>
            </w:r>
          </w:p>
        </w:tc>
      </w:tr>
      <w:tr w14:paraId="569764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7D243C">
            <w:pPr>
              <w:spacing w:line="360" w:lineRule="auto"/>
              <w:jc w:val="center"/>
              <w:rPr>
                <w:rFonts w:ascii="宋体" w:hAnsi="宋体" w:cs="宋体"/>
                <w:sz w:val="24"/>
              </w:rPr>
            </w:pPr>
            <w:r>
              <w:rPr>
                <w:rFonts w:hint="eastAsia" w:ascii="宋体" w:hAnsi="宋体" w:cs="宋体"/>
                <w:sz w:val="24"/>
              </w:rPr>
              <w:t>1.1.4</w:t>
            </w:r>
          </w:p>
        </w:tc>
        <w:tc>
          <w:tcPr>
            <w:tcW w:w="2400" w:type="dxa"/>
            <w:tcBorders>
              <w:top w:val="single" w:color="auto" w:sz="4" w:space="0"/>
              <w:left w:val="nil"/>
              <w:bottom w:val="single" w:color="auto" w:sz="4" w:space="0"/>
              <w:right w:val="single" w:color="auto" w:sz="4" w:space="0"/>
            </w:tcBorders>
            <w:vAlign w:val="center"/>
          </w:tcPr>
          <w:p w14:paraId="15BF5982">
            <w:pPr>
              <w:spacing w:line="360" w:lineRule="auto"/>
              <w:jc w:val="center"/>
              <w:rPr>
                <w:rFonts w:ascii="宋体" w:hAnsi="宋体" w:cs="宋体"/>
                <w:sz w:val="24"/>
              </w:rPr>
            </w:pPr>
            <w:r>
              <w:rPr>
                <w:rFonts w:hint="eastAsia" w:ascii="宋体" w:hAnsi="宋体" w:cs="宋体"/>
                <w:sz w:val="24"/>
              </w:rPr>
              <w:t>项目名称</w:t>
            </w:r>
          </w:p>
        </w:tc>
        <w:tc>
          <w:tcPr>
            <w:tcW w:w="6623" w:type="dxa"/>
            <w:tcBorders>
              <w:top w:val="single" w:color="auto" w:sz="4" w:space="0"/>
              <w:left w:val="nil"/>
              <w:bottom w:val="single" w:color="auto" w:sz="4" w:space="0"/>
              <w:right w:val="single" w:color="auto" w:sz="4" w:space="0"/>
            </w:tcBorders>
            <w:vAlign w:val="center"/>
          </w:tcPr>
          <w:p w14:paraId="04B018BD">
            <w:pPr>
              <w:spacing w:line="360" w:lineRule="auto"/>
              <w:jc w:val="left"/>
              <w:rPr>
                <w:rFonts w:hint="eastAsia" w:ascii="宋体" w:hAnsi="宋体" w:eastAsia="宋体" w:cs="宋体"/>
                <w:sz w:val="24"/>
                <w:lang w:eastAsia="zh-CN"/>
              </w:rPr>
            </w:pPr>
            <w:r>
              <w:rPr>
                <w:rFonts w:hint="eastAsia" w:ascii="宋体" w:hAnsi="宋体" w:cs="宋体"/>
                <w:sz w:val="24"/>
                <w:lang w:eastAsia="zh-CN"/>
              </w:rPr>
              <w:t>三门峡市陕州区2024年中央和地方水库移民扶持基金项目（第一标段—第四标段项目）第三标段（四次）</w:t>
            </w:r>
          </w:p>
        </w:tc>
      </w:tr>
      <w:tr w14:paraId="18530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16C1339">
            <w:pPr>
              <w:spacing w:line="360" w:lineRule="auto"/>
              <w:jc w:val="center"/>
              <w:rPr>
                <w:rFonts w:ascii="宋体" w:hAnsi="宋体" w:cs="宋体"/>
                <w:sz w:val="24"/>
              </w:rPr>
            </w:pPr>
            <w:r>
              <w:rPr>
                <w:rFonts w:hint="eastAsia" w:ascii="宋体" w:hAnsi="宋体" w:cs="宋体"/>
                <w:sz w:val="24"/>
              </w:rPr>
              <w:t>1.1.5</w:t>
            </w:r>
          </w:p>
        </w:tc>
        <w:tc>
          <w:tcPr>
            <w:tcW w:w="2400" w:type="dxa"/>
            <w:tcBorders>
              <w:top w:val="single" w:color="auto" w:sz="4" w:space="0"/>
              <w:left w:val="nil"/>
              <w:bottom w:val="single" w:color="auto" w:sz="4" w:space="0"/>
              <w:right w:val="single" w:color="auto" w:sz="4" w:space="0"/>
            </w:tcBorders>
            <w:vAlign w:val="center"/>
          </w:tcPr>
          <w:p w14:paraId="6E3F08E0">
            <w:pPr>
              <w:spacing w:line="360" w:lineRule="auto"/>
              <w:jc w:val="center"/>
              <w:rPr>
                <w:rFonts w:ascii="宋体" w:hAnsi="宋体" w:cs="宋体"/>
                <w:sz w:val="24"/>
              </w:rPr>
            </w:pPr>
            <w:r>
              <w:rPr>
                <w:rFonts w:hint="eastAsia" w:ascii="宋体" w:hAnsi="宋体" w:cs="宋体"/>
                <w:sz w:val="24"/>
              </w:rPr>
              <w:t>建设地点</w:t>
            </w:r>
          </w:p>
        </w:tc>
        <w:tc>
          <w:tcPr>
            <w:tcW w:w="6623" w:type="dxa"/>
            <w:tcBorders>
              <w:top w:val="single" w:color="auto" w:sz="4" w:space="0"/>
              <w:left w:val="nil"/>
              <w:bottom w:val="single" w:color="auto" w:sz="4" w:space="0"/>
              <w:right w:val="single" w:color="auto" w:sz="4" w:space="0"/>
            </w:tcBorders>
            <w:vAlign w:val="center"/>
          </w:tcPr>
          <w:p w14:paraId="02F55FF0">
            <w:pPr>
              <w:spacing w:line="360" w:lineRule="auto"/>
              <w:jc w:val="left"/>
              <w:rPr>
                <w:rFonts w:ascii="宋体" w:hAnsi="宋体" w:cs="宋体"/>
                <w:sz w:val="24"/>
              </w:rPr>
            </w:pPr>
            <w:r>
              <w:rPr>
                <w:rFonts w:hint="eastAsia" w:ascii="宋体" w:hAnsi="宋体" w:cs="宋体"/>
                <w:sz w:val="24"/>
                <w:lang w:val="en-US" w:eastAsia="zh-CN"/>
              </w:rPr>
              <w:t>陕州区</w:t>
            </w:r>
            <w:r>
              <w:rPr>
                <w:rFonts w:hint="eastAsia" w:ascii="宋体" w:hAnsi="宋体" w:cs="宋体"/>
                <w:sz w:val="24"/>
              </w:rPr>
              <w:t>区域内</w:t>
            </w:r>
          </w:p>
        </w:tc>
      </w:tr>
      <w:tr w14:paraId="3AAD1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FC47A7A">
            <w:pPr>
              <w:spacing w:line="360" w:lineRule="auto"/>
              <w:jc w:val="center"/>
              <w:rPr>
                <w:rFonts w:ascii="宋体" w:hAnsi="宋体" w:cs="宋体"/>
                <w:sz w:val="24"/>
              </w:rPr>
            </w:pPr>
            <w:r>
              <w:rPr>
                <w:rFonts w:hint="eastAsia" w:ascii="宋体" w:hAnsi="宋体" w:cs="宋体"/>
                <w:sz w:val="24"/>
              </w:rPr>
              <w:t>1.2.1</w:t>
            </w:r>
          </w:p>
        </w:tc>
        <w:tc>
          <w:tcPr>
            <w:tcW w:w="2400" w:type="dxa"/>
            <w:tcBorders>
              <w:top w:val="single" w:color="auto" w:sz="4" w:space="0"/>
              <w:left w:val="nil"/>
              <w:bottom w:val="single" w:color="auto" w:sz="4" w:space="0"/>
              <w:right w:val="single" w:color="auto" w:sz="4" w:space="0"/>
            </w:tcBorders>
            <w:vAlign w:val="center"/>
          </w:tcPr>
          <w:p w14:paraId="225A0932">
            <w:pPr>
              <w:spacing w:line="360" w:lineRule="auto"/>
              <w:jc w:val="center"/>
              <w:rPr>
                <w:rFonts w:ascii="宋体" w:hAnsi="宋体" w:cs="宋体"/>
                <w:sz w:val="24"/>
              </w:rPr>
            </w:pPr>
            <w:r>
              <w:rPr>
                <w:rFonts w:hint="eastAsia" w:ascii="宋体" w:hAnsi="宋体" w:cs="宋体"/>
                <w:sz w:val="24"/>
              </w:rPr>
              <w:t>资金来源</w:t>
            </w:r>
          </w:p>
        </w:tc>
        <w:tc>
          <w:tcPr>
            <w:tcW w:w="6623" w:type="dxa"/>
            <w:tcBorders>
              <w:top w:val="single" w:color="auto" w:sz="4" w:space="0"/>
              <w:left w:val="nil"/>
              <w:bottom w:val="single" w:color="auto" w:sz="4" w:space="0"/>
              <w:right w:val="single" w:color="auto" w:sz="4" w:space="0"/>
            </w:tcBorders>
            <w:vAlign w:val="center"/>
          </w:tcPr>
          <w:p w14:paraId="4569BD76">
            <w:pPr>
              <w:spacing w:line="360" w:lineRule="auto"/>
              <w:jc w:val="left"/>
              <w:rPr>
                <w:rFonts w:ascii="宋体" w:hAnsi="宋体" w:cs="宋体"/>
                <w:sz w:val="24"/>
              </w:rPr>
            </w:pPr>
            <w:r>
              <w:rPr>
                <w:rFonts w:hint="eastAsia" w:ascii="宋体" w:hAnsi="宋体" w:cs="宋体"/>
                <w:sz w:val="24"/>
              </w:rPr>
              <w:t>财政资金</w:t>
            </w:r>
          </w:p>
        </w:tc>
      </w:tr>
      <w:tr w14:paraId="45D32F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7331177">
            <w:pPr>
              <w:spacing w:line="360" w:lineRule="auto"/>
              <w:jc w:val="center"/>
              <w:rPr>
                <w:rFonts w:ascii="宋体" w:hAnsi="宋体" w:cs="宋体"/>
                <w:sz w:val="24"/>
              </w:rPr>
            </w:pPr>
            <w:r>
              <w:rPr>
                <w:rFonts w:hint="eastAsia" w:ascii="宋体" w:hAnsi="宋体" w:cs="宋体"/>
                <w:sz w:val="24"/>
              </w:rPr>
              <w:t>1.2.2</w:t>
            </w:r>
          </w:p>
        </w:tc>
        <w:tc>
          <w:tcPr>
            <w:tcW w:w="2400" w:type="dxa"/>
            <w:tcBorders>
              <w:top w:val="single" w:color="auto" w:sz="4" w:space="0"/>
              <w:left w:val="nil"/>
              <w:bottom w:val="single" w:color="auto" w:sz="4" w:space="0"/>
              <w:right w:val="single" w:color="auto" w:sz="4" w:space="0"/>
            </w:tcBorders>
            <w:vAlign w:val="center"/>
          </w:tcPr>
          <w:p w14:paraId="0256A7CD">
            <w:pPr>
              <w:spacing w:line="360" w:lineRule="auto"/>
              <w:jc w:val="center"/>
              <w:rPr>
                <w:rFonts w:ascii="宋体" w:hAnsi="宋体" w:cs="宋体"/>
                <w:sz w:val="24"/>
              </w:rPr>
            </w:pPr>
            <w:r>
              <w:rPr>
                <w:rFonts w:hint="eastAsia" w:ascii="宋体" w:hAnsi="宋体" w:cs="宋体"/>
                <w:sz w:val="24"/>
              </w:rPr>
              <w:t>资金落实情况</w:t>
            </w:r>
          </w:p>
        </w:tc>
        <w:tc>
          <w:tcPr>
            <w:tcW w:w="6623" w:type="dxa"/>
            <w:tcBorders>
              <w:top w:val="single" w:color="auto" w:sz="4" w:space="0"/>
              <w:left w:val="nil"/>
              <w:bottom w:val="single" w:color="auto" w:sz="4" w:space="0"/>
              <w:right w:val="single" w:color="auto" w:sz="4" w:space="0"/>
            </w:tcBorders>
            <w:vAlign w:val="center"/>
          </w:tcPr>
          <w:p w14:paraId="105BCB5D">
            <w:pPr>
              <w:spacing w:line="360" w:lineRule="auto"/>
              <w:jc w:val="left"/>
              <w:rPr>
                <w:rFonts w:ascii="宋体" w:hAnsi="宋体" w:cs="宋体"/>
                <w:sz w:val="24"/>
              </w:rPr>
            </w:pPr>
            <w:r>
              <w:rPr>
                <w:rFonts w:hint="eastAsia" w:ascii="宋体" w:hAnsi="宋体" w:cs="宋体"/>
                <w:sz w:val="24"/>
              </w:rPr>
              <w:t>资金已落实</w:t>
            </w:r>
          </w:p>
        </w:tc>
      </w:tr>
      <w:tr w14:paraId="6993EF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0E55BF2">
            <w:pPr>
              <w:spacing w:line="360" w:lineRule="auto"/>
              <w:jc w:val="center"/>
              <w:rPr>
                <w:rFonts w:ascii="宋体" w:hAnsi="宋体" w:cs="宋体"/>
                <w:sz w:val="24"/>
              </w:rPr>
            </w:pPr>
            <w:r>
              <w:rPr>
                <w:rFonts w:hint="eastAsia" w:ascii="宋体" w:hAnsi="宋体" w:cs="宋体"/>
                <w:sz w:val="24"/>
              </w:rPr>
              <w:t>1.3.1</w:t>
            </w:r>
          </w:p>
        </w:tc>
        <w:tc>
          <w:tcPr>
            <w:tcW w:w="2400" w:type="dxa"/>
            <w:tcBorders>
              <w:top w:val="single" w:color="auto" w:sz="4" w:space="0"/>
              <w:left w:val="nil"/>
              <w:bottom w:val="single" w:color="auto" w:sz="4" w:space="0"/>
              <w:right w:val="single" w:color="auto" w:sz="4" w:space="0"/>
            </w:tcBorders>
            <w:vAlign w:val="center"/>
          </w:tcPr>
          <w:p w14:paraId="499C627A">
            <w:pPr>
              <w:spacing w:line="360" w:lineRule="auto"/>
              <w:jc w:val="center"/>
              <w:rPr>
                <w:rFonts w:ascii="宋体" w:hAnsi="宋体" w:cs="宋体"/>
                <w:sz w:val="24"/>
              </w:rPr>
            </w:pPr>
            <w:r>
              <w:rPr>
                <w:rFonts w:hint="eastAsia" w:ascii="宋体" w:hAnsi="宋体" w:cs="宋体"/>
                <w:sz w:val="24"/>
                <w:lang w:val="en-US" w:eastAsia="zh-CN"/>
              </w:rPr>
              <w:t>采购</w:t>
            </w:r>
            <w:r>
              <w:rPr>
                <w:rFonts w:hint="eastAsia" w:ascii="宋体" w:hAnsi="宋体" w:cs="宋体"/>
                <w:sz w:val="24"/>
              </w:rPr>
              <w:t>范围</w:t>
            </w:r>
          </w:p>
        </w:tc>
        <w:tc>
          <w:tcPr>
            <w:tcW w:w="6623" w:type="dxa"/>
            <w:tcBorders>
              <w:top w:val="single" w:color="auto" w:sz="4" w:space="0"/>
              <w:left w:val="nil"/>
              <w:bottom w:val="single" w:color="auto" w:sz="4" w:space="0"/>
              <w:right w:val="single" w:color="auto" w:sz="4" w:space="0"/>
            </w:tcBorders>
            <w:vAlign w:val="center"/>
          </w:tcPr>
          <w:p w14:paraId="27A0C922">
            <w:pPr>
              <w:widowControl/>
              <w:spacing w:line="480" w:lineRule="exact"/>
              <w:jc w:val="left"/>
              <w:rPr>
                <w:rFonts w:ascii="宋体" w:hAnsi="宋体" w:cs="宋体"/>
                <w:sz w:val="24"/>
              </w:rPr>
            </w:pPr>
            <w:r>
              <w:rPr>
                <w:rFonts w:hint="eastAsia" w:ascii="宋体" w:hAnsi="宋体" w:cs="宋体"/>
                <w:sz w:val="24"/>
              </w:rPr>
              <w:t>本工程相应标段</w:t>
            </w:r>
            <w:r>
              <w:rPr>
                <w:rFonts w:hint="eastAsia" w:ascii="宋体" w:hAnsi="宋体" w:cs="宋体"/>
                <w:sz w:val="24"/>
                <w:lang w:eastAsia="zh-CN"/>
              </w:rPr>
              <w:t>竞争性磋商文件</w:t>
            </w:r>
            <w:r>
              <w:rPr>
                <w:rFonts w:hint="eastAsia" w:ascii="宋体" w:hAnsi="宋体" w:cs="宋体"/>
                <w:sz w:val="24"/>
              </w:rPr>
              <w:t>、补充文件、施工图纸及工程量清单等包含的所有建设内容。</w:t>
            </w:r>
          </w:p>
        </w:tc>
      </w:tr>
      <w:tr w14:paraId="599856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74B686D">
            <w:pPr>
              <w:spacing w:line="360" w:lineRule="auto"/>
              <w:jc w:val="center"/>
              <w:rPr>
                <w:rFonts w:ascii="宋体" w:hAnsi="宋体" w:cs="宋体"/>
                <w:sz w:val="24"/>
              </w:rPr>
            </w:pPr>
            <w:r>
              <w:rPr>
                <w:rFonts w:hint="eastAsia" w:ascii="宋体" w:hAnsi="宋体" w:cs="宋体"/>
                <w:sz w:val="24"/>
              </w:rPr>
              <w:t>1.3.2</w:t>
            </w:r>
          </w:p>
        </w:tc>
        <w:tc>
          <w:tcPr>
            <w:tcW w:w="2400" w:type="dxa"/>
            <w:tcBorders>
              <w:top w:val="single" w:color="auto" w:sz="4" w:space="0"/>
              <w:left w:val="nil"/>
              <w:bottom w:val="single" w:color="auto" w:sz="4" w:space="0"/>
              <w:right w:val="single" w:color="auto" w:sz="4" w:space="0"/>
            </w:tcBorders>
            <w:vAlign w:val="center"/>
          </w:tcPr>
          <w:p w14:paraId="4759175A">
            <w:pPr>
              <w:spacing w:line="360" w:lineRule="auto"/>
              <w:jc w:val="center"/>
              <w:rPr>
                <w:rFonts w:ascii="宋体" w:hAnsi="宋体" w:cs="宋体"/>
                <w:sz w:val="24"/>
              </w:rPr>
            </w:pPr>
            <w:r>
              <w:rPr>
                <w:rFonts w:hint="eastAsia" w:ascii="宋体" w:hAnsi="宋体" w:cs="宋体"/>
                <w:sz w:val="24"/>
              </w:rPr>
              <w:t>计划工期</w:t>
            </w:r>
          </w:p>
        </w:tc>
        <w:tc>
          <w:tcPr>
            <w:tcW w:w="6623" w:type="dxa"/>
            <w:tcBorders>
              <w:top w:val="single" w:color="auto" w:sz="4" w:space="0"/>
              <w:left w:val="nil"/>
              <w:bottom w:val="single" w:color="auto" w:sz="4" w:space="0"/>
              <w:right w:val="single" w:color="auto" w:sz="4" w:space="0"/>
            </w:tcBorders>
            <w:vAlign w:val="center"/>
          </w:tcPr>
          <w:p w14:paraId="50626799">
            <w:pPr>
              <w:spacing w:line="360" w:lineRule="auto"/>
              <w:jc w:val="left"/>
              <w:rPr>
                <w:rFonts w:ascii="宋体" w:hAnsi="宋体" w:cs="宋体"/>
                <w:sz w:val="24"/>
              </w:rPr>
            </w:pPr>
            <w:r>
              <w:rPr>
                <w:rFonts w:hint="eastAsia" w:ascii="宋体" w:hAnsi="宋体" w:cs="宋体"/>
                <w:sz w:val="24"/>
                <w:lang w:val="en-US" w:eastAsia="zh-CN"/>
              </w:rPr>
              <w:t>60</w:t>
            </w:r>
            <w:r>
              <w:rPr>
                <w:rFonts w:hint="eastAsia" w:ascii="宋体" w:hAnsi="宋体" w:cs="宋体"/>
                <w:sz w:val="24"/>
              </w:rPr>
              <w:t>日历天</w:t>
            </w:r>
          </w:p>
        </w:tc>
      </w:tr>
      <w:tr w14:paraId="225DB5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9FDF138">
            <w:pPr>
              <w:spacing w:line="360" w:lineRule="auto"/>
              <w:jc w:val="center"/>
              <w:rPr>
                <w:rFonts w:ascii="宋体" w:hAnsi="宋体" w:cs="宋体"/>
                <w:sz w:val="24"/>
              </w:rPr>
            </w:pPr>
            <w:r>
              <w:rPr>
                <w:rFonts w:hint="eastAsia" w:ascii="宋体" w:hAnsi="宋体" w:cs="宋体"/>
                <w:sz w:val="24"/>
              </w:rPr>
              <w:t>1.3.3</w:t>
            </w:r>
          </w:p>
        </w:tc>
        <w:tc>
          <w:tcPr>
            <w:tcW w:w="2400" w:type="dxa"/>
            <w:tcBorders>
              <w:top w:val="single" w:color="auto" w:sz="4" w:space="0"/>
              <w:left w:val="nil"/>
              <w:bottom w:val="single" w:color="auto" w:sz="4" w:space="0"/>
              <w:right w:val="single" w:color="auto" w:sz="4" w:space="0"/>
            </w:tcBorders>
            <w:vAlign w:val="center"/>
          </w:tcPr>
          <w:p w14:paraId="451293AE">
            <w:pPr>
              <w:spacing w:line="360" w:lineRule="auto"/>
              <w:jc w:val="center"/>
              <w:rPr>
                <w:rFonts w:ascii="宋体" w:hAnsi="宋体" w:cs="宋体"/>
                <w:sz w:val="24"/>
              </w:rPr>
            </w:pPr>
            <w:r>
              <w:rPr>
                <w:rFonts w:hint="eastAsia" w:ascii="宋体" w:hAnsi="宋体" w:cs="宋体"/>
                <w:sz w:val="24"/>
              </w:rPr>
              <w:t>质量要求</w:t>
            </w:r>
          </w:p>
        </w:tc>
        <w:tc>
          <w:tcPr>
            <w:tcW w:w="6623" w:type="dxa"/>
            <w:tcBorders>
              <w:top w:val="single" w:color="auto" w:sz="4" w:space="0"/>
              <w:left w:val="nil"/>
              <w:bottom w:val="single" w:color="auto" w:sz="4" w:space="0"/>
              <w:right w:val="single" w:color="auto" w:sz="4" w:space="0"/>
            </w:tcBorders>
            <w:vAlign w:val="center"/>
          </w:tcPr>
          <w:p w14:paraId="3A3166E4">
            <w:pPr>
              <w:spacing w:line="360" w:lineRule="auto"/>
              <w:jc w:val="left"/>
              <w:rPr>
                <w:rFonts w:ascii="宋体" w:hAnsi="宋体" w:cs="宋体"/>
                <w:sz w:val="24"/>
              </w:rPr>
            </w:pPr>
            <w:r>
              <w:rPr>
                <w:rFonts w:hint="eastAsia" w:ascii="宋体" w:hAnsi="宋体" w:cs="宋体"/>
                <w:sz w:val="24"/>
              </w:rPr>
              <w:t>达到国家现行有关施工质量验收规范要求，并达到合格标准。</w:t>
            </w:r>
          </w:p>
        </w:tc>
      </w:tr>
      <w:tr w14:paraId="7EC2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50F86D4">
            <w:pPr>
              <w:spacing w:line="360" w:lineRule="auto"/>
              <w:jc w:val="center"/>
              <w:rPr>
                <w:rFonts w:ascii="宋体" w:hAnsi="宋体" w:cs="宋体"/>
                <w:sz w:val="24"/>
              </w:rPr>
            </w:pPr>
            <w:r>
              <w:rPr>
                <w:rFonts w:hint="eastAsia" w:ascii="宋体" w:hAnsi="宋体" w:cs="宋体"/>
                <w:sz w:val="24"/>
              </w:rPr>
              <w:t>1.3.4</w:t>
            </w:r>
          </w:p>
        </w:tc>
        <w:tc>
          <w:tcPr>
            <w:tcW w:w="2400" w:type="dxa"/>
            <w:tcBorders>
              <w:top w:val="single" w:color="auto" w:sz="4" w:space="0"/>
              <w:left w:val="nil"/>
              <w:bottom w:val="single" w:color="auto" w:sz="4" w:space="0"/>
              <w:right w:val="single" w:color="auto" w:sz="4" w:space="0"/>
            </w:tcBorders>
            <w:vAlign w:val="center"/>
          </w:tcPr>
          <w:p w14:paraId="388D0AE3">
            <w:pPr>
              <w:spacing w:line="360" w:lineRule="auto"/>
              <w:jc w:val="center"/>
              <w:rPr>
                <w:rFonts w:ascii="宋体" w:hAnsi="宋体" w:cs="宋体"/>
                <w:sz w:val="24"/>
              </w:rPr>
            </w:pPr>
            <w:r>
              <w:rPr>
                <w:rFonts w:hint="eastAsia" w:ascii="宋体" w:hAnsi="宋体" w:cs="宋体"/>
                <w:sz w:val="24"/>
              </w:rPr>
              <w:t>工程保修期</w:t>
            </w:r>
          </w:p>
        </w:tc>
        <w:tc>
          <w:tcPr>
            <w:tcW w:w="6623" w:type="dxa"/>
            <w:tcBorders>
              <w:top w:val="single" w:color="auto" w:sz="4" w:space="0"/>
              <w:left w:val="nil"/>
              <w:bottom w:val="single" w:color="auto" w:sz="4" w:space="0"/>
              <w:right w:val="single" w:color="auto" w:sz="4" w:space="0"/>
            </w:tcBorders>
            <w:vAlign w:val="center"/>
          </w:tcPr>
          <w:p w14:paraId="0F7294EB">
            <w:pPr>
              <w:spacing w:line="360" w:lineRule="auto"/>
              <w:jc w:val="left"/>
              <w:rPr>
                <w:rFonts w:ascii="宋体" w:hAnsi="宋体" w:cs="宋体"/>
                <w:sz w:val="24"/>
              </w:rPr>
            </w:pPr>
            <w:r>
              <w:rPr>
                <w:rFonts w:hint="eastAsia" w:ascii="宋体" w:hAnsi="宋体" w:cs="宋体"/>
                <w:sz w:val="24"/>
              </w:rPr>
              <w:t>按照国家相关文件规定的质保期执行</w:t>
            </w:r>
          </w:p>
        </w:tc>
      </w:tr>
      <w:tr w14:paraId="42699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B78F1E1">
            <w:pPr>
              <w:spacing w:line="360" w:lineRule="auto"/>
              <w:jc w:val="center"/>
              <w:rPr>
                <w:rFonts w:ascii="宋体" w:hAnsi="宋体" w:cs="宋体"/>
                <w:sz w:val="24"/>
              </w:rPr>
            </w:pPr>
            <w:r>
              <w:rPr>
                <w:rFonts w:hint="eastAsia" w:ascii="宋体" w:hAnsi="宋体" w:cs="宋体"/>
                <w:sz w:val="24"/>
              </w:rPr>
              <w:t>1.3.5</w:t>
            </w:r>
          </w:p>
        </w:tc>
        <w:tc>
          <w:tcPr>
            <w:tcW w:w="2400" w:type="dxa"/>
            <w:tcBorders>
              <w:top w:val="single" w:color="auto" w:sz="4" w:space="0"/>
              <w:left w:val="nil"/>
              <w:bottom w:val="single" w:color="auto" w:sz="4" w:space="0"/>
              <w:right w:val="single" w:color="auto" w:sz="4" w:space="0"/>
            </w:tcBorders>
            <w:vAlign w:val="center"/>
          </w:tcPr>
          <w:p w14:paraId="01FEADC2">
            <w:pPr>
              <w:spacing w:line="360" w:lineRule="auto"/>
              <w:jc w:val="center"/>
              <w:rPr>
                <w:rFonts w:ascii="宋体" w:hAnsi="宋体" w:cs="宋体"/>
                <w:sz w:val="24"/>
              </w:rPr>
            </w:pPr>
            <w:r>
              <w:rPr>
                <w:rFonts w:hint="eastAsia" w:ascii="宋体" w:hAnsi="宋体" w:cs="宋体"/>
                <w:sz w:val="24"/>
              </w:rPr>
              <w:t>质量缺陷期</w:t>
            </w:r>
          </w:p>
        </w:tc>
        <w:tc>
          <w:tcPr>
            <w:tcW w:w="6623" w:type="dxa"/>
            <w:tcBorders>
              <w:top w:val="single" w:color="auto" w:sz="4" w:space="0"/>
              <w:left w:val="nil"/>
              <w:bottom w:val="single" w:color="auto" w:sz="4" w:space="0"/>
              <w:right w:val="single" w:color="auto" w:sz="4" w:space="0"/>
            </w:tcBorders>
            <w:vAlign w:val="center"/>
          </w:tcPr>
          <w:p w14:paraId="3A3C3BEE">
            <w:pPr>
              <w:autoSpaceDE w:val="0"/>
              <w:spacing w:line="360" w:lineRule="auto"/>
              <w:jc w:val="left"/>
              <w:rPr>
                <w:rFonts w:ascii="宋体" w:hAnsi="宋体" w:cs="宋体"/>
                <w:sz w:val="24"/>
              </w:rPr>
            </w:pPr>
            <w:r>
              <w:rPr>
                <w:rFonts w:hint="eastAsia" w:ascii="宋体" w:hAnsi="宋体" w:cs="宋体"/>
                <w:sz w:val="24"/>
              </w:rPr>
              <w:t>24个月</w:t>
            </w:r>
          </w:p>
        </w:tc>
      </w:tr>
      <w:tr w14:paraId="4870CD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72188D5">
            <w:pPr>
              <w:spacing w:line="360" w:lineRule="auto"/>
              <w:jc w:val="center"/>
              <w:rPr>
                <w:rFonts w:ascii="宋体" w:hAnsi="宋体" w:cs="宋体"/>
                <w:sz w:val="24"/>
              </w:rPr>
            </w:pPr>
            <w:r>
              <w:rPr>
                <w:rFonts w:hint="eastAsia" w:ascii="宋体" w:hAnsi="宋体" w:cs="宋体"/>
                <w:sz w:val="24"/>
              </w:rPr>
              <w:t>1.3.6</w:t>
            </w:r>
          </w:p>
        </w:tc>
        <w:tc>
          <w:tcPr>
            <w:tcW w:w="2400" w:type="dxa"/>
            <w:tcBorders>
              <w:top w:val="single" w:color="auto" w:sz="4" w:space="0"/>
              <w:left w:val="nil"/>
              <w:bottom w:val="single" w:color="auto" w:sz="4" w:space="0"/>
              <w:right w:val="single" w:color="auto" w:sz="4" w:space="0"/>
            </w:tcBorders>
            <w:vAlign w:val="center"/>
          </w:tcPr>
          <w:p w14:paraId="531D2E6F">
            <w:pPr>
              <w:spacing w:line="360" w:lineRule="auto"/>
              <w:jc w:val="center"/>
              <w:rPr>
                <w:rFonts w:ascii="宋体" w:hAnsi="宋体" w:cs="宋体"/>
                <w:sz w:val="24"/>
              </w:rPr>
            </w:pPr>
            <w:r>
              <w:rPr>
                <w:rFonts w:hint="eastAsia" w:ascii="宋体" w:hAnsi="宋体" w:cs="宋体"/>
                <w:sz w:val="24"/>
              </w:rPr>
              <w:t>安全目标</w:t>
            </w:r>
          </w:p>
        </w:tc>
        <w:tc>
          <w:tcPr>
            <w:tcW w:w="6623" w:type="dxa"/>
            <w:tcBorders>
              <w:top w:val="single" w:color="auto" w:sz="4" w:space="0"/>
              <w:left w:val="nil"/>
              <w:bottom w:val="single" w:color="auto" w:sz="4" w:space="0"/>
              <w:right w:val="single" w:color="auto" w:sz="4" w:space="0"/>
            </w:tcBorders>
            <w:vAlign w:val="center"/>
          </w:tcPr>
          <w:p w14:paraId="1C8F233D">
            <w:pPr>
              <w:spacing w:line="360" w:lineRule="auto"/>
              <w:ind w:firstLine="16" w:firstLineChars="7"/>
              <w:jc w:val="left"/>
              <w:rPr>
                <w:rFonts w:ascii="宋体" w:hAnsi="宋体" w:cs="宋体"/>
                <w:sz w:val="24"/>
              </w:rPr>
            </w:pPr>
            <w:r>
              <w:rPr>
                <w:rFonts w:hint="eastAsia" w:ascii="宋体" w:hAnsi="宋体" w:cs="宋体"/>
                <w:sz w:val="24"/>
              </w:rPr>
              <w:t>安全无事故</w:t>
            </w:r>
          </w:p>
        </w:tc>
      </w:tr>
      <w:tr w14:paraId="562EB2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CDB185">
            <w:pPr>
              <w:spacing w:line="360" w:lineRule="auto"/>
              <w:jc w:val="center"/>
              <w:rPr>
                <w:rFonts w:ascii="宋体" w:hAnsi="宋体" w:cs="宋体"/>
                <w:sz w:val="24"/>
              </w:rPr>
            </w:pPr>
            <w:r>
              <w:rPr>
                <w:rFonts w:hint="eastAsia" w:ascii="宋体" w:hAnsi="宋体" w:cs="宋体"/>
                <w:sz w:val="24"/>
              </w:rPr>
              <w:t>1.4.1</w:t>
            </w:r>
          </w:p>
        </w:tc>
        <w:tc>
          <w:tcPr>
            <w:tcW w:w="2400" w:type="dxa"/>
            <w:tcBorders>
              <w:top w:val="single" w:color="auto" w:sz="4" w:space="0"/>
              <w:left w:val="nil"/>
              <w:bottom w:val="single" w:color="auto" w:sz="4" w:space="0"/>
              <w:right w:val="single" w:color="auto" w:sz="4" w:space="0"/>
            </w:tcBorders>
            <w:vAlign w:val="center"/>
          </w:tcPr>
          <w:p w14:paraId="6279D0E7">
            <w:pPr>
              <w:spacing w:line="360" w:lineRule="auto"/>
              <w:jc w:val="center"/>
              <w:rPr>
                <w:rFonts w:ascii="宋体" w:hAnsi="宋体" w:cs="宋体"/>
                <w:sz w:val="24"/>
              </w:rPr>
            </w:pPr>
            <w:r>
              <w:rPr>
                <w:rFonts w:hint="eastAsia" w:ascii="宋体" w:hAnsi="宋体" w:cs="宋体"/>
                <w:sz w:val="24"/>
                <w:lang w:eastAsia="zh-CN"/>
              </w:rPr>
              <w:t>供应商</w:t>
            </w:r>
            <w:r>
              <w:rPr>
                <w:rFonts w:hint="eastAsia" w:ascii="宋体" w:hAnsi="宋体" w:cs="宋体"/>
                <w:sz w:val="24"/>
              </w:rPr>
              <w:t>资质条件和</w:t>
            </w:r>
          </w:p>
          <w:p w14:paraId="0810F8C2">
            <w:pPr>
              <w:spacing w:line="360" w:lineRule="auto"/>
              <w:jc w:val="center"/>
              <w:rPr>
                <w:rFonts w:ascii="宋体" w:hAnsi="宋体" w:cs="宋体"/>
                <w:sz w:val="24"/>
              </w:rPr>
            </w:pPr>
            <w:r>
              <w:rPr>
                <w:rFonts w:hint="eastAsia" w:ascii="宋体" w:hAnsi="宋体" w:cs="宋体"/>
                <w:sz w:val="24"/>
              </w:rPr>
              <w:t>信誉</w:t>
            </w:r>
          </w:p>
        </w:tc>
        <w:tc>
          <w:tcPr>
            <w:tcW w:w="6623" w:type="dxa"/>
            <w:tcBorders>
              <w:top w:val="single" w:color="auto" w:sz="4" w:space="0"/>
              <w:left w:val="nil"/>
              <w:bottom w:val="single" w:color="auto" w:sz="4" w:space="0"/>
              <w:right w:val="single" w:color="auto" w:sz="4" w:space="0"/>
            </w:tcBorders>
            <w:vAlign w:val="center"/>
          </w:tcPr>
          <w:p w14:paraId="47A4F3BA">
            <w:pPr>
              <w:spacing w:line="480" w:lineRule="exact"/>
              <w:jc w:val="left"/>
              <w:rPr>
                <w:rFonts w:hint="eastAsia" w:ascii="宋体" w:hAnsi="宋体" w:cs="宋体"/>
                <w:sz w:val="24"/>
              </w:rPr>
            </w:pPr>
            <w:r>
              <w:rPr>
                <w:rFonts w:hint="eastAsia" w:ascii="宋体" w:hAnsi="宋体" w:cs="宋体"/>
                <w:sz w:val="24"/>
              </w:rPr>
              <w:t>1.满足《中华人民共和国政府采购法》第二十二条规定；</w:t>
            </w:r>
          </w:p>
          <w:p w14:paraId="7EB9B2FF">
            <w:pPr>
              <w:spacing w:line="480" w:lineRule="exact"/>
              <w:jc w:val="left"/>
              <w:rPr>
                <w:rFonts w:hint="eastAsia" w:ascii="宋体" w:hAnsi="宋体" w:cs="宋体"/>
                <w:sz w:val="24"/>
              </w:rPr>
            </w:pPr>
            <w:r>
              <w:rPr>
                <w:rFonts w:hint="eastAsia" w:ascii="宋体" w:hAnsi="宋体" w:cs="宋体"/>
                <w:sz w:val="24"/>
              </w:rPr>
              <w:t>2.落实政府采购政策满足的资格要求：本项目为专门面向中小微企业采购项目,执行促进中小企业（监狱企业、残疾人福利性企业）发展等政府采购政策。</w:t>
            </w:r>
          </w:p>
          <w:p w14:paraId="53ACF1F1">
            <w:pPr>
              <w:spacing w:line="480" w:lineRule="exact"/>
              <w:jc w:val="left"/>
              <w:rPr>
                <w:rFonts w:hint="eastAsia" w:ascii="宋体" w:hAnsi="宋体" w:cs="宋体"/>
                <w:sz w:val="24"/>
              </w:rPr>
            </w:pPr>
            <w:r>
              <w:rPr>
                <w:rFonts w:hint="eastAsia" w:ascii="宋体" w:hAnsi="宋体" w:cs="宋体"/>
                <w:sz w:val="24"/>
              </w:rPr>
              <w:t xml:space="preserve"> 3、本项目特定资格要求：</w:t>
            </w:r>
          </w:p>
          <w:p w14:paraId="438A116E">
            <w:pPr>
              <w:spacing w:line="480" w:lineRule="exact"/>
              <w:jc w:val="left"/>
              <w:rPr>
                <w:rFonts w:hint="eastAsia" w:ascii="宋体" w:hAnsi="宋体" w:cs="宋体"/>
                <w:sz w:val="24"/>
              </w:rPr>
            </w:pPr>
            <w:r>
              <w:rPr>
                <w:rFonts w:hint="eastAsia" w:ascii="宋体" w:hAnsi="宋体" w:cs="宋体"/>
                <w:sz w:val="24"/>
              </w:rPr>
              <w:t>3.1供应商应在中华人民共和国境内注册，具有独立承担民事责任的能力，具有有效的企业营业执照；</w:t>
            </w:r>
          </w:p>
          <w:p w14:paraId="0102D49B">
            <w:pPr>
              <w:spacing w:line="480" w:lineRule="exact"/>
              <w:jc w:val="left"/>
              <w:rPr>
                <w:rFonts w:hint="eastAsia" w:ascii="宋体" w:hAnsi="宋体" w:cs="宋体"/>
                <w:sz w:val="24"/>
              </w:rPr>
            </w:pPr>
            <w:r>
              <w:rPr>
                <w:rFonts w:hint="eastAsia" w:ascii="宋体" w:hAnsi="宋体" w:cs="宋体"/>
                <w:sz w:val="24"/>
              </w:rPr>
              <w:t>3.2供应商须具有行政主管部门核发的</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施工总承包叁级及以上资质，并具有有效的安全生产许可证；</w:t>
            </w:r>
          </w:p>
          <w:p w14:paraId="0ECA0842">
            <w:pPr>
              <w:spacing w:line="480" w:lineRule="exact"/>
              <w:jc w:val="left"/>
              <w:rPr>
                <w:rFonts w:hint="eastAsia" w:ascii="宋体" w:hAnsi="宋体" w:cs="宋体"/>
                <w:sz w:val="24"/>
              </w:rPr>
            </w:pPr>
            <w:r>
              <w:rPr>
                <w:rFonts w:hint="eastAsia" w:ascii="宋体" w:hAnsi="宋体" w:cs="宋体"/>
                <w:sz w:val="24"/>
              </w:rPr>
              <w:t>3.2 拟投入该项目的项目经理应具备</w:t>
            </w:r>
            <w:r>
              <w:rPr>
                <w:rFonts w:hint="eastAsia" w:ascii="宋体" w:hAnsi="宋体" w:cs="宋体"/>
                <w:kern w:val="0"/>
                <w:sz w:val="24"/>
                <w:lang w:val="en-US" w:eastAsia="zh-CN"/>
              </w:rPr>
              <w:t>公路工程或</w:t>
            </w:r>
            <w:r>
              <w:rPr>
                <w:rFonts w:hint="eastAsia" w:ascii="宋体" w:hAnsi="宋体"/>
                <w:sz w:val="24"/>
              </w:rPr>
              <w:t>市政公用工程</w:t>
            </w:r>
            <w:r>
              <w:rPr>
                <w:rFonts w:hint="eastAsia" w:ascii="宋体" w:hAnsi="宋体" w:cs="宋体"/>
                <w:sz w:val="24"/>
              </w:rPr>
              <w:t xml:space="preserve">专业贰级及以上注册建造师资格，具有有效的安全生产考核合格证书，且无在建和新承接工程，在投标企业办理的劳动合同关系（提供劳动合同）、近三个月的社会养老保险的缴费证明； </w:t>
            </w:r>
          </w:p>
          <w:p w14:paraId="4BCD4FE6">
            <w:pPr>
              <w:spacing w:line="480" w:lineRule="exact"/>
              <w:jc w:val="left"/>
              <w:rPr>
                <w:rFonts w:hint="eastAsia" w:ascii="宋体" w:hAnsi="宋体" w:cs="宋体"/>
                <w:sz w:val="24"/>
              </w:rPr>
            </w:pPr>
            <w:r>
              <w:rPr>
                <w:rFonts w:hint="eastAsia" w:ascii="宋体" w:hAnsi="宋体" w:cs="宋体"/>
                <w:sz w:val="24"/>
              </w:rPr>
              <w:t>3.3拟派技术负责人须具备相关专业中级及以上职称，在投标企业办理的劳动合同关系（提供劳动合同）、近三个月的参加社会养老保险的缴费证明；</w:t>
            </w:r>
          </w:p>
          <w:p w14:paraId="3AAD4DD1">
            <w:pPr>
              <w:spacing w:line="480" w:lineRule="exact"/>
              <w:jc w:val="left"/>
              <w:rPr>
                <w:rFonts w:hint="eastAsia" w:ascii="宋体" w:hAnsi="宋体" w:cs="宋体"/>
                <w:sz w:val="24"/>
              </w:rPr>
            </w:pPr>
            <w:r>
              <w:rPr>
                <w:rFonts w:hint="eastAsia" w:ascii="宋体" w:hAnsi="宋体" w:cs="宋体"/>
                <w:sz w:val="24"/>
              </w:rPr>
              <w:t>4、参加本次采购活动前三年内在经营活动中没有重大违法记录的承诺书（格式详见“第八章 供应商认为需要提供的其他材料”附件1）；</w:t>
            </w:r>
          </w:p>
          <w:p w14:paraId="490DADFC">
            <w:pPr>
              <w:spacing w:line="480" w:lineRule="exact"/>
              <w:jc w:val="left"/>
              <w:rPr>
                <w:rFonts w:hint="eastAsia" w:ascii="宋体" w:hAnsi="宋体" w:cs="宋体"/>
                <w:sz w:val="24"/>
              </w:rPr>
            </w:pPr>
            <w:r>
              <w:rPr>
                <w:rFonts w:hint="eastAsia" w:ascii="宋体" w:hAnsi="宋体" w:cs="宋体"/>
                <w:sz w:val="24"/>
              </w:rPr>
              <w:t xml:space="preserve">5、供应商出具本企业近三年无商业贿赂及无不正当竞争行为的承诺书（承诺对象：企业、法定代表人、项目经理，格式详见“第八章 供应商认为需要提供的其他材料”附件2）； </w:t>
            </w:r>
          </w:p>
          <w:p w14:paraId="0A8EF88D">
            <w:pPr>
              <w:spacing w:line="480" w:lineRule="exact"/>
              <w:jc w:val="left"/>
              <w:rPr>
                <w:rFonts w:hint="eastAsia" w:ascii="宋体" w:hAnsi="宋体" w:cs="宋体"/>
                <w:sz w:val="24"/>
              </w:rPr>
            </w:pPr>
            <w:r>
              <w:rPr>
                <w:rFonts w:hint="eastAsia" w:ascii="宋体" w:hAnsi="宋体" w:cs="宋体"/>
                <w:sz w:val="24"/>
              </w:rPr>
              <w:t>6、根据《关于在政府采购活动中查询及使用信用记录有关问题的通知》（财库【2016】125号和豫财购【2016】15号的规定），对列入“信用中国”www.creditchina.gov.cn网站的“失信被执行人”、“重大税收违法失信主体”、“政府采购严重违法失信行为记录名单”及“中国政府采购网”www.ccgp.gov.cn网站的“政府采购严重违法失信行为信息记录”的，拒绝参与本项目采购活动（查询时间自公告发布之日起，开标时间前截止，提供网站查询截图）；</w:t>
            </w:r>
          </w:p>
          <w:p w14:paraId="14D3F6F5">
            <w:pPr>
              <w:spacing w:line="480" w:lineRule="exact"/>
              <w:jc w:val="left"/>
              <w:rPr>
                <w:rFonts w:hint="eastAsia" w:ascii="宋体" w:hAnsi="宋体" w:cs="宋体"/>
                <w:sz w:val="24"/>
              </w:rPr>
            </w:pPr>
            <w:r>
              <w:rPr>
                <w:rFonts w:hint="eastAsia" w:ascii="宋体" w:hAnsi="宋体" w:cs="宋体"/>
                <w:sz w:val="24"/>
              </w:rPr>
              <w:t>7、法定代表人为同一个人的两个以及两个以上法人，母公司、全资子公司以及其控股公司或者存在管理关系的不同单位，都不得在同一标段或者未划分标段的同一采购项目同时参加招投标活动。（提供“国家企业信用信息公示系统”中公示的公司信息、股东（或投资人）信息）。</w:t>
            </w:r>
          </w:p>
          <w:p w14:paraId="56AFCF80">
            <w:pPr>
              <w:spacing w:line="480" w:lineRule="exact"/>
              <w:jc w:val="left"/>
              <w:rPr>
                <w:rFonts w:ascii="宋体" w:hAnsi="宋体" w:cs="宋体"/>
                <w:bCs/>
                <w:sz w:val="24"/>
              </w:rPr>
            </w:pPr>
            <w:r>
              <w:rPr>
                <w:rFonts w:hint="eastAsia" w:ascii="宋体" w:hAnsi="宋体" w:cs="宋体"/>
                <w:sz w:val="24"/>
              </w:rPr>
              <w:t xml:space="preserve">8、本项目不接受联合体投标（格式详见“第八章 供应商认为需要提供的其他材料”附件3）； </w:t>
            </w:r>
          </w:p>
        </w:tc>
      </w:tr>
      <w:tr w14:paraId="7D5117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9651552">
            <w:pPr>
              <w:spacing w:line="360" w:lineRule="auto"/>
              <w:jc w:val="center"/>
              <w:rPr>
                <w:rFonts w:ascii="宋体" w:hAnsi="宋体" w:cs="宋体"/>
                <w:sz w:val="24"/>
              </w:rPr>
            </w:pPr>
            <w:r>
              <w:rPr>
                <w:rFonts w:hint="eastAsia" w:ascii="宋体" w:hAnsi="宋体" w:cs="宋体"/>
                <w:sz w:val="24"/>
              </w:rPr>
              <w:t>1.4.2</w:t>
            </w:r>
          </w:p>
        </w:tc>
        <w:tc>
          <w:tcPr>
            <w:tcW w:w="2400" w:type="dxa"/>
            <w:tcBorders>
              <w:top w:val="single" w:color="auto" w:sz="4" w:space="0"/>
              <w:left w:val="nil"/>
              <w:bottom w:val="single" w:color="auto" w:sz="4" w:space="0"/>
              <w:right w:val="single" w:color="auto" w:sz="4" w:space="0"/>
            </w:tcBorders>
            <w:vAlign w:val="center"/>
          </w:tcPr>
          <w:p w14:paraId="72395194">
            <w:pPr>
              <w:spacing w:line="360" w:lineRule="auto"/>
              <w:jc w:val="center"/>
              <w:rPr>
                <w:rFonts w:ascii="宋体" w:hAnsi="宋体" w:cs="宋体"/>
                <w:sz w:val="24"/>
              </w:rPr>
            </w:pPr>
            <w:r>
              <w:rPr>
                <w:rFonts w:hint="eastAsia" w:ascii="宋体" w:hAnsi="宋体" w:cs="宋体"/>
                <w:sz w:val="24"/>
              </w:rPr>
              <w:t>是否接受联合体投标</w:t>
            </w:r>
          </w:p>
        </w:tc>
        <w:tc>
          <w:tcPr>
            <w:tcW w:w="6623" w:type="dxa"/>
            <w:tcBorders>
              <w:top w:val="single" w:color="auto" w:sz="4" w:space="0"/>
              <w:left w:val="nil"/>
              <w:bottom w:val="single" w:color="auto" w:sz="4" w:space="0"/>
              <w:right w:val="single" w:color="auto" w:sz="4" w:space="0"/>
            </w:tcBorders>
            <w:vAlign w:val="center"/>
          </w:tcPr>
          <w:p w14:paraId="54FE7CF2">
            <w:pPr>
              <w:spacing w:line="360" w:lineRule="auto"/>
              <w:jc w:val="left"/>
              <w:rPr>
                <w:rFonts w:ascii="宋体" w:hAnsi="宋体" w:cs="宋体"/>
                <w:sz w:val="24"/>
              </w:rPr>
            </w:pPr>
            <w:r>
              <w:rPr>
                <w:rFonts w:hint="eastAsia" w:ascii="宋体" w:hAnsi="宋体" w:cs="宋体"/>
                <w:sz w:val="24"/>
              </w:rPr>
              <w:t xml:space="preserve">不接受 </w:t>
            </w:r>
          </w:p>
        </w:tc>
      </w:tr>
      <w:tr w14:paraId="28719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3588040">
            <w:pPr>
              <w:spacing w:line="360" w:lineRule="auto"/>
              <w:jc w:val="center"/>
              <w:rPr>
                <w:rFonts w:ascii="宋体" w:hAnsi="宋体" w:cs="宋体"/>
                <w:sz w:val="24"/>
              </w:rPr>
            </w:pPr>
            <w:r>
              <w:rPr>
                <w:rFonts w:hint="eastAsia" w:ascii="宋体" w:hAnsi="宋体" w:cs="宋体"/>
                <w:sz w:val="24"/>
              </w:rPr>
              <w:t>1.9</w:t>
            </w:r>
          </w:p>
        </w:tc>
        <w:tc>
          <w:tcPr>
            <w:tcW w:w="2400" w:type="dxa"/>
            <w:tcBorders>
              <w:top w:val="single" w:color="auto" w:sz="4" w:space="0"/>
              <w:left w:val="nil"/>
              <w:bottom w:val="single" w:color="auto" w:sz="4" w:space="0"/>
              <w:right w:val="single" w:color="auto" w:sz="4" w:space="0"/>
            </w:tcBorders>
            <w:vAlign w:val="center"/>
          </w:tcPr>
          <w:p w14:paraId="67E47FCD">
            <w:pPr>
              <w:spacing w:line="360" w:lineRule="auto"/>
              <w:jc w:val="center"/>
              <w:rPr>
                <w:rFonts w:ascii="宋体" w:hAnsi="宋体" w:cs="宋体"/>
                <w:sz w:val="24"/>
              </w:rPr>
            </w:pPr>
            <w:r>
              <w:rPr>
                <w:rFonts w:hint="eastAsia" w:ascii="宋体" w:hAnsi="宋体" w:cs="宋体"/>
                <w:sz w:val="24"/>
              </w:rPr>
              <w:t>踏勘现场</w:t>
            </w:r>
          </w:p>
        </w:tc>
        <w:tc>
          <w:tcPr>
            <w:tcW w:w="6623" w:type="dxa"/>
            <w:tcBorders>
              <w:top w:val="single" w:color="auto" w:sz="4" w:space="0"/>
              <w:left w:val="nil"/>
              <w:bottom w:val="single" w:color="auto" w:sz="4" w:space="0"/>
              <w:right w:val="single" w:color="auto" w:sz="4" w:space="0"/>
            </w:tcBorders>
            <w:vAlign w:val="center"/>
          </w:tcPr>
          <w:p w14:paraId="3C1386F3">
            <w:pPr>
              <w:spacing w:line="360" w:lineRule="auto"/>
              <w:jc w:val="left"/>
              <w:rPr>
                <w:rFonts w:ascii="宋体" w:hAnsi="宋体" w:cs="宋体"/>
                <w:sz w:val="24"/>
              </w:rPr>
            </w:pPr>
            <w:r>
              <w:rPr>
                <w:rFonts w:hint="eastAsia" w:ascii="宋体" w:hAnsi="宋体" w:cs="宋体"/>
                <w:sz w:val="24"/>
              </w:rPr>
              <w:t>不组织，</w:t>
            </w:r>
            <w:r>
              <w:rPr>
                <w:rFonts w:hint="eastAsia" w:ascii="宋体" w:hAnsi="宋体" w:cs="宋体"/>
                <w:sz w:val="24"/>
                <w:lang w:eastAsia="zh-CN"/>
              </w:rPr>
              <w:t>供应商</w:t>
            </w:r>
            <w:r>
              <w:rPr>
                <w:rFonts w:hint="eastAsia" w:ascii="宋体" w:hAnsi="宋体" w:cs="宋体"/>
                <w:sz w:val="24"/>
              </w:rPr>
              <w:t>可自行组织踏勘现场并负责在踏勘现场中所发生的人员安全。</w:t>
            </w:r>
          </w:p>
        </w:tc>
      </w:tr>
      <w:tr w14:paraId="23DE0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259FC4">
            <w:pPr>
              <w:spacing w:line="360" w:lineRule="auto"/>
              <w:jc w:val="center"/>
              <w:rPr>
                <w:rFonts w:ascii="宋体" w:hAnsi="宋体" w:cs="宋体"/>
                <w:sz w:val="24"/>
              </w:rPr>
            </w:pPr>
            <w:r>
              <w:rPr>
                <w:rFonts w:hint="eastAsia" w:ascii="宋体" w:hAnsi="宋体" w:cs="宋体"/>
                <w:sz w:val="24"/>
              </w:rPr>
              <w:t>1.10.1</w:t>
            </w:r>
          </w:p>
        </w:tc>
        <w:tc>
          <w:tcPr>
            <w:tcW w:w="2400" w:type="dxa"/>
            <w:tcBorders>
              <w:top w:val="single" w:color="auto" w:sz="4" w:space="0"/>
              <w:left w:val="nil"/>
              <w:bottom w:val="single" w:color="auto" w:sz="4" w:space="0"/>
              <w:right w:val="single" w:color="auto" w:sz="4" w:space="0"/>
            </w:tcBorders>
            <w:vAlign w:val="center"/>
          </w:tcPr>
          <w:p w14:paraId="3002D5AE">
            <w:pPr>
              <w:spacing w:line="360" w:lineRule="auto"/>
              <w:jc w:val="center"/>
              <w:rPr>
                <w:rFonts w:ascii="宋体" w:hAnsi="宋体" w:cs="宋体"/>
                <w:sz w:val="24"/>
              </w:rPr>
            </w:pPr>
            <w:r>
              <w:rPr>
                <w:rFonts w:hint="eastAsia" w:ascii="宋体" w:hAnsi="宋体" w:cs="宋体"/>
                <w:sz w:val="24"/>
              </w:rPr>
              <w:t>投标预备会</w:t>
            </w:r>
          </w:p>
        </w:tc>
        <w:tc>
          <w:tcPr>
            <w:tcW w:w="6623" w:type="dxa"/>
            <w:tcBorders>
              <w:top w:val="single" w:color="auto" w:sz="4" w:space="0"/>
              <w:left w:val="nil"/>
              <w:bottom w:val="single" w:color="auto" w:sz="4" w:space="0"/>
              <w:right w:val="single" w:color="auto" w:sz="4" w:space="0"/>
            </w:tcBorders>
            <w:vAlign w:val="center"/>
          </w:tcPr>
          <w:p w14:paraId="38A3064F">
            <w:pPr>
              <w:spacing w:line="360" w:lineRule="auto"/>
              <w:jc w:val="left"/>
              <w:rPr>
                <w:rFonts w:ascii="宋体" w:hAnsi="宋体" w:cs="宋体"/>
                <w:sz w:val="24"/>
              </w:rPr>
            </w:pPr>
            <w:r>
              <w:rPr>
                <w:rFonts w:hint="eastAsia" w:ascii="宋体" w:hAnsi="宋体" w:cs="宋体"/>
                <w:sz w:val="24"/>
              </w:rPr>
              <w:t>不召开</w:t>
            </w:r>
          </w:p>
        </w:tc>
      </w:tr>
      <w:tr w14:paraId="5FB03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37F420A">
            <w:pPr>
              <w:widowControl/>
              <w:spacing w:line="450" w:lineRule="exact"/>
              <w:jc w:val="center"/>
              <w:rPr>
                <w:rFonts w:ascii="宋体" w:hAnsi="宋体" w:cs="仿宋_GB2312"/>
                <w:kern w:val="0"/>
                <w:sz w:val="24"/>
              </w:rPr>
            </w:pPr>
            <w:r>
              <w:rPr>
                <w:rFonts w:hint="eastAsia" w:ascii="宋体" w:hAnsi="宋体" w:cs="仿宋_GB2312"/>
                <w:kern w:val="0"/>
                <w:sz w:val="24"/>
              </w:rPr>
              <w:t>1.10.2</w:t>
            </w:r>
          </w:p>
        </w:tc>
        <w:tc>
          <w:tcPr>
            <w:tcW w:w="2400" w:type="dxa"/>
            <w:tcBorders>
              <w:top w:val="single" w:color="auto" w:sz="4" w:space="0"/>
              <w:left w:val="nil"/>
              <w:bottom w:val="single" w:color="auto" w:sz="4" w:space="0"/>
              <w:right w:val="single" w:color="auto" w:sz="4" w:space="0"/>
            </w:tcBorders>
            <w:vAlign w:val="center"/>
          </w:tcPr>
          <w:p w14:paraId="00FD7DFD">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提出问题的</w:t>
            </w:r>
          </w:p>
          <w:p w14:paraId="22987F91">
            <w:pPr>
              <w:widowControl/>
              <w:spacing w:line="450" w:lineRule="exact"/>
              <w:jc w:val="center"/>
              <w:rPr>
                <w:rFonts w:ascii="宋体" w:hAnsi="宋体" w:cs="仿宋_GB2312"/>
                <w:kern w:val="0"/>
                <w:sz w:val="24"/>
              </w:rPr>
            </w:pPr>
            <w:r>
              <w:rPr>
                <w:rFonts w:hint="eastAsia" w:ascii="宋体" w:hAnsi="宋体" w:cs="仿宋_GB2312"/>
                <w:kern w:val="0"/>
                <w:sz w:val="24"/>
              </w:rPr>
              <w:t>截止时间</w:t>
            </w:r>
          </w:p>
        </w:tc>
        <w:tc>
          <w:tcPr>
            <w:tcW w:w="6623" w:type="dxa"/>
            <w:tcBorders>
              <w:top w:val="single" w:color="auto" w:sz="4" w:space="0"/>
              <w:left w:val="nil"/>
              <w:bottom w:val="single" w:color="auto" w:sz="4" w:space="0"/>
              <w:right w:val="single" w:color="auto" w:sz="4" w:space="0"/>
            </w:tcBorders>
            <w:vAlign w:val="center"/>
          </w:tcPr>
          <w:p w14:paraId="32CCBE89">
            <w:pPr>
              <w:widowControl/>
              <w:spacing w:line="450" w:lineRule="exact"/>
              <w:jc w:val="left"/>
              <w:rPr>
                <w:rFonts w:ascii="宋体" w:hAnsi="宋体" w:cs="宋体"/>
                <w:kern w:val="0"/>
                <w:sz w:val="24"/>
              </w:rPr>
            </w:pPr>
            <w:r>
              <w:rPr>
                <w:rFonts w:hint="eastAsia" w:ascii="宋体" w:hAnsi="宋体"/>
                <w:sz w:val="24"/>
              </w:rPr>
              <w:t>投标截止之日15天前，经</w:t>
            </w:r>
            <w:r>
              <w:rPr>
                <w:rFonts w:hint="eastAsia" w:ascii="宋体" w:hAnsi="宋体"/>
                <w:sz w:val="24"/>
                <w:lang w:eastAsia="zh-CN"/>
              </w:rPr>
              <w:t>供应商</w:t>
            </w:r>
            <w:r>
              <w:rPr>
                <w:rFonts w:hint="eastAsia" w:ascii="宋体" w:hAnsi="宋体"/>
                <w:sz w:val="24"/>
              </w:rPr>
              <w:t>和其法定代表人签章的PDF格式文件，通过电子化交易系统提交。招标答疑将以网上公示形式招标公告发布的网站上发布，请各</w:t>
            </w:r>
            <w:r>
              <w:rPr>
                <w:rFonts w:hint="eastAsia" w:ascii="宋体" w:hAnsi="宋体"/>
                <w:sz w:val="24"/>
                <w:lang w:eastAsia="zh-CN"/>
              </w:rPr>
              <w:t>供应商</w:t>
            </w:r>
            <w:r>
              <w:rPr>
                <w:rFonts w:hint="eastAsia" w:ascii="宋体" w:hAnsi="宋体"/>
                <w:sz w:val="24"/>
              </w:rPr>
              <w:t>关注</w:t>
            </w:r>
          </w:p>
        </w:tc>
      </w:tr>
      <w:tr w14:paraId="1E3A9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303A1C">
            <w:pPr>
              <w:widowControl/>
              <w:spacing w:line="450" w:lineRule="exact"/>
              <w:jc w:val="center"/>
              <w:rPr>
                <w:rFonts w:ascii="宋体" w:hAnsi="宋体" w:cs="仿宋_GB2312"/>
                <w:kern w:val="0"/>
                <w:sz w:val="24"/>
              </w:rPr>
            </w:pPr>
            <w:r>
              <w:rPr>
                <w:rFonts w:hint="eastAsia" w:ascii="宋体" w:hAnsi="宋体" w:cs="仿宋_GB2312"/>
                <w:kern w:val="0"/>
                <w:sz w:val="24"/>
              </w:rPr>
              <w:t>1.10.3</w:t>
            </w:r>
          </w:p>
        </w:tc>
        <w:tc>
          <w:tcPr>
            <w:tcW w:w="2400" w:type="dxa"/>
            <w:tcBorders>
              <w:top w:val="single" w:color="auto" w:sz="4" w:space="0"/>
              <w:left w:val="nil"/>
              <w:bottom w:val="single" w:color="auto" w:sz="4" w:space="0"/>
              <w:right w:val="single" w:color="auto" w:sz="4" w:space="0"/>
            </w:tcBorders>
            <w:vAlign w:val="center"/>
          </w:tcPr>
          <w:p w14:paraId="1F673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书面澄清的</w:t>
            </w:r>
          </w:p>
          <w:p w14:paraId="78FC9962">
            <w:pPr>
              <w:widowControl/>
              <w:spacing w:line="450" w:lineRule="exact"/>
              <w:jc w:val="center"/>
              <w:rPr>
                <w:rFonts w:ascii="宋体" w:hAnsi="宋体" w:cs="仿宋_GB2312"/>
                <w:kern w:val="0"/>
                <w:sz w:val="24"/>
              </w:rPr>
            </w:pPr>
            <w:r>
              <w:rPr>
                <w:rFonts w:hint="eastAsia" w:ascii="宋体" w:hAnsi="宋体" w:cs="仿宋_GB2312"/>
                <w:kern w:val="0"/>
                <w:sz w:val="24"/>
              </w:rPr>
              <w:t>时间</w:t>
            </w:r>
          </w:p>
        </w:tc>
        <w:tc>
          <w:tcPr>
            <w:tcW w:w="6623" w:type="dxa"/>
            <w:tcBorders>
              <w:top w:val="single" w:color="auto" w:sz="4" w:space="0"/>
              <w:left w:val="nil"/>
              <w:bottom w:val="single" w:color="auto" w:sz="4" w:space="0"/>
              <w:right w:val="single" w:color="auto" w:sz="4" w:space="0"/>
            </w:tcBorders>
            <w:vAlign w:val="center"/>
          </w:tcPr>
          <w:p w14:paraId="5F29D4AE">
            <w:pPr>
              <w:spacing w:line="450" w:lineRule="exact"/>
              <w:jc w:val="left"/>
              <w:rPr>
                <w:rFonts w:ascii="宋体" w:hAnsi="宋体"/>
                <w:sz w:val="24"/>
              </w:rPr>
            </w:pPr>
            <w:r>
              <w:rPr>
                <w:rFonts w:hint="eastAsia" w:ascii="宋体" w:hAnsi="宋体"/>
                <w:sz w:val="24"/>
              </w:rPr>
              <w:t>投标截止之日15天前网上公示形式在招标公告发布的网站上发布</w:t>
            </w:r>
          </w:p>
        </w:tc>
      </w:tr>
      <w:tr w14:paraId="43FD9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09E4537">
            <w:pPr>
              <w:spacing w:line="360" w:lineRule="auto"/>
              <w:jc w:val="center"/>
              <w:rPr>
                <w:rFonts w:ascii="宋体" w:hAnsi="宋体" w:cs="宋体"/>
                <w:sz w:val="24"/>
              </w:rPr>
            </w:pPr>
            <w:r>
              <w:rPr>
                <w:rFonts w:hint="eastAsia" w:ascii="宋体" w:hAnsi="宋体" w:cs="宋体"/>
                <w:sz w:val="24"/>
              </w:rPr>
              <w:t>1.11</w:t>
            </w:r>
          </w:p>
        </w:tc>
        <w:tc>
          <w:tcPr>
            <w:tcW w:w="2400" w:type="dxa"/>
            <w:tcBorders>
              <w:top w:val="single" w:color="auto" w:sz="4" w:space="0"/>
              <w:left w:val="nil"/>
              <w:bottom w:val="single" w:color="auto" w:sz="4" w:space="0"/>
              <w:right w:val="single" w:color="auto" w:sz="4" w:space="0"/>
            </w:tcBorders>
            <w:vAlign w:val="center"/>
          </w:tcPr>
          <w:p w14:paraId="66DEFE8C">
            <w:pPr>
              <w:spacing w:line="360" w:lineRule="auto"/>
              <w:jc w:val="center"/>
              <w:rPr>
                <w:rFonts w:ascii="宋体" w:hAnsi="宋体" w:cs="宋体"/>
                <w:sz w:val="24"/>
              </w:rPr>
            </w:pPr>
            <w:r>
              <w:rPr>
                <w:rFonts w:hint="eastAsia" w:ascii="宋体" w:hAnsi="宋体" w:cs="宋体"/>
                <w:sz w:val="24"/>
              </w:rPr>
              <w:t>分包</w:t>
            </w:r>
          </w:p>
        </w:tc>
        <w:tc>
          <w:tcPr>
            <w:tcW w:w="6623" w:type="dxa"/>
            <w:tcBorders>
              <w:top w:val="single" w:color="auto" w:sz="4" w:space="0"/>
              <w:left w:val="nil"/>
              <w:bottom w:val="single" w:color="auto" w:sz="4" w:space="0"/>
              <w:right w:val="single" w:color="auto" w:sz="4" w:space="0"/>
            </w:tcBorders>
            <w:vAlign w:val="center"/>
          </w:tcPr>
          <w:p w14:paraId="1B6E52F3">
            <w:pPr>
              <w:spacing w:line="360" w:lineRule="auto"/>
              <w:jc w:val="left"/>
              <w:rPr>
                <w:rFonts w:ascii="宋体" w:hAnsi="宋体" w:cs="宋体"/>
                <w:sz w:val="24"/>
              </w:rPr>
            </w:pPr>
            <w:r>
              <w:rPr>
                <w:rFonts w:hint="eastAsia" w:ascii="宋体" w:hAnsi="宋体"/>
                <w:sz w:val="24"/>
              </w:rPr>
              <w:t>不允许违法分包</w:t>
            </w:r>
          </w:p>
        </w:tc>
      </w:tr>
      <w:tr w14:paraId="3922E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27781AB">
            <w:pPr>
              <w:spacing w:line="360" w:lineRule="auto"/>
              <w:jc w:val="center"/>
              <w:rPr>
                <w:rFonts w:ascii="宋体" w:hAnsi="宋体" w:cs="宋体"/>
                <w:sz w:val="24"/>
              </w:rPr>
            </w:pPr>
            <w:r>
              <w:rPr>
                <w:rFonts w:hint="eastAsia" w:ascii="宋体" w:hAnsi="宋体" w:cs="宋体"/>
                <w:sz w:val="24"/>
              </w:rPr>
              <w:t>1.12</w:t>
            </w:r>
          </w:p>
        </w:tc>
        <w:tc>
          <w:tcPr>
            <w:tcW w:w="2400" w:type="dxa"/>
            <w:tcBorders>
              <w:top w:val="single" w:color="auto" w:sz="4" w:space="0"/>
              <w:left w:val="nil"/>
              <w:bottom w:val="single" w:color="auto" w:sz="4" w:space="0"/>
              <w:right w:val="single" w:color="auto" w:sz="4" w:space="0"/>
            </w:tcBorders>
            <w:vAlign w:val="center"/>
          </w:tcPr>
          <w:p w14:paraId="759ACBC7">
            <w:pPr>
              <w:spacing w:line="360" w:lineRule="auto"/>
              <w:jc w:val="center"/>
              <w:rPr>
                <w:rFonts w:ascii="宋体" w:hAnsi="宋体" w:cs="宋体"/>
                <w:sz w:val="24"/>
              </w:rPr>
            </w:pPr>
            <w:r>
              <w:rPr>
                <w:rFonts w:hint="eastAsia" w:ascii="宋体" w:hAnsi="宋体" w:cs="宋体"/>
                <w:sz w:val="24"/>
              </w:rPr>
              <w:t>偏离</w:t>
            </w:r>
          </w:p>
        </w:tc>
        <w:tc>
          <w:tcPr>
            <w:tcW w:w="6623" w:type="dxa"/>
            <w:tcBorders>
              <w:top w:val="single" w:color="auto" w:sz="4" w:space="0"/>
              <w:left w:val="nil"/>
              <w:bottom w:val="single" w:color="auto" w:sz="4" w:space="0"/>
              <w:right w:val="single" w:color="auto" w:sz="4" w:space="0"/>
            </w:tcBorders>
            <w:vAlign w:val="center"/>
          </w:tcPr>
          <w:p w14:paraId="0A22B469">
            <w:pPr>
              <w:spacing w:line="360" w:lineRule="auto"/>
              <w:jc w:val="left"/>
              <w:rPr>
                <w:rFonts w:ascii="宋体" w:hAnsi="宋体" w:cs="宋体"/>
                <w:sz w:val="24"/>
              </w:rPr>
            </w:pPr>
            <w:r>
              <w:rPr>
                <w:rFonts w:hint="eastAsia" w:ascii="宋体" w:hAnsi="宋体"/>
                <w:sz w:val="24"/>
              </w:rPr>
              <w:t>允许正偏离</w:t>
            </w:r>
          </w:p>
        </w:tc>
      </w:tr>
      <w:tr w14:paraId="08B497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9202366">
            <w:pPr>
              <w:spacing w:line="360" w:lineRule="auto"/>
              <w:jc w:val="center"/>
              <w:rPr>
                <w:rFonts w:ascii="宋体" w:hAnsi="宋体" w:cs="宋体"/>
                <w:sz w:val="24"/>
              </w:rPr>
            </w:pPr>
            <w:r>
              <w:rPr>
                <w:rFonts w:hint="eastAsia" w:ascii="宋体" w:hAnsi="宋体" w:cs="宋体"/>
                <w:sz w:val="24"/>
              </w:rPr>
              <w:t>2.1</w:t>
            </w:r>
          </w:p>
        </w:tc>
        <w:tc>
          <w:tcPr>
            <w:tcW w:w="2400" w:type="dxa"/>
            <w:tcBorders>
              <w:top w:val="single" w:color="auto" w:sz="4" w:space="0"/>
              <w:left w:val="nil"/>
              <w:bottom w:val="single" w:color="auto" w:sz="4" w:space="0"/>
              <w:right w:val="single" w:color="auto" w:sz="4" w:space="0"/>
            </w:tcBorders>
            <w:vAlign w:val="center"/>
          </w:tcPr>
          <w:p w14:paraId="40C77C2E">
            <w:pPr>
              <w:spacing w:line="360" w:lineRule="auto"/>
              <w:jc w:val="center"/>
              <w:rPr>
                <w:rFonts w:ascii="宋体" w:hAnsi="宋体" w:cs="宋体"/>
                <w:sz w:val="24"/>
              </w:rPr>
            </w:pPr>
            <w:r>
              <w:rPr>
                <w:rFonts w:hint="eastAsia" w:ascii="宋体" w:hAnsi="宋体" w:cs="宋体"/>
                <w:sz w:val="24"/>
              </w:rPr>
              <w:t>构成</w:t>
            </w:r>
            <w:r>
              <w:rPr>
                <w:rFonts w:hint="eastAsia" w:ascii="宋体" w:hAnsi="宋体" w:cs="宋体"/>
                <w:sz w:val="24"/>
                <w:lang w:eastAsia="zh-CN"/>
              </w:rPr>
              <w:t>竞争性磋商文件</w:t>
            </w:r>
            <w:r>
              <w:rPr>
                <w:rFonts w:hint="eastAsia" w:ascii="宋体" w:hAnsi="宋体" w:cs="宋体"/>
                <w:sz w:val="24"/>
              </w:rPr>
              <w:t>的其他</w:t>
            </w:r>
          </w:p>
          <w:p w14:paraId="6884BE44">
            <w:pPr>
              <w:spacing w:line="360" w:lineRule="auto"/>
              <w:jc w:val="center"/>
              <w:rPr>
                <w:rFonts w:ascii="宋体" w:hAnsi="宋体" w:cs="宋体"/>
                <w:sz w:val="24"/>
              </w:rPr>
            </w:pPr>
            <w:r>
              <w:rPr>
                <w:rFonts w:hint="eastAsia" w:ascii="宋体" w:hAnsi="宋体" w:cs="宋体"/>
                <w:sz w:val="24"/>
              </w:rPr>
              <w:t>材料</w:t>
            </w:r>
          </w:p>
        </w:tc>
        <w:tc>
          <w:tcPr>
            <w:tcW w:w="6623" w:type="dxa"/>
            <w:tcBorders>
              <w:top w:val="single" w:color="auto" w:sz="4" w:space="0"/>
              <w:left w:val="nil"/>
              <w:bottom w:val="single" w:color="auto" w:sz="4" w:space="0"/>
              <w:right w:val="single" w:color="auto" w:sz="4" w:space="0"/>
            </w:tcBorders>
            <w:vAlign w:val="center"/>
          </w:tcPr>
          <w:p w14:paraId="71DB209A">
            <w:pPr>
              <w:spacing w:line="360" w:lineRule="auto"/>
              <w:jc w:val="left"/>
              <w:rPr>
                <w:rFonts w:ascii="宋体" w:hAnsi="宋体" w:cs="宋体"/>
                <w:sz w:val="24"/>
              </w:rPr>
            </w:pPr>
            <w:r>
              <w:rPr>
                <w:rFonts w:hint="eastAsia" w:ascii="宋体" w:hAnsi="宋体" w:cs="宋体"/>
                <w:sz w:val="24"/>
              </w:rPr>
              <w:t>工程量清单，招标控制价，图纸以及对</w:t>
            </w:r>
            <w:r>
              <w:rPr>
                <w:rFonts w:hint="eastAsia" w:ascii="宋体" w:hAnsi="宋体" w:cs="宋体"/>
                <w:sz w:val="24"/>
                <w:lang w:eastAsia="zh-CN"/>
              </w:rPr>
              <w:t>竞争性磋商文件</w:t>
            </w:r>
            <w:r>
              <w:rPr>
                <w:rFonts w:hint="eastAsia" w:ascii="宋体" w:hAnsi="宋体" w:cs="宋体"/>
                <w:sz w:val="24"/>
              </w:rPr>
              <w:t>所作的澄清（含答疑）、修改、补充构成</w:t>
            </w:r>
            <w:r>
              <w:rPr>
                <w:rFonts w:hint="eastAsia" w:ascii="宋体" w:hAnsi="宋体" w:cs="宋体"/>
                <w:sz w:val="24"/>
                <w:lang w:eastAsia="zh-CN"/>
              </w:rPr>
              <w:t>竞争性磋商文件</w:t>
            </w:r>
            <w:r>
              <w:rPr>
                <w:rFonts w:hint="eastAsia" w:ascii="宋体" w:hAnsi="宋体" w:cs="宋体"/>
                <w:sz w:val="24"/>
              </w:rPr>
              <w:t>的组成部分。</w:t>
            </w:r>
          </w:p>
        </w:tc>
      </w:tr>
      <w:tr w14:paraId="264305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4BB34C0">
            <w:pPr>
              <w:widowControl/>
              <w:spacing w:line="450" w:lineRule="exact"/>
              <w:jc w:val="center"/>
              <w:rPr>
                <w:rFonts w:ascii="宋体" w:hAnsi="宋体" w:cs="仿宋_GB2312"/>
                <w:kern w:val="0"/>
                <w:sz w:val="24"/>
              </w:rPr>
            </w:pPr>
            <w:r>
              <w:rPr>
                <w:rFonts w:hint="eastAsia" w:ascii="宋体" w:hAnsi="宋体" w:cs="仿宋_GB2312"/>
                <w:kern w:val="0"/>
                <w:sz w:val="24"/>
              </w:rPr>
              <w:t>2.2.2</w:t>
            </w:r>
          </w:p>
        </w:tc>
        <w:tc>
          <w:tcPr>
            <w:tcW w:w="2400" w:type="dxa"/>
            <w:tcBorders>
              <w:top w:val="single" w:color="auto" w:sz="4" w:space="0"/>
              <w:left w:val="nil"/>
              <w:bottom w:val="single" w:color="auto" w:sz="4" w:space="0"/>
              <w:right w:val="single" w:color="auto" w:sz="4" w:space="0"/>
            </w:tcBorders>
            <w:vAlign w:val="center"/>
          </w:tcPr>
          <w:p w14:paraId="7497B669">
            <w:pPr>
              <w:widowControl/>
              <w:spacing w:line="450" w:lineRule="exact"/>
              <w:jc w:val="center"/>
              <w:rPr>
                <w:rFonts w:ascii="宋体" w:hAnsi="宋体" w:cs="仿宋_GB2312"/>
                <w:kern w:val="0"/>
                <w:sz w:val="24"/>
              </w:rPr>
            </w:pPr>
            <w:r>
              <w:rPr>
                <w:rFonts w:hint="eastAsia" w:ascii="宋体" w:hAnsi="宋体"/>
                <w:sz w:val="24"/>
              </w:rPr>
              <w:t>上传电子</w:t>
            </w:r>
            <w:r>
              <w:rPr>
                <w:rFonts w:hint="eastAsia" w:ascii="宋体" w:hAnsi="宋体"/>
                <w:sz w:val="24"/>
                <w:lang w:eastAsia="zh-CN"/>
              </w:rPr>
              <w:t>响应文件</w:t>
            </w:r>
            <w:r>
              <w:rPr>
                <w:rFonts w:hint="eastAsia" w:ascii="宋体" w:hAnsi="宋体"/>
                <w:sz w:val="24"/>
              </w:rPr>
              <w:t>截止时间</w:t>
            </w:r>
          </w:p>
        </w:tc>
        <w:tc>
          <w:tcPr>
            <w:tcW w:w="6623" w:type="dxa"/>
            <w:tcBorders>
              <w:top w:val="single" w:color="auto" w:sz="4" w:space="0"/>
              <w:left w:val="nil"/>
              <w:bottom w:val="single" w:color="auto" w:sz="4" w:space="0"/>
              <w:right w:val="single" w:color="auto" w:sz="4" w:space="0"/>
            </w:tcBorders>
            <w:vAlign w:val="center"/>
          </w:tcPr>
          <w:p w14:paraId="609695D0">
            <w:pPr>
              <w:widowControl/>
              <w:spacing w:line="450" w:lineRule="exact"/>
              <w:jc w:val="left"/>
              <w:rPr>
                <w:rFonts w:ascii="宋体" w:hAnsi="宋体" w:cs="仿宋_GB2312"/>
                <w:kern w:val="0"/>
                <w:sz w:val="24"/>
              </w:rPr>
            </w:pPr>
            <w:r>
              <w:rPr>
                <w:rFonts w:hint="eastAsia" w:ascii="宋体" w:hAnsi="宋体" w:cs="仿宋_GB2312"/>
                <w:kern w:val="0"/>
                <w:sz w:val="24"/>
                <w:lang w:eastAsia="zh-CN"/>
              </w:rPr>
              <w:t>2025年6月23日</w:t>
            </w:r>
            <w:r>
              <w:rPr>
                <w:rFonts w:hint="eastAsia" w:ascii="宋体" w:hAnsi="宋体" w:cs="仿宋_GB2312"/>
                <w:kern w:val="0"/>
                <w:sz w:val="24"/>
              </w:rPr>
              <w:t>8时30分</w:t>
            </w:r>
          </w:p>
        </w:tc>
      </w:tr>
      <w:tr w14:paraId="62FAB4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54BF8C3">
            <w:pPr>
              <w:widowControl/>
              <w:spacing w:line="450" w:lineRule="exact"/>
              <w:jc w:val="center"/>
              <w:rPr>
                <w:rFonts w:ascii="宋体" w:hAnsi="宋体" w:cs="仿宋_GB2312"/>
                <w:kern w:val="0"/>
                <w:sz w:val="24"/>
              </w:rPr>
            </w:pPr>
            <w:r>
              <w:rPr>
                <w:rFonts w:hint="eastAsia" w:ascii="宋体" w:hAnsi="宋体" w:cs="仿宋_GB2312"/>
                <w:kern w:val="0"/>
                <w:sz w:val="24"/>
              </w:rPr>
              <w:t>2.2.4</w:t>
            </w:r>
          </w:p>
        </w:tc>
        <w:tc>
          <w:tcPr>
            <w:tcW w:w="2400" w:type="dxa"/>
            <w:tcBorders>
              <w:top w:val="single" w:color="auto" w:sz="4" w:space="0"/>
              <w:left w:val="nil"/>
              <w:bottom w:val="single" w:color="auto" w:sz="4" w:space="0"/>
              <w:right w:val="single" w:color="auto" w:sz="4" w:space="0"/>
            </w:tcBorders>
            <w:vAlign w:val="center"/>
          </w:tcPr>
          <w:p w14:paraId="185CE87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澄清的时间</w:t>
            </w:r>
          </w:p>
        </w:tc>
        <w:tc>
          <w:tcPr>
            <w:tcW w:w="6623" w:type="dxa"/>
            <w:tcBorders>
              <w:top w:val="single" w:color="auto" w:sz="4" w:space="0"/>
              <w:left w:val="nil"/>
              <w:bottom w:val="single" w:color="auto" w:sz="4" w:space="0"/>
              <w:right w:val="single" w:color="auto" w:sz="4" w:space="0"/>
            </w:tcBorders>
            <w:vAlign w:val="center"/>
          </w:tcPr>
          <w:p w14:paraId="52192ECB">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的澄清文件发出后24小时内，如未回函确认，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F48E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28D2BF9">
            <w:pPr>
              <w:widowControl/>
              <w:spacing w:line="450" w:lineRule="exact"/>
              <w:jc w:val="center"/>
              <w:rPr>
                <w:rFonts w:ascii="宋体" w:hAnsi="宋体" w:cs="仿宋_GB2312"/>
                <w:kern w:val="0"/>
                <w:sz w:val="24"/>
              </w:rPr>
            </w:pPr>
            <w:r>
              <w:rPr>
                <w:rFonts w:hint="eastAsia" w:ascii="宋体" w:hAnsi="宋体" w:cs="仿宋_GB2312"/>
                <w:kern w:val="0"/>
                <w:sz w:val="24"/>
              </w:rPr>
              <w:t>2.3.3</w:t>
            </w:r>
          </w:p>
        </w:tc>
        <w:tc>
          <w:tcPr>
            <w:tcW w:w="2400" w:type="dxa"/>
            <w:tcBorders>
              <w:top w:val="single" w:color="auto" w:sz="4" w:space="0"/>
              <w:left w:val="nil"/>
              <w:bottom w:val="single" w:color="auto" w:sz="4" w:space="0"/>
              <w:right w:val="single" w:color="auto" w:sz="4" w:space="0"/>
            </w:tcBorders>
            <w:vAlign w:val="center"/>
          </w:tcPr>
          <w:p w14:paraId="72B8BCD2">
            <w:pPr>
              <w:widowControl/>
              <w:spacing w:line="450" w:lineRule="exact"/>
              <w:jc w:val="center"/>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确认收到</w:t>
            </w:r>
            <w:r>
              <w:rPr>
                <w:rFonts w:hint="eastAsia" w:ascii="宋体" w:hAnsi="宋体" w:cs="仿宋_GB2312"/>
                <w:kern w:val="0"/>
                <w:sz w:val="24"/>
                <w:lang w:eastAsia="zh-CN"/>
              </w:rPr>
              <w:t>竞争性磋商文件</w:t>
            </w:r>
            <w:r>
              <w:rPr>
                <w:rFonts w:hint="eastAsia" w:ascii="宋体" w:hAnsi="宋体" w:cs="仿宋_GB2312"/>
                <w:kern w:val="0"/>
                <w:sz w:val="24"/>
              </w:rPr>
              <w:t>修改的时间</w:t>
            </w:r>
          </w:p>
        </w:tc>
        <w:tc>
          <w:tcPr>
            <w:tcW w:w="6623" w:type="dxa"/>
            <w:tcBorders>
              <w:top w:val="single" w:color="auto" w:sz="4" w:space="0"/>
              <w:left w:val="nil"/>
              <w:bottom w:val="single" w:color="auto" w:sz="4" w:space="0"/>
              <w:right w:val="single" w:color="auto" w:sz="4" w:space="0"/>
            </w:tcBorders>
            <w:vAlign w:val="center"/>
          </w:tcPr>
          <w:p w14:paraId="1D57E875">
            <w:pPr>
              <w:widowControl/>
              <w:spacing w:line="450" w:lineRule="exact"/>
              <w:jc w:val="left"/>
              <w:rPr>
                <w:rFonts w:ascii="宋体" w:hAnsi="宋体" w:cs="仿宋_GB2312"/>
                <w:kern w:val="0"/>
                <w:sz w:val="24"/>
              </w:rPr>
            </w:pPr>
            <w:r>
              <w:rPr>
                <w:rFonts w:hint="eastAsia" w:ascii="宋体" w:hAnsi="宋体" w:cs="仿宋_GB2312"/>
                <w:kern w:val="0"/>
                <w:sz w:val="24"/>
                <w:lang w:eastAsia="zh-CN"/>
              </w:rPr>
              <w:t>竞争性磋商文件</w:t>
            </w:r>
            <w:r>
              <w:rPr>
                <w:rFonts w:hint="eastAsia" w:ascii="宋体" w:hAnsi="宋体" w:cs="仿宋_GB2312"/>
                <w:kern w:val="0"/>
                <w:sz w:val="24"/>
              </w:rPr>
              <w:t>的修改文件发出后24小时内，如未回函确认，</w:t>
            </w:r>
            <w:r>
              <w:rPr>
                <w:rFonts w:hint="eastAsia" w:ascii="宋体" w:hAnsi="宋体" w:cs="仿宋_GB2312"/>
                <w:kern w:val="0"/>
                <w:sz w:val="24"/>
                <w:lang w:eastAsia="zh-CN"/>
              </w:rPr>
              <w:t>采购人</w:t>
            </w:r>
            <w:r>
              <w:rPr>
                <w:rFonts w:hint="eastAsia" w:ascii="宋体" w:hAnsi="宋体" w:cs="仿宋_GB2312"/>
                <w:kern w:val="0"/>
                <w:sz w:val="24"/>
              </w:rPr>
              <w:t>和招标代理机构都视为</w:t>
            </w:r>
            <w:r>
              <w:rPr>
                <w:rFonts w:hint="eastAsia" w:ascii="宋体" w:hAnsi="宋体" w:cs="仿宋_GB2312"/>
                <w:kern w:val="0"/>
                <w:sz w:val="24"/>
                <w:lang w:eastAsia="zh-CN"/>
              </w:rPr>
              <w:t>供应商</w:t>
            </w:r>
            <w:r>
              <w:rPr>
                <w:rFonts w:hint="eastAsia" w:ascii="宋体" w:hAnsi="宋体" w:cs="仿宋_GB2312"/>
                <w:kern w:val="0"/>
                <w:sz w:val="24"/>
              </w:rPr>
              <w:t>收到</w:t>
            </w:r>
            <w:r>
              <w:rPr>
                <w:rFonts w:hint="eastAsia" w:ascii="宋体" w:hAnsi="宋体" w:cs="仿宋_GB2312"/>
                <w:kern w:val="0"/>
                <w:sz w:val="24"/>
                <w:lang w:eastAsia="zh-CN"/>
              </w:rPr>
              <w:t>竞争性磋商文件</w:t>
            </w:r>
            <w:r>
              <w:rPr>
                <w:rFonts w:hint="eastAsia" w:ascii="宋体" w:hAnsi="宋体" w:cs="仿宋_GB2312"/>
                <w:kern w:val="0"/>
                <w:sz w:val="24"/>
              </w:rPr>
              <w:t>澄清内容，</w:t>
            </w:r>
            <w:r>
              <w:rPr>
                <w:rFonts w:hint="eastAsia" w:ascii="宋体" w:hAnsi="宋体"/>
                <w:sz w:val="24"/>
                <w:lang w:eastAsia="zh-CN"/>
              </w:rPr>
              <w:t>供应商</w:t>
            </w:r>
            <w:r>
              <w:rPr>
                <w:rFonts w:hint="eastAsia" w:ascii="宋体" w:hAnsi="宋体"/>
                <w:sz w:val="24"/>
              </w:rPr>
              <w:t>完全理解并接受</w:t>
            </w:r>
            <w:r>
              <w:rPr>
                <w:rFonts w:hint="eastAsia" w:ascii="宋体" w:hAnsi="宋体"/>
                <w:sz w:val="24"/>
                <w:lang w:eastAsia="zh-CN"/>
              </w:rPr>
              <w:t>竞争性磋商文件</w:t>
            </w:r>
            <w:r>
              <w:rPr>
                <w:rFonts w:hint="eastAsia" w:ascii="宋体" w:hAnsi="宋体"/>
                <w:sz w:val="24"/>
              </w:rPr>
              <w:t>中的所有要求（包含网站公示的招标答疑）</w:t>
            </w:r>
          </w:p>
        </w:tc>
      </w:tr>
      <w:tr w14:paraId="340ACE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222C2418">
            <w:pPr>
              <w:spacing w:line="360" w:lineRule="auto"/>
              <w:jc w:val="center"/>
              <w:rPr>
                <w:rFonts w:ascii="宋体" w:hAnsi="宋体" w:cs="宋体"/>
                <w:sz w:val="24"/>
              </w:rPr>
            </w:pPr>
            <w:r>
              <w:rPr>
                <w:rFonts w:hint="eastAsia" w:ascii="宋体" w:hAnsi="宋体" w:cs="宋体"/>
                <w:sz w:val="24"/>
              </w:rPr>
              <w:t>3.3</w:t>
            </w:r>
          </w:p>
        </w:tc>
        <w:tc>
          <w:tcPr>
            <w:tcW w:w="2400" w:type="dxa"/>
            <w:tcBorders>
              <w:top w:val="single" w:color="auto" w:sz="4" w:space="0"/>
              <w:left w:val="nil"/>
              <w:bottom w:val="single" w:color="auto" w:sz="4" w:space="0"/>
              <w:right w:val="single" w:color="auto" w:sz="4" w:space="0"/>
            </w:tcBorders>
            <w:vAlign w:val="center"/>
          </w:tcPr>
          <w:p w14:paraId="49B9F05D">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有效期</w:t>
            </w:r>
          </w:p>
        </w:tc>
        <w:tc>
          <w:tcPr>
            <w:tcW w:w="6623" w:type="dxa"/>
            <w:tcBorders>
              <w:top w:val="single" w:color="auto" w:sz="4" w:space="0"/>
              <w:left w:val="nil"/>
              <w:bottom w:val="single" w:color="auto" w:sz="4" w:space="0"/>
              <w:right w:val="single" w:color="auto" w:sz="4" w:space="0"/>
            </w:tcBorders>
            <w:vAlign w:val="center"/>
          </w:tcPr>
          <w:p w14:paraId="24AC14E0">
            <w:pPr>
              <w:spacing w:line="360" w:lineRule="auto"/>
              <w:jc w:val="left"/>
              <w:rPr>
                <w:rFonts w:ascii="宋体" w:hAnsi="宋体" w:cs="宋体"/>
                <w:sz w:val="24"/>
              </w:rPr>
            </w:pPr>
            <w:r>
              <w:rPr>
                <w:rFonts w:hint="eastAsia" w:ascii="宋体" w:hAnsi="宋体" w:cs="宋体"/>
                <w:sz w:val="24"/>
              </w:rPr>
              <w:t>磋商响应文件递交截止日后60日历天</w:t>
            </w:r>
          </w:p>
        </w:tc>
      </w:tr>
      <w:tr w14:paraId="22797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52076D0">
            <w:pPr>
              <w:spacing w:line="360" w:lineRule="auto"/>
              <w:jc w:val="center"/>
              <w:rPr>
                <w:rFonts w:ascii="宋体" w:hAnsi="宋体" w:cs="宋体"/>
                <w:sz w:val="24"/>
              </w:rPr>
            </w:pPr>
            <w:r>
              <w:rPr>
                <w:rFonts w:hint="eastAsia" w:ascii="宋体" w:hAnsi="宋体" w:cs="宋体"/>
                <w:sz w:val="24"/>
              </w:rPr>
              <w:t>3.4</w:t>
            </w:r>
          </w:p>
        </w:tc>
        <w:tc>
          <w:tcPr>
            <w:tcW w:w="2400" w:type="dxa"/>
            <w:tcBorders>
              <w:top w:val="single" w:color="auto" w:sz="4" w:space="0"/>
              <w:left w:val="nil"/>
              <w:bottom w:val="single" w:color="auto" w:sz="4" w:space="0"/>
              <w:right w:val="single" w:color="auto" w:sz="4" w:space="0"/>
            </w:tcBorders>
            <w:vAlign w:val="center"/>
          </w:tcPr>
          <w:p w14:paraId="5809C8AF">
            <w:pPr>
              <w:spacing w:line="360" w:lineRule="auto"/>
              <w:jc w:val="center"/>
              <w:rPr>
                <w:rFonts w:ascii="宋体" w:hAnsi="宋体" w:cs="宋体"/>
                <w:sz w:val="24"/>
              </w:rPr>
            </w:pPr>
            <w:r>
              <w:rPr>
                <w:rFonts w:hint="eastAsia" w:ascii="宋体" w:hAnsi="宋体" w:cs="宋体"/>
                <w:sz w:val="24"/>
                <w:lang w:val="en-US" w:eastAsia="zh-CN"/>
              </w:rPr>
              <w:t>磋商</w:t>
            </w:r>
            <w:r>
              <w:rPr>
                <w:rFonts w:hint="eastAsia" w:ascii="宋体" w:hAnsi="宋体" w:cs="宋体"/>
                <w:sz w:val="24"/>
              </w:rPr>
              <w:t>保证金</w:t>
            </w:r>
          </w:p>
        </w:tc>
        <w:tc>
          <w:tcPr>
            <w:tcW w:w="6623" w:type="dxa"/>
            <w:tcBorders>
              <w:top w:val="single" w:color="auto" w:sz="4" w:space="0"/>
              <w:left w:val="nil"/>
              <w:bottom w:val="single" w:color="auto" w:sz="4" w:space="0"/>
              <w:right w:val="single" w:color="auto" w:sz="4" w:space="0"/>
            </w:tcBorders>
            <w:vAlign w:val="center"/>
          </w:tcPr>
          <w:p w14:paraId="623EB229">
            <w:pPr>
              <w:spacing w:line="360" w:lineRule="auto"/>
              <w:outlineLvl w:val="1"/>
              <w:rPr>
                <w:rFonts w:hint="eastAsia" w:ascii="Calibri" w:hAnsi="Calibri" w:eastAsia="宋体"/>
                <w:sz w:val="24"/>
                <w:szCs w:val="32"/>
                <w:lang w:eastAsia="zh-CN"/>
              </w:rPr>
            </w:pPr>
            <w:r>
              <w:rPr>
                <w:rFonts w:hint="eastAsia" w:ascii="宋体" w:hAnsi="宋体" w:cs="仿宋_GB2312"/>
                <w:kern w:val="0"/>
                <w:sz w:val="24"/>
              </w:rPr>
              <w:t>详见</w:t>
            </w:r>
            <w:r>
              <w:rPr>
                <w:rFonts w:hint="eastAsia" w:ascii="宋体" w:hAnsi="宋体" w:cs="仿宋_GB2312"/>
                <w:kern w:val="0"/>
                <w:sz w:val="24"/>
                <w:lang w:val="en-US" w:eastAsia="zh-CN"/>
              </w:rPr>
              <w:t>竞争性磋商公告</w:t>
            </w:r>
          </w:p>
        </w:tc>
      </w:tr>
      <w:tr w14:paraId="3E3E5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71F9040B">
            <w:pPr>
              <w:widowControl/>
              <w:spacing w:line="450" w:lineRule="exact"/>
              <w:jc w:val="center"/>
              <w:rPr>
                <w:rFonts w:ascii="宋体" w:hAnsi="宋体" w:cs="仿宋_GB2312"/>
                <w:kern w:val="0"/>
                <w:sz w:val="24"/>
              </w:rPr>
            </w:pPr>
            <w:r>
              <w:rPr>
                <w:rFonts w:hint="eastAsia" w:ascii="宋体" w:hAnsi="宋体" w:cs="仿宋_GB2312"/>
                <w:kern w:val="0"/>
                <w:sz w:val="24"/>
              </w:rPr>
              <w:t>3.5.2</w:t>
            </w:r>
          </w:p>
        </w:tc>
        <w:tc>
          <w:tcPr>
            <w:tcW w:w="2400" w:type="dxa"/>
            <w:tcBorders>
              <w:top w:val="single" w:color="auto" w:sz="4" w:space="0"/>
              <w:left w:val="nil"/>
              <w:bottom w:val="single" w:color="auto" w:sz="4" w:space="0"/>
              <w:right w:val="single" w:color="auto" w:sz="4" w:space="0"/>
            </w:tcBorders>
            <w:vAlign w:val="center"/>
          </w:tcPr>
          <w:p w14:paraId="32BA5578">
            <w:pPr>
              <w:widowControl/>
              <w:spacing w:line="450" w:lineRule="exact"/>
              <w:jc w:val="center"/>
              <w:rPr>
                <w:rFonts w:ascii="宋体" w:hAnsi="宋体" w:cs="仿宋_GB2312"/>
                <w:kern w:val="0"/>
                <w:sz w:val="24"/>
              </w:rPr>
            </w:pPr>
            <w:r>
              <w:rPr>
                <w:rFonts w:hint="eastAsia" w:ascii="宋体" w:hAnsi="宋体" w:cs="仿宋_GB2312"/>
                <w:kern w:val="0"/>
                <w:sz w:val="24"/>
              </w:rPr>
              <w:t>近年财务状况的年份要求</w:t>
            </w:r>
          </w:p>
        </w:tc>
        <w:tc>
          <w:tcPr>
            <w:tcW w:w="6623" w:type="dxa"/>
            <w:tcBorders>
              <w:top w:val="single" w:color="auto" w:sz="4" w:space="0"/>
              <w:left w:val="nil"/>
              <w:bottom w:val="single" w:color="auto" w:sz="4" w:space="0"/>
              <w:right w:val="single" w:color="auto" w:sz="4" w:space="0"/>
            </w:tcBorders>
            <w:vAlign w:val="center"/>
          </w:tcPr>
          <w:p w14:paraId="20DDE0DB">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 xml:space="preserve">年，2021年度、2022年度、2023年度。新办企业以企业注册成立之日起提供。 </w:t>
            </w:r>
          </w:p>
        </w:tc>
      </w:tr>
      <w:tr w14:paraId="715C4D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68BED744">
            <w:pPr>
              <w:widowControl/>
              <w:spacing w:line="450" w:lineRule="exact"/>
              <w:jc w:val="center"/>
              <w:rPr>
                <w:rFonts w:ascii="宋体" w:hAnsi="宋体" w:cs="仿宋_GB2312"/>
                <w:kern w:val="0"/>
                <w:sz w:val="24"/>
              </w:rPr>
            </w:pPr>
            <w:r>
              <w:rPr>
                <w:rFonts w:hint="eastAsia" w:ascii="宋体" w:hAnsi="宋体" w:cs="仿宋_GB2312"/>
                <w:kern w:val="0"/>
                <w:sz w:val="24"/>
              </w:rPr>
              <w:t>3.5.3</w:t>
            </w:r>
          </w:p>
        </w:tc>
        <w:tc>
          <w:tcPr>
            <w:tcW w:w="2400" w:type="dxa"/>
            <w:tcBorders>
              <w:top w:val="single" w:color="auto" w:sz="4" w:space="0"/>
              <w:left w:val="nil"/>
              <w:bottom w:val="single" w:color="auto" w:sz="4" w:space="0"/>
              <w:right w:val="single" w:color="auto" w:sz="4" w:space="0"/>
            </w:tcBorders>
            <w:vAlign w:val="center"/>
          </w:tcPr>
          <w:p w14:paraId="0DF85200">
            <w:pPr>
              <w:widowControl/>
              <w:spacing w:line="450" w:lineRule="exact"/>
              <w:jc w:val="center"/>
              <w:rPr>
                <w:rFonts w:ascii="宋体" w:hAnsi="宋体" w:cs="仿宋_GB2312"/>
                <w:kern w:val="0"/>
                <w:sz w:val="24"/>
              </w:rPr>
            </w:pPr>
            <w:r>
              <w:rPr>
                <w:rFonts w:hint="eastAsia" w:ascii="宋体" w:hAnsi="宋体" w:cs="仿宋_GB2312"/>
                <w:kern w:val="0"/>
                <w:sz w:val="24"/>
              </w:rPr>
              <w:t>近年完成的类似项目情况表</w:t>
            </w:r>
          </w:p>
        </w:tc>
        <w:tc>
          <w:tcPr>
            <w:tcW w:w="6623" w:type="dxa"/>
            <w:tcBorders>
              <w:top w:val="single" w:color="auto" w:sz="4" w:space="0"/>
              <w:left w:val="nil"/>
              <w:bottom w:val="single" w:color="auto" w:sz="4" w:space="0"/>
              <w:right w:val="single" w:color="auto" w:sz="4" w:space="0"/>
            </w:tcBorders>
            <w:vAlign w:val="center"/>
          </w:tcPr>
          <w:p w14:paraId="21D4F149">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5B2CD9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2D74BA0">
            <w:pPr>
              <w:widowControl/>
              <w:spacing w:line="450" w:lineRule="exact"/>
              <w:jc w:val="center"/>
              <w:rPr>
                <w:rFonts w:ascii="宋体" w:hAnsi="宋体" w:cs="仿宋_GB2312"/>
                <w:kern w:val="0"/>
                <w:sz w:val="24"/>
              </w:rPr>
            </w:pPr>
            <w:r>
              <w:rPr>
                <w:rFonts w:hint="eastAsia" w:ascii="宋体" w:hAnsi="宋体" w:cs="仿宋_GB2312"/>
                <w:kern w:val="0"/>
                <w:sz w:val="24"/>
              </w:rPr>
              <w:t>3.5.5</w:t>
            </w:r>
          </w:p>
        </w:tc>
        <w:tc>
          <w:tcPr>
            <w:tcW w:w="2400" w:type="dxa"/>
            <w:tcBorders>
              <w:top w:val="single" w:color="auto" w:sz="4" w:space="0"/>
              <w:left w:val="nil"/>
              <w:bottom w:val="single" w:color="auto" w:sz="4" w:space="0"/>
              <w:right w:val="single" w:color="auto" w:sz="4" w:space="0"/>
            </w:tcBorders>
            <w:vAlign w:val="center"/>
          </w:tcPr>
          <w:p w14:paraId="69ED108E">
            <w:pPr>
              <w:widowControl/>
              <w:spacing w:line="450" w:lineRule="exact"/>
              <w:jc w:val="center"/>
              <w:rPr>
                <w:rFonts w:ascii="宋体" w:hAnsi="宋体" w:cs="仿宋_GB2312"/>
                <w:kern w:val="0"/>
                <w:sz w:val="24"/>
              </w:rPr>
            </w:pPr>
            <w:r>
              <w:rPr>
                <w:rFonts w:hint="eastAsia" w:ascii="宋体" w:hAnsi="宋体" w:cs="仿宋_GB2312"/>
                <w:kern w:val="0"/>
                <w:sz w:val="24"/>
              </w:rPr>
              <w:t>近年发生的诉讼及仲裁情况的年份要求</w:t>
            </w:r>
          </w:p>
        </w:tc>
        <w:tc>
          <w:tcPr>
            <w:tcW w:w="6623" w:type="dxa"/>
            <w:tcBorders>
              <w:top w:val="single" w:color="auto" w:sz="4" w:space="0"/>
              <w:left w:val="nil"/>
              <w:bottom w:val="single" w:color="auto" w:sz="4" w:space="0"/>
              <w:right w:val="single" w:color="auto" w:sz="4" w:space="0"/>
            </w:tcBorders>
            <w:vAlign w:val="center"/>
          </w:tcPr>
          <w:p w14:paraId="4E7C2D42">
            <w:pPr>
              <w:widowControl/>
              <w:spacing w:line="450" w:lineRule="exact"/>
              <w:jc w:val="left"/>
              <w:rPr>
                <w:rFonts w:ascii="宋体" w:hAnsi="宋体" w:cs="仿宋_GB2312"/>
                <w:kern w:val="0"/>
                <w:sz w:val="24"/>
              </w:rPr>
            </w:pPr>
            <w:r>
              <w:rPr>
                <w:rFonts w:hint="eastAsia" w:ascii="宋体" w:hAnsi="宋体" w:cs="宋体"/>
                <w:sz w:val="24"/>
                <w:u w:val="single"/>
              </w:rPr>
              <w:t>近3</w:t>
            </w:r>
            <w:r>
              <w:rPr>
                <w:rFonts w:hint="eastAsia" w:ascii="宋体" w:hAnsi="宋体" w:cs="宋体"/>
                <w:sz w:val="24"/>
              </w:rPr>
              <w:t>年，指2022年1月1日以来起至今</w:t>
            </w:r>
          </w:p>
        </w:tc>
      </w:tr>
      <w:tr w14:paraId="3CB2B5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30ECA034">
            <w:pPr>
              <w:spacing w:line="360" w:lineRule="auto"/>
              <w:jc w:val="center"/>
              <w:rPr>
                <w:rFonts w:ascii="宋体" w:hAnsi="宋体" w:cs="宋体"/>
                <w:sz w:val="24"/>
              </w:rPr>
            </w:pPr>
            <w:r>
              <w:rPr>
                <w:rFonts w:hint="eastAsia" w:ascii="宋体" w:hAnsi="宋体" w:cs="宋体"/>
                <w:sz w:val="24"/>
              </w:rPr>
              <w:t>3.6</w:t>
            </w:r>
          </w:p>
        </w:tc>
        <w:tc>
          <w:tcPr>
            <w:tcW w:w="2400" w:type="dxa"/>
            <w:tcBorders>
              <w:top w:val="single" w:color="auto" w:sz="4" w:space="0"/>
              <w:left w:val="nil"/>
              <w:bottom w:val="single" w:color="auto" w:sz="4" w:space="0"/>
              <w:right w:val="single" w:color="auto" w:sz="4" w:space="0"/>
            </w:tcBorders>
            <w:vAlign w:val="center"/>
          </w:tcPr>
          <w:p w14:paraId="63FE599B">
            <w:pPr>
              <w:spacing w:line="360" w:lineRule="auto"/>
              <w:jc w:val="center"/>
              <w:rPr>
                <w:rFonts w:ascii="宋体" w:hAnsi="宋体" w:cs="宋体"/>
                <w:sz w:val="24"/>
              </w:rPr>
            </w:pPr>
            <w:r>
              <w:rPr>
                <w:rFonts w:hint="eastAsia" w:ascii="宋体" w:hAnsi="宋体" w:cs="宋体"/>
                <w:sz w:val="24"/>
              </w:rPr>
              <w:t>是否允许递交备选</w:t>
            </w:r>
          </w:p>
          <w:p w14:paraId="7743B820">
            <w:pPr>
              <w:spacing w:line="360" w:lineRule="auto"/>
              <w:jc w:val="center"/>
              <w:rPr>
                <w:rFonts w:ascii="宋体" w:hAnsi="宋体" w:cs="宋体"/>
                <w:sz w:val="24"/>
              </w:rPr>
            </w:pPr>
            <w:r>
              <w:rPr>
                <w:rFonts w:hint="eastAsia" w:ascii="宋体" w:hAnsi="宋体" w:cs="宋体"/>
                <w:sz w:val="24"/>
              </w:rPr>
              <w:t>投标方案</w:t>
            </w:r>
          </w:p>
        </w:tc>
        <w:tc>
          <w:tcPr>
            <w:tcW w:w="6623" w:type="dxa"/>
            <w:tcBorders>
              <w:top w:val="single" w:color="auto" w:sz="4" w:space="0"/>
              <w:left w:val="nil"/>
              <w:bottom w:val="single" w:color="auto" w:sz="4" w:space="0"/>
              <w:right w:val="single" w:color="auto" w:sz="4" w:space="0"/>
            </w:tcBorders>
            <w:vAlign w:val="center"/>
          </w:tcPr>
          <w:p w14:paraId="1F2638B6">
            <w:pPr>
              <w:spacing w:line="360" w:lineRule="auto"/>
              <w:jc w:val="left"/>
              <w:rPr>
                <w:rFonts w:ascii="宋体" w:hAnsi="宋体" w:cs="宋体"/>
                <w:sz w:val="24"/>
              </w:rPr>
            </w:pPr>
            <w:r>
              <w:rPr>
                <w:rFonts w:hint="eastAsia" w:ascii="宋体" w:hAnsi="宋体" w:cs="宋体"/>
                <w:sz w:val="24"/>
              </w:rPr>
              <w:t>不允许</w:t>
            </w:r>
          </w:p>
        </w:tc>
      </w:tr>
      <w:tr w14:paraId="0215BA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0298AEB0">
            <w:pPr>
              <w:spacing w:line="450" w:lineRule="exact"/>
              <w:jc w:val="center"/>
              <w:rPr>
                <w:rFonts w:ascii="宋体" w:hAnsi="宋体"/>
                <w:sz w:val="24"/>
              </w:rPr>
            </w:pPr>
            <w:r>
              <w:rPr>
                <w:rFonts w:hint="eastAsia" w:ascii="宋体" w:hAnsi="宋体"/>
                <w:sz w:val="24"/>
              </w:rPr>
              <w:t>3.7.2</w:t>
            </w:r>
          </w:p>
        </w:tc>
        <w:tc>
          <w:tcPr>
            <w:tcW w:w="2400" w:type="dxa"/>
            <w:tcBorders>
              <w:top w:val="single" w:color="auto" w:sz="4" w:space="0"/>
              <w:left w:val="nil"/>
              <w:bottom w:val="single" w:color="auto" w:sz="4" w:space="0"/>
              <w:right w:val="single" w:color="auto" w:sz="4" w:space="0"/>
            </w:tcBorders>
            <w:vAlign w:val="center"/>
          </w:tcPr>
          <w:p w14:paraId="75045CD1">
            <w:pPr>
              <w:spacing w:line="450" w:lineRule="exact"/>
              <w:jc w:val="center"/>
              <w:rPr>
                <w:rFonts w:ascii="宋体" w:hAnsi="宋体"/>
                <w:sz w:val="24"/>
              </w:rPr>
            </w:pPr>
            <w:r>
              <w:rPr>
                <w:rFonts w:hint="eastAsia" w:ascii="宋体" w:hAnsi="宋体"/>
                <w:sz w:val="24"/>
                <w:lang w:eastAsia="zh-CN"/>
              </w:rPr>
              <w:t>响应文件</w:t>
            </w:r>
            <w:r>
              <w:rPr>
                <w:rFonts w:hint="eastAsia" w:ascii="宋体" w:hAnsi="宋体"/>
                <w:sz w:val="24"/>
              </w:rPr>
              <w:t>份数</w:t>
            </w:r>
          </w:p>
        </w:tc>
        <w:tc>
          <w:tcPr>
            <w:tcW w:w="6623" w:type="dxa"/>
            <w:tcBorders>
              <w:top w:val="single" w:color="auto" w:sz="4" w:space="0"/>
              <w:left w:val="nil"/>
              <w:bottom w:val="single" w:color="auto" w:sz="4" w:space="0"/>
              <w:right w:val="single" w:color="auto" w:sz="4" w:space="0"/>
            </w:tcBorders>
            <w:vAlign w:val="center"/>
          </w:tcPr>
          <w:p w14:paraId="1A712E56">
            <w:pPr>
              <w:spacing w:line="450" w:lineRule="exact"/>
              <w:rPr>
                <w:rFonts w:ascii="宋体" w:hAnsi="宋体" w:cs="宋体"/>
                <w:sz w:val="24"/>
              </w:rPr>
            </w:pPr>
            <w:r>
              <w:rPr>
                <w:rFonts w:hint="eastAsia" w:ascii="宋体" w:hAnsi="宋体" w:cs="宋体"/>
                <w:sz w:val="24"/>
              </w:rPr>
              <w:t>1、本项目采用全过程电子化投标，使用CA证书在电子交易平台上传的电子</w:t>
            </w:r>
            <w:r>
              <w:rPr>
                <w:rFonts w:hint="eastAsia" w:ascii="宋体" w:hAnsi="宋体" w:cs="宋体"/>
                <w:sz w:val="24"/>
                <w:lang w:eastAsia="zh-CN"/>
              </w:rPr>
              <w:t>响应文件</w:t>
            </w:r>
            <w:r>
              <w:rPr>
                <w:rFonts w:hint="eastAsia" w:ascii="宋体" w:hAnsi="宋体" w:cs="宋体"/>
                <w:sz w:val="24"/>
              </w:rPr>
              <w:t>（需在投标截止时间前上传成功）。</w:t>
            </w:r>
          </w:p>
          <w:p w14:paraId="7D44FB8E">
            <w:pPr>
              <w:pStyle w:val="5"/>
              <w:rPr>
                <w:rFonts w:ascii="宋体" w:hAnsi="宋体" w:cs="宋体"/>
                <w:b w:val="0"/>
                <w:szCs w:val="24"/>
              </w:rPr>
            </w:pPr>
            <w:r>
              <w:rPr>
                <w:rFonts w:hint="eastAsia" w:ascii="宋体" w:hAnsi="宋体" w:cs="宋体"/>
                <w:b w:val="0"/>
                <w:szCs w:val="24"/>
              </w:rPr>
              <w:t>2、开标时不再递交纸质</w:t>
            </w:r>
            <w:r>
              <w:rPr>
                <w:rFonts w:hint="eastAsia" w:ascii="宋体" w:hAnsi="宋体" w:cs="宋体"/>
                <w:b w:val="0"/>
                <w:szCs w:val="24"/>
                <w:lang w:eastAsia="zh-CN"/>
              </w:rPr>
              <w:t>响应文件</w:t>
            </w:r>
            <w:r>
              <w:rPr>
                <w:rFonts w:hint="eastAsia" w:ascii="宋体" w:hAnsi="宋体" w:cs="宋体"/>
                <w:b w:val="0"/>
                <w:szCs w:val="24"/>
              </w:rPr>
              <w:t>，中标单位领取中标通知书时提交叁份纸质</w:t>
            </w:r>
            <w:r>
              <w:rPr>
                <w:rFonts w:hint="eastAsia" w:ascii="宋体" w:hAnsi="宋体" w:cs="宋体"/>
                <w:b w:val="0"/>
                <w:szCs w:val="24"/>
                <w:lang w:eastAsia="zh-CN"/>
              </w:rPr>
              <w:t>响应文件</w:t>
            </w:r>
            <w:r>
              <w:rPr>
                <w:rFonts w:hint="eastAsia" w:ascii="宋体" w:hAnsi="宋体" w:cs="宋体"/>
                <w:b w:val="0"/>
                <w:szCs w:val="24"/>
              </w:rPr>
              <w:t>（一正两副），</w:t>
            </w:r>
            <w:r>
              <w:rPr>
                <w:rFonts w:hint="eastAsia" w:ascii="宋体" w:hAnsi="宋体" w:cs="宋体"/>
                <w:b w:val="0"/>
                <w:szCs w:val="24"/>
                <w:lang w:eastAsia="zh-CN"/>
              </w:rPr>
              <w:t>响应文件</w:t>
            </w:r>
            <w:r>
              <w:rPr>
                <w:rFonts w:hint="eastAsia" w:ascii="宋体" w:hAnsi="宋体" w:cs="宋体"/>
                <w:b w:val="0"/>
                <w:szCs w:val="24"/>
              </w:rPr>
              <w:t>应按以下要求装订：胶装（不得采用活页装订），应有目录，并逐页标注连续页码，需加盖公章。根据</w:t>
            </w:r>
            <w:r>
              <w:rPr>
                <w:rFonts w:hint="eastAsia" w:ascii="宋体" w:hAnsi="宋体" w:cs="宋体"/>
                <w:b w:val="0"/>
                <w:szCs w:val="24"/>
                <w:lang w:eastAsia="zh-CN"/>
              </w:rPr>
              <w:t>采购人</w:t>
            </w:r>
            <w:r>
              <w:rPr>
                <w:rFonts w:hint="eastAsia" w:ascii="宋体" w:hAnsi="宋体" w:cs="宋体"/>
                <w:b w:val="0"/>
                <w:szCs w:val="24"/>
              </w:rPr>
              <w:t>需要，</w:t>
            </w:r>
            <w:r>
              <w:rPr>
                <w:rFonts w:hint="eastAsia" w:ascii="宋体" w:hAnsi="宋体" w:cs="宋体"/>
                <w:b w:val="0"/>
                <w:szCs w:val="24"/>
                <w:lang w:eastAsia="zh-CN"/>
              </w:rPr>
              <w:t>供应商</w:t>
            </w:r>
            <w:r>
              <w:rPr>
                <w:rFonts w:hint="eastAsia" w:ascii="宋体" w:hAnsi="宋体" w:cs="宋体"/>
                <w:b w:val="0"/>
                <w:szCs w:val="24"/>
              </w:rPr>
              <w:t>中标后须无偿增印</w:t>
            </w:r>
            <w:r>
              <w:rPr>
                <w:rFonts w:hint="eastAsia" w:ascii="宋体" w:hAnsi="宋体" w:cs="宋体"/>
                <w:b w:val="0"/>
                <w:szCs w:val="24"/>
                <w:lang w:eastAsia="zh-CN"/>
              </w:rPr>
              <w:t>响应文件</w:t>
            </w:r>
            <w:r>
              <w:rPr>
                <w:rFonts w:hint="eastAsia" w:ascii="宋体" w:hAnsi="宋体" w:cs="宋体"/>
                <w:b w:val="0"/>
                <w:szCs w:val="24"/>
              </w:rPr>
              <w:t>。</w:t>
            </w:r>
          </w:p>
        </w:tc>
      </w:tr>
      <w:tr w14:paraId="5062A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15C9924C">
            <w:pPr>
              <w:spacing w:line="360" w:lineRule="auto"/>
              <w:jc w:val="center"/>
              <w:rPr>
                <w:rFonts w:ascii="宋体" w:hAnsi="宋体" w:cs="宋体"/>
                <w:sz w:val="24"/>
              </w:rPr>
            </w:pPr>
            <w:r>
              <w:rPr>
                <w:rFonts w:hint="eastAsia" w:ascii="宋体" w:hAnsi="宋体" w:cs="宋体"/>
                <w:sz w:val="24"/>
              </w:rPr>
              <w:t>3.7.3</w:t>
            </w:r>
          </w:p>
        </w:tc>
        <w:tc>
          <w:tcPr>
            <w:tcW w:w="2400" w:type="dxa"/>
            <w:tcBorders>
              <w:top w:val="single" w:color="auto" w:sz="4" w:space="0"/>
              <w:left w:val="nil"/>
              <w:bottom w:val="single" w:color="auto" w:sz="4" w:space="0"/>
              <w:right w:val="single" w:color="auto" w:sz="4" w:space="0"/>
            </w:tcBorders>
            <w:vAlign w:val="center"/>
          </w:tcPr>
          <w:p w14:paraId="69104E82">
            <w:pPr>
              <w:spacing w:line="360" w:lineRule="auto"/>
              <w:jc w:val="center"/>
              <w:rPr>
                <w:rFonts w:ascii="宋体" w:hAnsi="宋体" w:cs="宋体"/>
                <w:sz w:val="24"/>
              </w:rPr>
            </w:pPr>
            <w:r>
              <w:rPr>
                <w:rFonts w:hint="eastAsia" w:ascii="宋体" w:hAnsi="宋体" w:cs="宋体"/>
                <w:sz w:val="24"/>
              </w:rPr>
              <w:t>签字和（或）盖章</w:t>
            </w:r>
          </w:p>
          <w:p w14:paraId="62027452">
            <w:pPr>
              <w:spacing w:line="360" w:lineRule="auto"/>
              <w:jc w:val="center"/>
              <w:rPr>
                <w:rFonts w:ascii="宋体" w:hAnsi="宋体" w:cs="宋体"/>
                <w:sz w:val="24"/>
              </w:rPr>
            </w:pPr>
            <w:r>
              <w:rPr>
                <w:rFonts w:hint="eastAsia" w:ascii="宋体" w:hAnsi="宋体" w:cs="宋体"/>
                <w:sz w:val="24"/>
              </w:rPr>
              <w:t>要求</w:t>
            </w:r>
          </w:p>
        </w:tc>
        <w:tc>
          <w:tcPr>
            <w:tcW w:w="6623" w:type="dxa"/>
            <w:tcBorders>
              <w:top w:val="single" w:color="auto" w:sz="4" w:space="0"/>
              <w:left w:val="nil"/>
              <w:bottom w:val="single" w:color="auto" w:sz="4" w:space="0"/>
              <w:right w:val="single" w:color="auto" w:sz="4" w:space="0"/>
            </w:tcBorders>
            <w:vAlign w:val="center"/>
          </w:tcPr>
          <w:p w14:paraId="2965E57A">
            <w:pPr>
              <w:spacing w:line="360" w:lineRule="auto"/>
              <w:jc w:val="left"/>
              <w:rPr>
                <w:rFonts w:ascii="宋体" w:hAnsi="宋体" w:cs="宋体"/>
                <w:sz w:val="24"/>
              </w:rPr>
            </w:pPr>
            <w:r>
              <w:rPr>
                <w:rFonts w:hint="eastAsia" w:ascii="宋体" w:hAnsi="宋体" w:cs="宋体"/>
                <w:sz w:val="24"/>
              </w:rPr>
              <w:t>1、本项目为电子化、无纸化交易项目，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通过中心</w:t>
            </w:r>
            <w:r>
              <w:rPr>
                <w:rFonts w:hint="eastAsia" w:ascii="宋体" w:hAnsi="宋体" w:cs="宋体"/>
                <w:sz w:val="24"/>
                <w:lang w:eastAsia="zh-CN"/>
              </w:rPr>
              <w:t>响应文件</w:t>
            </w:r>
            <w:r>
              <w:rPr>
                <w:rFonts w:hint="eastAsia" w:ascii="宋体" w:hAnsi="宋体" w:cs="宋体"/>
                <w:sz w:val="24"/>
              </w:rPr>
              <w:t>制作系统制作，并经过电子签章和加密后生成的电子化</w:t>
            </w:r>
            <w:r>
              <w:rPr>
                <w:rFonts w:hint="eastAsia" w:ascii="宋体" w:hAnsi="宋体" w:cs="宋体"/>
                <w:sz w:val="24"/>
                <w:lang w:eastAsia="zh-CN"/>
              </w:rPr>
              <w:t>响应文件</w:t>
            </w:r>
            <w:r>
              <w:rPr>
                <w:rFonts w:hint="eastAsia" w:ascii="宋体" w:hAnsi="宋体" w:cs="宋体"/>
                <w:sz w:val="24"/>
              </w:rPr>
              <w:t>，未对电子化文件进行签章的视为无效投标。</w:t>
            </w:r>
            <w:r>
              <w:rPr>
                <w:rFonts w:hint="eastAsia" w:ascii="宋体" w:hAnsi="宋体" w:cs="宋体"/>
                <w:sz w:val="24"/>
                <w:lang w:eastAsia="zh-CN"/>
              </w:rPr>
              <w:t>供应商</w:t>
            </w:r>
            <w:r>
              <w:rPr>
                <w:rFonts w:hint="eastAsia" w:ascii="宋体" w:hAnsi="宋体" w:cs="宋体"/>
                <w:sz w:val="24"/>
              </w:rPr>
              <w:t>投标时，将不再接受任何纸质文件资料。</w:t>
            </w:r>
          </w:p>
          <w:p w14:paraId="3B6F832E">
            <w:pPr>
              <w:spacing w:line="360" w:lineRule="auto"/>
              <w:jc w:val="left"/>
              <w:rPr>
                <w:rFonts w:ascii="宋体" w:hAnsi="宋体" w:cs="宋体"/>
                <w:sz w:val="24"/>
              </w:rPr>
            </w:pPr>
            <w:r>
              <w:rPr>
                <w:rFonts w:hint="eastAsia" w:ascii="宋体" w:hAnsi="宋体" w:cs="宋体"/>
                <w:sz w:val="24"/>
              </w:rPr>
              <w:t>2、要求法定代表人或授权委托人签字或盖章的，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w:t>
            </w:r>
          </w:p>
        </w:tc>
      </w:tr>
      <w:tr w14:paraId="00A6E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5E3997B3">
            <w:pPr>
              <w:spacing w:line="360" w:lineRule="auto"/>
              <w:jc w:val="center"/>
              <w:rPr>
                <w:rFonts w:ascii="宋体" w:hAnsi="宋体" w:cs="宋体"/>
                <w:sz w:val="24"/>
              </w:rPr>
            </w:pPr>
            <w:r>
              <w:rPr>
                <w:rFonts w:hint="eastAsia" w:ascii="宋体" w:hAnsi="宋体" w:cs="宋体"/>
                <w:sz w:val="24"/>
              </w:rPr>
              <w:t>5.1</w:t>
            </w:r>
          </w:p>
        </w:tc>
        <w:tc>
          <w:tcPr>
            <w:tcW w:w="2400" w:type="dxa"/>
            <w:tcBorders>
              <w:top w:val="single" w:color="auto" w:sz="4" w:space="0"/>
              <w:left w:val="nil"/>
              <w:bottom w:val="single" w:color="auto" w:sz="4" w:space="0"/>
              <w:right w:val="single" w:color="auto" w:sz="4" w:space="0"/>
            </w:tcBorders>
            <w:vAlign w:val="center"/>
          </w:tcPr>
          <w:p w14:paraId="508DDD1C">
            <w:pPr>
              <w:spacing w:line="360" w:lineRule="auto"/>
              <w:jc w:val="center"/>
              <w:rPr>
                <w:rFonts w:ascii="宋体" w:hAnsi="宋体" w:cs="宋体"/>
                <w:sz w:val="24"/>
              </w:rPr>
            </w:pPr>
            <w:r>
              <w:rPr>
                <w:rFonts w:hint="eastAsia" w:ascii="宋体" w:hAnsi="宋体" w:cs="宋体"/>
                <w:sz w:val="24"/>
              </w:rPr>
              <w:t>开标时间和地点</w:t>
            </w:r>
          </w:p>
        </w:tc>
        <w:tc>
          <w:tcPr>
            <w:tcW w:w="6623" w:type="dxa"/>
            <w:tcBorders>
              <w:top w:val="single" w:color="auto" w:sz="4" w:space="0"/>
              <w:left w:val="nil"/>
              <w:bottom w:val="single" w:color="auto" w:sz="4" w:space="0"/>
              <w:right w:val="single" w:color="auto" w:sz="4" w:space="0"/>
            </w:tcBorders>
            <w:vAlign w:val="center"/>
          </w:tcPr>
          <w:p w14:paraId="339CE2F1">
            <w:pPr>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递交截止（开标）时间：</w:t>
            </w:r>
            <w:r>
              <w:rPr>
                <w:rFonts w:hint="eastAsia" w:ascii="宋体" w:hAnsi="宋体" w:cs="宋体"/>
                <w:sz w:val="24"/>
                <w:lang w:eastAsia="zh-CN"/>
              </w:rPr>
              <w:t>2025年6月23日08时30分</w:t>
            </w:r>
            <w:r>
              <w:rPr>
                <w:rFonts w:hint="eastAsia" w:ascii="宋体" w:hAnsi="宋体" w:cs="宋体"/>
                <w:sz w:val="24"/>
              </w:rPr>
              <w:t xml:space="preserve">。 </w:t>
            </w:r>
          </w:p>
          <w:p w14:paraId="358DD2E1">
            <w:pPr>
              <w:spacing w:line="360" w:lineRule="auto"/>
              <w:jc w:val="left"/>
              <w:rPr>
                <w:rFonts w:ascii="宋体" w:hAnsi="宋体" w:cs="宋体"/>
                <w:sz w:val="24"/>
              </w:rPr>
            </w:pPr>
            <w:r>
              <w:rPr>
                <w:rFonts w:hint="eastAsia" w:ascii="宋体" w:hAnsi="宋体" w:cs="宋体"/>
                <w:sz w:val="24"/>
              </w:rPr>
              <w:t>2、开标地点：</w:t>
            </w:r>
            <w:r>
              <w:rPr>
                <w:rFonts w:hint="eastAsia" w:ascii="宋体" w:hAnsi="宋体" w:cs="宋体"/>
                <w:sz w:val="24"/>
                <w:lang w:eastAsia="zh-CN"/>
              </w:rPr>
              <w:t>三门峡市陕州区公共资源交易中心开标二室</w:t>
            </w:r>
            <w:r>
              <w:rPr>
                <w:rFonts w:hint="eastAsia" w:ascii="宋体" w:hAnsi="宋体" w:cs="宋体"/>
                <w:sz w:val="24"/>
              </w:rPr>
              <w:t>（</w:t>
            </w:r>
            <w:r>
              <w:rPr>
                <w:rFonts w:hint="eastAsia" w:ascii="宋体" w:hAnsi="宋体" w:cs="宋体"/>
                <w:sz w:val="24"/>
                <w:lang w:eastAsia="zh-CN"/>
              </w:rPr>
              <w:t>三门峡市陕州区广电局四楼开标室</w:t>
            </w:r>
            <w:r>
              <w:rPr>
                <w:rFonts w:hint="eastAsia" w:ascii="宋体" w:hAnsi="宋体" w:cs="宋体"/>
                <w:sz w:val="24"/>
              </w:rPr>
              <w:t>）。</w:t>
            </w:r>
          </w:p>
        </w:tc>
      </w:tr>
      <w:tr w14:paraId="2C416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45DFE740">
            <w:pPr>
              <w:spacing w:line="360" w:lineRule="auto"/>
              <w:jc w:val="center"/>
              <w:rPr>
                <w:rFonts w:ascii="宋体" w:hAnsi="宋体" w:cs="宋体"/>
                <w:sz w:val="24"/>
              </w:rPr>
            </w:pPr>
            <w:r>
              <w:rPr>
                <w:rFonts w:hint="eastAsia" w:ascii="宋体" w:hAnsi="宋体" w:cs="宋体"/>
                <w:sz w:val="24"/>
              </w:rPr>
              <w:t>5.2</w:t>
            </w:r>
          </w:p>
        </w:tc>
        <w:tc>
          <w:tcPr>
            <w:tcW w:w="2400" w:type="dxa"/>
            <w:tcBorders>
              <w:top w:val="single" w:color="auto" w:sz="4" w:space="0"/>
              <w:left w:val="nil"/>
              <w:bottom w:val="single" w:color="auto" w:sz="4" w:space="0"/>
              <w:right w:val="single" w:color="auto" w:sz="4" w:space="0"/>
            </w:tcBorders>
            <w:vAlign w:val="center"/>
          </w:tcPr>
          <w:p w14:paraId="51BE6979">
            <w:pPr>
              <w:spacing w:line="360" w:lineRule="auto"/>
              <w:jc w:val="center"/>
              <w:rPr>
                <w:rFonts w:ascii="宋体" w:hAnsi="宋体" w:cs="宋体"/>
                <w:sz w:val="24"/>
              </w:rPr>
            </w:pPr>
            <w:r>
              <w:rPr>
                <w:rFonts w:hint="eastAsia" w:ascii="宋体" w:hAnsi="宋体" w:cs="宋体"/>
                <w:sz w:val="24"/>
              </w:rPr>
              <w:t>开标程序</w:t>
            </w:r>
          </w:p>
        </w:tc>
        <w:tc>
          <w:tcPr>
            <w:tcW w:w="6623" w:type="dxa"/>
            <w:tcBorders>
              <w:top w:val="single" w:color="auto" w:sz="4" w:space="0"/>
              <w:left w:val="nil"/>
              <w:bottom w:val="single" w:color="auto" w:sz="4" w:space="0"/>
              <w:right w:val="single" w:color="auto" w:sz="4" w:space="0"/>
            </w:tcBorders>
            <w:vAlign w:val="center"/>
          </w:tcPr>
          <w:p w14:paraId="582A886D">
            <w:pPr>
              <w:spacing w:line="360" w:lineRule="auto"/>
              <w:jc w:val="left"/>
              <w:rPr>
                <w:rFonts w:ascii="宋体" w:hAnsi="宋体" w:cs="宋体"/>
                <w:sz w:val="24"/>
              </w:rPr>
            </w:pPr>
            <w:r>
              <w:rPr>
                <w:rFonts w:hint="eastAsia" w:ascii="宋体" w:hAnsi="宋体"/>
                <w:sz w:val="24"/>
              </w:rPr>
              <w:t>电子化开标程序详见电子化交易注意事项</w:t>
            </w:r>
          </w:p>
        </w:tc>
      </w:tr>
      <w:tr w14:paraId="64A7F2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1066" w:type="dxa"/>
            <w:tcBorders>
              <w:top w:val="single" w:color="auto" w:sz="4" w:space="0"/>
              <w:left w:val="single" w:color="auto" w:sz="4" w:space="0"/>
              <w:bottom w:val="single" w:color="auto" w:sz="4" w:space="0"/>
              <w:right w:val="single" w:color="auto" w:sz="4" w:space="0"/>
            </w:tcBorders>
            <w:vAlign w:val="center"/>
          </w:tcPr>
          <w:p w14:paraId="33F1DD7C">
            <w:pPr>
              <w:spacing w:line="360" w:lineRule="auto"/>
              <w:jc w:val="center"/>
              <w:rPr>
                <w:rFonts w:ascii="宋体" w:hAnsi="宋体" w:cs="宋体"/>
                <w:sz w:val="24"/>
              </w:rPr>
            </w:pPr>
            <w:r>
              <w:rPr>
                <w:rFonts w:hint="eastAsia" w:ascii="宋体" w:hAnsi="宋体" w:cs="宋体"/>
                <w:sz w:val="24"/>
              </w:rPr>
              <w:t>6.1.1</w:t>
            </w:r>
          </w:p>
        </w:tc>
        <w:tc>
          <w:tcPr>
            <w:tcW w:w="2400" w:type="dxa"/>
            <w:tcBorders>
              <w:top w:val="single" w:color="auto" w:sz="4" w:space="0"/>
              <w:left w:val="nil"/>
              <w:bottom w:val="single" w:color="auto" w:sz="4" w:space="0"/>
              <w:right w:val="single" w:color="auto" w:sz="4" w:space="0"/>
            </w:tcBorders>
            <w:vAlign w:val="center"/>
          </w:tcPr>
          <w:p w14:paraId="5F8F675C">
            <w:pPr>
              <w:spacing w:line="360" w:lineRule="auto"/>
              <w:jc w:val="center"/>
              <w:rPr>
                <w:rFonts w:ascii="宋体" w:hAnsi="宋体" w:cs="宋体"/>
                <w:sz w:val="24"/>
              </w:rPr>
            </w:pPr>
            <w:r>
              <w:rPr>
                <w:rFonts w:hint="eastAsia" w:ascii="宋体" w:hAnsi="宋体" w:cs="宋体"/>
                <w:sz w:val="24"/>
              </w:rPr>
              <w:t>评标委员会的组建</w:t>
            </w:r>
          </w:p>
        </w:tc>
        <w:tc>
          <w:tcPr>
            <w:tcW w:w="6623" w:type="dxa"/>
            <w:tcBorders>
              <w:top w:val="single" w:color="auto" w:sz="4" w:space="0"/>
              <w:left w:val="nil"/>
              <w:bottom w:val="single" w:color="auto" w:sz="4" w:space="0"/>
              <w:right w:val="single" w:color="auto" w:sz="4" w:space="0"/>
            </w:tcBorders>
            <w:vAlign w:val="center"/>
          </w:tcPr>
          <w:p w14:paraId="20DB81CA">
            <w:pPr>
              <w:spacing w:line="450" w:lineRule="exact"/>
              <w:jc w:val="left"/>
              <w:rPr>
                <w:rFonts w:ascii="宋体" w:hAnsi="宋体"/>
                <w:sz w:val="24"/>
              </w:rPr>
            </w:pPr>
            <w:r>
              <w:rPr>
                <w:rFonts w:hint="eastAsia" w:ascii="宋体" w:hAnsi="宋体"/>
                <w:sz w:val="24"/>
              </w:rPr>
              <w:t>评标委员会构成</w:t>
            </w:r>
            <w:r>
              <w:rPr>
                <w:rFonts w:ascii="宋体" w:hAnsi="宋体"/>
                <w:sz w:val="24"/>
              </w:rPr>
              <w:t>:</w:t>
            </w:r>
            <w:r>
              <w:rPr>
                <w:rFonts w:hint="eastAsia" w:ascii="宋体" w:hAnsi="宋体"/>
                <w:sz w:val="24"/>
                <w:u w:val="single"/>
                <w:lang w:val="en-US" w:eastAsia="zh-CN"/>
              </w:rPr>
              <w:t>3</w:t>
            </w:r>
            <w:r>
              <w:rPr>
                <w:rFonts w:hint="eastAsia" w:ascii="宋体" w:hAnsi="宋体"/>
                <w:sz w:val="24"/>
              </w:rPr>
              <w:t>人，其中</w:t>
            </w:r>
            <w:r>
              <w:rPr>
                <w:rFonts w:hint="eastAsia" w:ascii="宋体" w:hAnsi="宋体"/>
                <w:sz w:val="24"/>
                <w:lang w:eastAsia="zh-CN"/>
              </w:rPr>
              <w:t>采购人</w:t>
            </w:r>
            <w:r>
              <w:rPr>
                <w:rFonts w:hint="eastAsia" w:ascii="宋体" w:hAnsi="宋体"/>
                <w:sz w:val="24"/>
              </w:rPr>
              <w:t>代表</w:t>
            </w:r>
            <w:r>
              <w:rPr>
                <w:rFonts w:hint="eastAsia" w:ascii="宋体" w:hAnsi="宋体"/>
                <w:sz w:val="24"/>
                <w:u w:val="single"/>
              </w:rPr>
              <w:t>1</w:t>
            </w:r>
            <w:r>
              <w:rPr>
                <w:rFonts w:hint="eastAsia" w:ascii="宋体" w:hAnsi="宋体"/>
                <w:sz w:val="24"/>
              </w:rPr>
              <w:t>人、经济、技术专家</w:t>
            </w:r>
            <w:r>
              <w:rPr>
                <w:rFonts w:hint="eastAsia" w:ascii="宋体" w:hAnsi="宋体"/>
                <w:sz w:val="24"/>
                <w:lang w:val="en-US" w:eastAsia="zh-CN"/>
              </w:rPr>
              <w:t>2</w:t>
            </w:r>
            <w:r>
              <w:rPr>
                <w:rFonts w:hint="eastAsia" w:ascii="宋体" w:hAnsi="宋体"/>
                <w:sz w:val="24"/>
              </w:rPr>
              <w:t>人；</w:t>
            </w:r>
          </w:p>
          <w:p w14:paraId="1D65D39F">
            <w:pPr>
              <w:pStyle w:val="61"/>
              <w:spacing w:line="360" w:lineRule="auto"/>
              <w:rPr>
                <w:rFonts w:hint="default" w:hAnsi="宋体" w:cs="宋体"/>
                <w:b/>
                <w:color w:val="auto"/>
              </w:rPr>
            </w:pPr>
            <w:r>
              <w:rPr>
                <w:rFonts w:hAnsi="宋体"/>
                <w:color w:val="auto"/>
                <w:kern w:val="2"/>
              </w:rPr>
              <w:t>评标专家确定方式：开标后由</w:t>
            </w:r>
            <w:r>
              <w:rPr>
                <w:rFonts w:hint="eastAsia" w:hAnsi="宋体"/>
                <w:color w:val="auto"/>
                <w:kern w:val="2"/>
                <w:lang w:eastAsia="zh-CN"/>
              </w:rPr>
              <w:t>采购人</w:t>
            </w:r>
            <w:r>
              <w:rPr>
                <w:rFonts w:hAnsi="宋体"/>
                <w:color w:val="auto"/>
                <w:kern w:val="2"/>
              </w:rPr>
              <w:t>通过</w:t>
            </w:r>
            <w:r>
              <w:rPr>
                <w:rFonts w:hint="eastAsia" w:hAnsi="宋体"/>
                <w:color w:val="auto"/>
                <w:kern w:val="2"/>
                <w:lang w:eastAsia="zh-CN"/>
              </w:rPr>
              <w:t>三门峡市陕州区公共资源交易中心</w:t>
            </w:r>
            <w:r>
              <w:rPr>
                <w:rFonts w:hAnsi="宋体"/>
                <w:color w:val="auto"/>
                <w:kern w:val="2"/>
              </w:rPr>
              <w:t>抽取终端在监督人的监督下从《</w:t>
            </w:r>
            <w:r>
              <w:rPr>
                <w:rFonts w:hint="eastAsia" w:hAnsi="宋体"/>
                <w:color w:val="auto"/>
                <w:kern w:val="2"/>
              </w:rPr>
              <w:t>河南省政府采购评审专家库</w:t>
            </w:r>
            <w:r>
              <w:rPr>
                <w:rFonts w:hAnsi="宋体"/>
                <w:color w:val="auto"/>
                <w:kern w:val="2"/>
              </w:rPr>
              <w:t>》中随机抽取。</w:t>
            </w:r>
          </w:p>
        </w:tc>
      </w:tr>
      <w:tr w14:paraId="279B96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066" w:type="dxa"/>
            <w:tcBorders>
              <w:top w:val="single" w:color="auto" w:sz="4" w:space="0"/>
              <w:left w:val="single" w:color="auto" w:sz="4" w:space="0"/>
              <w:bottom w:val="single" w:color="auto" w:sz="4" w:space="0"/>
              <w:right w:val="single" w:color="auto" w:sz="4" w:space="0"/>
            </w:tcBorders>
            <w:vAlign w:val="center"/>
          </w:tcPr>
          <w:p w14:paraId="22DD755E">
            <w:pPr>
              <w:spacing w:line="360" w:lineRule="auto"/>
              <w:jc w:val="center"/>
              <w:rPr>
                <w:rFonts w:ascii="宋体" w:hAnsi="宋体" w:cs="宋体"/>
                <w:sz w:val="24"/>
              </w:rPr>
            </w:pPr>
            <w:r>
              <w:rPr>
                <w:rFonts w:hint="eastAsia" w:ascii="宋体" w:hAnsi="宋体" w:cs="宋体"/>
                <w:sz w:val="24"/>
              </w:rPr>
              <w:t>7.1.1</w:t>
            </w:r>
          </w:p>
        </w:tc>
        <w:tc>
          <w:tcPr>
            <w:tcW w:w="2400" w:type="dxa"/>
            <w:tcBorders>
              <w:top w:val="single" w:color="auto" w:sz="4" w:space="0"/>
              <w:left w:val="nil"/>
              <w:bottom w:val="single" w:color="auto" w:sz="4" w:space="0"/>
              <w:right w:val="single" w:color="auto" w:sz="4" w:space="0"/>
            </w:tcBorders>
            <w:vAlign w:val="center"/>
          </w:tcPr>
          <w:p w14:paraId="052A3A2C">
            <w:pPr>
              <w:spacing w:line="360" w:lineRule="auto"/>
              <w:jc w:val="center"/>
              <w:rPr>
                <w:rFonts w:ascii="宋体" w:hAnsi="宋体" w:cs="宋体"/>
                <w:sz w:val="24"/>
              </w:rPr>
            </w:pPr>
            <w:r>
              <w:rPr>
                <w:rFonts w:hint="eastAsia" w:ascii="宋体" w:hAnsi="宋体" w:cs="宋体"/>
                <w:sz w:val="24"/>
              </w:rPr>
              <w:t>是否授权评标委员会确定中标人</w:t>
            </w:r>
          </w:p>
        </w:tc>
        <w:tc>
          <w:tcPr>
            <w:tcW w:w="6623" w:type="dxa"/>
            <w:tcBorders>
              <w:top w:val="single" w:color="auto" w:sz="4" w:space="0"/>
              <w:left w:val="nil"/>
              <w:bottom w:val="single" w:color="auto" w:sz="4" w:space="0"/>
              <w:right w:val="single" w:color="auto" w:sz="4" w:space="0"/>
            </w:tcBorders>
            <w:vAlign w:val="center"/>
          </w:tcPr>
          <w:p w14:paraId="1034F821">
            <w:pPr>
              <w:spacing w:line="360" w:lineRule="auto"/>
              <w:jc w:val="left"/>
              <w:rPr>
                <w:rFonts w:ascii="宋体" w:hAnsi="宋体" w:cs="宋体"/>
                <w:sz w:val="24"/>
              </w:rPr>
            </w:pPr>
            <w:r>
              <w:rPr>
                <w:rFonts w:hint="eastAsia" w:ascii="宋体" w:hAnsi="宋体" w:cs="宋体"/>
                <w:sz w:val="24"/>
              </w:rPr>
              <w:t>否，按顺序推荐的中标候选人数：1-3名，并</w:t>
            </w:r>
            <w:r>
              <w:rPr>
                <w:rFonts w:ascii="宋体" w:hAnsi="宋体" w:cs="宋体"/>
                <w:kern w:val="0"/>
                <w:sz w:val="24"/>
              </w:rPr>
              <w:t>标明排列顺序</w:t>
            </w:r>
          </w:p>
        </w:tc>
      </w:tr>
      <w:tr w14:paraId="121E3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6837CC4">
            <w:pPr>
              <w:spacing w:line="450" w:lineRule="exact"/>
              <w:jc w:val="center"/>
              <w:rPr>
                <w:rFonts w:ascii="宋体" w:hAnsi="宋体"/>
                <w:sz w:val="24"/>
              </w:rPr>
            </w:pPr>
            <w:r>
              <w:rPr>
                <w:rFonts w:hint="eastAsia" w:ascii="宋体" w:hAnsi="宋体"/>
                <w:sz w:val="24"/>
              </w:rPr>
              <w:t>7.2.1</w:t>
            </w:r>
          </w:p>
        </w:tc>
        <w:tc>
          <w:tcPr>
            <w:tcW w:w="2400" w:type="dxa"/>
            <w:tcBorders>
              <w:top w:val="single" w:color="auto" w:sz="4" w:space="0"/>
              <w:left w:val="nil"/>
              <w:bottom w:val="single" w:color="auto" w:sz="4" w:space="0"/>
              <w:right w:val="single" w:color="auto" w:sz="4" w:space="0"/>
            </w:tcBorders>
            <w:vAlign w:val="center"/>
          </w:tcPr>
          <w:p w14:paraId="76D59ACE">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公示媒介</w:t>
            </w:r>
          </w:p>
        </w:tc>
        <w:tc>
          <w:tcPr>
            <w:tcW w:w="6623" w:type="dxa"/>
            <w:tcBorders>
              <w:top w:val="single" w:color="auto" w:sz="4" w:space="0"/>
              <w:left w:val="nil"/>
              <w:bottom w:val="single" w:color="auto" w:sz="4" w:space="0"/>
              <w:right w:val="single" w:color="auto" w:sz="4" w:space="0"/>
            </w:tcBorders>
            <w:vAlign w:val="center"/>
          </w:tcPr>
          <w:p w14:paraId="3668137C">
            <w:pPr>
              <w:spacing w:line="450" w:lineRule="exact"/>
              <w:jc w:val="left"/>
              <w:rPr>
                <w:rFonts w:ascii="宋体" w:hAnsi="宋体"/>
                <w:sz w:val="24"/>
              </w:rPr>
            </w:pPr>
            <w:r>
              <w:rPr>
                <w:rFonts w:hint="eastAsia" w:ascii="宋体" w:hAnsi="宋体"/>
                <w:sz w:val="24"/>
              </w:rPr>
              <w:t>《中国招投标公共服务平台》、《中国采购与招标网》、《河南省政府采购网》、《三门峡公共资源交易中心》</w:t>
            </w:r>
          </w:p>
        </w:tc>
      </w:tr>
      <w:tr w14:paraId="7FD416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650CCB3B">
            <w:pPr>
              <w:spacing w:line="450" w:lineRule="exact"/>
              <w:jc w:val="center"/>
              <w:rPr>
                <w:rFonts w:ascii="宋体" w:hAnsi="宋体"/>
                <w:sz w:val="24"/>
              </w:rPr>
            </w:pPr>
            <w:r>
              <w:rPr>
                <w:rFonts w:hint="eastAsia" w:ascii="宋体" w:hAnsi="宋体"/>
                <w:sz w:val="24"/>
              </w:rPr>
              <w:t>7.2.2</w:t>
            </w:r>
          </w:p>
        </w:tc>
        <w:tc>
          <w:tcPr>
            <w:tcW w:w="2400" w:type="dxa"/>
            <w:tcBorders>
              <w:top w:val="single" w:color="auto" w:sz="4" w:space="0"/>
              <w:left w:val="nil"/>
              <w:bottom w:val="single" w:color="auto" w:sz="4" w:space="0"/>
              <w:right w:val="single" w:color="auto" w:sz="4" w:space="0"/>
            </w:tcBorders>
            <w:vAlign w:val="center"/>
          </w:tcPr>
          <w:p w14:paraId="12AA5DD7">
            <w:pPr>
              <w:spacing w:line="450" w:lineRule="exact"/>
              <w:jc w:val="center"/>
              <w:rPr>
                <w:rFonts w:ascii="宋体" w:hAnsi="宋体"/>
                <w:sz w:val="24"/>
              </w:rPr>
            </w:pPr>
            <w:r>
              <w:rPr>
                <w:rFonts w:hint="eastAsia" w:ascii="宋体" w:hAnsi="宋体"/>
                <w:sz w:val="24"/>
              </w:rPr>
              <w:t>中标</w:t>
            </w:r>
            <w:r>
              <w:rPr>
                <w:rFonts w:hint="eastAsia" w:ascii="宋体" w:hAnsi="宋体"/>
                <w:sz w:val="24"/>
                <w:lang w:val="en-US" w:eastAsia="zh-CN"/>
              </w:rPr>
              <w:t>结果</w:t>
            </w:r>
            <w:r>
              <w:rPr>
                <w:rFonts w:hint="eastAsia" w:ascii="宋体" w:hAnsi="宋体"/>
                <w:sz w:val="24"/>
              </w:rPr>
              <w:t>公示</w:t>
            </w:r>
          </w:p>
        </w:tc>
        <w:tc>
          <w:tcPr>
            <w:tcW w:w="6623" w:type="dxa"/>
            <w:tcBorders>
              <w:top w:val="single" w:color="auto" w:sz="4" w:space="0"/>
              <w:left w:val="nil"/>
              <w:bottom w:val="single" w:color="auto" w:sz="4" w:space="0"/>
              <w:right w:val="single" w:color="auto" w:sz="4" w:space="0"/>
            </w:tcBorders>
            <w:vAlign w:val="center"/>
          </w:tcPr>
          <w:p w14:paraId="1C44F98A">
            <w:pPr>
              <w:spacing w:line="450" w:lineRule="exact"/>
              <w:rPr>
                <w:rFonts w:ascii="宋体" w:hAnsi="宋体" w:cs="宋体"/>
                <w:sz w:val="24"/>
                <w:shd w:val="clear" w:color="050000" w:fill="auto"/>
              </w:rPr>
            </w:pPr>
            <w:r>
              <w:rPr>
                <w:rFonts w:hint="eastAsia" w:ascii="宋体" w:hAnsi="宋体" w:cs="宋体"/>
                <w:sz w:val="24"/>
                <w:shd w:val="clear" w:color="050000" w:fill="auto"/>
              </w:rPr>
              <w:t>在中标通知书发出前，</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将中标候选人的情况在本招标项目招标公告发布的同一媒体予以公示，公示期不少于3日。</w:t>
            </w:r>
          </w:p>
        </w:tc>
      </w:tr>
      <w:tr w14:paraId="513E9B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BF95BA4">
            <w:pPr>
              <w:spacing w:line="450" w:lineRule="exact"/>
              <w:jc w:val="center"/>
              <w:rPr>
                <w:rFonts w:ascii="宋体" w:hAnsi="宋体"/>
                <w:sz w:val="24"/>
              </w:rPr>
            </w:pPr>
            <w:r>
              <w:rPr>
                <w:rFonts w:hint="eastAsia" w:ascii="宋体" w:hAnsi="宋体"/>
                <w:sz w:val="24"/>
              </w:rPr>
              <w:t>7.3.1</w:t>
            </w:r>
          </w:p>
        </w:tc>
        <w:tc>
          <w:tcPr>
            <w:tcW w:w="2400" w:type="dxa"/>
            <w:tcBorders>
              <w:top w:val="single" w:color="auto" w:sz="4" w:space="0"/>
              <w:left w:val="nil"/>
              <w:bottom w:val="single" w:color="auto" w:sz="4" w:space="0"/>
              <w:right w:val="single" w:color="auto" w:sz="4" w:space="0"/>
            </w:tcBorders>
            <w:vAlign w:val="center"/>
          </w:tcPr>
          <w:p w14:paraId="7B8D3187">
            <w:pPr>
              <w:spacing w:line="450" w:lineRule="exact"/>
              <w:jc w:val="center"/>
              <w:rPr>
                <w:rFonts w:ascii="宋体" w:hAnsi="宋体"/>
                <w:sz w:val="24"/>
              </w:rPr>
            </w:pPr>
            <w:r>
              <w:rPr>
                <w:rFonts w:hint="eastAsia" w:ascii="宋体" w:hAnsi="宋体"/>
                <w:sz w:val="24"/>
              </w:rPr>
              <w:t>履约担保</w:t>
            </w:r>
          </w:p>
        </w:tc>
        <w:tc>
          <w:tcPr>
            <w:tcW w:w="6623" w:type="dxa"/>
            <w:tcBorders>
              <w:top w:val="single" w:color="auto" w:sz="4" w:space="0"/>
              <w:left w:val="nil"/>
              <w:bottom w:val="single" w:color="auto" w:sz="4" w:space="0"/>
              <w:right w:val="single" w:color="auto" w:sz="4" w:space="0"/>
            </w:tcBorders>
            <w:vAlign w:val="center"/>
          </w:tcPr>
          <w:p w14:paraId="18B9A9AC">
            <w:pPr>
              <w:spacing w:line="440" w:lineRule="exact"/>
              <w:rPr>
                <w:rFonts w:ascii="宋体" w:hAnsi="宋体" w:cs="宋体"/>
                <w:sz w:val="24"/>
              </w:rPr>
            </w:pPr>
            <w:r>
              <w:rPr>
                <w:rFonts w:hint="eastAsia" w:ascii="宋体" w:hAnsi="宋体" w:cs="宋体"/>
                <w:sz w:val="24"/>
              </w:rPr>
              <w:t>履约担保的形式：现金、转账、银行保函或担保公司等形式提供履约担保；</w:t>
            </w:r>
            <w:r>
              <w:rPr>
                <w:rFonts w:ascii="宋体" w:hAnsi="宋体" w:cs="宋体"/>
                <w:sz w:val="24"/>
              </w:rPr>
              <w:t xml:space="preserve"> </w:t>
            </w:r>
          </w:p>
          <w:p w14:paraId="2D9150BD">
            <w:pPr>
              <w:autoSpaceDE w:val="0"/>
              <w:autoSpaceDN w:val="0"/>
              <w:adjustRightInd w:val="0"/>
              <w:spacing w:line="420" w:lineRule="exact"/>
              <w:jc w:val="left"/>
              <w:rPr>
                <w:rFonts w:ascii="宋体" w:hAnsi="宋体" w:cs="宋体"/>
                <w:sz w:val="24"/>
              </w:rPr>
            </w:pPr>
            <w:r>
              <w:rPr>
                <w:rFonts w:hint="eastAsia" w:ascii="宋体" w:hAnsi="宋体" w:cs="宋体"/>
                <w:kern w:val="0"/>
                <w:sz w:val="24"/>
              </w:rPr>
              <w:t>履约担保的金</w:t>
            </w:r>
            <w:r>
              <w:rPr>
                <w:rFonts w:hint="eastAsia" w:ascii="宋体" w:hAnsi="宋体" w:cs="宋体"/>
                <w:sz w:val="24"/>
              </w:rPr>
              <w:t>额：</w:t>
            </w:r>
            <w:r>
              <w:rPr>
                <w:rFonts w:hint="eastAsia" w:ascii="宋体" w:hAnsi="宋体"/>
                <w:sz w:val="24"/>
              </w:rPr>
              <w:t>中标金额的5%</w:t>
            </w:r>
            <w:r>
              <w:rPr>
                <w:rFonts w:hint="eastAsia" w:ascii="宋体" w:hAnsi="宋体" w:cs="宋体"/>
                <w:sz w:val="24"/>
              </w:rPr>
              <w:t>；</w:t>
            </w:r>
          </w:p>
          <w:p w14:paraId="2A64AA19">
            <w:pPr>
              <w:spacing w:line="440" w:lineRule="exact"/>
              <w:rPr>
                <w:rFonts w:ascii="宋体" w:hAnsi="宋体" w:cs="宋体"/>
                <w:kern w:val="0"/>
                <w:sz w:val="24"/>
              </w:rPr>
            </w:pPr>
            <w:r>
              <w:rPr>
                <w:rFonts w:hint="eastAsia" w:ascii="宋体" w:hAnsi="宋体" w:cs="宋体"/>
                <w:kern w:val="0"/>
                <w:sz w:val="24"/>
              </w:rPr>
              <w:t>履约保证金的提交时间：</w:t>
            </w:r>
            <w:r>
              <w:rPr>
                <w:rFonts w:hint="eastAsia" w:ascii="宋体" w:hAnsi="宋体" w:cs="宋体"/>
                <w:sz w:val="24"/>
              </w:rPr>
              <w:t>在签订合同后7个工作日内递交到</w:t>
            </w:r>
            <w:r>
              <w:rPr>
                <w:rFonts w:hint="eastAsia" w:ascii="宋体" w:hAnsi="宋体" w:cs="宋体"/>
                <w:sz w:val="24"/>
                <w:lang w:eastAsia="zh-CN"/>
              </w:rPr>
              <w:t>采购人</w:t>
            </w:r>
            <w:r>
              <w:rPr>
                <w:rFonts w:hint="eastAsia" w:ascii="宋体" w:hAnsi="宋体" w:cs="宋体"/>
                <w:sz w:val="24"/>
              </w:rPr>
              <w:t>的指定账户，否则视为自动放弃中标资格，</w:t>
            </w:r>
            <w:r>
              <w:rPr>
                <w:rFonts w:hint="eastAsia" w:ascii="宋体" w:hAnsi="宋体" w:cs="宋体"/>
                <w:sz w:val="24"/>
                <w:lang w:eastAsia="zh-CN"/>
              </w:rPr>
              <w:t>采购人</w:t>
            </w:r>
            <w:r>
              <w:rPr>
                <w:rFonts w:hint="eastAsia" w:ascii="宋体" w:hAnsi="宋体" w:cs="宋体"/>
                <w:sz w:val="24"/>
              </w:rPr>
              <w:t>按规定没收其投标保证金。</w:t>
            </w:r>
          </w:p>
          <w:p w14:paraId="3CF9BE1E">
            <w:pPr>
              <w:spacing w:line="450" w:lineRule="exact"/>
              <w:rPr>
                <w:rFonts w:ascii="宋体" w:hAnsi="宋体"/>
                <w:sz w:val="24"/>
              </w:rPr>
            </w:pPr>
            <w:r>
              <w:rPr>
                <w:rFonts w:hint="eastAsia" w:ascii="宋体" w:hAnsi="宋体" w:cs="宋体"/>
                <w:kern w:val="0"/>
                <w:sz w:val="24"/>
              </w:rPr>
              <w:t>履约保证金的退还：</w:t>
            </w:r>
            <w:r>
              <w:rPr>
                <w:rFonts w:hint="eastAsia" w:ascii="宋体" w:hAnsi="宋体" w:cs="宋体"/>
                <w:sz w:val="24"/>
              </w:rPr>
              <w:t>工程竣工验收报告出具后30日历天内退还（不计利息）</w:t>
            </w:r>
          </w:p>
        </w:tc>
      </w:tr>
      <w:tr w14:paraId="5D31B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1066" w:type="dxa"/>
            <w:tcBorders>
              <w:top w:val="single" w:color="auto" w:sz="4" w:space="0"/>
              <w:left w:val="single" w:color="auto" w:sz="4" w:space="0"/>
              <w:bottom w:val="single" w:color="auto" w:sz="4" w:space="0"/>
              <w:right w:val="single" w:color="auto" w:sz="4" w:space="0"/>
            </w:tcBorders>
            <w:vAlign w:val="center"/>
          </w:tcPr>
          <w:p w14:paraId="07D25C1F">
            <w:pPr>
              <w:spacing w:line="360" w:lineRule="auto"/>
              <w:jc w:val="center"/>
              <w:rPr>
                <w:rFonts w:ascii="宋体" w:hAnsi="宋体" w:cs="宋体"/>
                <w:sz w:val="24"/>
              </w:rPr>
            </w:pPr>
            <w:r>
              <w:rPr>
                <w:rFonts w:hint="eastAsia" w:ascii="宋体" w:hAnsi="宋体" w:cs="宋体"/>
                <w:sz w:val="24"/>
              </w:rPr>
              <w:t>10</w:t>
            </w:r>
          </w:p>
        </w:tc>
        <w:tc>
          <w:tcPr>
            <w:tcW w:w="9023" w:type="dxa"/>
            <w:gridSpan w:val="2"/>
            <w:tcBorders>
              <w:top w:val="single" w:color="auto" w:sz="4" w:space="0"/>
              <w:left w:val="nil"/>
              <w:bottom w:val="single" w:color="auto" w:sz="4" w:space="0"/>
              <w:right w:val="single" w:color="auto" w:sz="4" w:space="0"/>
            </w:tcBorders>
            <w:vAlign w:val="center"/>
          </w:tcPr>
          <w:p w14:paraId="45D91B2C">
            <w:pPr>
              <w:spacing w:line="360" w:lineRule="auto"/>
              <w:jc w:val="left"/>
              <w:rPr>
                <w:rFonts w:ascii="宋体" w:hAnsi="宋体" w:cs="宋体"/>
                <w:sz w:val="24"/>
              </w:rPr>
            </w:pPr>
            <w:r>
              <w:rPr>
                <w:rFonts w:hint="eastAsia" w:ascii="宋体" w:hAnsi="宋体" w:cs="宋体"/>
                <w:sz w:val="24"/>
              </w:rPr>
              <w:t>需要补充的其他内容</w:t>
            </w:r>
          </w:p>
        </w:tc>
      </w:tr>
      <w:tr w14:paraId="52974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1066" w:type="dxa"/>
            <w:tcBorders>
              <w:top w:val="single" w:color="auto" w:sz="4" w:space="0"/>
              <w:left w:val="single" w:color="auto" w:sz="4" w:space="0"/>
              <w:bottom w:val="single" w:color="auto" w:sz="4" w:space="0"/>
              <w:right w:val="single" w:color="auto" w:sz="4" w:space="0"/>
            </w:tcBorders>
            <w:vAlign w:val="center"/>
          </w:tcPr>
          <w:p w14:paraId="137EC3B1">
            <w:pPr>
              <w:spacing w:line="360" w:lineRule="auto"/>
              <w:jc w:val="center"/>
              <w:rPr>
                <w:rFonts w:ascii="宋体" w:hAnsi="宋体" w:cs="宋体"/>
                <w:sz w:val="24"/>
              </w:rPr>
            </w:pPr>
            <w:r>
              <w:rPr>
                <w:rFonts w:hint="eastAsia" w:ascii="宋体" w:hAnsi="宋体" w:cs="宋体"/>
                <w:sz w:val="24"/>
              </w:rPr>
              <w:t>10.1</w:t>
            </w:r>
          </w:p>
        </w:tc>
        <w:tc>
          <w:tcPr>
            <w:tcW w:w="2400" w:type="dxa"/>
            <w:tcBorders>
              <w:top w:val="single" w:color="auto" w:sz="4" w:space="0"/>
              <w:left w:val="nil"/>
              <w:bottom w:val="single" w:color="auto" w:sz="4" w:space="0"/>
              <w:right w:val="single" w:color="auto" w:sz="4" w:space="0"/>
            </w:tcBorders>
            <w:vAlign w:val="center"/>
          </w:tcPr>
          <w:p w14:paraId="500F9A7E">
            <w:pPr>
              <w:spacing w:line="360" w:lineRule="auto"/>
              <w:jc w:val="center"/>
              <w:rPr>
                <w:rFonts w:ascii="宋体" w:hAnsi="宋体" w:cs="宋体"/>
                <w:sz w:val="24"/>
              </w:rPr>
            </w:pPr>
            <w:r>
              <w:rPr>
                <w:rFonts w:hint="eastAsia" w:ascii="宋体" w:hAnsi="宋体" w:cs="宋体"/>
                <w:sz w:val="24"/>
              </w:rPr>
              <w:t>招标控制价</w:t>
            </w:r>
          </w:p>
        </w:tc>
        <w:tc>
          <w:tcPr>
            <w:tcW w:w="6623" w:type="dxa"/>
            <w:tcBorders>
              <w:top w:val="single" w:color="auto" w:sz="4" w:space="0"/>
              <w:left w:val="nil"/>
              <w:bottom w:val="single" w:color="auto" w:sz="4" w:space="0"/>
              <w:right w:val="single" w:color="auto" w:sz="4" w:space="0"/>
            </w:tcBorders>
            <w:vAlign w:val="center"/>
          </w:tcPr>
          <w:p w14:paraId="56535957">
            <w:pPr>
              <w:spacing w:line="360" w:lineRule="auto"/>
              <w:rPr>
                <w:rFonts w:ascii="宋体" w:hAnsi="宋体" w:cs="宋体"/>
                <w:sz w:val="24"/>
              </w:rPr>
            </w:pPr>
            <w:r>
              <w:rPr>
                <w:rFonts w:hint="eastAsia" w:ascii="宋体" w:hAnsi="宋体" w:cs="宋体"/>
                <w:sz w:val="24"/>
              </w:rPr>
              <w:t>招标控制价（人民币）</w:t>
            </w:r>
          </w:p>
          <w:p w14:paraId="0352AD33">
            <w:pPr>
              <w:spacing w:line="360" w:lineRule="auto"/>
              <w:rPr>
                <w:rFonts w:hint="eastAsia" w:ascii="宋体" w:hAnsi="宋体" w:cs="宋体"/>
                <w:b/>
                <w:sz w:val="24"/>
              </w:rPr>
            </w:pPr>
            <w:r>
              <w:rPr>
                <w:rFonts w:hint="eastAsia" w:ascii="宋体" w:hAnsi="宋体" w:cs="宋体"/>
                <w:b/>
                <w:sz w:val="24"/>
              </w:rPr>
              <w:t>三标段：624413.79元；</w:t>
            </w:r>
          </w:p>
          <w:p w14:paraId="0DDD455F">
            <w:pPr>
              <w:spacing w:line="360" w:lineRule="auto"/>
              <w:rPr>
                <w:rFonts w:ascii="宋体" w:hAnsi="宋体" w:cs="宋体"/>
                <w:b/>
                <w:bCs/>
                <w:sz w:val="24"/>
              </w:rPr>
            </w:pPr>
            <w:r>
              <w:rPr>
                <w:rFonts w:hint="eastAsia" w:ascii="宋体" w:hAnsi="宋体" w:cs="宋体"/>
                <w:sz w:val="24"/>
              </w:rPr>
              <w:t>招标控制价是</w:t>
            </w:r>
            <w:r>
              <w:rPr>
                <w:rFonts w:hint="eastAsia" w:ascii="宋体" w:hAnsi="宋体" w:cs="宋体"/>
                <w:sz w:val="24"/>
                <w:lang w:eastAsia="zh-CN"/>
              </w:rPr>
              <w:t>采购人</w:t>
            </w:r>
            <w:r>
              <w:rPr>
                <w:rFonts w:hint="eastAsia" w:ascii="宋体" w:hAnsi="宋体" w:cs="宋体"/>
                <w:sz w:val="24"/>
              </w:rPr>
              <w:t>控制招标工程造价的最高限价，</w:t>
            </w:r>
            <w:r>
              <w:rPr>
                <w:rFonts w:hint="eastAsia" w:ascii="宋体" w:hAnsi="宋体" w:cs="宋体"/>
                <w:sz w:val="24"/>
                <w:lang w:eastAsia="zh-CN"/>
              </w:rPr>
              <w:t>供应商</w:t>
            </w:r>
            <w:r>
              <w:rPr>
                <w:rFonts w:hint="eastAsia" w:ascii="宋体" w:hAnsi="宋体" w:cs="宋体"/>
                <w:sz w:val="24"/>
              </w:rPr>
              <w:t>的投标报价高于招标控制价的，其投标予以拒绝。</w:t>
            </w:r>
          </w:p>
        </w:tc>
      </w:tr>
      <w:tr w14:paraId="202727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8" w:hRule="atLeast"/>
        </w:trPr>
        <w:tc>
          <w:tcPr>
            <w:tcW w:w="1066" w:type="dxa"/>
            <w:tcBorders>
              <w:top w:val="single" w:color="auto" w:sz="4" w:space="0"/>
              <w:left w:val="single" w:color="auto" w:sz="4" w:space="0"/>
              <w:bottom w:val="single" w:color="auto" w:sz="4" w:space="0"/>
              <w:right w:val="single" w:color="auto" w:sz="4" w:space="0"/>
            </w:tcBorders>
            <w:vAlign w:val="center"/>
          </w:tcPr>
          <w:p w14:paraId="5404C37B">
            <w:pPr>
              <w:spacing w:line="450" w:lineRule="exact"/>
              <w:jc w:val="center"/>
              <w:rPr>
                <w:rFonts w:ascii="宋体" w:hAnsi="宋体"/>
                <w:sz w:val="24"/>
              </w:rPr>
            </w:pPr>
            <w:r>
              <w:rPr>
                <w:rFonts w:hint="eastAsia" w:ascii="宋体" w:hAnsi="宋体"/>
                <w:sz w:val="24"/>
              </w:rPr>
              <w:t>10.2</w:t>
            </w:r>
          </w:p>
        </w:tc>
        <w:tc>
          <w:tcPr>
            <w:tcW w:w="2400" w:type="dxa"/>
            <w:tcBorders>
              <w:top w:val="single" w:color="auto" w:sz="4" w:space="0"/>
              <w:left w:val="nil"/>
              <w:bottom w:val="single" w:color="auto" w:sz="4" w:space="0"/>
              <w:right w:val="single" w:color="auto" w:sz="4" w:space="0"/>
            </w:tcBorders>
            <w:vAlign w:val="center"/>
          </w:tcPr>
          <w:p w14:paraId="0F66AA19">
            <w:pPr>
              <w:spacing w:line="450" w:lineRule="exact"/>
              <w:jc w:val="center"/>
              <w:rPr>
                <w:rFonts w:ascii="宋体" w:hAnsi="宋体"/>
                <w:sz w:val="24"/>
              </w:rPr>
            </w:pPr>
            <w:r>
              <w:rPr>
                <w:rFonts w:hint="eastAsia" w:ascii="宋体" w:hAnsi="宋体"/>
                <w:sz w:val="24"/>
              </w:rPr>
              <w:t>类似项目</w:t>
            </w:r>
          </w:p>
        </w:tc>
        <w:tc>
          <w:tcPr>
            <w:tcW w:w="6623" w:type="dxa"/>
            <w:tcBorders>
              <w:top w:val="single" w:color="auto" w:sz="4" w:space="0"/>
              <w:left w:val="nil"/>
              <w:bottom w:val="single" w:color="auto" w:sz="4" w:space="0"/>
              <w:right w:val="single" w:color="auto" w:sz="4" w:space="0"/>
            </w:tcBorders>
            <w:vAlign w:val="center"/>
          </w:tcPr>
          <w:p w14:paraId="72CDB3AB">
            <w:pPr>
              <w:spacing w:line="450" w:lineRule="exact"/>
              <w:jc w:val="left"/>
              <w:rPr>
                <w:rFonts w:ascii="宋体" w:hAnsi="宋体"/>
                <w:sz w:val="24"/>
              </w:rPr>
            </w:pPr>
            <w:r>
              <w:rPr>
                <w:rFonts w:hint="eastAsia" w:ascii="宋体" w:hAnsi="宋体"/>
                <w:sz w:val="24"/>
              </w:rPr>
              <w:t>指2022年1月1日（含）以来承建过类似</w:t>
            </w:r>
            <w:r>
              <w:rPr>
                <w:rFonts w:hint="eastAsia" w:ascii="宋体" w:hAnsi="宋体" w:cs="宋体"/>
                <w:kern w:val="0"/>
                <w:sz w:val="24"/>
              </w:rPr>
              <w:t>工程性质</w:t>
            </w:r>
            <w:r>
              <w:rPr>
                <w:rFonts w:hint="eastAsia" w:ascii="宋体" w:hAnsi="宋体"/>
                <w:sz w:val="24"/>
              </w:rPr>
              <w:t>的项目业绩。</w:t>
            </w:r>
          </w:p>
        </w:tc>
      </w:tr>
      <w:tr w14:paraId="329B2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201E50F5">
            <w:pPr>
              <w:spacing w:line="450" w:lineRule="exact"/>
              <w:jc w:val="center"/>
              <w:rPr>
                <w:rFonts w:ascii="宋体" w:hAnsi="宋体"/>
                <w:sz w:val="24"/>
              </w:rPr>
            </w:pPr>
            <w:r>
              <w:rPr>
                <w:rFonts w:hint="eastAsia" w:ascii="宋体" w:hAnsi="宋体"/>
                <w:sz w:val="24"/>
              </w:rPr>
              <w:t>10.3</w:t>
            </w:r>
          </w:p>
        </w:tc>
        <w:tc>
          <w:tcPr>
            <w:tcW w:w="2400" w:type="dxa"/>
            <w:tcBorders>
              <w:top w:val="single" w:color="auto" w:sz="4" w:space="0"/>
              <w:left w:val="nil"/>
              <w:bottom w:val="single" w:color="auto" w:sz="4" w:space="0"/>
              <w:right w:val="single" w:color="auto" w:sz="4" w:space="0"/>
            </w:tcBorders>
            <w:vAlign w:val="center"/>
          </w:tcPr>
          <w:p w14:paraId="298DD745">
            <w:pPr>
              <w:spacing w:line="450" w:lineRule="exact"/>
              <w:jc w:val="center"/>
              <w:rPr>
                <w:rFonts w:ascii="宋体" w:hAnsi="宋体"/>
                <w:sz w:val="24"/>
              </w:rPr>
            </w:pPr>
            <w:r>
              <w:rPr>
                <w:rFonts w:hint="eastAsia" w:ascii="宋体" w:hAnsi="宋体"/>
                <w:sz w:val="24"/>
              </w:rPr>
              <w:t>拒绝的投标</w:t>
            </w:r>
          </w:p>
        </w:tc>
        <w:tc>
          <w:tcPr>
            <w:tcW w:w="6623" w:type="dxa"/>
            <w:tcBorders>
              <w:top w:val="single" w:color="auto" w:sz="4" w:space="0"/>
              <w:left w:val="nil"/>
              <w:bottom w:val="single" w:color="auto" w:sz="4" w:space="0"/>
              <w:right w:val="single" w:color="auto" w:sz="4" w:space="0"/>
            </w:tcBorders>
            <w:vAlign w:val="center"/>
          </w:tcPr>
          <w:p w14:paraId="396C960A">
            <w:pPr>
              <w:spacing w:line="450" w:lineRule="exact"/>
              <w:jc w:val="left"/>
              <w:rPr>
                <w:rFonts w:ascii="宋体" w:hAnsi="宋体"/>
                <w:sz w:val="24"/>
              </w:rPr>
            </w:pPr>
            <w:r>
              <w:rPr>
                <w:rFonts w:hint="eastAsia" w:ascii="宋体" w:hAnsi="宋体"/>
                <w:sz w:val="24"/>
              </w:rPr>
              <w:t>1、电子化</w:t>
            </w:r>
            <w:r>
              <w:rPr>
                <w:rFonts w:hint="eastAsia" w:ascii="宋体" w:hAnsi="宋体"/>
                <w:sz w:val="24"/>
                <w:lang w:eastAsia="zh-CN"/>
              </w:rPr>
              <w:t>响应文件</w:t>
            </w:r>
            <w:r>
              <w:rPr>
                <w:rFonts w:hint="eastAsia" w:ascii="宋体" w:hAnsi="宋体"/>
                <w:sz w:val="24"/>
              </w:rPr>
              <w:t>未按规定成功上传的。</w:t>
            </w:r>
          </w:p>
          <w:p w14:paraId="1B2A7522">
            <w:pPr>
              <w:spacing w:line="450" w:lineRule="exact"/>
              <w:rPr>
                <w:rFonts w:ascii="宋体" w:hAnsi="宋体" w:cs="宋体"/>
                <w:sz w:val="24"/>
                <w:shd w:val="clear" w:color="050000" w:fill="auto"/>
              </w:rPr>
            </w:pPr>
            <w:r>
              <w:rPr>
                <w:rFonts w:hint="eastAsia" w:ascii="宋体" w:hAnsi="宋体"/>
                <w:sz w:val="24"/>
              </w:rPr>
              <w:t>2、未按</w:t>
            </w:r>
            <w:r>
              <w:rPr>
                <w:rFonts w:hint="eastAsia" w:ascii="宋体" w:hAnsi="宋体"/>
                <w:sz w:val="24"/>
                <w:lang w:eastAsia="zh-CN"/>
              </w:rPr>
              <w:t>竞争性磋商文件</w:t>
            </w:r>
            <w:r>
              <w:rPr>
                <w:rFonts w:hint="eastAsia" w:ascii="宋体" w:hAnsi="宋体"/>
                <w:sz w:val="24"/>
              </w:rPr>
              <w:t>要求提交投标保证金的。</w:t>
            </w:r>
          </w:p>
        </w:tc>
      </w:tr>
      <w:tr w14:paraId="309F72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38A5530">
            <w:pPr>
              <w:spacing w:line="450" w:lineRule="exact"/>
              <w:jc w:val="center"/>
              <w:rPr>
                <w:rFonts w:ascii="宋体" w:hAnsi="宋体"/>
                <w:sz w:val="24"/>
              </w:rPr>
            </w:pPr>
            <w:r>
              <w:rPr>
                <w:rFonts w:hint="eastAsia" w:ascii="宋体" w:hAnsi="宋体"/>
                <w:sz w:val="24"/>
              </w:rPr>
              <w:t>10.4</w:t>
            </w:r>
          </w:p>
        </w:tc>
        <w:tc>
          <w:tcPr>
            <w:tcW w:w="2400" w:type="dxa"/>
            <w:tcBorders>
              <w:top w:val="single" w:color="auto" w:sz="4" w:space="0"/>
              <w:left w:val="nil"/>
              <w:bottom w:val="single" w:color="auto" w:sz="4" w:space="0"/>
              <w:right w:val="single" w:color="auto" w:sz="4" w:space="0"/>
            </w:tcBorders>
            <w:vAlign w:val="center"/>
          </w:tcPr>
          <w:p w14:paraId="502E9FB2">
            <w:pPr>
              <w:spacing w:line="450" w:lineRule="exact"/>
              <w:jc w:val="center"/>
              <w:rPr>
                <w:rFonts w:ascii="宋体" w:hAnsi="宋体"/>
                <w:sz w:val="24"/>
              </w:rPr>
            </w:pPr>
            <w:r>
              <w:rPr>
                <w:rFonts w:hint="eastAsia" w:ascii="宋体" w:hAnsi="宋体"/>
                <w:sz w:val="24"/>
              </w:rPr>
              <w:t>监督</w:t>
            </w:r>
          </w:p>
        </w:tc>
        <w:tc>
          <w:tcPr>
            <w:tcW w:w="6623" w:type="dxa"/>
            <w:tcBorders>
              <w:top w:val="single" w:color="auto" w:sz="4" w:space="0"/>
              <w:left w:val="nil"/>
              <w:bottom w:val="single" w:color="auto" w:sz="4" w:space="0"/>
              <w:right w:val="single" w:color="auto" w:sz="4" w:space="0"/>
            </w:tcBorders>
            <w:vAlign w:val="center"/>
          </w:tcPr>
          <w:p w14:paraId="7395A14C">
            <w:pPr>
              <w:spacing w:line="450" w:lineRule="exact"/>
              <w:rPr>
                <w:rFonts w:ascii="宋体" w:hAnsi="宋体"/>
                <w:sz w:val="24"/>
              </w:rPr>
            </w:pPr>
            <w:r>
              <w:rPr>
                <w:rFonts w:hint="eastAsia" w:ascii="宋体" w:hAnsi="宋体" w:cs="宋体"/>
                <w:sz w:val="24"/>
                <w:shd w:val="clear" w:color="050000" w:fill="auto"/>
              </w:rPr>
              <w:t>本项目的</w:t>
            </w:r>
            <w:r>
              <w:rPr>
                <w:rFonts w:hint="eastAsia" w:ascii="宋体" w:hAnsi="宋体" w:cs="宋体"/>
                <w:sz w:val="24"/>
                <w:shd w:val="clear" w:color="050000" w:fill="auto"/>
                <w:lang w:val="en-US" w:eastAsia="zh-CN"/>
              </w:rPr>
              <w:t>采购</w:t>
            </w:r>
            <w:r>
              <w:rPr>
                <w:rFonts w:hint="eastAsia" w:ascii="宋体" w:hAnsi="宋体" w:cs="宋体"/>
                <w:sz w:val="24"/>
                <w:shd w:val="clear" w:color="050000" w:fill="auto"/>
              </w:rPr>
              <w:t>活动及其相关当事人应当接受有管辖权的相关部门依法实施的监督</w:t>
            </w:r>
          </w:p>
        </w:tc>
      </w:tr>
      <w:tr w14:paraId="059C78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5AD696D4">
            <w:pPr>
              <w:spacing w:line="450" w:lineRule="exact"/>
              <w:jc w:val="center"/>
              <w:rPr>
                <w:rFonts w:ascii="宋体" w:hAnsi="宋体"/>
                <w:sz w:val="24"/>
              </w:rPr>
            </w:pPr>
            <w:r>
              <w:rPr>
                <w:rFonts w:hint="eastAsia" w:ascii="宋体" w:hAnsi="宋体"/>
                <w:sz w:val="24"/>
              </w:rPr>
              <w:t>10.5</w:t>
            </w:r>
          </w:p>
        </w:tc>
        <w:tc>
          <w:tcPr>
            <w:tcW w:w="2400" w:type="dxa"/>
            <w:tcBorders>
              <w:top w:val="single" w:color="auto" w:sz="4" w:space="0"/>
              <w:left w:val="nil"/>
              <w:bottom w:val="single" w:color="auto" w:sz="4" w:space="0"/>
              <w:right w:val="single" w:color="auto" w:sz="4" w:space="0"/>
            </w:tcBorders>
            <w:vAlign w:val="center"/>
          </w:tcPr>
          <w:p w14:paraId="47BFCAA0">
            <w:pPr>
              <w:spacing w:line="450" w:lineRule="exact"/>
              <w:jc w:val="center"/>
              <w:rPr>
                <w:rFonts w:ascii="宋体" w:hAnsi="宋体"/>
                <w:sz w:val="24"/>
              </w:rPr>
            </w:pPr>
            <w:r>
              <w:rPr>
                <w:rFonts w:hint="eastAsia" w:ascii="宋体" w:hAnsi="宋体"/>
                <w:sz w:val="24"/>
              </w:rPr>
              <w:t>解释权</w:t>
            </w:r>
          </w:p>
        </w:tc>
        <w:tc>
          <w:tcPr>
            <w:tcW w:w="6623" w:type="dxa"/>
            <w:tcBorders>
              <w:top w:val="single" w:color="auto" w:sz="4" w:space="0"/>
              <w:left w:val="nil"/>
              <w:bottom w:val="single" w:color="auto" w:sz="4" w:space="0"/>
              <w:right w:val="single" w:color="auto" w:sz="4" w:space="0"/>
            </w:tcBorders>
            <w:vAlign w:val="center"/>
          </w:tcPr>
          <w:p w14:paraId="6724F76C">
            <w:pPr>
              <w:spacing w:line="450" w:lineRule="exact"/>
              <w:rPr>
                <w:rFonts w:ascii="宋体" w:hAnsi="宋体"/>
                <w:sz w:val="24"/>
              </w:rPr>
            </w:pPr>
            <w:r>
              <w:rPr>
                <w:rFonts w:hint="eastAsia" w:ascii="宋体" w:hAnsi="宋体" w:cs="宋体"/>
                <w:sz w:val="24"/>
                <w:shd w:val="clear" w:color="050000" w:fill="auto"/>
              </w:rPr>
              <w:t>构成本</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的各个组成文件应互为解释，互为说明；如有不明确或不一致，构成合同文件组成内容的，以合同文件约定内容为准，且以专用合同条款约定的合同文件优先顺序解释；除</w:t>
            </w:r>
            <w:r>
              <w:rPr>
                <w:rFonts w:hint="eastAsia" w:ascii="宋体" w:hAnsi="宋体" w:cs="宋体"/>
                <w:sz w:val="24"/>
                <w:shd w:val="clear" w:color="050000" w:fill="auto"/>
                <w:lang w:eastAsia="zh-CN"/>
              </w:rPr>
              <w:t>竞争性磋商文件</w:t>
            </w:r>
            <w:r>
              <w:rPr>
                <w:rFonts w:hint="eastAsia" w:ascii="宋体" w:hAnsi="宋体" w:cs="宋体"/>
                <w:sz w:val="24"/>
                <w:shd w:val="clear" w:color="050000" w:fill="auto"/>
              </w:rPr>
              <w:t>中有特别规定外，仅适用于招标阶段的规定，按招标公告、</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须知前附表、评标办法、</w:t>
            </w:r>
            <w:r>
              <w:rPr>
                <w:rFonts w:hint="eastAsia" w:ascii="宋体" w:hAnsi="宋体" w:cs="宋体"/>
                <w:sz w:val="24"/>
                <w:shd w:val="clear" w:color="050000" w:fill="auto"/>
                <w:lang w:eastAsia="zh-CN"/>
              </w:rPr>
              <w:t>响应文件</w:t>
            </w:r>
            <w:r>
              <w:rPr>
                <w:rFonts w:hint="eastAsia" w:ascii="宋体" w:hAnsi="宋体" w:cs="宋体"/>
                <w:sz w:val="24"/>
                <w:shd w:val="clear" w:color="050000" w:fill="auto"/>
              </w:rPr>
              <w:t>格式的先后顺序解释；同一组成文件中就同一事项的规定或约定不一致的，以编排顺序在后者为准；同一组成文件不同版本之间有不一致的，以形成时间在后者为准。按本款前述规定仍不能形成结论的，由</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或招标代理机构负责解释。</w:t>
            </w:r>
          </w:p>
        </w:tc>
      </w:tr>
      <w:tr w14:paraId="37D2F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160E016B">
            <w:pPr>
              <w:autoSpaceDE w:val="0"/>
              <w:autoSpaceDN w:val="0"/>
              <w:spacing w:line="450" w:lineRule="exact"/>
              <w:jc w:val="center"/>
              <w:rPr>
                <w:rFonts w:ascii="宋体" w:hAnsi="宋体"/>
                <w:kern w:val="0"/>
                <w:sz w:val="24"/>
              </w:rPr>
            </w:pPr>
            <w:r>
              <w:rPr>
                <w:rFonts w:hint="eastAsia" w:ascii="宋体" w:hAnsi="宋体"/>
                <w:kern w:val="0"/>
                <w:sz w:val="24"/>
              </w:rPr>
              <w:t>10.6</w:t>
            </w:r>
          </w:p>
        </w:tc>
        <w:tc>
          <w:tcPr>
            <w:tcW w:w="2400" w:type="dxa"/>
            <w:tcBorders>
              <w:top w:val="single" w:color="auto" w:sz="4" w:space="0"/>
              <w:left w:val="nil"/>
              <w:bottom w:val="single" w:color="auto" w:sz="4" w:space="0"/>
              <w:right w:val="single" w:color="auto" w:sz="4" w:space="0"/>
            </w:tcBorders>
            <w:vAlign w:val="center"/>
          </w:tcPr>
          <w:p w14:paraId="2833458F">
            <w:pPr>
              <w:widowControl/>
              <w:spacing w:line="450" w:lineRule="exact"/>
              <w:jc w:val="left"/>
              <w:rPr>
                <w:rFonts w:ascii="宋体" w:hAnsi="宋体"/>
                <w:kern w:val="0"/>
                <w:sz w:val="24"/>
                <w:lang w:bidi="en-US"/>
              </w:rPr>
            </w:pPr>
            <w:r>
              <w:rPr>
                <w:rFonts w:hint="eastAsia" w:ascii="宋体" w:hAnsi="宋体"/>
                <w:kern w:val="0"/>
                <w:sz w:val="24"/>
                <w:lang w:bidi="en-US"/>
              </w:rPr>
              <w:t>招标代理费及其他费用</w:t>
            </w:r>
          </w:p>
        </w:tc>
        <w:tc>
          <w:tcPr>
            <w:tcW w:w="6623" w:type="dxa"/>
            <w:tcBorders>
              <w:top w:val="single" w:color="auto" w:sz="4" w:space="0"/>
              <w:left w:val="nil"/>
              <w:bottom w:val="single" w:color="auto" w:sz="4" w:space="0"/>
              <w:right w:val="single" w:color="auto" w:sz="4" w:space="0"/>
            </w:tcBorders>
            <w:vAlign w:val="center"/>
          </w:tcPr>
          <w:p w14:paraId="6A633775">
            <w:pPr>
              <w:spacing w:line="450" w:lineRule="exact"/>
              <w:rPr>
                <w:rFonts w:ascii="宋体" w:hAnsi="宋体" w:cs="宋体"/>
                <w:sz w:val="24"/>
                <w:shd w:val="clear" w:color="050000" w:fill="auto"/>
              </w:rPr>
            </w:pPr>
            <w:r>
              <w:rPr>
                <w:rFonts w:hint="eastAsia" w:ascii="宋体" w:hAnsi="宋体" w:cs="宋体"/>
                <w:sz w:val="24"/>
                <w:shd w:val="clear" w:color="050000" w:fill="auto"/>
              </w:rPr>
              <w:t>本项目招标代理费由中标单位承担，收费标准参照豫招协【2023】002号文件所规定的收费标准收取，代理费和产生的其它费用由成交单位承担。此费由</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综合考虑到投标报价中，不再单独列项。</w:t>
            </w:r>
          </w:p>
          <w:p w14:paraId="44EB136F">
            <w:pPr>
              <w:spacing w:line="450" w:lineRule="exact"/>
              <w:rPr>
                <w:rFonts w:hint="eastAsia" w:ascii="宋体" w:hAnsi="宋体" w:eastAsia="宋体" w:cs="宋体"/>
                <w:sz w:val="24"/>
                <w:shd w:val="clear" w:color="050000" w:fill="auto"/>
                <w:lang w:eastAsia="zh-CN"/>
              </w:rPr>
            </w:pPr>
            <w:r>
              <w:rPr>
                <w:rFonts w:hint="eastAsia" w:ascii="宋体" w:hAnsi="宋体" w:cs="宋体"/>
                <w:sz w:val="24"/>
                <w:shd w:val="clear" w:color="050000" w:fill="auto"/>
              </w:rPr>
              <w:t>单位名称</w:t>
            </w:r>
            <w:r>
              <w:rPr>
                <w:rFonts w:ascii="宋体" w:hAnsi="宋体" w:cs="宋体"/>
                <w:sz w:val="24"/>
                <w:shd w:val="clear" w:color="050000" w:fill="auto"/>
              </w:rPr>
              <w:t>:</w:t>
            </w:r>
            <w:r>
              <w:rPr>
                <w:rFonts w:hint="eastAsia" w:ascii="宋体" w:hAnsi="宋体" w:cs="宋体"/>
                <w:sz w:val="24"/>
                <w:shd w:val="clear" w:color="050000" w:fill="auto"/>
                <w:lang w:eastAsia="zh-CN"/>
              </w:rPr>
              <w:t>河南禾众工程管理有限公司</w:t>
            </w:r>
          </w:p>
          <w:p w14:paraId="582E8E4E">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开户行</w:t>
            </w:r>
            <w:r>
              <w:rPr>
                <w:rFonts w:ascii="宋体" w:hAnsi="宋体" w:cs="宋体"/>
                <w:sz w:val="24"/>
                <w:shd w:val="clear" w:color="050000" w:fill="auto"/>
              </w:rPr>
              <w:t>:中国</w:t>
            </w:r>
            <w:r>
              <w:rPr>
                <w:rFonts w:hint="eastAsia" w:ascii="宋体" w:hAnsi="宋体" w:cs="宋体"/>
                <w:sz w:val="24"/>
                <w:shd w:val="clear" w:color="050000" w:fill="auto"/>
                <w:lang w:val="en-US" w:eastAsia="zh-CN"/>
              </w:rPr>
              <w:t>工商银行</w:t>
            </w:r>
            <w:r>
              <w:rPr>
                <w:rFonts w:ascii="宋体" w:hAnsi="宋体" w:cs="宋体"/>
                <w:sz w:val="24"/>
                <w:shd w:val="clear" w:color="050000" w:fill="auto"/>
              </w:rPr>
              <w:t>银行股份有限公司</w:t>
            </w:r>
            <w:r>
              <w:rPr>
                <w:rFonts w:hint="eastAsia" w:ascii="宋体" w:hAnsi="宋体" w:cs="宋体"/>
                <w:sz w:val="24"/>
                <w:shd w:val="clear" w:color="050000" w:fill="auto"/>
                <w:lang w:val="en-US" w:eastAsia="zh-CN"/>
              </w:rPr>
              <w:t>三门峡商务中心区支行</w:t>
            </w:r>
          </w:p>
          <w:p w14:paraId="7EF7BD8D">
            <w:pPr>
              <w:spacing w:line="450" w:lineRule="exact"/>
              <w:rPr>
                <w:rFonts w:hint="default" w:ascii="宋体" w:hAnsi="宋体" w:eastAsia="宋体" w:cs="宋体"/>
                <w:sz w:val="24"/>
                <w:shd w:val="clear" w:color="050000" w:fill="auto"/>
                <w:lang w:val="en-US" w:eastAsia="zh-CN"/>
              </w:rPr>
            </w:pPr>
            <w:r>
              <w:rPr>
                <w:rFonts w:hint="eastAsia" w:ascii="宋体" w:hAnsi="宋体" w:cs="宋体"/>
                <w:sz w:val="24"/>
                <w:shd w:val="clear" w:color="050000" w:fill="auto"/>
              </w:rPr>
              <w:t>账号</w:t>
            </w:r>
            <w:r>
              <w:rPr>
                <w:rFonts w:ascii="宋体" w:hAnsi="宋体" w:cs="宋体"/>
                <w:sz w:val="24"/>
                <w:shd w:val="clear" w:color="050000" w:fill="auto"/>
              </w:rPr>
              <w:t>:</w:t>
            </w:r>
            <w:r>
              <w:rPr>
                <w:rFonts w:hint="eastAsia" w:ascii="宋体" w:hAnsi="宋体" w:cs="宋体"/>
                <w:sz w:val="24"/>
                <w:shd w:val="clear" w:color="050000" w:fill="auto"/>
                <w:lang w:val="en-US" w:eastAsia="zh-CN"/>
              </w:rPr>
              <w:t>1713 0203 0920 0132 031</w:t>
            </w:r>
          </w:p>
        </w:tc>
      </w:tr>
      <w:tr w14:paraId="0F6C9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66" w:type="dxa"/>
            <w:tcBorders>
              <w:top w:val="single" w:color="auto" w:sz="4" w:space="0"/>
              <w:left w:val="single" w:color="auto" w:sz="4" w:space="0"/>
              <w:bottom w:val="single" w:color="auto" w:sz="4" w:space="0"/>
              <w:right w:val="single" w:color="auto" w:sz="4" w:space="0"/>
            </w:tcBorders>
            <w:vAlign w:val="center"/>
          </w:tcPr>
          <w:p w14:paraId="69E3A540">
            <w:pPr>
              <w:spacing w:line="450" w:lineRule="exact"/>
              <w:ind w:firstLine="240" w:firstLineChars="100"/>
              <w:jc w:val="left"/>
              <w:rPr>
                <w:rFonts w:ascii="宋体" w:hAnsi="宋体" w:cs="宋体"/>
                <w:sz w:val="24"/>
                <w:shd w:val="clear" w:color="050000" w:fill="auto"/>
              </w:rPr>
            </w:pPr>
            <w:r>
              <w:rPr>
                <w:rFonts w:hint="eastAsia" w:ascii="宋体" w:hAnsi="宋体" w:cs="宋体"/>
                <w:sz w:val="24"/>
                <w:shd w:val="clear" w:color="050000" w:fill="auto"/>
              </w:rPr>
              <w:t>10.7</w:t>
            </w:r>
          </w:p>
        </w:tc>
        <w:tc>
          <w:tcPr>
            <w:tcW w:w="2400" w:type="dxa"/>
            <w:tcBorders>
              <w:top w:val="single" w:color="auto" w:sz="4" w:space="0"/>
              <w:left w:val="nil"/>
              <w:bottom w:val="single" w:color="auto" w:sz="4" w:space="0"/>
              <w:right w:val="single" w:color="auto" w:sz="4" w:space="0"/>
            </w:tcBorders>
            <w:vAlign w:val="center"/>
          </w:tcPr>
          <w:p w14:paraId="364A9BD8">
            <w:pPr>
              <w:widowControl/>
              <w:spacing w:line="450" w:lineRule="exact"/>
              <w:ind w:firstLine="240" w:firstLineChars="100"/>
              <w:jc w:val="center"/>
              <w:rPr>
                <w:rFonts w:ascii="宋体" w:hAnsi="宋体"/>
                <w:kern w:val="0"/>
                <w:sz w:val="24"/>
                <w:lang w:bidi="en-US"/>
              </w:rPr>
            </w:pPr>
            <w:r>
              <w:rPr>
                <w:rFonts w:hint="eastAsia" w:ascii="宋体" w:hAnsi="宋体"/>
                <w:kern w:val="0"/>
                <w:sz w:val="24"/>
                <w:lang w:bidi="en-US"/>
              </w:rPr>
              <w:t>付款方式</w:t>
            </w:r>
          </w:p>
        </w:tc>
        <w:tc>
          <w:tcPr>
            <w:tcW w:w="6623" w:type="dxa"/>
            <w:tcBorders>
              <w:top w:val="single" w:color="auto" w:sz="4" w:space="0"/>
              <w:left w:val="nil"/>
              <w:bottom w:val="single" w:color="auto" w:sz="4" w:space="0"/>
              <w:right w:val="single" w:color="auto" w:sz="4" w:space="0"/>
            </w:tcBorders>
            <w:vAlign w:val="center"/>
          </w:tcPr>
          <w:p w14:paraId="0850F797">
            <w:pPr>
              <w:widowControl/>
              <w:spacing w:line="450" w:lineRule="exact"/>
              <w:jc w:val="left"/>
              <w:rPr>
                <w:rFonts w:ascii="宋体" w:hAnsi="宋体"/>
                <w:kern w:val="0"/>
                <w:sz w:val="24"/>
                <w:lang w:bidi="en-US"/>
              </w:rPr>
            </w:pPr>
            <w:r>
              <w:rPr>
                <w:rFonts w:hint="eastAsia" w:ascii="宋体" w:hAnsi="宋体"/>
                <w:kern w:val="0"/>
                <w:sz w:val="24"/>
                <w:lang w:bidi="en-US"/>
              </w:rPr>
              <w:t>按工程形象进度付款，具体内容中标后甲乙双方协商。</w:t>
            </w:r>
          </w:p>
        </w:tc>
      </w:tr>
      <w:tr w14:paraId="23E2A6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1066" w:type="dxa"/>
            <w:tcBorders>
              <w:top w:val="single" w:color="auto" w:sz="4" w:space="0"/>
              <w:left w:val="single" w:color="auto" w:sz="4" w:space="0"/>
              <w:bottom w:val="single" w:color="auto" w:sz="4" w:space="0"/>
              <w:right w:val="single" w:color="auto" w:sz="4" w:space="0"/>
            </w:tcBorders>
            <w:vAlign w:val="center"/>
          </w:tcPr>
          <w:p w14:paraId="5DDAE1BC">
            <w:pPr>
              <w:autoSpaceDE w:val="0"/>
              <w:autoSpaceDN w:val="0"/>
              <w:spacing w:line="450" w:lineRule="exact"/>
              <w:jc w:val="center"/>
              <w:rPr>
                <w:rFonts w:hint="eastAsia" w:ascii="宋体" w:hAnsi="宋体" w:eastAsia="宋体"/>
                <w:kern w:val="0"/>
                <w:sz w:val="24"/>
                <w:lang w:eastAsia="zh-CN"/>
              </w:rPr>
            </w:pPr>
            <w:r>
              <w:rPr>
                <w:rFonts w:hint="eastAsia" w:ascii="宋体" w:hAnsi="宋体"/>
                <w:kern w:val="0"/>
                <w:sz w:val="24"/>
              </w:rPr>
              <w:t>10.</w:t>
            </w:r>
            <w:r>
              <w:rPr>
                <w:rFonts w:hint="eastAsia" w:ascii="宋体" w:hAnsi="宋体"/>
                <w:kern w:val="0"/>
                <w:sz w:val="24"/>
                <w:lang w:val="en-US" w:eastAsia="zh-CN"/>
              </w:rPr>
              <w:t>8</w:t>
            </w:r>
          </w:p>
        </w:tc>
        <w:tc>
          <w:tcPr>
            <w:tcW w:w="2400" w:type="dxa"/>
            <w:tcBorders>
              <w:top w:val="single" w:color="auto" w:sz="4" w:space="0"/>
              <w:left w:val="nil"/>
              <w:bottom w:val="single" w:color="auto" w:sz="4" w:space="0"/>
              <w:right w:val="single" w:color="auto" w:sz="4" w:space="0"/>
            </w:tcBorders>
            <w:vAlign w:val="center"/>
          </w:tcPr>
          <w:p w14:paraId="42B082BD">
            <w:pPr>
              <w:spacing w:line="450" w:lineRule="exact"/>
              <w:jc w:val="center"/>
              <w:rPr>
                <w:rFonts w:ascii="宋体" w:hAnsi="宋体" w:cs="宋体"/>
                <w:sz w:val="24"/>
                <w:shd w:val="clear" w:color="050000" w:fill="auto"/>
              </w:rPr>
            </w:pPr>
            <w:r>
              <w:rPr>
                <w:rFonts w:hint="eastAsia" w:ascii="宋体" w:hAnsi="宋体" w:cs="宋体"/>
                <w:sz w:val="24"/>
                <w:shd w:val="clear" w:color="050000" w:fill="auto"/>
              </w:rPr>
              <w:t>招标要求</w:t>
            </w:r>
          </w:p>
        </w:tc>
        <w:tc>
          <w:tcPr>
            <w:tcW w:w="6623" w:type="dxa"/>
            <w:tcBorders>
              <w:top w:val="single" w:color="auto" w:sz="4" w:space="0"/>
              <w:left w:val="nil"/>
              <w:bottom w:val="single" w:color="auto" w:sz="4" w:space="0"/>
              <w:right w:val="single" w:color="auto" w:sz="4" w:space="0"/>
            </w:tcBorders>
            <w:vAlign w:val="center"/>
          </w:tcPr>
          <w:p w14:paraId="57FB40CB">
            <w:pPr>
              <w:spacing w:line="450" w:lineRule="exact"/>
              <w:rPr>
                <w:rFonts w:ascii="宋体" w:hAnsi="宋体" w:cs="宋体"/>
                <w:sz w:val="24"/>
                <w:shd w:val="clear" w:color="050000" w:fill="auto"/>
              </w:rPr>
            </w:pPr>
            <w:r>
              <w:rPr>
                <w:rFonts w:hint="eastAsia" w:ascii="宋体" w:hAnsi="宋体" w:cs="宋体"/>
                <w:sz w:val="24"/>
                <w:shd w:val="clear" w:color="050000" w:fill="auto"/>
              </w:rPr>
              <w:t>1、质量要求</w:t>
            </w:r>
          </w:p>
          <w:p w14:paraId="5FC4B351">
            <w:pPr>
              <w:spacing w:line="450" w:lineRule="exact"/>
              <w:rPr>
                <w:rFonts w:ascii="宋体" w:hAnsi="宋体" w:cs="宋体"/>
                <w:sz w:val="24"/>
                <w:shd w:val="clear" w:color="050000" w:fill="auto"/>
              </w:rPr>
            </w:pPr>
            <w:r>
              <w:rPr>
                <w:rFonts w:hint="eastAsia" w:ascii="宋体" w:hAnsi="宋体" w:cs="宋体"/>
                <w:sz w:val="24"/>
                <w:shd w:val="clear" w:color="050000" w:fill="auto"/>
              </w:rPr>
              <w:t>（1）施工质量评定的标准：按国家现行的质量评定标准和施工技术验收规范进行验收。</w:t>
            </w:r>
          </w:p>
          <w:p w14:paraId="61642935">
            <w:pPr>
              <w:spacing w:line="450" w:lineRule="exact"/>
              <w:rPr>
                <w:rFonts w:ascii="宋体" w:hAnsi="宋体" w:cs="宋体"/>
                <w:sz w:val="24"/>
                <w:shd w:val="clear" w:color="050000" w:fill="auto"/>
              </w:rPr>
            </w:pPr>
            <w:r>
              <w:rPr>
                <w:rFonts w:hint="eastAsia" w:ascii="宋体" w:hAnsi="宋体" w:cs="宋体"/>
                <w:sz w:val="24"/>
                <w:shd w:val="clear" w:color="050000" w:fill="auto"/>
              </w:rPr>
              <w:t>（2）中标人应严格按照国家有关规范施工，要求工程质量达到国家规定的合格质量标准。若因中标人原因造成工程质量达不到“合格”质量标准，中标人应无条件返工并承担由此造成的一切损失及赔偿费用。</w:t>
            </w:r>
          </w:p>
          <w:p w14:paraId="74A340CF">
            <w:pPr>
              <w:spacing w:line="450" w:lineRule="exact"/>
              <w:rPr>
                <w:rFonts w:ascii="宋体" w:hAnsi="宋体" w:cs="宋体"/>
                <w:sz w:val="24"/>
                <w:shd w:val="clear" w:color="050000" w:fill="auto"/>
              </w:rPr>
            </w:pPr>
            <w:r>
              <w:rPr>
                <w:rFonts w:hint="eastAsia" w:ascii="宋体" w:hAnsi="宋体" w:cs="宋体"/>
                <w:sz w:val="24"/>
                <w:shd w:val="clear" w:color="050000" w:fill="auto"/>
              </w:rPr>
              <w:t>（3）工程质量不合格，不符合设计标准、达不到设计要求的，或施工程序不按有关规定的，</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有权要求中标人停工和返工，因停工和返工造成的一切损失由中标人自行承担，工期不顺延，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有权要求中标人赔偿因此而给</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造成的损失。</w:t>
            </w:r>
          </w:p>
          <w:p w14:paraId="2C7FC70F">
            <w:pPr>
              <w:spacing w:line="450" w:lineRule="exact"/>
              <w:rPr>
                <w:rFonts w:ascii="宋体" w:hAnsi="宋体" w:cs="宋体"/>
                <w:sz w:val="24"/>
                <w:shd w:val="clear" w:color="050000" w:fill="auto"/>
              </w:rPr>
            </w:pPr>
            <w:r>
              <w:rPr>
                <w:rFonts w:hint="eastAsia" w:ascii="宋体" w:hAnsi="宋体" w:cs="宋体"/>
                <w:sz w:val="24"/>
                <w:shd w:val="clear" w:color="050000" w:fill="auto"/>
              </w:rPr>
              <w:t>2、工期要求</w:t>
            </w:r>
          </w:p>
          <w:p w14:paraId="10246D65">
            <w:pPr>
              <w:spacing w:line="450" w:lineRule="exact"/>
              <w:rPr>
                <w:rFonts w:ascii="宋体" w:hAnsi="宋体" w:cs="宋体"/>
                <w:sz w:val="24"/>
                <w:shd w:val="clear" w:color="050000" w:fill="auto"/>
              </w:rPr>
            </w:pPr>
            <w:r>
              <w:rPr>
                <w:rFonts w:hint="eastAsia" w:ascii="宋体" w:hAnsi="宋体" w:cs="宋体"/>
                <w:sz w:val="24"/>
                <w:shd w:val="clear" w:color="050000" w:fill="auto"/>
              </w:rPr>
              <w:t>（1）从总监签发开工令或通知开始计算。</w:t>
            </w:r>
            <w:r>
              <w:rPr>
                <w:rFonts w:ascii="宋体" w:hAnsi="宋体" w:cs="宋体"/>
                <w:sz w:val="24"/>
                <w:shd w:val="clear" w:color="050000" w:fill="auto"/>
              </w:rPr>
              <w:t>工程实际进度与经确认的进度计划不符时，</w:t>
            </w:r>
            <w:r>
              <w:rPr>
                <w:rFonts w:hint="eastAsia" w:ascii="宋体" w:hAnsi="宋体" w:cs="宋体"/>
                <w:sz w:val="24"/>
                <w:shd w:val="clear" w:color="050000" w:fill="auto"/>
                <w:lang w:eastAsia="zh-CN"/>
              </w:rPr>
              <w:t>供应商</w:t>
            </w:r>
            <w:r>
              <w:rPr>
                <w:rFonts w:ascii="宋体" w:hAnsi="宋体" w:cs="宋体"/>
                <w:sz w:val="24"/>
                <w:shd w:val="clear" w:color="050000" w:fill="auto"/>
              </w:rPr>
              <w:t>应按</w:t>
            </w:r>
            <w:r>
              <w:rPr>
                <w:rFonts w:hint="eastAsia" w:ascii="宋体" w:hAnsi="宋体" w:cs="宋体"/>
                <w:sz w:val="24"/>
                <w:shd w:val="clear" w:color="050000" w:fill="auto"/>
                <w:lang w:eastAsia="zh-CN"/>
              </w:rPr>
              <w:t>采购人</w:t>
            </w:r>
            <w:r>
              <w:rPr>
                <w:rFonts w:ascii="宋体" w:hAnsi="宋体" w:cs="宋体"/>
                <w:sz w:val="24"/>
                <w:shd w:val="clear" w:color="050000" w:fill="auto"/>
              </w:rPr>
              <w:t>的要求提出改进措施，经</w:t>
            </w:r>
            <w:r>
              <w:rPr>
                <w:rFonts w:hint="eastAsia" w:ascii="宋体" w:hAnsi="宋体" w:cs="宋体"/>
                <w:sz w:val="24"/>
                <w:shd w:val="clear" w:color="050000" w:fill="auto"/>
                <w:lang w:eastAsia="zh-CN"/>
              </w:rPr>
              <w:t>采购人</w:t>
            </w:r>
            <w:r>
              <w:rPr>
                <w:rFonts w:ascii="宋体" w:hAnsi="宋体" w:cs="宋体"/>
                <w:sz w:val="24"/>
                <w:shd w:val="clear" w:color="050000" w:fill="auto"/>
              </w:rPr>
              <w:t>确认后执行。</w:t>
            </w:r>
          </w:p>
          <w:p w14:paraId="30CE9B14">
            <w:pPr>
              <w:spacing w:line="450" w:lineRule="exact"/>
              <w:rPr>
                <w:rFonts w:ascii="宋体" w:hAnsi="宋体" w:cs="宋体"/>
                <w:sz w:val="24"/>
                <w:shd w:val="clear" w:color="050000" w:fill="auto"/>
              </w:rPr>
            </w:pPr>
            <w:r>
              <w:rPr>
                <w:rFonts w:hint="eastAsia" w:ascii="宋体" w:hAnsi="宋体" w:cs="宋体"/>
                <w:sz w:val="24"/>
                <w:shd w:val="clear" w:color="050000" w:fill="auto"/>
              </w:rPr>
              <w:t>（2）本项目工期紧，任务重，</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应按工程内容进行合理安排，务必确保按期完成合同内容。中标人的合同工期为</w:t>
            </w:r>
            <w:r>
              <w:rPr>
                <w:rFonts w:hint="eastAsia" w:ascii="宋体" w:hAnsi="宋体" w:cs="宋体"/>
                <w:sz w:val="24"/>
                <w:shd w:val="clear" w:color="050000" w:fill="auto"/>
                <w:lang w:eastAsia="zh-CN"/>
              </w:rPr>
              <w:t>供应商</w:t>
            </w:r>
            <w:r>
              <w:rPr>
                <w:rFonts w:hint="eastAsia" w:ascii="宋体" w:hAnsi="宋体" w:cs="宋体"/>
                <w:sz w:val="24"/>
                <w:shd w:val="clear" w:color="050000" w:fill="auto"/>
              </w:rPr>
              <w:t>的承诺工期。若因中标人原因不能按合同工期完成本工程，</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将采取支付违约金措施。在签订合同时，</w:t>
            </w:r>
            <w:r>
              <w:rPr>
                <w:rFonts w:hint="eastAsia" w:ascii="宋体" w:hAnsi="宋体" w:cs="宋体"/>
                <w:sz w:val="24"/>
                <w:shd w:val="clear" w:color="050000" w:fill="auto"/>
                <w:lang w:eastAsia="zh-CN"/>
              </w:rPr>
              <w:t>采购人</w:t>
            </w:r>
            <w:r>
              <w:rPr>
                <w:rFonts w:hint="eastAsia" w:ascii="宋体" w:hAnsi="宋体" w:cs="宋体"/>
                <w:sz w:val="24"/>
                <w:shd w:val="clear" w:color="050000" w:fill="auto"/>
              </w:rPr>
              <w:t>、中标人还应同时确定分阶段工期，并制定相应的违约措施。</w:t>
            </w:r>
          </w:p>
          <w:p w14:paraId="22779F2E">
            <w:pPr>
              <w:spacing w:line="450" w:lineRule="exact"/>
              <w:rPr>
                <w:rFonts w:ascii="宋体" w:hAnsi="宋体" w:cs="宋体"/>
                <w:sz w:val="24"/>
                <w:shd w:val="clear" w:color="050000" w:fill="auto"/>
              </w:rPr>
            </w:pPr>
            <w:r>
              <w:rPr>
                <w:rFonts w:hint="eastAsia" w:ascii="宋体" w:hAnsi="宋体" w:cs="宋体"/>
                <w:sz w:val="24"/>
                <w:shd w:val="clear" w:color="050000" w:fill="auto"/>
              </w:rPr>
              <w:t>（3）由于不可抗力等其他任何原因造成可能出现的窝工、停工等任何影响中标方施工进度的，经监理单位认可，除可以顺延工期外，招标方不承担任何形式的费用索赔。</w:t>
            </w:r>
          </w:p>
          <w:p w14:paraId="769CD020">
            <w:pPr>
              <w:spacing w:line="450" w:lineRule="exact"/>
              <w:rPr>
                <w:rFonts w:ascii="宋体" w:hAnsi="宋体" w:cs="宋体"/>
                <w:sz w:val="24"/>
                <w:shd w:val="clear" w:color="050000" w:fill="auto"/>
              </w:rPr>
            </w:pPr>
            <w:r>
              <w:rPr>
                <w:rFonts w:hint="eastAsia" w:ascii="宋体" w:hAnsi="宋体" w:cs="宋体"/>
                <w:sz w:val="24"/>
                <w:shd w:val="clear" w:color="050000" w:fill="auto"/>
              </w:rPr>
              <w:t>3、对中标人的要求</w:t>
            </w:r>
          </w:p>
          <w:p w14:paraId="14BBBCE2">
            <w:pPr>
              <w:spacing w:line="450" w:lineRule="exact"/>
              <w:rPr>
                <w:rFonts w:ascii="宋体" w:hAnsi="宋体" w:cs="宋体"/>
                <w:sz w:val="24"/>
                <w:shd w:val="clear" w:color="050000" w:fill="auto"/>
              </w:rPr>
            </w:pPr>
            <w:r>
              <w:rPr>
                <w:rFonts w:hint="eastAsia" w:ascii="宋体" w:hAnsi="宋体" w:cs="宋体"/>
                <w:sz w:val="24"/>
                <w:shd w:val="clear" w:color="050000" w:fill="auto"/>
              </w:rPr>
              <w:t>（1）承包方式</w:t>
            </w:r>
          </w:p>
          <w:p w14:paraId="735B10C3">
            <w:pPr>
              <w:spacing w:line="450" w:lineRule="exact"/>
              <w:rPr>
                <w:rFonts w:ascii="宋体" w:hAnsi="宋体" w:cs="宋体"/>
                <w:sz w:val="24"/>
                <w:shd w:val="clear" w:color="050000" w:fill="auto"/>
              </w:rPr>
            </w:pPr>
            <w:r>
              <w:rPr>
                <w:rFonts w:hint="eastAsia" w:ascii="宋体" w:hAnsi="宋体" w:cs="宋体"/>
                <w:sz w:val="24"/>
                <w:shd w:val="clear" w:color="050000" w:fill="auto"/>
              </w:rPr>
              <w:t>a</w:t>
            </w:r>
            <w:r>
              <w:rPr>
                <w:rFonts w:ascii="宋体" w:hAnsi="宋体" w:cs="宋体"/>
                <w:sz w:val="24"/>
                <w:shd w:val="clear" w:color="050000" w:fill="auto"/>
              </w:rPr>
              <w:t>本工程采取总承包方式（包工、包料、包工期、包质量、包安全、包文明施工、包劳保、包综合治理）</w:t>
            </w:r>
            <w:r>
              <w:rPr>
                <w:rFonts w:hint="eastAsia" w:ascii="宋体" w:hAnsi="宋体" w:cs="宋体"/>
                <w:sz w:val="24"/>
                <w:shd w:val="clear" w:color="050000" w:fill="auto"/>
              </w:rPr>
              <w:t>方式；</w:t>
            </w:r>
          </w:p>
          <w:p w14:paraId="4DCEA31D">
            <w:pPr>
              <w:spacing w:line="450" w:lineRule="exact"/>
              <w:rPr>
                <w:rFonts w:ascii="宋体" w:hAnsi="宋体" w:cs="宋体"/>
                <w:sz w:val="24"/>
                <w:shd w:val="clear" w:color="050000" w:fill="auto"/>
              </w:rPr>
            </w:pPr>
            <w:r>
              <w:rPr>
                <w:rFonts w:hint="eastAsia" w:ascii="宋体" w:hAnsi="宋体" w:cs="宋体"/>
                <w:sz w:val="24"/>
                <w:shd w:val="clear" w:color="050000" w:fill="auto"/>
              </w:rPr>
              <w:t>b</w:t>
            </w:r>
            <w:r>
              <w:rPr>
                <w:rFonts w:ascii="宋体" w:hAnsi="宋体" w:cs="宋体"/>
                <w:sz w:val="24"/>
                <w:shd w:val="clear" w:color="050000" w:fill="auto"/>
              </w:rPr>
              <w:t>中标人不得以任何形式转包、</w:t>
            </w:r>
            <w:r>
              <w:rPr>
                <w:rFonts w:hint="eastAsia" w:ascii="宋体" w:hAnsi="宋体" w:cs="宋体"/>
                <w:sz w:val="24"/>
                <w:shd w:val="clear" w:color="050000" w:fill="auto"/>
              </w:rPr>
              <w:t>违法</w:t>
            </w:r>
            <w:r>
              <w:rPr>
                <w:rFonts w:ascii="宋体" w:hAnsi="宋体" w:cs="宋体"/>
                <w:sz w:val="24"/>
                <w:shd w:val="clear" w:color="050000" w:fill="auto"/>
              </w:rPr>
              <w:t>分包给其他</w:t>
            </w:r>
            <w:r>
              <w:rPr>
                <w:rFonts w:hint="eastAsia" w:ascii="宋体" w:hAnsi="宋体" w:cs="宋体"/>
                <w:sz w:val="24"/>
                <w:shd w:val="clear" w:color="050000" w:fill="auto"/>
              </w:rPr>
              <w:t>人</w:t>
            </w:r>
            <w:r>
              <w:rPr>
                <w:rFonts w:ascii="宋体" w:hAnsi="宋体" w:cs="宋体"/>
                <w:sz w:val="24"/>
                <w:shd w:val="clear" w:color="050000" w:fill="auto"/>
              </w:rPr>
              <w:t>。如发现有转包、</w:t>
            </w:r>
          </w:p>
        </w:tc>
      </w:tr>
      <w:tr w14:paraId="49DB9C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66" w:type="dxa"/>
            <w:tcBorders>
              <w:top w:val="single" w:color="auto" w:sz="4" w:space="0"/>
              <w:left w:val="single" w:color="auto" w:sz="4" w:space="0"/>
              <w:bottom w:val="single" w:color="auto" w:sz="4" w:space="0"/>
              <w:right w:val="single" w:color="auto" w:sz="4" w:space="0"/>
            </w:tcBorders>
            <w:vAlign w:val="center"/>
          </w:tcPr>
          <w:p w14:paraId="236414F2">
            <w:pPr>
              <w:autoSpaceDE w:val="0"/>
              <w:spacing w:line="360" w:lineRule="auto"/>
              <w:jc w:val="center"/>
              <w:rPr>
                <w:rFonts w:hint="eastAsia" w:ascii="宋体" w:hAnsi="宋体" w:eastAsia="宋体" w:cs="宋体"/>
                <w:sz w:val="24"/>
                <w:lang w:eastAsia="zh-CN"/>
              </w:rPr>
            </w:pPr>
            <w:r>
              <w:rPr>
                <w:rFonts w:hint="eastAsia" w:ascii="宋体" w:hAnsi="宋体" w:cs="宋体"/>
                <w:sz w:val="24"/>
              </w:rPr>
              <w:t>10.</w:t>
            </w:r>
            <w:r>
              <w:rPr>
                <w:rFonts w:hint="eastAsia" w:ascii="宋体" w:hAnsi="宋体" w:cs="宋体"/>
                <w:sz w:val="24"/>
                <w:lang w:val="en-US" w:eastAsia="zh-CN"/>
              </w:rPr>
              <w:t>9</w:t>
            </w:r>
          </w:p>
        </w:tc>
        <w:tc>
          <w:tcPr>
            <w:tcW w:w="2400" w:type="dxa"/>
            <w:tcBorders>
              <w:top w:val="single" w:color="auto" w:sz="4" w:space="0"/>
              <w:left w:val="nil"/>
              <w:bottom w:val="single" w:color="auto" w:sz="4" w:space="0"/>
              <w:right w:val="single" w:color="auto" w:sz="4" w:space="0"/>
            </w:tcBorders>
            <w:vAlign w:val="center"/>
          </w:tcPr>
          <w:p w14:paraId="2B562535">
            <w:pPr>
              <w:autoSpaceDE w:val="0"/>
              <w:adjustRightInd w:val="0"/>
              <w:snapToGrid w:val="0"/>
              <w:spacing w:line="360" w:lineRule="auto"/>
              <w:jc w:val="center"/>
              <w:rPr>
                <w:rFonts w:ascii="宋体" w:hAnsi="宋体" w:cs="宋体"/>
                <w:sz w:val="24"/>
              </w:rPr>
            </w:pPr>
            <w:r>
              <w:rPr>
                <w:rFonts w:hint="eastAsia" w:ascii="宋体" w:hAnsi="宋体" w:cs="宋体"/>
                <w:sz w:val="24"/>
              </w:rPr>
              <w:t>其他补充内容</w:t>
            </w:r>
          </w:p>
        </w:tc>
        <w:tc>
          <w:tcPr>
            <w:tcW w:w="6623" w:type="dxa"/>
            <w:tcBorders>
              <w:top w:val="single" w:color="auto" w:sz="4" w:space="0"/>
              <w:left w:val="nil"/>
              <w:bottom w:val="single" w:color="auto" w:sz="4" w:space="0"/>
              <w:right w:val="single" w:color="auto" w:sz="4" w:space="0"/>
            </w:tcBorders>
            <w:vAlign w:val="center"/>
          </w:tcPr>
          <w:p w14:paraId="5922C4E9">
            <w:pPr>
              <w:autoSpaceDE w:val="0"/>
              <w:adjustRightInd w:val="0"/>
              <w:snapToGrid w:val="0"/>
              <w:spacing w:line="360" w:lineRule="auto"/>
              <w:jc w:val="left"/>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若发现评标委员会推举的中标候选人有借用资质、虚假投标或造假等行为时，</w:t>
            </w:r>
            <w:r>
              <w:rPr>
                <w:rFonts w:hint="eastAsia" w:ascii="宋体" w:hAnsi="宋体" w:cs="宋体"/>
                <w:sz w:val="24"/>
                <w:lang w:eastAsia="zh-CN"/>
              </w:rPr>
              <w:t>采购人</w:t>
            </w:r>
            <w:r>
              <w:rPr>
                <w:rFonts w:hint="eastAsia" w:ascii="宋体" w:hAnsi="宋体" w:cs="宋体"/>
                <w:sz w:val="24"/>
              </w:rPr>
              <w:t>将报请有关监督部门取消其中标候选人资格或中标资格，没收其投标保证金。给</w:t>
            </w:r>
            <w:r>
              <w:rPr>
                <w:rFonts w:hint="eastAsia" w:ascii="宋体" w:hAnsi="宋体" w:cs="宋体"/>
                <w:sz w:val="24"/>
                <w:lang w:eastAsia="zh-CN"/>
              </w:rPr>
              <w:t>采购人</w:t>
            </w:r>
            <w:r>
              <w:rPr>
                <w:rFonts w:hint="eastAsia" w:ascii="宋体" w:hAnsi="宋体" w:cs="宋体"/>
                <w:sz w:val="24"/>
              </w:rPr>
              <w:t>造成的损失超过其交纳的投标保证金数额的，还应当对超过部分予以赔偿；</w:t>
            </w:r>
          </w:p>
          <w:p w14:paraId="5F9830FE">
            <w:pPr>
              <w:autoSpaceDE w:val="0"/>
              <w:adjustRightInd w:val="0"/>
              <w:snapToGrid w:val="0"/>
              <w:spacing w:line="360" w:lineRule="auto"/>
              <w:jc w:val="left"/>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在</w:t>
            </w:r>
            <w:r>
              <w:rPr>
                <w:rFonts w:hint="eastAsia" w:ascii="宋体" w:hAnsi="宋体" w:cs="宋体"/>
                <w:sz w:val="24"/>
                <w:lang w:eastAsia="zh-CN"/>
              </w:rPr>
              <w:t>响应文件</w:t>
            </w:r>
            <w:r>
              <w:rPr>
                <w:rFonts w:hint="eastAsia" w:ascii="宋体" w:hAnsi="宋体" w:cs="宋体"/>
                <w:sz w:val="24"/>
              </w:rPr>
              <w:t>中填报的工期为合同工期。中标后承包人应采取一切措施予以保障。</w:t>
            </w:r>
            <w:r>
              <w:rPr>
                <w:rFonts w:hint="eastAsia" w:ascii="宋体" w:hAnsi="宋体" w:cs="宋体"/>
                <w:sz w:val="24"/>
                <w:lang w:eastAsia="zh-CN"/>
              </w:rPr>
              <w:t>供应商</w:t>
            </w:r>
            <w:r>
              <w:rPr>
                <w:rFonts w:hint="eastAsia" w:ascii="宋体" w:hAnsi="宋体" w:cs="宋体"/>
                <w:sz w:val="24"/>
              </w:rPr>
              <w:t>必须按其</w:t>
            </w:r>
            <w:r>
              <w:rPr>
                <w:rFonts w:hint="eastAsia" w:ascii="宋体" w:hAnsi="宋体" w:cs="宋体"/>
                <w:sz w:val="24"/>
                <w:lang w:eastAsia="zh-CN"/>
              </w:rPr>
              <w:t>响应文件</w:t>
            </w:r>
            <w:r>
              <w:rPr>
                <w:rFonts w:hint="eastAsia" w:ascii="宋体" w:hAnsi="宋体" w:cs="宋体"/>
                <w:sz w:val="24"/>
              </w:rPr>
              <w:t>中填报的工期加上承发包双方确认的增加工期之和如期竣工；若因施工单位原因造成不能按期竣工的，施工单位应赔偿招标单位由于拖延工期所带来的损失费。</w:t>
            </w:r>
          </w:p>
          <w:p w14:paraId="0EFD1325">
            <w:pPr>
              <w:autoSpaceDE w:val="0"/>
              <w:adjustRightInd w:val="0"/>
              <w:snapToGrid w:val="0"/>
              <w:spacing w:line="360" w:lineRule="auto"/>
              <w:jc w:val="left"/>
              <w:rPr>
                <w:rFonts w:ascii="宋体" w:hAnsi="宋体" w:cs="宋体"/>
                <w:sz w:val="24"/>
              </w:rPr>
            </w:pPr>
            <w:r>
              <w:rPr>
                <w:rFonts w:hint="eastAsia" w:ascii="宋体" w:hAnsi="宋体" w:cs="宋体"/>
                <w:sz w:val="24"/>
              </w:rPr>
              <w:t>（3）排名第一的中标候选人放弃中标、因不可抗力提出不能履行合同，</w:t>
            </w:r>
            <w:r>
              <w:rPr>
                <w:rFonts w:hint="eastAsia" w:ascii="宋体" w:hAnsi="宋体" w:cs="宋体"/>
                <w:sz w:val="24"/>
                <w:lang w:eastAsia="zh-CN"/>
              </w:rPr>
              <w:t>竞争性磋商文件</w:t>
            </w:r>
            <w:r>
              <w:rPr>
                <w:rFonts w:hint="eastAsia" w:ascii="宋体" w:hAnsi="宋体" w:cs="宋体"/>
                <w:sz w:val="24"/>
              </w:rPr>
              <w:t>规定应当提交履约保证金而在规定的期限内未提交的，或者存在违法行为被有关部门依法查处，且其违法行为影响中标结果的，</w:t>
            </w:r>
            <w:r>
              <w:rPr>
                <w:rFonts w:hint="eastAsia" w:ascii="宋体" w:hAnsi="宋体" w:cs="宋体"/>
                <w:sz w:val="24"/>
                <w:lang w:eastAsia="zh-CN"/>
              </w:rPr>
              <w:t>采购人</w:t>
            </w:r>
            <w:r>
              <w:rPr>
                <w:rFonts w:hint="eastAsia" w:ascii="宋体" w:hAnsi="宋体" w:cs="宋体"/>
                <w:sz w:val="24"/>
              </w:rPr>
              <w:t>将报请政府监督管理部门取消其中标决定，并没收其投标保证金。在此情况下，</w:t>
            </w:r>
            <w:r>
              <w:rPr>
                <w:rFonts w:hint="eastAsia" w:ascii="宋体" w:hAnsi="宋体" w:cs="宋体"/>
                <w:sz w:val="24"/>
                <w:lang w:eastAsia="zh-CN"/>
              </w:rPr>
              <w:t>采购人</w:t>
            </w:r>
            <w:r>
              <w:rPr>
                <w:rFonts w:hint="eastAsia" w:ascii="宋体" w:hAnsi="宋体" w:cs="宋体"/>
                <w:sz w:val="24"/>
              </w:rPr>
              <w:t>可以按照评标报告推荐的中标或成交候选人名单排序，确定下一候选人为中标或者成交</w:t>
            </w:r>
            <w:r>
              <w:rPr>
                <w:rFonts w:hint="eastAsia" w:ascii="宋体" w:hAnsi="宋体" w:cs="宋体"/>
                <w:sz w:val="24"/>
                <w:lang w:eastAsia="zh-CN"/>
              </w:rPr>
              <w:t>供应商</w:t>
            </w:r>
            <w:r>
              <w:rPr>
                <w:rFonts w:hint="eastAsia" w:ascii="宋体" w:hAnsi="宋体" w:cs="宋体"/>
                <w:sz w:val="24"/>
              </w:rPr>
              <w:t>，也可以重新招标。</w:t>
            </w:r>
          </w:p>
        </w:tc>
      </w:tr>
      <w:tr w14:paraId="39A61A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1066" w:type="dxa"/>
            <w:tcBorders>
              <w:top w:val="single" w:color="auto" w:sz="4" w:space="0"/>
              <w:left w:val="single" w:color="auto" w:sz="4" w:space="0"/>
              <w:bottom w:val="single" w:color="auto" w:sz="4" w:space="0"/>
              <w:right w:val="single" w:color="auto" w:sz="4" w:space="0"/>
            </w:tcBorders>
            <w:vAlign w:val="center"/>
          </w:tcPr>
          <w:p w14:paraId="675A9758">
            <w:pPr>
              <w:autoSpaceDE w:val="0"/>
              <w:spacing w:line="360" w:lineRule="auto"/>
              <w:jc w:val="center"/>
              <w:rPr>
                <w:rFonts w:hint="eastAsia" w:ascii="宋体" w:hAnsi="宋体" w:eastAsia="宋体" w:cs="宋体"/>
                <w:sz w:val="24"/>
                <w:lang w:eastAsia="zh-CN"/>
              </w:rPr>
            </w:pPr>
            <w:r>
              <w:rPr>
                <w:rFonts w:hint="eastAsia" w:ascii="宋体" w:hAnsi="宋体" w:cs="宋体"/>
                <w:sz w:val="24"/>
              </w:rPr>
              <w:t>10.1</w:t>
            </w:r>
            <w:r>
              <w:rPr>
                <w:rFonts w:hint="eastAsia" w:ascii="宋体" w:hAnsi="宋体" w:cs="宋体"/>
                <w:sz w:val="24"/>
                <w:lang w:val="en-US" w:eastAsia="zh-CN"/>
              </w:rPr>
              <w:t>0</w:t>
            </w:r>
          </w:p>
        </w:tc>
        <w:tc>
          <w:tcPr>
            <w:tcW w:w="9023" w:type="dxa"/>
            <w:gridSpan w:val="2"/>
            <w:tcBorders>
              <w:top w:val="single" w:color="auto" w:sz="4" w:space="0"/>
              <w:left w:val="nil"/>
              <w:bottom w:val="single" w:color="auto" w:sz="4" w:space="0"/>
              <w:right w:val="single" w:color="auto" w:sz="4" w:space="0"/>
            </w:tcBorders>
            <w:vAlign w:val="center"/>
          </w:tcPr>
          <w:p w14:paraId="5F355C77">
            <w:pPr>
              <w:pStyle w:val="5"/>
            </w:pPr>
            <w:r>
              <w:rPr>
                <w:rFonts w:hint="eastAsia" w:ascii="宋体" w:hAnsi="宋体" w:cs="仿宋_GB2312"/>
                <w:kern w:val="0"/>
                <w:szCs w:val="24"/>
              </w:rPr>
              <w:t>电子化交易注意事项</w:t>
            </w:r>
          </w:p>
        </w:tc>
      </w:tr>
      <w:tr w14:paraId="148AD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2" w:hRule="atLeast"/>
        </w:trPr>
        <w:tc>
          <w:tcPr>
            <w:tcW w:w="10089" w:type="dxa"/>
            <w:gridSpan w:val="3"/>
            <w:tcBorders>
              <w:top w:val="single" w:color="auto" w:sz="4" w:space="0"/>
              <w:left w:val="single" w:color="auto" w:sz="4" w:space="0"/>
              <w:bottom w:val="single" w:color="auto" w:sz="4" w:space="0"/>
              <w:right w:val="single" w:color="auto" w:sz="4" w:space="0"/>
            </w:tcBorders>
            <w:vAlign w:val="center"/>
          </w:tcPr>
          <w:p w14:paraId="6775317F">
            <w:pPr>
              <w:widowControl/>
              <w:autoSpaceDE w:val="0"/>
              <w:adjustRightInd w:val="0"/>
              <w:snapToGrid w:val="0"/>
              <w:spacing w:line="450" w:lineRule="exact"/>
              <w:ind w:firstLine="360" w:firstLineChars="150"/>
              <w:jc w:val="left"/>
              <w:rPr>
                <w:rFonts w:ascii="宋体" w:hAnsi="宋体" w:cs="仿宋_GB2312"/>
                <w:kern w:val="0"/>
                <w:sz w:val="24"/>
              </w:rPr>
            </w:pPr>
            <w:r>
              <w:rPr>
                <w:rFonts w:hint="eastAsia" w:ascii="宋体" w:hAnsi="宋体" w:cs="仿宋_GB2312"/>
                <w:kern w:val="0"/>
                <w:sz w:val="24"/>
              </w:rPr>
              <w:t>温馨提示：本项目为电子化、无纸化交易项目，</w:t>
            </w:r>
            <w:r>
              <w:rPr>
                <w:rFonts w:hint="eastAsia" w:ascii="宋体" w:hAnsi="宋体" w:cs="仿宋_GB2312"/>
                <w:kern w:val="0"/>
                <w:sz w:val="24"/>
                <w:lang w:eastAsia="zh-CN"/>
              </w:rPr>
              <w:t>供应商</w:t>
            </w:r>
            <w:r>
              <w:rPr>
                <w:rFonts w:hint="eastAsia" w:ascii="宋体" w:hAnsi="宋体" w:cs="仿宋_GB2312"/>
                <w:kern w:val="0"/>
                <w:sz w:val="24"/>
              </w:rPr>
              <w:t>时不接受任何纸质资料，</w:t>
            </w:r>
            <w:r>
              <w:rPr>
                <w:rFonts w:hint="eastAsia" w:ascii="宋体" w:hAnsi="宋体" w:cs="仿宋_GB2312"/>
                <w:kern w:val="0"/>
                <w:sz w:val="24"/>
                <w:lang w:eastAsia="zh-CN"/>
              </w:rPr>
              <w:t>响应文件</w:t>
            </w:r>
            <w:r>
              <w:rPr>
                <w:rFonts w:hint="eastAsia" w:ascii="宋体" w:hAnsi="宋体" w:cs="仿宋_GB2312"/>
                <w:kern w:val="0"/>
                <w:sz w:val="24"/>
              </w:rPr>
              <w:t>是</w:t>
            </w:r>
            <w:r>
              <w:rPr>
                <w:rFonts w:hint="eastAsia" w:ascii="宋体" w:hAnsi="宋体" w:cs="仿宋_GB2312"/>
                <w:kern w:val="0"/>
                <w:sz w:val="24"/>
                <w:lang w:eastAsia="zh-CN"/>
              </w:rPr>
              <w:t>供应商</w:t>
            </w:r>
            <w:r>
              <w:rPr>
                <w:rFonts w:hint="eastAsia" w:ascii="宋体" w:hAnsi="宋体" w:cs="仿宋_GB2312"/>
                <w:kern w:val="0"/>
                <w:sz w:val="24"/>
              </w:rPr>
              <w:t>、供应商（以下简称“</w:t>
            </w:r>
            <w:r>
              <w:rPr>
                <w:rFonts w:hint="eastAsia" w:ascii="宋体" w:hAnsi="宋体" w:cs="仿宋_GB2312"/>
                <w:kern w:val="0"/>
                <w:sz w:val="24"/>
                <w:lang w:eastAsia="zh-CN"/>
              </w:rPr>
              <w:t>供应商</w:t>
            </w:r>
            <w:r>
              <w:rPr>
                <w:rFonts w:hint="eastAsia" w:ascii="宋体" w:hAnsi="宋体" w:cs="仿宋_GB2312"/>
                <w:kern w:val="0"/>
                <w:sz w:val="24"/>
              </w:rPr>
              <w:t>”）通过中心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制作系统制作，并经过电子签章和加密后生成的电子版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。为保证您能投标成功，请需仔细阅读以下条款。</w:t>
            </w:r>
          </w:p>
          <w:p w14:paraId="23328D7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一、电子化投标</w:t>
            </w:r>
          </w:p>
          <w:p w14:paraId="2E318AF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（一）电子化</w:t>
            </w:r>
            <w:r>
              <w:rPr>
                <w:rFonts w:hint="eastAsia" w:ascii="宋体" w:hAnsi="宋体" w:cs="仿宋_GB2312"/>
                <w:kern w:val="0"/>
                <w:sz w:val="24"/>
                <w:lang w:eastAsia="zh-CN"/>
              </w:rPr>
              <w:t>响应文件</w:t>
            </w:r>
            <w:r>
              <w:rPr>
                <w:rFonts w:hint="eastAsia" w:ascii="宋体" w:hAnsi="宋体" w:cs="仿宋_GB2312"/>
                <w:kern w:val="0"/>
                <w:sz w:val="24"/>
              </w:rPr>
              <w:t>的签章</w:t>
            </w:r>
          </w:p>
          <w:p w14:paraId="0F6A914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在生成电子化</w:t>
            </w:r>
            <w:r>
              <w:rPr>
                <w:rFonts w:hint="eastAsia" w:ascii="宋体" w:hAnsi="宋体" w:cs="仿宋_GB2312"/>
                <w:kern w:val="0"/>
                <w:sz w:val="24"/>
                <w:lang w:eastAsia="zh-CN"/>
              </w:rPr>
              <w:t>响应文件</w:t>
            </w:r>
            <w:r>
              <w:rPr>
                <w:rFonts w:hint="eastAsia" w:ascii="宋体" w:hAnsi="宋体" w:cs="仿宋_GB2312"/>
                <w:kern w:val="0"/>
                <w:sz w:val="24"/>
              </w:rPr>
              <w:t>后，应对电子化</w:t>
            </w:r>
            <w:r>
              <w:rPr>
                <w:rFonts w:hint="eastAsia" w:ascii="宋体" w:hAnsi="宋体" w:cs="仿宋_GB2312"/>
                <w:kern w:val="0"/>
                <w:sz w:val="24"/>
                <w:lang w:eastAsia="zh-CN"/>
              </w:rPr>
              <w:t>响应文件</w:t>
            </w:r>
            <w:r>
              <w:rPr>
                <w:rFonts w:hint="eastAsia" w:ascii="宋体" w:hAnsi="宋体" w:cs="仿宋_GB2312"/>
                <w:kern w:val="0"/>
                <w:sz w:val="24"/>
              </w:rPr>
              <w:t>进行签章，未进行签章的视为无效投标。</w:t>
            </w:r>
          </w:p>
          <w:p w14:paraId="1FDEBFE8">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w:t>
            </w:r>
            <w:r>
              <w:rPr>
                <w:rFonts w:hint="eastAsia" w:ascii="宋体" w:hAnsi="宋体" w:cs="仿宋_GB2312"/>
                <w:kern w:val="0"/>
                <w:sz w:val="24"/>
                <w:lang w:eastAsia="zh-CN"/>
              </w:rPr>
              <w:t>响应文件</w:t>
            </w:r>
            <w:r>
              <w:rPr>
                <w:rFonts w:hint="eastAsia" w:ascii="宋体" w:hAnsi="宋体" w:cs="仿宋_GB2312"/>
                <w:kern w:val="0"/>
                <w:sz w:val="24"/>
              </w:rPr>
              <w:t>中要求法定代表人或授权委托人签字或盖章的，</w:t>
            </w:r>
            <w:r>
              <w:rPr>
                <w:rFonts w:hint="eastAsia" w:ascii="宋体" w:hAnsi="宋体" w:cs="仿宋_GB2312"/>
                <w:kern w:val="0"/>
                <w:sz w:val="24"/>
                <w:lang w:eastAsia="zh-CN"/>
              </w:rPr>
              <w:t>供应商</w:t>
            </w:r>
            <w:r>
              <w:rPr>
                <w:rFonts w:hint="eastAsia" w:ascii="宋体" w:hAnsi="宋体" w:cs="仿宋_GB2312"/>
                <w:kern w:val="0"/>
                <w:sz w:val="24"/>
              </w:rPr>
              <w:t>在进行电子化</w:t>
            </w:r>
            <w:r>
              <w:rPr>
                <w:rFonts w:hint="eastAsia" w:ascii="宋体" w:hAnsi="宋体" w:cs="仿宋_GB2312"/>
                <w:kern w:val="0"/>
                <w:sz w:val="24"/>
                <w:lang w:eastAsia="zh-CN"/>
              </w:rPr>
              <w:t>响应文件</w:t>
            </w:r>
            <w:r>
              <w:rPr>
                <w:rFonts w:hint="eastAsia" w:ascii="宋体" w:hAnsi="宋体" w:cs="仿宋_GB2312"/>
                <w:kern w:val="0"/>
                <w:sz w:val="24"/>
              </w:rPr>
              <w:t>签章时，以签盖法定代表人签章为准。电子化</w:t>
            </w:r>
            <w:r>
              <w:rPr>
                <w:rFonts w:hint="eastAsia" w:ascii="宋体" w:hAnsi="宋体" w:cs="仿宋_GB2312"/>
                <w:kern w:val="0"/>
                <w:sz w:val="24"/>
                <w:lang w:eastAsia="zh-CN"/>
              </w:rPr>
              <w:t>响应文件</w:t>
            </w:r>
            <w:r>
              <w:rPr>
                <w:rFonts w:hint="eastAsia" w:ascii="宋体" w:hAnsi="宋体" w:cs="仿宋_GB2312"/>
                <w:kern w:val="0"/>
                <w:sz w:val="24"/>
              </w:rPr>
              <w:t>具体制作教材请</w:t>
            </w:r>
            <w:r>
              <w:rPr>
                <w:rFonts w:hint="eastAsia" w:ascii="宋体" w:hAnsi="宋体" w:cs="仿宋_GB2312"/>
                <w:kern w:val="0"/>
                <w:sz w:val="24"/>
                <w:lang w:eastAsia="zh-CN"/>
              </w:rPr>
              <w:t>供应商</w:t>
            </w:r>
            <w:r>
              <w:rPr>
                <w:rFonts w:hint="eastAsia" w:ascii="宋体" w:hAnsi="宋体" w:cs="仿宋_GB2312"/>
                <w:kern w:val="0"/>
                <w:sz w:val="24"/>
              </w:rPr>
              <w:t>通过CA证书登录三门峡市公共资源电子化交易系统在右上角“交易智库”中查看。电子化</w:t>
            </w:r>
            <w:r>
              <w:rPr>
                <w:rFonts w:hint="eastAsia" w:ascii="宋体" w:hAnsi="宋体" w:cs="仿宋_GB2312"/>
                <w:kern w:val="0"/>
                <w:sz w:val="24"/>
                <w:lang w:eastAsia="zh-CN"/>
              </w:rPr>
              <w:t>响应文件</w:t>
            </w:r>
            <w:r>
              <w:rPr>
                <w:rFonts w:hint="eastAsia" w:ascii="宋体" w:hAnsi="宋体" w:cs="仿宋_GB2312"/>
                <w:kern w:val="0"/>
                <w:sz w:val="24"/>
              </w:rPr>
              <w:t>工具请点击https://download.bqpoint.com/download/downloaddetail.html?SourceFrom=Ztb&amp;ZtbSoftXiaQuCode=1532&amp;ZtbSoftType=tballinclusive进行下载。</w:t>
            </w:r>
          </w:p>
          <w:p w14:paraId="7FBC742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（二）电子化</w:t>
            </w:r>
            <w:r>
              <w:rPr>
                <w:rFonts w:hint="eastAsia" w:ascii="宋体" w:hAnsi="宋体" w:cs="仿宋_GB2312"/>
                <w:kern w:val="0"/>
                <w:sz w:val="24"/>
                <w:lang w:eastAsia="zh-CN"/>
              </w:rPr>
              <w:t>响应文件</w:t>
            </w:r>
            <w:r>
              <w:rPr>
                <w:rFonts w:hint="eastAsia" w:ascii="宋体" w:hAnsi="宋体" w:cs="仿宋_GB2312"/>
                <w:kern w:val="0"/>
                <w:sz w:val="24"/>
              </w:rPr>
              <w:t>的格式及上传投标</w:t>
            </w:r>
          </w:p>
          <w:p w14:paraId="3404026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w:t>
            </w:r>
            <w:r>
              <w:rPr>
                <w:rFonts w:hint="eastAsia" w:ascii="宋体" w:hAnsi="宋体" w:cs="仿宋_GB2312"/>
                <w:kern w:val="0"/>
                <w:sz w:val="24"/>
                <w:lang w:eastAsia="zh-CN"/>
              </w:rPr>
              <w:t>响应文件</w:t>
            </w:r>
            <w:r>
              <w:rPr>
                <w:rFonts w:hint="eastAsia" w:ascii="宋体" w:hAnsi="宋体" w:cs="仿宋_GB2312"/>
                <w:kern w:val="0"/>
                <w:sz w:val="24"/>
              </w:rPr>
              <w:t>制作工具下载地址：</w:t>
            </w:r>
            <w:r>
              <w:fldChar w:fldCharType="begin"/>
            </w:r>
            <w:r>
              <w:instrText xml:space="preserve"> HYPERLINK "http://t.cn/A6ZvtVob" </w:instrText>
            </w:r>
            <w:r>
              <w:fldChar w:fldCharType="separate"/>
            </w:r>
            <w:r>
              <w:rPr>
                <w:rFonts w:hint="eastAsia" w:ascii="宋体" w:hAnsi="宋体" w:cs="宋体"/>
                <w:sz w:val="24"/>
                <w:u w:val="single"/>
              </w:rPr>
              <w:t>http://t.cn/A6ZvtVob</w:t>
            </w:r>
            <w:r>
              <w:rPr>
                <w:rFonts w:hint="eastAsia" w:ascii="宋体" w:hAnsi="宋体" w:cs="宋体"/>
                <w:sz w:val="24"/>
                <w:u w:val="single"/>
              </w:rPr>
              <w:fldChar w:fldCharType="end"/>
            </w:r>
            <w:r>
              <w:rPr>
                <w:rFonts w:hint="eastAsia" w:ascii="宋体" w:hAnsi="宋体" w:cs="宋体"/>
                <w:sz w:val="24"/>
              </w:rPr>
              <w:t>）</w:t>
            </w:r>
            <w:r>
              <w:rPr>
                <w:rFonts w:hint="eastAsia" w:ascii="宋体" w:hAnsi="宋体" w:cs="仿宋_GB2312"/>
                <w:kern w:val="0"/>
                <w:sz w:val="24"/>
              </w:rPr>
              <w:t>，经过签章和加密后生成的电子版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。其中包含用于</w:t>
            </w:r>
            <w:r>
              <w:rPr>
                <w:rFonts w:hint="eastAsia" w:ascii="宋体" w:hAnsi="宋体" w:cs="仿宋_GB2312"/>
                <w:kern w:val="0"/>
                <w:sz w:val="24"/>
                <w:lang w:eastAsia="zh-CN"/>
              </w:rPr>
              <w:t>响应文件</w:t>
            </w:r>
            <w:r>
              <w:rPr>
                <w:rFonts w:hint="eastAsia" w:ascii="宋体" w:hAnsi="宋体" w:cs="仿宋_GB2312"/>
                <w:kern w:val="0"/>
                <w:sz w:val="24"/>
              </w:rPr>
              <w:t>上传的主文件（后缀为.smxtf）和用于应急补救的</w:t>
            </w:r>
            <w:r>
              <w:rPr>
                <w:rFonts w:hint="eastAsia" w:ascii="宋体" w:hAnsi="宋体" w:cs="仿宋_GB2312"/>
                <w:kern w:val="0"/>
                <w:sz w:val="24"/>
                <w:lang w:eastAsia="zh-CN"/>
              </w:rPr>
              <w:t>响应文件</w:t>
            </w:r>
            <w:r>
              <w:rPr>
                <w:rFonts w:hint="eastAsia" w:ascii="宋体" w:hAnsi="宋体" w:cs="仿宋_GB2312"/>
                <w:kern w:val="0"/>
                <w:sz w:val="24"/>
              </w:rPr>
              <w:t>备份文件（后缀为.nsmxtf）。备份文件主要用于电子化开标出现技术问题后的补救，请</w:t>
            </w:r>
            <w:r>
              <w:rPr>
                <w:rFonts w:hint="eastAsia" w:ascii="宋体" w:hAnsi="宋体" w:cs="仿宋_GB2312"/>
                <w:kern w:val="0"/>
                <w:sz w:val="24"/>
                <w:lang w:eastAsia="zh-CN"/>
              </w:rPr>
              <w:t>供应商</w:t>
            </w:r>
            <w:r>
              <w:rPr>
                <w:rFonts w:hint="eastAsia" w:ascii="宋体" w:hAnsi="宋体" w:cs="仿宋_GB2312"/>
                <w:kern w:val="0"/>
                <w:sz w:val="24"/>
              </w:rPr>
              <w:t>随身携带。</w:t>
            </w:r>
          </w:p>
          <w:p w14:paraId="7DAD7B4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w:t>
            </w:r>
            <w:r>
              <w:rPr>
                <w:rFonts w:hint="eastAsia" w:ascii="宋体" w:hAnsi="宋体" w:cs="仿宋_GB2312"/>
                <w:kern w:val="0"/>
                <w:sz w:val="24"/>
                <w:lang w:eastAsia="zh-CN"/>
              </w:rPr>
              <w:t>供应商</w:t>
            </w:r>
            <w:r>
              <w:rPr>
                <w:rFonts w:hint="eastAsia" w:ascii="宋体" w:hAnsi="宋体" w:cs="仿宋_GB2312"/>
                <w:kern w:val="0"/>
                <w:sz w:val="24"/>
              </w:rPr>
              <w:t>投报多个标段的，需要每个标段单独制作电子</w:t>
            </w:r>
            <w:r>
              <w:rPr>
                <w:rFonts w:hint="eastAsia" w:ascii="宋体" w:hAnsi="宋体" w:cs="仿宋_GB2312"/>
                <w:kern w:val="0"/>
                <w:sz w:val="24"/>
                <w:lang w:eastAsia="zh-CN"/>
              </w:rPr>
              <w:t>响应文件</w:t>
            </w:r>
            <w:r>
              <w:rPr>
                <w:rFonts w:hint="eastAsia" w:ascii="宋体" w:hAnsi="宋体" w:cs="仿宋_GB2312"/>
                <w:kern w:val="0"/>
                <w:sz w:val="24"/>
              </w:rPr>
              <w:t>。</w:t>
            </w:r>
          </w:p>
          <w:p w14:paraId="75543D4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078D7EE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注：如按照电子化投标操作教材制作完成的电子化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6DF69861">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技术联系电话：400-998-0000</w:t>
            </w:r>
          </w:p>
          <w:p w14:paraId="1CEAA49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主体库咨询电话:0398-3117815</w:t>
            </w:r>
          </w:p>
          <w:p w14:paraId="6C897A9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CA证书制发:0398-2181635</w:t>
            </w:r>
          </w:p>
          <w:p w14:paraId="2C4091A4">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科技信息科:0398-3117095</w:t>
            </w:r>
          </w:p>
          <w:p w14:paraId="1FFD3F92">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（三）电子化项目开标、解密、唱标、评标</w:t>
            </w:r>
          </w:p>
          <w:p w14:paraId="241C2DA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1、本项目采用电子化、无纸化进行招标，开标当日，</w:t>
            </w:r>
            <w:r>
              <w:rPr>
                <w:rFonts w:hint="eastAsia" w:ascii="宋体" w:hAnsi="宋体" w:cs="仿宋_GB2312"/>
                <w:kern w:val="0"/>
                <w:sz w:val="24"/>
                <w:lang w:eastAsia="zh-CN"/>
              </w:rPr>
              <w:t>供应商</w:t>
            </w:r>
            <w:r>
              <w:rPr>
                <w:rFonts w:hint="eastAsia" w:ascii="宋体" w:hAnsi="宋体" w:cs="仿宋_GB2312"/>
                <w:kern w:val="0"/>
                <w:sz w:val="24"/>
              </w:rPr>
              <w:t>无需到开标现场参加开标会议，</w:t>
            </w:r>
            <w:r>
              <w:rPr>
                <w:rFonts w:hint="eastAsia" w:ascii="宋体" w:hAnsi="宋体" w:cs="仿宋_GB2312"/>
                <w:kern w:val="0"/>
                <w:sz w:val="24"/>
                <w:lang w:eastAsia="zh-CN"/>
              </w:rPr>
              <w:t>供应商</w:t>
            </w:r>
            <w:r>
              <w:rPr>
                <w:rFonts w:hint="eastAsia" w:ascii="宋体" w:hAnsi="宋体" w:cs="仿宋_GB2312"/>
                <w:kern w:val="0"/>
                <w:sz w:val="24"/>
              </w:rPr>
              <w:t>应当在投标截止时间前，登陆不见面开标大厅选择登陆三门峡市公共资源电子招投标系统进行登陆（网址为</w:t>
            </w:r>
            <w:r>
              <w:rPr>
                <w:rFonts w:hint="eastAsia" w:ascii="宋体" w:hAnsi="宋体" w:cs="宋体"/>
                <w:sz w:val="24"/>
              </w:rPr>
              <w:t>http://120.194.249.36:10094/BidOpening/bidopeninghallaction/hall/login</w:t>
            </w:r>
            <w:r>
              <w:rPr>
                <w:rFonts w:hint="eastAsia" w:ascii="宋体" w:hAnsi="宋体" w:cs="仿宋_GB2312"/>
                <w:kern w:val="0"/>
                <w:sz w:val="24"/>
              </w:rPr>
              <w:t>）,在线准时参加开标活动并进行</w:t>
            </w:r>
            <w:r>
              <w:rPr>
                <w:rFonts w:hint="eastAsia" w:ascii="宋体" w:hAnsi="宋体" w:cs="仿宋_GB2312"/>
                <w:kern w:val="0"/>
                <w:sz w:val="24"/>
                <w:lang w:eastAsia="zh-CN"/>
              </w:rPr>
              <w:t>响应文件</w:t>
            </w:r>
            <w:r>
              <w:rPr>
                <w:rFonts w:hint="eastAsia" w:ascii="宋体" w:hAnsi="宋体" w:cs="仿宋_GB2312"/>
                <w:kern w:val="0"/>
                <w:sz w:val="24"/>
              </w:rPr>
              <w:t>解密等。</w:t>
            </w:r>
          </w:p>
          <w:p w14:paraId="079F2EF5">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2、电子化</w:t>
            </w:r>
            <w:r>
              <w:rPr>
                <w:rFonts w:hint="eastAsia" w:ascii="宋体" w:hAnsi="宋体" w:cs="仿宋_GB2312"/>
                <w:kern w:val="0"/>
                <w:sz w:val="24"/>
                <w:lang w:eastAsia="zh-CN"/>
              </w:rPr>
              <w:t>响应文件</w:t>
            </w:r>
            <w:r>
              <w:rPr>
                <w:rFonts w:hint="eastAsia" w:ascii="宋体" w:hAnsi="宋体" w:cs="仿宋_GB2312"/>
                <w:kern w:val="0"/>
                <w:sz w:val="24"/>
              </w:rPr>
              <w:t>采用一次加密方式。开标时，由</w:t>
            </w:r>
            <w:r>
              <w:rPr>
                <w:rFonts w:hint="eastAsia" w:ascii="宋体" w:hAnsi="宋体" w:cs="仿宋_GB2312"/>
                <w:kern w:val="0"/>
                <w:sz w:val="24"/>
                <w:lang w:eastAsia="zh-CN"/>
              </w:rPr>
              <w:t>供应商</w:t>
            </w:r>
            <w:r>
              <w:rPr>
                <w:rFonts w:hint="eastAsia" w:ascii="宋体" w:hAnsi="宋体" w:cs="仿宋_GB2312"/>
                <w:kern w:val="0"/>
                <w:sz w:val="24"/>
              </w:rPr>
              <w:t>使用CA 证书，在规定时间内对其电子化</w:t>
            </w:r>
            <w:r>
              <w:rPr>
                <w:rFonts w:hint="eastAsia" w:ascii="宋体" w:hAnsi="宋体" w:cs="仿宋_GB2312"/>
                <w:kern w:val="0"/>
                <w:sz w:val="24"/>
                <w:lang w:eastAsia="zh-CN"/>
              </w:rPr>
              <w:t>响应文件</w:t>
            </w:r>
            <w:r>
              <w:rPr>
                <w:rFonts w:hint="eastAsia" w:ascii="宋体" w:hAnsi="宋体" w:cs="仿宋_GB2312"/>
                <w:kern w:val="0"/>
                <w:sz w:val="24"/>
              </w:rPr>
              <w:t>进行解密。每位</w:t>
            </w:r>
            <w:r>
              <w:rPr>
                <w:rFonts w:hint="eastAsia" w:ascii="宋体" w:hAnsi="宋体" w:cs="仿宋_GB2312"/>
                <w:kern w:val="0"/>
                <w:sz w:val="24"/>
                <w:lang w:eastAsia="zh-CN"/>
              </w:rPr>
              <w:t>供应商</w:t>
            </w:r>
            <w:r>
              <w:rPr>
                <w:rFonts w:hint="eastAsia" w:ascii="宋体" w:hAnsi="宋体" w:cs="仿宋_GB2312"/>
                <w:kern w:val="0"/>
                <w:sz w:val="24"/>
              </w:rPr>
              <w:t>的解密时间为开标时间起30 分钟内，如在规定时间内未完成解密的，其</w:t>
            </w:r>
            <w:r>
              <w:rPr>
                <w:rFonts w:hint="eastAsia" w:ascii="宋体" w:hAnsi="宋体" w:cs="仿宋_GB2312"/>
                <w:kern w:val="0"/>
                <w:sz w:val="24"/>
                <w:lang w:eastAsia="zh-CN"/>
              </w:rPr>
              <w:t>响应文件</w:t>
            </w:r>
            <w:r>
              <w:rPr>
                <w:rFonts w:hint="eastAsia" w:ascii="宋体" w:hAnsi="宋体" w:cs="仿宋_GB2312"/>
                <w:kern w:val="0"/>
                <w:sz w:val="24"/>
              </w:rPr>
              <w:t>不予开标、唱标。</w:t>
            </w:r>
          </w:p>
          <w:p w14:paraId="0C8F3F19">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3、电子化</w:t>
            </w:r>
            <w:r>
              <w:rPr>
                <w:rFonts w:hint="eastAsia" w:ascii="宋体" w:hAnsi="宋体" w:cs="仿宋_GB2312"/>
                <w:kern w:val="0"/>
                <w:sz w:val="24"/>
                <w:lang w:eastAsia="zh-CN"/>
              </w:rPr>
              <w:t>响应文件</w:t>
            </w:r>
            <w:r>
              <w:rPr>
                <w:rFonts w:hint="eastAsia" w:ascii="宋体" w:hAnsi="宋体" w:cs="仿宋_GB2312"/>
                <w:kern w:val="0"/>
                <w:sz w:val="24"/>
              </w:rPr>
              <w:t>解密异常的处理</w:t>
            </w:r>
          </w:p>
          <w:p w14:paraId="587FD5D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如出现</w:t>
            </w:r>
            <w:r>
              <w:rPr>
                <w:rFonts w:hint="eastAsia" w:ascii="宋体" w:hAnsi="宋体" w:cs="仿宋_GB2312"/>
                <w:kern w:val="0"/>
                <w:sz w:val="24"/>
                <w:lang w:eastAsia="zh-CN"/>
              </w:rPr>
              <w:t>供应商</w:t>
            </w:r>
            <w:r>
              <w:rPr>
                <w:rFonts w:hint="eastAsia" w:ascii="宋体" w:hAnsi="宋体" w:cs="仿宋_GB2312"/>
                <w:kern w:val="0"/>
                <w:sz w:val="24"/>
              </w:rPr>
              <w:t>的电子</w:t>
            </w:r>
            <w:r>
              <w:rPr>
                <w:rFonts w:hint="eastAsia" w:ascii="宋体" w:hAnsi="宋体" w:cs="仿宋_GB2312"/>
                <w:kern w:val="0"/>
                <w:sz w:val="24"/>
                <w:lang w:eastAsia="zh-CN"/>
              </w:rPr>
              <w:t>响应文件</w:t>
            </w:r>
            <w:r>
              <w:rPr>
                <w:rFonts w:hint="eastAsia" w:ascii="宋体" w:hAnsi="宋体" w:cs="仿宋_GB2312"/>
                <w:kern w:val="0"/>
                <w:sz w:val="24"/>
              </w:rPr>
              <w:t>无法解密等异常情况，</w:t>
            </w:r>
            <w:r>
              <w:rPr>
                <w:rFonts w:hint="eastAsia" w:ascii="宋体" w:hAnsi="宋体" w:cs="仿宋_GB2312"/>
                <w:kern w:val="0"/>
                <w:sz w:val="24"/>
                <w:lang w:eastAsia="zh-CN"/>
              </w:rPr>
              <w:t>供应商</w:t>
            </w:r>
            <w:r>
              <w:rPr>
                <w:rFonts w:hint="eastAsia" w:ascii="宋体" w:hAnsi="宋体" w:cs="仿宋_GB2312"/>
                <w:kern w:val="0"/>
                <w:sz w:val="24"/>
              </w:rPr>
              <w:t>应及时致电中介服务机构说明。</w:t>
            </w:r>
            <w:r>
              <w:rPr>
                <w:rFonts w:hint="eastAsia" w:ascii="宋体" w:hAnsi="宋体" w:cs="仿宋_GB2312"/>
                <w:kern w:val="0"/>
                <w:sz w:val="24"/>
                <w:lang w:eastAsia="zh-CN"/>
              </w:rPr>
              <w:t>响应文件</w:t>
            </w:r>
            <w:r>
              <w:rPr>
                <w:rFonts w:hint="eastAsia" w:ascii="宋体" w:hAnsi="宋体" w:cs="仿宋_GB2312"/>
                <w:kern w:val="0"/>
                <w:sz w:val="24"/>
              </w:rPr>
              <w:t>异常，按以下步骤进行处理：</w:t>
            </w:r>
          </w:p>
          <w:p w14:paraId="7F51020F">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（1）首先由技术人员进行问题排查。</w:t>
            </w:r>
          </w:p>
          <w:p w14:paraId="17D0F8ED">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（2）经技术人员排查后，是</w:t>
            </w:r>
            <w:r>
              <w:rPr>
                <w:rFonts w:hint="eastAsia" w:ascii="宋体" w:hAnsi="宋体" w:cs="仿宋_GB2312"/>
                <w:kern w:val="0"/>
                <w:sz w:val="24"/>
                <w:lang w:eastAsia="zh-CN"/>
              </w:rPr>
              <w:t>供应商</w:t>
            </w:r>
            <w:r>
              <w:rPr>
                <w:rFonts w:hint="eastAsia" w:ascii="宋体" w:hAnsi="宋体" w:cs="仿宋_GB2312"/>
                <w:kern w:val="0"/>
                <w:sz w:val="24"/>
              </w:rPr>
              <w:t>文件自身问题导致</w:t>
            </w:r>
            <w:r>
              <w:rPr>
                <w:rFonts w:hint="eastAsia" w:ascii="宋体" w:hAnsi="宋体" w:cs="仿宋_GB2312"/>
                <w:kern w:val="0"/>
                <w:sz w:val="24"/>
                <w:lang w:eastAsia="zh-CN"/>
              </w:rPr>
              <w:t>响应文件</w:t>
            </w:r>
            <w:r>
              <w:rPr>
                <w:rFonts w:hint="eastAsia" w:ascii="宋体" w:hAnsi="宋体" w:cs="仿宋_GB2312"/>
                <w:kern w:val="0"/>
                <w:sz w:val="24"/>
              </w:rPr>
              <w:t>无法解密的，该</w:t>
            </w:r>
            <w:r>
              <w:rPr>
                <w:rFonts w:hint="eastAsia" w:ascii="宋体" w:hAnsi="宋体" w:cs="仿宋_GB2312"/>
                <w:kern w:val="0"/>
                <w:sz w:val="24"/>
                <w:lang w:eastAsia="zh-CN"/>
              </w:rPr>
              <w:t>响应文件</w:t>
            </w:r>
            <w:r>
              <w:rPr>
                <w:rFonts w:hint="eastAsia" w:ascii="宋体" w:hAnsi="宋体" w:cs="仿宋_GB2312"/>
                <w:kern w:val="0"/>
                <w:sz w:val="24"/>
              </w:rPr>
              <w:t>将不予接收、解密和唱标。开标会议继续进行。</w:t>
            </w:r>
          </w:p>
          <w:p w14:paraId="02B55307">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（3）经技术人员排查后，如果是电子化交易系统问题造成</w:t>
            </w:r>
            <w:r>
              <w:rPr>
                <w:rFonts w:hint="eastAsia" w:ascii="宋体" w:hAnsi="宋体" w:cs="仿宋_GB2312"/>
                <w:kern w:val="0"/>
                <w:sz w:val="24"/>
                <w:lang w:eastAsia="zh-CN"/>
              </w:rPr>
              <w:t>响应文件</w:t>
            </w:r>
            <w:r>
              <w:rPr>
                <w:rFonts w:hint="eastAsia" w:ascii="宋体" w:hAnsi="宋体" w:cs="仿宋_GB2312"/>
                <w:kern w:val="0"/>
                <w:sz w:val="24"/>
              </w:rPr>
              <w:t>无法解密的，将由技术人员对问题进行处理。如短时间内问题无法解决的，将由中介服务机构向监督部门申请，经监督部门同意后，暂停开标会议，待问题解决后继续开标。</w:t>
            </w:r>
          </w:p>
          <w:p w14:paraId="698F640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4、待所有</w:t>
            </w:r>
            <w:r>
              <w:rPr>
                <w:rFonts w:hint="eastAsia" w:ascii="宋体" w:hAnsi="宋体" w:cs="仿宋_GB2312"/>
                <w:kern w:val="0"/>
                <w:sz w:val="24"/>
                <w:lang w:eastAsia="zh-CN"/>
              </w:rPr>
              <w:t>供应商响应文件</w:t>
            </w:r>
            <w:r>
              <w:rPr>
                <w:rFonts w:hint="eastAsia" w:ascii="宋体" w:hAnsi="宋体" w:cs="仿宋_GB2312"/>
                <w:kern w:val="0"/>
                <w:sz w:val="24"/>
              </w:rPr>
              <w:t>解密完成后，由中介服务机构操作，对所有已解密</w:t>
            </w:r>
            <w:r>
              <w:rPr>
                <w:rFonts w:hint="eastAsia" w:ascii="宋体" w:hAnsi="宋体" w:cs="仿宋_GB2312"/>
                <w:kern w:val="0"/>
                <w:sz w:val="24"/>
                <w:lang w:eastAsia="zh-CN"/>
              </w:rPr>
              <w:t>响应文件</w:t>
            </w:r>
            <w:r>
              <w:rPr>
                <w:rFonts w:hint="eastAsia" w:ascii="宋体" w:hAnsi="宋体" w:cs="仿宋_GB2312"/>
                <w:kern w:val="0"/>
                <w:sz w:val="24"/>
              </w:rPr>
              <w:t>进行唱标。</w:t>
            </w:r>
          </w:p>
          <w:p w14:paraId="2B6D899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lang w:eastAsia="zh-CN"/>
              </w:rPr>
              <w:t>供应商</w:t>
            </w:r>
            <w:r>
              <w:rPr>
                <w:rFonts w:hint="eastAsia" w:ascii="宋体" w:hAnsi="宋体" w:cs="仿宋_GB2312"/>
                <w:kern w:val="0"/>
                <w:sz w:val="24"/>
              </w:rPr>
              <w:t>应保证在开标期间电话、电脑、网络能够正常工作，</w:t>
            </w:r>
            <w:r>
              <w:rPr>
                <w:rFonts w:hint="eastAsia" w:ascii="宋体" w:hAnsi="宋体" w:cs="仿宋_GB2312"/>
                <w:kern w:val="0"/>
                <w:sz w:val="24"/>
                <w:lang w:eastAsia="zh-CN"/>
              </w:rPr>
              <w:t>供应商</w:t>
            </w:r>
            <w:r>
              <w:rPr>
                <w:rFonts w:hint="eastAsia" w:ascii="宋体" w:hAnsi="宋体" w:cs="仿宋_GB2312"/>
                <w:kern w:val="0"/>
                <w:sz w:val="24"/>
              </w:rPr>
              <w:t>因停电、电脑病毒、网络堵塞等原因，未在规定的解密时间内对</w:t>
            </w:r>
            <w:r>
              <w:rPr>
                <w:rFonts w:hint="eastAsia" w:ascii="宋体" w:hAnsi="宋体" w:cs="仿宋_GB2312"/>
                <w:kern w:val="0"/>
                <w:sz w:val="24"/>
                <w:lang w:eastAsia="zh-CN"/>
              </w:rPr>
              <w:t>响应文件</w:t>
            </w:r>
            <w:r>
              <w:rPr>
                <w:rFonts w:hint="eastAsia" w:ascii="宋体" w:hAnsi="宋体" w:cs="仿宋_GB2312"/>
                <w:kern w:val="0"/>
                <w:sz w:val="24"/>
              </w:rPr>
              <w:t>进行解密的，其</w:t>
            </w:r>
            <w:r>
              <w:rPr>
                <w:rFonts w:hint="eastAsia" w:ascii="宋体" w:hAnsi="宋体" w:cs="仿宋_GB2312"/>
                <w:kern w:val="0"/>
                <w:sz w:val="24"/>
                <w:lang w:eastAsia="zh-CN"/>
              </w:rPr>
              <w:t>响应文件</w:t>
            </w:r>
            <w:r>
              <w:rPr>
                <w:rFonts w:hint="eastAsia" w:ascii="宋体" w:hAnsi="宋体" w:cs="仿宋_GB2312"/>
                <w:kern w:val="0"/>
                <w:sz w:val="24"/>
              </w:rPr>
              <w:t>不予接收、唱标。</w:t>
            </w:r>
          </w:p>
          <w:p w14:paraId="537FB5C0">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5、开标时</w:t>
            </w:r>
            <w:r>
              <w:rPr>
                <w:rFonts w:hint="eastAsia" w:ascii="宋体" w:hAnsi="宋体" w:cs="仿宋_GB2312"/>
                <w:kern w:val="0"/>
                <w:sz w:val="24"/>
                <w:lang w:eastAsia="zh-CN"/>
              </w:rPr>
              <w:t>供应商</w:t>
            </w:r>
            <w:r>
              <w:rPr>
                <w:rFonts w:hint="eastAsia" w:ascii="宋体" w:hAnsi="宋体" w:cs="仿宋_GB2312"/>
                <w:kern w:val="0"/>
                <w:sz w:val="24"/>
              </w:rPr>
              <w:t>可登录到交易系统中在开标解密栏中点击报价一览表查看自己的投标报价。如对自己的唱标内容有异议的，应在</w:t>
            </w:r>
            <w:r>
              <w:rPr>
                <w:rFonts w:hint="eastAsia" w:ascii="宋体" w:hAnsi="宋体" w:cs="仿宋_GB2312"/>
                <w:kern w:val="0"/>
                <w:sz w:val="24"/>
                <w:lang w:eastAsia="zh-CN"/>
              </w:rPr>
              <w:t>供应商</w:t>
            </w:r>
            <w:r>
              <w:rPr>
                <w:rFonts w:hint="eastAsia" w:ascii="宋体" w:hAnsi="宋体" w:cs="仿宋_GB2312"/>
                <w:kern w:val="0"/>
                <w:sz w:val="24"/>
              </w:rPr>
              <w:t>解密成功后10分钟内向中介服务机构电话质疑。中介服务机构应在监督人员的监督下进行免提通话接受</w:t>
            </w:r>
            <w:r>
              <w:rPr>
                <w:rFonts w:hint="eastAsia" w:ascii="宋体" w:hAnsi="宋体" w:cs="仿宋_GB2312"/>
                <w:kern w:val="0"/>
                <w:sz w:val="24"/>
                <w:lang w:eastAsia="zh-CN"/>
              </w:rPr>
              <w:t>供应商</w:t>
            </w:r>
            <w:r>
              <w:rPr>
                <w:rFonts w:hint="eastAsia" w:ascii="宋体" w:hAnsi="宋体" w:cs="仿宋_GB2312"/>
                <w:kern w:val="0"/>
                <w:sz w:val="24"/>
              </w:rPr>
              <w:t>的质疑并做好书面记录。</w:t>
            </w:r>
            <w:r>
              <w:rPr>
                <w:rFonts w:hint="eastAsia" w:ascii="宋体" w:hAnsi="宋体" w:cs="仿宋_GB2312"/>
                <w:kern w:val="0"/>
                <w:sz w:val="24"/>
                <w:lang w:eastAsia="zh-CN"/>
              </w:rPr>
              <w:t>供应商</w:t>
            </w:r>
            <w:r>
              <w:rPr>
                <w:rFonts w:hint="eastAsia" w:ascii="宋体" w:hAnsi="宋体" w:cs="仿宋_GB2312"/>
                <w:kern w:val="0"/>
                <w:sz w:val="24"/>
              </w:rPr>
              <w:t>未在规定时间内提出质疑的，视为认可唱标内容。</w:t>
            </w:r>
          </w:p>
          <w:p w14:paraId="54F6E26E">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6、评标时，评标委员会对电子化</w:t>
            </w:r>
            <w:r>
              <w:rPr>
                <w:rFonts w:hint="eastAsia" w:ascii="宋体" w:hAnsi="宋体" w:cs="仿宋_GB2312"/>
                <w:kern w:val="0"/>
                <w:sz w:val="24"/>
                <w:lang w:eastAsia="zh-CN"/>
              </w:rPr>
              <w:t>响应文件</w:t>
            </w:r>
            <w:r>
              <w:rPr>
                <w:rFonts w:hint="eastAsia" w:ascii="宋体" w:hAnsi="宋体" w:cs="仿宋_GB2312"/>
                <w:kern w:val="0"/>
                <w:sz w:val="24"/>
              </w:rPr>
              <w:t>有质疑的，将通过电子化交易系统对</w:t>
            </w:r>
            <w:r>
              <w:rPr>
                <w:rFonts w:hint="eastAsia" w:ascii="宋体" w:hAnsi="宋体" w:cs="仿宋_GB2312"/>
                <w:kern w:val="0"/>
                <w:sz w:val="24"/>
                <w:lang w:eastAsia="zh-CN"/>
              </w:rPr>
              <w:t>供应商</w:t>
            </w:r>
            <w:r>
              <w:rPr>
                <w:rFonts w:hint="eastAsia" w:ascii="宋体" w:hAnsi="宋体" w:cs="仿宋_GB2312"/>
                <w:kern w:val="0"/>
                <w:sz w:val="24"/>
              </w:rPr>
              <w:t>发起质疑，并在监督人员的监督下，用免提模式致电需要答复的</w:t>
            </w:r>
            <w:r>
              <w:rPr>
                <w:rFonts w:hint="eastAsia" w:ascii="宋体" w:hAnsi="宋体" w:cs="仿宋_GB2312"/>
                <w:kern w:val="0"/>
                <w:sz w:val="24"/>
                <w:lang w:eastAsia="zh-CN"/>
              </w:rPr>
              <w:t>供应商</w:t>
            </w:r>
            <w:r>
              <w:rPr>
                <w:rFonts w:hint="eastAsia" w:ascii="宋体" w:hAnsi="宋体" w:cs="仿宋_GB2312"/>
                <w:kern w:val="0"/>
                <w:sz w:val="24"/>
              </w:rPr>
              <w:t>对质疑进行回复。</w:t>
            </w:r>
            <w:r>
              <w:rPr>
                <w:rFonts w:hint="eastAsia" w:ascii="宋体" w:hAnsi="宋体" w:cs="仿宋_GB2312"/>
                <w:kern w:val="0"/>
                <w:sz w:val="24"/>
                <w:lang w:eastAsia="zh-CN"/>
              </w:rPr>
              <w:t>供应商</w:t>
            </w:r>
            <w:r>
              <w:rPr>
                <w:rFonts w:hint="eastAsia" w:ascii="宋体" w:hAnsi="宋体" w:cs="仿宋_GB2312"/>
                <w:kern w:val="0"/>
                <w:sz w:val="24"/>
              </w:rPr>
              <w:t>的回复文件必须以经过</w:t>
            </w:r>
            <w:r>
              <w:rPr>
                <w:rFonts w:hint="eastAsia" w:ascii="宋体" w:hAnsi="宋体" w:cs="仿宋_GB2312"/>
                <w:kern w:val="0"/>
                <w:sz w:val="24"/>
                <w:lang w:eastAsia="zh-CN"/>
              </w:rPr>
              <w:t>供应商</w:t>
            </w:r>
            <w:r>
              <w:rPr>
                <w:rFonts w:hint="eastAsia" w:ascii="宋体" w:hAnsi="宋体" w:cs="仿宋_GB2312"/>
                <w:kern w:val="0"/>
                <w:sz w:val="24"/>
              </w:rPr>
              <w:t>和其法定代表人签章的PDF格式文件为准，并通过电子化交易系统提交至评标委员会。</w:t>
            </w:r>
          </w:p>
          <w:p w14:paraId="320EA753">
            <w:pPr>
              <w:widowControl/>
              <w:autoSpaceDE w:val="0"/>
              <w:adjustRightInd w:val="0"/>
              <w:snapToGrid w:val="0"/>
              <w:spacing w:line="450" w:lineRule="exact"/>
              <w:jc w:val="left"/>
              <w:rPr>
                <w:rFonts w:ascii="宋体" w:hAnsi="宋体" w:cs="仿宋_GB2312"/>
                <w:kern w:val="0"/>
                <w:sz w:val="24"/>
              </w:rPr>
            </w:pPr>
            <w:r>
              <w:rPr>
                <w:rFonts w:hint="eastAsia" w:ascii="宋体" w:hAnsi="宋体" w:cs="仿宋_GB2312"/>
                <w:kern w:val="0"/>
                <w:sz w:val="24"/>
              </w:rPr>
              <w:t>7、如评标委员会对需要回复的</w:t>
            </w:r>
            <w:r>
              <w:rPr>
                <w:rFonts w:hint="eastAsia" w:ascii="宋体" w:hAnsi="宋体" w:cs="仿宋_GB2312"/>
                <w:kern w:val="0"/>
                <w:sz w:val="24"/>
                <w:lang w:eastAsia="zh-CN"/>
              </w:rPr>
              <w:t>供应商</w:t>
            </w:r>
            <w:r>
              <w:rPr>
                <w:rFonts w:hint="eastAsia" w:ascii="宋体" w:hAnsi="宋体" w:cs="仿宋_GB2312"/>
                <w:kern w:val="0"/>
                <w:sz w:val="24"/>
              </w:rPr>
              <w:t>连续三次致电未接通的，视为</w:t>
            </w:r>
            <w:r>
              <w:rPr>
                <w:rFonts w:hint="eastAsia" w:ascii="宋体" w:hAnsi="宋体" w:cs="仿宋_GB2312"/>
                <w:kern w:val="0"/>
                <w:sz w:val="24"/>
                <w:lang w:eastAsia="zh-CN"/>
              </w:rPr>
              <w:t>供应商</w:t>
            </w:r>
            <w:r>
              <w:rPr>
                <w:rFonts w:hint="eastAsia" w:ascii="宋体" w:hAnsi="宋体" w:cs="仿宋_GB2312"/>
                <w:kern w:val="0"/>
                <w:sz w:val="24"/>
              </w:rPr>
              <w:t>放弃回复，评标委员会将自行对需要回复的内容进行认定。</w:t>
            </w:r>
          </w:p>
          <w:p w14:paraId="2EFA5597">
            <w:pPr>
              <w:autoSpaceDE w:val="0"/>
              <w:adjustRightInd w:val="0"/>
              <w:snapToGrid w:val="0"/>
              <w:spacing w:line="360" w:lineRule="auto"/>
              <w:jc w:val="left"/>
              <w:rPr>
                <w:rFonts w:ascii="宋体" w:hAnsi="宋体" w:cs="宋体"/>
              </w:rPr>
            </w:pPr>
            <w:r>
              <w:rPr>
                <w:rFonts w:hint="eastAsia" w:ascii="宋体" w:hAnsi="宋体" w:cs="宋体"/>
                <w:b/>
                <w:sz w:val="24"/>
              </w:rPr>
              <w:t>提示：本项目为电子化、无纸化交易项目，为保证您能投标成功，请需仔细阅读以上条款。</w:t>
            </w:r>
          </w:p>
        </w:tc>
      </w:tr>
    </w:tbl>
    <w:p w14:paraId="202785C0">
      <w:pPr>
        <w:pStyle w:val="5"/>
        <w:keepNext w:val="0"/>
        <w:keepLines w:val="0"/>
        <w:widowControl/>
        <w:ind w:firstLine="482" w:firstLineChars="200"/>
        <w:rPr>
          <w:rFonts w:ascii="宋体" w:hAnsi="宋体" w:cs="宋体"/>
          <w:szCs w:val="24"/>
        </w:rPr>
      </w:pPr>
      <w:bookmarkStart w:id="71" w:name="_Toc13929"/>
      <w:bookmarkEnd w:id="71"/>
      <w:bookmarkStart w:id="72" w:name="_Toc25053"/>
      <w:bookmarkEnd w:id="72"/>
      <w:bookmarkStart w:id="73" w:name="_Toc215724725"/>
      <w:bookmarkEnd w:id="73"/>
      <w:bookmarkStart w:id="74" w:name="_Toc17699"/>
      <w:bookmarkEnd w:id="74"/>
      <w:bookmarkStart w:id="75" w:name="_Toc28739"/>
      <w:r>
        <w:rPr>
          <w:rFonts w:hint="eastAsia" w:ascii="宋体" w:hAnsi="宋体" w:cs="宋体"/>
        </w:rPr>
        <w:t>1 ．总则</w:t>
      </w:r>
      <w:bookmarkEnd w:id="75"/>
    </w:p>
    <w:p w14:paraId="31ADB6C9">
      <w:pPr>
        <w:pStyle w:val="6"/>
        <w:keepNext w:val="0"/>
        <w:keepLines w:val="0"/>
        <w:widowControl/>
        <w:ind w:firstLine="482" w:firstLineChars="200"/>
        <w:rPr>
          <w:rFonts w:ascii="宋体" w:hAnsi="宋体" w:cs="宋体"/>
          <w:kern w:val="0"/>
          <w:sz w:val="24"/>
          <w:szCs w:val="24"/>
        </w:rPr>
      </w:pPr>
      <w:r>
        <w:rPr>
          <w:rFonts w:hint="eastAsia" w:ascii="宋体" w:hAnsi="宋体" w:cs="宋体"/>
          <w:sz w:val="24"/>
          <w:szCs w:val="24"/>
        </w:rPr>
        <w:t>1.1 项目概况</w:t>
      </w:r>
    </w:p>
    <w:p w14:paraId="09BFBDA2">
      <w:pPr>
        <w:spacing w:line="360" w:lineRule="auto"/>
        <w:ind w:firstLine="480" w:firstLineChars="200"/>
        <w:rPr>
          <w:rFonts w:ascii="宋体" w:hAnsi="宋体" w:cs="宋体"/>
          <w:sz w:val="24"/>
        </w:rPr>
      </w:pPr>
      <w:r>
        <w:rPr>
          <w:rFonts w:hint="eastAsia" w:ascii="宋体" w:hAnsi="宋体" w:cs="宋体"/>
          <w:sz w:val="24"/>
        </w:rPr>
        <w:t>1.1.1 根据《中华人民共和国招标投标法》</w:t>
      </w:r>
      <w:r>
        <w:rPr>
          <w:rFonts w:hint="eastAsia" w:ascii="宋体" w:hAnsi="宋体" w:cs="宋体"/>
          <w:sz w:val="24"/>
          <w:lang w:eastAsia="zh-CN"/>
        </w:rPr>
        <w:t>、</w:t>
      </w:r>
      <w:r>
        <w:rPr>
          <w:rFonts w:hint="eastAsia" w:ascii="宋体" w:hAnsi="宋体" w:cs="宋体"/>
          <w:sz w:val="24"/>
        </w:rPr>
        <w:t>《中华人民共和国</w:t>
      </w:r>
      <w:r>
        <w:rPr>
          <w:rFonts w:hint="eastAsia" w:ascii="宋体" w:hAnsi="宋体" w:cs="宋体"/>
          <w:sz w:val="24"/>
          <w:lang w:val="en-US" w:eastAsia="zh-CN"/>
        </w:rPr>
        <w:t>政府采购</w:t>
      </w:r>
      <w:r>
        <w:rPr>
          <w:rFonts w:hint="eastAsia" w:ascii="宋体" w:hAnsi="宋体" w:cs="宋体"/>
          <w:sz w:val="24"/>
        </w:rPr>
        <w:t xml:space="preserve">法》 </w:t>
      </w:r>
      <w:r>
        <w:rPr>
          <w:rFonts w:hint="eastAsia" w:ascii="宋体" w:hAnsi="宋体" w:cs="宋体"/>
          <w:sz w:val="24"/>
          <w:lang w:eastAsia="zh-CN"/>
        </w:rPr>
        <w:t>、</w:t>
      </w:r>
      <w:r>
        <w:rPr>
          <w:rFonts w:hint="eastAsia" w:ascii="宋体" w:hAnsi="宋体" w:cs="宋体"/>
          <w:sz w:val="24"/>
        </w:rPr>
        <w:t>《中华人民共和国招标投标法实施条例》等有关法律、法规和规章的规定，本招标项目已具备招标条件，现对本项目施工进行</w:t>
      </w:r>
      <w:r>
        <w:rPr>
          <w:rFonts w:hint="eastAsia" w:ascii="宋体" w:hAnsi="宋体" w:cs="宋体"/>
          <w:sz w:val="24"/>
          <w:lang w:val="en-US" w:eastAsia="zh-CN"/>
        </w:rPr>
        <w:t>竞争性磋商</w:t>
      </w:r>
      <w:r>
        <w:rPr>
          <w:rFonts w:hint="eastAsia" w:ascii="宋体" w:hAnsi="宋体" w:cs="宋体"/>
          <w:sz w:val="24"/>
        </w:rPr>
        <w:t>。</w:t>
      </w:r>
    </w:p>
    <w:p w14:paraId="7A19C4A2">
      <w:pPr>
        <w:spacing w:line="360" w:lineRule="auto"/>
        <w:ind w:firstLine="480" w:firstLineChars="200"/>
        <w:rPr>
          <w:rFonts w:ascii="宋体" w:hAnsi="宋体" w:cs="宋体"/>
          <w:sz w:val="24"/>
        </w:rPr>
      </w:pPr>
      <w:r>
        <w:rPr>
          <w:rFonts w:hint="eastAsia" w:ascii="宋体" w:hAnsi="宋体" w:cs="宋体"/>
          <w:sz w:val="24"/>
        </w:rPr>
        <w:t>1.1.2 本项目</w:t>
      </w:r>
      <w:r>
        <w:rPr>
          <w:rFonts w:hint="eastAsia" w:ascii="宋体" w:hAnsi="宋体" w:cs="宋体"/>
          <w:sz w:val="24"/>
          <w:lang w:eastAsia="zh-CN"/>
        </w:rPr>
        <w:t>采购人</w:t>
      </w:r>
      <w:r>
        <w:rPr>
          <w:rFonts w:hint="eastAsia" w:ascii="宋体" w:hAnsi="宋体" w:cs="宋体"/>
          <w:sz w:val="24"/>
        </w:rPr>
        <w:t>：见</w:t>
      </w:r>
      <w:r>
        <w:rPr>
          <w:rFonts w:hint="eastAsia" w:ascii="宋体" w:hAnsi="宋体" w:cs="宋体"/>
          <w:sz w:val="24"/>
          <w:lang w:eastAsia="zh-CN"/>
        </w:rPr>
        <w:t>供应商</w:t>
      </w:r>
      <w:r>
        <w:rPr>
          <w:rFonts w:hint="eastAsia" w:ascii="宋体" w:hAnsi="宋体" w:cs="宋体"/>
          <w:sz w:val="24"/>
        </w:rPr>
        <w:t>须知前附表。</w:t>
      </w:r>
    </w:p>
    <w:p w14:paraId="72EF1EBE">
      <w:pPr>
        <w:spacing w:line="360" w:lineRule="auto"/>
        <w:ind w:firstLine="480" w:firstLineChars="200"/>
        <w:rPr>
          <w:rFonts w:ascii="宋体" w:hAnsi="宋体" w:cs="宋体"/>
          <w:sz w:val="24"/>
        </w:rPr>
      </w:pPr>
      <w:r>
        <w:rPr>
          <w:rFonts w:hint="eastAsia" w:ascii="宋体" w:hAnsi="宋体" w:cs="宋体"/>
          <w:sz w:val="24"/>
        </w:rPr>
        <w:t>1.1.3 本项目招标代理机构：见</w:t>
      </w:r>
      <w:r>
        <w:rPr>
          <w:rFonts w:hint="eastAsia" w:ascii="宋体" w:hAnsi="宋体" w:cs="宋体"/>
          <w:sz w:val="24"/>
          <w:lang w:eastAsia="zh-CN"/>
        </w:rPr>
        <w:t>供应商</w:t>
      </w:r>
      <w:r>
        <w:rPr>
          <w:rFonts w:hint="eastAsia" w:ascii="宋体" w:hAnsi="宋体" w:cs="宋体"/>
          <w:sz w:val="24"/>
        </w:rPr>
        <w:t>须知前附表。</w:t>
      </w:r>
    </w:p>
    <w:p w14:paraId="1D39D53B">
      <w:pPr>
        <w:spacing w:line="360" w:lineRule="auto"/>
        <w:ind w:firstLine="480" w:firstLineChars="200"/>
        <w:rPr>
          <w:rFonts w:ascii="宋体" w:hAnsi="宋体" w:cs="宋体"/>
          <w:sz w:val="24"/>
        </w:rPr>
      </w:pPr>
      <w:r>
        <w:rPr>
          <w:rFonts w:hint="eastAsia" w:ascii="宋体" w:hAnsi="宋体" w:cs="宋体"/>
          <w:sz w:val="24"/>
        </w:rPr>
        <w:t>1.1.4 本项目名称：见</w:t>
      </w:r>
      <w:r>
        <w:rPr>
          <w:rFonts w:hint="eastAsia" w:ascii="宋体" w:hAnsi="宋体" w:cs="宋体"/>
          <w:sz w:val="24"/>
          <w:lang w:eastAsia="zh-CN"/>
        </w:rPr>
        <w:t>供应商</w:t>
      </w:r>
      <w:r>
        <w:rPr>
          <w:rFonts w:hint="eastAsia" w:ascii="宋体" w:hAnsi="宋体" w:cs="宋体"/>
          <w:sz w:val="24"/>
        </w:rPr>
        <w:t>须知前附表。</w:t>
      </w:r>
    </w:p>
    <w:p w14:paraId="76344C38">
      <w:pPr>
        <w:spacing w:line="360" w:lineRule="auto"/>
        <w:ind w:firstLine="480" w:firstLineChars="200"/>
        <w:rPr>
          <w:rFonts w:ascii="宋体" w:hAnsi="宋体" w:cs="宋体"/>
          <w:sz w:val="24"/>
        </w:rPr>
      </w:pPr>
      <w:r>
        <w:rPr>
          <w:rFonts w:hint="eastAsia" w:ascii="宋体" w:hAnsi="宋体" w:cs="宋体"/>
          <w:sz w:val="24"/>
        </w:rPr>
        <w:t>1.1.5 本项目建设地点：见</w:t>
      </w:r>
      <w:r>
        <w:rPr>
          <w:rFonts w:hint="eastAsia" w:ascii="宋体" w:hAnsi="宋体" w:cs="宋体"/>
          <w:sz w:val="24"/>
          <w:lang w:eastAsia="zh-CN"/>
        </w:rPr>
        <w:t>供应商</w:t>
      </w:r>
      <w:r>
        <w:rPr>
          <w:rFonts w:hint="eastAsia" w:ascii="宋体" w:hAnsi="宋体" w:cs="宋体"/>
          <w:sz w:val="24"/>
        </w:rPr>
        <w:t>须知前附表。</w:t>
      </w:r>
    </w:p>
    <w:p w14:paraId="38DAE15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1.2 资金来源和落实情况</w:t>
      </w:r>
    </w:p>
    <w:p w14:paraId="715E65A1">
      <w:pPr>
        <w:spacing w:line="360" w:lineRule="auto"/>
        <w:ind w:firstLine="480" w:firstLineChars="200"/>
        <w:rPr>
          <w:rFonts w:ascii="宋体" w:hAnsi="宋体" w:cs="宋体"/>
          <w:sz w:val="24"/>
        </w:rPr>
      </w:pPr>
      <w:r>
        <w:rPr>
          <w:rFonts w:hint="eastAsia" w:ascii="宋体" w:hAnsi="宋体" w:cs="宋体"/>
          <w:sz w:val="24"/>
        </w:rPr>
        <w:t>1.2.1 本招标项目的资金来源：见</w:t>
      </w:r>
      <w:r>
        <w:rPr>
          <w:rFonts w:hint="eastAsia" w:ascii="宋体" w:hAnsi="宋体" w:cs="宋体"/>
          <w:sz w:val="24"/>
          <w:lang w:eastAsia="zh-CN"/>
        </w:rPr>
        <w:t>供应商</w:t>
      </w:r>
      <w:r>
        <w:rPr>
          <w:rFonts w:hint="eastAsia" w:ascii="宋体" w:hAnsi="宋体" w:cs="宋体"/>
          <w:sz w:val="24"/>
        </w:rPr>
        <w:t>须知前附表。</w:t>
      </w:r>
    </w:p>
    <w:p w14:paraId="7B8AA5EC">
      <w:pPr>
        <w:spacing w:line="360" w:lineRule="auto"/>
        <w:ind w:firstLine="480" w:firstLineChars="200"/>
        <w:rPr>
          <w:rFonts w:ascii="宋体" w:hAnsi="宋体" w:cs="宋体"/>
          <w:sz w:val="24"/>
        </w:rPr>
      </w:pPr>
      <w:r>
        <w:rPr>
          <w:rFonts w:hint="eastAsia" w:ascii="宋体" w:hAnsi="宋体" w:cs="宋体"/>
          <w:sz w:val="24"/>
        </w:rPr>
        <w:t>1.2.2 本招标项目的资金落实情况：见</w:t>
      </w:r>
      <w:r>
        <w:rPr>
          <w:rFonts w:hint="eastAsia" w:ascii="宋体" w:hAnsi="宋体" w:cs="宋体"/>
          <w:sz w:val="24"/>
          <w:lang w:eastAsia="zh-CN"/>
        </w:rPr>
        <w:t>供应商</w:t>
      </w:r>
      <w:r>
        <w:rPr>
          <w:rFonts w:hint="eastAsia" w:ascii="宋体" w:hAnsi="宋体" w:cs="宋体"/>
          <w:sz w:val="24"/>
        </w:rPr>
        <w:t>须知前附表。</w:t>
      </w:r>
    </w:p>
    <w:p w14:paraId="3239B6D8">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1.3 招标范围、计划工期、质量要求、安全目标</w:t>
      </w:r>
    </w:p>
    <w:p w14:paraId="247E797E">
      <w:pPr>
        <w:spacing w:line="360" w:lineRule="auto"/>
        <w:ind w:firstLine="480" w:firstLineChars="200"/>
        <w:rPr>
          <w:rFonts w:ascii="宋体" w:hAnsi="宋体" w:cs="宋体"/>
          <w:sz w:val="24"/>
        </w:rPr>
      </w:pPr>
      <w:r>
        <w:rPr>
          <w:rFonts w:hint="eastAsia" w:ascii="宋体" w:hAnsi="宋体" w:cs="宋体"/>
          <w:sz w:val="24"/>
        </w:rPr>
        <w:t>1.3.1 本次招标范围：见</w:t>
      </w:r>
      <w:r>
        <w:rPr>
          <w:rFonts w:hint="eastAsia" w:ascii="宋体" w:hAnsi="宋体" w:cs="宋体"/>
          <w:sz w:val="24"/>
          <w:lang w:eastAsia="zh-CN"/>
        </w:rPr>
        <w:t>供应商</w:t>
      </w:r>
      <w:r>
        <w:rPr>
          <w:rFonts w:hint="eastAsia" w:ascii="宋体" w:hAnsi="宋体" w:cs="宋体"/>
          <w:sz w:val="24"/>
        </w:rPr>
        <w:t>须知前附表。</w:t>
      </w:r>
    </w:p>
    <w:p w14:paraId="366D9E7E">
      <w:pPr>
        <w:spacing w:line="360" w:lineRule="auto"/>
        <w:ind w:firstLine="480" w:firstLineChars="200"/>
        <w:rPr>
          <w:rFonts w:ascii="宋体" w:hAnsi="宋体" w:cs="宋体"/>
          <w:sz w:val="24"/>
        </w:rPr>
      </w:pPr>
      <w:r>
        <w:rPr>
          <w:rFonts w:hint="eastAsia" w:ascii="宋体" w:hAnsi="宋体" w:cs="宋体"/>
          <w:sz w:val="24"/>
        </w:rPr>
        <w:t>1.3.2 本项目的计划工期：见</w:t>
      </w:r>
      <w:r>
        <w:rPr>
          <w:rFonts w:hint="eastAsia" w:ascii="宋体" w:hAnsi="宋体" w:cs="宋体"/>
          <w:sz w:val="24"/>
          <w:lang w:eastAsia="zh-CN"/>
        </w:rPr>
        <w:t>供应商</w:t>
      </w:r>
      <w:r>
        <w:rPr>
          <w:rFonts w:hint="eastAsia" w:ascii="宋体" w:hAnsi="宋体" w:cs="宋体"/>
          <w:sz w:val="24"/>
        </w:rPr>
        <w:t>须知前附表。</w:t>
      </w:r>
    </w:p>
    <w:p w14:paraId="7D7E3D37">
      <w:pPr>
        <w:spacing w:line="450" w:lineRule="exact"/>
        <w:ind w:firstLine="480" w:firstLineChars="200"/>
        <w:rPr>
          <w:rFonts w:ascii="宋体" w:hAnsi="宋体" w:cs="宋体"/>
          <w:sz w:val="24"/>
        </w:rPr>
      </w:pPr>
      <w:r>
        <w:rPr>
          <w:rFonts w:hint="eastAsia" w:ascii="宋体" w:hAnsi="宋体" w:cs="宋体"/>
          <w:sz w:val="24"/>
        </w:rPr>
        <w:t>1.3.3 本项目的质量要求：见</w:t>
      </w:r>
      <w:r>
        <w:rPr>
          <w:rFonts w:hint="eastAsia" w:ascii="宋体" w:hAnsi="宋体" w:cs="宋体"/>
          <w:sz w:val="24"/>
          <w:lang w:eastAsia="zh-CN"/>
        </w:rPr>
        <w:t>供应商</w:t>
      </w:r>
      <w:r>
        <w:rPr>
          <w:rFonts w:hint="eastAsia" w:ascii="宋体" w:hAnsi="宋体" w:cs="宋体"/>
          <w:sz w:val="24"/>
        </w:rPr>
        <w:t>须知前附表。</w:t>
      </w:r>
    </w:p>
    <w:p w14:paraId="3DCB873B">
      <w:pPr>
        <w:spacing w:line="450" w:lineRule="exact"/>
        <w:ind w:firstLine="480" w:firstLineChars="200"/>
        <w:rPr>
          <w:rFonts w:ascii="宋体" w:hAnsi="宋体"/>
          <w:sz w:val="24"/>
        </w:rPr>
      </w:pPr>
      <w:r>
        <w:rPr>
          <w:rFonts w:hint="eastAsia" w:ascii="宋体" w:hAnsi="宋体"/>
          <w:sz w:val="24"/>
        </w:rPr>
        <w:t>1.3.4 本标段的工程保修期：见</w:t>
      </w:r>
      <w:r>
        <w:rPr>
          <w:rFonts w:hint="eastAsia" w:ascii="宋体" w:hAnsi="宋体"/>
          <w:sz w:val="24"/>
          <w:lang w:eastAsia="zh-CN"/>
        </w:rPr>
        <w:t>供应商</w:t>
      </w:r>
      <w:r>
        <w:rPr>
          <w:rFonts w:hint="eastAsia" w:ascii="宋体" w:hAnsi="宋体"/>
          <w:sz w:val="24"/>
        </w:rPr>
        <w:t>须知前附表。</w:t>
      </w:r>
    </w:p>
    <w:p w14:paraId="02C4896B">
      <w:pPr>
        <w:spacing w:line="450" w:lineRule="exact"/>
        <w:ind w:firstLine="480" w:firstLineChars="200"/>
        <w:rPr>
          <w:rFonts w:ascii="宋体" w:hAnsi="宋体"/>
          <w:sz w:val="24"/>
        </w:rPr>
      </w:pPr>
      <w:r>
        <w:rPr>
          <w:rFonts w:hint="eastAsia" w:ascii="宋体" w:hAnsi="宋体"/>
          <w:sz w:val="24"/>
        </w:rPr>
        <w:t>1.3.5本标段的</w:t>
      </w:r>
      <w:r>
        <w:rPr>
          <w:rFonts w:hint="eastAsia" w:ascii="宋体" w:hAnsi="宋体" w:cs="仿宋_GB2312"/>
          <w:kern w:val="0"/>
          <w:sz w:val="24"/>
        </w:rPr>
        <w:t>质量缺陷期：</w:t>
      </w:r>
      <w:r>
        <w:rPr>
          <w:rFonts w:hint="eastAsia" w:ascii="宋体" w:hAnsi="宋体"/>
          <w:sz w:val="24"/>
        </w:rPr>
        <w:t>见</w:t>
      </w:r>
      <w:r>
        <w:rPr>
          <w:rFonts w:hint="eastAsia" w:ascii="宋体" w:hAnsi="宋体"/>
          <w:sz w:val="24"/>
          <w:lang w:eastAsia="zh-CN"/>
        </w:rPr>
        <w:t>供应商</w:t>
      </w:r>
      <w:r>
        <w:rPr>
          <w:rFonts w:hint="eastAsia" w:ascii="宋体" w:hAnsi="宋体"/>
          <w:sz w:val="24"/>
        </w:rPr>
        <w:t>须知前附表。</w:t>
      </w:r>
    </w:p>
    <w:p w14:paraId="0C6E4866">
      <w:pPr>
        <w:spacing w:line="360" w:lineRule="auto"/>
        <w:ind w:firstLine="480" w:firstLineChars="200"/>
        <w:rPr>
          <w:rFonts w:ascii="宋体" w:hAnsi="宋体" w:cs="宋体"/>
          <w:sz w:val="24"/>
        </w:rPr>
      </w:pPr>
      <w:r>
        <w:rPr>
          <w:rFonts w:hint="eastAsia" w:ascii="宋体" w:hAnsi="宋体" w:cs="宋体"/>
          <w:sz w:val="24"/>
        </w:rPr>
        <w:t>1.3.6本项目的安全目标：见</w:t>
      </w:r>
      <w:r>
        <w:rPr>
          <w:rFonts w:hint="eastAsia" w:ascii="宋体" w:hAnsi="宋体" w:cs="宋体"/>
          <w:sz w:val="24"/>
          <w:lang w:eastAsia="zh-CN"/>
        </w:rPr>
        <w:t>供应商</w:t>
      </w:r>
      <w:r>
        <w:rPr>
          <w:rFonts w:hint="eastAsia" w:ascii="宋体" w:hAnsi="宋体" w:cs="宋体"/>
          <w:sz w:val="24"/>
        </w:rPr>
        <w:t>须知前附表</w:t>
      </w:r>
    </w:p>
    <w:p w14:paraId="26D3F7F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1.4 </w:t>
      </w:r>
      <w:r>
        <w:rPr>
          <w:rFonts w:hint="eastAsia" w:ascii="宋体" w:hAnsi="宋体" w:cs="宋体"/>
          <w:sz w:val="24"/>
          <w:szCs w:val="24"/>
          <w:lang w:eastAsia="zh-CN"/>
        </w:rPr>
        <w:t>供应商</w:t>
      </w:r>
      <w:r>
        <w:rPr>
          <w:rFonts w:hint="eastAsia" w:ascii="宋体" w:hAnsi="宋体" w:cs="宋体"/>
          <w:sz w:val="24"/>
          <w:szCs w:val="24"/>
        </w:rPr>
        <w:t>资格要求</w:t>
      </w:r>
    </w:p>
    <w:p w14:paraId="70AB9BE1">
      <w:pPr>
        <w:spacing w:line="360" w:lineRule="auto"/>
        <w:ind w:firstLine="480" w:firstLineChars="200"/>
        <w:rPr>
          <w:rFonts w:ascii="宋体" w:hAnsi="宋体" w:cs="宋体"/>
          <w:sz w:val="24"/>
        </w:rPr>
      </w:pPr>
      <w:r>
        <w:rPr>
          <w:rFonts w:hint="eastAsia" w:ascii="宋体" w:hAnsi="宋体" w:cs="宋体"/>
          <w:sz w:val="24"/>
        </w:rPr>
        <w:t xml:space="preserve">1.4.1 </w:t>
      </w:r>
      <w:r>
        <w:rPr>
          <w:rFonts w:hint="eastAsia" w:ascii="宋体" w:hAnsi="宋体" w:cs="宋体"/>
          <w:sz w:val="24"/>
          <w:lang w:eastAsia="zh-CN"/>
        </w:rPr>
        <w:t>供应商</w:t>
      </w:r>
      <w:r>
        <w:rPr>
          <w:rFonts w:hint="eastAsia" w:ascii="宋体" w:hAnsi="宋体" w:cs="宋体"/>
          <w:sz w:val="24"/>
        </w:rPr>
        <w:t>应具备承担本项目施工的资质条件、能力和信誉：见</w:t>
      </w:r>
      <w:r>
        <w:rPr>
          <w:rFonts w:hint="eastAsia" w:ascii="宋体" w:hAnsi="宋体" w:cs="宋体"/>
          <w:sz w:val="24"/>
          <w:lang w:eastAsia="zh-CN"/>
        </w:rPr>
        <w:t>供应商</w:t>
      </w:r>
      <w:r>
        <w:rPr>
          <w:rFonts w:hint="eastAsia" w:ascii="宋体" w:hAnsi="宋体" w:cs="宋体"/>
          <w:sz w:val="24"/>
        </w:rPr>
        <w:t>须知前附表。</w:t>
      </w:r>
    </w:p>
    <w:p w14:paraId="180670DF">
      <w:pPr>
        <w:spacing w:line="360" w:lineRule="auto"/>
        <w:ind w:firstLine="480" w:firstLineChars="200"/>
        <w:rPr>
          <w:rFonts w:ascii="宋体" w:hAnsi="宋体" w:cs="宋体"/>
          <w:sz w:val="24"/>
        </w:rPr>
      </w:pPr>
      <w:r>
        <w:rPr>
          <w:rFonts w:hint="eastAsia" w:ascii="宋体" w:hAnsi="宋体" w:cs="宋体"/>
          <w:sz w:val="24"/>
        </w:rPr>
        <w:t>1.4.2 本项目不接受联合体投标。</w:t>
      </w:r>
    </w:p>
    <w:p w14:paraId="3D8D3ADC">
      <w:pPr>
        <w:spacing w:line="360" w:lineRule="auto"/>
        <w:ind w:firstLine="480" w:firstLineChars="200"/>
        <w:rPr>
          <w:rFonts w:ascii="宋体" w:hAnsi="宋体" w:cs="宋体"/>
          <w:sz w:val="24"/>
        </w:rPr>
      </w:pPr>
      <w:r>
        <w:rPr>
          <w:rFonts w:hint="eastAsia" w:ascii="宋体" w:hAnsi="宋体" w:cs="宋体"/>
          <w:sz w:val="24"/>
        </w:rPr>
        <w:t xml:space="preserve">1.4.3 </w:t>
      </w:r>
      <w:r>
        <w:rPr>
          <w:rFonts w:hint="eastAsia" w:ascii="宋体" w:hAnsi="宋体" w:cs="宋体"/>
          <w:sz w:val="24"/>
          <w:lang w:eastAsia="zh-CN"/>
        </w:rPr>
        <w:t>供应商</w:t>
      </w:r>
      <w:r>
        <w:rPr>
          <w:rFonts w:hint="eastAsia" w:ascii="宋体" w:hAnsi="宋体" w:cs="宋体"/>
          <w:sz w:val="24"/>
        </w:rPr>
        <w:t>不得存在下列情形之一：</w:t>
      </w:r>
    </w:p>
    <w:p w14:paraId="24320F59">
      <w:pPr>
        <w:spacing w:line="360" w:lineRule="auto"/>
        <w:ind w:firstLine="480" w:firstLineChars="200"/>
        <w:rPr>
          <w:rFonts w:ascii="宋体" w:hAnsi="宋体" w:cs="宋体"/>
          <w:sz w:val="24"/>
        </w:rPr>
      </w:pPr>
      <w:r>
        <w:rPr>
          <w:rFonts w:hint="eastAsia" w:ascii="宋体" w:hAnsi="宋体" w:cs="宋体"/>
          <w:sz w:val="24"/>
        </w:rPr>
        <w:t>(l）为</w:t>
      </w:r>
      <w:r>
        <w:rPr>
          <w:rFonts w:hint="eastAsia" w:ascii="宋体" w:hAnsi="宋体" w:cs="宋体"/>
          <w:sz w:val="24"/>
          <w:lang w:eastAsia="zh-CN"/>
        </w:rPr>
        <w:t>采购人</w:t>
      </w:r>
      <w:r>
        <w:rPr>
          <w:rFonts w:hint="eastAsia" w:ascii="宋体" w:hAnsi="宋体" w:cs="宋体"/>
          <w:sz w:val="24"/>
        </w:rPr>
        <w:t xml:space="preserve">不具有独立法人资格的附属机构（单位）; </w:t>
      </w:r>
    </w:p>
    <w:p w14:paraId="05FB5128">
      <w:pPr>
        <w:spacing w:line="360" w:lineRule="auto"/>
        <w:ind w:firstLine="480" w:firstLineChars="200"/>
        <w:rPr>
          <w:rFonts w:ascii="宋体" w:hAnsi="宋体" w:cs="宋体"/>
          <w:sz w:val="24"/>
        </w:rPr>
      </w:pPr>
      <w:r>
        <w:rPr>
          <w:rFonts w:hint="eastAsia" w:ascii="宋体" w:hAnsi="宋体" w:cs="宋体"/>
          <w:sz w:val="24"/>
        </w:rPr>
        <w:t>(2）为本项目前期准备提供设计或咨询服务的，但设计施工总承包的除外；</w:t>
      </w:r>
    </w:p>
    <w:p w14:paraId="09BE40BC">
      <w:pPr>
        <w:spacing w:line="360" w:lineRule="auto"/>
        <w:ind w:firstLine="480" w:firstLineChars="200"/>
        <w:rPr>
          <w:rFonts w:ascii="宋体" w:hAnsi="宋体" w:cs="宋体"/>
          <w:sz w:val="24"/>
        </w:rPr>
      </w:pPr>
      <w:r>
        <w:rPr>
          <w:rFonts w:hint="eastAsia" w:ascii="宋体" w:hAnsi="宋体" w:cs="宋体"/>
          <w:sz w:val="24"/>
        </w:rPr>
        <w:t>(3）为本项目的监理人；</w:t>
      </w:r>
    </w:p>
    <w:p w14:paraId="79BF8CCE">
      <w:pPr>
        <w:spacing w:line="360" w:lineRule="auto"/>
        <w:ind w:firstLine="480" w:firstLineChars="200"/>
        <w:rPr>
          <w:rFonts w:ascii="宋体" w:hAnsi="宋体" w:cs="宋体"/>
          <w:sz w:val="24"/>
        </w:rPr>
      </w:pPr>
      <w:r>
        <w:rPr>
          <w:rFonts w:hint="eastAsia" w:ascii="宋体" w:hAnsi="宋体" w:cs="宋体"/>
          <w:sz w:val="24"/>
        </w:rPr>
        <w:t>(4）为本项目的代建人；</w:t>
      </w:r>
    </w:p>
    <w:p w14:paraId="2FCFF956">
      <w:pPr>
        <w:spacing w:line="360" w:lineRule="auto"/>
        <w:ind w:firstLine="480" w:firstLineChars="200"/>
        <w:rPr>
          <w:rFonts w:ascii="宋体" w:hAnsi="宋体" w:cs="宋体"/>
          <w:sz w:val="24"/>
        </w:rPr>
      </w:pPr>
      <w:r>
        <w:rPr>
          <w:rFonts w:hint="eastAsia" w:ascii="宋体" w:hAnsi="宋体" w:cs="宋体"/>
          <w:sz w:val="24"/>
        </w:rPr>
        <w:t>(5）为本项目提供招标代理服务的；</w:t>
      </w:r>
    </w:p>
    <w:p w14:paraId="6FE3B797">
      <w:pPr>
        <w:spacing w:line="360" w:lineRule="auto"/>
        <w:ind w:firstLine="480" w:firstLineChars="200"/>
        <w:rPr>
          <w:rFonts w:ascii="宋体" w:hAnsi="宋体" w:cs="宋体"/>
          <w:sz w:val="24"/>
        </w:rPr>
      </w:pPr>
      <w:r>
        <w:rPr>
          <w:rFonts w:hint="eastAsia" w:ascii="宋体" w:hAnsi="宋体" w:cs="宋体"/>
          <w:sz w:val="24"/>
        </w:rPr>
        <w:t>(6）与本项目的监理人或代建人或招标代理机构同为一个法定代表人的；</w:t>
      </w:r>
    </w:p>
    <w:p w14:paraId="583587B2">
      <w:pPr>
        <w:spacing w:line="360" w:lineRule="auto"/>
        <w:ind w:firstLine="480" w:firstLineChars="200"/>
        <w:rPr>
          <w:rFonts w:ascii="宋体" w:hAnsi="宋体" w:cs="宋体"/>
          <w:sz w:val="24"/>
        </w:rPr>
      </w:pPr>
      <w:r>
        <w:rPr>
          <w:rFonts w:hint="eastAsia" w:ascii="宋体" w:hAnsi="宋体" w:cs="宋体"/>
          <w:sz w:val="24"/>
        </w:rPr>
        <w:t>(7）与本项目的监理人或代建人或招标代理机构相互控股的；</w:t>
      </w:r>
    </w:p>
    <w:p w14:paraId="12C81D03">
      <w:pPr>
        <w:spacing w:line="360" w:lineRule="auto"/>
        <w:ind w:firstLine="480" w:firstLineChars="200"/>
        <w:rPr>
          <w:rFonts w:ascii="宋体" w:hAnsi="宋体" w:cs="宋体"/>
          <w:sz w:val="24"/>
        </w:rPr>
      </w:pPr>
      <w:r>
        <w:rPr>
          <w:rFonts w:hint="eastAsia" w:ascii="宋体" w:hAnsi="宋体" w:cs="宋体"/>
          <w:sz w:val="24"/>
        </w:rPr>
        <w:t>(8）与本项目的监理人或代建人或招标代理机构为同一实际控制人的；</w:t>
      </w:r>
    </w:p>
    <w:p w14:paraId="2E58860D">
      <w:pPr>
        <w:spacing w:line="360" w:lineRule="auto"/>
        <w:ind w:firstLine="480" w:firstLineChars="200"/>
        <w:rPr>
          <w:rFonts w:ascii="宋体" w:hAnsi="宋体" w:cs="宋体"/>
          <w:sz w:val="24"/>
        </w:rPr>
      </w:pPr>
      <w:r>
        <w:rPr>
          <w:rFonts w:hint="eastAsia" w:ascii="宋体" w:hAnsi="宋体" w:cs="宋体"/>
          <w:sz w:val="24"/>
        </w:rPr>
        <w:t>(9）被责令停业的；</w:t>
      </w:r>
    </w:p>
    <w:p w14:paraId="6C87258B">
      <w:pPr>
        <w:spacing w:line="360" w:lineRule="auto"/>
        <w:ind w:firstLine="480" w:firstLineChars="200"/>
        <w:rPr>
          <w:rFonts w:ascii="宋体" w:hAnsi="宋体" w:cs="宋体"/>
          <w:sz w:val="24"/>
        </w:rPr>
      </w:pPr>
      <w:r>
        <w:rPr>
          <w:rFonts w:hint="eastAsia" w:ascii="宋体" w:hAnsi="宋体" w:cs="宋体"/>
          <w:sz w:val="24"/>
        </w:rPr>
        <w:t>(10）被暂停或取消投标资格的；</w:t>
      </w:r>
    </w:p>
    <w:p w14:paraId="73CE78CC">
      <w:pPr>
        <w:spacing w:line="360" w:lineRule="auto"/>
        <w:ind w:firstLine="480" w:firstLineChars="200"/>
        <w:rPr>
          <w:rFonts w:ascii="宋体" w:hAnsi="宋体" w:cs="宋体"/>
          <w:sz w:val="24"/>
        </w:rPr>
      </w:pPr>
      <w:r>
        <w:rPr>
          <w:rFonts w:hint="eastAsia" w:ascii="宋体" w:hAnsi="宋体" w:cs="宋体"/>
          <w:sz w:val="24"/>
        </w:rPr>
        <w:t>(11）财产被接管或冻结的；</w:t>
      </w:r>
    </w:p>
    <w:p w14:paraId="0F06D447">
      <w:pPr>
        <w:spacing w:line="360" w:lineRule="auto"/>
        <w:ind w:firstLine="480" w:firstLineChars="200"/>
        <w:rPr>
          <w:rFonts w:ascii="宋体" w:hAnsi="宋体" w:cs="宋体"/>
          <w:sz w:val="24"/>
        </w:rPr>
      </w:pPr>
      <w:r>
        <w:rPr>
          <w:rFonts w:hint="eastAsia" w:ascii="宋体" w:hAnsi="宋体" w:cs="宋体"/>
          <w:sz w:val="24"/>
        </w:rPr>
        <w:t>(12）在最近三年内有骗取中标或严重违约或重大工程质量问题的。</w:t>
      </w:r>
    </w:p>
    <w:p w14:paraId="0D1D0C4D">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1.5 费用承担</w:t>
      </w:r>
    </w:p>
    <w:p w14:paraId="3AA6BD57">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准备和参加投标活动发生的费用自理。</w:t>
      </w:r>
    </w:p>
    <w:p w14:paraId="22FD213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1.6 保密</w:t>
      </w:r>
    </w:p>
    <w:p w14:paraId="3201C716">
      <w:pPr>
        <w:spacing w:line="360" w:lineRule="auto"/>
        <w:ind w:firstLine="480" w:firstLineChars="200"/>
        <w:rPr>
          <w:rFonts w:ascii="宋体" w:hAnsi="宋体" w:cs="宋体"/>
          <w:sz w:val="24"/>
        </w:rPr>
      </w:pPr>
      <w:r>
        <w:rPr>
          <w:rFonts w:hint="eastAsia" w:ascii="宋体" w:hAnsi="宋体" w:cs="宋体"/>
          <w:sz w:val="24"/>
        </w:rPr>
        <w:t>参与招标投标活动的各方应对</w:t>
      </w:r>
      <w:r>
        <w:rPr>
          <w:rFonts w:hint="eastAsia" w:ascii="宋体" w:hAnsi="宋体" w:cs="宋体"/>
          <w:sz w:val="24"/>
          <w:lang w:eastAsia="zh-CN"/>
        </w:rPr>
        <w:t>竞争性磋商文件</w:t>
      </w:r>
      <w:r>
        <w:rPr>
          <w:rFonts w:hint="eastAsia" w:ascii="宋体" w:hAnsi="宋体" w:cs="宋体"/>
          <w:sz w:val="24"/>
        </w:rPr>
        <w:t>和</w:t>
      </w:r>
      <w:r>
        <w:rPr>
          <w:rFonts w:hint="eastAsia" w:ascii="宋体" w:hAnsi="宋体" w:cs="宋体"/>
          <w:sz w:val="24"/>
          <w:lang w:eastAsia="zh-CN"/>
        </w:rPr>
        <w:t>响应文件</w:t>
      </w:r>
      <w:r>
        <w:rPr>
          <w:rFonts w:hint="eastAsia" w:ascii="宋体" w:hAnsi="宋体" w:cs="宋体"/>
          <w:sz w:val="24"/>
        </w:rPr>
        <w:t>中的商业和技术等秘密保密，违者应对由此造成的后果承担法律责任。</w:t>
      </w:r>
    </w:p>
    <w:p w14:paraId="2F304053">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1.7 语言文字</w:t>
      </w:r>
    </w:p>
    <w:p w14:paraId="21991863">
      <w:pPr>
        <w:spacing w:line="360" w:lineRule="auto"/>
        <w:ind w:firstLine="480" w:firstLineChars="200"/>
        <w:rPr>
          <w:rFonts w:ascii="宋体" w:hAnsi="宋体" w:cs="宋体"/>
          <w:sz w:val="24"/>
        </w:rPr>
      </w:pPr>
      <w:r>
        <w:rPr>
          <w:rFonts w:hint="eastAsia" w:ascii="宋体" w:hAnsi="宋体" w:cs="宋体"/>
          <w:sz w:val="24"/>
        </w:rPr>
        <w:t>除专用术语外，与招标投标有关的语言均使用中文。必要时专用术语应附有中文注释。</w:t>
      </w:r>
    </w:p>
    <w:p w14:paraId="152582B9">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1.8 计量单位</w:t>
      </w:r>
    </w:p>
    <w:p w14:paraId="7C8F79B8">
      <w:pPr>
        <w:spacing w:line="360" w:lineRule="auto"/>
        <w:ind w:firstLine="480" w:firstLineChars="200"/>
        <w:rPr>
          <w:rFonts w:ascii="宋体" w:hAnsi="宋体" w:cs="宋体"/>
          <w:sz w:val="24"/>
        </w:rPr>
      </w:pPr>
      <w:r>
        <w:rPr>
          <w:rFonts w:hint="eastAsia" w:ascii="宋体" w:hAnsi="宋体" w:cs="宋体"/>
          <w:sz w:val="24"/>
        </w:rPr>
        <w:t>所有计量均采用中华人民共和国法定计量单位。</w:t>
      </w:r>
    </w:p>
    <w:p w14:paraId="01351D7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1.9 踏勘现场</w:t>
      </w:r>
    </w:p>
    <w:p w14:paraId="63716D1C">
      <w:pPr>
        <w:spacing w:line="360" w:lineRule="auto"/>
        <w:ind w:firstLine="480" w:firstLineChars="200"/>
        <w:rPr>
          <w:rFonts w:ascii="宋体" w:hAnsi="宋体" w:cs="宋体"/>
          <w:sz w:val="24"/>
        </w:rPr>
      </w:pPr>
      <w:r>
        <w:rPr>
          <w:rFonts w:hint="eastAsia" w:ascii="宋体" w:hAnsi="宋体" w:cs="宋体"/>
          <w:sz w:val="24"/>
        </w:rPr>
        <w:t>不组织踏勘现场，请</w:t>
      </w:r>
      <w:r>
        <w:rPr>
          <w:rFonts w:hint="eastAsia" w:ascii="宋体" w:hAnsi="宋体" w:cs="宋体"/>
          <w:sz w:val="24"/>
          <w:lang w:eastAsia="zh-CN"/>
        </w:rPr>
        <w:t>供应商</w:t>
      </w:r>
      <w:r>
        <w:rPr>
          <w:rFonts w:hint="eastAsia" w:ascii="宋体" w:hAnsi="宋体" w:cs="宋体"/>
          <w:sz w:val="24"/>
        </w:rPr>
        <w:t>务必自行认真踏勘现场条件，一旦中标不得对现场条件提出额外要求和费用。</w:t>
      </w:r>
    </w:p>
    <w:p w14:paraId="44B9EB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1.10 投标预备会</w:t>
      </w:r>
    </w:p>
    <w:p w14:paraId="775E67B9">
      <w:pPr>
        <w:spacing w:line="450" w:lineRule="exact"/>
        <w:ind w:firstLine="480" w:firstLineChars="200"/>
        <w:rPr>
          <w:rFonts w:ascii="宋体" w:hAnsi="宋体"/>
          <w:sz w:val="24"/>
        </w:rPr>
      </w:pPr>
      <w:r>
        <w:rPr>
          <w:rFonts w:hint="eastAsia" w:ascii="宋体" w:hAnsi="宋体"/>
          <w:sz w:val="24"/>
        </w:rPr>
        <w:t xml:space="preserve">1.10.1 </w:t>
      </w:r>
      <w:r>
        <w:rPr>
          <w:rFonts w:hint="eastAsia" w:ascii="宋体" w:hAnsi="宋体"/>
          <w:sz w:val="24"/>
          <w:lang w:eastAsia="zh-CN"/>
        </w:rPr>
        <w:t>供应商</w:t>
      </w:r>
      <w:r>
        <w:rPr>
          <w:rFonts w:hint="eastAsia" w:ascii="宋体" w:hAnsi="宋体"/>
          <w:sz w:val="24"/>
        </w:rPr>
        <w:t>须知前附表规定召开投标预备会的，</w:t>
      </w:r>
      <w:r>
        <w:rPr>
          <w:rFonts w:hint="eastAsia" w:ascii="宋体" w:hAnsi="宋体"/>
          <w:sz w:val="24"/>
          <w:lang w:eastAsia="zh-CN"/>
        </w:rPr>
        <w:t>采购人</w:t>
      </w:r>
      <w:r>
        <w:rPr>
          <w:rFonts w:hint="eastAsia" w:ascii="宋体" w:hAnsi="宋体"/>
          <w:sz w:val="24"/>
        </w:rPr>
        <w:t>按</w:t>
      </w:r>
      <w:r>
        <w:rPr>
          <w:rFonts w:hint="eastAsia" w:ascii="宋体" w:hAnsi="宋体"/>
          <w:sz w:val="24"/>
          <w:lang w:eastAsia="zh-CN"/>
        </w:rPr>
        <w:t>供应商</w:t>
      </w:r>
      <w:r>
        <w:rPr>
          <w:rFonts w:hint="eastAsia" w:ascii="宋体" w:hAnsi="宋体"/>
          <w:sz w:val="24"/>
        </w:rPr>
        <w:t>须知前附表规定的时间和地点召开投标预备会，澄清</w:t>
      </w:r>
      <w:r>
        <w:rPr>
          <w:rFonts w:hint="eastAsia" w:ascii="宋体" w:hAnsi="宋体"/>
          <w:sz w:val="24"/>
          <w:lang w:eastAsia="zh-CN"/>
        </w:rPr>
        <w:t>供应商</w:t>
      </w:r>
      <w:r>
        <w:rPr>
          <w:rFonts w:hint="eastAsia" w:ascii="宋体" w:hAnsi="宋体"/>
          <w:sz w:val="24"/>
        </w:rPr>
        <w:t>提出的问题。</w:t>
      </w:r>
    </w:p>
    <w:p w14:paraId="7EEDFB11">
      <w:pPr>
        <w:spacing w:line="450" w:lineRule="exact"/>
        <w:ind w:firstLine="480" w:firstLineChars="200"/>
        <w:rPr>
          <w:rFonts w:ascii="宋体" w:hAnsi="宋体"/>
          <w:sz w:val="24"/>
        </w:rPr>
      </w:pPr>
      <w:r>
        <w:rPr>
          <w:rFonts w:hint="eastAsia" w:ascii="宋体" w:hAnsi="宋体"/>
          <w:sz w:val="24"/>
        </w:rPr>
        <w:t xml:space="preserve">1.10.2 </w:t>
      </w:r>
      <w:r>
        <w:rPr>
          <w:rFonts w:hint="eastAsia" w:ascii="宋体" w:hAnsi="宋体"/>
          <w:sz w:val="24"/>
          <w:lang w:eastAsia="zh-CN"/>
        </w:rPr>
        <w:t>供应商</w:t>
      </w:r>
      <w:r>
        <w:rPr>
          <w:rFonts w:hint="eastAsia" w:ascii="宋体" w:hAnsi="宋体"/>
          <w:sz w:val="24"/>
        </w:rPr>
        <w:t>应在</w:t>
      </w:r>
      <w:r>
        <w:rPr>
          <w:rFonts w:hint="eastAsia" w:ascii="宋体" w:hAnsi="宋体"/>
          <w:sz w:val="24"/>
          <w:lang w:eastAsia="zh-CN"/>
        </w:rPr>
        <w:t>供应商</w:t>
      </w:r>
      <w:r>
        <w:rPr>
          <w:rFonts w:hint="eastAsia" w:ascii="宋体" w:hAnsi="宋体"/>
          <w:sz w:val="24"/>
        </w:rPr>
        <w:t>须知前附表规定的时间前，以书面形式将提出的问题送达</w:t>
      </w:r>
      <w:r>
        <w:rPr>
          <w:rFonts w:hint="eastAsia" w:ascii="宋体" w:hAnsi="宋体"/>
          <w:sz w:val="24"/>
          <w:lang w:eastAsia="zh-CN"/>
        </w:rPr>
        <w:t>采购人</w:t>
      </w:r>
      <w:r>
        <w:rPr>
          <w:rFonts w:hint="eastAsia" w:ascii="宋体" w:hAnsi="宋体"/>
          <w:sz w:val="24"/>
        </w:rPr>
        <w:t>，以便</w:t>
      </w:r>
      <w:r>
        <w:rPr>
          <w:rFonts w:hint="eastAsia" w:ascii="宋体" w:hAnsi="宋体"/>
          <w:sz w:val="24"/>
          <w:lang w:eastAsia="zh-CN"/>
        </w:rPr>
        <w:t>采购人</w:t>
      </w:r>
      <w:r>
        <w:rPr>
          <w:rFonts w:hint="eastAsia" w:ascii="宋体" w:hAnsi="宋体"/>
          <w:sz w:val="24"/>
        </w:rPr>
        <w:t>在会议期间澄清。</w:t>
      </w:r>
    </w:p>
    <w:p w14:paraId="63954655">
      <w:pPr>
        <w:spacing w:line="450" w:lineRule="exact"/>
        <w:ind w:firstLine="480" w:firstLineChars="200"/>
        <w:rPr>
          <w:rFonts w:ascii="宋体" w:hAnsi="宋体"/>
          <w:sz w:val="24"/>
        </w:rPr>
      </w:pPr>
      <w:r>
        <w:rPr>
          <w:rFonts w:hint="eastAsia" w:ascii="宋体" w:hAnsi="宋体"/>
          <w:sz w:val="24"/>
        </w:rPr>
        <w:t>1.10.3 投标预备会后，</w:t>
      </w:r>
      <w:r>
        <w:rPr>
          <w:rFonts w:hint="eastAsia" w:ascii="宋体" w:hAnsi="宋体"/>
          <w:sz w:val="24"/>
          <w:lang w:eastAsia="zh-CN"/>
        </w:rPr>
        <w:t>采购人</w:t>
      </w:r>
      <w:r>
        <w:rPr>
          <w:rFonts w:hint="eastAsia" w:ascii="宋体" w:hAnsi="宋体"/>
          <w:sz w:val="24"/>
        </w:rPr>
        <w:t>在</w:t>
      </w:r>
      <w:r>
        <w:rPr>
          <w:rFonts w:hint="eastAsia" w:ascii="宋体" w:hAnsi="宋体"/>
          <w:sz w:val="24"/>
          <w:lang w:eastAsia="zh-CN"/>
        </w:rPr>
        <w:t>供应商</w:t>
      </w:r>
      <w:r>
        <w:rPr>
          <w:rFonts w:hint="eastAsia" w:ascii="宋体" w:hAnsi="宋体"/>
          <w:sz w:val="24"/>
        </w:rPr>
        <w:t>须知前附表规定的时间内，将对</w:t>
      </w:r>
      <w:r>
        <w:rPr>
          <w:rFonts w:hint="eastAsia" w:ascii="宋体" w:hAnsi="宋体"/>
          <w:sz w:val="24"/>
          <w:lang w:eastAsia="zh-CN"/>
        </w:rPr>
        <w:t>供应商</w:t>
      </w:r>
      <w:r>
        <w:rPr>
          <w:rFonts w:hint="eastAsia" w:ascii="宋体" w:hAnsi="宋体"/>
          <w:sz w:val="24"/>
        </w:rPr>
        <w:t>所提问颗的澄清，以网上公示形式在招标公告发布网站上发布。该澄清内容为</w:t>
      </w:r>
      <w:r>
        <w:rPr>
          <w:rFonts w:hint="eastAsia" w:ascii="宋体" w:hAnsi="宋体"/>
          <w:sz w:val="24"/>
          <w:lang w:eastAsia="zh-CN"/>
        </w:rPr>
        <w:t>竞争性磋商文件</w:t>
      </w:r>
      <w:r>
        <w:rPr>
          <w:rFonts w:hint="eastAsia" w:ascii="宋体" w:hAnsi="宋体"/>
          <w:sz w:val="24"/>
        </w:rPr>
        <w:t>的组成部分。</w:t>
      </w:r>
    </w:p>
    <w:p w14:paraId="285A114C">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1.11 分包</w:t>
      </w:r>
    </w:p>
    <w:p w14:paraId="1A16069F">
      <w:pPr>
        <w:spacing w:line="360" w:lineRule="auto"/>
        <w:ind w:firstLine="480" w:firstLineChars="200"/>
        <w:rPr>
          <w:rFonts w:ascii="宋体" w:hAnsi="宋体" w:cs="宋体"/>
          <w:sz w:val="24"/>
        </w:rPr>
      </w:pPr>
      <w:r>
        <w:rPr>
          <w:rFonts w:hint="eastAsia" w:ascii="宋体" w:hAnsi="宋体" w:cs="宋体"/>
          <w:sz w:val="24"/>
        </w:rPr>
        <w:t>不允许违法分包。</w:t>
      </w:r>
    </w:p>
    <w:p w14:paraId="4415EC0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1.12 偏离</w:t>
      </w:r>
    </w:p>
    <w:p w14:paraId="1B477203">
      <w:pPr>
        <w:spacing w:line="360" w:lineRule="auto"/>
        <w:ind w:firstLine="480" w:firstLineChars="200"/>
        <w:rPr>
          <w:rFonts w:ascii="宋体" w:hAnsi="宋体" w:cs="宋体"/>
          <w:sz w:val="24"/>
        </w:rPr>
      </w:pPr>
      <w:r>
        <w:rPr>
          <w:rFonts w:hint="eastAsia" w:ascii="宋体" w:hAnsi="宋体" w:cs="宋体"/>
          <w:sz w:val="24"/>
        </w:rPr>
        <w:t>允许正偏离。</w:t>
      </w:r>
    </w:p>
    <w:p w14:paraId="2987D1BF">
      <w:pPr>
        <w:pStyle w:val="5"/>
        <w:keepNext w:val="0"/>
        <w:keepLines w:val="0"/>
        <w:widowControl/>
        <w:ind w:firstLine="482" w:firstLineChars="200"/>
        <w:rPr>
          <w:rFonts w:hint="eastAsia" w:ascii="宋体" w:hAnsi="宋体" w:eastAsia="宋体" w:cs="宋体"/>
          <w:szCs w:val="24"/>
          <w:lang w:eastAsia="zh-CN"/>
        </w:rPr>
      </w:pPr>
      <w:bookmarkStart w:id="76" w:name="_Toc28568"/>
      <w:bookmarkEnd w:id="76"/>
      <w:bookmarkStart w:id="77" w:name="_Toc184635072"/>
      <w:bookmarkEnd w:id="77"/>
      <w:bookmarkStart w:id="78" w:name="_Toc2180"/>
      <w:bookmarkEnd w:id="78"/>
      <w:bookmarkStart w:id="79" w:name="_Toc13358"/>
      <w:bookmarkStart w:id="80" w:name="_Toc19240"/>
      <w:r>
        <w:rPr>
          <w:rFonts w:hint="eastAsia" w:ascii="宋体" w:hAnsi="宋体" w:cs="宋体"/>
        </w:rPr>
        <w:t>2．</w:t>
      </w:r>
      <w:bookmarkEnd w:id="79"/>
      <w:bookmarkEnd w:id="80"/>
      <w:r>
        <w:rPr>
          <w:rFonts w:hint="eastAsia" w:ascii="宋体" w:hAnsi="宋体" w:cs="宋体"/>
          <w:lang w:eastAsia="zh-CN"/>
        </w:rPr>
        <w:t>竞争性磋商文件</w:t>
      </w:r>
    </w:p>
    <w:p w14:paraId="73049D1B">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2.1 </w:t>
      </w:r>
      <w:r>
        <w:rPr>
          <w:rFonts w:hint="eastAsia" w:ascii="宋体" w:hAnsi="宋体" w:cs="宋体"/>
          <w:sz w:val="24"/>
          <w:szCs w:val="24"/>
          <w:lang w:eastAsia="zh-CN"/>
        </w:rPr>
        <w:t>竞争性磋商文件</w:t>
      </w:r>
      <w:r>
        <w:rPr>
          <w:rFonts w:hint="eastAsia" w:ascii="宋体" w:hAnsi="宋体" w:cs="宋体"/>
          <w:sz w:val="24"/>
          <w:szCs w:val="24"/>
        </w:rPr>
        <w:t>的组成</w:t>
      </w:r>
    </w:p>
    <w:p w14:paraId="4E8F3A06">
      <w:pPr>
        <w:spacing w:line="360" w:lineRule="auto"/>
        <w:ind w:firstLine="480" w:firstLineChars="200"/>
        <w:rPr>
          <w:rFonts w:ascii="宋体" w:hAnsi="宋体" w:cs="宋体"/>
          <w:sz w:val="24"/>
        </w:rPr>
      </w:pPr>
      <w:r>
        <w:rPr>
          <w:rFonts w:hint="eastAsia" w:ascii="宋体" w:hAnsi="宋体" w:cs="宋体"/>
          <w:sz w:val="24"/>
        </w:rPr>
        <w:t>本</w:t>
      </w:r>
      <w:r>
        <w:rPr>
          <w:rFonts w:hint="eastAsia" w:ascii="宋体" w:hAnsi="宋体" w:cs="宋体"/>
          <w:sz w:val="24"/>
          <w:lang w:eastAsia="zh-CN"/>
        </w:rPr>
        <w:t>竞争性磋商文件</w:t>
      </w:r>
      <w:r>
        <w:rPr>
          <w:rFonts w:hint="eastAsia" w:ascii="宋体" w:hAnsi="宋体" w:cs="宋体"/>
          <w:sz w:val="24"/>
        </w:rPr>
        <w:t>包括：</w:t>
      </w:r>
    </w:p>
    <w:p w14:paraId="2BBE17C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val="en-US" w:eastAsia="zh-CN"/>
        </w:rPr>
        <w:t>竞争性磋商</w:t>
      </w:r>
      <w:r>
        <w:rPr>
          <w:rFonts w:hint="eastAsia" w:ascii="宋体" w:hAnsi="宋体" w:cs="宋体"/>
          <w:sz w:val="24"/>
        </w:rPr>
        <w:t xml:space="preserve">公告 </w:t>
      </w:r>
    </w:p>
    <w:p w14:paraId="57DC4495">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供应商</w:t>
      </w:r>
      <w:r>
        <w:rPr>
          <w:rFonts w:hint="eastAsia" w:ascii="宋体" w:hAnsi="宋体" w:cs="宋体"/>
          <w:sz w:val="24"/>
        </w:rPr>
        <w:t>须知；</w:t>
      </w:r>
    </w:p>
    <w:p w14:paraId="34135B32">
      <w:pPr>
        <w:spacing w:line="360" w:lineRule="auto"/>
        <w:ind w:firstLine="480" w:firstLineChars="200"/>
        <w:rPr>
          <w:rFonts w:ascii="宋体" w:hAnsi="宋体" w:cs="宋体"/>
          <w:sz w:val="24"/>
        </w:rPr>
      </w:pPr>
      <w:r>
        <w:rPr>
          <w:rFonts w:hint="eastAsia" w:ascii="宋体" w:hAnsi="宋体" w:cs="宋体"/>
          <w:sz w:val="24"/>
        </w:rPr>
        <w:t>(3）招标控制价的编制依据；</w:t>
      </w:r>
    </w:p>
    <w:p w14:paraId="404F8ED2">
      <w:pPr>
        <w:spacing w:line="360" w:lineRule="auto"/>
        <w:ind w:firstLine="480" w:firstLineChars="200"/>
        <w:rPr>
          <w:rFonts w:ascii="宋体" w:hAnsi="宋体" w:cs="宋体"/>
          <w:sz w:val="24"/>
        </w:rPr>
      </w:pPr>
      <w:r>
        <w:rPr>
          <w:rFonts w:hint="eastAsia" w:ascii="宋体" w:hAnsi="宋体" w:cs="宋体"/>
          <w:sz w:val="24"/>
        </w:rPr>
        <w:t>(4）评标办法（综合评分法）；</w:t>
      </w:r>
    </w:p>
    <w:p w14:paraId="0567E5E1">
      <w:pPr>
        <w:spacing w:line="360" w:lineRule="auto"/>
        <w:ind w:firstLine="480" w:firstLineChars="200"/>
        <w:rPr>
          <w:rFonts w:ascii="宋体" w:hAnsi="宋体" w:cs="宋体"/>
          <w:sz w:val="24"/>
        </w:rPr>
      </w:pPr>
      <w:r>
        <w:rPr>
          <w:rFonts w:hint="eastAsia" w:ascii="宋体" w:hAnsi="宋体" w:cs="宋体"/>
          <w:sz w:val="24"/>
        </w:rPr>
        <w:t>(5）合同条款及格式；</w:t>
      </w:r>
    </w:p>
    <w:p w14:paraId="746D286A">
      <w:pPr>
        <w:spacing w:line="360" w:lineRule="auto"/>
        <w:ind w:firstLine="480" w:firstLineChars="200"/>
        <w:rPr>
          <w:rFonts w:ascii="宋体" w:hAnsi="宋体" w:cs="宋体"/>
          <w:sz w:val="24"/>
        </w:rPr>
      </w:pPr>
      <w:r>
        <w:rPr>
          <w:rFonts w:hint="eastAsia" w:ascii="宋体" w:hAnsi="宋体" w:cs="宋体"/>
          <w:sz w:val="24"/>
        </w:rPr>
        <w:t>(6）工程量清单；</w:t>
      </w:r>
    </w:p>
    <w:p w14:paraId="33A23E30">
      <w:pPr>
        <w:spacing w:line="360" w:lineRule="auto"/>
        <w:ind w:firstLine="480" w:firstLineChars="200"/>
        <w:rPr>
          <w:rFonts w:ascii="宋体" w:hAnsi="宋体" w:cs="宋体"/>
          <w:sz w:val="24"/>
        </w:rPr>
      </w:pPr>
      <w:r>
        <w:rPr>
          <w:rFonts w:hint="eastAsia" w:ascii="宋体" w:hAnsi="宋体" w:cs="宋体"/>
          <w:sz w:val="24"/>
        </w:rPr>
        <w:t>(7）技术标准和要求；</w:t>
      </w:r>
    </w:p>
    <w:p w14:paraId="292C0E20">
      <w:pPr>
        <w:spacing w:line="360" w:lineRule="auto"/>
        <w:ind w:firstLine="480" w:firstLineChars="200"/>
        <w:rPr>
          <w:rFonts w:ascii="宋体" w:hAnsi="宋体" w:cs="宋体"/>
          <w:sz w:val="24"/>
        </w:rPr>
      </w:pPr>
      <w:r>
        <w:rPr>
          <w:rFonts w:hint="eastAsia" w:ascii="宋体" w:hAnsi="宋体" w:cs="宋体"/>
          <w:sz w:val="24"/>
        </w:rPr>
        <w:t>(8）</w:t>
      </w:r>
      <w:r>
        <w:rPr>
          <w:rFonts w:hint="eastAsia" w:ascii="宋体" w:hAnsi="宋体" w:cs="宋体"/>
          <w:sz w:val="24"/>
          <w:lang w:eastAsia="zh-CN"/>
        </w:rPr>
        <w:t>响应文件</w:t>
      </w:r>
      <w:r>
        <w:rPr>
          <w:rFonts w:hint="eastAsia" w:ascii="宋体" w:hAnsi="宋体" w:cs="宋体"/>
          <w:sz w:val="24"/>
        </w:rPr>
        <w:t>格式；</w:t>
      </w:r>
    </w:p>
    <w:p w14:paraId="27A797C5">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w:t>
      </w:r>
    </w:p>
    <w:p w14:paraId="5ED7EE6E">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2.2 </w:t>
      </w:r>
      <w:r>
        <w:rPr>
          <w:rFonts w:hint="eastAsia" w:ascii="宋体" w:hAnsi="宋体" w:cs="宋体"/>
          <w:sz w:val="24"/>
          <w:szCs w:val="24"/>
          <w:lang w:eastAsia="zh-CN"/>
        </w:rPr>
        <w:t>竞争性磋商文件</w:t>
      </w:r>
      <w:r>
        <w:rPr>
          <w:rFonts w:hint="eastAsia" w:ascii="宋体" w:hAnsi="宋体" w:cs="宋体"/>
          <w:sz w:val="24"/>
          <w:szCs w:val="24"/>
        </w:rPr>
        <w:t>的澄清</w:t>
      </w:r>
    </w:p>
    <w:p w14:paraId="6B418DBB">
      <w:pPr>
        <w:spacing w:line="360" w:lineRule="auto"/>
        <w:ind w:firstLine="480" w:firstLineChars="200"/>
        <w:rPr>
          <w:rFonts w:ascii="宋体" w:hAnsi="宋体" w:cs="宋体"/>
          <w:sz w:val="24"/>
        </w:rPr>
      </w:pPr>
      <w:r>
        <w:rPr>
          <w:rFonts w:hint="eastAsia" w:ascii="宋体" w:hAnsi="宋体" w:cs="宋体"/>
          <w:sz w:val="24"/>
        </w:rPr>
        <w:t xml:space="preserve">2.2.1 </w:t>
      </w:r>
      <w:r>
        <w:rPr>
          <w:rFonts w:hint="eastAsia" w:ascii="宋体" w:hAnsi="宋体" w:cs="宋体"/>
          <w:sz w:val="24"/>
          <w:lang w:eastAsia="zh-CN"/>
        </w:rPr>
        <w:t>供应商</w:t>
      </w:r>
      <w:r>
        <w:rPr>
          <w:rFonts w:hint="eastAsia" w:ascii="宋体" w:hAnsi="宋体" w:cs="宋体"/>
          <w:sz w:val="24"/>
        </w:rPr>
        <w:t>应仔细阅读和检查</w:t>
      </w:r>
      <w:r>
        <w:rPr>
          <w:rFonts w:hint="eastAsia" w:ascii="宋体" w:hAnsi="宋体" w:cs="宋体"/>
          <w:sz w:val="24"/>
          <w:lang w:eastAsia="zh-CN"/>
        </w:rPr>
        <w:t>竞争性磋商文件</w:t>
      </w:r>
      <w:r>
        <w:rPr>
          <w:rFonts w:hint="eastAsia" w:ascii="宋体" w:hAnsi="宋体" w:cs="宋体"/>
          <w:sz w:val="24"/>
        </w:rPr>
        <w:t>的全部内容。如发现缺页或附件不全，应及时向</w:t>
      </w:r>
      <w:r>
        <w:rPr>
          <w:rFonts w:hint="eastAsia" w:ascii="宋体" w:hAnsi="宋体" w:cs="宋体"/>
          <w:sz w:val="24"/>
          <w:lang w:eastAsia="zh-CN"/>
        </w:rPr>
        <w:t>采购人</w:t>
      </w:r>
      <w:r>
        <w:rPr>
          <w:rFonts w:hint="eastAsia" w:ascii="宋体" w:hAnsi="宋体" w:cs="宋体"/>
          <w:sz w:val="24"/>
        </w:rPr>
        <w:t>提出，以便补齐。如有疑问，应在</w:t>
      </w:r>
      <w:r>
        <w:rPr>
          <w:rFonts w:hint="eastAsia" w:ascii="宋体" w:hAnsi="宋体" w:cs="宋体"/>
          <w:sz w:val="24"/>
          <w:lang w:eastAsia="zh-CN"/>
        </w:rPr>
        <w:t>供应商</w:t>
      </w:r>
      <w:r>
        <w:rPr>
          <w:rFonts w:hint="eastAsia" w:ascii="宋体" w:hAnsi="宋体" w:cs="宋体"/>
          <w:sz w:val="24"/>
        </w:rPr>
        <w:t>须知前附表规定的时间前将需澄清及答疑内容通过电子化交易系统（加盖单位公章）在答疑递交截止时间前提交至招标代理机构，要求</w:t>
      </w:r>
      <w:r>
        <w:rPr>
          <w:rFonts w:hint="eastAsia" w:ascii="宋体" w:hAnsi="宋体" w:cs="宋体"/>
          <w:sz w:val="24"/>
          <w:lang w:eastAsia="zh-CN"/>
        </w:rPr>
        <w:t>采购人</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予以澄清。</w:t>
      </w:r>
    </w:p>
    <w:p w14:paraId="34E1E5C5">
      <w:pPr>
        <w:spacing w:line="360" w:lineRule="auto"/>
        <w:ind w:firstLine="480" w:firstLineChars="200"/>
        <w:rPr>
          <w:rFonts w:ascii="宋体" w:hAnsi="宋体" w:cs="宋体"/>
          <w:sz w:val="24"/>
        </w:rPr>
      </w:pPr>
      <w:r>
        <w:rPr>
          <w:rFonts w:hint="eastAsia" w:ascii="宋体" w:hAnsi="宋体" w:cs="宋体"/>
          <w:sz w:val="24"/>
        </w:rPr>
        <w:t xml:space="preserve">2.2.2 </w:t>
      </w:r>
      <w:r>
        <w:rPr>
          <w:rFonts w:hint="eastAsia" w:ascii="宋体" w:hAnsi="宋体" w:cs="宋体"/>
          <w:sz w:val="24"/>
          <w:lang w:eastAsia="zh-CN"/>
        </w:rPr>
        <w:t>竞争性磋商文件</w:t>
      </w:r>
      <w:r>
        <w:rPr>
          <w:rFonts w:hint="eastAsia" w:ascii="宋体" w:hAnsi="宋体" w:cs="宋体"/>
          <w:sz w:val="24"/>
        </w:rPr>
        <w:t>的澄清通过电子化交易系统告知所有购买</w:t>
      </w:r>
      <w:r>
        <w:rPr>
          <w:rFonts w:hint="eastAsia" w:ascii="宋体" w:hAnsi="宋体" w:cs="宋体"/>
          <w:sz w:val="24"/>
          <w:lang w:eastAsia="zh-CN"/>
        </w:rPr>
        <w:t>竞争性磋商文件</w:t>
      </w:r>
      <w:r>
        <w:rPr>
          <w:rFonts w:hint="eastAsia" w:ascii="宋体" w:hAnsi="宋体" w:cs="宋体"/>
          <w:sz w:val="24"/>
        </w:rPr>
        <w:t>的</w:t>
      </w:r>
      <w:r>
        <w:rPr>
          <w:rFonts w:hint="eastAsia" w:ascii="宋体" w:hAnsi="宋体" w:cs="宋体"/>
          <w:sz w:val="24"/>
          <w:lang w:eastAsia="zh-CN"/>
        </w:rPr>
        <w:t>供应商</w:t>
      </w:r>
      <w:r>
        <w:rPr>
          <w:rFonts w:hint="eastAsia" w:ascii="宋体" w:hAnsi="宋体" w:cs="宋体"/>
          <w:sz w:val="24"/>
        </w:rPr>
        <w:t>，但不指明澄清问题的来源。澄清发出的时间距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编制的，将相应延长投标截止时间。</w:t>
      </w:r>
    </w:p>
    <w:p w14:paraId="0772C3DD">
      <w:pPr>
        <w:spacing w:line="360" w:lineRule="auto"/>
        <w:ind w:firstLine="480" w:firstLineChars="200"/>
        <w:rPr>
          <w:rFonts w:ascii="宋体" w:hAnsi="宋体" w:cs="宋体"/>
          <w:sz w:val="24"/>
        </w:rPr>
      </w:pPr>
      <w:r>
        <w:rPr>
          <w:rFonts w:hint="eastAsia" w:ascii="宋体" w:hAnsi="宋体" w:cs="宋体"/>
          <w:sz w:val="24"/>
        </w:rPr>
        <w:t>2.2.3因电子化交易平台在开标前具有保密性，</w:t>
      </w:r>
      <w:r>
        <w:rPr>
          <w:rFonts w:hint="eastAsia" w:ascii="宋体" w:hAnsi="宋体" w:cs="宋体"/>
          <w:sz w:val="24"/>
          <w:lang w:eastAsia="zh-CN"/>
        </w:rPr>
        <w:t>供应商</w:t>
      </w:r>
      <w:r>
        <w:rPr>
          <w:rFonts w:hint="eastAsia" w:ascii="宋体" w:hAnsi="宋体" w:cs="宋体"/>
          <w:sz w:val="24"/>
        </w:rPr>
        <w:t>应登录三门峡市公共资源交易系统自行查看澄清信息或在澄清公告发布相关网站（同招标公告发布媒介）自行查看</w:t>
      </w:r>
      <w:r>
        <w:rPr>
          <w:rFonts w:hint="eastAsia" w:ascii="宋体" w:hAnsi="宋体" w:cs="宋体"/>
          <w:sz w:val="24"/>
          <w:lang w:eastAsia="zh-CN"/>
        </w:rPr>
        <w:t>竞争性磋商文件</w:t>
      </w:r>
      <w:r>
        <w:rPr>
          <w:rFonts w:hint="eastAsia" w:ascii="宋体" w:hAnsi="宋体" w:cs="宋体"/>
          <w:sz w:val="24"/>
        </w:rPr>
        <w:t>澄清信息，因</w:t>
      </w:r>
      <w:r>
        <w:rPr>
          <w:rFonts w:hint="eastAsia" w:ascii="宋体" w:hAnsi="宋体" w:cs="宋体"/>
          <w:sz w:val="24"/>
          <w:lang w:eastAsia="zh-CN"/>
        </w:rPr>
        <w:t>供应商</w:t>
      </w:r>
      <w:r>
        <w:rPr>
          <w:rFonts w:hint="eastAsia" w:ascii="宋体" w:hAnsi="宋体" w:cs="宋体"/>
          <w:sz w:val="24"/>
        </w:rPr>
        <w:t>未及时查看而造成的后果自负。</w:t>
      </w:r>
    </w:p>
    <w:p w14:paraId="560F15D6">
      <w:pPr>
        <w:spacing w:line="360" w:lineRule="auto"/>
        <w:ind w:firstLine="480" w:firstLineChars="200"/>
        <w:rPr>
          <w:rFonts w:ascii="宋体" w:hAnsi="宋体" w:cs="宋体"/>
          <w:sz w:val="24"/>
        </w:rPr>
      </w:pPr>
      <w:r>
        <w:rPr>
          <w:rFonts w:hint="eastAsia" w:ascii="宋体" w:hAnsi="宋体" w:cs="宋体"/>
          <w:sz w:val="24"/>
        </w:rPr>
        <w:t>2.2.4如果在规定的时间内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须知、格式、条款、技术要求、澄清等所有要求，则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060F8401">
      <w:pPr>
        <w:spacing w:line="360" w:lineRule="auto"/>
        <w:ind w:firstLine="480" w:firstLineChars="200"/>
        <w:rPr>
          <w:rFonts w:ascii="宋体" w:hAnsi="宋体" w:cs="宋体"/>
          <w:sz w:val="24"/>
        </w:rPr>
      </w:pPr>
      <w:r>
        <w:rPr>
          <w:rFonts w:hint="eastAsia" w:ascii="宋体" w:hAnsi="宋体" w:cs="宋体"/>
          <w:sz w:val="24"/>
        </w:rPr>
        <w:t>2.2.5</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澄清的时间详见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的澄清文件在三门峡市公共资源交易系统以公告形式发布，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1DDA7C8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2.3 </w:t>
      </w:r>
      <w:r>
        <w:rPr>
          <w:rFonts w:hint="eastAsia" w:ascii="宋体" w:hAnsi="宋体" w:cs="宋体"/>
          <w:sz w:val="24"/>
          <w:szCs w:val="24"/>
          <w:lang w:eastAsia="zh-CN"/>
        </w:rPr>
        <w:t>竞争性磋商文件</w:t>
      </w:r>
      <w:r>
        <w:rPr>
          <w:rFonts w:hint="eastAsia" w:ascii="宋体" w:hAnsi="宋体" w:cs="宋体"/>
          <w:sz w:val="24"/>
          <w:szCs w:val="24"/>
        </w:rPr>
        <w:t>的修改</w:t>
      </w:r>
    </w:p>
    <w:p w14:paraId="2FF84619">
      <w:pPr>
        <w:spacing w:line="360" w:lineRule="auto"/>
        <w:ind w:firstLine="480" w:firstLineChars="200"/>
        <w:rPr>
          <w:rFonts w:ascii="宋体" w:hAnsi="宋体" w:cs="宋体"/>
          <w:sz w:val="24"/>
        </w:rPr>
      </w:pPr>
      <w:bookmarkStart w:id="81" w:name="_Toc936"/>
      <w:bookmarkEnd w:id="81"/>
      <w:bookmarkStart w:id="82" w:name="_Toc27113"/>
      <w:bookmarkEnd w:id="82"/>
      <w:bookmarkStart w:id="83" w:name="_Toc12617"/>
      <w:bookmarkEnd w:id="83"/>
      <w:bookmarkStart w:id="84" w:name="_Toc184635073"/>
      <w:r>
        <w:rPr>
          <w:rFonts w:hint="eastAsia" w:ascii="宋体" w:hAnsi="宋体" w:cs="宋体"/>
          <w:sz w:val="24"/>
        </w:rPr>
        <w:t xml:space="preserve">2.3.1 </w:t>
      </w:r>
      <w:r>
        <w:rPr>
          <w:rFonts w:hint="eastAsia" w:ascii="宋体" w:hAnsi="宋体" w:cs="宋体"/>
          <w:sz w:val="24"/>
          <w:lang w:eastAsia="zh-CN"/>
        </w:rPr>
        <w:t>采购人</w:t>
      </w:r>
      <w:r>
        <w:rPr>
          <w:rFonts w:hint="eastAsia" w:ascii="宋体" w:hAnsi="宋体" w:cs="宋体"/>
          <w:sz w:val="24"/>
        </w:rPr>
        <w:t>可以通过电子化交易系统澄清修改</w:t>
      </w:r>
      <w:r>
        <w:rPr>
          <w:rFonts w:hint="eastAsia" w:ascii="宋体" w:hAnsi="宋体" w:cs="宋体"/>
          <w:sz w:val="24"/>
          <w:lang w:eastAsia="zh-CN"/>
        </w:rPr>
        <w:t>竞争性磋商文件</w:t>
      </w:r>
      <w:r>
        <w:rPr>
          <w:rFonts w:hint="eastAsia" w:ascii="宋体" w:hAnsi="宋体" w:cs="宋体"/>
          <w:sz w:val="24"/>
        </w:rPr>
        <w:t>，澄清修改</w:t>
      </w:r>
      <w:r>
        <w:rPr>
          <w:rFonts w:hint="eastAsia" w:ascii="宋体" w:hAnsi="宋体" w:cs="宋体"/>
          <w:sz w:val="24"/>
          <w:lang w:eastAsia="zh-CN"/>
        </w:rPr>
        <w:t>竞争性磋商文件</w:t>
      </w:r>
      <w:r>
        <w:rPr>
          <w:rFonts w:hint="eastAsia" w:ascii="宋体" w:hAnsi="宋体" w:cs="宋体"/>
          <w:sz w:val="24"/>
        </w:rPr>
        <w:t>的时间距</w:t>
      </w:r>
      <w:r>
        <w:rPr>
          <w:rFonts w:hint="eastAsia" w:ascii="宋体" w:hAnsi="宋体" w:cs="宋体"/>
          <w:sz w:val="24"/>
          <w:lang w:eastAsia="zh-CN"/>
        </w:rPr>
        <w:t>供应商</w:t>
      </w:r>
      <w:r>
        <w:rPr>
          <w:rFonts w:hint="eastAsia" w:ascii="宋体" w:hAnsi="宋体" w:cs="宋体"/>
          <w:sz w:val="24"/>
        </w:rPr>
        <w:t>须知前附表规定的投标截止时间不足15日的，并且澄清内容影响</w:t>
      </w:r>
      <w:r>
        <w:rPr>
          <w:rFonts w:hint="eastAsia" w:ascii="宋体" w:hAnsi="宋体" w:cs="宋体"/>
          <w:sz w:val="24"/>
          <w:lang w:eastAsia="zh-CN"/>
        </w:rPr>
        <w:t>响应文件</w:t>
      </w:r>
      <w:r>
        <w:rPr>
          <w:rFonts w:hint="eastAsia" w:ascii="宋体" w:hAnsi="宋体" w:cs="宋体"/>
          <w:sz w:val="24"/>
        </w:rPr>
        <w:t xml:space="preserve">编制的，将相应延长投标截止时间。 </w:t>
      </w:r>
      <w:bookmarkEnd w:id="84"/>
    </w:p>
    <w:p w14:paraId="126DF85F">
      <w:pPr>
        <w:spacing w:line="360" w:lineRule="auto"/>
        <w:ind w:firstLine="480" w:firstLineChars="200"/>
        <w:rPr>
          <w:rFonts w:ascii="宋体" w:hAnsi="宋体" w:cs="宋体"/>
          <w:sz w:val="24"/>
        </w:rPr>
      </w:pPr>
      <w:r>
        <w:rPr>
          <w:rFonts w:hint="eastAsia" w:ascii="宋体" w:hAnsi="宋体" w:cs="宋体"/>
          <w:sz w:val="24"/>
        </w:rPr>
        <w:t xml:space="preserve">2.3.2 </w:t>
      </w:r>
      <w:r>
        <w:rPr>
          <w:rFonts w:hint="eastAsia" w:ascii="宋体" w:hAnsi="宋体" w:cs="宋体"/>
          <w:sz w:val="24"/>
          <w:lang w:eastAsia="zh-CN"/>
        </w:rPr>
        <w:t>竞争性磋商文件</w:t>
      </w:r>
      <w:r>
        <w:rPr>
          <w:rFonts w:hint="eastAsia" w:ascii="宋体" w:hAnsi="宋体" w:cs="宋体"/>
          <w:sz w:val="24"/>
        </w:rPr>
        <w:t>的澄清修改内容作为</w:t>
      </w:r>
      <w:r>
        <w:rPr>
          <w:rFonts w:hint="eastAsia" w:ascii="宋体" w:hAnsi="宋体" w:cs="宋体"/>
          <w:sz w:val="24"/>
          <w:lang w:eastAsia="zh-CN"/>
        </w:rPr>
        <w:t>竞争性磋商文件</w:t>
      </w:r>
      <w:r>
        <w:rPr>
          <w:rFonts w:hint="eastAsia" w:ascii="宋体" w:hAnsi="宋体" w:cs="宋体"/>
          <w:sz w:val="24"/>
        </w:rPr>
        <w:t>的组成部分，对</w:t>
      </w:r>
      <w:r>
        <w:rPr>
          <w:rFonts w:hint="eastAsia" w:ascii="宋体" w:hAnsi="宋体" w:cs="宋体"/>
          <w:sz w:val="24"/>
          <w:lang w:eastAsia="zh-CN"/>
        </w:rPr>
        <w:t>供应商</w:t>
      </w:r>
      <w:r>
        <w:rPr>
          <w:rFonts w:hint="eastAsia" w:ascii="宋体" w:hAnsi="宋体" w:cs="宋体"/>
          <w:sz w:val="24"/>
        </w:rPr>
        <w:t>和</w:t>
      </w:r>
      <w:r>
        <w:rPr>
          <w:rFonts w:hint="eastAsia" w:ascii="宋体" w:hAnsi="宋体" w:cs="宋体"/>
          <w:sz w:val="24"/>
          <w:lang w:eastAsia="zh-CN"/>
        </w:rPr>
        <w:t>采购人</w:t>
      </w:r>
      <w:r>
        <w:rPr>
          <w:rFonts w:hint="eastAsia" w:ascii="宋体" w:hAnsi="宋体" w:cs="宋体"/>
          <w:sz w:val="24"/>
        </w:rPr>
        <w:t>均具有约束作用。如果在规定的时间内</w:t>
      </w:r>
      <w:r>
        <w:rPr>
          <w:rFonts w:hint="eastAsia" w:ascii="宋体" w:hAnsi="宋体" w:cs="宋体"/>
          <w:sz w:val="24"/>
          <w:lang w:eastAsia="zh-CN"/>
        </w:rPr>
        <w:t>供应商</w:t>
      </w:r>
      <w:r>
        <w:rPr>
          <w:rFonts w:hint="eastAsia" w:ascii="宋体" w:hAnsi="宋体" w:cs="宋体"/>
          <w:sz w:val="24"/>
        </w:rPr>
        <w:t>未提出疑问，将视为</w:t>
      </w:r>
      <w:r>
        <w:rPr>
          <w:rFonts w:hint="eastAsia" w:ascii="宋体" w:hAnsi="宋体" w:cs="宋体"/>
          <w:sz w:val="24"/>
          <w:lang w:eastAsia="zh-CN"/>
        </w:rPr>
        <w:t>供应商</w:t>
      </w:r>
      <w:r>
        <w:rPr>
          <w:rFonts w:hint="eastAsia" w:ascii="宋体" w:hAnsi="宋体" w:cs="宋体"/>
          <w:sz w:val="24"/>
        </w:rPr>
        <w:t>完全理解并接受</w:t>
      </w:r>
      <w:r>
        <w:rPr>
          <w:rFonts w:hint="eastAsia" w:ascii="宋体" w:hAnsi="宋体" w:cs="宋体"/>
          <w:sz w:val="24"/>
          <w:lang w:eastAsia="zh-CN"/>
        </w:rPr>
        <w:t>竞争性磋商文件</w:t>
      </w:r>
      <w:r>
        <w:rPr>
          <w:rFonts w:hint="eastAsia" w:ascii="宋体" w:hAnsi="宋体" w:cs="宋体"/>
          <w:sz w:val="24"/>
        </w:rPr>
        <w:t>中的资格要求、</w:t>
      </w:r>
      <w:r>
        <w:rPr>
          <w:rFonts w:hint="eastAsia" w:ascii="宋体" w:hAnsi="宋体" w:cs="宋体"/>
          <w:sz w:val="24"/>
          <w:lang w:eastAsia="zh-CN"/>
        </w:rPr>
        <w:t>供应商</w:t>
      </w:r>
      <w:r>
        <w:rPr>
          <w:rFonts w:hint="eastAsia" w:ascii="宋体" w:hAnsi="宋体" w:cs="宋体"/>
          <w:sz w:val="24"/>
        </w:rPr>
        <w:t>须知、格式、条款、技术标准、修改等所有要求，则</w:t>
      </w:r>
      <w:r>
        <w:rPr>
          <w:rFonts w:hint="eastAsia" w:ascii="宋体" w:hAnsi="宋体" w:cs="宋体"/>
          <w:sz w:val="24"/>
          <w:lang w:eastAsia="zh-CN"/>
        </w:rPr>
        <w:t>供应商</w:t>
      </w:r>
      <w:r>
        <w:rPr>
          <w:rFonts w:hint="eastAsia" w:ascii="宋体" w:hAnsi="宋体" w:cs="宋体"/>
          <w:sz w:val="24"/>
        </w:rPr>
        <w:t>应按照</w:t>
      </w:r>
      <w:r>
        <w:rPr>
          <w:rFonts w:hint="eastAsia" w:ascii="宋体" w:hAnsi="宋体" w:cs="宋体"/>
          <w:sz w:val="24"/>
          <w:lang w:eastAsia="zh-CN"/>
        </w:rPr>
        <w:t>竞争性磋商文件</w:t>
      </w:r>
      <w:r>
        <w:rPr>
          <w:rFonts w:hint="eastAsia" w:ascii="宋体" w:hAnsi="宋体" w:cs="宋体"/>
          <w:sz w:val="24"/>
        </w:rPr>
        <w:t>相应要求的要求提交有关资料和文件。</w:t>
      </w:r>
    </w:p>
    <w:p w14:paraId="68A985BB">
      <w:pPr>
        <w:spacing w:line="360" w:lineRule="auto"/>
        <w:ind w:firstLine="480" w:firstLineChars="200"/>
        <w:rPr>
          <w:rFonts w:ascii="宋体" w:hAnsi="宋体" w:cs="宋体"/>
          <w:sz w:val="24"/>
        </w:rPr>
      </w:pPr>
      <w:r>
        <w:rPr>
          <w:rFonts w:hint="eastAsia" w:ascii="宋体" w:hAnsi="宋体" w:cs="宋体"/>
          <w:sz w:val="24"/>
        </w:rPr>
        <w:t>2.3.3</w:t>
      </w:r>
      <w:r>
        <w:rPr>
          <w:rFonts w:hint="eastAsia" w:ascii="宋体" w:hAnsi="宋体" w:cs="宋体"/>
          <w:sz w:val="24"/>
          <w:lang w:eastAsia="zh-CN"/>
        </w:rPr>
        <w:t>供应商</w:t>
      </w:r>
      <w:r>
        <w:rPr>
          <w:rFonts w:hint="eastAsia" w:ascii="宋体" w:hAnsi="宋体" w:cs="宋体"/>
          <w:sz w:val="24"/>
        </w:rPr>
        <w:t>确认收到</w:t>
      </w:r>
      <w:r>
        <w:rPr>
          <w:rFonts w:hint="eastAsia" w:ascii="宋体" w:hAnsi="宋体" w:cs="宋体"/>
          <w:sz w:val="24"/>
          <w:lang w:eastAsia="zh-CN"/>
        </w:rPr>
        <w:t>竞争性磋商文件</w:t>
      </w:r>
      <w:r>
        <w:rPr>
          <w:rFonts w:hint="eastAsia" w:ascii="宋体" w:hAnsi="宋体" w:cs="宋体"/>
          <w:sz w:val="24"/>
        </w:rPr>
        <w:t>修改的时间详见</w:t>
      </w:r>
      <w:r>
        <w:rPr>
          <w:rFonts w:hint="eastAsia" w:ascii="宋体" w:hAnsi="宋体" w:cs="宋体"/>
          <w:sz w:val="24"/>
          <w:lang w:eastAsia="zh-CN"/>
        </w:rPr>
        <w:t>供应商</w:t>
      </w:r>
      <w:r>
        <w:rPr>
          <w:rFonts w:hint="eastAsia" w:ascii="宋体" w:hAnsi="宋体" w:cs="宋体"/>
          <w:sz w:val="24"/>
        </w:rPr>
        <w:t>须知前附表。</w:t>
      </w:r>
      <w:r>
        <w:rPr>
          <w:rFonts w:hint="eastAsia" w:ascii="宋体" w:hAnsi="宋体" w:cs="宋体"/>
          <w:sz w:val="24"/>
          <w:lang w:eastAsia="zh-CN"/>
        </w:rPr>
        <w:t>竞争性磋商文件</w:t>
      </w:r>
      <w:r>
        <w:rPr>
          <w:rFonts w:hint="eastAsia" w:ascii="宋体" w:hAnsi="宋体" w:cs="宋体"/>
          <w:sz w:val="24"/>
        </w:rPr>
        <w:t>的修改文件在三门峡市公共资源交易系统以公告形式发布，</w:t>
      </w:r>
      <w:r>
        <w:rPr>
          <w:rFonts w:hint="eastAsia" w:ascii="宋体" w:hAnsi="宋体" w:cs="宋体"/>
          <w:sz w:val="24"/>
          <w:lang w:eastAsia="zh-CN"/>
        </w:rPr>
        <w:t>供应商</w:t>
      </w:r>
      <w:r>
        <w:rPr>
          <w:rFonts w:hint="eastAsia" w:ascii="宋体" w:hAnsi="宋体" w:cs="宋体"/>
          <w:sz w:val="24"/>
        </w:rPr>
        <w:t>应自行查看或下载。</w:t>
      </w:r>
    </w:p>
    <w:p w14:paraId="0392D808">
      <w:pPr>
        <w:spacing w:line="360" w:lineRule="auto"/>
        <w:ind w:firstLine="480" w:firstLineChars="200"/>
        <w:rPr>
          <w:rFonts w:ascii="宋体" w:hAnsi="宋体" w:cs="宋体"/>
          <w:sz w:val="24"/>
        </w:rPr>
      </w:pPr>
      <w:r>
        <w:rPr>
          <w:rFonts w:hint="eastAsia" w:ascii="宋体" w:hAnsi="宋体" w:cs="宋体"/>
          <w:sz w:val="24"/>
        </w:rPr>
        <w:t>2.3.4</w:t>
      </w:r>
      <w:r>
        <w:rPr>
          <w:rFonts w:hint="eastAsia" w:ascii="宋体" w:hAnsi="宋体" w:cs="宋体"/>
          <w:sz w:val="24"/>
          <w:lang w:eastAsia="zh-CN"/>
        </w:rPr>
        <w:t>竞争性磋商文件</w:t>
      </w:r>
      <w:r>
        <w:rPr>
          <w:rFonts w:hint="eastAsia" w:ascii="宋体" w:hAnsi="宋体" w:cs="宋体"/>
          <w:sz w:val="24"/>
        </w:rPr>
        <w:t>的澄清、修改、补充等内容均通过电子化交易系统明确的内容为准。当</w:t>
      </w:r>
      <w:r>
        <w:rPr>
          <w:rFonts w:hint="eastAsia" w:ascii="宋体" w:hAnsi="宋体" w:cs="宋体"/>
          <w:sz w:val="24"/>
          <w:lang w:eastAsia="zh-CN"/>
        </w:rPr>
        <w:t>竞争性磋商文件</w:t>
      </w:r>
      <w:r>
        <w:rPr>
          <w:rFonts w:hint="eastAsia" w:ascii="宋体" w:hAnsi="宋体" w:cs="宋体"/>
          <w:sz w:val="24"/>
        </w:rPr>
        <w:t>的澄清、修改、补充等在同一内容的表述不一致时，以最后发出的文件为准。</w:t>
      </w:r>
      <w:r>
        <w:rPr>
          <w:rFonts w:hint="eastAsia" w:ascii="宋体" w:hAnsi="宋体" w:cs="宋体"/>
          <w:sz w:val="24"/>
          <w:lang w:eastAsia="zh-CN"/>
        </w:rPr>
        <w:t>供应商</w:t>
      </w:r>
      <w:r>
        <w:rPr>
          <w:rFonts w:hint="eastAsia" w:ascii="宋体" w:hAnsi="宋体" w:cs="宋体"/>
          <w:sz w:val="24"/>
        </w:rPr>
        <w:t>对</w:t>
      </w:r>
      <w:r>
        <w:rPr>
          <w:rFonts w:hint="eastAsia" w:ascii="宋体" w:hAnsi="宋体" w:cs="宋体"/>
          <w:sz w:val="24"/>
          <w:lang w:eastAsia="zh-CN"/>
        </w:rPr>
        <w:t>竞争性磋商文件</w:t>
      </w:r>
      <w:r>
        <w:rPr>
          <w:rFonts w:hint="eastAsia" w:ascii="宋体" w:hAnsi="宋体" w:cs="宋体"/>
          <w:sz w:val="24"/>
        </w:rPr>
        <w:t>的任何推论和误解所造成的后果，均有</w:t>
      </w:r>
      <w:r>
        <w:rPr>
          <w:rFonts w:hint="eastAsia" w:ascii="宋体" w:hAnsi="宋体" w:cs="宋体"/>
          <w:sz w:val="24"/>
          <w:lang w:eastAsia="zh-CN"/>
        </w:rPr>
        <w:t>供应商</w:t>
      </w:r>
      <w:r>
        <w:rPr>
          <w:rFonts w:hint="eastAsia" w:ascii="宋体" w:hAnsi="宋体" w:cs="宋体"/>
          <w:sz w:val="24"/>
        </w:rPr>
        <w:t>承担。</w:t>
      </w:r>
    </w:p>
    <w:p w14:paraId="2696C802">
      <w:pPr>
        <w:spacing w:line="360" w:lineRule="auto"/>
        <w:ind w:firstLine="480" w:firstLineChars="200"/>
        <w:rPr>
          <w:rFonts w:ascii="宋体" w:hAnsi="宋体" w:cs="宋体"/>
          <w:sz w:val="24"/>
        </w:rPr>
      </w:pPr>
      <w:r>
        <w:rPr>
          <w:rFonts w:hint="eastAsia" w:ascii="宋体" w:hAnsi="宋体" w:cs="宋体"/>
          <w:sz w:val="24"/>
        </w:rPr>
        <w:t>根据本章第2.3.2款和第2.3.3款对</w:t>
      </w:r>
      <w:r>
        <w:rPr>
          <w:rFonts w:hint="eastAsia" w:ascii="宋体" w:hAnsi="宋体" w:cs="宋体"/>
          <w:sz w:val="24"/>
          <w:lang w:eastAsia="zh-CN"/>
        </w:rPr>
        <w:t>竞争性磋商文件</w:t>
      </w:r>
      <w:r>
        <w:rPr>
          <w:rFonts w:hint="eastAsia" w:ascii="宋体" w:hAnsi="宋体" w:cs="宋体"/>
          <w:sz w:val="24"/>
        </w:rPr>
        <w:t>所作的澄清、修改，构成</w:t>
      </w:r>
      <w:r>
        <w:rPr>
          <w:rFonts w:hint="eastAsia" w:ascii="宋体" w:hAnsi="宋体" w:cs="宋体"/>
          <w:sz w:val="24"/>
          <w:lang w:eastAsia="zh-CN"/>
        </w:rPr>
        <w:t>竞争性磋商文件</w:t>
      </w:r>
      <w:r>
        <w:rPr>
          <w:rFonts w:hint="eastAsia" w:ascii="宋体" w:hAnsi="宋体" w:cs="宋体"/>
          <w:sz w:val="24"/>
        </w:rPr>
        <w:t>的组成部分。上述所列内容均以书面文件（或网上发布的电子文件）为准，</w:t>
      </w:r>
      <w:r>
        <w:rPr>
          <w:rFonts w:hint="eastAsia" w:ascii="宋体" w:hAnsi="宋体" w:cs="宋体"/>
          <w:sz w:val="24"/>
          <w:lang w:eastAsia="zh-CN"/>
        </w:rPr>
        <w:t>采购人</w:t>
      </w:r>
      <w:r>
        <w:rPr>
          <w:rFonts w:hint="eastAsia" w:ascii="宋体" w:hAnsi="宋体" w:cs="宋体"/>
          <w:sz w:val="24"/>
        </w:rPr>
        <w:t>（招标代理机构）的任何工作人员对</w:t>
      </w:r>
      <w:r>
        <w:rPr>
          <w:rFonts w:hint="eastAsia" w:ascii="宋体" w:hAnsi="宋体" w:cs="宋体"/>
          <w:sz w:val="24"/>
          <w:lang w:eastAsia="zh-CN"/>
        </w:rPr>
        <w:t>供应商</w:t>
      </w:r>
      <w:r>
        <w:rPr>
          <w:rFonts w:hint="eastAsia" w:ascii="宋体" w:hAnsi="宋体" w:cs="宋体"/>
          <w:sz w:val="24"/>
        </w:rPr>
        <w:t>所作的任何口头解释、介绍、答复，对</w:t>
      </w:r>
      <w:r>
        <w:rPr>
          <w:rFonts w:hint="eastAsia" w:ascii="宋体" w:hAnsi="宋体" w:cs="宋体"/>
          <w:sz w:val="24"/>
          <w:lang w:eastAsia="zh-CN"/>
        </w:rPr>
        <w:t>采购人</w:t>
      </w:r>
      <w:r>
        <w:rPr>
          <w:rFonts w:hint="eastAsia" w:ascii="宋体" w:hAnsi="宋体" w:cs="宋体"/>
          <w:sz w:val="24"/>
        </w:rPr>
        <w:t>和</w:t>
      </w:r>
      <w:r>
        <w:rPr>
          <w:rFonts w:hint="eastAsia" w:ascii="宋体" w:hAnsi="宋体" w:cs="宋体"/>
          <w:sz w:val="24"/>
          <w:lang w:eastAsia="zh-CN"/>
        </w:rPr>
        <w:t>供应商</w:t>
      </w:r>
      <w:r>
        <w:rPr>
          <w:rFonts w:hint="eastAsia" w:ascii="宋体" w:hAnsi="宋体" w:cs="宋体"/>
          <w:sz w:val="24"/>
        </w:rPr>
        <w:t>无任何约束力。</w:t>
      </w:r>
      <w:r>
        <w:rPr>
          <w:rFonts w:hint="eastAsia" w:ascii="宋体" w:hAnsi="宋体" w:cs="宋体"/>
          <w:sz w:val="24"/>
          <w:lang w:eastAsia="zh-CN"/>
        </w:rPr>
        <w:t>供应商</w:t>
      </w:r>
      <w:r>
        <w:rPr>
          <w:rFonts w:hint="eastAsia" w:ascii="宋体" w:hAnsi="宋体" w:cs="宋体"/>
          <w:sz w:val="24"/>
        </w:rPr>
        <w:t>应按照公告要求的时间请登陆三门峡市公共资源交易中心下载</w:t>
      </w:r>
      <w:r>
        <w:rPr>
          <w:rFonts w:hint="eastAsia" w:ascii="宋体" w:hAnsi="宋体" w:cs="宋体"/>
          <w:sz w:val="24"/>
          <w:lang w:eastAsia="zh-CN"/>
        </w:rPr>
        <w:t>竞争性磋商文件</w:t>
      </w:r>
      <w:r>
        <w:rPr>
          <w:rFonts w:hint="eastAsia" w:ascii="宋体" w:hAnsi="宋体" w:cs="宋体"/>
          <w:sz w:val="24"/>
        </w:rPr>
        <w:t>（含清单、图纸电子文件）、招标答疑文件等资料。并仔细检查</w:t>
      </w:r>
      <w:r>
        <w:rPr>
          <w:rFonts w:hint="eastAsia" w:ascii="宋体" w:hAnsi="宋体" w:cs="宋体"/>
          <w:sz w:val="24"/>
          <w:lang w:eastAsia="zh-CN"/>
        </w:rPr>
        <w:t>竞争性磋商文件</w:t>
      </w:r>
      <w:r>
        <w:rPr>
          <w:rFonts w:hint="eastAsia" w:ascii="宋体" w:hAnsi="宋体" w:cs="宋体"/>
          <w:sz w:val="24"/>
        </w:rPr>
        <w:t>的所有内容，如有残缺等问题应在收到</w:t>
      </w:r>
      <w:r>
        <w:rPr>
          <w:rFonts w:hint="eastAsia" w:ascii="宋体" w:hAnsi="宋体" w:cs="宋体"/>
          <w:sz w:val="24"/>
          <w:lang w:eastAsia="zh-CN"/>
        </w:rPr>
        <w:t>竞争性磋商文件</w:t>
      </w:r>
      <w:r>
        <w:rPr>
          <w:rFonts w:hint="eastAsia" w:ascii="宋体" w:hAnsi="宋体" w:cs="宋体"/>
          <w:sz w:val="24"/>
        </w:rPr>
        <w:t>10日内向</w:t>
      </w:r>
      <w:r>
        <w:rPr>
          <w:rFonts w:hint="eastAsia" w:ascii="宋体" w:hAnsi="宋体" w:cs="宋体"/>
          <w:sz w:val="24"/>
          <w:lang w:eastAsia="zh-CN"/>
        </w:rPr>
        <w:t>采购人</w:t>
      </w:r>
      <w:r>
        <w:rPr>
          <w:rFonts w:hint="eastAsia" w:ascii="宋体" w:hAnsi="宋体" w:cs="宋体"/>
          <w:sz w:val="24"/>
        </w:rPr>
        <w:t>提出，否则，由此引起的损失由</w:t>
      </w:r>
      <w:r>
        <w:rPr>
          <w:rFonts w:hint="eastAsia" w:ascii="宋体" w:hAnsi="宋体" w:cs="宋体"/>
          <w:sz w:val="24"/>
          <w:lang w:eastAsia="zh-CN"/>
        </w:rPr>
        <w:t>供应商</w:t>
      </w:r>
      <w:r>
        <w:rPr>
          <w:rFonts w:hint="eastAsia" w:ascii="宋体" w:hAnsi="宋体" w:cs="宋体"/>
          <w:sz w:val="24"/>
        </w:rPr>
        <w:t>自己承担。</w:t>
      </w:r>
      <w:r>
        <w:rPr>
          <w:rFonts w:hint="eastAsia" w:ascii="宋体" w:hAnsi="宋体" w:cs="宋体"/>
          <w:sz w:val="24"/>
          <w:lang w:eastAsia="zh-CN"/>
        </w:rPr>
        <w:t>供应商</w:t>
      </w:r>
      <w:r>
        <w:rPr>
          <w:rFonts w:hint="eastAsia" w:ascii="宋体" w:hAnsi="宋体" w:cs="宋体"/>
          <w:sz w:val="24"/>
        </w:rPr>
        <w:t>同时应认真审阅</w:t>
      </w:r>
      <w:r>
        <w:rPr>
          <w:rFonts w:hint="eastAsia" w:ascii="宋体" w:hAnsi="宋体" w:cs="宋体"/>
          <w:sz w:val="24"/>
          <w:lang w:eastAsia="zh-CN"/>
        </w:rPr>
        <w:t>竞争性磋商文件</w:t>
      </w:r>
      <w:r>
        <w:rPr>
          <w:rFonts w:hint="eastAsia" w:ascii="宋体" w:hAnsi="宋体" w:cs="宋体"/>
          <w:sz w:val="24"/>
        </w:rPr>
        <w:t>中所有的事项、格式、条款和规范要求等，若</w:t>
      </w:r>
      <w:r>
        <w:rPr>
          <w:rFonts w:hint="eastAsia" w:ascii="宋体" w:hAnsi="宋体" w:cs="宋体"/>
          <w:sz w:val="24"/>
          <w:lang w:eastAsia="zh-CN"/>
        </w:rPr>
        <w:t>供应商</w:t>
      </w:r>
      <w:r>
        <w:rPr>
          <w:rFonts w:hint="eastAsia" w:ascii="宋体" w:hAnsi="宋体" w:cs="宋体"/>
          <w:sz w:val="24"/>
        </w:rPr>
        <w:t>的</w:t>
      </w:r>
      <w:r>
        <w:rPr>
          <w:rFonts w:hint="eastAsia" w:ascii="宋体" w:hAnsi="宋体" w:cs="宋体"/>
          <w:sz w:val="24"/>
          <w:lang w:eastAsia="zh-CN"/>
        </w:rPr>
        <w:t>响应文件</w:t>
      </w:r>
      <w:r>
        <w:rPr>
          <w:rFonts w:hint="eastAsia" w:ascii="宋体" w:hAnsi="宋体" w:cs="宋体"/>
          <w:sz w:val="24"/>
        </w:rPr>
        <w:t>没有按</w:t>
      </w:r>
      <w:r>
        <w:rPr>
          <w:rFonts w:hint="eastAsia" w:ascii="宋体" w:hAnsi="宋体" w:cs="宋体"/>
          <w:sz w:val="24"/>
          <w:lang w:eastAsia="zh-CN"/>
        </w:rPr>
        <w:t>竞争性磋商文件</w:t>
      </w:r>
      <w:r>
        <w:rPr>
          <w:rFonts w:hint="eastAsia" w:ascii="宋体" w:hAnsi="宋体" w:cs="宋体"/>
          <w:sz w:val="24"/>
        </w:rPr>
        <w:t>要求提交全部资料，或</w:t>
      </w:r>
      <w:r>
        <w:rPr>
          <w:rFonts w:hint="eastAsia" w:ascii="宋体" w:hAnsi="宋体" w:cs="宋体"/>
          <w:sz w:val="24"/>
          <w:lang w:eastAsia="zh-CN"/>
        </w:rPr>
        <w:t>响应文件</w:t>
      </w:r>
      <w:r>
        <w:rPr>
          <w:rFonts w:hint="eastAsia" w:ascii="宋体" w:hAnsi="宋体" w:cs="宋体"/>
          <w:sz w:val="24"/>
        </w:rPr>
        <w:t>没有对</w:t>
      </w:r>
      <w:r>
        <w:rPr>
          <w:rFonts w:hint="eastAsia" w:ascii="宋体" w:hAnsi="宋体" w:cs="宋体"/>
          <w:sz w:val="24"/>
          <w:lang w:eastAsia="zh-CN"/>
        </w:rPr>
        <w:t>竞争性磋商文件</w:t>
      </w:r>
      <w:r>
        <w:rPr>
          <w:rFonts w:hint="eastAsia" w:ascii="宋体" w:hAnsi="宋体" w:cs="宋体"/>
          <w:sz w:val="24"/>
        </w:rPr>
        <w:t>做出实质性响应，其风险由</w:t>
      </w:r>
      <w:r>
        <w:rPr>
          <w:rFonts w:hint="eastAsia" w:ascii="宋体" w:hAnsi="宋体" w:cs="宋体"/>
          <w:sz w:val="24"/>
          <w:lang w:eastAsia="zh-CN"/>
        </w:rPr>
        <w:t>供应商</w:t>
      </w:r>
      <w:r>
        <w:rPr>
          <w:rFonts w:hint="eastAsia" w:ascii="宋体" w:hAnsi="宋体" w:cs="宋体"/>
          <w:sz w:val="24"/>
        </w:rPr>
        <w:t>自行承担，并根据有关条款规定，该投标有可能被拒绝。下载的图纸电子文件，不得复制修改，并予以保密。因</w:t>
      </w:r>
      <w:r>
        <w:rPr>
          <w:rFonts w:hint="eastAsia" w:ascii="宋体" w:hAnsi="宋体" w:cs="宋体"/>
          <w:sz w:val="24"/>
          <w:lang w:eastAsia="zh-CN"/>
        </w:rPr>
        <w:t>供应商</w:t>
      </w:r>
      <w:r>
        <w:rPr>
          <w:rFonts w:hint="eastAsia" w:ascii="宋体" w:hAnsi="宋体" w:cs="宋体"/>
          <w:sz w:val="24"/>
        </w:rPr>
        <w:t>原因造成图纸流失造成</w:t>
      </w:r>
      <w:r>
        <w:rPr>
          <w:rFonts w:hint="eastAsia" w:ascii="宋体" w:hAnsi="宋体" w:cs="宋体"/>
          <w:sz w:val="24"/>
          <w:lang w:eastAsia="zh-CN"/>
        </w:rPr>
        <w:t>采购人</w:t>
      </w:r>
      <w:r>
        <w:rPr>
          <w:rFonts w:hint="eastAsia" w:ascii="宋体" w:hAnsi="宋体" w:cs="宋体"/>
          <w:sz w:val="24"/>
        </w:rPr>
        <w:t>损失的将依法追究责任。</w:t>
      </w:r>
    </w:p>
    <w:p w14:paraId="2ABA1205">
      <w:pPr>
        <w:pStyle w:val="5"/>
        <w:keepNext w:val="0"/>
        <w:keepLines w:val="0"/>
        <w:widowControl/>
        <w:ind w:firstLine="482" w:firstLineChars="200"/>
        <w:rPr>
          <w:rFonts w:hint="eastAsia" w:ascii="宋体" w:hAnsi="宋体" w:eastAsia="宋体" w:cs="宋体"/>
          <w:szCs w:val="24"/>
          <w:lang w:eastAsia="zh-CN"/>
        </w:rPr>
      </w:pPr>
      <w:bookmarkStart w:id="85" w:name="_Toc7932"/>
      <w:r>
        <w:rPr>
          <w:rFonts w:hint="eastAsia" w:ascii="宋体" w:hAnsi="宋体" w:cs="宋体"/>
        </w:rPr>
        <w:t>3．</w:t>
      </w:r>
      <w:bookmarkEnd w:id="85"/>
      <w:r>
        <w:rPr>
          <w:rFonts w:hint="eastAsia" w:ascii="宋体" w:hAnsi="宋体" w:cs="宋体"/>
          <w:lang w:eastAsia="zh-CN"/>
        </w:rPr>
        <w:t>响应文件</w:t>
      </w:r>
    </w:p>
    <w:p w14:paraId="6D8E6711">
      <w:pPr>
        <w:spacing w:line="360" w:lineRule="auto"/>
        <w:ind w:firstLine="480" w:firstLineChars="200"/>
        <w:rPr>
          <w:rFonts w:ascii="宋体" w:hAnsi="宋体" w:cs="宋体"/>
          <w:sz w:val="24"/>
        </w:rPr>
      </w:pPr>
      <w:r>
        <w:rPr>
          <w:rFonts w:hint="eastAsia" w:ascii="宋体" w:hAnsi="宋体" w:cs="宋体"/>
          <w:sz w:val="24"/>
        </w:rPr>
        <w:t>本项目为电子化、无纸化交易项目。电子</w:t>
      </w:r>
      <w:r>
        <w:rPr>
          <w:rFonts w:hint="eastAsia" w:ascii="宋体" w:hAnsi="宋体" w:cs="宋体"/>
          <w:sz w:val="24"/>
          <w:lang w:eastAsia="zh-CN"/>
        </w:rPr>
        <w:t>响应文件</w:t>
      </w:r>
      <w:r>
        <w:rPr>
          <w:rFonts w:hint="eastAsia" w:ascii="宋体" w:hAnsi="宋体" w:cs="宋体"/>
          <w:sz w:val="24"/>
        </w:rPr>
        <w:t>需在电子平台上传，上传时必须用CA锁登陆上传。</w:t>
      </w:r>
    </w:p>
    <w:p w14:paraId="4C8B8D71">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3.1 </w:t>
      </w:r>
      <w:r>
        <w:rPr>
          <w:rFonts w:hint="eastAsia" w:ascii="宋体" w:hAnsi="宋体" w:cs="宋体"/>
          <w:sz w:val="24"/>
          <w:szCs w:val="24"/>
          <w:lang w:eastAsia="zh-CN"/>
        </w:rPr>
        <w:t>响应文件</w:t>
      </w:r>
      <w:r>
        <w:rPr>
          <w:rFonts w:hint="eastAsia" w:ascii="宋体" w:hAnsi="宋体" w:cs="宋体"/>
          <w:sz w:val="24"/>
          <w:szCs w:val="24"/>
        </w:rPr>
        <w:t>的组成</w:t>
      </w:r>
    </w:p>
    <w:p w14:paraId="1BC0FFA5">
      <w:pPr>
        <w:spacing w:line="360" w:lineRule="auto"/>
        <w:ind w:firstLine="480" w:firstLineChars="200"/>
        <w:rPr>
          <w:rFonts w:ascii="宋体" w:hAnsi="宋体" w:cs="宋体"/>
          <w:sz w:val="24"/>
        </w:rPr>
      </w:pPr>
      <w:r>
        <w:rPr>
          <w:rFonts w:hint="eastAsia" w:ascii="宋体" w:hAnsi="宋体" w:cs="宋体"/>
          <w:sz w:val="24"/>
        </w:rPr>
        <w:t xml:space="preserve">3.1.1 </w:t>
      </w:r>
      <w:r>
        <w:rPr>
          <w:rFonts w:hint="eastAsia" w:ascii="宋体" w:hAnsi="宋体" w:cs="宋体"/>
          <w:sz w:val="24"/>
          <w:lang w:eastAsia="zh-CN"/>
        </w:rPr>
        <w:t>响应文件</w:t>
      </w:r>
      <w:r>
        <w:rPr>
          <w:rFonts w:hint="eastAsia" w:ascii="宋体" w:hAnsi="宋体" w:cs="宋体"/>
          <w:sz w:val="24"/>
        </w:rPr>
        <w:t>应包括下列内容：</w:t>
      </w:r>
    </w:p>
    <w:p w14:paraId="2CE8DC4F">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(l）投标函及投标函附录；</w:t>
      </w:r>
    </w:p>
    <w:p w14:paraId="2667104B">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(2）法定代表人身份证明及授权委托书；</w:t>
      </w:r>
    </w:p>
    <w:p w14:paraId="4BC76852">
      <w:pPr>
        <w:spacing w:line="360" w:lineRule="auto"/>
        <w:ind w:left="-105" w:leftChars="-50" w:right="-105" w:rightChars="-50" w:firstLine="240" w:firstLineChars="100"/>
        <w:jc w:val="left"/>
        <w:rPr>
          <w:rFonts w:ascii="宋体" w:hAnsi="宋体" w:cs="宋体"/>
          <w:sz w:val="24"/>
        </w:rPr>
      </w:pPr>
      <w:r>
        <w:rPr>
          <w:rFonts w:hint="eastAsia" w:ascii="宋体" w:hAnsi="宋体" w:cs="宋体"/>
          <w:sz w:val="24"/>
        </w:rPr>
        <w:t>（3）投标承诺函</w:t>
      </w:r>
    </w:p>
    <w:p w14:paraId="55105C79">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(4）投标保证金；</w:t>
      </w:r>
    </w:p>
    <w:p w14:paraId="7881BDBD">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(5）已标价工程量清单；</w:t>
      </w:r>
    </w:p>
    <w:p w14:paraId="532FF0E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(6）施工组织设计；</w:t>
      </w:r>
    </w:p>
    <w:p w14:paraId="26B96E01">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(7）项目管理机构；</w:t>
      </w:r>
    </w:p>
    <w:p w14:paraId="0AC40005">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（8）</w:t>
      </w:r>
      <w:r>
        <w:rPr>
          <w:rFonts w:hint="eastAsia" w:ascii="宋体" w:hAnsi="宋体" w:cs="宋体"/>
          <w:sz w:val="24"/>
          <w:lang w:eastAsia="zh-CN"/>
        </w:rPr>
        <w:t>供应商</w:t>
      </w:r>
      <w:r>
        <w:rPr>
          <w:rFonts w:hint="eastAsia" w:ascii="宋体" w:hAnsi="宋体" w:cs="宋体"/>
          <w:sz w:val="24"/>
        </w:rPr>
        <w:t>基本情况表</w:t>
      </w:r>
    </w:p>
    <w:p w14:paraId="5F24E993">
      <w:pPr>
        <w:spacing w:line="360" w:lineRule="auto"/>
        <w:ind w:left="-105" w:leftChars="-50" w:right="-105" w:rightChars="-50" w:firstLine="480" w:firstLineChars="200"/>
        <w:jc w:val="left"/>
        <w:rPr>
          <w:rFonts w:ascii="宋体" w:hAnsi="宋体" w:cs="宋体"/>
          <w:sz w:val="24"/>
        </w:rPr>
      </w:pPr>
      <w:r>
        <w:rPr>
          <w:rFonts w:hint="eastAsia" w:ascii="宋体" w:hAnsi="宋体" w:cs="宋体"/>
          <w:sz w:val="24"/>
        </w:rPr>
        <w:t>（9）</w:t>
      </w:r>
      <w:r>
        <w:rPr>
          <w:rFonts w:hint="eastAsia" w:ascii="宋体" w:hAnsi="宋体" w:cs="宋体"/>
          <w:sz w:val="24"/>
          <w:lang w:eastAsia="zh-CN"/>
        </w:rPr>
        <w:t>供应商</w:t>
      </w:r>
      <w:r>
        <w:rPr>
          <w:rFonts w:hint="eastAsia" w:ascii="宋体" w:hAnsi="宋体" w:cs="宋体"/>
          <w:sz w:val="24"/>
        </w:rPr>
        <w:t>认为应附的其他资料</w:t>
      </w:r>
    </w:p>
    <w:p w14:paraId="4FCA90F1">
      <w:pPr>
        <w:spacing w:line="360" w:lineRule="auto"/>
        <w:ind w:firstLine="420"/>
        <w:rPr>
          <w:rFonts w:ascii="宋体" w:hAnsi="宋体" w:cs="宋体"/>
          <w:sz w:val="24"/>
        </w:rPr>
      </w:pPr>
      <w:r>
        <w:rPr>
          <w:rFonts w:hint="eastAsia" w:ascii="宋体" w:hAnsi="宋体" w:cs="宋体"/>
          <w:b/>
          <w:sz w:val="24"/>
        </w:rPr>
        <w:t>3.2 投标报价</w:t>
      </w:r>
    </w:p>
    <w:p w14:paraId="6013F855">
      <w:pPr>
        <w:spacing w:line="360" w:lineRule="auto"/>
        <w:ind w:firstLine="480" w:firstLineChars="200"/>
        <w:rPr>
          <w:rFonts w:ascii="宋体" w:hAnsi="宋体" w:cs="宋体"/>
          <w:sz w:val="24"/>
        </w:rPr>
      </w:pPr>
      <w:r>
        <w:rPr>
          <w:rFonts w:hint="eastAsia" w:ascii="宋体" w:hAnsi="宋体" w:cs="宋体"/>
          <w:sz w:val="24"/>
        </w:rPr>
        <w:t>3.2.1 根据</w:t>
      </w:r>
      <w:r>
        <w:rPr>
          <w:rFonts w:hint="eastAsia" w:ascii="宋体" w:hAnsi="宋体" w:cs="宋体"/>
          <w:sz w:val="24"/>
          <w:lang w:eastAsia="zh-CN"/>
        </w:rPr>
        <w:t>竞争性磋商文件</w:t>
      </w:r>
      <w:r>
        <w:rPr>
          <w:rFonts w:hint="eastAsia" w:ascii="宋体" w:hAnsi="宋体" w:cs="宋体"/>
          <w:sz w:val="24"/>
        </w:rPr>
        <w:t>规定的工程范围，</w:t>
      </w:r>
      <w:r>
        <w:rPr>
          <w:rFonts w:hint="eastAsia" w:ascii="宋体" w:hAnsi="宋体" w:cs="宋体"/>
          <w:sz w:val="24"/>
          <w:lang w:eastAsia="zh-CN"/>
        </w:rPr>
        <w:t>供应商</w:t>
      </w:r>
      <w:r>
        <w:rPr>
          <w:rFonts w:hint="eastAsia" w:ascii="宋体" w:hAnsi="宋体" w:cs="宋体"/>
          <w:sz w:val="24"/>
        </w:rPr>
        <w:t>进行投标报价。投标报价应是</w:t>
      </w:r>
      <w:r>
        <w:rPr>
          <w:rFonts w:hint="eastAsia" w:ascii="宋体" w:hAnsi="宋体" w:cs="宋体"/>
          <w:sz w:val="24"/>
          <w:lang w:eastAsia="zh-CN"/>
        </w:rPr>
        <w:t>竞争性磋商文件</w:t>
      </w:r>
      <w:r>
        <w:rPr>
          <w:rFonts w:hint="eastAsia" w:ascii="宋体" w:hAnsi="宋体" w:cs="宋体"/>
          <w:sz w:val="24"/>
        </w:rPr>
        <w:t>所确定的招标范围内的全部工作内容的价格体现。</w:t>
      </w:r>
    </w:p>
    <w:p w14:paraId="0A6CB799">
      <w:pPr>
        <w:spacing w:line="360" w:lineRule="auto"/>
        <w:ind w:firstLine="480" w:firstLineChars="200"/>
        <w:rPr>
          <w:rFonts w:ascii="宋体" w:hAnsi="宋体" w:cs="宋体"/>
          <w:sz w:val="24"/>
        </w:rPr>
      </w:pPr>
      <w:r>
        <w:rPr>
          <w:rFonts w:hint="eastAsia" w:ascii="宋体" w:hAnsi="宋体" w:cs="宋体"/>
          <w:sz w:val="24"/>
        </w:rPr>
        <w:t>3.2.2投标总报价为</w:t>
      </w:r>
      <w:r>
        <w:rPr>
          <w:rFonts w:hint="eastAsia" w:ascii="宋体" w:hAnsi="宋体" w:cs="宋体"/>
          <w:sz w:val="24"/>
          <w:lang w:eastAsia="zh-CN"/>
        </w:rPr>
        <w:t>竞争性磋商文件</w:t>
      </w:r>
      <w:r>
        <w:rPr>
          <w:rFonts w:hint="eastAsia" w:ascii="宋体" w:hAnsi="宋体" w:cs="宋体"/>
          <w:sz w:val="24"/>
        </w:rPr>
        <w:t>所确定的招标范围内的全部工程内容的价格体现，应包括</w:t>
      </w:r>
      <w:r>
        <w:rPr>
          <w:rFonts w:hint="eastAsia" w:ascii="宋体" w:hAnsi="宋体" w:cs="宋体"/>
          <w:sz w:val="24"/>
          <w:lang w:eastAsia="zh-CN"/>
        </w:rPr>
        <w:t>竞争性磋商文件</w:t>
      </w:r>
      <w:r>
        <w:rPr>
          <w:rFonts w:hint="eastAsia" w:ascii="宋体" w:hAnsi="宋体" w:cs="宋体"/>
          <w:sz w:val="24"/>
        </w:rPr>
        <w:t>及技术规范、设计图纸等规定的，实施和完成招标工程及检测等最终验收合格及质保期等全部内容，及为达到质量和工期目标、安全文明、环境保护等要求所需的全部费用。</w:t>
      </w:r>
    </w:p>
    <w:p w14:paraId="5B98840A">
      <w:pPr>
        <w:spacing w:line="360" w:lineRule="auto"/>
        <w:ind w:firstLine="480" w:firstLineChars="200"/>
        <w:rPr>
          <w:rFonts w:ascii="宋体" w:hAnsi="宋体" w:cs="宋体"/>
          <w:sz w:val="24"/>
        </w:rPr>
      </w:pPr>
      <w:r>
        <w:rPr>
          <w:rFonts w:hint="eastAsia" w:ascii="宋体" w:hAnsi="宋体" w:cs="宋体"/>
          <w:sz w:val="24"/>
        </w:rPr>
        <w:t>3.2.3本工程采用工程量清单计价方式，</w:t>
      </w:r>
      <w:r>
        <w:rPr>
          <w:rFonts w:hint="eastAsia" w:ascii="宋体" w:hAnsi="宋体" w:cs="宋体"/>
          <w:sz w:val="24"/>
          <w:lang w:eastAsia="zh-CN"/>
        </w:rPr>
        <w:t>供应商</w:t>
      </w:r>
      <w:r>
        <w:rPr>
          <w:rFonts w:hint="eastAsia" w:ascii="宋体" w:hAnsi="宋体" w:cs="宋体"/>
          <w:sz w:val="24"/>
        </w:rPr>
        <w:t>的投标总报价根据</w:t>
      </w:r>
      <w:r>
        <w:rPr>
          <w:rFonts w:hint="eastAsia" w:ascii="宋体" w:hAnsi="宋体" w:cs="宋体"/>
          <w:sz w:val="24"/>
          <w:lang w:eastAsia="zh-CN"/>
        </w:rPr>
        <w:t>采购人</w:t>
      </w:r>
      <w:r>
        <w:rPr>
          <w:rFonts w:hint="eastAsia" w:ascii="宋体" w:hAnsi="宋体" w:cs="宋体"/>
          <w:sz w:val="24"/>
        </w:rPr>
        <w:t>提供的图纸、图纸补充说明、</w:t>
      </w:r>
      <w:r>
        <w:rPr>
          <w:rFonts w:hint="eastAsia" w:ascii="宋体" w:hAnsi="宋体" w:cs="宋体"/>
          <w:sz w:val="24"/>
          <w:lang w:eastAsia="zh-CN"/>
        </w:rPr>
        <w:t>竞争性磋商文件</w:t>
      </w:r>
      <w:r>
        <w:rPr>
          <w:rFonts w:hint="eastAsia" w:ascii="宋体" w:hAnsi="宋体" w:cs="宋体"/>
          <w:sz w:val="24"/>
        </w:rPr>
        <w:t>、工程量清单及编制说明、招标控制价及编制依据，充分考虑市场价格、风险因素，在合理范围内自主报价，但不得低于企业实际成本。</w:t>
      </w:r>
    </w:p>
    <w:p w14:paraId="5CA4B538">
      <w:pPr>
        <w:spacing w:line="360" w:lineRule="auto"/>
        <w:ind w:firstLine="480" w:firstLineChars="200"/>
        <w:rPr>
          <w:rFonts w:ascii="宋体" w:hAnsi="宋体" w:cs="宋体"/>
          <w:sz w:val="24"/>
        </w:rPr>
      </w:pPr>
      <w:r>
        <w:rPr>
          <w:rFonts w:hint="eastAsia" w:ascii="宋体" w:hAnsi="宋体" w:cs="宋体"/>
          <w:sz w:val="24"/>
        </w:rPr>
        <w:t>3.2.4 本次招标，</w:t>
      </w:r>
      <w:r>
        <w:rPr>
          <w:rFonts w:hint="eastAsia" w:ascii="宋体" w:hAnsi="宋体" w:cs="宋体"/>
          <w:sz w:val="24"/>
          <w:lang w:eastAsia="zh-CN"/>
        </w:rPr>
        <w:t>采购人</w:t>
      </w:r>
      <w:r>
        <w:rPr>
          <w:rFonts w:hint="eastAsia" w:ascii="宋体" w:hAnsi="宋体" w:cs="宋体"/>
          <w:sz w:val="24"/>
        </w:rPr>
        <w:t>提供的工程量清单为各</w:t>
      </w:r>
      <w:r>
        <w:rPr>
          <w:rFonts w:hint="eastAsia" w:ascii="宋体" w:hAnsi="宋体" w:cs="宋体"/>
          <w:sz w:val="24"/>
          <w:lang w:eastAsia="zh-CN"/>
        </w:rPr>
        <w:t>供应商</w:t>
      </w:r>
      <w:r>
        <w:rPr>
          <w:rFonts w:hint="eastAsia" w:ascii="宋体" w:hAnsi="宋体" w:cs="宋体"/>
          <w:sz w:val="24"/>
        </w:rPr>
        <w:t>投标报价的基础。</w:t>
      </w:r>
      <w:r>
        <w:rPr>
          <w:rFonts w:hint="eastAsia" w:ascii="宋体" w:hAnsi="宋体" w:cs="宋体"/>
          <w:sz w:val="24"/>
          <w:lang w:eastAsia="zh-CN"/>
        </w:rPr>
        <w:t>供应商</w:t>
      </w:r>
      <w:r>
        <w:rPr>
          <w:rFonts w:hint="eastAsia" w:ascii="宋体" w:hAnsi="宋体" w:cs="宋体"/>
          <w:sz w:val="24"/>
        </w:rPr>
        <w:t>所报的综合单价风险因素由</w:t>
      </w:r>
      <w:r>
        <w:rPr>
          <w:rFonts w:hint="eastAsia" w:ascii="宋体" w:hAnsi="宋体" w:cs="宋体"/>
          <w:sz w:val="24"/>
          <w:lang w:eastAsia="zh-CN"/>
        </w:rPr>
        <w:t>供应商</w:t>
      </w:r>
      <w:r>
        <w:rPr>
          <w:rFonts w:hint="eastAsia" w:ascii="宋体" w:hAnsi="宋体" w:cs="宋体"/>
          <w:sz w:val="24"/>
        </w:rPr>
        <w:t>在计算报价时综合考虑。</w:t>
      </w:r>
      <w:r>
        <w:rPr>
          <w:rFonts w:hint="eastAsia" w:ascii="宋体" w:hAnsi="宋体" w:cs="宋体"/>
          <w:sz w:val="24"/>
          <w:lang w:eastAsia="zh-CN"/>
        </w:rPr>
        <w:t>供应商</w:t>
      </w:r>
      <w:r>
        <w:rPr>
          <w:rFonts w:hint="eastAsia" w:ascii="宋体" w:hAnsi="宋体" w:cs="宋体"/>
          <w:sz w:val="24"/>
        </w:rPr>
        <w:t>应详细分析国家及项目地区的有关法律法规或政策，结合自身条件，综合考虑施工技术要求和质量要求、周边施工环境、临时用水用电、场地使用等因素，充分了解工地位置、情况、道路、储存空间、装卸限制及任何其它足以影响承包价的情况，仔细测算材料价格涨落趋势后合理报价。除非合同条款中另有约定，对图纸范围内的工程实施，</w:t>
      </w:r>
      <w:r>
        <w:rPr>
          <w:rFonts w:hint="eastAsia" w:ascii="宋体" w:hAnsi="宋体" w:cs="宋体"/>
          <w:sz w:val="24"/>
          <w:lang w:eastAsia="zh-CN"/>
        </w:rPr>
        <w:t>供应商</w:t>
      </w:r>
      <w:r>
        <w:rPr>
          <w:rFonts w:hint="eastAsia" w:ascii="宋体" w:hAnsi="宋体" w:cs="宋体"/>
          <w:sz w:val="24"/>
        </w:rPr>
        <w:t>不得要求追加任何费用。</w:t>
      </w:r>
    </w:p>
    <w:p w14:paraId="27B8318C">
      <w:pPr>
        <w:spacing w:line="360" w:lineRule="auto"/>
        <w:ind w:firstLine="480" w:firstLineChars="200"/>
        <w:rPr>
          <w:rFonts w:ascii="宋体" w:hAnsi="宋体" w:cs="宋体"/>
          <w:sz w:val="24"/>
        </w:rPr>
      </w:pPr>
      <w:r>
        <w:rPr>
          <w:rFonts w:hint="eastAsia" w:ascii="宋体" w:hAnsi="宋体" w:cs="宋体"/>
          <w:sz w:val="24"/>
        </w:rPr>
        <w:t>对</w:t>
      </w:r>
      <w:r>
        <w:rPr>
          <w:rFonts w:hint="eastAsia" w:ascii="宋体" w:hAnsi="宋体" w:cs="宋体"/>
          <w:sz w:val="24"/>
          <w:lang w:eastAsia="zh-CN"/>
        </w:rPr>
        <w:t>供应商</w:t>
      </w:r>
      <w:r>
        <w:rPr>
          <w:rFonts w:hint="eastAsia" w:ascii="宋体" w:hAnsi="宋体" w:cs="宋体"/>
          <w:sz w:val="24"/>
        </w:rPr>
        <w:t>提出的问题，</w:t>
      </w:r>
      <w:r>
        <w:rPr>
          <w:rFonts w:hint="eastAsia" w:ascii="宋体" w:hAnsi="宋体" w:cs="宋体"/>
          <w:sz w:val="24"/>
          <w:lang w:eastAsia="zh-CN"/>
        </w:rPr>
        <w:t>采购人</w:t>
      </w:r>
      <w:r>
        <w:rPr>
          <w:rFonts w:hint="eastAsia" w:ascii="宋体" w:hAnsi="宋体" w:cs="宋体"/>
          <w:sz w:val="24"/>
        </w:rPr>
        <w:t>复核、回复后，以答疑回复的文件为投标依据，</w:t>
      </w:r>
      <w:r>
        <w:rPr>
          <w:rFonts w:hint="eastAsia" w:ascii="宋体" w:hAnsi="宋体" w:cs="宋体"/>
          <w:sz w:val="24"/>
          <w:lang w:eastAsia="zh-CN"/>
        </w:rPr>
        <w:t>供应商</w:t>
      </w:r>
      <w:r>
        <w:rPr>
          <w:rFonts w:hint="eastAsia" w:ascii="宋体" w:hAnsi="宋体" w:cs="宋体"/>
          <w:sz w:val="24"/>
        </w:rPr>
        <w:t>不得在工程结算时以投标疑问与答疑回复文件不一致为由要求索赔。</w:t>
      </w:r>
    </w:p>
    <w:p w14:paraId="0DC90AAF">
      <w:pPr>
        <w:spacing w:line="360" w:lineRule="auto"/>
        <w:ind w:firstLine="480" w:firstLineChars="200"/>
        <w:rPr>
          <w:rFonts w:ascii="宋体" w:hAnsi="宋体" w:cs="宋体"/>
          <w:sz w:val="24"/>
        </w:rPr>
      </w:pPr>
      <w:r>
        <w:rPr>
          <w:rFonts w:hint="eastAsia" w:ascii="宋体" w:hAnsi="宋体" w:cs="宋体"/>
          <w:sz w:val="24"/>
        </w:rPr>
        <w:t>3.2.5</w:t>
      </w:r>
      <w:r>
        <w:rPr>
          <w:rFonts w:hint="eastAsia" w:ascii="宋体" w:hAnsi="宋体" w:cs="宋体"/>
          <w:sz w:val="24"/>
          <w:lang w:eastAsia="zh-CN"/>
        </w:rPr>
        <w:t>采购人</w:t>
      </w:r>
      <w:r>
        <w:rPr>
          <w:rFonts w:hint="eastAsia" w:ascii="宋体" w:hAnsi="宋体" w:cs="宋体"/>
          <w:sz w:val="24"/>
        </w:rPr>
        <w:t>提供的工程量清单中各清单项目，不论其对应的项目特征是否描述完全，都将被认为已包括实施</w:t>
      </w:r>
      <w:r>
        <w:rPr>
          <w:rFonts w:hint="eastAsia" w:ascii="宋体" w:hAnsi="宋体" w:cs="宋体"/>
          <w:sz w:val="24"/>
          <w:lang w:eastAsia="zh-CN"/>
        </w:rPr>
        <w:t>采购人</w:t>
      </w:r>
      <w:r>
        <w:rPr>
          <w:rFonts w:hint="eastAsia" w:ascii="宋体" w:hAnsi="宋体" w:cs="宋体"/>
          <w:sz w:val="24"/>
        </w:rPr>
        <w:t>已提供的图纸及对应项目的所有工作内容及完成此工作内容而必须的各种辅助工作的费用。</w:t>
      </w:r>
    </w:p>
    <w:p w14:paraId="71EB89DA">
      <w:pPr>
        <w:spacing w:line="360" w:lineRule="auto"/>
        <w:ind w:firstLine="480" w:firstLineChars="200"/>
        <w:rPr>
          <w:rFonts w:ascii="宋体" w:hAnsi="宋体" w:cs="宋体"/>
          <w:sz w:val="24"/>
        </w:rPr>
      </w:pPr>
      <w:r>
        <w:rPr>
          <w:rFonts w:hint="eastAsia" w:ascii="宋体" w:hAnsi="宋体" w:cs="宋体"/>
          <w:sz w:val="24"/>
        </w:rPr>
        <w:t>3.2.6投标报价包括分部分项工程费、措施项目费、其他项目费、规费、增值税等所有费用。</w:t>
      </w:r>
      <w:r>
        <w:rPr>
          <w:rFonts w:hint="eastAsia" w:ascii="宋体" w:hAnsi="宋体" w:cs="宋体"/>
          <w:sz w:val="24"/>
          <w:lang w:eastAsia="zh-CN"/>
        </w:rPr>
        <w:t>供应商</w:t>
      </w:r>
      <w:r>
        <w:rPr>
          <w:rFonts w:hint="eastAsia" w:ascii="宋体" w:hAnsi="宋体" w:cs="宋体"/>
          <w:sz w:val="24"/>
        </w:rPr>
        <w:t>在投标时应按此要求，在</w:t>
      </w:r>
      <w:r>
        <w:rPr>
          <w:rFonts w:hint="eastAsia" w:ascii="宋体" w:hAnsi="宋体" w:cs="宋体"/>
          <w:sz w:val="24"/>
          <w:lang w:eastAsia="zh-CN"/>
        </w:rPr>
        <w:t>响应文件</w:t>
      </w:r>
      <w:r>
        <w:rPr>
          <w:rFonts w:hint="eastAsia" w:ascii="宋体" w:hAnsi="宋体" w:cs="宋体"/>
          <w:sz w:val="24"/>
        </w:rPr>
        <w:t>中认真填写工程量清单所有项目的综合单价和合价，</w:t>
      </w:r>
      <w:r>
        <w:rPr>
          <w:rFonts w:hint="eastAsia" w:ascii="宋体" w:hAnsi="宋体" w:cs="宋体"/>
          <w:sz w:val="24"/>
          <w:lang w:eastAsia="zh-CN"/>
        </w:rPr>
        <w:t>供应商</w:t>
      </w:r>
      <w:r>
        <w:rPr>
          <w:rFonts w:hint="eastAsia" w:ascii="宋体" w:hAnsi="宋体" w:cs="宋体"/>
          <w:sz w:val="24"/>
        </w:rPr>
        <w:t>未填写综合单价或合价的清单项目，将被视为该项费用已包括在其他项目的综合单价或合价以及投标总报价内，在工程实施时</w:t>
      </w:r>
      <w:r>
        <w:rPr>
          <w:rFonts w:hint="eastAsia" w:ascii="宋体" w:hAnsi="宋体" w:cs="宋体"/>
          <w:sz w:val="24"/>
          <w:lang w:eastAsia="zh-CN"/>
        </w:rPr>
        <w:t>供应商</w:t>
      </w:r>
      <w:r>
        <w:rPr>
          <w:rFonts w:hint="eastAsia" w:ascii="宋体" w:hAnsi="宋体" w:cs="宋体"/>
          <w:sz w:val="24"/>
        </w:rPr>
        <w:t>必须无条件完成工程量清单中未填入单价或合价的工程项目，且不得向</w:t>
      </w:r>
      <w:r>
        <w:rPr>
          <w:rFonts w:hint="eastAsia" w:ascii="宋体" w:hAnsi="宋体" w:cs="宋体"/>
          <w:sz w:val="24"/>
          <w:lang w:eastAsia="zh-CN"/>
        </w:rPr>
        <w:t>采购人</w:t>
      </w:r>
      <w:r>
        <w:rPr>
          <w:rFonts w:hint="eastAsia" w:ascii="宋体" w:hAnsi="宋体" w:cs="宋体"/>
          <w:sz w:val="24"/>
        </w:rPr>
        <w:t>索赔此部分的工程费用。</w:t>
      </w:r>
    </w:p>
    <w:p w14:paraId="0D287EBD">
      <w:pPr>
        <w:spacing w:line="360" w:lineRule="auto"/>
        <w:ind w:firstLine="480" w:firstLineChars="200"/>
        <w:rPr>
          <w:rFonts w:ascii="宋体" w:hAnsi="宋体" w:cs="宋体"/>
          <w:sz w:val="24"/>
        </w:rPr>
      </w:pPr>
      <w:r>
        <w:rPr>
          <w:rFonts w:hint="eastAsia" w:ascii="宋体" w:hAnsi="宋体" w:cs="宋体"/>
          <w:sz w:val="24"/>
          <w:lang w:eastAsia="zh-CN"/>
        </w:rPr>
        <w:t>供应商</w:t>
      </w:r>
      <w:r>
        <w:rPr>
          <w:rFonts w:hint="eastAsia" w:ascii="宋体" w:hAnsi="宋体" w:cs="宋体"/>
          <w:sz w:val="24"/>
        </w:rPr>
        <w:t>投标时必须提供分部分项工程量清单计价表的各分部分项工程量清单项目的综合单价分析表，综合单价分析表应包含组成该综合单价各工作内容的人工费、材料费、机械费、管理费、利润等详细组成，并列出材料消耗量及材料单价。</w:t>
      </w:r>
    </w:p>
    <w:p w14:paraId="1CB807C8">
      <w:pPr>
        <w:spacing w:line="360" w:lineRule="auto"/>
        <w:ind w:firstLine="480" w:firstLineChars="200"/>
        <w:rPr>
          <w:rFonts w:ascii="宋体" w:hAnsi="宋体" w:cs="宋体"/>
          <w:sz w:val="24"/>
        </w:rPr>
      </w:pPr>
      <w:r>
        <w:rPr>
          <w:rFonts w:hint="eastAsia" w:ascii="宋体" w:hAnsi="宋体" w:cs="宋体"/>
          <w:sz w:val="24"/>
        </w:rPr>
        <w:t>3.2.7工程量清单计价中措施项目费是</w:t>
      </w:r>
      <w:r>
        <w:rPr>
          <w:rFonts w:hint="eastAsia" w:ascii="宋体" w:hAnsi="宋体" w:cs="宋体"/>
          <w:sz w:val="24"/>
          <w:lang w:eastAsia="zh-CN"/>
        </w:rPr>
        <w:t>供应商</w:t>
      </w:r>
      <w:r>
        <w:rPr>
          <w:rFonts w:hint="eastAsia" w:ascii="宋体" w:hAnsi="宋体" w:cs="宋体"/>
          <w:sz w:val="24"/>
        </w:rPr>
        <w:t>在完全熟知施工现场实际条件下所采取的一切措施费用总和，即达到安全文明施工标准化工地要求、工期保证、质量保证等所采取的所有技术、组织措施费用总和。措施项目费内容详见</w:t>
      </w:r>
      <w:r>
        <w:rPr>
          <w:rFonts w:hint="eastAsia" w:ascii="宋体" w:hAnsi="宋体" w:cs="宋体"/>
          <w:sz w:val="24"/>
          <w:lang w:eastAsia="zh-CN"/>
        </w:rPr>
        <w:t>竞争性磋商文件</w:t>
      </w:r>
      <w:r>
        <w:rPr>
          <w:rFonts w:hint="eastAsia" w:ascii="宋体" w:hAnsi="宋体" w:cs="宋体"/>
          <w:sz w:val="24"/>
        </w:rPr>
        <w:t>中工程量清单中所列的措施项目。</w:t>
      </w:r>
    </w:p>
    <w:p w14:paraId="58F17337">
      <w:pPr>
        <w:spacing w:line="360" w:lineRule="auto"/>
        <w:ind w:firstLine="480" w:firstLineChars="200"/>
        <w:rPr>
          <w:rFonts w:ascii="宋体" w:hAnsi="宋体" w:cs="宋体"/>
          <w:sz w:val="24"/>
        </w:rPr>
      </w:pPr>
      <w:r>
        <w:rPr>
          <w:rFonts w:hint="eastAsia" w:ascii="宋体" w:hAnsi="宋体" w:cs="宋体"/>
          <w:sz w:val="24"/>
        </w:rPr>
        <w:t>3.2.8</w:t>
      </w:r>
      <w:r>
        <w:rPr>
          <w:rFonts w:hint="eastAsia" w:ascii="宋体" w:hAnsi="宋体" w:cs="宋体"/>
          <w:sz w:val="24"/>
          <w:lang w:eastAsia="zh-CN"/>
        </w:rPr>
        <w:t>供应商</w:t>
      </w:r>
      <w:r>
        <w:rPr>
          <w:rFonts w:hint="eastAsia" w:ascii="宋体" w:hAnsi="宋体" w:cs="宋体"/>
          <w:sz w:val="24"/>
        </w:rPr>
        <w:t>应结合自身条件，并充分考虑本工程施工难度、工期的要求、质量要求以及市场因素、现场环境因素、社会因素、市场价格调整因素等各方面原因合理报价。投标报价将被认为已综合考虑了在施工全过程中可能发生的全部不可预见费用。中标人无权再以任何理由提出延长工期、增加价款或索赔等要求。</w:t>
      </w:r>
    </w:p>
    <w:p w14:paraId="51DB78B0">
      <w:pPr>
        <w:spacing w:line="360" w:lineRule="auto"/>
        <w:ind w:firstLine="480" w:firstLineChars="200"/>
        <w:rPr>
          <w:rFonts w:ascii="宋体" w:hAnsi="宋体" w:cs="宋体"/>
          <w:sz w:val="24"/>
        </w:rPr>
      </w:pPr>
      <w:r>
        <w:rPr>
          <w:rFonts w:hint="eastAsia" w:ascii="宋体" w:hAnsi="宋体" w:cs="宋体"/>
          <w:sz w:val="24"/>
        </w:rPr>
        <w:t xml:space="preserve">3.2.9 </w:t>
      </w:r>
      <w:r>
        <w:rPr>
          <w:rFonts w:hint="eastAsia" w:ascii="宋体" w:hAnsi="宋体" w:cs="宋体"/>
          <w:sz w:val="24"/>
          <w:lang w:eastAsia="zh-CN"/>
        </w:rPr>
        <w:t>供应商</w:t>
      </w:r>
      <w:r>
        <w:rPr>
          <w:rFonts w:hint="eastAsia" w:ascii="宋体" w:hAnsi="宋体" w:cs="宋体"/>
          <w:sz w:val="24"/>
        </w:rPr>
        <w:t>在投标报价前可以自行踏勘施工现场，充分考虑了工地现状条件可能影响到工程正常施工的所有风险因素。 无论</w:t>
      </w:r>
      <w:r>
        <w:rPr>
          <w:rFonts w:hint="eastAsia" w:ascii="宋体" w:hAnsi="宋体" w:cs="宋体"/>
          <w:sz w:val="24"/>
          <w:lang w:eastAsia="zh-CN"/>
        </w:rPr>
        <w:t>供应商</w:t>
      </w:r>
      <w:r>
        <w:rPr>
          <w:rFonts w:hint="eastAsia" w:ascii="宋体" w:hAnsi="宋体" w:cs="宋体"/>
          <w:sz w:val="24"/>
        </w:rPr>
        <w:t>是否进行了上述现场踏勘工作，其投标报价中均将被认为已包含有工地现状在施工作业期间发生的全部不可预见的风险费用，</w:t>
      </w:r>
      <w:r>
        <w:rPr>
          <w:rFonts w:hint="eastAsia" w:ascii="宋体" w:hAnsi="宋体" w:cs="宋体"/>
          <w:sz w:val="24"/>
          <w:lang w:eastAsia="zh-CN"/>
        </w:rPr>
        <w:t>供应商</w:t>
      </w:r>
      <w:r>
        <w:rPr>
          <w:rFonts w:hint="eastAsia" w:ascii="宋体" w:hAnsi="宋体" w:cs="宋体"/>
          <w:sz w:val="24"/>
        </w:rPr>
        <w:t>中标后则无权因此要求任何工期或费用上的索赔。一旦中标不得对现场条件提出额外要求和费用。</w:t>
      </w:r>
    </w:p>
    <w:p w14:paraId="0340190A">
      <w:pPr>
        <w:spacing w:line="360" w:lineRule="auto"/>
        <w:ind w:firstLine="480" w:firstLineChars="200"/>
        <w:rPr>
          <w:rFonts w:ascii="宋体" w:hAnsi="宋体" w:cs="宋体"/>
          <w:sz w:val="24"/>
        </w:rPr>
      </w:pPr>
      <w:r>
        <w:rPr>
          <w:rFonts w:hint="eastAsia" w:ascii="宋体" w:hAnsi="宋体" w:cs="宋体"/>
          <w:sz w:val="24"/>
        </w:rPr>
        <w:t>3.2.10中标单位应独立、有效的做好工程周边的群众工作，并充分考虑工程实际范围内外的单位、个人和其他可能出现阻扰施工的情况，若发生机械台班停滞费、二次机械进退场费、人员窝工、处理周边群众纠纷等费用和损失，由</w:t>
      </w:r>
      <w:r>
        <w:rPr>
          <w:rFonts w:hint="eastAsia" w:ascii="宋体" w:hAnsi="宋体" w:cs="宋体"/>
          <w:sz w:val="24"/>
          <w:lang w:eastAsia="zh-CN"/>
        </w:rPr>
        <w:t>供应商</w:t>
      </w:r>
      <w:r>
        <w:rPr>
          <w:rFonts w:hint="eastAsia" w:ascii="宋体" w:hAnsi="宋体" w:cs="宋体"/>
          <w:sz w:val="24"/>
        </w:rPr>
        <w:t>自行考虑，工程竣工结算时不予调整。</w:t>
      </w:r>
    </w:p>
    <w:p w14:paraId="57DAE61C">
      <w:pPr>
        <w:spacing w:line="360" w:lineRule="auto"/>
        <w:ind w:firstLine="480" w:firstLineChars="200"/>
        <w:rPr>
          <w:rFonts w:ascii="宋体" w:hAnsi="宋体" w:cs="宋体"/>
          <w:sz w:val="24"/>
        </w:rPr>
      </w:pPr>
      <w:r>
        <w:rPr>
          <w:rFonts w:hint="eastAsia" w:ascii="宋体" w:hAnsi="宋体" w:cs="宋体"/>
          <w:sz w:val="24"/>
        </w:rPr>
        <w:t>3.2.11</w:t>
      </w:r>
      <w:r>
        <w:rPr>
          <w:rFonts w:hint="eastAsia" w:ascii="宋体" w:hAnsi="宋体" w:cs="宋体"/>
          <w:sz w:val="24"/>
          <w:lang w:eastAsia="zh-CN"/>
        </w:rPr>
        <w:t>供应商</w:t>
      </w:r>
      <w:r>
        <w:rPr>
          <w:rFonts w:hint="eastAsia" w:ascii="宋体" w:hAnsi="宋体" w:cs="宋体"/>
          <w:sz w:val="24"/>
        </w:rPr>
        <w:t>须在工程竣工验收后7日内拆除现场所有的临时设施。包括所有的机械设备、建筑垃圾及剩余材料全部清运出现场，相关费用（含渣土证费用）由</w:t>
      </w:r>
      <w:r>
        <w:rPr>
          <w:rFonts w:hint="eastAsia" w:ascii="宋体" w:hAnsi="宋体" w:cs="宋体"/>
          <w:sz w:val="24"/>
          <w:lang w:eastAsia="zh-CN"/>
        </w:rPr>
        <w:t>供应商</w:t>
      </w:r>
      <w:r>
        <w:rPr>
          <w:rFonts w:hint="eastAsia" w:ascii="宋体" w:hAnsi="宋体" w:cs="宋体"/>
          <w:sz w:val="24"/>
        </w:rPr>
        <w:t>在报价时自行考虑到投标报价中，竣工结算时不做任何调整。清理标准应得到发包人认可。否则，如发生相关费用则由发包人在工程结算价款中扣除。</w:t>
      </w:r>
    </w:p>
    <w:p w14:paraId="79763287">
      <w:pPr>
        <w:spacing w:line="360" w:lineRule="auto"/>
        <w:ind w:firstLine="480" w:firstLineChars="200"/>
        <w:rPr>
          <w:rFonts w:ascii="宋体" w:hAnsi="宋体" w:cs="宋体"/>
          <w:sz w:val="24"/>
        </w:rPr>
      </w:pPr>
      <w:r>
        <w:rPr>
          <w:rFonts w:hint="eastAsia" w:ascii="宋体" w:hAnsi="宋体" w:cs="宋体"/>
          <w:sz w:val="24"/>
        </w:rPr>
        <w:t>3.2.12施工期间由于工程条件发生变化或</w:t>
      </w:r>
      <w:r>
        <w:rPr>
          <w:rFonts w:hint="eastAsia" w:ascii="宋体" w:hAnsi="宋体" w:cs="宋体"/>
          <w:sz w:val="24"/>
          <w:lang w:eastAsia="zh-CN"/>
        </w:rPr>
        <w:t>供应商</w:t>
      </w:r>
      <w:r>
        <w:rPr>
          <w:rFonts w:hint="eastAsia" w:ascii="宋体" w:hAnsi="宋体" w:cs="宋体"/>
          <w:sz w:val="24"/>
        </w:rPr>
        <w:t>原因造成施工方案的更改，所增加的措施费用及工期一概不予调整，相应的费用</w:t>
      </w:r>
      <w:r>
        <w:rPr>
          <w:rFonts w:hint="eastAsia" w:ascii="宋体" w:hAnsi="宋体" w:cs="宋体"/>
          <w:sz w:val="24"/>
          <w:lang w:eastAsia="zh-CN"/>
        </w:rPr>
        <w:t>供应商</w:t>
      </w:r>
      <w:r>
        <w:rPr>
          <w:rFonts w:hint="eastAsia" w:ascii="宋体" w:hAnsi="宋体" w:cs="宋体"/>
          <w:sz w:val="24"/>
        </w:rPr>
        <w:t>应在投标报价中充分考虑，</w:t>
      </w:r>
      <w:r>
        <w:rPr>
          <w:rFonts w:hint="eastAsia" w:ascii="宋体" w:hAnsi="宋体" w:cs="宋体"/>
          <w:sz w:val="24"/>
          <w:lang w:eastAsia="zh-CN"/>
        </w:rPr>
        <w:t>采购人</w:t>
      </w:r>
      <w:r>
        <w:rPr>
          <w:rFonts w:hint="eastAsia" w:ascii="宋体" w:hAnsi="宋体" w:cs="宋体"/>
          <w:sz w:val="24"/>
        </w:rPr>
        <w:t>不另支付。</w:t>
      </w:r>
    </w:p>
    <w:p w14:paraId="1C79F8C4">
      <w:pPr>
        <w:spacing w:line="360" w:lineRule="auto"/>
        <w:ind w:firstLine="480" w:firstLineChars="200"/>
        <w:rPr>
          <w:rFonts w:ascii="宋体" w:hAnsi="宋体" w:cs="宋体"/>
          <w:sz w:val="24"/>
        </w:rPr>
      </w:pPr>
      <w:r>
        <w:rPr>
          <w:rFonts w:hint="eastAsia" w:ascii="宋体" w:hAnsi="宋体" w:cs="宋体"/>
          <w:sz w:val="24"/>
        </w:rPr>
        <w:t xml:space="preserve">    3.2.13 投标报价要求</w:t>
      </w:r>
    </w:p>
    <w:p w14:paraId="5086C417">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采购人</w:t>
      </w:r>
      <w:r>
        <w:rPr>
          <w:rFonts w:hint="eastAsia" w:ascii="宋体" w:hAnsi="宋体" w:cs="宋体"/>
          <w:sz w:val="24"/>
        </w:rPr>
        <w:t>不接受任何有选择的报价，对同一工程、每一项投标内容只允许有一个报价；</w:t>
      </w:r>
    </w:p>
    <w:p w14:paraId="66811A63">
      <w:pPr>
        <w:spacing w:line="360" w:lineRule="auto"/>
        <w:ind w:firstLine="480" w:firstLineChars="200"/>
        <w:rPr>
          <w:rFonts w:ascii="宋体" w:hAnsi="宋体" w:cs="宋体"/>
          <w:sz w:val="24"/>
        </w:rPr>
      </w:pPr>
      <w:r>
        <w:rPr>
          <w:rFonts w:hint="eastAsia" w:ascii="宋体" w:hAnsi="宋体" w:cs="宋体"/>
          <w:sz w:val="24"/>
        </w:rPr>
        <w:t>（2）各</w:t>
      </w:r>
      <w:r>
        <w:rPr>
          <w:rFonts w:hint="eastAsia" w:ascii="宋体" w:hAnsi="宋体" w:cs="宋体"/>
          <w:sz w:val="24"/>
          <w:lang w:eastAsia="zh-CN"/>
        </w:rPr>
        <w:t>供应商</w:t>
      </w:r>
      <w:r>
        <w:rPr>
          <w:rFonts w:hint="eastAsia" w:ascii="宋体" w:hAnsi="宋体" w:cs="宋体"/>
          <w:sz w:val="24"/>
        </w:rPr>
        <w:t>在投标时必须在</w:t>
      </w:r>
      <w:r>
        <w:rPr>
          <w:rFonts w:hint="eastAsia" w:ascii="宋体" w:hAnsi="宋体" w:cs="宋体"/>
          <w:sz w:val="24"/>
          <w:lang w:eastAsia="zh-CN"/>
        </w:rPr>
        <w:t>响应文件</w:t>
      </w:r>
      <w:r>
        <w:rPr>
          <w:rFonts w:hint="eastAsia" w:ascii="宋体" w:hAnsi="宋体" w:cs="宋体"/>
          <w:sz w:val="24"/>
        </w:rPr>
        <w:t>中提供一份完整的工程量清单报价书。仅有投标总价而未按工程量清单提供的表格填写各项费用的投标报价，评标时一律按无效投标处理。</w:t>
      </w:r>
    </w:p>
    <w:p w14:paraId="6106480F">
      <w:pPr>
        <w:spacing w:line="360" w:lineRule="auto"/>
        <w:ind w:firstLine="480" w:firstLineChars="200"/>
        <w:rPr>
          <w:rFonts w:ascii="宋体" w:hAnsi="宋体" w:cs="宋体"/>
          <w:sz w:val="24"/>
        </w:rPr>
      </w:pPr>
      <w:r>
        <w:rPr>
          <w:rFonts w:hint="eastAsia" w:ascii="宋体" w:hAnsi="宋体" w:cs="宋体"/>
          <w:sz w:val="24"/>
        </w:rPr>
        <w:t>（3）最低报价不能作为中标的保证；</w:t>
      </w:r>
    </w:p>
    <w:p w14:paraId="3AF11FCC">
      <w:pPr>
        <w:spacing w:line="360" w:lineRule="auto"/>
        <w:ind w:firstLine="480" w:firstLineChars="200"/>
        <w:rPr>
          <w:rFonts w:ascii="宋体" w:hAnsi="宋体" w:cs="宋体"/>
          <w:sz w:val="24"/>
        </w:rPr>
      </w:pPr>
      <w:r>
        <w:rPr>
          <w:rFonts w:hint="eastAsia" w:ascii="宋体" w:hAnsi="宋体" w:cs="宋体"/>
          <w:sz w:val="24"/>
        </w:rPr>
        <w:t>（4）</w:t>
      </w:r>
      <w:r>
        <w:rPr>
          <w:rFonts w:hint="eastAsia" w:ascii="宋体" w:hAnsi="宋体" w:cs="宋体"/>
          <w:sz w:val="24"/>
          <w:lang w:eastAsia="zh-CN"/>
        </w:rPr>
        <w:t>供应商</w:t>
      </w:r>
      <w:r>
        <w:rPr>
          <w:rFonts w:hint="eastAsia" w:ascii="宋体" w:hAnsi="宋体" w:cs="宋体"/>
          <w:sz w:val="24"/>
        </w:rPr>
        <w:t>的投标总价必须与其他投标报价表中的数据合计相吻合；</w:t>
      </w:r>
    </w:p>
    <w:p w14:paraId="46D6E76F">
      <w:pPr>
        <w:spacing w:line="360" w:lineRule="auto"/>
        <w:ind w:firstLine="480" w:firstLineChars="200"/>
        <w:rPr>
          <w:rFonts w:ascii="宋体" w:hAnsi="宋体" w:cs="宋体"/>
          <w:sz w:val="24"/>
        </w:rPr>
      </w:pPr>
      <w:r>
        <w:rPr>
          <w:rFonts w:hint="eastAsia" w:ascii="宋体" w:hAnsi="宋体" w:cs="宋体"/>
          <w:sz w:val="24"/>
        </w:rPr>
        <w:t>（5）本次招标的投标报价不应高于招标控制价，高于招标控制价的报价商务标不再进行评审；</w:t>
      </w:r>
    </w:p>
    <w:p w14:paraId="06873ABA">
      <w:pPr>
        <w:spacing w:line="360" w:lineRule="auto"/>
        <w:ind w:firstLine="480" w:firstLineChars="200"/>
        <w:rPr>
          <w:rFonts w:ascii="宋体" w:hAnsi="宋体" w:cs="宋体"/>
          <w:sz w:val="24"/>
        </w:rPr>
      </w:pPr>
      <w:r>
        <w:rPr>
          <w:rFonts w:hint="eastAsia" w:ascii="宋体" w:hAnsi="宋体" w:cs="宋体"/>
          <w:sz w:val="24"/>
        </w:rPr>
        <w:t>（6）</w:t>
      </w:r>
      <w:r>
        <w:rPr>
          <w:rFonts w:hint="eastAsia" w:ascii="宋体" w:hAnsi="宋体" w:cs="宋体"/>
          <w:sz w:val="24"/>
          <w:lang w:eastAsia="zh-CN"/>
        </w:rPr>
        <w:t>响应文件</w:t>
      </w:r>
      <w:r>
        <w:rPr>
          <w:rFonts w:hint="eastAsia" w:ascii="宋体" w:hAnsi="宋体" w:cs="宋体"/>
          <w:sz w:val="24"/>
        </w:rPr>
        <w:t>报价中的单价和总价全部采用人民币表示。</w:t>
      </w:r>
    </w:p>
    <w:p w14:paraId="560253F1">
      <w:pPr>
        <w:spacing w:line="360" w:lineRule="auto"/>
        <w:ind w:firstLine="480" w:firstLineChars="200"/>
        <w:rPr>
          <w:rFonts w:ascii="宋体" w:hAnsi="宋体" w:cs="宋体"/>
          <w:sz w:val="24"/>
        </w:rPr>
      </w:pPr>
      <w:r>
        <w:rPr>
          <w:rFonts w:hint="eastAsia" w:ascii="宋体" w:hAnsi="宋体" w:cs="宋体"/>
          <w:sz w:val="24"/>
        </w:rPr>
        <w:t>3.2.14</w:t>
      </w:r>
      <w:r>
        <w:rPr>
          <w:rFonts w:hint="eastAsia" w:ascii="宋体" w:hAnsi="宋体" w:cs="宋体"/>
          <w:sz w:val="24"/>
          <w:lang w:eastAsia="zh-CN"/>
        </w:rPr>
        <w:t>供应商</w:t>
      </w:r>
      <w:r>
        <w:rPr>
          <w:rFonts w:hint="eastAsia" w:ascii="宋体" w:hAnsi="宋体" w:cs="宋体"/>
          <w:sz w:val="24"/>
        </w:rPr>
        <w:t>必须在</w:t>
      </w:r>
      <w:r>
        <w:rPr>
          <w:rFonts w:hint="eastAsia" w:ascii="宋体" w:hAnsi="宋体" w:cs="宋体"/>
          <w:sz w:val="24"/>
          <w:lang w:eastAsia="zh-CN"/>
        </w:rPr>
        <w:t>响应文件</w:t>
      </w:r>
      <w:r>
        <w:rPr>
          <w:rFonts w:hint="eastAsia" w:ascii="宋体" w:hAnsi="宋体" w:cs="宋体"/>
          <w:sz w:val="24"/>
        </w:rPr>
        <w:t>中承诺中标后能够及时、足额存入农民工工资保障金。一旦其承包的建筑工程项目中出现拖欠农民工工资情况的，可从农民工工资保障金中先予划支。</w:t>
      </w:r>
    </w:p>
    <w:p w14:paraId="4F56300D">
      <w:pPr>
        <w:spacing w:line="360" w:lineRule="auto"/>
        <w:ind w:firstLine="480" w:firstLineChars="200"/>
        <w:rPr>
          <w:rFonts w:ascii="宋体" w:hAnsi="宋体" w:cs="宋体"/>
          <w:sz w:val="24"/>
        </w:rPr>
      </w:pPr>
      <w:r>
        <w:rPr>
          <w:rFonts w:hint="eastAsia" w:ascii="宋体" w:hAnsi="宋体" w:cs="宋体"/>
          <w:sz w:val="24"/>
        </w:rPr>
        <w:t>3.2.15由</w:t>
      </w:r>
      <w:r>
        <w:rPr>
          <w:rFonts w:hint="eastAsia" w:ascii="宋体" w:hAnsi="宋体" w:cs="宋体"/>
          <w:sz w:val="24"/>
          <w:lang w:eastAsia="zh-CN"/>
        </w:rPr>
        <w:t>供应商</w:t>
      </w:r>
      <w:r>
        <w:rPr>
          <w:rFonts w:hint="eastAsia" w:ascii="宋体" w:hAnsi="宋体" w:cs="宋体"/>
          <w:sz w:val="24"/>
        </w:rPr>
        <w:t>采购的主要材料，购置前必须得到</w:t>
      </w:r>
      <w:r>
        <w:rPr>
          <w:rFonts w:hint="eastAsia" w:ascii="宋体" w:hAnsi="宋体" w:cs="宋体"/>
          <w:sz w:val="24"/>
          <w:lang w:eastAsia="zh-CN"/>
        </w:rPr>
        <w:t>采购人</w:t>
      </w:r>
      <w:r>
        <w:rPr>
          <w:rFonts w:hint="eastAsia" w:ascii="宋体" w:hAnsi="宋体" w:cs="宋体"/>
          <w:sz w:val="24"/>
        </w:rPr>
        <w:t>和监理方的认可，购置的材料在使用前按规定检验，其规格标准质量符合设计和施工规范要求。施工期若提供的材料、设备不能满足规范及</w:t>
      </w:r>
      <w:r>
        <w:rPr>
          <w:rFonts w:hint="eastAsia" w:ascii="宋体" w:hAnsi="宋体" w:cs="宋体"/>
          <w:sz w:val="24"/>
          <w:lang w:eastAsia="zh-CN"/>
        </w:rPr>
        <w:t>采购人</w:t>
      </w:r>
      <w:r>
        <w:rPr>
          <w:rFonts w:hint="eastAsia" w:ascii="宋体" w:hAnsi="宋体" w:cs="宋体"/>
          <w:sz w:val="24"/>
        </w:rPr>
        <w:t>的相关要求，</w:t>
      </w:r>
      <w:r>
        <w:rPr>
          <w:rFonts w:hint="eastAsia" w:ascii="宋体" w:hAnsi="宋体" w:cs="宋体"/>
          <w:sz w:val="24"/>
          <w:lang w:eastAsia="zh-CN"/>
        </w:rPr>
        <w:t>采购人</w:t>
      </w:r>
      <w:r>
        <w:rPr>
          <w:rFonts w:hint="eastAsia" w:ascii="宋体" w:hAnsi="宋体" w:cs="宋体"/>
          <w:sz w:val="24"/>
        </w:rPr>
        <w:t>有权直接指定材料、设备品牌。</w:t>
      </w:r>
    </w:p>
    <w:p w14:paraId="79F68A67">
      <w:pPr>
        <w:spacing w:line="360" w:lineRule="auto"/>
        <w:ind w:firstLine="480" w:firstLineChars="200"/>
        <w:rPr>
          <w:rFonts w:ascii="宋体" w:hAnsi="宋体" w:cs="宋体"/>
          <w:sz w:val="24"/>
        </w:rPr>
      </w:pPr>
      <w:r>
        <w:rPr>
          <w:rFonts w:hint="eastAsia" w:ascii="宋体" w:hAnsi="宋体" w:cs="宋体"/>
          <w:sz w:val="24"/>
        </w:rPr>
        <w:t>3.2.16 因业主原因造成的工程量、材料等变更、签证的工程量清单项目，其对应的综合单价按下列方法确定：</w:t>
      </w:r>
    </w:p>
    <w:p w14:paraId="558D9A8D">
      <w:pPr>
        <w:spacing w:line="360" w:lineRule="auto"/>
        <w:ind w:firstLine="480" w:firstLineChars="200"/>
        <w:rPr>
          <w:rFonts w:ascii="宋体" w:hAnsi="宋体" w:cs="宋体"/>
          <w:sz w:val="24"/>
        </w:rPr>
      </w:pPr>
      <w:r>
        <w:rPr>
          <w:rFonts w:hint="eastAsia" w:ascii="宋体" w:hAnsi="宋体" w:cs="宋体"/>
          <w:sz w:val="24"/>
        </w:rPr>
        <w:t>1）合同中已有适用的综合单价，按合同中已有的综合单价确定；</w:t>
      </w:r>
    </w:p>
    <w:p w14:paraId="4C04E282">
      <w:pPr>
        <w:spacing w:line="360" w:lineRule="auto"/>
        <w:ind w:firstLine="480" w:firstLineChars="200"/>
        <w:rPr>
          <w:rFonts w:ascii="宋体" w:hAnsi="宋体" w:cs="宋体"/>
          <w:sz w:val="24"/>
        </w:rPr>
      </w:pPr>
      <w:r>
        <w:rPr>
          <w:rFonts w:hint="eastAsia" w:ascii="宋体" w:hAnsi="宋体" w:cs="宋体"/>
          <w:sz w:val="24"/>
        </w:rPr>
        <w:t>2）合同中有类似的综合单价，参照类似的综合单价确定；</w:t>
      </w:r>
    </w:p>
    <w:p w14:paraId="5BCB98FD">
      <w:pPr>
        <w:spacing w:line="360" w:lineRule="auto"/>
        <w:ind w:firstLine="480" w:firstLineChars="200"/>
        <w:rPr>
          <w:rFonts w:ascii="宋体" w:hAnsi="宋体" w:cs="宋体"/>
          <w:sz w:val="24"/>
        </w:rPr>
      </w:pPr>
      <w:r>
        <w:rPr>
          <w:rFonts w:hint="eastAsia" w:ascii="宋体" w:hAnsi="宋体" w:cs="宋体"/>
          <w:sz w:val="24"/>
        </w:rPr>
        <w:t>3）合同中没有适用或类似的综合单价，由承包人提出综合单价，经发包人确认后执行。</w:t>
      </w:r>
    </w:p>
    <w:p w14:paraId="0088BEF3">
      <w:pPr>
        <w:spacing w:line="360" w:lineRule="auto"/>
        <w:ind w:firstLine="480" w:firstLineChars="200"/>
        <w:rPr>
          <w:rFonts w:ascii="宋体" w:hAnsi="宋体" w:cs="宋体"/>
          <w:sz w:val="24"/>
        </w:rPr>
      </w:pPr>
      <w:r>
        <w:rPr>
          <w:rFonts w:hint="eastAsia" w:ascii="宋体" w:hAnsi="宋体" w:cs="宋体"/>
          <w:sz w:val="24"/>
        </w:rPr>
        <w:t>3.2.17本工程最终结算价以审计结果为准。</w:t>
      </w:r>
    </w:p>
    <w:p w14:paraId="1C0A0C3F">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3.3 投标有效期</w:t>
      </w:r>
    </w:p>
    <w:p w14:paraId="292F7105">
      <w:pPr>
        <w:spacing w:line="360" w:lineRule="auto"/>
        <w:ind w:firstLine="480" w:firstLineChars="200"/>
        <w:rPr>
          <w:rFonts w:ascii="宋体" w:hAnsi="宋体" w:cs="宋体"/>
          <w:sz w:val="24"/>
        </w:rPr>
      </w:pPr>
      <w:r>
        <w:rPr>
          <w:rFonts w:hint="eastAsia" w:ascii="宋体" w:hAnsi="宋体" w:cs="宋体"/>
          <w:sz w:val="24"/>
        </w:rPr>
        <w:t>3.3.1 在</w:t>
      </w:r>
      <w:r>
        <w:rPr>
          <w:rFonts w:hint="eastAsia" w:ascii="宋体" w:hAnsi="宋体" w:cs="宋体"/>
          <w:sz w:val="24"/>
          <w:lang w:eastAsia="zh-CN"/>
        </w:rPr>
        <w:t>供应商</w:t>
      </w:r>
      <w:r>
        <w:rPr>
          <w:rFonts w:hint="eastAsia" w:ascii="宋体" w:hAnsi="宋体" w:cs="宋体"/>
          <w:sz w:val="24"/>
        </w:rPr>
        <w:t>须知前附表规定的投标有效期内，</w:t>
      </w:r>
      <w:r>
        <w:rPr>
          <w:rFonts w:hint="eastAsia" w:ascii="宋体" w:hAnsi="宋体" w:cs="宋体"/>
          <w:sz w:val="24"/>
          <w:lang w:eastAsia="zh-CN"/>
        </w:rPr>
        <w:t>供应商</w:t>
      </w:r>
      <w:r>
        <w:rPr>
          <w:rFonts w:hint="eastAsia" w:ascii="宋体" w:hAnsi="宋体" w:cs="宋体"/>
          <w:sz w:val="24"/>
        </w:rPr>
        <w:t>不得要求撤销或修改其</w:t>
      </w:r>
      <w:r>
        <w:rPr>
          <w:rFonts w:hint="eastAsia" w:ascii="宋体" w:hAnsi="宋体" w:cs="宋体"/>
          <w:sz w:val="24"/>
          <w:lang w:eastAsia="zh-CN"/>
        </w:rPr>
        <w:t>响应文件</w:t>
      </w:r>
      <w:r>
        <w:rPr>
          <w:rFonts w:hint="eastAsia" w:ascii="宋体" w:hAnsi="宋体" w:cs="宋体"/>
          <w:sz w:val="24"/>
        </w:rPr>
        <w:t>。</w:t>
      </w:r>
    </w:p>
    <w:p w14:paraId="489A6B32">
      <w:pPr>
        <w:spacing w:line="360" w:lineRule="auto"/>
        <w:ind w:firstLine="480" w:firstLineChars="200"/>
        <w:rPr>
          <w:rFonts w:ascii="宋体" w:hAnsi="宋体" w:cs="宋体"/>
          <w:sz w:val="24"/>
        </w:rPr>
      </w:pPr>
      <w:r>
        <w:rPr>
          <w:rFonts w:hint="eastAsia" w:ascii="宋体" w:hAnsi="宋体" w:cs="宋体"/>
          <w:sz w:val="24"/>
        </w:rPr>
        <w:t>3.3.2 出现特殊情况需要延长投标有效期的，</w:t>
      </w:r>
      <w:r>
        <w:rPr>
          <w:rFonts w:hint="eastAsia" w:ascii="宋体" w:hAnsi="宋体" w:cs="宋体"/>
          <w:sz w:val="24"/>
          <w:lang w:eastAsia="zh-CN"/>
        </w:rPr>
        <w:t>采购人</w:t>
      </w:r>
      <w:r>
        <w:rPr>
          <w:rFonts w:hint="eastAsia" w:ascii="宋体" w:hAnsi="宋体" w:cs="宋体"/>
          <w:sz w:val="24"/>
        </w:rPr>
        <w:t>以书面形式通知所有</w:t>
      </w:r>
      <w:r>
        <w:rPr>
          <w:rFonts w:hint="eastAsia" w:ascii="宋体" w:hAnsi="宋体" w:cs="宋体"/>
          <w:sz w:val="24"/>
          <w:lang w:eastAsia="zh-CN"/>
        </w:rPr>
        <w:t>供应商</w:t>
      </w:r>
      <w:r>
        <w:rPr>
          <w:rFonts w:hint="eastAsia" w:ascii="宋体" w:hAnsi="宋体" w:cs="宋体"/>
          <w:sz w:val="24"/>
        </w:rPr>
        <w:t>延长投标有效期。</w:t>
      </w:r>
      <w:r>
        <w:rPr>
          <w:rFonts w:hint="eastAsia" w:ascii="宋体" w:hAnsi="宋体" w:cs="宋体"/>
          <w:sz w:val="24"/>
          <w:lang w:eastAsia="zh-CN"/>
        </w:rPr>
        <w:t>供应商</w:t>
      </w:r>
      <w:r>
        <w:rPr>
          <w:rFonts w:hint="eastAsia" w:ascii="宋体" w:hAnsi="宋体" w:cs="宋体"/>
          <w:sz w:val="24"/>
        </w:rPr>
        <w:t>同意延长的，应相应延长其投标保证金的有效期，但不得要求或被允许修改或撤销其</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拒绝延长的，其投标失效，但</w:t>
      </w:r>
      <w:r>
        <w:rPr>
          <w:rFonts w:hint="eastAsia" w:ascii="宋体" w:hAnsi="宋体" w:cs="宋体"/>
          <w:sz w:val="24"/>
          <w:lang w:eastAsia="zh-CN"/>
        </w:rPr>
        <w:t>供应商</w:t>
      </w:r>
      <w:r>
        <w:rPr>
          <w:rFonts w:hint="eastAsia" w:ascii="宋体" w:hAnsi="宋体" w:cs="宋体"/>
          <w:sz w:val="24"/>
        </w:rPr>
        <w:t>有权收回其投标保证金。</w:t>
      </w:r>
    </w:p>
    <w:p w14:paraId="634532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3.4 投标保证金</w:t>
      </w:r>
    </w:p>
    <w:p w14:paraId="59CE7747">
      <w:pPr>
        <w:pStyle w:val="6"/>
        <w:keepNext w:val="0"/>
        <w:keepLines w:val="0"/>
        <w:widowControl/>
        <w:ind w:firstLine="480" w:firstLineChars="200"/>
        <w:rPr>
          <w:rFonts w:ascii="宋体" w:hAnsi="宋体" w:cs="宋体"/>
          <w:b w:val="0"/>
          <w:sz w:val="24"/>
        </w:rPr>
      </w:pPr>
      <w:r>
        <w:rPr>
          <w:rFonts w:hint="eastAsia" w:ascii="宋体" w:hAnsi="宋体" w:cs="宋体"/>
          <w:b w:val="0"/>
          <w:sz w:val="24"/>
        </w:rPr>
        <w:t>3.4.1</w:t>
      </w:r>
      <w:r>
        <w:rPr>
          <w:rFonts w:hint="eastAsia" w:ascii="宋体" w:hAnsi="宋体" w:cs="宋体"/>
          <w:b w:val="0"/>
          <w:sz w:val="24"/>
          <w:lang w:eastAsia="zh-CN"/>
        </w:rPr>
        <w:t>供应商</w:t>
      </w:r>
      <w:r>
        <w:rPr>
          <w:rFonts w:hint="eastAsia" w:ascii="宋体" w:hAnsi="宋体" w:cs="宋体"/>
          <w:b w:val="0"/>
          <w:sz w:val="24"/>
        </w:rPr>
        <w:t>在递交</w:t>
      </w:r>
      <w:r>
        <w:rPr>
          <w:rFonts w:hint="eastAsia" w:ascii="宋体" w:hAnsi="宋体" w:cs="宋体"/>
          <w:b w:val="0"/>
          <w:sz w:val="24"/>
          <w:lang w:eastAsia="zh-CN"/>
        </w:rPr>
        <w:t>响应文件</w:t>
      </w:r>
      <w:r>
        <w:rPr>
          <w:rFonts w:hint="eastAsia" w:ascii="宋体" w:hAnsi="宋体" w:cs="宋体"/>
          <w:b w:val="0"/>
          <w:sz w:val="24"/>
        </w:rPr>
        <w:t>的同时，应按</w:t>
      </w:r>
      <w:r>
        <w:rPr>
          <w:rFonts w:hint="eastAsia" w:ascii="宋体" w:hAnsi="宋体" w:cs="宋体"/>
          <w:b w:val="0"/>
          <w:sz w:val="24"/>
          <w:lang w:eastAsia="zh-CN"/>
        </w:rPr>
        <w:t>供应商</w:t>
      </w:r>
      <w:r>
        <w:rPr>
          <w:rFonts w:hint="eastAsia" w:ascii="宋体" w:hAnsi="宋体" w:cs="宋体"/>
          <w:b w:val="0"/>
          <w:sz w:val="24"/>
        </w:rPr>
        <w:t>须知前附表规定的金额、形式递交投标保证金，并作为其</w:t>
      </w:r>
      <w:r>
        <w:rPr>
          <w:rFonts w:hint="eastAsia" w:ascii="宋体" w:hAnsi="宋体" w:cs="宋体"/>
          <w:b w:val="0"/>
          <w:sz w:val="24"/>
          <w:lang w:eastAsia="zh-CN"/>
        </w:rPr>
        <w:t>响应文件</w:t>
      </w:r>
      <w:r>
        <w:rPr>
          <w:rFonts w:hint="eastAsia" w:ascii="宋体" w:hAnsi="宋体" w:cs="宋体"/>
          <w:b w:val="0"/>
          <w:sz w:val="24"/>
        </w:rPr>
        <w:t>的组成部分。</w:t>
      </w:r>
      <w:r>
        <w:rPr>
          <w:rFonts w:hint="eastAsia" w:ascii="宋体" w:hAnsi="宋体" w:cs="宋体"/>
          <w:b w:val="0"/>
          <w:sz w:val="24"/>
          <w:lang w:eastAsia="zh-CN"/>
        </w:rPr>
        <w:t>供应商</w:t>
      </w:r>
      <w:r>
        <w:rPr>
          <w:rFonts w:hint="eastAsia" w:ascii="宋体" w:hAnsi="宋体" w:cs="宋体"/>
          <w:b w:val="0"/>
          <w:sz w:val="24"/>
        </w:rPr>
        <w:t>以转账形式提交的投标保证金，应当从其基本账户转出并在</w:t>
      </w:r>
      <w:r>
        <w:rPr>
          <w:rFonts w:hint="eastAsia" w:ascii="宋体" w:hAnsi="宋体" w:cs="宋体"/>
          <w:b w:val="0"/>
          <w:sz w:val="24"/>
          <w:lang w:eastAsia="zh-CN"/>
        </w:rPr>
        <w:t>响应文件</w:t>
      </w:r>
      <w:r>
        <w:rPr>
          <w:rFonts w:hint="eastAsia" w:ascii="宋体" w:hAnsi="宋体" w:cs="宋体"/>
          <w:b w:val="0"/>
          <w:sz w:val="24"/>
        </w:rPr>
        <w:t>中附上基本账户开户证明。</w:t>
      </w:r>
    </w:p>
    <w:p w14:paraId="4B701AF2">
      <w:pPr>
        <w:pStyle w:val="6"/>
        <w:keepNext w:val="0"/>
        <w:keepLines w:val="0"/>
        <w:widowControl/>
        <w:ind w:firstLine="480" w:firstLineChars="200"/>
        <w:rPr>
          <w:rFonts w:ascii="宋体" w:hAnsi="宋体" w:cs="宋体"/>
          <w:b w:val="0"/>
          <w:sz w:val="24"/>
        </w:rPr>
      </w:pPr>
      <w:r>
        <w:rPr>
          <w:rFonts w:hint="eastAsia" w:ascii="宋体" w:hAnsi="宋体" w:cs="宋体"/>
          <w:b w:val="0"/>
          <w:sz w:val="24"/>
        </w:rPr>
        <w:t>3.4.2</w:t>
      </w:r>
      <w:r>
        <w:rPr>
          <w:rFonts w:hint="eastAsia" w:ascii="宋体" w:hAnsi="宋体" w:cs="宋体"/>
          <w:b w:val="0"/>
          <w:sz w:val="24"/>
          <w:lang w:eastAsia="zh-CN"/>
        </w:rPr>
        <w:t>供应商</w:t>
      </w:r>
      <w:r>
        <w:rPr>
          <w:rFonts w:hint="eastAsia" w:ascii="宋体" w:hAnsi="宋体" w:cs="宋体"/>
          <w:b w:val="0"/>
          <w:sz w:val="24"/>
        </w:rPr>
        <w:t>不按本章第3.4项要求提交投标保证金的，评标委员会将否决其投标。</w:t>
      </w:r>
    </w:p>
    <w:p w14:paraId="6B2441D9">
      <w:pPr>
        <w:pStyle w:val="6"/>
        <w:keepNext w:val="0"/>
        <w:keepLines w:val="0"/>
        <w:widowControl/>
        <w:ind w:firstLine="480" w:firstLineChars="200"/>
        <w:rPr>
          <w:rFonts w:ascii="宋体" w:hAnsi="宋体" w:cs="宋体"/>
          <w:b w:val="0"/>
          <w:sz w:val="24"/>
        </w:rPr>
      </w:pPr>
      <w:r>
        <w:rPr>
          <w:rFonts w:hint="eastAsia" w:ascii="宋体" w:hAnsi="宋体" w:cs="宋体"/>
          <w:b w:val="0"/>
          <w:sz w:val="24"/>
        </w:rPr>
        <w:t>3.4.3投标保证金的退还：</w:t>
      </w:r>
    </w:p>
    <w:p w14:paraId="1BF74BDD">
      <w:pPr>
        <w:pStyle w:val="6"/>
        <w:keepNext w:val="0"/>
        <w:keepLines w:val="0"/>
        <w:widowControl/>
        <w:ind w:firstLine="480" w:firstLineChars="200"/>
        <w:rPr>
          <w:rFonts w:ascii="宋体" w:hAnsi="宋体" w:cs="宋体"/>
          <w:b w:val="0"/>
          <w:sz w:val="24"/>
        </w:rPr>
      </w:pPr>
      <w:r>
        <w:rPr>
          <w:rFonts w:hint="eastAsia" w:ascii="宋体" w:hAnsi="宋体" w:cs="宋体"/>
          <w:b w:val="0"/>
          <w:sz w:val="24"/>
        </w:rPr>
        <w:t>评标结束后，确定中标单位，发布中标公示，公示期结束后，交易中心统一办理（无需</w:t>
      </w:r>
      <w:r>
        <w:rPr>
          <w:rFonts w:hint="eastAsia" w:ascii="宋体" w:hAnsi="宋体" w:cs="宋体"/>
          <w:b w:val="0"/>
          <w:sz w:val="24"/>
          <w:lang w:eastAsia="zh-CN"/>
        </w:rPr>
        <w:t>供应商</w:t>
      </w:r>
      <w:r>
        <w:rPr>
          <w:rFonts w:hint="eastAsia" w:ascii="宋体" w:hAnsi="宋体" w:cs="宋体"/>
          <w:b w:val="0"/>
          <w:sz w:val="24"/>
        </w:rPr>
        <w:t>办理）。未中标人的保证金在结果公告发布后，系统自动提交退款申请至中心财务处，由财务核对后自动退还给未中标人基本账户；中标人的保证金在合同签订后，由代理机构上传合同扫描件，经项目负责人确认后，系统自动提交退款申请至中心财务处，由财务核对后自动退还给中标人基本账户招投标活动中因发生质疑、投诉、举报或有关部门立案调查，投标保证金暂不退还，待调查处理结案后，按有关规定办理。</w:t>
      </w:r>
    </w:p>
    <w:p w14:paraId="2289A46D">
      <w:pPr>
        <w:pStyle w:val="6"/>
        <w:keepNext w:val="0"/>
        <w:keepLines w:val="0"/>
        <w:widowControl/>
        <w:ind w:firstLine="480" w:firstLineChars="200"/>
        <w:rPr>
          <w:rFonts w:ascii="宋体" w:hAnsi="宋体" w:cs="宋体"/>
          <w:b w:val="0"/>
          <w:sz w:val="24"/>
        </w:rPr>
      </w:pPr>
      <w:r>
        <w:rPr>
          <w:rFonts w:hint="eastAsia" w:ascii="宋体" w:hAnsi="宋体" w:cs="宋体"/>
          <w:b w:val="0"/>
          <w:sz w:val="24"/>
        </w:rPr>
        <w:t>3.4.4有下列情形之一的，投标保证金将不予退还：</w:t>
      </w:r>
    </w:p>
    <w:p w14:paraId="1B9C03BC">
      <w:pPr>
        <w:pStyle w:val="6"/>
        <w:keepNext w:val="0"/>
        <w:keepLines w:val="0"/>
        <w:widowControl/>
        <w:ind w:firstLine="480" w:firstLineChars="200"/>
        <w:rPr>
          <w:rFonts w:ascii="宋体" w:hAnsi="宋体" w:cs="宋体"/>
          <w:b w:val="0"/>
          <w:sz w:val="24"/>
        </w:rPr>
      </w:pPr>
      <w:r>
        <w:rPr>
          <w:rFonts w:hint="eastAsia" w:ascii="宋体" w:hAnsi="宋体" w:cs="宋体"/>
          <w:b w:val="0"/>
          <w:sz w:val="24"/>
        </w:rPr>
        <w:t>(1）</w:t>
      </w:r>
      <w:r>
        <w:rPr>
          <w:rFonts w:hint="eastAsia" w:ascii="宋体" w:hAnsi="宋体" w:cs="宋体"/>
          <w:b w:val="0"/>
          <w:sz w:val="24"/>
          <w:lang w:eastAsia="zh-CN"/>
        </w:rPr>
        <w:t>供应商</w:t>
      </w:r>
      <w:r>
        <w:rPr>
          <w:rFonts w:hint="eastAsia" w:ascii="宋体" w:hAnsi="宋体" w:cs="宋体"/>
          <w:b w:val="0"/>
          <w:sz w:val="24"/>
        </w:rPr>
        <w:t>在规定的投标有效期内撤销或修改其</w:t>
      </w:r>
      <w:r>
        <w:rPr>
          <w:rFonts w:hint="eastAsia" w:ascii="宋体" w:hAnsi="宋体" w:cs="宋体"/>
          <w:b w:val="0"/>
          <w:sz w:val="24"/>
          <w:lang w:eastAsia="zh-CN"/>
        </w:rPr>
        <w:t>响应文件</w:t>
      </w:r>
      <w:r>
        <w:rPr>
          <w:rFonts w:hint="eastAsia" w:ascii="宋体" w:hAnsi="宋体" w:cs="宋体"/>
          <w:b w:val="0"/>
          <w:sz w:val="24"/>
        </w:rPr>
        <w:t>；</w:t>
      </w:r>
    </w:p>
    <w:p w14:paraId="63B6AD68">
      <w:pPr>
        <w:pStyle w:val="6"/>
        <w:keepNext w:val="0"/>
        <w:keepLines w:val="0"/>
        <w:widowControl/>
        <w:ind w:firstLine="480" w:firstLineChars="200"/>
        <w:rPr>
          <w:rFonts w:ascii="宋体" w:hAnsi="宋体" w:cs="宋体"/>
          <w:b w:val="0"/>
          <w:sz w:val="24"/>
        </w:rPr>
      </w:pPr>
      <w:r>
        <w:rPr>
          <w:rFonts w:hint="eastAsia" w:ascii="宋体" w:hAnsi="宋体" w:cs="宋体"/>
          <w:b w:val="0"/>
          <w:sz w:val="24"/>
        </w:rPr>
        <w:t>（2）</w:t>
      </w:r>
      <w:r>
        <w:rPr>
          <w:rFonts w:hint="eastAsia" w:ascii="宋体" w:hAnsi="宋体" w:cs="宋体"/>
          <w:b w:val="0"/>
          <w:sz w:val="24"/>
          <w:lang w:eastAsia="zh-CN"/>
        </w:rPr>
        <w:t>供应商</w:t>
      </w:r>
      <w:r>
        <w:rPr>
          <w:rFonts w:hint="eastAsia" w:ascii="宋体" w:hAnsi="宋体" w:cs="宋体"/>
          <w:b w:val="0"/>
          <w:sz w:val="24"/>
        </w:rPr>
        <w:t>在招投标活动中弄虚作假、围标串标等骗取中标并经招标投标监督机构调查核实；</w:t>
      </w:r>
    </w:p>
    <w:p w14:paraId="642000C8">
      <w:pPr>
        <w:pStyle w:val="6"/>
        <w:keepNext w:val="0"/>
        <w:keepLines w:val="0"/>
        <w:widowControl/>
        <w:ind w:firstLine="480" w:firstLineChars="200"/>
        <w:rPr>
          <w:rFonts w:ascii="宋体" w:hAnsi="宋体" w:cs="宋体"/>
          <w:b w:val="0"/>
          <w:sz w:val="24"/>
        </w:rPr>
      </w:pPr>
      <w:r>
        <w:rPr>
          <w:rFonts w:hint="eastAsia" w:ascii="宋体" w:hAnsi="宋体" w:cs="宋体"/>
          <w:b w:val="0"/>
          <w:sz w:val="24"/>
        </w:rPr>
        <w:t>（3）评标结果公示期结束后，中标人无故放弃中标项目或无正当理由不在规定时间内领取中标通知书，或未按规定支付招标代理机构服务费。</w:t>
      </w:r>
    </w:p>
    <w:p w14:paraId="1AF4F7DC">
      <w:pPr>
        <w:pStyle w:val="6"/>
        <w:keepNext w:val="0"/>
        <w:keepLines w:val="0"/>
        <w:widowControl/>
        <w:ind w:firstLine="480" w:firstLineChars="200"/>
        <w:rPr>
          <w:rFonts w:ascii="宋体" w:hAnsi="宋体" w:cs="宋体"/>
          <w:b w:val="0"/>
          <w:sz w:val="24"/>
        </w:rPr>
      </w:pPr>
      <w:r>
        <w:rPr>
          <w:rFonts w:hint="eastAsia" w:ascii="宋体" w:hAnsi="宋体" w:cs="宋体"/>
          <w:b w:val="0"/>
          <w:sz w:val="24"/>
        </w:rPr>
        <w:t>(4）中标人在收到中标通知书后，无正当理由拒签合同协议书或未按</w:t>
      </w:r>
      <w:r>
        <w:rPr>
          <w:rFonts w:hint="eastAsia" w:ascii="宋体" w:hAnsi="宋体" w:cs="宋体"/>
          <w:b w:val="0"/>
          <w:sz w:val="24"/>
          <w:lang w:eastAsia="zh-CN"/>
        </w:rPr>
        <w:t>竞争性磋商文件</w:t>
      </w:r>
      <w:r>
        <w:rPr>
          <w:rFonts w:hint="eastAsia" w:ascii="宋体" w:hAnsi="宋体" w:cs="宋体"/>
          <w:b w:val="0"/>
          <w:sz w:val="24"/>
        </w:rPr>
        <w:t>规定提交履约担保。</w:t>
      </w:r>
    </w:p>
    <w:p w14:paraId="282702D2">
      <w:pPr>
        <w:pStyle w:val="6"/>
        <w:keepNext w:val="0"/>
        <w:keepLines w:val="0"/>
        <w:widowControl/>
        <w:ind w:firstLine="480" w:firstLineChars="200"/>
        <w:rPr>
          <w:rFonts w:ascii="宋体" w:hAnsi="宋体" w:cs="宋体"/>
          <w:b w:val="0"/>
          <w:sz w:val="24"/>
        </w:rPr>
      </w:pPr>
      <w:r>
        <w:rPr>
          <w:rFonts w:hint="eastAsia" w:ascii="宋体" w:hAnsi="宋体" w:cs="宋体"/>
          <w:b w:val="0"/>
          <w:sz w:val="24"/>
        </w:rPr>
        <w:t>(5)法律法规、规章及</w:t>
      </w:r>
      <w:r>
        <w:rPr>
          <w:rFonts w:hint="eastAsia" w:ascii="宋体" w:hAnsi="宋体" w:cs="宋体"/>
          <w:b w:val="0"/>
          <w:sz w:val="24"/>
          <w:lang w:eastAsia="zh-CN"/>
        </w:rPr>
        <w:t>竞争性磋商文件</w:t>
      </w:r>
      <w:r>
        <w:rPr>
          <w:rFonts w:hint="eastAsia" w:ascii="宋体" w:hAnsi="宋体" w:cs="宋体"/>
          <w:b w:val="0"/>
          <w:sz w:val="24"/>
        </w:rPr>
        <w:t>规定的其它不予退还的情形。</w:t>
      </w:r>
    </w:p>
    <w:p w14:paraId="57A5ECCA">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3.5 企业基本情况资料</w:t>
      </w:r>
    </w:p>
    <w:p w14:paraId="3C25F692">
      <w:pPr>
        <w:spacing w:line="360" w:lineRule="auto"/>
        <w:ind w:firstLine="480" w:firstLineChars="200"/>
        <w:rPr>
          <w:rFonts w:ascii="宋体" w:hAnsi="宋体" w:cs="宋体"/>
          <w:sz w:val="24"/>
        </w:rPr>
      </w:pPr>
      <w:r>
        <w:rPr>
          <w:rFonts w:hint="eastAsia" w:ascii="宋体" w:hAnsi="宋体" w:cs="宋体"/>
          <w:sz w:val="24"/>
        </w:rPr>
        <w:t>3.5.1 “</w:t>
      </w:r>
      <w:r>
        <w:rPr>
          <w:rFonts w:hint="eastAsia" w:ascii="宋体" w:hAnsi="宋体" w:cs="宋体"/>
          <w:sz w:val="24"/>
          <w:lang w:eastAsia="zh-CN"/>
        </w:rPr>
        <w:t>供应商</w:t>
      </w:r>
      <w:r>
        <w:rPr>
          <w:rFonts w:hint="eastAsia" w:ascii="宋体" w:hAnsi="宋体" w:cs="宋体"/>
          <w:sz w:val="24"/>
        </w:rPr>
        <w:t>基本情况表”应附</w:t>
      </w:r>
      <w:r>
        <w:rPr>
          <w:rFonts w:hint="eastAsia" w:ascii="宋体" w:hAnsi="宋体" w:cs="宋体"/>
          <w:sz w:val="24"/>
          <w:lang w:eastAsia="zh-CN"/>
        </w:rPr>
        <w:t>供应商</w:t>
      </w:r>
      <w:r>
        <w:rPr>
          <w:rFonts w:hint="eastAsia" w:ascii="宋体" w:hAnsi="宋体" w:cs="宋体"/>
          <w:sz w:val="24"/>
        </w:rPr>
        <w:t>营业执照副本、企业资质证书副本、安全生产许可证等材料的原件扫描件。</w:t>
      </w:r>
    </w:p>
    <w:p w14:paraId="4C72D0EB">
      <w:pPr>
        <w:spacing w:line="360" w:lineRule="auto"/>
        <w:ind w:firstLine="480" w:firstLineChars="200"/>
        <w:rPr>
          <w:rFonts w:ascii="宋体" w:hAnsi="宋体" w:cs="宋体"/>
          <w:sz w:val="24"/>
        </w:rPr>
      </w:pPr>
      <w:r>
        <w:rPr>
          <w:rFonts w:hint="eastAsia" w:ascii="宋体" w:hAnsi="宋体" w:cs="宋体"/>
          <w:sz w:val="24"/>
        </w:rPr>
        <w:t>3.5.2 “近年财务状况表”应附经会计师事务所或审计机构审计的财务会计报表，包括资产负债表、现金流量表、利润表和财务情况说明书（如有）的原件扫描件，具体年份要求见</w:t>
      </w:r>
      <w:r>
        <w:rPr>
          <w:rFonts w:hint="eastAsia" w:ascii="宋体" w:hAnsi="宋体" w:cs="宋体"/>
          <w:sz w:val="24"/>
          <w:lang w:eastAsia="zh-CN"/>
        </w:rPr>
        <w:t>供应商</w:t>
      </w:r>
      <w:r>
        <w:rPr>
          <w:rFonts w:hint="eastAsia" w:ascii="宋体" w:hAnsi="宋体" w:cs="宋体"/>
          <w:sz w:val="24"/>
        </w:rPr>
        <w:t>须知表。</w:t>
      </w:r>
    </w:p>
    <w:p w14:paraId="0455FA77">
      <w:pPr>
        <w:spacing w:line="360" w:lineRule="auto"/>
        <w:ind w:firstLine="480" w:firstLineChars="200"/>
        <w:rPr>
          <w:rFonts w:ascii="宋体" w:hAnsi="宋体" w:cs="宋体"/>
          <w:sz w:val="24"/>
        </w:rPr>
      </w:pPr>
      <w:r>
        <w:rPr>
          <w:rFonts w:hint="eastAsia" w:ascii="宋体" w:hAnsi="宋体" w:cs="宋体"/>
          <w:sz w:val="24"/>
        </w:rPr>
        <w:t>3.5.3 “近年完成的类似项目情况表”应同时提供中标通知书、合同协议书的原件扫描件，具体年份要求见</w:t>
      </w:r>
      <w:r>
        <w:rPr>
          <w:rFonts w:hint="eastAsia" w:ascii="宋体" w:hAnsi="宋体" w:cs="宋体"/>
          <w:sz w:val="24"/>
          <w:lang w:eastAsia="zh-CN"/>
        </w:rPr>
        <w:t>供应商</w:t>
      </w:r>
      <w:r>
        <w:rPr>
          <w:rFonts w:hint="eastAsia" w:ascii="宋体" w:hAnsi="宋体" w:cs="宋体"/>
          <w:sz w:val="24"/>
        </w:rPr>
        <w:t>须知前附表。每张表格只填写一个项目，并标明序号。</w:t>
      </w:r>
    </w:p>
    <w:p w14:paraId="5D397AF6">
      <w:pPr>
        <w:spacing w:line="360" w:lineRule="auto"/>
        <w:ind w:firstLine="480" w:firstLineChars="200"/>
        <w:rPr>
          <w:rFonts w:ascii="宋体" w:hAnsi="宋体" w:cs="宋体"/>
          <w:sz w:val="24"/>
        </w:rPr>
      </w:pPr>
      <w:r>
        <w:rPr>
          <w:rFonts w:hint="eastAsia" w:ascii="宋体" w:hAnsi="宋体" w:cs="宋体"/>
          <w:sz w:val="24"/>
        </w:rPr>
        <w:t>3.5.4 “正在施工和新承接的项目情况表”应同时提供中标通知书、合同协议书的原件扫描件。每张表格只填写一个项目，并标明序号。</w:t>
      </w:r>
    </w:p>
    <w:p w14:paraId="04546EAC">
      <w:pPr>
        <w:spacing w:line="360" w:lineRule="auto"/>
        <w:ind w:firstLine="480" w:firstLineChars="200"/>
        <w:rPr>
          <w:rFonts w:ascii="宋体" w:hAnsi="宋体" w:cs="宋体"/>
          <w:sz w:val="24"/>
        </w:rPr>
      </w:pPr>
      <w:r>
        <w:rPr>
          <w:rFonts w:hint="eastAsia" w:ascii="宋体" w:hAnsi="宋体" w:cs="宋体"/>
          <w:sz w:val="24"/>
        </w:rPr>
        <w:t>3.5.5 “近年发生的诉讼及仲裁情况”应说明相关情况，并附法院或仲裁机构作出的判决、裁决等有关法律文书的原件扫描件，具体年份要求见</w:t>
      </w:r>
      <w:r>
        <w:rPr>
          <w:rFonts w:hint="eastAsia" w:ascii="宋体" w:hAnsi="宋体" w:cs="宋体"/>
          <w:sz w:val="24"/>
          <w:lang w:eastAsia="zh-CN"/>
        </w:rPr>
        <w:t>供应商</w:t>
      </w:r>
      <w:r>
        <w:rPr>
          <w:rFonts w:hint="eastAsia" w:ascii="宋体" w:hAnsi="宋体" w:cs="宋体"/>
          <w:sz w:val="24"/>
        </w:rPr>
        <w:t>须知前附表。</w:t>
      </w:r>
    </w:p>
    <w:p w14:paraId="6AA6D6F0">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3.6 备选投标方案</w:t>
      </w:r>
    </w:p>
    <w:p w14:paraId="689EE1A0">
      <w:pPr>
        <w:spacing w:line="360" w:lineRule="auto"/>
        <w:ind w:firstLine="480" w:firstLineChars="200"/>
        <w:rPr>
          <w:rFonts w:ascii="宋体" w:hAnsi="宋体" w:cs="宋体"/>
          <w:sz w:val="24"/>
        </w:rPr>
      </w:pPr>
      <w:r>
        <w:rPr>
          <w:rFonts w:hint="eastAsia" w:ascii="宋体" w:hAnsi="宋体" w:cs="宋体"/>
          <w:sz w:val="24"/>
        </w:rPr>
        <w:t>除</w:t>
      </w:r>
      <w:r>
        <w:rPr>
          <w:rFonts w:hint="eastAsia" w:ascii="宋体" w:hAnsi="宋体" w:cs="宋体"/>
          <w:sz w:val="24"/>
          <w:lang w:eastAsia="zh-CN"/>
        </w:rPr>
        <w:t>供应商</w:t>
      </w:r>
      <w:r>
        <w:rPr>
          <w:rFonts w:hint="eastAsia" w:ascii="宋体" w:hAnsi="宋体" w:cs="宋体"/>
          <w:sz w:val="24"/>
        </w:rPr>
        <w:t>须知前附表另有规定外，</w:t>
      </w:r>
      <w:r>
        <w:rPr>
          <w:rFonts w:hint="eastAsia" w:ascii="宋体" w:hAnsi="宋体" w:cs="宋体"/>
          <w:sz w:val="24"/>
          <w:lang w:eastAsia="zh-CN"/>
        </w:rPr>
        <w:t>供应商</w:t>
      </w:r>
      <w:r>
        <w:rPr>
          <w:rFonts w:hint="eastAsia" w:ascii="宋体" w:hAnsi="宋体" w:cs="宋体"/>
          <w:sz w:val="24"/>
        </w:rPr>
        <w:t>不得递交备选投标方案。</w:t>
      </w:r>
    </w:p>
    <w:p w14:paraId="6F82DE14">
      <w:pPr>
        <w:pStyle w:val="6"/>
        <w:keepNext w:val="0"/>
        <w:keepLines w:val="0"/>
        <w:widowControl/>
        <w:ind w:firstLine="482" w:firstLineChars="200"/>
        <w:rPr>
          <w:rFonts w:ascii="宋体" w:hAnsi="宋体" w:cs="宋体"/>
          <w:sz w:val="24"/>
          <w:szCs w:val="24"/>
        </w:rPr>
      </w:pPr>
      <w:r>
        <w:rPr>
          <w:rFonts w:hint="eastAsia" w:ascii="宋体" w:hAnsi="宋体" w:cs="宋体"/>
          <w:sz w:val="24"/>
          <w:szCs w:val="24"/>
        </w:rPr>
        <w:t xml:space="preserve">3.7 </w:t>
      </w:r>
      <w:r>
        <w:rPr>
          <w:rFonts w:hint="eastAsia" w:ascii="宋体" w:hAnsi="宋体" w:cs="宋体"/>
          <w:sz w:val="24"/>
          <w:szCs w:val="24"/>
          <w:lang w:eastAsia="zh-CN"/>
        </w:rPr>
        <w:t>响应文件</w:t>
      </w:r>
      <w:r>
        <w:rPr>
          <w:rFonts w:hint="eastAsia" w:ascii="宋体" w:hAnsi="宋体" w:cs="宋体"/>
          <w:sz w:val="24"/>
          <w:szCs w:val="24"/>
        </w:rPr>
        <w:t>的编制</w:t>
      </w:r>
    </w:p>
    <w:p w14:paraId="1098DB84">
      <w:pPr>
        <w:spacing w:line="450" w:lineRule="exact"/>
        <w:ind w:firstLine="480" w:firstLineChars="200"/>
        <w:rPr>
          <w:rFonts w:ascii="宋体" w:hAnsi="宋体" w:cs="宋体"/>
          <w:sz w:val="24"/>
        </w:rPr>
      </w:pPr>
      <w:r>
        <w:rPr>
          <w:rFonts w:hint="eastAsia" w:ascii="宋体" w:hAnsi="宋体" w:cs="宋体"/>
          <w:sz w:val="24"/>
        </w:rPr>
        <w:t>3.7.1</w:t>
      </w:r>
      <w:r>
        <w:rPr>
          <w:rFonts w:hint="eastAsia" w:ascii="宋体" w:hAnsi="宋体" w:cs="宋体"/>
          <w:sz w:val="24"/>
          <w:lang w:eastAsia="zh-CN"/>
        </w:rPr>
        <w:t>响应文件</w:t>
      </w:r>
      <w:r>
        <w:rPr>
          <w:rFonts w:hint="eastAsia" w:ascii="宋体" w:hAnsi="宋体" w:cs="宋体"/>
          <w:sz w:val="24"/>
        </w:rPr>
        <w:t>应当对</w:t>
      </w:r>
      <w:r>
        <w:rPr>
          <w:rFonts w:hint="eastAsia" w:ascii="宋体" w:hAnsi="宋体" w:cs="宋体"/>
          <w:sz w:val="24"/>
          <w:lang w:eastAsia="zh-CN"/>
        </w:rPr>
        <w:t>竞争性磋商文件</w:t>
      </w:r>
      <w:r>
        <w:rPr>
          <w:rFonts w:hint="eastAsia" w:ascii="宋体" w:hAnsi="宋体" w:cs="宋体"/>
          <w:sz w:val="24"/>
        </w:rPr>
        <w:t>有关工期、投标有效期、质量要求、招标范围等实质性内容作出响应。</w:t>
      </w:r>
    </w:p>
    <w:p w14:paraId="0DB33BF5">
      <w:pPr>
        <w:spacing w:line="450" w:lineRule="exact"/>
        <w:ind w:firstLine="480" w:firstLineChars="200"/>
        <w:rPr>
          <w:rFonts w:ascii="宋体" w:hAnsi="宋体" w:cs="宋体"/>
          <w:sz w:val="24"/>
        </w:rPr>
      </w:pPr>
      <w:r>
        <w:rPr>
          <w:rFonts w:hint="eastAsia" w:ascii="宋体" w:hAnsi="宋体" w:cs="宋体"/>
          <w:sz w:val="24"/>
        </w:rPr>
        <w:t>3.7.2 本项目为电子化、无纸化交易项目，</w:t>
      </w:r>
      <w:r>
        <w:rPr>
          <w:rFonts w:hint="eastAsia" w:ascii="宋体" w:hAnsi="宋体" w:cs="宋体"/>
          <w:sz w:val="24"/>
          <w:lang w:eastAsia="zh-CN"/>
        </w:rPr>
        <w:t>响应文件</w:t>
      </w:r>
      <w:r>
        <w:rPr>
          <w:rFonts w:hint="eastAsia" w:ascii="宋体" w:hAnsi="宋体" w:cs="宋体"/>
          <w:sz w:val="24"/>
        </w:rPr>
        <w:t>是</w:t>
      </w:r>
      <w:r>
        <w:rPr>
          <w:rFonts w:hint="eastAsia" w:ascii="宋体" w:hAnsi="宋体" w:cs="宋体"/>
          <w:sz w:val="24"/>
          <w:lang w:eastAsia="zh-CN"/>
        </w:rPr>
        <w:t>供应商</w:t>
      </w:r>
      <w:r>
        <w:rPr>
          <w:rFonts w:hint="eastAsia" w:ascii="宋体" w:hAnsi="宋体" w:cs="宋体"/>
          <w:sz w:val="24"/>
        </w:rPr>
        <w:t>使用CA证书通过中心</w:t>
      </w:r>
      <w:r>
        <w:rPr>
          <w:rFonts w:hint="eastAsia" w:ascii="宋体" w:hAnsi="宋体" w:cs="宋体"/>
          <w:sz w:val="24"/>
          <w:lang w:eastAsia="zh-CN"/>
        </w:rPr>
        <w:t>响应文件</w:t>
      </w:r>
      <w:r>
        <w:rPr>
          <w:rFonts w:hint="eastAsia" w:ascii="宋体" w:hAnsi="宋体" w:cs="宋体"/>
          <w:sz w:val="24"/>
        </w:rPr>
        <w:t>制作系统制作上传，并经过电子签章和加密后生成的电子版</w:t>
      </w:r>
      <w:r>
        <w:rPr>
          <w:rFonts w:hint="eastAsia" w:ascii="宋体" w:hAnsi="宋体" w:cs="宋体"/>
          <w:sz w:val="24"/>
          <w:lang w:eastAsia="zh-CN"/>
        </w:rPr>
        <w:t>响应文件</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投标时，将不再接受任何纸质文件资料。</w:t>
      </w:r>
    </w:p>
    <w:p w14:paraId="1B4130D5">
      <w:pPr>
        <w:spacing w:line="360" w:lineRule="auto"/>
        <w:ind w:firstLine="480" w:firstLineChars="200"/>
        <w:rPr>
          <w:rFonts w:ascii="宋体" w:hAnsi="宋体" w:cs="宋体"/>
          <w:sz w:val="24"/>
        </w:rPr>
      </w:pPr>
      <w:r>
        <w:rPr>
          <w:rFonts w:hint="eastAsia" w:ascii="宋体" w:hAnsi="宋体" w:cs="宋体"/>
          <w:sz w:val="24"/>
        </w:rPr>
        <w:t>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 “组件下载”中查看。</w:t>
      </w:r>
    </w:p>
    <w:p w14:paraId="00EB90BA">
      <w:pPr>
        <w:spacing w:line="360" w:lineRule="auto"/>
        <w:ind w:firstLine="480" w:firstLineChars="200"/>
        <w:rPr>
          <w:rFonts w:ascii="宋体" w:hAnsi="宋体" w:cs="宋体"/>
          <w:sz w:val="24"/>
        </w:rPr>
      </w:pPr>
      <w:r>
        <w:rPr>
          <w:rFonts w:hint="eastAsia" w:ascii="宋体" w:hAnsi="宋体" w:cs="宋体"/>
          <w:sz w:val="24"/>
        </w:rPr>
        <w:t>3.7.3电子化</w:t>
      </w:r>
      <w:r>
        <w:rPr>
          <w:rFonts w:hint="eastAsia" w:ascii="宋体" w:hAnsi="宋体" w:cs="宋体"/>
          <w:sz w:val="24"/>
          <w:lang w:eastAsia="zh-CN"/>
        </w:rPr>
        <w:t>响应文件</w:t>
      </w:r>
      <w:r>
        <w:rPr>
          <w:rFonts w:hint="eastAsia" w:ascii="宋体" w:hAnsi="宋体" w:cs="宋体"/>
          <w:sz w:val="24"/>
        </w:rPr>
        <w:t>的签章</w:t>
      </w:r>
    </w:p>
    <w:p w14:paraId="4A19821A">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lang w:eastAsia="zh-CN"/>
        </w:rPr>
        <w:t>供应商</w:t>
      </w:r>
      <w:r>
        <w:rPr>
          <w:rFonts w:hint="eastAsia" w:ascii="宋体" w:hAnsi="宋体" w:cs="宋体"/>
          <w:sz w:val="24"/>
        </w:rPr>
        <w:t>在生成电子化</w:t>
      </w:r>
      <w:r>
        <w:rPr>
          <w:rFonts w:hint="eastAsia" w:ascii="宋体" w:hAnsi="宋体" w:cs="宋体"/>
          <w:sz w:val="24"/>
          <w:lang w:eastAsia="zh-CN"/>
        </w:rPr>
        <w:t>响应文件</w:t>
      </w:r>
      <w:r>
        <w:rPr>
          <w:rFonts w:hint="eastAsia" w:ascii="宋体" w:hAnsi="宋体" w:cs="宋体"/>
          <w:sz w:val="24"/>
        </w:rPr>
        <w:t>后，应对电子化</w:t>
      </w:r>
      <w:r>
        <w:rPr>
          <w:rFonts w:hint="eastAsia" w:ascii="宋体" w:hAnsi="宋体" w:cs="宋体"/>
          <w:sz w:val="24"/>
          <w:lang w:eastAsia="zh-CN"/>
        </w:rPr>
        <w:t>响应文件</w:t>
      </w:r>
      <w:r>
        <w:rPr>
          <w:rFonts w:hint="eastAsia" w:ascii="宋体" w:hAnsi="宋体" w:cs="宋体"/>
          <w:sz w:val="24"/>
        </w:rPr>
        <w:t>进行签章，未进行签章的视为无效投标。</w:t>
      </w:r>
    </w:p>
    <w:p w14:paraId="48D968CB">
      <w:pPr>
        <w:spacing w:line="360" w:lineRule="auto"/>
        <w:ind w:firstLine="480" w:firstLineChars="200"/>
        <w:rPr>
          <w:rFonts w:ascii="宋体" w:hAnsi="宋体" w:cs="宋体"/>
          <w:sz w:val="24"/>
        </w:rPr>
      </w:pPr>
      <w:r>
        <w:rPr>
          <w:rFonts w:hint="eastAsia" w:ascii="宋体" w:hAnsi="宋体" w:cs="宋体"/>
          <w:sz w:val="24"/>
        </w:rPr>
        <w:t>（2）</w:t>
      </w:r>
      <w:r>
        <w:rPr>
          <w:rFonts w:hint="eastAsia" w:ascii="宋体" w:hAnsi="宋体" w:cs="宋体"/>
          <w:sz w:val="24"/>
          <w:lang w:eastAsia="zh-CN"/>
        </w:rPr>
        <w:t>竞争性磋商文件</w:t>
      </w:r>
      <w:r>
        <w:rPr>
          <w:rFonts w:hint="eastAsia" w:ascii="宋体" w:hAnsi="宋体" w:cs="宋体"/>
          <w:sz w:val="24"/>
        </w:rPr>
        <w:t>中要求法定代表人或授权委托人签字或盖章的，</w:t>
      </w:r>
      <w:r>
        <w:rPr>
          <w:rFonts w:hint="eastAsia" w:ascii="宋体" w:hAnsi="宋体" w:cs="宋体"/>
          <w:sz w:val="24"/>
          <w:lang w:eastAsia="zh-CN"/>
        </w:rPr>
        <w:t>供应商</w:t>
      </w:r>
      <w:r>
        <w:rPr>
          <w:rFonts w:hint="eastAsia" w:ascii="宋体" w:hAnsi="宋体" w:cs="宋体"/>
          <w:sz w:val="24"/>
        </w:rPr>
        <w:t>在进行电子化</w:t>
      </w:r>
      <w:r>
        <w:rPr>
          <w:rFonts w:hint="eastAsia" w:ascii="宋体" w:hAnsi="宋体" w:cs="宋体"/>
          <w:sz w:val="24"/>
          <w:lang w:eastAsia="zh-CN"/>
        </w:rPr>
        <w:t>响应文件</w:t>
      </w:r>
      <w:r>
        <w:rPr>
          <w:rFonts w:hint="eastAsia" w:ascii="宋体" w:hAnsi="宋体" w:cs="宋体"/>
          <w:sz w:val="24"/>
        </w:rPr>
        <w:t>签章时，以签盖法定代表人签章为准。电子化</w:t>
      </w:r>
      <w:r>
        <w:rPr>
          <w:rFonts w:hint="eastAsia" w:ascii="宋体" w:hAnsi="宋体" w:cs="宋体"/>
          <w:sz w:val="24"/>
          <w:lang w:eastAsia="zh-CN"/>
        </w:rPr>
        <w:t>响应文件</w:t>
      </w:r>
      <w:r>
        <w:rPr>
          <w:rFonts w:hint="eastAsia" w:ascii="宋体" w:hAnsi="宋体" w:cs="宋体"/>
          <w:sz w:val="24"/>
        </w:rPr>
        <w:t>具体制作教材请</w:t>
      </w:r>
      <w:r>
        <w:rPr>
          <w:rFonts w:hint="eastAsia" w:ascii="宋体" w:hAnsi="宋体" w:cs="宋体"/>
          <w:sz w:val="24"/>
          <w:lang w:eastAsia="zh-CN"/>
        </w:rPr>
        <w:t>供应商</w:t>
      </w:r>
      <w:r>
        <w:rPr>
          <w:rFonts w:hint="eastAsia" w:ascii="宋体" w:hAnsi="宋体" w:cs="宋体"/>
          <w:sz w:val="24"/>
        </w:rPr>
        <w:t>通过CA证书登录三门峡市公共资源电子化交易系统在右上角“组件下载”中查看。</w:t>
      </w:r>
    </w:p>
    <w:p w14:paraId="77B5185A">
      <w:pPr>
        <w:widowControl/>
        <w:spacing w:line="450" w:lineRule="exact"/>
        <w:ind w:firstLine="482" w:firstLineChars="200"/>
        <w:outlineLvl w:val="2"/>
        <w:rPr>
          <w:rFonts w:ascii="宋体" w:hAnsi="宋体" w:cs="仿宋_GB2312"/>
          <w:b/>
          <w:sz w:val="24"/>
        </w:rPr>
      </w:pPr>
      <w:bookmarkStart w:id="86" w:name="_Toc184635075"/>
      <w:bookmarkEnd w:id="86"/>
      <w:bookmarkStart w:id="87" w:name="_Toc12860"/>
      <w:bookmarkEnd w:id="87"/>
      <w:bookmarkStart w:id="88" w:name="_Toc31268"/>
      <w:bookmarkEnd w:id="88"/>
      <w:bookmarkStart w:id="89" w:name="_Toc29312"/>
      <w:bookmarkStart w:id="90" w:name="_Toc191031433"/>
      <w:bookmarkStart w:id="91" w:name="_Toc191031386"/>
      <w:bookmarkStart w:id="92" w:name="_Toc1848"/>
      <w:bookmarkStart w:id="93" w:name="_Toc4134"/>
      <w:r>
        <w:rPr>
          <w:rFonts w:hint="eastAsia" w:ascii="宋体" w:hAnsi="宋体" w:cs="仿宋_GB2312"/>
          <w:b/>
          <w:sz w:val="24"/>
        </w:rPr>
        <w:t>4．投标</w:t>
      </w:r>
      <w:bookmarkEnd w:id="89"/>
      <w:r>
        <w:rPr>
          <w:rFonts w:hint="eastAsia" w:ascii="宋体" w:hAnsi="宋体" w:cs="仿宋_GB2312"/>
          <w:b/>
          <w:sz w:val="24"/>
        </w:rPr>
        <w:t>（电子平台</w:t>
      </w:r>
      <w:r>
        <w:rPr>
          <w:rFonts w:hint="eastAsia" w:ascii="宋体" w:hAnsi="宋体" w:cs="仿宋_GB2312"/>
          <w:b/>
          <w:sz w:val="24"/>
          <w:lang w:eastAsia="zh-CN"/>
        </w:rPr>
        <w:t>响应文件</w:t>
      </w:r>
      <w:r>
        <w:rPr>
          <w:rFonts w:hint="eastAsia" w:ascii="宋体" w:hAnsi="宋体" w:cs="仿宋_GB2312"/>
          <w:b/>
          <w:sz w:val="24"/>
        </w:rPr>
        <w:t>上传）</w:t>
      </w:r>
      <w:bookmarkEnd w:id="90"/>
      <w:bookmarkEnd w:id="91"/>
    </w:p>
    <w:p w14:paraId="6B077CAE">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4.1电子化</w:t>
      </w:r>
      <w:r>
        <w:rPr>
          <w:rFonts w:hint="eastAsia" w:ascii="宋体" w:hAnsi="宋体" w:cs="仿宋_GB2312"/>
          <w:b/>
          <w:kern w:val="0"/>
          <w:sz w:val="24"/>
          <w:lang w:eastAsia="zh-CN"/>
        </w:rPr>
        <w:t>响应文件</w:t>
      </w:r>
      <w:r>
        <w:rPr>
          <w:rFonts w:hint="eastAsia" w:ascii="宋体" w:hAnsi="宋体" w:cs="仿宋_GB2312"/>
          <w:b/>
          <w:kern w:val="0"/>
          <w:sz w:val="24"/>
        </w:rPr>
        <w:t>的格式</w:t>
      </w:r>
    </w:p>
    <w:p w14:paraId="473EDA60">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4.1.1</w:t>
      </w:r>
      <w:r>
        <w:rPr>
          <w:rFonts w:hint="eastAsia" w:ascii="宋体" w:hAnsi="宋体" w:cs="仿宋_GB2312"/>
          <w:kern w:val="0"/>
          <w:sz w:val="24"/>
          <w:lang w:eastAsia="zh-CN"/>
        </w:rPr>
        <w:t>供应商</w:t>
      </w:r>
      <w:r>
        <w:rPr>
          <w:rFonts w:hint="eastAsia" w:ascii="宋体" w:hAnsi="宋体" w:cs="仿宋_GB2312"/>
          <w:kern w:val="0"/>
          <w:sz w:val="24"/>
        </w:rPr>
        <w:t>所上传的电子化</w:t>
      </w:r>
      <w:r>
        <w:rPr>
          <w:rFonts w:hint="eastAsia" w:ascii="宋体" w:hAnsi="宋体" w:cs="仿宋_GB2312"/>
          <w:kern w:val="0"/>
          <w:sz w:val="24"/>
          <w:lang w:eastAsia="zh-CN"/>
        </w:rPr>
        <w:t>响应文件</w:t>
      </w:r>
      <w:r>
        <w:rPr>
          <w:rFonts w:hint="eastAsia" w:ascii="宋体" w:hAnsi="宋体" w:cs="仿宋_GB2312"/>
          <w:kern w:val="0"/>
          <w:sz w:val="24"/>
        </w:rPr>
        <w:t>，应是通过中心</w:t>
      </w:r>
      <w:r>
        <w:rPr>
          <w:rFonts w:hint="eastAsia" w:ascii="宋体" w:hAnsi="宋体" w:cs="仿宋_GB2312"/>
          <w:kern w:val="0"/>
          <w:sz w:val="24"/>
          <w:lang w:eastAsia="zh-CN"/>
        </w:rPr>
        <w:t>响应文件</w:t>
      </w:r>
      <w:r>
        <w:rPr>
          <w:rFonts w:hint="eastAsia" w:ascii="宋体" w:hAnsi="宋体" w:cs="仿宋_GB2312"/>
          <w:kern w:val="0"/>
          <w:sz w:val="24"/>
        </w:rPr>
        <w:t>制作系统制作的，经过签章和加密后生成的电子版</w:t>
      </w:r>
      <w:r>
        <w:rPr>
          <w:rFonts w:hint="eastAsia" w:ascii="宋体" w:hAnsi="宋体" w:cs="仿宋_GB2312"/>
          <w:kern w:val="0"/>
          <w:sz w:val="24"/>
          <w:lang w:eastAsia="zh-CN"/>
        </w:rPr>
        <w:t>响应文件</w:t>
      </w:r>
      <w:r>
        <w:rPr>
          <w:rFonts w:hint="eastAsia" w:ascii="宋体" w:hAnsi="宋体" w:cs="仿宋_GB2312"/>
          <w:kern w:val="0"/>
          <w:sz w:val="24"/>
        </w:rPr>
        <w:t>。</w:t>
      </w:r>
    </w:p>
    <w:p w14:paraId="38B605D1">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4.1.2</w:t>
      </w:r>
      <w:r>
        <w:rPr>
          <w:rFonts w:hint="eastAsia" w:ascii="宋体" w:hAnsi="宋体" w:cs="仿宋_GB2312"/>
          <w:kern w:val="0"/>
          <w:sz w:val="24"/>
          <w:lang w:eastAsia="zh-CN"/>
        </w:rPr>
        <w:t>供应商</w:t>
      </w:r>
      <w:r>
        <w:rPr>
          <w:rFonts w:hint="eastAsia" w:ascii="宋体" w:hAnsi="宋体" w:cs="仿宋_GB2312"/>
          <w:kern w:val="0"/>
          <w:sz w:val="24"/>
        </w:rPr>
        <w:t>投报多个标段的，所生成的电子化</w:t>
      </w:r>
      <w:r>
        <w:rPr>
          <w:rFonts w:hint="eastAsia" w:ascii="宋体" w:hAnsi="宋体" w:cs="仿宋_GB2312"/>
          <w:kern w:val="0"/>
          <w:sz w:val="24"/>
          <w:lang w:eastAsia="zh-CN"/>
        </w:rPr>
        <w:t>响应文件</w:t>
      </w:r>
      <w:r>
        <w:rPr>
          <w:rFonts w:hint="eastAsia" w:ascii="宋体" w:hAnsi="宋体" w:cs="仿宋_GB2312"/>
          <w:kern w:val="0"/>
          <w:sz w:val="24"/>
        </w:rPr>
        <w:t>仍为一个电子文件，</w:t>
      </w:r>
      <w:r>
        <w:rPr>
          <w:rFonts w:hint="eastAsia" w:ascii="宋体" w:hAnsi="宋体" w:cs="仿宋_GB2312"/>
          <w:kern w:val="0"/>
          <w:sz w:val="24"/>
          <w:lang w:eastAsia="zh-CN"/>
        </w:rPr>
        <w:t>供应商</w:t>
      </w:r>
      <w:r>
        <w:rPr>
          <w:rFonts w:hint="eastAsia" w:ascii="宋体" w:hAnsi="宋体" w:cs="仿宋_GB2312"/>
          <w:kern w:val="0"/>
          <w:sz w:val="24"/>
        </w:rPr>
        <w:t>制作电子化</w:t>
      </w:r>
      <w:r>
        <w:rPr>
          <w:rFonts w:hint="eastAsia" w:ascii="宋体" w:hAnsi="宋体" w:cs="仿宋_GB2312"/>
          <w:kern w:val="0"/>
          <w:sz w:val="24"/>
          <w:lang w:eastAsia="zh-CN"/>
        </w:rPr>
        <w:t>响应文件</w:t>
      </w:r>
      <w:r>
        <w:rPr>
          <w:rFonts w:hint="eastAsia" w:ascii="宋体" w:hAnsi="宋体" w:cs="仿宋_GB2312"/>
          <w:kern w:val="0"/>
          <w:sz w:val="24"/>
        </w:rPr>
        <w:t>时应将所报标段全部勾选后制作生成。</w:t>
      </w:r>
    </w:p>
    <w:p w14:paraId="62B68711">
      <w:pPr>
        <w:widowControl/>
        <w:tabs>
          <w:tab w:val="left" w:pos="180"/>
        </w:tabs>
        <w:spacing w:line="450" w:lineRule="exact"/>
        <w:ind w:firstLine="482" w:firstLineChars="200"/>
        <w:jc w:val="left"/>
        <w:rPr>
          <w:rFonts w:ascii="宋体" w:hAnsi="宋体" w:cs="仿宋_GB2312"/>
          <w:b/>
          <w:kern w:val="0"/>
          <w:sz w:val="24"/>
        </w:rPr>
      </w:pPr>
      <w:r>
        <w:rPr>
          <w:rFonts w:hint="eastAsia" w:ascii="宋体" w:hAnsi="宋体" w:cs="仿宋_GB2312"/>
          <w:b/>
          <w:kern w:val="0"/>
          <w:sz w:val="24"/>
        </w:rPr>
        <w:t>4.2上传投标</w:t>
      </w:r>
    </w:p>
    <w:p w14:paraId="43F4DE2C">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4.2.1电子化</w:t>
      </w:r>
      <w:r>
        <w:rPr>
          <w:rFonts w:hint="eastAsia" w:ascii="宋体" w:hAnsi="宋体" w:cs="仿宋_GB2312"/>
          <w:kern w:val="0"/>
          <w:sz w:val="24"/>
          <w:lang w:eastAsia="zh-CN"/>
        </w:rPr>
        <w:t>响应文件</w:t>
      </w:r>
      <w:r>
        <w:rPr>
          <w:rFonts w:hint="eastAsia" w:ascii="宋体" w:hAnsi="宋体" w:cs="仿宋_GB2312"/>
          <w:kern w:val="0"/>
          <w:sz w:val="24"/>
        </w:rPr>
        <w:t>应在投标截止时间前成功上传至三门峡市公共资源电子化交易系统。至投标截止时间止，仍未上传成功的电子化</w:t>
      </w:r>
      <w:r>
        <w:rPr>
          <w:rFonts w:hint="eastAsia" w:ascii="宋体" w:hAnsi="宋体" w:cs="仿宋_GB2312"/>
          <w:kern w:val="0"/>
          <w:sz w:val="24"/>
          <w:lang w:eastAsia="zh-CN"/>
        </w:rPr>
        <w:t>响应文件</w:t>
      </w:r>
      <w:r>
        <w:rPr>
          <w:rFonts w:hint="eastAsia" w:ascii="宋体" w:hAnsi="宋体" w:cs="仿宋_GB2312"/>
          <w:kern w:val="0"/>
          <w:sz w:val="24"/>
        </w:rPr>
        <w:t>将不予接收。</w:t>
      </w:r>
    </w:p>
    <w:p w14:paraId="2A3D23D6">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rPr>
        <w:t>4.2.2如按照电子化投标操作教材制作完成的电子化</w:t>
      </w:r>
      <w:r>
        <w:rPr>
          <w:rFonts w:hint="eastAsia" w:ascii="宋体" w:hAnsi="宋体" w:cs="仿宋_GB2312"/>
          <w:kern w:val="0"/>
          <w:sz w:val="24"/>
          <w:lang w:eastAsia="zh-CN"/>
        </w:rPr>
        <w:t>响应文件</w:t>
      </w:r>
      <w:r>
        <w:rPr>
          <w:rFonts w:hint="eastAsia" w:ascii="宋体" w:hAnsi="宋体" w:cs="仿宋_GB2312"/>
          <w:kern w:val="0"/>
          <w:sz w:val="24"/>
        </w:rPr>
        <w:t>无法上传的，</w:t>
      </w:r>
      <w:r>
        <w:rPr>
          <w:rFonts w:hint="eastAsia" w:ascii="宋体" w:hAnsi="宋体" w:cs="仿宋_GB2312"/>
          <w:kern w:val="0"/>
          <w:sz w:val="24"/>
          <w:lang w:eastAsia="zh-CN"/>
        </w:rPr>
        <w:t>供应商</w:t>
      </w:r>
      <w:r>
        <w:rPr>
          <w:rFonts w:hint="eastAsia" w:ascii="宋体" w:hAnsi="宋体" w:cs="仿宋_GB2312"/>
          <w:kern w:val="0"/>
          <w:sz w:val="24"/>
        </w:rPr>
        <w:t>应在投标截止时间前尽早的联系中心技术人员，以便有充分的时间进行处理。</w:t>
      </w:r>
      <w:r>
        <w:rPr>
          <w:rFonts w:hint="eastAsia" w:ascii="宋体" w:hAnsi="宋体" w:cs="仿宋_GB2312"/>
          <w:kern w:val="0"/>
          <w:sz w:val="24"/>
          <w:lang w:eastAsia="zh-CN"/>
        </w:rPr>
        <w:t>供应商</w:t>
      </w:r>
      <w:r>
        <w:rPr>
          <w:rFonts w:hint="eastAsia" w:ascii="宋体" w:hAnsi="宋体" w:cs="仿宋_GB2312"/>
          <w:kern w:val="0"/>
          <w:sz w:val="24"/>
        </w:rPr>
        <w:t>应充分考虑到处理技术问题和上传数据等工作所需的时间问题，</w:t>
      </w:r>
      <w:r>
        <w:rPr>
          <w:rFonts w:hint="eastAsia" w:ascii="宋体" w:hAnsi="宋体" w:cs="仿宋_GB2312"/>
          <w:kern w:val="0"/>
          <w:sz w:val="24"/>
          <w:lang w:eastAsia="zh-CN"/>
        </w:rPr>
        <w:t>响应文件</w:t>
      </w:r>
      <w:r>
        <w:rPr>
          <w:rFonts w:hint="eastAsia" w:ascii="宋体" w:hAnsi="宋体" w:cs="仿宋_GB2312"/>
          <w:kern w:val="0"/>
          <w:sz w:val="24"/>
        </w:rPr>
        <w:t>未在投标截止时间前成功上传的，其</w:t>
      </w:r>
      <w:r>
        <w:rPr>
          <w:rFonts w:hint="eastAsia" w:ascii="宋体" w:hAnsi="宋体" w:cs="仿宋_GB2312"/>
          <w:kern w:val="0"/>
          <w:sz w:val="24"/>
          <w:lang w:eastAsia="zh-CN"/>
        </w:rPr>
        <w:t>响应文件</w:t>
      </w:r>
      <w:r>
        <w:rPr>
          <w:rFonts w:hint="eastAsia" w:ascii="宋体" w:hAnsi="宋体" w:cs="仿宋_GB2312"/>
          <w:kern w:val="0"/>
          <w:sz w:val="24"/>
        </w:rPr>
        <w:t>不予接收。</w:t>
      </w:r>
    </w:p>
    <w:p w14:paraId="74D399D9">
      <w:pPr>
        <w:pStyle w:val="5"/>
        <w:keepNext w:val="0"/>
        <w:keepLines w:val="0"/>
        <w:widowControl/>
        <w:ind w:firstLine="482" w:firstLineChars="200"/>
        <w:rPr>
          <w:rFonts w:ascii="宋体" w:hAnsi="宋体" w:cs="宋体"/>
        </w:rPr>
      </w:pPr>
      <w:r>
        <w:rPr>
          <w:rFonts w:hint="eastAsia" w:ascii="宋体" w:hAnsi="宋体" w:cs="宋体"/>
        </w:rPr>
        <w:t>5．开标</w:t>
      </w:r>
      <w:bookmarkEnd w:id="92"/>
      <w:bookmarkEnd w:id="93"/>
    </w:p>
    <w:p w14:paraId="147F02A8">
      <w:pPr>
        <w:tabs>
          <w:tab w:val="left" w:pos="180"/>
        </w:tabs>
        <w:spacing w:line="360" w:lineRule="auto"/>
        <w:ind w:firstLine="482" w:firstLineChars="200"/>
        <w:jc w:val="left"/>
        <w:rPr>
          <w:rFonts w:ascii="宋体" w:hAnsi="宋体" w:cs="宋体"/>
          <w:b/>
          <w:sz w:val="24"/>
        </w:rPr>
      </w:pPr>
      <w:bookmarkStart w:id="94" w:name="_Toc9263"/>
      <w:bookmarkStart w:id="95" w:name="_Toc4072"/>
      <w:bookmarkStart w:id="96" w:name="_Toc5603"/>
      <w:bookmarkStart w:id="97" w:name="_Toc7466"/>
      <w:r>
        <w:rPr>
          <w:rFonts w:hint="eastAsia" w:ascii="宋体" w:hAnsi="宋体" w:cs="宋体"/>
          <w:b/>
          <w:sz w:val="24"/>
        </w:rPr>
        <w:t>5.1开标时间和地点</w:t>
      </w:r>
      <w:bookmarkEnd w:id="94"/>
      <w:bookmarkEnd w:id="95"/>
      <w:bookmarkEnd w:id="96"/>
      <w:bookmarkEnd w:id="97"/>
    </w:p>
    <w:p w14:paraId="0ED952D8">
      <w:pPr>
        <w:widowControl/>
        <w:tabs>
          <w:tab w:val="left" w:pos="180"/>
        </w:tabs>
        <w:spacing w:line="450" w:lineRule="exact"/>
        <w:ind w:firstLine="480" w:firstLineChars="200"/>
        <w:jc w:val="left"/>
        <w:rPr>
          <w:rFonts w:ascii="宋体" w:hAnsi="宋体" w:cs="仿宋_GB2312"/>
          <w:kern w:val="0"/>
          <w:sz w:val="24"/>
        </w:rPr>
      </w:pPr>
      <w:r>
        <w:rPr>
          <w:rFonts w:hint="eastAsia" w:ascii="宋体" w:hAnsi="宋体" w:cs="仿宋_GB2312"/>
          <w:kern w:val="0"/>
          <w:sz w:val="24"/>
          <w:lang w:eastAsia="zh-CN"/>
        </w:rPr>
        <w:t>采购人</w:t>
      </w:r>
      <w:r>
        <w:rPr>
          <w:rFonts w:hint="eastAsia" w:ascii="宋体" w:hAnsi="宋体" w:cs="仿宋_GB2312"/>
          <w:kern w:val="0"/>
          <w:sz w:val="24"/>
        </w:rPr>
        <w:t>在规定的投标截止时间(开标时间)和</w:t>
      </w:r>
      <w:r>
        <w:rPr>
          <w:rFonts w:hint="eastAsia" w:ascii="宋体" w:hAnsi="宋体" w:cs="仿宋_GB2312"/>
          <w:kern w:val="0"/>
          <w:sz w:val="24"/>
          <w:lang w:eastAsia="zh-CN"/>
        </w:rPr>
        <w:t>供应商</w:t>
      </w:r>
      <w:r>
        <w:rPr>
          <w:rFonts w:hint="eastAsia" w:ascii="宋体" w:hAnsi="宋体" w:cs="仿宋_GB2312"/>
          <w:kern w:val="0"/>
          <w:sz w:val="24"/>
        </w:rPr>
        <w:t>须知前附表规定的地点,通过电子招标投标交易平台公开开标。</w:t>
      </w:r>
      <w:r>
        <w:rPr>
          <w:rFonts w:ascii="宋体" w:hAnsi="宋体" w:cs="仿宋_GB2312"/>
          <w:kern w:val="0"/>
          <w:sz w:val="24"/>
        </w:rPr>
        <w:t xml:space="preserve"> </w:t>
      </w:r>
    </w:p>
    <w:p w14:paraId="1BE43E04">
      <w:pPr>
        <w:spacing w:line="360" w:lineRule="auto"/>
        <w:ind w:firstLine="482" w:firstLineChars="200"/>
        <w:rPr>
          <w:rFonts w:ascii="宋体" w:hAnsi="宋体" w:cs="宋体"/>
          <w:b/>
          <w:sz w:val="24"/>
        </w:rPr>
      </w:pPr>
      <w:r>
        <w:rPr>
          <w:rFonts w:hint="eastAsia" w:ascii="宋体" w:hAnsi="宋体" w:cs="宋体"/>
          <w:b/>
          <w:sz w:val="24"/>
        </w:rPr>
        <w:t>5.2开标程序</w:t>
      </w:r>
    </w:p>
    <w:p w14:paraId="538DA19E">
      <w:pPr>
        <w:snapToGrid w:val="0"/>
        <w:spacing w:line="450" w:lineRule="exact"/>
        <w:ind w:firstLine="573"/>
        <w:jc w:val="left"/>
        <w:rPr>
          <w:rFonts w:ascii="宋体" w:hAnsi="宋体" w:cs="宋体"/>
          <w:sz w:val="24"/>
        </w:rPr>
      </w:pPr>
      <w:r>
        <w:rPr>
          <w:rFonts w:hint="eastAsia" w:ascii="宋体" w:hAnsi="宋体" w:cs="宋体"/>
          <w:sz w:val="24"/>
        </w:rPr>
        <w:t>5.2.1本项目采用</w:t>
      </w:r>
      <w:r>
        <w:rPr>
          <w:rFonts w:hint="eastAsia" w:ascii="宋体" w:hAnsi="宋体" w:cs="宋体"/>
          <w:b/>
          <w:sz w:val="24"/>
        </w:rPr>
        <w:t>电子化、无纸化</w:t>
      </w:r>
      <w:r>
        <w:rPr>
          <w:rFonts w:hint="eastAsia" w:ascii="宋体" w:hAnsi="宋体" w:cs="宋体"/>
          <w:sz w:val="24"/>
        </w:rPr>
        <w:t>、</w:t>
      </w:r>
      <w:r>
        <w:rPr>
          <w:rFonts w:hint="eastAsia" w:ascii="宋体" w:hAnsi="宋体" w:cs="宋体"/>
          <w:b/>
          <w:sz w:val="24"/>
        </w:rPr>
        <w:t>不见面交易</w:t>
      </w:r>
      <w:r>
        <w:rPr>
          <w:rFonts w:hint="eastAsia" w:ascii="宋体" w:hAnsi="宋体" w:cs="宋体"/>
          <w:sz w:val="24"/>
        </w:rPr>
        <w:t>招标。</w:t>
      </w:r>
      <w:r>
        <w:rPr>
          <w:rFonts w:hint="eastAsia" w:ascii="宋体" w:hAnsi="宋体" w:cs="宋体"/>
          <w:sz w:val="24"/>
          <w:lang w:eastAsia="zh-CN"/>
        </w:rPr>
        <w:t>供应商</w:t>
      </w:r>
      <w:r>
        <w:rPr>
          <w:rFonts w:hint="eastAsia" w:ascii="宋体" w:hAnsi="宋体" w:cs="宋体"/>
          <w:sz w:val="24"/>
        </w:rPr>
        <w:t>通过网络登录交易平台进入项目开标大厅远程在线参加开标会议，开标当日，无需到开标现场参加开标会议。</w:t>
      </w:r>
      <w:r>
        <w:rPr>
          <w:rFonts w:hint="eastAsia" w:ascii="宋体" w:hAnsi="宋体" w:cs="宋体"/>
          <w:sz w:val="24"/>
          <w:lang w:eastAsia="zh-CN"/>
        </w:rPr>
        <w:t>供应商</w:t>
      </w:r>
      <w:r>
        <w:rPr>
          <w:rFonts w:hint="eastAsia" w:ascii="宋体" w:hAnsi="宋体" w:cs="宋体"/>
          <w:sz w:val="24"/>
        </w:rPr>
        <w:t>应当在投标截止时间前，登陆不见面开标大厅选择登陆三门峡市公共资源电子招投标系统进行登陆，（网址为</w:t>
      </w:r>
      <w:r>
        <w:rPr>
          <w:rFonts w:ascii="宋体" w:hAnsi="宋体" w:cs="宋体"/>
          <w:sz w:val="24"/>
        </w:rPr>
        <w:t>http://120.194.249.36:10094/BidOpening/bidopeninghallaction/hall/login</w:t>
      </w:r>
      <w:r>
        <w:rPr>
          <w:rFonts w:hint="eastAsia" w:ascii="宋体" w:hAnsi="宋体" w:cs="宋体"/>
          <w:sz w:val="24"/>
        </w:rPr>
        <w:t>）, 进入项目开标大厅远程在线准时参加开标会议，并进行</w:t>
      </w:r>
      <w:r>
        <w:rPr>
          <w:rFonts w:hint="eastAsia" w:ascii="宋体" w:hAnsi="宋体" w:cs="宋体"/>
          <w:sz w:val="24"/>
          <w:lang w:eastAsia="zh-CN"/>
        </w:rPr>
        <w:t>响应文件</w:t>
      </w:r>
      <w:r>
        <w:rPr>
          <w:rFonts w:hint="eastAsia" w:ascii="宋体" w:hAnsi="宋体" w:cs="宋体"/>
          <w:sz w:val="24"/>
        </w:rPr>
        <w:t>解密等。</w:t>
      </w:r>
    </w:p>
    <w:p w14:paraId="4174F9D6">
      <w:pPr>
        <w:spacing w:line="360" w:lineRule="auto"/>
        <w:ind w:firstLine="480" w:firstLineChars="200"/>
        <w:rPr>
          <w:rFonts w:ascii="宋体" w:hAnsi="宋体" w:cs="宋体"/>
          <w:sz w:val="24"/>
        </w:rPr>
      </w:pPr>
      <w:bookmarkStart w:id="98" w:name="_Toc27649"/>
      <w:bookmarkEnd w:id="98"/>
      <w:bookmarkStart w:id="99" w:name="_Toc24220"/>
      <w:bookmarkEnd w:id="99"/>
      <w:bookmarkStart w:id="100" w:name="_Toc184635076"/>
      <w:bookmarkEnd w:id="100"/>
      <w:bookmarkStart w:id="101" w:name="_Toc24359"/>
      <w:r>
        <w:rPr>
          <w:rFonts w:hint="eastAsia" w:ascii="宋体" w:hAnsi="宋体" w:cs="宋体"/>
          <w:sz w:val="24"/>
        </w:rPr>
        <w:t>5.2.2 电子化</w:t>
      </w:r>
      <w:r>
        <w:rPr>
          <w:rFonts w:hint="eastAsia" w:ascii="宋体" w:hAnsi="宋体" w:cs="宋体"/>
          <w:sz w:val="24"/>
          <w:lang w:eastAsia="zh-CN"/>
        </w:rPr>
        <w:t>响应文件</w:t>
      </w:r>
      <w:r>
        <w:rPr>
          <w:rFonts w:hint="eastAsia" w:ascii="宋体" w:hAnsi="宋体" w:cs="宋体"/>
          <w:sz w:val="24"/>
        </w:rPr>
        <w:t>采用一次加密方式。开标时，由</w:t>
      </w:r>
      <w:r>
        <w:rPr>
          <w:rFonts w:hint="eastAsia" w:ascii="宋体" w:hAnsi="宋体" w:cs="宋体"/>
          <w:sz w:val="24"/>
          <w:lang w:eastAsia="zh-CN"/>
        </w:rPr>
        <w:t>供应商</w:t>
      </w:r>
      <w:r>
        <w:rPr>
          <w:rFonts w:hint="eastAsia" w:ascii="宋体" w:hAnsi="宋体" w:cs="宋体"/>
          <w:sz w:val="24"/>
        </w:rPr>
        <w:t>使用CA 证书，在规定时间内对其电子化</w:t>
      </w:r>
      <w:r>
        <w:rPr>
          <w:rFonts w:hint="eastAsia" w:ascii="宋体" w:hAnsi="宋体" w:cs="宋体"/>
          <w:sz w:val="24"/>
          <w:lang w:eastAsia="zh-CN"/>
        </w:rPr>
        <w:t>响应文件</w:t>
      </w:r>
      <w:r>
        <w:rPr>
          <w:rFonts w:hint="eastAsia" w:ascii="宋体" w:hAnsi="宋体" w:cs="宋体"/>
          <w:sz w:val="24"/>
        </w:rPr>
        <w:t>进行解密。每位</w:t>
      </w:r>
      <w:r>
        <w:rPr>
          <w:rFonts w:hint="eastAsia" w:ascii="宋体" w:hAnsi="宋体" w:cs="宋体"/>
          <w:sz w:val="24"/>
          <w:lang w:eastAsia="zh-CN"/>
        </w:rPr>
        <w:t>供应商</w:t>
      </w:r>
      <w:r>
        <w:rPr>
          <w:rFonts w:hint="eastAsia" w:ascii="宋体" w:hAnsi="宋体" w:cs="宋体"/>
          <w:sz w:val="24"/>
        </w:rPr>
        <w:t>的解密时间为开标时间起30 分钟内，如在规定时间内未完成解密的，其</w:t>
      </w:r>
      <w:r>
        <w:rPr>
          <w:rFonts w:hint="eastAsia" w:ascii="宋体" w:hAnsi="宋体" w:cs="宋体"/>
          <w:sz w:val="24"/>
          <w:lang w:eastAsia="zh-CN"/>
        </w:rPr>
        <w:t>响应文件</w:t>
      </w:r>
      <w:r>
        <w:rPr>
          <w:rFonts w:hint="eastAsia" w:ascii="宋体" w:hAnsi="宋体" w:cs="宋体"/>
          <w:sz w:val="24"/>
        </w:rPr>
        <w:t>不予开标、唱标。每位</w:t>
      </w:r>
      <w:r>
        <w:rPr>
          <w:rFonts w:hint="eastAsia" w:ascii="宋体" w:hAnsi="宋体" w:cs="宋体"/>
          <w:sz w:val="24"/>
          <w:lang w:eastAsia="zh-CN"/>
        </w:rPr>
        <w:t>供应商</w:t>
      </w:r>
      <w:r>
        <w:rPr>
          <w:rFonts w:hint="eastAsia" w:ascii="宋体" w:hAnsi="宋体" w:cs="宋体"/>
          <w:sz w:val="24"/>
        </w:rPr>
        <w:t>的解密时间为开标时间起30分钟内完成。</w:t>
      </w:r>
    </w:p>
    <w:p w14:paraId="54036403">
      <w:pPr>
        <w:spacing w:line="360" w:lineRule="auto"/>
        <w:ind w:firstLine="480" w:firstLineChars="200"/>
        <w:rPr>
          <w:rFonts w:ascii="宋体" w:hAnsi="宋体" w:cs="宋体"/>
          <w:sz w:val="24"/>
        </w:rPr>
      </w:pPr>
      <w:r>
        <w:rPr>
          <w:rFonts w:hint="eastAsia" w:ascii="宋体" w:hAnsi="宋体" w:cs="宋体"/>
          <w:sz w:val="24"/>
        </w:rPr>
        <w:t>5.2.3 电子化</w:t>
      </w:r>
      <w:r>
        <w:rPr>
          <w:rFonts w:hint="eastAsia" w:ascii="宋体" w:hAnsi="宋体" w:cs="宋体"/>
          <w:sz w:val="24"/>
          <w:lang w:eastAsia="zh-CN"/>
        </w:rPr>
        <w:t>响应文件</w:t>
      </w:r>
      <w:r>
        <w:rPr>
          <w:rFonts w:hint="eastAsia" w:ascii="宋体" w:hAnsi="宋体" w:cs="宋体"/>
          <w:sz w:val="24"/>
        </w:rPr>
        <w:t>解密异常的处理</w:t>
      </w:r>
    </w:p>
    <w:p w14:paraId="3B36091A">
      <w:pPr>
        <w:spacing w:line="360" w:lineRule="auto"/>
        <w:ind w:firstLine="480" w:firstLineChars="200"/>
        <w:rPr>
          <w:rFonts w:ascii="宋体" w:hAnsi="宋体" w:cs="宋体"/>
          <w:sz w:val="24"/>
        </w:rPr>
      </w:pPr>
      <w:r>
        <w:rPr>
          <w:rFonts w:hint="eastAsia" w:ascii="宋体" w:hAnsi="宋体" w:cs="宋体"/>
          <w:sz w:val="24"/>
        </w:rPr>
        <w:t>如出现</w:t>
      </w:r>
      <w:r>
        <w:rPr>
          <w:rFonts w:hint="eastAsia" w:ascii="宋体" w:hAnsi="宋体" w:cs="宋体"/>
          <w:sz w:val="24"/>
          <w:lang w:eastAsia="zh-CN"/>
        </w:rPr>
        <w:t>供应商</w:t>
      </w:r>
      <w:r>
        <w:rPr>
          <w:rFonts w:hint="eastAsia" w:ascii="宋体" w:hAnsi="宋体" w:cs="宋体"/>
          <w:sz w:val="24"/>
        </w:rPr>
        <w:t>的电子</w:t>
      </w:r>
      <w:r>
        <w:rPr>
          <w:rFonts w:hint="eastAsia" w:ascii="宋体" w:hAnsi="宋体" w:cs="宋体"/>
          <w:sz w:val="24"/>
          <w:lang w:eastAsia="zh-CN"/>
        </w:rPr>
        <w:t>响应文件</w:t>
      </w:r>
      <w:r>
        <w:rPr>
          <w:rFonts w:hint="eastAsia" w:ascii="宋体" w:hAnsi="宋体" w:cs="宋体"/>
          <w:sz w:val="24"/>
        </w:rPr>
        <w:t>无法解密等异常情况，</w:t>
      </w:r>
      <w:r>
        <w:rPr>
          <w:rFonts w:hint="eastAsia" w:ascii="宋体" w:hAnsi="宋体" w:cs="宋体"/>
          <w:sz w:val="24"/>
          <w:lang w:eastAsia="zh-CN"/>
        </w:rPr>
        <w:t>供应商</w:t>
      </w:r>
      <w:r>
        <w:rPr>
          <w:rFonts w:hint="eastAsia" w:ascii="宋体" w:hAnsi="宋体" w:cs="宋体"/>
          <w:sz w:val="24"/>
        </w:rPr>
        <w:t>应及时致电中介服务机构说明。</w:t>
      </w:r>
      <w:r>
        <w:rPr>
          <w:rFonts w:hint="eastAsia" w:ascii="宋体" w:hAnsi="宋体" w:cs="宋体"/>
          <w:sz w:val="24"/>
          <w:lang w:eastAsia="zh-CN"/>
        </w:rPr>
        <w:t>响应文件</w:t>
      </w:r>
      <w:r>
        <w:rPr>
          <w:rFonts w:hint="eastAsia" w:ascii="宋体" w:hAnsi="宋体" w:cs="宋体"/>
          <w:sz w:val="24"/>
        </w:rPr>
        <w:t>异常，按以下步骤进行处理：</w:t>
      </w:r>
    </w:p>
    <w:p w14:paraId="6E696ED5">
      <w:pPr>
        <w:spacing w:line="360" w:lineRule="auto"/>
        <w:ind w:firstLine="480" w:firstLineChars="200"/>
        <w:rPr>
          <w:rFonts w:ascii="宋体" w:hAnsi="宋体" w:cs="宋体"/>
          <w:sz w:val="24"/>
        </w:rPr>
      </w:pPr>
      <w:r>
        <w:rPr>
          <w:rFonts w:hint="eastAsia" w:ascii="宋体" w:hAnsi="宋体" w:cs="宋体"/>
          <w:sz w:val="24"/>
        </w:rPr>
        <w:t>（1）首先由技术人员进行问题排查。</w:t>
      </w:r>
    </w:p>
    <w:p w14:paraId="2E495884">
      <w:pPr>
        <w:spacing w:line="360" w:lineRule="auto"/>
        <w:ind w:firstLine="480" w:firstLineChars="200"/>
        <w:rPr>
          <w:rFonts w:hint="eastAsia" w:ascii="宋体" w:hAnsi="宋体" w:eastAsia="宋体" w:cs="宋体"/>
          <w:sz w:val="24"/>
          <w:szCs w:val="24"/>
        </w:rPr>
      </w:pPr>
      <w:r>
        <w:rPr>
          <w:rFonts w:hint="eastAsia" w:ascii="宋体" w:hAnsi="宋体" w:cs="宋体"/>
          <w:sz w:val="24"/>
        </w:rPr>
        <w:t>（2）经技术人员排查后，是</w:t>
      </w:r>
      <w:r>
        <w:rPr>
          <w:rFonts w:hint="eastAsia" w:ascii="宋体" w:hAnsi="宋体" w:cs="宋体"/>
          <w:sz w:val="24"/>
          <w:lang w:eastAsia="zh-CN"/>
        </w:rPr>
        <w:t>供应商</w:t>
      </w:r>
      <w:r>
        <w:rPr>
          <w:rFonts w:hint="eastAsia" w:ascii="宋体" w:hAnsi="宋体" w:cs="宋体"/>
          <w:sz w:val="24"/>
        </w:rPr>
        <w:t>文件自身问题导致</w:t>
      </w:r>
      <w:r>
        <w:rPr>
          <w:rFonts w:hint="eastAsia" w:ascii="宋体" w:hAnsi="宋体" w:cs="宋体"/>
          <w:sz w:val="24"/>
          <w:lang w:eastAsia="zh-CN"/>
        </w:rPr>
        <w:t>响应文件</w:t>
      </w:r>
      <w:r>
        <w:rPr>
          <w:rFonts w:hint="eastAsia" w:ascii="宋体" w:hAnsi="宋体" w:cs="宋体"/>
          <w:sz w:val="24"/>
        </w:rPr>
        <w:t>无法解密的，该</w:t>
      </w:r>
      <w:r>
        <w:rPr>
          <w:rFonts w:hint="eastAsia" w:ascii="宋体" w:hAnsi="宋体" w:cs="宋体"/>
          <w:sz w:val="24"/>
          <w:lang w:eastAsia="zh-CN"/>
        </w:rPr>
        <w:t>响应文件</w:t>
      </w:r>
      <w:r>
        <w:rPr>
          <w:rFonts w:hint="eastAsia" w:ascii="宋体" w:hAnsi="宋体" w:cs="宋体"/>
          <w:sz w:val="24"/>
        </w:rPr>
        <w:t>将不予接收、解密和</w:t>
      </w:r>
      <w:r>
        <w:rPr>
          <w:rFonts w:hint="eastAsia" w:ascii="宋体" w:hAnsi="宋体" w:eastAsia="宋体" w:cs="宋体"/>
          <w:sz w:val="24"/>
          <w:szCs w:val="24"/>
        </w:rPr>
        <w:t>唱标。开标会议继续进行。</w:t>
      </w:r>
    </w:p>
    <w:p w14:paraId="32184FD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（3）经技术人员排查后，如果是电子化交易系统问题造成</w:t>
      </w:r>
      <w:r>
        <w:rPr>
          <w:rFonts w:hint="eastAsia" w:ascii="宋体" w:hAnsi="宋体" w:eastAsia="宋体" w:cs="宋体"/>
          <w:sz w:val="24"/>
          <w:szCs w:val="24"/>
          <w:lang w:eastAsia="zh-CN"/>
        </w:rPr>
        <w:t>响应文件</w:t>
      </w:r>
      <w:r>
        <w:rPr>
          <w:rFonts w:hint="eastAsia" w:ascii="宋体" w:hAnsi="宋体" w:eastAsia="宋体" w:cs="宋体"/>
          <w:sz w:val="24"/>
          <w:szCs w:val="24"/>
        </w:rPr>
        <w:t>无法解密的，将由技术人员对问题进行处理。如短时间内问题无法解决的，将由中介服务机构向监督部门申请，经监督部门同意后，暂停开标会议，待问题解决后继续开标。</w:t>
      </w:r>
    </w:p>
    <w:p w14:paraId="3C6C422B">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5.2.4 待所有</w:t>
      </w:r>
      <w:r>
        <w:rPr>
          <w:rFonts w:hint="eastAsia" w:ascii="宋体" w:hAnsi="宋体" w:eastAsia="宋体" w:cs="宋体"/>
          <w:sz w:val="24"/>
          <w:szCs w:val="24"/>
          <w:lang w:eastAsia="zh-CN"/>
        </w:rPr>
        <w:t>供应商响应文件</w:t>
      </w:r>
      <w:r>
        <w:rPr>
          <w:rFonts w:hint="eastAsia" w:ascii="宋体" w:hAnsi="宋体" w:eastAsia="宋体" w:cs="宋体"/>
          <w:sz w:val="24"/>
          <w:szCs w:val="24"/>
        </w:rPr>
        <w:t>解密完成后，由中介服务机构操作，对所有已解密</w:t>
      </w:r>
      <w:r>
        <w:rPr>
          <w:rFonts w:hint="eastAsia" w:ascii="宋体" w:hAnsi="宋体" w:eastAsia="宋体" w:cs="宋体"/>
          <w:sz w:val="24"/>
          <w:szCs w:val="24"/>
          <w:lang w:eastAsia="zh-CN"/>
        </w:rPr>
        <w:t>响应文件</w:t>
      </w:r>
      <w:r>
        <w:rPr>
          <w:rFonts w:hint="eastAsia" w:ascii="宋体" w:hAnsi="宋体" w:eastAsia="宋体" w:cs="宋体"/>
          <w:sz w:val="24"/>
          <w:szCs w:val="24"/>
        </w:rPr>
        <w:t>进行唱标。</w:t>
      </w:r>
    </w:p>
    <w:p w14:paraId="30EF20C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eastAsia="zh-CN"/>
        </w:rPr>
        <w:t>供应商</w:t>
      </w:r>
      <w:r>
        <w:rPr>
          <w:rFonts w:hint="eastAsia" w:ascii="宋体" w:hAnsi="宋体" w:eastAsia="宋体" w:cs="宋体"/>
          <w:sz w:val="24"/>
          <w:szCs w:val="24"/>
        </w:rPr>
        <w:t>应保证在开标期间电话、电脑、网络能够正常工作，</w:t>
      </w:r>
      <w:r>
        <w:rPr>
          <w:rFonts w:hint="eastAsia" w:ascii="宋体" w:hAnsi="宋体" w:eastAsia="宋体" w:cs="宋体"/>
          <w:sz w:val="24"/>
          <w:szCs w:val="24"/>
          <w:lang w:eastAsia="zh-CN"/>
        </w:rPr>
        <w:t>供应商</w:t>
      </w:r>
      <w:r>
        <w:rPr>
          <w:rFonts w:hint="eastAsia" w:ascii="宋体" w:hAnsi="宋体" w:eastAsia="宋体" w:cs="宋体"/>
          <w:sz w:val="24"/>
          <w:szCs w:val="24"/>
        </w:rPr>
        <w:t>因停电、电脑病毒、网络堵塞等原因，未在规定的解密时间内对</w:t>
      </w:r>
      <w:r>
        <w:rPr>
          <w:rFonts w:hint="eastAsia" w:ascii="宋体" w:hAnsi="宋体" w:eastAsia="宋体" w:cs="宋体"/>
          <w:sz w:val="24"/>
          <w:szCs w:val="24"/>
          <w:lang w:eastAsia="zh-CN"/>
        </w:rPr>
        <w:t>响应文件</w:t>
      </w:r>
      <w:r>
        <w:rPr>
          <w:rFonts w:hint="eastAsia" w:ascii="宋体" w:hAnsi="宋体" w:eastAsia="宋体" w:cs="宋体"/>
          <w:sz w:val="24"/>
          <w:szCs w:val="24"/>
        </w:rPr>
        <w:t>进行解密的，其</w:t>
      </w:r>
      <w:r>
        <w:rPr>
          <w:rFonts w:hint="eastAsia" w:ascii="宋体" w:hAnsi="宋体" w:eastAsia="宋体" w:cs="宋体"/>
          <w:sz w:val="24"/>
          <w:szCs w:val="24"/>
          <w:lang w:eastAsia="zh-CN"/>
        </w:rPr>
        <w:t>响应文件</w:t>
      </w:r>
      <w:r>
        <w:rPr>
          <w:rFonts w:hint="eastAsia" w:ascii="宋体" w:hAnsi="宋体" w:eastAsia="宋体" w:cs="宋体"/>
          <w:sz w:val="24"/>
          <w:szCs w:val="24"/>
        </w:rPr>
        <w:t>不予接收、唱标。</w:t>
      </w:r>
    </w:p>
    <w:p w14:paraId="3A4CEF17">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5.2.5 开标时</w:t>
      </w:r>
      <w:r>
        <w:rPr>
          <w:rFonts w:hint="eastAsia" w:ascii="宋体" w:hAnsi="宋体" w:eastAsia="宋体" w:cs="宋体"/>
          <w:sz w:val="24"/>
          <w:szCs w:val="24"/>
          <w:lang w:eastAsia="zh-CN"/>
        </w:rPr>
        <w:t>供应商</w:t>
      </w:r>
      <w:r>
        <w:rPr>
          <w:rFonts w:hint="eastAsia" w:ascii="宋体" w:hAnsi="宋体" w:eastAsia="宋体" w:cs="宋体"/>
          <w:sz w:val="24"/>
          <w:szCs w:val="24"/>
        </w:rPr>
        <w:t>可登录到交易系统中在开标大厅中点击开标一览表查看自己的投标报价。如对自己的唱标内容有异议的，应在唱标内容显示后10分钟内向中介服务机构电话质疑。中介服务机构应在监督人员的监督下进行免提通话接受</w:t>
      </w:r>
      <w:r>
        <w:rPr>
          <w:rFonts w:hint="eastAsia" w:ascii="宋体" w:hAnsi="宋体" w:eastAsia="宋体" w:cs="宋体"/>
          <w:sz w:val="24"/>
          <w:szCs w:val="24"/>
          <w:lang w:eastAsia="zh-CN"/>
        </w:rPr>
        <w:t>供应商</w:t>
      </w:r>
      <w:r>
        <w:rPr>
          <w:rFonts w:hint="eastAsia" w:ascii="宋体" w:hAnsi="宋体" w:eastAsia="宋体" w:cs="宋体"/>
          <w:sz w:val="24"/>
          <w:szCs w:val="24"/>
        </w:rPr>
        <w:t>的质疑并做好书面记录。</w:t>
      </w:r>
      <w:r>
        <w:rPr>
          <w:rFonts w:hint="eastAsia" w:ascii="宋体" w:hAnsi="宋体" w:eastAsia="宋体" w:cs="宋体"/>
          <w:sz w:val="24"/>
          <w:szCs w:val="24"/>
          <w:lang w:eastAsia="zh-CN"/>
        </w:rPr>
        <w:t>供应商</w:t>
      </w:r>
      <w:r>
        <w:rPr>
          <w:rFonts w:hint="eastAsia" w:ascii="宋体" w:hAnsi="宋体" w:eastAsia="宋体" w:cs="宋体"/>
          <w:sz w:val="24"/>
          <w:szCs w:val="24"/>
        </w:rPr>
        <w:t>未在规定时间内提出质疑的，视为认可唱标内容。</w:t>
      </w:r>
    </w:p>
    <w:bookmarkEnd w:id="101"/>
    <w:p w14:paraId="3414A5C1">
      <w:pPr>
        <w:spacing w:line="450" w:lineRule="exact"/>
        <w:ind w:firstLine="480" w:firstLineChars="200"/>
        <w:rPr>
          <w:rFonts w:hint="eastAsia" w:ascii="宋体" w:hAnsi="宋体" w:eastAsia="宋体" w:cs="宋体"/>
          <w:sz w:val="24"/>
          <w:szCs w:val="24"/>
        </w:rPr>
      </w:pPr>
      <w:bookmarkStart w:id="102" w:name="_Toc277"/>
      <w:r>
        <w:rPr>
          <w:rFonts w:hint="eastAsia" w:ascii="宋体" w:hAnsi="宋体" w:eastAsia="宋体" w:cs="宋体"/>
          <w:sz w:val="24"/>
          <w:szCs w:val="24"/>
          <w:lang w:val="en-US" w:eastAsia="zh-CN"/>
        </w:rPr>
        <w:t>6</w:t>
      </w:r>
      <w:r>
        <w:rPr>
          <w:rFonts w:hint="eastAsia" w:ascii="宋体" w:hAnsi="宋体" w:eastAsia="宋体" w:cs="宋体"/>
          <w:sz w:val="24"/>
          <w:szCs w:val="24"/>
        </w:rPr>
        <w:t>、竞争性磋商</w:t>
      </w:r>
    </w:p>
    <w:p w14:paraId="1932A9C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.1招标人据本项目的特点组成磋商小组，其成员有关方面的专家等三人以上的单数组成，磋商小组负责对磋商响应文件进行综合评审，推荐成交候选人。</w:t>
      </w:r>
    </w:p>
    <w:p w14:paraId="0B4D9F0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.2 磋商小组制定磋商文件或确认磋商文件符合政府招标政策规定，整个磋商过程将严格按照 “公开、公平、公正”的原则进行。</w:t>
      </w:r>
    </w:p>
    <w:p w14:paraId="6DD2EA3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.3 磋商小组推荐1-3成交候选人。</w:t>
      </w:r>
    </w:p>
    <w:p w14:paraId="76E2ECF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.4磋商小组首先要对各响应人的资格性、递交的响应文件的符合性进行审阅，以判定各响应人资格、响应文件的有效性，审阅结束后，要确定进入最终报价磋商阶段的响应人名单；</w:t>
      </w:r>
    </w:p>
    <w:p w14:paraId="5F168C5D">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.4.1在初审阶段，属于下列情况的响应文件将不得进入磋商阶段：</w:t>
      </w:r>
    </w:p>
    <w:p w14:paraId="235769F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（1）响应人在生成电子化响应文件后，应对电子化响应文件进行签章，未进行签章的视为无效投标。</w:t>
      </w:r>
    </w:p>
    <w:p w14:paraId="4534A40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（2）响应文件中有招标人不能接受的其它条件；</w:t>
      </w:r>
    </w:p>
    <w:p w14:paraId="317D88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（3）资格不合格的响应人。</w:t>
      </w:r>
    </w:p>
    <w:p w14:paraId="4C92CE7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.4.2在初审阶段,响应文件出现以下情况之一者，属于重大偏差，为未能对磋商文件作出实质性响应，作废标处理：</w:t>
      </w:r>
    </w:p>
    <w:p w14:paraId="169CC52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（1）响应文件未按规定的格式填写、内容不全的；</w:t>
      </w:r>
    </w:p>
    <w:p w14:paraId="0F3507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（2）响应文件中无报价、无工期、无质量等级或工期、质量达不到磋商文件要求的；</w:t>
      </w:r>
    </w:p>
    <w:p w14:paraId="2BA36D0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（3）响应文件有保留或合同条款有招标人不可接受条件；</w:t>
      </w:r>
    </w:p>
    <w:p w14:paraId="48F63F9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（4）资格证明文件不全，或不满足磋商文件规定的响应人资质要求的；</w:t>
      </w:r>
    </w:p>
    <w:p w14:paraId="576D2E5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.4.3详细磋商：</w:t>
      </w:r>
    </w:p>
    <w:p w14:paraId="5DDED42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（1）磋商小组首先要对各响应人的资格性、递交的响应文件的符合性进行审阅，以判定各响应人资格、响应文件的有效性，审阅结束后，要确定进入最终报价磋商阶段的响应人名单；</w:t>
      </w:r>
    </w:p>
    <w:p w14:paraId="54E43D3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磋商小组集中与单一响应人分别进行磋商。在磋商中，磋商双方可以就磋商项目所涉及的价格、技术、服务等进行实质性磋商，但磋商的任何一方不得透露与磋商有关的其他响应人的商业秘密、技术资料、价格和其他信息，不得变动磋商文件中的其他内容。</w:t>
      </w:r>
    </w:p>
    <w:p w14:paraId="51DAB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小组可以要求响应人对响应文件中含义不明确、同类问题表述不一致或者有明显文字和计算错误的内容等作出必要的澄清、说明或者更正。响应人的澄清、说明或者更正不得超出响应文件的范围或者改变响应文件的实质性内容。</w:t>
      </w:r>
    </w:p>
    <w:p w14:paraId="457CBD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（4）磋商小组要求响应人澄清、说明或者更正响应文件应当在系统内作出。</w:t>
      </w:r>
    </w:p>
    <w:p w14:paraId="68A4457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在磋商过程中，磋商小组可以根据磋商文件和磋商情况实质性变动磋商需求中的技术、服务要求以及合同草案条款，但不得变动磋商文件中的其他内容。实质性变动的内容，须经招标人代表确认。对磋商文件作出的实质性变动是磋商文件的有效组成部分，磋商小组应当在系统内通知所有参加磋商的响应人。</w:t>
      </w:r>
    </w:p>
    <w:p w14:paraId="234D22E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不能详细列明招标标的的技术、服务要求，需经磋商由响应人提供最终设计方案或解决方案的，磋商结束后，磋商小组应当按照少数服从多数的原则投票推荐2家或以上响应人的设计方案或者解决方案，并要求其在规定时间内提交最后报价。</w:t>
      </w:r>
    </w:p>
    <w:p w14:paraId="2076709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（6）磋商文件能够详细列明招标标的的技术、服务要求的，磋商结束后，磋商小组应当要求所有继续参加磋商的响应人在规定时间时间内提交最后报价。</w:t>
      </w:r>
    </w:p>
    <w:p w14:paraId="36E35E83">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6</w:t>
      </w:r>
      <w:r>
        <w:rPr>
          <w:rFonts w:hint="eastAsia" w:ascii="宋体" w:hAnsi="宋体" w:eastAsia="宋体" w:cs="宋体"/>
          <w:sz w:val="24"/>
          <w:szCs w:val="24"/>
        </w:rPr>
        <w:t>.4.4磋商报价</w:t>
      </w:r>
    </w:p>
    <w:p w14:paraId="3011696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（1）磋商报价采用工程量清单报价。</w:t>
      </w:r>
    </w:p>
    <w:p w14:paraId="250502B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（2）本次竞争性磋商分为两轮报价，不得高于项目招标控制价。</w:t>
      </w:r>
    </w:p>
    <w:p w14:paraId="6FE04B4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（3）磋商报价计量采用中华人民共和国法定的基本计量单位。响应人根据招标人提供的本项目施工工程量清单、答疑纪要、磋商文件及补充答疑文件</w:t>
      </w:r>
    </w:p>
    <w:p w14:paraId="0F594A9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.成交原则</w:t>
      </w:r>
    </w:p>
    <w:p w14:paraId="452240AE">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根据综合评分情况，按照评审得分由高到低顺序推荐成交候选人，并编写评审报告并在报告上签字。评审得分相同的，按照最后报价由低到高的顺序推荐。评审得分且最后报价相同的，按照技术指标优劣顺序推荐。</w:t>
      </w:r>
    </w:p>
    <w:p w14:paraId="0761A4C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7</w:t>
      </w:r>
      <w:r>
        <w:rPr>
          <w:rFonts w:hint="eastAsia" w:ascii="宋体" w:hAnsi="宋体" w:eastAsia="宋体" w:cs="宋体"/>
          <w:sz w:val="24"/>
          <w:szCs w:val="24"/>
        </w:rPr>
        <w:t>.1评审报告</w:t>
      </w:r>
    </w:p>
    <w:p w14:paraId="2F65918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磋商小组应当根据评审记录和评审结果编写评审报告，其主要内容包括：</w:t>
      </w:r>
    </w:p>
    <w:p w14:paraId="5472C18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（1）磋商活动的具体方式和相关情况，以及参加磋商活动的响应人名单；</w:t>
      </w:r>
    </w:p>
    <w:p w14:paraId="02C0887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（2）评审日期和地点，谈判小组成员名单；</w:t>
      </w:r>
    </w:p>
    <w:p w14:paraId="1EF2261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（3）评审情况记录和说明，包括对响应人的资格审查情况、响应文件评审情况、磋商情况、报价情况等；</w:t>
      </w:r>
    </w:p>
    <w:p w14:paraId="70896CF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（4）提出的成交候选人的名单及理由。</w:t>
      </w:r>
    </w:p>
    <w:p w14:paraId="605A0D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评审报告应当由磋商小组全体人员签字认可。磋商小组成员对评审报告有异议的，磋商小组按照少数服从多数的原则推荐成交候选人，招标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02F10D4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、磋商过程的保密性</w:t>
      </w:r>
    </w:p>
    <w:p w14:paraId="315FF4A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8</w:t>
      </w:r>
      <w:r>
        <w:rPr>
          <w:rFonts w:hint="eastAsia" w:ascii="宋体" w:hAnsi="宋体" w:eastAsia="宋体" w:cs="宋体"/>
          <w:sz w:val="24"/>
          <w:szCs w:val="24"/>
        </w:rPr>
        <w:t>.1磋商期间，直到授予成交人合同止，凡是与响应文件审查、澄清、评价、比较以及推荐成交人等方面的情况，均不得向响应人或其他无关的人员透露。</w:t>
      </w:r>
    </w:p>
    <w:p w14:paraId="2E50F5E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9</w:t>
      </w:r>
      <w:r>
        <w:rPr>
          <w:rFonts w:hint="eastAsia" w:ascii="宋体" w:hAnsi="宋体" w:eastAsia="宋体" w:cs="宋体"/>
          <w:sz w:val="24"/>
          <w:szCs w:val="24"/>
        </w:rPr>
        <w:t>、终止竞争性磋商采购活动</w:t>
      </w:r>
    </w:p>
    <w:p w14:paraId="4D61A40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出现下列情形之一的，招标人或者招标代理机构应当终止竞争性磋商采购活动，发布项目终止公告并说明原因，重新开展采购活动：</w:t>
      </w:r>
    </w:p>
    <w:p w14:paraId="2A0729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（1）因情况变化，不再符合规定的竞争性磋商采购方式适用情形的；</w:t>
      </w:r>
    </w:p>
    <w:p w14:paraId="3862BA1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（2）出现影响采购公正的违法、违规行为的；</w:t>
      </w:r>
    </w:p>
    <w:p w14:paraId="09B384B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（3）在招标过程中符合竞争要求的响应人或者报价未超过招标预算的响应人不足2家的，但货物和服务项目技术复杂或者性质特殊，不能确定详细规格或者具体要求的情形除外。</w:t>
      </w:r>
    </w:p>
    <w:p w14:paraId="78A827D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、确定成交人</w:t>
      </w:r>
    </w:p>
    <w:p w14:paraId="7C3ADE1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.1招标代理机构应当在磋商结束后2个工作日内将评审报告送招标人。招标人应当在收到评审报告后5个工作日内，按照评审报告中推荐的成交候选人顺序确定成交人，并将结果发布网上。</w:t>
      </w:r>
    </w:p>
    <w:p w14:paraId="7F53395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.2招标人也可以书面授权磋商小组直接确定成交人。磋商小组直接确定成交人的应在磋商文件中写明。</w:t>
      </w:r>
    </w:p>
    <w:p w14:paraId="019BE5D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、成交结果公告</w:t>
      </w:r>
    </w:p>
    <w:p w14:paraId="2507303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.1招标人应当在成交人确定后2个工作日内，在公告发布的同一媒介上发布成交结果，同时向成交响应人发出成交通知书，并将磋商文件随成交结果同时公告，公告期限1个工作日。</w:t>
      </w:r>
    </w:p>
    <w:p w14:paraId="33C152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1</w:t>
      </w:r>
      <w:r>
        <w:rPr>
          <w:rFonts w:hint="eastAsia" w:ascii="宋体" w:hAnsi="宋体" w:eastAsia="宋体" w:cs="宋体"/>
          <w:sz w:val="24"/>
          <w:szCs w:val="24"/>
        </w:rPr>
        <w:t>.2成交结果公告内容应当包括招标人和招标代理机构的名称、地址、联系方式，项目名称和项目编号，成交人名称、地址和成交金额，主要成交标的的名称、规格型号、数量、单价、服务要求或标的的基本概况以及磋商小组名单。</w:t>
      </w:r>
    </w:p>
    <w:p w14:paraId="7F3AACB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、合同授予</w:t>
      </w:r>
    </w:p>
    <w:p w14:paraId="42EADDA6">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.1成交结果公示的同时，招标人以书面形式向成交人发出成交通知书。</w:t>
      </w:r>
    </w:p>
    <w:p w14:paraId="029440A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.2 响应人的最后一轮报价为成交价，成交价即为合同价。</w:t>
      </w:r>
    </w:p>
    <w:p w14:paraId="16F000A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.3 招标人和成交人应当自成交通知书发出之日起30天内，根据竞争性磋商文件、响应人的响应性文件及在磋商过程中对响应性文件作出的澄清、解释订立书面合同。响应人无正当理由拒签合同的，招标人取消其成交资格，并追究其违约责任。在此情况下，招标人可将合同授予排名次髙的响应人。</w:t>
      </w:r>
    </w:p>
    <w:p w14:paraId="2A2C94A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2</w:t>
      </w:r>
      <w:r>
        <w:rPr>
          <w:rFonts w:hint="eastAsia" w:ascii="宋体" w:hAnsi="宋体" w:eastAsia="宋体" w:cs="宋体"/>
          <w:sz w:val="24"/>
          <w:szCs w:val="24"/>
        </w:rPr>
        <w:t>.4在签订合同过程中，如发现成交人以他人名义磋商或者以其他方式弄虚作假，骗取成交的，招标人有权取消其成交资格。</w:t>
      </w:r>
    </w:p>
    <w:p w14:paraId="225F1D67">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3</w:t>
      </w:r>
      <w:r>
        <w:rPr>
          <w:rFonts w:hint="eastAsia" w:ascii="宋体" w:hAnsi="宋体" w:eastAsia="宋体" w:cs="宋体"/>
          <w:sz w:val="24"/>
          <w:szCs w:val="24"/>
        </w:rPr>
        <w:t>、重新招标</w:t>
      </w:r>
    </w:p>
    <w:p w14:paraId="28D02BC4">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有下列情形之一的，采购人将重新招标:</w:t>
      </w:r>
    </w:p>
    <w:p w14:paraId="4A44562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(1)投标截止时间止，响应人少于3个的。</w:t>
      </w:r>
    </w:p>
    <w:p w14:paraId="144E787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(2)经磋商小组评审后否决所有投标的。</w:t>
      </w:r>
    </w:p>
    <w:p w14:paraId="7F3FD7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、纪律和监督</w:t>
      </w:r>
    </w:p>
    <w:p w14:paraId="413B0A4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.1对招标人的纪律要求：招标人不得泄漏竞争性磋商中应当保密的情况和资料，不得与响应人串通损害国家利益、社会公共利益或者他人合法权益。</w:t>
      </w:r>
    </w:p>
    <w:p w14:paraId="2AEF5D1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2对响应人的纪律要求：响应人不得相互串通或者与招标人串通，不得向招标人或者磋商小组成员行贿谋取成交，不得以他人名义磋商或者以其他方式弄虚作假骗取成交；响应人不得以任何方式干扰、影响磋商工作。</w:t>
      </w:r>
    </w:p>
    <w:p w14:paraId="50DDB5C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3对磋商小组成员的纪律要求：磋商小组成员不得收受他人的财物或者其他好处，不得向他人透漏对响应文件的评审和比较、成交候选人的推荐情况以及与磋商有关的其他情况。在磋商活动中，磋商小组成员不得擅离职守，影响磋商程序正常进行。</w:t>
      </w:r>
    </w:p>
    <w:p w14:paraId="5E454791">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4</w:t>
      </w:r>
      <w:r>
        <w:rPr>
          <w:rFonts w:hint="eastAsia" w:ascii="宋体" w:hAnsi="宋体" w:eastAsia="宋体" w:cs="宋体"/>
          <w:sz w:val="24"/>
          <w:szCs w:val="24"/>
        </w:rPr>
        <w:t>.4对与磋商活动有关的工作人员的纪律要求：与磋商活动有关的工作人员不得收受他人的财物或者其他好处，不得向他人透漏对响应文件的评审和比较、成交候选人的推荐情况以及与谈判有关的其他情况。在磋商活动中，与磋商活动有关的工作人员不得擅离职守，影响磋商程序正常进行。</w:t>
      </w:r>
    </w:p>
    <w:p w14:paraId="750BAFF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、投诉</w:t>
      </w:r>
    </w:p>
    <w:p w14:paraId="1EDD3A8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响应人和其他利害关系人认为本次竞争性磋商违反法律、法规和规章规定的，有权向有关行政监督部门投诉。</w:t>
      </w:r>
    </w:p>
    <w:p w14:paraId="2B93B122">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5</w:t>
      </w:r>
      <w:r>
        <w:rPr>
          <w:rFonts w:hint="eastAsia" w:ascii="宋体" w:hAnsi="宋体" w:eastAsia="宋体" w:cs="宋体"/>
          <w:sz w:val="24"/>
          <w:szCs w:val="24"/>
        </w:rPr>
        <w:t>.1询问、质疑和投诉</w:t>
      </w:r>
    </w:p>
    <w:p w14:paraId="666DF88A">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（1）响应人或有关当事人对磋商过程、成交结果有异议的，可以向招标人或者招标代理机构提出询问。</w:t>
      </w:r>
    </w:p>
    <w:p w14:paraId="12C283EB">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（2）招标人或者招标代理机构应当在三个工作日内对响应人依法提出的询问作出答复。</w:t>
      </w:r>
    </w:p>
    <w:p w14:paraId="19637E89">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（3）响应人认为磋商文件、磋商过程使自己的权益受到损害的，可以在知道或者应知其权益受到损害之日起七个工作日内，以书面形式向招标人提出质疑。</w:t>
      </w:r>
    </w:p>
    <w:p w14:paraId="054B480F">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（4）招标人或者招标代理机构应当在收到响应人的书面质疑后七个工作日内作出答复，并以书面形式通知质疑响应人和其他有关响应人，但答复的内容不得涉及商业秘密。</w:t>
      </w:r>
    </w:p>
    <w:p w14:paraId="1E1585A0">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（5）质疑响应人对招标人、招标代理机构的答复不满意或者招标人、招标代理机构未在规定的时间内作出答复的，可以在答复期满后十五个工作日内向同级政府招标监督管理部门投诉。</w:t>
      </w:r>
    </w:p>
    <w:p w14:paraId="19383858">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（6）响应人质疑、投诉应当有明确的请求和必要的证明材料。响应人投诉的事项不得超出已质疑事项的范围。</w:t>
      </w:r>
    </w:p>
    <w:p w14:paraId="30F4870C">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6</w:t>
      </w:r>
      <w:r>
        <w:rPr>
          <w:rFonts w:hint="eastAsia" w:ascii="宋体" w:hAnsi="宋体" w:eastAsia="宋体" w:cs="宋体"/>
          <w:sz w:val="24"/>
          <w:szCs w:val="24"/>
        </w:rPr>
        <w:t>、需要补充的其他内容</w:t>
      </w:r>
    </w:p>
    <w:p w14:paraId="6135C4B5">
      <w:pPr>
        <w:spacing w:line="45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需要补充的其他内容：见&lt;响应人须知前附表&gt;。</w:t>
      </w:r>
    </w:p>
    <w:p w14:paraId="60260C91">
      <w:pPr>
        <w:widowControl/>
        <w:jc w:val="left"/>
        <w:rPr>
          <w:b/>
          <w:kern w:val="44"/>
          <w:sz w:val="32"/>
          <w:szCs w:val="44"/>
        </w:rPr>
      </w:pPr>
      <w:bookmarkStart w:id="103" w:name="_Toc10050"/>
      <w:bookmarkStart w:id="104" w:name="_Toc193295704"/>
      <w:bookmarkStart w:id="105" w:name="_Toc142932628"/>
      <w:r>
        <w:br w:type="page"/>
      </w:r>
    </w:p>
    <w:p w14:paraId="16B56FA9">
      <w:pPr>
        <w:pStyle w:val="3"/>
        <w:jc w:val="center"/>
      </w:pPr>
      <w:r>
        <w:rPr>
          <w:rFonts w:hint="eastAsia"/>
        </w:rPr>
        <w:t>第三章 招标控制价的编制依据</w:t>
      </w:r>
      <w:bookmarkEnd w:id="102"/>
      <w:bookmarkEnd w:id="103"/>
      <w:bookmarkEnd w:id="104"/>
      <w:bookmarkEnd w:id="105"/>
    </w:p>
    <w:p w14:paraId="22EFB33F">
      <w:pPr>
        <w:ind w:firstLine="560" w:firstLineChars="200"/>
        <w:rPr>
          <w:rFonts w:ascii="宋体" w:hAnsi="宋体" w:cs="宋体"/>
          <w:kern w:val="0"/>
          <w:sz w:val="28"/>
          <w:szCs w:val="28"/>
        </w:rPr>
      </w:pPr>
    </w:p>
    <w:p w14:paraId="586912D4">
      <w:pPr>
        <w:pStyle w:val="5"/>
        <w:ind w:firstLine="480" w:firstLineChars="200"/>
        <w:rPr>
          <w:rFonts w:ascii="宋体" w:hAnsi="宋体" w:cs="宋体"/>
          <w:b w:val="0"/>
          <w:kern w:val="0"/>
          <w:szCs w:val="24"/>
        </w:rPr>
      </w:pPr>
      <w:r>
        <w:rPr>
          <w:rFonts w:hint="eastAsia" w:ascii="宋体" w:hAnsi="宋体" w:cs="宋体"/>
          <w:b w:val="0"/>
          <w:kern w:val="0"/>
          <w:szCs w:val="24"/>
        </w:rPr>
        <w:t>一、编制依据：</w:t>
      </w:r>
    </w:p>
    <w:p w14:paraId="5229C928">
      <w:pPr>
        <w:pStyle w:val="5"/>
        <w:ind w:firstLine="480" w:firstLineChars="200"/>
        <w:rPr>
          <w:rFonts w:hint="eastAsia" w:ascii="宋体" w:hAnsi="宋体" w:cs="宋体"/>
          <w:b w:val="0"/>
          <w:kern w:val="0"/>
          <w:szCs w:val="24"/>
        </w:rPr>
      </w:pPr>
      <w:r>
        <w:rPr>
          <w:rFonts w:hint="eastAsia" w:ascii="宋体" w:hAnsi="宋体" w:cs="宋体"/>
          <w:b w:val="0"/>
          <w:kern w:val="0"/>
          <w:szCs w:val="24"/>
        </w:rPr>
        <w:t>（1）《建设工程工程量清单计价规范 GB 50500-2013》、《房屋建筑与装饰工程工程量计算规范GB 50854-2013》、《市政工程工程量计算规范GB 50857-2013》、《河南省房屋建筑与装饰工程预算定额(HA 01-31-2016)》、《河南省市政工程预算定额》(HAAl-31-2016)、2018公路工程部颁清单计价依据及相关规范，《公路工程预算定额》（2018）及相关配套文件和有关规定；</w:t>
      </w:r>
    </w:p>
    <w:p w14:paraId="1C3EADB2">
      <w:pPr>
        <w:pStyle w:val="5"/>
        <w:ind w:firstLine="480" w:firstLineChars="200"/>
        <w:rPr>
          <w:rFonts w:hint="eastAsia" w:ascii="宋体" w:hAnsi="宋体" w:cs="宋体"/>
          <w:b w:val="0"/>
          <w:kern w:val="0"/>
          <w:szCs w:val="24"/>
        </w:rPr>
      </w:pPr>
      <w:r>
        <w:rPr>
          <w:rFonts w:hint="eastAsia" w:ascii="宋体" w:hAnsi="宋体" w:cs="宋体"/>
          <w:b w:val="0"/>
          <w:kern w:val="0"/>
          <w:szCs w:val="24"/>
        </w:rPr>
        <w:t>（2）材料价格调整参考三门峡市住房和城乡建设局2025年发布第1期《三门峡工程标准造价信息》陕州区部分及市场价；</w:t>
      </w:r>
    </w:p>
    <w:p w14:paraId="2B4A3CA2">
      <w:pPr>
        <w:pStyle w:val="5"/>
        <w:ind w:firstLine="480" w:firstLineChars="200"/>
        <w:rPr>
          <w:rFonts w:hint="eastAsia" w:ascii="宋体" w:hAnsi="宋体" w:cs="宋体"/>
          <w:b w:val="0"/>
          <w:kern w:val="0"/>
          <w:szCs w:val="24"/>
        </w:rPr>
      </w:pPr>
      <w:r>
        <w:rPr>
          <w:rFonts w:hint="eastAsia" w:ascii="宋体" w:hAnsi="宋体" w:cs="宋体"/>
          <w:b w:val="0"/>
          <w:kern w:val="0"/>
          <w:szCs w:val="24"/>
        </w:rPr>
        <w:t>（3）市政：人工费指数、机械人工费指数、管理费指数按第2024年7~12月价格指数计取（豫建消技【2024】31号文）；公路人工费采用标准：人工、机械工108.85元/工日；</w:t>
      </w:r>
    </w:p>
    <w:p w14:paraId="2454F054">
      <w:pPr>
        <w:pStyle w:val="5"/>
        <w:ind w:firstLine="480" w:firstLineChars="200"/>
        <w:rPr>
          <w:rFonts w:hint="eastAsia" w:ascii="宋体" w:hAnsi="宋体" w:cs="宋体"/>
          <w:b w:val="0"/>
          <w:kern w:val="0"/>
          <w:szCs w:val="24"/>
        </w:rPr>
      </w:pPr>
      <w:r>
        <w:rPr>
          <w:rFonts w:hint="eastAsia" w:ascii="宋体" w:hAnsi="宋体" w:cs="宋体"/>
          <w:b w:val="0"/>
          <w:kern w:val="0"/>
          <w:szCs w:val="24"/>
        </w:rPr>
        <w:t>（4）增值税按一般计税法9%计取；</w:t>
      </w:r>
    </w:p>
    <w:p w14:paraId="72E7E87F">
      <w:pPr>
        <w:pStyle w:val="5"/>
        <w:ind w:firstLine="480" w:firstLineChars="200"/>
        <w:rPr>
          <w:rFonts w:hint="eastAsia" w:ascii="宋体" w:hAnsi="宋体" w:cs="宋体"/>
          <w:b w:val="0"/>
          <w:kern w:val="0"/>
          <w:szCs w:val="24"/>
        </w:rPr>
      </w:pPr>
      <w:r>
        <w:rPr>
          <w:rFonts w:hint="eastAsia" w:ascii="宋体" w:hAnsi="宋体" w:cs="宋体"/>
          <w:b w:val="0"/>
          <w:kern w:val="0"/>
          <w:szCs w:val="24"/>
        </w:rPr>
        <w:t>（5）市政：安全生产费及文明施工措施费、规费按规定计取；二次搬运费、冬雨季施工和夜间施工增加费不计取；</w:t>
      </w:r>
    </w:p>
    <w:p w14:paraId="47101A77">
      <w:pPr>
        <w:pStyle w:val="5"/>
        <w:ind w:firstLine="480" w:firstLineChars="200"/>
        <w:rPr>
          <w:rFonts w:hint="eastAsia" w:ascii="宋体" w:hAnsi="宋体" w:cs="宋体"/>
          <w:b w:val="0"/>
          <w:kern w:val="0"/>
          <w:szCs w:val="24"/>
        </w:rPr>
      </w:pPr>
      <w:r>
        <w:rPr>
          <w:rFonts w:hint="eastAsia" w:ascii="宋体" w:hAnsi="宋体" w:cs="宋体"/>
          <w:b w:val="0"/>
          <w:kern w:val="0"/>
          <w:szCs w:val="24"/>
        </w:rPr>
        <w:t>（6）公路：规费费率取费标准为33.5%；措施费不计，施工辅助费不计，企业管理费不计；</w:t>
      </w:r>
    </w:p>
    <w:p w14:paraId="20155C02">
      <w:pPr>
        <w:pStyle w:val="5"/>
        <w:ind w:firstLine="480" w:firstLineChars="200"/>
        <w:rPr>
          <w:rFonts w:hint="eastAsia" w:ascii="宋体" w:hAnsi="宋体" w:cs="宋体"/>
          <w:b w:val="0"/>
          <w:kern w:val="0"/>
          <w:szCs w:val="24"/>
        </w:rPr>
      </w:pPr>
      <w:r>
        <w:rPr>
          <w:rFonts w:hint="eastAsia" w:ascii="宋体" w:hAnsi="宋体" w:cs="宋体"/>
          <w:b w:val="0"/>
          <w:kern w:val="0"/>
          <w:szCs w:val="24"/>
        </w:rPr>
        <w:t>（7）建设单位提供的实施方案；</w:t>
      </w:r>
    </w:p>
    <w:p w14:paraId="783F674A">
      <w:pPr>
        <w:pStyle w:val="5"/>
        <w:ind w:firstLine="480" w:firstLineChars="200"/>
        <w:rPr>
          <w:rFonts w:hint="eastAsia" w:ascii="宋体" w:hAnsi="宋体" w:cs="宋体"/>
          <w:b w:val="0"/>
          <w:kern w:val="0"/>
          <w:szCs w:val="24"/>
        </w:rPr>
      </w:pPr>
      <w:r>
        <w:rPr>
          <w:rFonts w:hint="eastAsia" w:ascii="宋体" w:hAnsi="宋体" w:cs="宋体"/>
          <w:b w:val="0"/>
          <w:kern w:val="0"/>
          <w:szCs w:val="24"/>
        </w:rPr>
        <w:t>（8）其它执行国家及省市的有关规定；</w:t>
      </w:r>
    </w:p>
    <w:p w14:paraId="7122E672">
      <w:pPr>
        <w:pStyle w:val="5"/>
        <w:ind w:firstLine="480" w:firstLineChars="200"/>
        <w:rPr>
          <w:rFonts w:hint="eastAsia" w:ascii="宋体" w:hAnsi="宋体" w:cs="宋体"/>
          <w:b w:val="0"/>
          <w:kern w:val="0"/>
          <w:szCs w:val="24"/>
        </w:rPr>
      </w:pPr>
      <w:r>
        <w:rPr>
          <w:rFonts w:hint="eastAsia" w:ascii="宋体" w:hAnsi="宋体" w:cs="宋体"/>
          <w:b w:val="0"/>
          <w:kern w:val="0"/>
          <w:szCs w:val="24"/>
        </w:rPr>
        <w:t>（9）与建设工程项目有关的标准、规范、技术资料；</w:t>
      </w:r>
    </w:p>
    <w:p w14:paraId="1B0F741E">
      <w:pPr>
        <w:pStyle w:val="5"/>
        <w:ind w:firstLine="480" w:firstLineChars="200"/>
        <w:rPr>
          <w:rFonts w:hint="eastAsia" w:ascii="宋体" w:hAnsi="宋体" w:cs="宋体"/>
          <w:b w:val="0"/>
          <w:kern w:val="0"/>
          <w:szCs w:val="24"/>
        </w:rPr>
      </w:pPr>
      <w:r>
        <w:rPr>
          <w:rFonts w:hint="eastAsia" w:ascii="宋体" w:hAnsi="宋体" w:cs="宋体"/>
          <w:b w:val="0"/>
          <w:kern w:val="0"/>
          <w:szCs w:val="24"/>
          <w:lang w:val="en-US" w:eastAsia="zh-CN"/>
        </w:rPr>
        <w:t>二</w:t>
      </w:r>
      <w:r>
        <w:rPr>
          <w:rFonts w:hint="eastAsia" w:ascii="宋体" w:hAnsi="宋体" w:cs="宋体"/>
          <w:b w:val="0"/>
          <w:kern w:val="0"/>
          <w:szCs w:val="24"/>
        </w:rPr>
        <w:t>、需要说明的问题</w:t>
      </w:r>
    </w:p>
    <w:p w14:paraId="4C4AA7EB">
      <w:pPr>
        <w:pStyle w:val="5"/>
        <w:ind w:firstLine="480" w:firstLineChars="200"/>
        <w:rPr>
          <w:rFonts w:ascii="宋体" w:hAnsi="宋体" w:cs="宋体"/>
          <w:b w:val="0"/>
          <w:kern w:val="0"/>
          <w:szCs w:val="24"/>
        </w:rPr>
      </w:pPr>
      <w:r>
        <w:rPr>
          <w:rFonts w:hint="eastAsia" w:ascii="宋体" w:hAnsi="宋体" w:cs="宋体"/>
          <w:b w:val="0"/>
          <w:kern w:val="0"/>
          <w:szCs w:val="24"/>
        </w:rPr>
        <w:t>1.混凝土均按C20商品混凝土计算。</w:t>
      </w:r>
    </w:p>
    <w:p w14:paraId="0F108F0F">
      <w:pPr>
        <w:widowControl/>
        <w:jc w:val="left"/>
        <w:rPr>
          <w:b/>
          <w:kern w:val="44"/>
          <w:sz w:val="32"/>
          <w:szCs w:val="44"/>
        </w:rPr>
      </w:pPr>
      <w:bookmarkStart w:id="106" w:name="_Toc142932629"/>
      <w:bookmarkStart w:id="107" w:name="_Toc29521"/>
      <w:bookmarkStart w:id="108" w:name="_Toc193295705"/>
      <w:r>
        <w:br w:type="page"/>
      </w:r>
    </w:p>
    <w:p w14:paraId="71F27A2D">
      <w:pPr>
        <w:pStyle w:val="3"/>
        <w:jc w:val="center"/>
      </w:pPr>
      <w:r>
        <w:rPr>
          <w:rFonts w:hint="eastAsia"/>
        </w:rPr>
        <w:t>第四章 评标办法（综合评分法）</w:t>
      </w:r>
      <w:bookmarkEnd w:id="106"/>
      <w:bookmarkEnd w:id="107"/>
      <w:bookmarkEnd w:id="108"/>
      <w:bookmarkStart w:id="109" w:name="_Toc466566794"/>
      <w:bookmarkEnd w:id="109"/>
      <w:bookmarkStart w:id="110" w:name="_Toc466566705"/>
      <w:bookmarkEnd w:id="110"/>
    </w:p>
    <w:p w14:paraId="55BCD7BE">
      <w:pPr>
        <w:widowControl/>
        <w:adjustRightInd w:val="0"/>
        <w:snapToGrid w:val="0"/>
        <w:spacing w:after="156" w:afterLines="50"/>
        <w:jc w:val="left"/>
        <w:rPr>
          <w:rFonts w:ascii="宋体" w:hAnsi="宋体" w:cs="宋体"/>
          <w:bCs/>
          <w:color w:val="000000"/>
          <w:kern w:val="0"/>
          <w:sz w:val="24"/>
          <w:szCs w:val="24"/>
        </w:rPr>
      </w:pPr>
      <w:bookmarkStart w:id="111" w:name="_Toc32115"/>
      <w:r>
        <w:rPr>
          <w:rFonts w:hint="eastAsia" w:hAnsi="宋体" w:cs="宋体"/>
          <w:b/>
          <w:sz w:val="24"/>
          <w:szCs w:val="24"/>
        </w:rPr>
        <w:t>磋商办法</w:t>
      </w:r>
    </w:p>
    <w:p w14:paraId="318BB6C5">
      <w:pPr>
        <w:spacing w:line="520" w:lineRule="exact"/>
        <w:ind w:firstLine="422" w:firstLineChars="200"/>
        <w:rPr>
          <w:rFonts w:ascii="宋体" w:hAnsi="宋体" w:cs="宋体"/>
          <w:b/>
          <w:sz w:val="24"/>
          <w:szCs w:val="24"/>
        </w:rPr>
      </w:pPr>
      <w:bookmarkStart w:id="112" w:name="_Toc28251232"/>
      <w:bookmarkStart w:id="113" w:name="_Toc38013557"/>
      <w:r>
        <w:rPr>
          <w:rFonts w:hint="eastAsia" w:ascii="黑体" w:hAnsi="黑体"/>
          <w:b/>
          <w:bCs/>
          <w:szCs w:val="20"/>
        </w:rPr>
        <w:t>1.</w:t>
      </w:r>
      <w:bookmarkEnd w:id="112"/>
      <w:bookmarkEnd w:id="113"/>
      <w:r>
        <w:rPr>
          <w:rFonts w:hint="eastAsia" w:ascii="宋体" w:hAnsi="宋体" w:cs="宋体"/>
          <w:b/>
          <w:bCs/>
          <w:kern w:val="0"/>
          <w:sz w:val="24"/>
          <w:szCs w:val="24"/>
        </w:rPr>
        <w:t>本次磋商采用综合评分法：</w:t>
      </w:r>
      <w:r>
        <w:rPr>
          <w:rFonts w:hint="eastAsia" w:ascii="宋体" w:hAnsi="宋体" w:cs="宋体"/>
          <w:sz w:val="24"/>
          <w:szCs w:val="24"/>
        </w:rPr>
        <w:t>磋商小组对满足竞争性磋商文件实质性要求和提交最终报价的响应文件，按本章节规定的评分标准进行综合评分，并按得分由高到低顺序推荐3名成交候选人。</w:t>
      </w:r>
      <w:bookmarkStart w:id="114" w:name="_Toc28030"/>
      <w:bookmarkEnd w:id="114"/>
      <w:bookmarkStart w:id="115" w:name="_Toc19618"/>
      <w:bookmarkEnd w:id="115"/>
      <w:bookmarkStart w:id="116" w:name="_Toc179632619"/>
      <w:bookmarkEnd w:id="116"/>
      <w:bookmarkStart w:id="117" w:name="_Toc29880"/>
    </w:p>
    <w:p w14:paraId="34A5B953">
      <w:pPr>
        <w:spacing w:line="520" w:lineRule="exact"/>
        <w:ind w:firstLine="482" w:firstLineChars="200"/>
        <w:rPr>
          <w:rFonts w:ascii="宋体" w:hAnsi="宋体" w:cs="宋体"/>
          <w:b/>
          <w:bCs/>
          <w:sz w:val="24"/>
          <w:szCs w:val="24"/>
        </w:rPr>
      </w:pPr>
      <w:r>
        <w:rPr>
          <w:rFonts w:hint="eastAsia" w:ascii="宋体" w:hAnsi="宋体" w:cs="宋体"/>
          <w:b/>
          <w:bCs/>
          <w:sz w:val="24"/>
          <w:szCs w:val="24"/>
        </w:rPr>
        <w:t>2. 评审标准</w:t>
      </w:r>
      <w:bookmarkEnd w:id="117"/>
    </w:p>
    <w:p w14:paraId="41BF530B">
      <w:pPr>
        <w:pStyle w:val="164"/>
        <w:keepLines w:val="0"/>
        <w:widowControl/>
        <w:spacing w:line="520" w:lineRule="exact"/>
        <w:ind w:firstLine="482" w:firstLineChars="200"/>
        <w:rPr>
          <w:rFonts w:ascii="宋体" w:hAnsi="宋体" w:eastAsia="宋体"/>
        </w:rPr>
      </w:pPr>
      <w:bookmarkStart w:id="118" w:name="_Toc12931"/>
      <w:bookmarkEnd w:id="118"/>
      <w:bookmarkStart w:id="119" w:name="_Toc31847"/>
      <w:bookmarkEnd w:id="119"/>
      <w:bookmarkStart w:id="120" w:name="_Toc23196"/>
      <w:bookmarkEnd w:id="120"/>
      <w:bookmarkStart w:id="121" w:name="_Toc179632620"/>
      <w:bookmarkEnd w:id="121"/>
      <w:bookmarkStart w:id="122" w:name="_Toc12074"/>
      <w:r>
        <w:rPr>
          <w:rFonts w:hint="eastAsia" w:ascii="宋体" w:hAnsi="宋体" w:eastAsia="宋体"/>
        </w:rPr>
        <w:t>2.1 初步评审标准</w:t>
      </w:r>
      <w:bookmarkEnd w:id="122"/>
    </w:p>
    <w:p w14:paraId="5A79486D">
      <w:pPr>
        <w:spacing w:line="520" w:lineRule="exact"/>
        <w:ind w:firstLine="480" w:firstLineChars="200"/>
        <w:rPr>
          <w:rFonts w:ascii="宋体" w:hAnsi="宋体" w:cs="宋体"/>
          <w:sz w:val="24"/>
          <w:szCs w:val="24"/>
        </w:rPr>
      </w:pPr>
      <w:r>
        <w:rPr>
          <w:rFonts w:hint="eastAsia" w:ascii="宋体" w:hAnsi="宋体" w:cs="宋体"/>
          <w:sz w:val="24"/>
          <w:szCs w:val="24"/>
        </w:rPr>
        <w:t>2.1.1 形式评审标准：见磋商办法前附表。</w:t>
      </w:r>
    </w:p>
    <w:p w14:paraId="7844D7E7">
      <w:pPr>
        <w:spacing w:line="520" w:lineRule="exact"/>
        <w:ind w:firstLine="480" w:firstLineChars="200"/>
        <w:rPr>
          <w:rFonts w:ascii="宋体" w:hAnsi="宋体" w:cs="宋体"/>
          <w:sz w:val="24"/>
          <w:szCs w:val="24"/>
        </w:rPr>
      </w:pPr>
      <w:r>
        <w:rPr>
          <w:rFonts w:hint="eastAsia" w:ascii="宋体" w:hAnsi="宋体" w:cs="宋体"/>
          <w:sz w:val="24"/>
          <w:szCs w:val="24"/>
        </w:rPr>
        <w:t>2.1.2 资格评审标准：见磋商办法前附表。</w:t>
      </w:r>
    </w:p>
    <w:p w14:paraId="13A45E05">
      <w:pPr>
        <w:pStyle w:val="164"/>
        <w:keepLines w:val="0"/>
        <w:widowControl/>
        <w:spacing w:line="520" w:lineRule="exact"/>
        <w:ind w:firstLine="482" w:firstLineChars="200"/>
        <w:rPr>
          <w:rFonts w:ascii="宋体" w:hAnsi="宋体" w:eastAsia="宋体"/>
        </w:rPr>
      </w:pPr>
      <w:bookmarkStart w:id="123" w:name="_Toc607"/>
      <w:bookmarkEnd w:id="123"/>
      <w:bookmarkStart w:id="124" w:name="_Toc11804"/>
      <w:bookmarkEnd w:id="124"/>
      <w:bookmarkStart w:id="125" w:name="_Toc179632621"/>
      <w:bookmarkEnd w:id="125"/>
      <w:bookmarkStart w:id="126" w:name="_Toc16603"/>
      <w:bookmarkEnd w:id="126"/>
      <w:bookmarkStart w:id="127" w:name="_Toc12819"/>
      <w:r>
        <w:rPr>
          <w:rFonts w:hint="eastAsia" w:ascii="宋体" w:hAnsi="宋体" w:eastAsia="宋体"/>
        </w:rPr>
        <w:t>2.1.3 响应性评审标准：见磋商办法前附表。</w:t>
      </w:r>
      <w:bookmarkEnd w:id="127"/>
    </w:p>
    <w:p w14:paraId="61162416">
      <w:pPr>
        <w:pStyle w:val="164"/>
        <w:keepLines w:val="0"/>
        <w:widowControl/>
        <w:spacing w:line="520" w:lineRule="exact"/>
        <w:ind w:firstLine="482" w:firstLineChars="200"/>
        <w:rPr>
          <w:rFonts w:ascii="宋体" w:hAnsi="宋体" w:eastAsia="宋体"/>
        </w:rPr>
      </w:pPr>
      <w:bookmarkStart w:id="128" w:name="_Toc7169"/>
      <w:r>
        <w:rPr>
          <w:rFonts w:hint="eastAsia" w:ascii="宋体" w:hAnsi="宋体" w:eastAsia="宋体"/>
        </w:rPr>
        <w:t>2.2 详细评审</w:t>
      </w:r>
      <w:bookmarkEnd w:id="128"/>
    </w:p>
    <w:p w14:paraId="169C0867">
      <w:pPr>
        <w:spacing w:line="520" w:lineRule="exact"/>
        <w:ind w:firstLine="480" w:firstLineChars="200"/>
        <w:rPr>
          <w:rFonts w:ascii="宋体" w:hAnsi="宋体" w:cs="宋体"/>
          <w:sz w:val="24"/>
          <w:szCs w:val="24"/>
        </w:rPr>
      </w:pPr>
      <w:r>
        <w:rPr>
          <w:rFonts w:hint="eastAsia" w:ascii="宋体" w:hAnsi="宋体" w:cs="宋体"/>
          <w:sz w:val="24"/>
          <w:szCs w:val="24"/>
        </w:rPr>
        <w:t>2.2.1 分值构成</w:t>
      </w:r>
    </w:p>
    <w:p w14:paraId="74162B53">
      <w:pPr>
        <w:spacing w:line="520" w:lineRule="exact"/>
        <w:ind w:firstLine="420" w:firstLineChars="175"/>
        <w:rPr>
          <w:rFonts w:ascii="宋体" w:hAnsi="宋体" w:cs="宋体"/>
          <w:sz w:val="24"/>
          <w:szCs w:val="24"/>
        </w:rPr>
      </w:pPr>
      <w:r>
        <w:rPr>
          <w:rFonts w:hint="eastAsia" w:ascii="宋体" w:hAnsi="宋体" w:cs="宋体"/>
          <w:color w:val="000000" w:themeColor="text1"/>
          <w:sz w:val="24"/>
          <w:szCs w:val="24"/>
          <w14:textFill>
            <w14:solidFill>
              <w14:schemeClr w14:val="tx1"/>
            </w14:solidFill>
          </w14:textFill>
        </w:rPr>
        <w:t>（1）投标报价的</w:t>
      </w:r>
      <w:r>
        <w:rPr>
          <w:rFonts w:hint="eastAsia" w:ascii="宋体" w:hAnsi="宋体" w:cs="宋体"/>
          <w:sz w:val="24"/>
          <w:szCs w:val="24"/>
        </w:rPr>
        <w:t>权重占</w:t>
      </w:r>
      <w:r>
        <w:rPr>
          <w:rFonts w:hint="eastAsia" w:ascii="宋体" w:hAnsi="宋体" w:cs="宋体"/>
          <w:sz w:val="24"/>
          <w:szCs w:val="24"/>
          <w:lang w:val="en-US" w:eastAsia="zh-CN"/>
        </w:rPr>
        <w:t>3</w:t>
      </w:r>
      <w:r>
        <w:rPr>
          <w:rFonts w:hint="eastAsia" w:ascii="宋体" w:hAnsi="宋体" w:cs="宋体"/>
          <w:sz w:val="24"/>
          <w:szCs w:val="24"/>
        </w:rPr>
        <w:t>0%</w:t>
      </w:r>
    </w:p>
    <w:p w14:paraId="5CA9DADD">
      <w:pPr>
        <w:spacing w:line="520" w:lineRule="exact"/>
        <w:ind w:firstLine="420" w:firstLineChars="175"/>
        <w:rPr>
          <w:rFonts w:ascii="宋体" w:hAnsi="宋体" w:cs="宋体"/>
          <w:sz w:val="24"/>
          <w:szCs w:val="24"/>
        </w:rPr>
      </w:pPr>
      <w:r>
        <w:rPr>
          <w:rFonts w:hint="eastAsia" w:ascii="宋体" w:hAnsi="宋体" w:cs="宋体"/>
          <w:sz w:val="24"/>
          <w:szCs w:val="24"/>
        </w:rPr>
        <w:t>（2）技术标的权重占</w:t>
      </w:r>
      <w:r>
        <w:rPr>
          <w:rFonts w:hint="eastAsia" w:ascii="宋体" w:hAnsi="宋体" w:cs="宋体"/>
          <w:sz w:val="24"/>
          <w:szCs w:val="24"/>
          <w:lang w:val="en-US" w:eastAsia="zh-CN"/>
        </w:rPr>
        <w:t>50</w:t>
      </w:r>
      <w:r>
        <w:rPr>
          <w:rFonts w:hint="eastAsia" w:ascii="宋体" w:hAnsi="宋体" w:cs="宋体"/>
          <w:sz w:val="24"/>
          <w:szCs w:val="24"/>
        </w:rPr>
        <w:t>%</w:t>
      </w:r>
    </w:p>
    <w:p w14:paraId="5E76E10C">
      <w:pPr>
        <w:spacing w:line="520" w:lineRule="exact"/>
        <w:ind w:firstLine="420" w:firstLineChars="175"/>
        <w:rPr>
          <w:rFonts w:ascii="宋体" w:hAnsi="宋体" w:cs="宋体"/>
          <w:sz w:val="24"/>
          <w:szCs w:val="24"/>
        </w:rPr>
      </w:pPr>
      <w:r>
        <w:rPr>
          <w:rFonts w:hint="eastAsia" w:ascii="宋体" w:hAnsi="宋体" w:cs="宋体"/>
          <w:sz w:val="24"/>
          <w:szCs w:val="24"/>
        </w:rPr>
        <w:t>（3）</w:t>
      </w:r>
      <w:r>
        <w:rPr>
          <w:rFonts w:hint="eastAsia" w:ascii="宋体" w:hAnsi="宋体" w:cs="宋体"/>
          <w:sz w:val="24"/>
          <w:szCs w:val="24"/>
          <w:lang w:val="en-US" w:eastAsia="zh-CN"/>
        </w:rPr>
        <w:t>综合</w:t>
      </w:r>
      <w:r>
        <w:rPr>
          <w:rFonts w:hint="eastAsia" w:ascii="宋体" w:hAnsi="宋体" w:cs="宋体"/>
          <w:sz w:val="24"/>
          <w:szCs w:val="24"/>
        </w:rPr>
        <w:t>标的权重占</w:t>
      </w:r>
      <w:r>
        <w:rPr>
          <w:rFonts w:hint="eastAsia" w:ascii="宋体" w:hAnsi="宋体" w:cs="宋体"/>
          <w:sz w:val="24"/>
          <w:szCs w:val="24"/>
          <w:lang w:val="en-US" w:eastAsia="zh-CN"/>
        </w:rPr>
        <w:t>20</w:t>
      </w:r>
      <w:r>
        <w:rPr>
          <w:rFonts w:hint="eastAsia" w:ascii="宋体" w:hAnsi="宋体" w:cs="宋体"/>
          <w:sz w:val="24"/>
          <w:szCs w:val="24"/>
        </w:rPr>
        <w:t>%</w:t>
      </w:r>
    </w:p>
    <w:p w14:paraId="2E33BFEF">
      <w:pPr>
        <w:spacing w:line="520" w:lineRule="exact"/>
        <w:ind w:firstLine="480" w:firstLineChars="200"/>
        <w:rPr>
          <w:rFonts w:ascii="宋体" w:hAnsi="宋体" w:cs="宋体"/>
          <w:sz w:val="24"/>
          <w:szCs w:val="24"/>
        </w:rPr>
      </w:pPr>
      <w:r>
        <w:rPr>
          <w:rFonts w:hint="eastAsia" w:ascii="宋体" w:hAnsi="宋体" w:cs="宋体"/>
          <w:sz w:val="24"/>
          <w:szCs w:val="24"/>
        </w:rPr>
        <w:t>2.2.2  评分标准：见磋商办法前附表。</w:t>
      </w:r>
      <w:bookmarkStart w:id="129" w:name="_Toc152045604"/>
      <w:bookmarkEnd w:id="129"/>
      <w:bookmarkStart w:id="130" w:name="_Toc11715"/>
      <w:bookmarkEnd w:id="130"/>
      <w:bookmarkStart w:id="131" w:name="_Toc144974571"/>
      <w:bookmarkEnd w:id="131"/>
      <w:bookmarkStart w:id="132" w:name="_Toc25534"/>
      <w:bookmarkEnd w:id="132"/>
      <w:bookmarkStart w:id="133" w:name="_Toc179632622"/>
      <w:bookmarkEnd w:id="133"/>
      <w:bookmarkStart w:id="134" w:name="_Toc13158"/>
      <w:bookmarkEnd w:id="134"/>
      <w:bookmarkStart w:id="135" w:name="_Toc152042381"/>
    </w:p>
    <w:p w14:paraId="4A78D759">
      <w:pPr>
        <w:spacing w:line="520" w:lineRule="exact"/>
        <w:ind w:firstLine="482" w:firstLineChars="200"/>
        <w:rPr>
          <w:rFonts w:ascii="宋体" w:hAnsi="宋体" w:cs="宋体"/>
          <w:b/>
          <w:bCs/>
          <w:sz w:val="24"/>
          <w:szCs w:val="24"/>
        </w:rPr>
      </w:pPr>
      <w:r>
        <w:rPr>
          <w:rFonts w:hint="eastAsia" w:ascii="宋体" w:hAnsi="宋体" w:cs="宋体"/>
          <w:b/>
          <w:bCs/>
          <w:sz w:val="24"/>
          <w:szCs w:val="24"/>
        </w:rPr>
        <w:t>3. 磋商程序</w:t>
      </w:r>
      <w:bookmarkEnd w:id="135"/>
    </w:p>
    <w:p w14:paraId="16AE81CA">
      <w:pPr>
        <w:pStyle w:val="164"/>
        <w:keepLines w:val="0"/>
        <w:widowControl/>
        <w:spacing w:line="520" w:lineRule="exact"/>
        <w:ind w:firstLine="482" w:firstLineChars="200"/>
        <w:rPr>
          <w:rFonts w:ascii="宋体" w:hAnsi="宋体" w:eastAsia="宋体"/>
        </w:rPr>
      </w:pPr>
      <w:bookmarkStart w:id="136" w:name="_Toc30372"/>
      <w:bookmarkEnd w:id="136"/>
      <w:bookmarkStart w:id="137" w:name="_Toc144974572"/>
      <w:bookmarkEnd w:id="137"/>
      <w:bookmarkStart w:id="138" w:name="_Toc152045605"/>
      <w:bookmarkEnd w:id="138"/>
      <w:bookmarkStart w:id="139" w:name="_Toc8644"/>
      <w:bookmarkEnd w:id="139"/>
      <w:bookmarkStart w:id="140" w:name="_Toc152042382"/>
      <w:bookmarkEnd w:id="140"/>
      <w:bookmarkStart w:id="141" w:name="_Toc31010"/>
      <w:bookmarkEnd w:id="141"/>
      <w:bookmarkStart w:id="142" w:name="_Toc10475"/>
      <w:bookmarkStart w:id="143" w:name="_Toc179632623"/>
      <w:r>
        <w:rPr>
          <w:rFonts w:hint="eastAsia" w:ascii="宋体" w:hAnsi="宋体" w:eastAsia="宋体"/>
        </w:rPr>
        <w:t>3.1 初步评审</w:t>
      </w:r>
      <w:bookmarkEnd w:id="142"/>
      <w:bookmarkEnd w:id="143"/>
    </w:p>
    <w:p w14:paraId="1D0877FA">
      <w:pPr>
        <w:spacing w:line="520" w:lineRule="exact"/>
        <w:ind w:firstLine="480" w:firstLineChars="200"/>
        <w:rPr>
          <w:rFonts w:ascii="宋体" w:hAnsi="宋体" w:cs="宋体"/>
          <w:sz w:val="24"/>
          <w:szCs w:val="24"/>
        </w:rPr>
      </w:pPr>
      <w:r>
        <w:rPr>
          <w:rFonts w:hint="eastAsia" w:ascii="宋体" w:hAnsi="宋体" w:cs="宋体"/>
          <w:sz w:val="24"/>
          <w:szCs w:val="24"/>
        </w:rPr>
        <w:t>3.1.1 磋商小组应该以供应商自行上传到投标文件中的有关证明和证件的原件扫描件为准，进行核验。磋商小组依据本章第2.1款规定的标准对响应文件进行初步评审。有一项不符合评审标准的，其磋商将被否决。</w:t>
      </w:r>
    </w:p>
    <w:p w14:paraId="676254E5">
      <w:pPr>
        <w:spacing w:line="520" w:lineRule="exact"/>
        <w:ind w:firstLine="480" w:firstLineChars="200"/>
        <w:rPr>
          <w:rFonts w:ascii="宋体" w:hAnsi="宋体" w:cs="宋体"/>
          <w:sz w:val="24"/>
          <w:szCs w:val="24"/>
        </w:rPr>
      </w:pPr>
      <w:r>
        <w:rPr>
          <w:rFonts w:hint="eastAsia" w:ascii="宋体" w:hAnsi="宋体" w:cs="宋体"/>
          <w:sz w:val="24"/>
          <w:szCs w:val="24"/>
        </w:rPr>
        <w:t>3.1.2磋商小组依据本章第2.1.1项、第2.1.2项、第2.1.3项规定的评审标准对响应文件进行初步评审。有一项不符合评审标准的，其磋商将被否决。</w:t>
      </w:r>
    </w:p>
    <w:p w14:paraId="5F7D1C98">
      <w:pPr>
        <w:spacing w:line="520" w:lineRule="exact"/>
        <w:ind w:firstLine="480" w:firstLineChars="200"/>
        <w:rPr>
          <w:rFonts w:ascii="宋体" w:hAnsi="宋体" w:cs="宋体"/>
          <w:sz w:val="24"/>
          <w:szCs w:val="24"/>
        </w:rPr>
      </w:pPr>
      <w:r>
        <w:rPr>
          <w:rFonts w:hint="eastAsia" w:ascii="宋体" w:hAnsi="宋体" w:cs="宋体"/>
          <w:sz w:val="24"/>
          <w:szCs w:val="24"/>
        </w:rPr>
        <w:t>3.1.3供应商有以下情形之一的，其磋商作无效标处理：</w:t>
      </w:r>
    </w:p>
    <w:p w14:paraId="5D202E6A">
      <w:pPr>
        <w:spacing w:line="520" w:lineRule="exact"/>
        <w:ind w:firstLine="480" w:firstLineChars="200"/>
        <w:rPr>
          <w:rFonts w:ascii="宋体" w:hAnsi="宋体" w:cs="宋体"/>
          <w:sz w:val="24"/>
          <w:szCs w:val="24"/>
        </w:rPr>
      </w:pPr>
      <w:r>
        <w:rPr>
          <w:rFonts w:hint="eastAsia" w:ascii="宋体" w:hAnsi="宋体" w:cs="宋体"/>
          <w:sz w:val="24"/>
          <w:szCs w:val="24"/>
        </w:rPr>
        <w:t>（1）串通磋商或弄虚作假或有其他违法行为的；</w:t>
      </w:r>
    </w:p>
    <w:p w14:paraId="53509EFF">
      <w:pPr>
        <w:spacing w:line="520" w:lineRule="exact"/>
        <w:ind w:firstLine="480" w:firstLineChars="200"/>
        <w:rPr>
          <w:rFonts w:ascii="宋体" w:hAnsi="宋体" w:cs="宋体"/>
          <w:sz w:val="24"/>
          <w:szCs w:val="24"/>
        </w:rPr>
      </w:pPr>
      <w:r>
        <w:rPr>
          <w:rFonts w:hint="eastAsia" w:ascii="宋体" w:hAnsi="宋体" w:cs="宋体"/>
          <w:sz w:val="24"/>
          <w:szCs w:val="24"/>
        </w:rPr>
        <w:t>（2）不按磋商小组要求澄清、说明或补正的。</w:t>
      </w:r>
    </w:p>
    <w:p w14:paraId="0C25369C">
      <w:pPr>
        <w:spacing w:line="520" w:lineRule="exact"/>
        <w:ind w:firstLine="480" w:firstLineChars="200"/>
        <w:rPr>
          <w:rFonts w:ascii="宋体" w:hAnsi="宋体" w:cs="宋体"/>
          <w:sz w:val="24"/>
          <w:szCs w:val="24"/>
        </w:rPr>
      </w:pPr>
      <w:r>
        <w:rPr>
          <w:rFonts w:hint="eastAsia" w:ascii="宋体" w:hAnsi="宋体" w:cs="宋体"/>
          <w:sz w:val="24"/>
          <w:szCs w:val="24"/>
        </w:rPr>
        <w:t>3.1.4磋商报价有算术错误的，磋商小组按以下原则对磋商报价进行修正，修正的价格经供应商书面确认后具有约束力。供应商不接受修正价格的，其磋商将被否决。</w:t>
      </w:r>
    </w:p>
    <w:p w14:paraId="6C62107B">
      <w:pPr>
        <w:spacing w:line="520" w:lineRule="exact"/>
        <w:ind w:firstLine="480" w:firstLineChars="200"/>
        <w:rPr>
          <w:rFonts w:ascii="宋体" w:hAnsi="宋体" w:cs="宋体"/>
          <w:sz w:val="24"/>
          <w:szCs w:val="24"/>
        </w:rPr>
      </w:pPr>
      <w:bookmarkStart w:id="144" w:name="_Toc152042383"/>
      <w:bookmarkEnd w:id="144"/>
      <w:r>
        <w:rPr>
          <w:rFonts w:hint="eastAsia" w:ascii="宋体" w:hAnsi="宋体" w:cs="宋体"/>
          <w:sz w:val="24"/>
          <w:szCs w:val="24"/>
        </w:rPr>
        <w:t>（1）响应文件中的大写金额与小写金额不一致的，以大写金额为准；</w:t>
      </w:r>
    </w:p>
    <w:p w14:paraId="2D49C52A">
      <w:pPr>
        <w:spacing w:line="520" w:lineRule="exact"/>
        <w:ind w:firstLine="480" w:firstLineChars="200"/>
        <w:rPr>
          <w:rFonts w:ascii="宋体" w:hAnsi="宋体" w:cs="宋体"/>
          <w:sz w:val="24"/>
          <w:szCs w:val="24"/>
        </w:rPr>
      </w:pPr>
      <w:r>
        <w:rPr>
          <w:rFonts w:hint="eastAsia" w:ascii="宋体" w:hAnsi="宋体" w:cs="宋体"/>
          <w:sz w:val="24"/>
          <w:szCs w:val="24"/>
        </w:rPr>
        <w:t>（2）总价金额与依据单价计算出的结果不一致的，以单价金额为准修正总价，但单价金额小数点有明显错误的除外。</w:t>
      </w:r>
    </w:p>
    <w:p w14:paraId="7E8C736A">
      <w:pPr>
        <w:spacing w:line="520" w:lineRule="exact"/>
        <w:ind w:firstLine="480" w:firstLineChars="200"/>
        <w:rPr>
          <w:rFonts w:ascii="宋体" w:hAnsi="宋体" w:cs="宋体"/>
          <w:sz w:val="24"/>
          <w:szCs w:val="24"/>
        </w:rPr>
      </w:pPr>
      <w:bookmarkStart w:id="145" w:name="_Toc144974573"/>
      <w:bookmarkEnd w:id="145"/>
      <w:bookmarkStart w:id="146" w:name="_Toc179632624"/>
      <w:bookmarkEnd w:id="146"/>
      <w:bookmarkStart w:id="147" w:name="_Toc152042384"/>
      <w:bookmarkEnd w:id="147"/>
      <w:bookmarkStart w:id="148" w:name="_Toc152045606"/>
      <w:r>
        <w:rPr>
          <w:rFonts w:hint="eastAsia" w:ascii="宋体" w:hAnsi="宋体" w:cs="宋体"/>
          <w:sz w:val="24"/>
          <w:szCs w:val="24"/>
        </w:rPr>
        <w:t>3.2 详细评审</w:t>
      </w:r>
      <w:bookmarkEnd w:id="148"/>
    </w:p>
    <w:p w14:paraId="2BC4A67B">
      <w:pPr>
        <w:spacing w:line="520" w:lineRule="exact"/>
        <w:ind w:firstLine="480" w:firstLineChars="200"/>
        <w:rPr>
          <w:rFonts w:ascii="宋体" w:hAnsi="宋体" w:cs="宋体"/>
          <w:sz w:val="24"/>
          <w:szCs w:val="24"/>
        </w:rPr>
      </w:pPr>
      <w:r>
        <w:rPr>
          <w:rFonts w:hint="eastAsia" w:ascii="宋体" w:hAnsi="宋体" w:cs="宋体"/>
          <w:sz w:val="24"/>
          <w:szCs w:val="24"/>
        </w:rPr>
        <w:t>3.2.1 磋商小组按本章第2.2款规定的量化因素和分值进行打分，并计算出综合评估得分。</w:t>
      </w:r>
    </w:p>
    <w:p w14:paraId="4085E68F">
      <w:pPr>
        <w:spacing w:line="520" w:lineRule="exact"/>
        <w:ind w:firstLine="480" w:firstLineChars="200"/>
        <w:rPr>
          <w:rFonts w:ascii="宋体" w:hAnsi="宋体" w:cs="宋体"/>
          <w:sz w:val="24"/>
          <w:szCs w:val="24"/>
        </w:rPr>
      </w:pPr>
      <w:r>
        <w:rPr>
          <w:rFonts w:hint="eastAsia" w:ascii="宋体" w:hAnsi="宋体" w:cs="宋体"/>
          <w:sz w:val="24"/>
          <w:szCs w:val="24"/>
        </w:rPr>
        <w:t>3.2.2 磋商小组发现供应商最终提交的报价明显低于其他磋商报价，或者在设有招标控制价时明显低于招标控制价，使得其磋商报价可能低于其个别成本的，应当要求该供应商作出书面说明并提供相应的证明材料。供应商不能合理说明或者不能提供相应证明材料的，由磋商小组认定该供应商以低于成本报价竞标，其磋商作无效标处理。</w:t>
      </w:r>
    </w:p>
    <w:p w14:paraId="5FAC35F9">
      <w:pPr>
        <w:spacing w:line="520" w:lineRule="exact"/>
        <w:ind w:firstLine="480" w:firstLineChars="200"/>
        <w:rPr>
          <w:rFonts w:ascii="宋体" w:hAnsi="宋体" w:cs="宋体"/>
          <w:sz w:val="24"/>
          <w:szCs w:val="24"/>
        </w:rPr>
      </w:pPr>
      <w:bookmarkStart w:id="149" w:name="_Toc389384087"/>
      <w:bookmarkEnd w:id="149"/>
      <w:bookmarkStart w:id="150" w:name="_Toc152042385"/>
      <w:bookmarkEnd w:id="150"/>
      <w:bookmarkStart w:id="151" w:name="_Toc418605429"/>
      <w:bookmarkEnd w:id="151"/>
      <w:bookmarkStart w:id="152" w:name="_Toc401512224"/>
      <w:bookmarkEnd w:id="152"/>
      <w:bookmarkStart w:id="153" w:name="_Toc144974575"/>
      <w:bookmarkEnd w:id="153"/>
      <w:bookmarkStart w:id="154" w:name="_Toc418608950"/>
      <w:bookmarkEnd w:id="154"/>
      <w:bookmarkStart w:id="155" w:name="_Toc423358132"/>
      <w:bookmarkEnd w:id="155"/>
      <w:bookmarkStart w:id="156" w:name="_Toc387498748"/>
      <w:bookmarkEnd w:id="156"/>
      <w:bookmarkStart w:id="157" w:name="_Toc466566800"/>
      <w:bookmarkEnd w:id="157"/>
      <w:bookmarkStart w:id="158" w:name="_Toc466566711"/>
      <w:bookmarkEnd w:id="158"/>
      <w:bookmarkStart w:id="159" w:name="_Toc421698384"/>
      <w:bookmarkEnd w:id="159"/>
      <w:bookmarkStart w:id="160" w:name="_Toc421805017"/>
      <w:bookmarkEnd w:id="160"/>
      <w:bookmarkStart w:id="161" w:name="_Toc401926485"/>
      <w:bookmarkEnd w:id="161"/>
      <w:bookmarkStart w:id="162" w:name="_Toc179632625"/>
      <w:bookmarkEnd w:id="162"/>
      <w:bookmarkStart w:id="163" w:name="_Toc152045607"/>
      <w:r>
        <w:rPr>
          <w:rFonts w:hint="eastAsia" w:ascii="宋体" w:hAnsi="宋体" w:cs="宋体"/>
          <w:sz w:val="24"/>
          <w:szCs w:val="24"/>
        </w:rPr>
        <w:t xml:space="preserve">3.3 </w:t>
      </w:r>
      <w:bookmarkEnd w:id="163"/>
      <w:r>
        <w:rPr>
          <w:rFonts w:hint="eastAsia" w:ascii="宋体" w:hAnsi="宋体" w:cs="宋体"/>
          <w:sz w:val="24"/>
          <w:szCs w:val="24"/>
        </w:rPr>
        <w:t>响应文件的澄清和补正</w:t>
      </w:r>
    </w:p>
    <w:p w14:paraId="6ECD6AF8">
      <w:pPr>
        <w:spacing w:line="520" w:lineRule="exact"/>
        <w:ind w:firstLine="480" w:firstLineChars="200"/>
        <w:rPr>
          <w:rFonts w:ascii="宋体" w:hAnsi="宋体" w:cs="宋体"/>
          <w:sz w:val="24"/>
          <w:szCs w:val="24"/>
        </w:rPr>
      </w:pPr>
      <w:r>
        <w:rPr>
          <w:rFonts w:hint="eastAsia" w:ascii="宋体" w:hAnsi="宋体" w:cs="宋体"/>
          <w:sz w:val="24"/>
          <w:szCs w:val="24"/>
        </w:rPr>
        <w:t>3.3.1在磋商过程中，磋商小组可以书面形式要求供应商对所提交响应文件中不明确的内容进行书面澄清或说明，或者对细微偏差进行补正。磋商小组不接受供应商主动提出的澄清、说明或补正。</w:t>
      </w:r>
    </w:p>
    <w:p w14:paraId="708737FE">
      <w:pPr>
        <w:spacing w:line="520" w:lineRule="exact"/>
        <w:ind w:firstLine="480" w:firstLineChars="200"/>
        <w:rPr>
          <w:rFonts w:ascii="宋体" w:hAnsi="宋体" w:cs="宋体"/>
          <w:sz w:val="24"/>
          <w:szCs w:val="24"/>
        </w:rPr>
      </w:pPr>
      <w:r>
        <w:rPr>
          <w:rFonts w:hint="eastAsia" w:ascii="宋体" w:hAnsi="宋体" w:cs="宋体"/>
          <w:sz w:val="24"/>
          <w:szCs w:val="24"/>
        </w:rPr>
        <w:t>3.3.2 澄清、说明和补正不得改变响应文件的实质性内容（算术性错误修正的除外）。供应商的书面澄清、说明和补正属于响应文件的组成部分。</w:t>
      </w:r>
    </w:p>
    <w:p w14:paraId="5B33FA86">
      <w:pPr>
        <w:spacing w:line="520" w:lineRule="exact"/>
        <w:ind w:firstLine="480" w:firstLineChars="200"/>
        <w:rPr>
          <w:rFonts w:ascii="宋体" w:hAnsi="宋体" w:cs="宋体"/>
          <w:sz w:val="24"/>
          <w:szCs w:val="24"/>
        </w:rPr>
      </w:pPr>
      <w:r>
        <w:rPr>
          <w:rFonts w:hint="eastAsia" w:ascii="宋体" w:hAnsi="宋体" w:cs="宋体"/>
          <w:sz w:val="24"/>
          <w:szCs w:val="24"/>
        </w:rPr>
        <w:t>3.3.3 磋商小组对供应商提交的澄清、说明或补正有疑问的，可以要求供应商进一步澄清、说明或补正，直至满足磋商小组的要求。</w:t>
      </w:r>
    </w:p>
    <w:p w14:paraId="0BF7810C">
      <w:pPr>
        <w:spacing w:line="520" w:lineRule="exact"/>
        <w:ind w:firstLine="480" w:firstLineChars="200"/>
        <w:rPr>
          <w:rFonts w:ascii="宋体" w:hAnsi="宋体" w:cs="宋体"/>
          <w:sz w:val="24"/>
          <w:szCs w:val="24"/>
        </w:rPr>
      </w:pPr>
      <w:bookmarkStart w:id="164" w:name="_Toc418605430"/>
      <w:bookmarkEnd w:id="164"/>
      <w:bookmarkStart w:id="165" w:name="_Toc179632626"/>
      <w:bookmarkEnd w:id="165"/>
      <w:bookmarkStart w:id="166" w:name="_Toc466566801"/>
      <w:bookmarkEnd w:id="166"/>
      <w:bookmarkStart w:id="167" w:name="_Toc418608951"/>
      <w:bookmarkEnd w:id="167"/>
      <w:bookmarkStart w:id="168" w:name="_Toc401512225"/>
      <w:bookmarkEnd w:id="168"/>
      <w:bookmarkStart w:id="169" w:name="_Toc144974576"/>
      <w:bookmarkEnd w:id="169"/>
      <w:bookmarkStart w:id="170" w:name="_Toc152042386"/>
      <w:bookmarkEnd w:id="170"/>
      <w:bookmarkStart w:id="171" w:name="_Toc401926486"/>
      <w:bookmarkEnd w:id="171"/>
      <w:bookmarkStart w:id="172" w:name="_Toc152045608"/>
      <w:bookmarkEnd w:id="172"/>
      <w:bookmarkStart w:id="173" w:name="_Toc421698385"/>
      <w:bookmarkEnd w:id="173"/>
      <w:bookmarkStart w:id="174" w:name="_Toc466566712"/>
      <w:bookmarkEnd w:id="174"/>
      <w:bookmarkStart w:id="175" w:name="_Toc423358133"/>
      <w:bookmarkEnd w:id="175"/>
      <w:bookmarkStart w:id="176" w:name="_Toc421805018"/>
      <w:bookmarkEnd w:id="176"/>
      <w:bookmarkStart w:id="177" w:name="_Toc389384088"/>
      <w:bookmarkEnd w:id="177"/>
      <w:bookmarkStart w:id="178" w:name="_Toc387498749"/>
      <w:r>
        <w:rPr>
          <w:rFonts w:hint="eastAsia" w:ascii="宋体" w:hAnsi="宋体" w:cs="宋体"/>
          <w:sz w:val="24"/>
          <w:szCs w:val="24"/>
        </w:rPr>
        <w:t>3.4供应商的最终得分</w:t>
      </w:r>
      <w:bookmarkEnd w:id="178"/>
    </w:p>
    <w:p w14:paraId="0F720D0C">
      <w:pPr>
        <w:spacing w:line="520" w:lineRule="exact"/>
        <w:ind w:firstLine="480" w:firstLineChars="200"/>
        <w:rPr>
          <w:rFonts w:ascii="宋体" w:hAnsi="宋体" w:cs="宋体"/>
          <w:sz w:val="24"/>
          <w:szCs w:val="24"/>
        </w:rPr>
      </w:pPr>
      <w:r>
        <w:rPr>
          <w:rFonts w:hint="eastAsia" w:ascii="宋体" w:hAnsi="宋体" w:cs="宋体"/>
          <w:sz w:val="24"/>
          <w:szCs w:val="24"/>
        </w:rPr>
        <w:t>（1）磋商小组完成对投标报价、技术标和商务标的汇总后，取平均值作为该供应商的最终得分。</w:t>
      </w:r>
    </w:p>
    <w:p w14:paraId="3E6197A8">
      <w:pPr>
        <w:spacing w:line="520" w:lineRule="exact"/>
        <w:ind w:firstLine="480" w:firstLineChars="200"/>
        <w:rPr>
          <w:rFonts w:ascii="宋体" w:hAnsi="宋体" w:cs="宋体"/>
          <w:sz w:val="24"/>
          <w:szCs w:val="24"/>
        </w:rPr>
      </w:pPr>
      <w:r>
        <w:rPr>
          <w:rFonts w:hint="eastAsia" w:ascii="宋体" w:hAnsi="宋体" w:cs="宋体"/>
          <w:sz w:val="24"/>
          <w:szCs w:val="24"/>
        </w:rPr>
        <w:t>（2）计算分值均保留两位小数。</w:t>
      </w:r>
    </w:p>
    <w:p w14:paraId="451D4612">
      <w:pPr>
        <w:spacing w:line="520" w:lineRule="exact"/>
        <w:ind w:firstLine="480" w:firstLineChars="200"/>
        <w:rPr>
          <w:rFonts w:ascii="宋体" w:hAnsi="宋体" w:cs="宋体"/>
          <w:sz w:val="24"/>
          <w:szCs w:val="24"/>
        </w:rPr>
      </w:pPr>
      <w:r>
        <w:rPr>
          <w:rFonts w:hint="eastAsia" w:ascii="宋体" w:hAnsi="宋体" w:cs="宋体"/>
          <w:sz w:val="24"/>
          <w:szCs w:val="24"/>
        </w:rPr>
        <w:t>3.5磋商结果</w:t>
      </w:r>
    </w:p>
    <w:p w14:paraId="04427E3D">
      <w:pPr>
        <w:spacing w:line="520" w:lineRule="exact"/>
        <w:ind w:firstLine="480" w:firstLineChars="200"/>
        <w:rPr>
          <w:rFonts w:ascii="宋体" w:hAnsi="宋体" w:cs="宋体"/>
          <w:sz w:val="24"/>
          <w:szCs w:val="24"/>
        </w:rPr>
      </w:pPr>
      <w:r>
        <w:rPr>
          <w:rFonts w:hint="eastAsia" w:ascii="宋体" w:hAnsi="宋体" w:cs="宋体"/>
          <w:sz w:val="24"/>
          <w:szCs w:val="24"/>
        </w:rPr>
        <w:t>3.5.1磋商小组按照得分由高到低的顺序推荐3名成交候选人。</w:t>
      </w:r>
    </w:p>
    <w:p w14:paraId="53D53C8D">
      <w:pPr>
        <w:spacing w:line="520" w:lineRule="exact"/>
        <w:ind w:firstLine="480" w:firstLineChars="200"/>
        <w:rPr>
          <w:rFonts w:ascii="宋体" w:hAnsi="宋体" w:cs="宋体"/>
          <w:sz w:val="24"/>
          <w:szCs w:val="24"/>
        </w:rPr>
      </w:pPr>
      <w:r>
        <w:rPr>
          <w:rFonts w:hint="eastAsia" w:ascii="宋体" w:hAnsi="宋体" w:cs="宋体"/>
          <w:sz w:val="24"/>
          <w:szCs w:val="24"/>
        </w:rPr>
        <w:t>3.5.2 磋商小组完成磋商后，应当向招标人提交书面评标报告。</w:t>
      </w:r>
    </w:p>
    <w:p w14:paraId="56AB8C0D">
      <w:pPr>
        <w:spacing w:line="480" w:lineRule="auto"/>
        <w:jc w:val="center"/>
        <w:rPr>
          <w:rFonts w:hint="eastAsia" w:ascii="宋体" w:hAnsi="宋体" w:cs="宋体"/>
          <w:b/>
          <w:bCs/>
          <w:sz w:val="28"/>
          <w:szCs w:val="28"/>
        </w:rPr>
      </w:pPr>
    </w:p>
    <w:p w14:paraId="27D80ADF">
      <w:pPr>
        <w:spacing w:line="480" w:lineRule="auto"/>
        <w:jc w:val="center"/>
        <w:rPr>
          <w:rFonts w:hint="eastAsia" w:ascii="宋体" w:hAnsi="宋体" w:cs="宋体"/>
          <w:b/>
          <w:bCs/>
          <w:sz w:val="28"/>
          <w:szCs w:val="28"/>
        </w:rPr>
      </w:pPr>
    </w:p>
    <w:p w14:paraId="47BBE3A6">
      <w:pPr>
        <w:pStyle w:val="2"/>
        <w:rPr>
          <w:rFonts w:hint="eastAsia" w:ascii="宋体" w:hAnsi="宋体" w:cs="宋体"/>
          <w:b/>
          <w:bCs/>
          <w:sz w:val="28"/>
          <w:szCs w:val="28"/>
        </w:rPr>
      </w:pPr>
    </w:p>
    <w:p w14:paraId="570DF5F3">
      <w:pPr>
        <w:rPr>
          <w:rFonts w:hint="eastAsia" w:ascii="宋体" w:hAnsi="宋体" w:cs="宋体"/>
          <w:b/>
          <w:bCs/>
          <w:sz w:val="28"/>
          <w:szCs w:val="28"/>
        </w:rPr>
      </w:pPr>
    </w:p>
    <w:p w14:paraId="39649138">
      <w:pPr>
        <w:pStyle w:val="2"/>
        <w:rPr>
          <w:rFonts w:hint="eastAsia" w:ascii="宋体" w:hAnsi="宋体" w:cs="宋体"/>
          <w:b/>
          <w:bCs/>
          <w:sz w:val="28"/>
          <w:szCs w:val="28"/>
        </w:rPr>
      </w:pPr>
    </w:p>
    <w:p w14:paraId="5417C7EB">
      <w:pPr>
        <w:rPr>
          <w:rFonts w:hint="eastAsia" w:ascii="宋体" w:hAnsi="宋体" w:cs="宋体"/>
          <w:b/>
          <w:bCs/>
          <w:sz w:val="28"/>
          <w:szCs w:val="28"/>
        </w:rPr>
      </w:pPr>
    </w:p>
    <w:p w14:paraId="635E5921">
      <w:pPr>
        <w:pStyle w:val="2"/>
        <w:rPr>
          <w:rFonts w:hint="eastAsia" w:ascii="宋体" w:hAnsi="宋体" w:cs="宋体"/>
          <w:b/>
          <w:bCs/>
          <w:sz w:val="28"/>
          <w:szCs w:val="28"/>
        </w:rPr>
      </w:pPr>
    </w:p>
    <w:p w14:paraId="2AF5391F">
      <w:pPr>
        <w:rPr>
          <w:rFonts w:hint="eastAsia" w:ascii="宋体" w:hAnsi="宋体" w:cs="宋体"/>
          <w:b/>
          <w:bCs/>
          <w:sz w:val="28"/>
          <w:szCs w:val="28"/>
        </w:rPr>
      </w:pPr>
    </w:p>
    <w:p w14:paraId="28FCF2AA">
      <w:pPr>
        <w:pStyle w:val="2"/>
        <w:rPr>
          <w:rFonts w:hint="eastAsia" w:ascii="宋体" w:hAnsi="宋体" w:cs="宋体"/>
          <w:b/>
          <w:bCs/>
          <w:sz w:val="28"/>
          <w:szCs w:val="28"/>
        </w:rPr>
      </w:pPr>
    </w:p>
    <w:p w14:paraId="07563DCB">
      <w:pPr>
        <w:rPr>
          <w:rFonts w:hint="eastAsia" w:ascii="宋体" w:hAnsi="宋体" w:cs="宋体"/>
          <w:b/>
          <w:bCs/>
          <w:sz w:val="28"/>
          <w:szCs w:val="28"/>
        </w:rPr>
      </w:pPr>
    </w:p>
    <w:p w14:paraId="48F3D77B">
      <w:pPr>
        <w:pStyle w:val="2"/>
        <w:rPr>
          <w:rFonts w:hint="eastAsia" w:ascii="宋体" w:hAnsi="宋体" w:cs="宋体"/>
          <w:b/>
          <w:bCs/>
          <w:sz w:val="28"/>
          <w:szCs w:val="28"/>
        </w:rPr>
      </w:pPr>
    </w:p>
    <w:p w14:paraId="19CA051C">
      <w:pPr>
        <w:rPr>
          <w:rFonts w:hint="eastAsia" w:ascii="宋体" w:hAnsi="宋体" w:cs="宋体"/>
          <w:b/>
          <w:bCs/>
          <w:sz w:val="28"/>
          <w:szCs w:val="28"/>
        </w:rPr>
      </w:pPr>
    </w:p>
    <w:p w14:paraId="75C0CA26">
      <w:pPr>
        <w:pStyle w:val="2"/>
        <w:rPr>
          <w:rFonts w:hint="eastAsia" w:ascii="宋体" w:hAnsi="宋体" w:cs="宋体"/>
          <w:b/>
          <w:bCs/>
          <w:sz w:val="28"/>
          <w:szCs w:val="28"/>
        </w:rPr>
      </w:pPr>
    </w:p>
    <w:p w14:paraId="6DA5AF85">
      <w:pPr>
        <w:rPr>
          <w:rFonts w:hint="eastAsia" w:ascii="宋体" w:hAnsi="宋体" w:cs="宋体"/>
          <w:b/>
          <w:bCs/>
          <w:sz w:val="28"/>
          <w:szCs w:val="28"/>
        </w:rPr>
      </w:pPr>
    </w:p>
    <w:p w14:paraId="09C2DFBF">
      <w:pPr>
        <w:pStyle w:val="2"/>
        <w:rPr>
          <w:rFonts w:hint="eastAsia" w:ascii="宋体" w:hAnsi="宋体" w:cs="宋体"/>
          <w:b/>
          <w:bCs/>
          <w:sz w:val="28"/>
          <w:szCs w:val="28"/>
        </w:rPr>
      </w:pPr>
    </w:p>
    <w:p w14:paraId="5F07038D">
      <w:pPr>
        <w:rPr>
          <w:rFonts w:hint="eastAsia" w:ascii="宋体" w:hAnsi="宋体" w:cs="宋体"/>
          <w:b/>
          <w:bCs/>
          <w:sz w:val="28"/>
          <w:szCs w:val="28"/>
        </w:rPr>
      </w:pPr>
    </w:p>
    <w:p w14:paraId="35D66D85">
      <w:pPr>
        <w:pStyle w:val="2"/>
        <w:rPr>
          <w:rFonts w:hint="eastAsia" w:ascii="宋体" w:hAnsi="宋体" w:cs="宋体"/>
          <w:b/>
          <w:bCs/>
          <w:sz w:val="28"/>
          <w:szCs w:val="28"/>
        </w:rPr>
      </w:pPr>
    </w:p>
    <w:p w14:paraId="05A90768">
      <w:pPr>
        <w:rPr>
          <w:rFonts w:hint="eastAsia" w:ascii="宋体" w:hAnsi="宋体" w:cs="宋体"/>
          <w:b/>
          <w:bCs/>
          <w:sz w:val="28"/>
          <w:szCs w:val="28"/>
        </w:rPr>
      </w:pPr>
    </w:p>
    <w:p w14:paraId="4ECC2CBF">
      <w:pPr>
        <w:pStyle w:val="2"/>
        <w:rPr>
          <w:rFonts w:hint="eastAsia" w:ascii="宋体" w:hAnsi="宋体" w:cs="宋体"/>
          <w:b/>
          <w:bCs/>
          <w:sz w:val="28"/>
          <w:szCs w:val="28"/>
        </w:rPr>
      </w:pPr>
    </w:p>
    <w:p w14:paraId="07EC6498">
      <w:pPr>
        <w:rPr>
          <w:rFonts w:hint="eastAsia" w:ascii="宋体" w:hAnsi="宋体" w:cs="宋体"/>
          <w:b/>
          <w:bCs/>
          <w:sz w:val="28"/>
          <w:szCs w:val="28"/>
        </w:rPr>
      </w:pPr>
    </w:p>
    <w:p w14:paraId="53BCF0DF">
      <w:pPr>
        <w:pStyle w:val="2"/>
        <w:rPr>
          <w:rFonts w:hint="eastAsia" w:ascii="宋体" w:hAnsi="宋体" w:cs="宋体"/>
          <w:b/>
          <w:bCs/>
          <w:sz w:val="28"/>
          <w:szCs w:val="28"/>
        </w:rPr>
      </w:pPr>
    </w:p>
    <w:p w14:paraId="18DFA6B3">
      <w:pPr>
        <w:rPr>
          <w:rFonts w:hint="eastAsia" w:ascii="宋体" w:hAnsi="宋体" w:cs="宋体"/>
          <w:b/>
          <w:bCs/>
          <w:sz w:val="28"/>
          <w:szCs w:val="28"/>
        </w:rPr>
      </w:pPr>
    </w:p>
    <w:p w14:paraId="56591C20">
      <w:pPr>
        <w:pStyle w:val="2"/>
        <w:rPr>
          <w:rFonts w:hint="eastAsia" w:ascii="宋体" w:hAnsi="宋体" w:cs="宋体"/>
          <w:b/>
          <w:bCs/>
          <w:sz w:val="28"/>
          <w:szCs w:val="28"/>
        </w:rPr>
      </w:pPr>
    </w:p>
    <w:p w14:paraId="4D8034CD">
      <w:pPr>
        <w:rPr>
          <w:rFonts w:hint="eastAsia" w:ascii="宋体" w:hAnsi="宋体" w:cs="宋体"/>
          <w:b/>
          <w:bCs/>
          <w:sz w:val="28"/>
          <w:szCs w:val="28"/>
        </w:rPr>
      </w:pPr>
    </w:p>
    <w:p w14:paraId="125DD3DB">
      <w:pPr>
        <w:pStyle w:val="2"/>
        <w:rPr>
          <w:rFonts w:hint="eastAsia" w:ascii="宋体" w:hAnsi="宋体" w:cs="宋体"/>
          <w:b/>
          <w:bCs/>
          <w:sz w:val="28"/>
          <w:szCs w:val="28"/>
        </w:rPr>
      </w:pPr>
    </w:p>
    <w:p w14:paraId="43A612C1">
      <w:pPr>
        <w:rPr>
          <w:rFonts w:hint="eastAsia"/>
        </w:rPr>
      </w:pPr>
    </w:p>
    <w:p w14:paraId="05EC0BF2">
      <w:pPr>
        <w:spacing w:line="480" w:lineRule="auto"/>
        <w:jc w:val="center"/>
        <w:rPr>
          <w:rFonts w:ascii="宋体" w:hAnsi="宋体"/>
          <w:b/>
          <w:sz w:val="28"/>
          <w:szCs w:val="28"/>
        </w:rPr>
      </w:pPr>
      <w:r>
        <w:rPr>
          <w:rFonts w:hint="eastAsia" w:ascii="宋体" w:hAnsi="宋体" w:cs="宋体"/>
          <w:b/>
          <w:bCs/>
          <w:sz w:val="28"/>
          <w:szCs w:val="28"/>
        </w:rPr>
        <w:t>2.1初步评审表</w:t>
      </w:r>
    </w:p>
    <w:tbl>
      <w:tblPr>
        <w:tblStyle w:val="43"/>
        <w:tblW w:w="98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92"/>
        <w:gridCol w:w="709"/>
        <w:gridCol w:w="2126"/>
        <w:gridCol w:w="709"/>
        <w:gridCol w:w="5953"/>
      </w:tblGrid>
      <w:tr w14:paraId="3E719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1101" w:type="dxa"/>
            <w:gridSpan w:val="2"/>
            <w:vAlign w:val="center"/>
          </w:tcPr>
          <w:p w14:paraId="4119542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条款号</w:t>
            </w:r>
          </w:p>
        </w:tc>
        <w:tc>
          <w:tcPr>
            <w:tcW w:w="2835" w:type="dxa"/>
            <w:gridSpan w:val="2"/>
            <w:vAlign w:val="center"/>
          </w:tcPr>
          <w:p w14:paraId="5F855F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评审因素</w:t>
            </w:r>
          </w:p>
        </w:tc>
        <w:tc>
          <w:tcPr>
            <w:tcW w:w="5953" w:type="dxa"/>
            <w:vAlign w:val="center"/>
          </w:tcPr>
          <w:p w14:paraId="5FD496B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评审标准</w:t>
            </w:r>
          </w:p>
        </w:tc>
      </w:tr>
      <w:tr w14:paraId="740E9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8" w:hRule="atLeast"/>
          <w:jc w:val="center"/>
        </w:trPr>
        <w:tc>
          <w:tcPr>
            <w:tcW w:w="392" w:type="dxa"/>
            <w:vMerge w:val="restart"/>
            <w:vAlign w:val="center"/>
          </w:tcPr>
          <w:p w14:paraId="5115C20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6325042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p w14:paraId="182E838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lang w:val="en-US" w:eastAsia="zh-CN"/>
              </w:rPr>
            </w:pPr>
            <w:r>
              <w:rPr>
                <w:rFonts w:hint="eastAsia" w:ascii="宋体" w:hAnsi="宋体" w:eastAsia="宋体" w:cs="宋体"/>
                <w:color w:val="000000"/>
                <w:sz w:val="24"/>
                <w:szCs w:val="24"/>
                <w:lang w:val="en-US" w:eastAsia="zh-CN"/>
              </w:rPr>
              <w:t>2.1</w:t>
            </w:r>
          </w:p>
        </w:tc>
        <w:tc>
          <w:tcPr>
            <w:tcW w:w="709" w:type="dxa"/>
            <w:vMerge w:val="restart"/>
            <w:vAlign w:val="center"/>
          </w:tcPr>
          <w:p w14:paraId="4C15F01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kern w:val="0"/>
                <w:sz w:val="24"/>
                <w:szCs w:val="24"/>
                <w:lang w:val="en-US" w:eastAsia="zh-CN"/>
              </w:rPr>
              <w:t>2.1.2</w:t>
            </w:r>
            <w:r>
              <w:rPr>
                <w:rFonts w:hint="eastAsia" w:ascii="宋体" w:hAnsi="宋体" w:eastAsia="宋体" w:cs="宋体"/>
                <w:color w:val="000000"/>
                <w:kern w:val="0"/>
                <w:sz w:val="24"/>
                <w:szCs w:val="24"/>
              </w:rPr>
              <w:t>资格性评审标准</w:t>
            </w:r>
          </w:p>
        </w:tc>
        <w:tc>
          <w:tcPr>
            <w:tcW w:w="2835" w:type="dxa"/>
            <w:gridSpan w:val="2"/>
            <w:vAlign w:val="center"/>
          </w:tcPr>
          <w:p w14:paraId="58B425A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法定代表人身份证（或授权委托书及授权人身份证）</w:t>
            </w:r>
          </w:p>
        </w:tc>
        <w:tc>
          <w:tcPr>
            <w:tcW w:w="5953" w:type="dxa"/>
            <w:vAlign w:val="center"/>
          </w:tcPr>
          <w:p w14:paraId="38F59C85">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法定代表人提供本人身份证（或代理人提供法人代表授权委托书及被授权人身份证）</w:t>
            </w:r>
          </w:p>
        </w:tc>
      </w:tr>
      <w:tr w14:paraId="21877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jc w:val="center"/>
        </w:trPr>
        <w:tc>
          <w:tcPr>
            <w:tcW w:w="392" w:type="dxa"/>
            <w:vMerge w:val="continue"/>
            <w:vAlign w:val="center"/>
          </w:tcPr>
          <w:p w14:paraId="4088E10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6AEA3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72E97C0">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w:t>
            </w:r>
          </w:p>
        </w:tc>
        <w:tc>
          <w:tcPr>
            <w:tcW w:w="5953" w:type="dxa"/>
            <w:vAlign w:val="center"/>
          </w:tcPr>
          <w:p w14:paraId="0F294F1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符合《中华人民共和国政府采购法》第二十二条规定（相关证明资料或承诺书）</w:t>
            </w:r>
          </w:p>
        </w:tc>
      </w:tr>
      <w:tr w14:paraId="53692A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46A62D2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1CBCB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54F906E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营业执照</w:t>
            </w:r>
          </w:p>
        </w:tc>
        <w:tc>
          <w:tcPr>
            <w:tcW w:w="5953" w:type="dxa"/>
            <w:vAlign w:val="center"/>
          </w:tcPr>
          <w:p w14:paraId="324B8BA7">
            <w:pPr>
              <w:keepNext w:val="0"/>
              <w:keepLines w:val="0"/>
              <w:suppressLineNumbers w:val="0"/>
              <w:spacing w:before="0" w:beforeAutospacing="0" w:after="0" w:afterAutospacing="0" w:line="240" w:lineRule="auto"/>
              <w:ind w:left="0" w:right="0"/>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供应商须具有有效的营业执照副本、税务登记证副本、组织机构代码证（或三证合一的营业执照副本）；</w:t>
            </w:r>
          </w:p>
        </w:tc>
      </w:tr>
      <w:tr w14:paraId="5AAF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0" w:hRule="atLeast"/>
          <w:jc w:val="center"/>
        </w:trPr>
        <w:tc>
          <w:tcPr>
            <w:tcW w:w="392" w:type="dxa"/>
            <w:vMerge w:val="continue"/>
            <w:vAlign w:val="center"/>
          </w:tcPr>
          <w:p w14:paraId="70BD98A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0A2F17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835" w:type="dxa"/>
            <w:gridSpan w:val="2"/>
            <w:vAlign w:val="center"/>
          </w:tcPr>
          <w:p w14:paraId="28955FEC">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资质证书、安全生产许可证</w:t>
            </w:r>
          </w:p>
        </w:tc>
        <w:tc>
          <w:tcPr>
            <w:tcW w:w="5953" w:type="dxa"/>
            <w:vAlign w:val="center"/>
          </w:tcPr>
          <w:p w14:paraId="5B2EA7F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szCs w:val="24"/>
                <w:lang w:val="en-US" w:eastAsia="en-US"/>
              </w:rPr>
              <w:t>供应商须具有行政主管部门核发的</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市政公用工程施工总承包叁级及以上资质，并具有有效的安全生产许可证；</w:t>
            </w:r>
          </w:p>
        </w:tc>
      </w:tr>
      <w:tr w14:paraId="58F05E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0" w:hRule="atLeast"/>
          <w:jc w:val="center"/>
        </w:trPr>
        <w:tc>
          <w:tcPr>
            <w:tcW w:w="392" w:type="dxa"/>
            <w:vMerge w:val="continue"/>
            <w:vAlign w:val="center"/>
          </w:tcPr>
          <w:p w14:paraId="67C9ED4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21E7EE">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211FF38">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项目经理注册证书、安全生产考核合格证及社保证明，无在建项目承诺书</w:t>
            </w:r>
          </w:p>
        </w:tc>
        <w:tc>
          <w:tcPr>
            <w:tcW w:w="5953" w:type="dxa"/>
            <w:vAlign w:val="center"/>
          </w:tcPr>
          <w:p w14:paraId="13B3FD35">
            <w:pPr>
              <w:keepNext w:val="0"/>
              <w:keepLines w:val="0"/>
              <w:suppressLineNumbers w:val="0"/>
              <w:spacing w:before="0" w:beforeAutospacing="0" w:after="0" w:afterAutospacing="0" w:line="240" w:lineRule="auto"/>
              <w:ind w:right="0"/>
              <w:rPr>
                <w:rFonts w:hint="eastAsia" w:ascii="宋体" w:hAnsi="宋体" w:eastAsia="宋体" w:cs="宋体"/>
                <w:kern w:val="0"/>
                <w:sz w:val="24"/>
                <w:szCs w:val="24"/>
              </w:rPr>
            </w:pPr>
            <w:r>
              <w:rPr>
                <w:rFonts w:hint="eastAsia" w:ascii="宋体" w:hAnsi="宋体" w:eastAsia="宋体" w:cs="宋体"/>
                <w:sz w:val="24"/>
                <w:szCs w:val="24"/>
                <w:lang w:val="en-US" w:eastAsia="en-US"/>
              </w:rPr>
              <w:t>拟投入该项目的项目经理应具备</w:t>
            </w:r>
            <w:r>
              <w:rPr>
                <w:rFonts w:hint="eastAsia" w:ascii="宋体" w:hAnsi="宋体" w:cs="宋体"/>
                <w:sz w:val="24"/>
                <w:szCs w:val="24"/>
                <w:lang w:val="en-US" w:eastAsia="zh-CN"/>
              </w:rPr>
              <w:t>公路工程或</w:t>
            </w:r>
            <w:r>
              <w:rPr>
                <w:rFonts w:hint="eastAsia" w:ascii="宋体" w:hAnsi="宋体" w:eastAsia="宋体" w:cs="宋体"/>
                <w:sz w:val="24"/>
                <w:szCs w:val="24"/>
                <w:lang w:val="en-US" w:eastAsia="en-US"/>
              </w:rPr>
              <w:t>市政公用工程专业贰级及以上注册建造师资格，具有有效的安全生产考核合格证书，且无在建和</w:t>
            </w:r>
            <w:r>
              <w:rPr>
                <w:rFonts w:hint="eastAsia" w:ascii="宋体" w:hAnsi="宋体" w:cs="宋体"/>
                <w:sz w:val="24"/>
                <w:szCs w:val="24"/>
                <w:lang w:val="en-US" w:eastAsia="zh-CN"/>
              </w:rPr>
              <w:t>无</w:t>
            </w:r>
            <w:r>
              <w:rPr>
                <w:rFonts w:hint="eastAsia" w:ascii="宋体" w:hAnsi="宋体" w:eastAsia="宋体" w:cs="宋体"/>
                <w:sz w:val="24"/>
                <w:szCs w:val="24"/>
                <w:lang w:val="en-US" w:eastAsia="en-US"/>
              </w:rPr>
              <w:t>新承接工程，在投标企业办理的劳动合同关系（提供劳动合同）、近三个月的社会养老保险的缴费证明；</w:t>
            </w:r>
          </w:p>
        </w:tc>
      </w:tr>
      <w:tr w14:paraId="53D777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392" w:type="dxa"/>
            <w:vMerge w:val="continue"/>
            <w:vAlign w:val="center"/>
          </w:tcPr>
          <w:p w14:paraId="0F0B6505">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2D51F89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1A7F5FC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无商业贿赂及无不正当竞争行为的承诺书</w:t>
            </w:r>
          </w:p>
        </w:tc>
        <w:tc>
          <w:tcPr>
            <w:tcW w:w="5953" w:type="dxa"/>
            <w:vAlign w:val="center"/>
          </w:tcPr>
          <w:p w14:paraId="69F2D792">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 xml:space="preserve">供应商出具本企业近三年无商业贿赂及无不正当竞争行为的承诺书（承诺对象：企业、法定代表人、项目经理，格式详见“第八章 供应商认为需要提供的其他材料”附件2）； </w:t>
            </w:r>
          </w:p>
        </w:tc>
      </w:tr>
      <w:tr w14:paraId="51AD7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6" w:hRule="atLeast"/>
          <w:jc w:val="center"/>
        </w:trPr>
        <w:tc>
          <w:tcPr>
            <w:tcW w:w="392" w:type="dxa"/>
            <w:vMerge w:val="continue"/>
            <w:vAlign w:val="center"/>
          </w:tcPr>
          <w:p w14:paraId="1DBB8AF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1E564B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BD47CE1">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中国裁判文书网查询（提供网页查询截图）或供应商自行承诺</w:t>
            </w:r>
          </w:p>
        </w:tc>
        <w:tc>
          <w:tcPr>
            <w:tcW w:w="5953" w:type="dxa"/>
            <w:vAlign w:val="center"/>
          </w:tcPr>
          <w:p w14:paraId="52093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提供供应商企业、法定代表人无行贿犯罪记录，在中国裁判文书网查询（提供网页查询截图）或供应商自行承诺，（查询日期必须在公告发布之日之后）；</w:t>
            </w:r>
          </w:p>
        </w:tc>
      </w:tr>
      <w:tr w14:paraId="10303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1" w:hRule="atLeast"/>
          <w:jc w:val="center"/>
        </w:trPr>
        <w:tc>
          <w:tcPr>
            <w:tcW w:w="392" w:type="dxa"/>
            <w:vMerge w:val="continue"/>
            <w:vAlign w:val="center"/>
          </w:tcPr>
          <w:p w14:paraId="2D489F2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73F861C">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2ADBC1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rPr>
              <w:t>信用中国及中国政府采购网查询页</w:t>
            </w:r>
          </w:p>
        </w:tc>
        <w:tc>
          <w:tcPr>
            <w:tcW w:w="5953" w:type="dxa"/>
            <w:vAlign w:val="center"/>
          </w:tcPr>
          <w:p w14:paraId="0B6BDDB7">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kern w:val="0"/>
                <w:sz w:val="24"/>
                <w:szCs w:val="24"/>
                <w:lang w:val="en-US" w:eastAsia="en-US"/>
              </w:rPr>
              <w:t>根据《关于在政府采购活动中查询及使用信用记录有关问题的通知》(财库[2016]125号)和豫财购【2016】15号的规定，企业没有被列入“信用中国”网站的“失信被执行人（跳转中国执行信息公开网）”和“重大税收违法失信主体”及“中国政府采购网”网站的“政府采购严重违法失信行为记录名单”，查询渠道： “中国执行信息公开网”网站（http://zxgk.court.gov.cn/shixin/）“信用中国”网站（www.creditchina.gov.cn）、中国政府采购网（www.ccgp.gov.cn），提供网站的查询结果截图，截图要显示查询时间，查询时间自本公告发布之日起；</w:t>
            </w:r>
          </w:p>
        </w:tc>
      </w:tr>
      <w:tr w14:paraId="2C7A9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392" w:type="dxa"/>
            <w:vMerge w:val="continue"/>
            <w:vAlign w:val="center"/>
          </w:tcPr>
          <w:p w14:paraId="7FD27526">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01D835B1">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2375DD3F">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kern w:val="0"/>
                <w:sz w:val="24"/>
                <w:szCs w:val="24"/>
                <w:lang w:val="en-US" w:eastAsia="zh-CN"/>
              </w:rPr>
            </w:pPr>
            <w:r>
              <w:rPr>
                <w:rFonts w:hint="eastAsia" w:ascii="宋体" w:hAnsi="宋体" w:eastAsia="宋体" w:cs="宋体"/>
                <w:sz w:val="24"/>
              </w:rPr>
              <w:t>拟派技术负责人</w:t>
            </w:r>
            <w:r>
              <w:rPr>
                <w:rFonts w:hint="eastAsia" w:ascii="宋体" w:hAnsi="宋体" w:eastAsia="宋体" w:cs="宋体"/>
                <w:sz w:val="24"/>
                <w:lang w:val="en-US" w:eastAsia="zh-CN"/>
              </w:rPr>
              <w:t>要求</w:t>
            </w:r>
          </w:p>
        </w:tc>
        <w:tc>
          <w:tcPr>
            <w:tcW w:w="5953" w:type="dxa"/>
            <w:vAlign w:val="center"/>
          </w:tcPr>
          <w:p w14:paraId="394A1CAB">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sz w:val="24"/>
              </w:rPr>
              <w:t>拟派技术负责人须具备相关专业中级及以上职称，在投标企业办理的劳动合同关系（提供劳动合同）、</w:t>
            </w:r>
            <w:r>
              <w:rPr>
                <w:rFonts w:hint="eastAsia" w:ascii="宋体" w:hAnsi="宋体" w:eastAsia="宋体" w:cs="宋体"/>
                <w:sz w:val="24"/>
                <w:lang w:val="en-US" w:eastAsia="zh-CN"/>
              </w:rPr>
              <w:t>近三个月的</w:t>
            </w:r>
            <w:r>
              <w:rPr>
                <w:rFonts w:hint="eastAsia" w:ascii="宋体" w:hAnsi="宋体" w:eastAsia="宋体" w:cs="宋体"/>
                <w:sz w:val="24"/>
              </w:rPr>
              <w:t>参加社会养老保险的缴费证明；</w:t>
            </w:r>
          </w:p>
        </w:tc>
      </w:tr>
      <w:tr w14:paraId="741BD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1" w:hRule="atLeast"/>
          <w:jc w:val="center"/>
        </w:trPr>
        <w:tc>
          <w:tcPr>
            <w:tcW w:w="392" w:type="dxa"/>
            <w:vMerge w:val="continue"/>
            <w:vAlign w:val="center"/>
          </w:tcPr>
          <w:p w14:paraId="1FC4BDE8">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5C709164">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vAlign w:val="center"/>
          </w:tcPr>
          <w:p w14:paraId="08CD038E">
            <w:pPr>
              <w:keepNext w:val="0"/>
              <w:keepLines w:val="0"/>
              <w:widowControl/>
              <w:suppressLineNumbers w:val="0"/>
              <w:adjustRightInd w:val="0"/>
              <w:snapToGrid w:val="0"/>
              <w:spacing w:before="0" w:beforeAutospacing="0" w:after="0" w:afterAutospacing="0" w:line="240" w:lineRule="auto"/>
              <w:ind w:left="0" w:right="0"/>
              <w:jc w:val="left"/>
              <w:rPr>
                <w:rFonts w:hint="eastAsia" w:ascii="宋体" w:hAnsi="宋体" w:eastAsia="宋体" w:cs="宋体"/>
                <w:kern w:val="0"/>
                <w:sz w:val="24"/>
                <w:szCs w:val="24"/>
              </w:rPr>
            </w:pPr>
            <w:r>
              <w:rPr>
                <w:rFonts w:hint="eastAsia" w:ascii="宋体" w:hAnsi="宋体" w:eastAsia="宋体" w:cs="宋体"/>
                <w:bCs/>
                <w:sz w:val="24"/>
              </w:rPr>
              <w:t>没有重大违法记录的承诺书</w:t>
            </w:r>
          </w:p>
        </w:tc>
        <w:tc>
          <w:tcPr>
            <w:tcW w:w="5953" w:type="dxa"/>
            <w:vAlign w:val="center"/>
          </w:tcPr>
          <w:p w14:paraId="5DC6B9F6">
            <w:pPr>
              <w:spacing w:line="240" w:lineRule="auto"/>
              <w:jc w:val="left"/>
              <w:rPr>
                <w:rFonts w:hint="eastAsia" w:ascii="宋体" w:hAnsi="宋体" w:eastAsia="宋体" w:cs="宋体"/>
                <w:kern w:val="0"/>
                <w:sz w:val="24"/>
                <w:szCs w:val="24"/>
              </w:rPr>
            </w:pPr>
            <w:r>
              <w:rPr>
                <w:rFonts w:hint="eastAsia" w:ascii="宋体" w:hAnsi="宋体" w:eastAsia="宋体" w:cs="宋体"/>
                <w:bCs/>
                <w:sz w:val="24"/>
              </w:rPr>
              <w:t>参加本次</w:t>
            </w:r>
            <w:r>
              <w:rPr>
                <w:rFonts w:hint="eastAsia" w:ascii="宋体" w:hAnsi="宋体" w:eastAsia="宋体" w:cs="宋体"/>
                <w:bCs/>
                <w:sz w:val="24"/>
                <w:lang w:val="en-US" w:eastAsia="zh-CN"/>
              </w:rPr>
              <w:t>采购</w:t>
            </w:r>
            <w:r>
              <w:rPr>
                <w:rFonts w:hint="eastAsia" w:ascii="宋体" w:hAnsi="宋体" w:eastAsia="宋体" w:cs="宋体"/>
                <w:bCs/>
                <w:sz w:val="24"/>
              </w:rPr>
              <w:t xml:space="preserve">活动前三年内在经营活动中没有重大违法记录的承诺书（格式详见“第八章 </w:t>
            </w:r>
            <w:r>
              <w:rPr>
                <w:rFonts w:hint="eastAsia" w:ascii="宋体" w:hAnsi="宋体" w:eastAsia="宋体" w:cs="宋体"/>
                <w:bCs/>
                <w:sz w:val="24"/>
                <w:lang w:val="en-US" w:eastAsia="zh-CN"/>
              </w:rPr>
              <w:t>供应商</w:t>
            </w:r>
            <w:r>
              <w:rPr>
                <w:rFonts w:hint="eastAsia" w:ascii="宋体" w:hAnsi="宋体" w:eastAsia="宋体" w:cs="宋体"/>
                <w:bCs/>
                <w:sz w:val="24"/>
              </w:rPr>
              <w:t>认为需要提供的其他材料”附件1）；</w:t>
            </w:r>
          </w:p>
        </w:tc>
      </w:tr>
      <w:tr w14:paraId="0E7CE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jc w:val="center"/>
        </w:trPr>
        <w:tc>
          <w:tcPr>
            <w:tcW w:w="392" w:type="dxa"/>
            <w:vMerge w:val="continue"/>
            <w:vAlign w:val="center"/>
          </w:tcPr>
          <w:p w14:paraId="242903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1A847E8">
            <w:pPr>
              <w:keepNext w:val="0"/>
              <w:keepLines w:val="0"/>
              <w:widowControl/>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kern w:val="0"/>
                <w:sz w:val="24"/>
                <w:szCs w:val="24"/>
              </w:rPr>
            </w:pPr>
          </w:p>
        </w:tc>
        <w:tc>
          <w:tcPr>
            <w:tcW w:w="2835" w:type="dxa"/>
            <w:gridSpan w:val="2"/>
            <w:shd w:val="clear" w:color="auto" w:fill="auto"/>
            <w:vAlign w:val="center"/>
          </w:tcPr>
          <w:p w14:paraId="2D75315F">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c>
          <w:tcPr>
            <w:tcW w:w="5953" w:type="dxa"/>
            <w:shd w:val="clear" w:color="auto" w:fill="auto"/>
            <w:vAlign w:val="center"/>
          </w:tcPr>
          <w:p w14:paraId="601B2DEB">
            <w:pPr>
              <w:keepNext w:val="0"/>
              <w:keepLines w:val="0"/>
              <w:widowControl/>
              <w:suppressLineNumbers w:val="0"/>
              <w:adjustRightInd w:val="0"/>
              <w:snapToGrid w:val="0"/>
              <w:spacing w:before="0" w:beforeAutospacing="0" w:after="0" w:afterAutospacing="0" w:line="240" w:lineRule="auto"/>
              <w:ind w:left="0" w:leftChars="0" w:right="0" w:rightChars="0"/>
              <w:jc w:val="left"/>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rPr>
              <w:t>本项目不接受联合体投标。</w:t>
            </w:r>
          </w:p>
        </w:tc>
      </w:tr>
      <w:tr w14:paraId="6FA7F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392" w:type="dxa"/>
            <w:vMerge w:val="restart"/>
            <w:vAlign w:val="center"/>
          </w:tcPr>
          <w:p w14:paraId="2442AEC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41D4BC2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lang w:val="en-US" w:eastAsia="zh-CN"/>
              </w:rPr>
              <w:t>2.1.2</w:t>
            </w:r>
            <w:r>
              <w:rPr>
                <w:rFonts w:hint="eastAsia" w:ascii="宋体" w:hAnsi="宋体" w:eastAsia="宋体" w:cs="宋体"/>
                <w:sz w:val="24"/>
                <w:szCs w:val="24"/>
              </w:rPr>
              <w:t>符合性评审标准</w:t>
            </w:r>
          </w:p>
        </w:tc>
        <w:tc>
          <w:tcPr>
            <w:tcW w:w="2126" w:type="dxa"/>
            <w:vAlign w:val="center"/>
          </w:tcPr>
          <w:p w14:paraId="602E79E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供应商名称</w:t>
            </w:r>
          </w:p>
        </w:tc>
        <w:tc>
          <w:tcPr>
            <w:tcW w:w="6662" w:type="dxa"/>
            <w:gridSpan w:val="2"/>
            <w:vAlign w:val="center"/>
          </w:tcPr>
          <w:p w14:paraId="14547F4E">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与营业执照一致</w:t>
            </w:r>
          </w:p>
        </w:tc>
      </w:tr>
      <w:tr w14:paraId="0F254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92" w:type="dxa"/>
            <w:vMerge w:val="continue"/>
            <w:vAlign w:val="center"/>
          </w:tcPr>
          <w:p w14:paraId="5288DACD">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7DB449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sz w:val="24"/>
                <w:szCs w:val="24"/>
              </w:rPr>
            </w:pPr>
          </w:p>
        </w:tc>
        <w:tc>
          <w:tcPr>
            <w:tcW w:w="2126" w:type="dxa"/>
            <w:vAlign w:val="center"/>
          </w:tcPr>
          <w:p w14:paraId="0EE7A956">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盖章、签字</w:t>
            </w:r>
          </w:p>
        </w:tc>
        <w:tc>
          <w:tcPr>
            <w:tcW w:w="6662" w:type="dxa"/>
            <w:gridSpan w:val="2"/>
            <w:vAlign w:val="center"/>
          </w:tcPr>
          <w:p w14:paraId="2E9E096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符合竞争性磋商文件签字、盖章的要求</w:t>
            </w:r>
          </w:p>
        </w:tc>
      </w:tr>
      <w:tr w14:paraId="45409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392" w:type="dxa"/>
            <w:vMerge w:val="continue"/>
            <w:vAlign w:val="center"/>
          </w:tcPr>
          <w:p w14:paraId="45B5620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52C2A7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00A358D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响应文件格式</w:t>
            </w:r>
          </w:p>
        </w:tc>
        <w:tc>
          <w:tcPr>
            <w:tcW w:w="6662" w:type="dxa"/>
            <w:gridSpan w:val="2"/>
            <w:vAlign w:val="center"/>
          </w:tcPr>
          <w:p w14:paraId="544AF8FF">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符合第</w:t>
            </w:r>
            <w:r>
              <w:rPr>
                <w:rFonts w:hint="eastAsia" w:ascii="宋体" w:hAnsi="宋体" w:cs="宋体"/>
                <w:sz w:val="24"/>
                <w:szCs w:val="24"/>
                <w:lang w:val="en-US" w:eastAsia="zh-CN"/>
              </w:rPr>
              <w:t>八</w:t>
            </w:r>
            <w:r>
              <w:rPr>
                <w:rFonts w:hint="eastAsia" w:ascii="宋体" w:hAnsi="宋体" w:eastAsia="宋体" w:cs="宋体"/>
                <w:sz w:val="24"/>
                <w:szCs w:val="24"/>
              </w:rPr>
              <w:t>章“响应文件格式”要求</w:t>
            </w:r>
          </w:p>
        </w:tc>
      </w:tr>
      <w:tr w14:paraId="1D1BD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jc w:val="center"/>
        </w:trPr>
        <w:tc>
          <w:tcPr>
            <w:tcW w:w="392" w:type="dxa"/>
            <w:vMerge w:val="continue"/>
            <w:vAlign w:val="center"/>
          </w:tcPr>
          <w:p w14:paraId="6D96357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106BFC">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EC6CA1F">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报价唯一</w:t>
            </w:r>
          </w:p>
        </w:tc>
        <w:tc>
          <w:tcPr>
            <w:tcW w:w="6662" w:type="dxa"/>
            <w:gridSpan w:val="2"/>
            <w:vAlign w:val="center"/>
          </w:tcPr>
          <w:p w14:paraId="6ABFBED8">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只能有一个有效报价且不超过最高限价</w:t>
            </w:r>
          </w:p>
        </w:tc>
      </w:tr>
      <w:tr w14:paraId="48FE10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5" w:hRule="atLeast"/>
          <w:jc w:val="center"/>
        </w:trPr>
        <w:tc>
          <w:tcPr>
            <w:tcW w:w="392" w:type="dxa"/>
            <w:vMerge w:val="restart"/>
            <w:vAlign w:val="center"/>
          </w:tcPr>
          <w:p w14:paraId="77C51B94">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restart"/>
            <w:vAlign w:val="center"/>
          </w:tcPr>
          <w:p w14:paraId="60C3ABE3">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lang w:val="en-US" w:eastAsia="zh-CN"/>
              </w:rPr>
              <w:t>2.1.3</w:t>
            </w:r>
            <w:r>
              <w:rPr>
                <w:rFonts w:hint="eastAsia" w:ascii="宋体" w:hAnsi="宋体" w:eastAsia="宋体" w:cs="宋体"/>
                <w:color w:val="000000"/>
                <w:sz w:val="24"/>
                <w:szCs w:val="24"/>
              </w:rPr>
              <w:t>响应性评审标准</w:t>
            </w:r>
          </w:p>
        </w:tc>
        <w:tc>
          <w:tcPr>
            <w:tcW w:w="2126" w:type="dxa"/>
            <w:vAlign w:val="center"/>
          </w:tcPr>
          <w:p w14:paraId="583F0932">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FF0000"/>
                <w:sz w:val="24"/>
                <w:szCs w:val="24"/>
              </w:rPr>
            </w:pPr>
            <w:r>
              <w:rPr>
                <w:rFonts w:hint="eastAsia" w:ascii="宋体" w:hAnsi="宋体" w:eastAsia="宋体" w:cs="宋体"/>
                <w:color w:val="000000" w:themeColor="text1"/>
                <w:sz w:val="24"/>
                <w:szCs w:val="24"/>
                <w14:textFill>
                  <w14:solidFill>
                    <w14:schemeClr w14:val="tx1"/>
                  </w14:solidFill>
                </w14:textFill>
              </w:rPr>
              <w:t>计划工期</w:t>
            </w:r>
          </w:p>
        </w:tc>
        <w:tc>
          <w:tcPr>
            <w:tcW w:w="6662" w:type="dxa"/>
            <w:gridSpan w:val="2"/>
            <w:vAlign w:val="center"/>
          </w:tcPr>
          <w:p w14:paraId="5ED0B606">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FF0000"/>
                <w:sz w:val="24"/>
                <w:szCs w:val="24"/>
                <w:lang w:eastAsia="zh-CN"/>
              </w:rPr>
            </w:pPr>
            <w:r>
              <w:rPr>
                <w:rFonts w:hint="eastAsia" w:ascii="宋体" w:hAnsi="宋体" w:eastAsia="宋体" w:cs="宋体"/>
                <w:sz w:val="24"/>
                <w:szCs w:val="24"/>
                <w:lang w:val="en-US" w:eastAsia="zh-CN"/>
              </w:rPr>
              <w:t>60日历天</w:t>
            </w:r>
          </w:p>
        </w:tc>
      </w:tr>
      <w:tr w14:paraId="7950E7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jc w:val="center"/>
        </w:trPr>
        <w:tc>
          <w:tcPr>
            <w:tcW w:w="392" w:type="dxa"/>
            <w:vMerge w:val="continue"/>
            <w:vAlign w:val="center"/>
          </w:tcPr>
          <w:p w14:paraId="1C1BF43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643B179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10A72C8E">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质量要求</w:t>
            </w:r>
          </w:p>
        </w:tc>
        <w:tc>
          <w:tcPr>
            <w:tcW w:w="6662" w:type="dxa"/>
            <w:gridSpan w:val="2"/>
            <w:vAlign w:val="center"/>
          </w:tcPr>
          <w:p w14:paraId="28BD4242">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lang w:eastAsia="zh-CN"/>
              </w:rPr>
            </w:pPr>
            <w:r>
              <w:rPr>
                <w:rFonts w:hint="eastAsia" w:ascii="宋体" w:hAnsi="宋体" w:eastAsia="宋体" w:cs="宋体"/>
                <w:sz w:val="24"/>
                <w:szCs w:val="24"/>
                <w:lang w:eastAsia="zh-CN"/>
              </w:rPr>
              <w:t>达到国家现行有关施工质量验收规范要求，并达到合格标准</w:t>
            </w:r>
          </w:p>
        </w:tc>
      </w:tr>
      <w:tr w14:paraId="75D615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392" w:type="dxa"/>
            <w:vMerge w:val="continue"/>
            <w:vAlign w:val="center"/>
          </w:tcPr>
          <w:p w14:paraId="3FA49CF1">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F0818FB">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2E90A22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质保期</w:t>
            </w:r>
          </w:p>
        </w:tc>
        <w:tc>
          <w:tcPr>
            <w:tcW w:w="6662" w:type="dxa"/>
            <w:gridSpan w:val="2"/>
            <w:vAlign w:val="center"/>
          </w:tcPr>
          <w:p w14:paraId="2B4E7641">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按国家规定</w:t>
            </w:r>
          </w:p>
        </w:tc>
      </w:tr>
      <w:tr w14:paraId="315DF0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392" w:type="dxa"/>
            <w:vMerge w:val="continue"/>
            <w:vAlign w:val="center"/>
          </w:tcPr>
          <w:p w14:paraId="7DDA900A">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132FAE6F">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64DE10B0">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sz w:val="24"/>
                <w:szCs w:val="24"/>
              </w:rPr>
            </w:pPr>
            <w:r>
              <w:rPr>
                <w:rFonts w:hint="eastAsia" w:ascii="宋体" w:hAnsi="宋体" w:eastAsia="宋体" w:cs="宋体"/>
                <w:sz w:val="24"/>
                <w:szCs w:val="24"/>
              </w:rPr>
              <w:t>磋商有效期</w:t>
            </w:r>
          </w:p>
        </w:tc>
        <w:tc>
          <w:tcPr>
            <w:tcW w:w="6662" w:type="dxa"/>
            <w:gridSpan w:val="2"/>
            <w:vAlign w:val="center"/>
          </w:tcPr>
          <w:p w14:paraId="447784DD">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sz w:val="24"/>
                <w:szCs w:val="24"/>
              </w:rPr>
            </w:pPr>
            <w:r>
              <w:rPr>
                <w:rFonts w:hint="eastAsia" w:ascii="宋体" w:hAnsi="宋体" w:eastAsia="宋体" w:cs="宋体"/>
                <w:sz w:val="24"/>
                <w:szCs w:val="24"/>
              </w:rPr>
              <w:t>磋商响应文件递交截止日后60日历天</w:t>
            </w:r>
          </w:p>
        </w:tc>
      </w:tr>
      <w:tr w14:paraId="04735F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atLeast"/>
          <w:jc w:val="center"/>
        </w:trPr>
        <w:tc>
          <w:tcPr>
            <w:tcW w:w="392" w:type="dxa"/>
            <w:vMerge w:val="continue"/>
            <w:vAlign w:val="center"/>
          </w:tcPr>
          <w:p w14:paraId="6C94399E">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709" w:type="dxa"/>
            <w:vMerge w:val="continue"/>
            <w:vAlign w:val="center"/>
          </w:tcPr>
          <w:p w14:paraId="4EE7B889">
            <w:pPr>
              <w:keepNext w:val="0"/>
              <w:keepLines w:val="0"/>
              <w:suppressLineNumbers w:val="0"/>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p>
        </w:tc>
        <w:tc>
          <w:tcPr>
            <w:tcW w:w="2126" w:type="dxa"/>
            <w:vAlign w:val="center"/>
          </w:tcPr>
          <w:p w14:paraId="398557A4">
            <w:pPr>
              <w:keepNext w:val="0"/>
              <w:keepLines w:val="0"/>
              <w:suppressLineNumbers w:val="0"/>
              <w:suppressAutoHyphens/>
              <w:adjustRightInd w:val="0"/>
              <w:snapToGrid w:val="0"/>
              <w:spacing w:before="0" w:beforeAutospacing="0" w:after="0" w:afterAutospacing="0" w:line="240" w:lineRule="auto"/>
              <w:ind w:left="0" w:right="0"/>
              <w:jc w:val="center"/>
              <w:rPr>
                <w:rFonts w:hint="eastAsia" w:ascii="宋体" w:hAnsi="宋体" w:eastAsia="宋体" w:cs="宋体"/>
                <w:color w:val="000000"/>
                <w:sz w:val="24"/>
                <w:szCs w:val="24"/>
              </w:rPr>
            </w:pPr>
            <w:r>
              <w:rPr>
                <w:rFonts w:hint="eastAsia" w:ascii="宋体" w:hAnsi="宋体" w:eastAsia="宋体" w:cs="宋体"/>
                <w:color w:val="000000"/>
                <w:sz w:val="24"/>
                <w:szCs w:val="24"/>
              </w:rPr>
              <w:t>已标价工程量清单</w:t>
            </w:r>
          </w:p>
        </w:tc>
        <w:tc>
          <w:tcPr>
            <w:tcW w:w="6662" w:type="dxa"/>
            <w:gridSpan w:val="2"/>
            <w:vAlign w:val="center"/>
          </w:tcPr>
          <w:p w14:paraId="056B1D79">
            <w:pPr>
              <w:keepNext w:val="0"/>
              <w:keepLines w:val="0"/>
              <w:suppressLineNumbers w:val="0"/>
              <w:suppressAutoHyphens/>
              <w:adjustRightInd w:val="0"/>
              <w:snapToGrid w:val="0"/>
              <w:spacing w:before="0" w:beforeAutospacing="0" w:after="0" w:afterAutospacing="0" w:line="240" w:lineRule="auto"/>
              <w:ind w:left="0" w:right="0"/>
              <w:jc w:val="left"/>
              <w:rPr>
                <w:rFonts w:hint="eastAsia" w:ascii="宋体" w:hAnsi="宋体" w:eastAsia="宋体" w:cs="宋体"/>
                <w:color w:val="000000"/>
                <w:sz w:val="24"/>
                <w:szCs w:val="24"/>
              </w:rPr>
            </w:pPr>
            <w:r>
              <w:rPr>
                <w:rFonts w:hint="eastAsia" w:ascii="宋体" w:hAnsi="宋体" w:eastAsia="宋体" w:cs="宋体"/>
                <w:color w:val="000000"/>
                <w:sz w:val="24"/>
                <w:szCs w:val="24"/>
              </w:rPr>
              <w:t>符合“工程量清单”给出的范围及数量，供应商不得擅自修改工程量清单上的工程项目和数量，否则其投标将予否决</w:t>
            </w:r>
          </w:p>
        </w:tc>
      </w:tr>
    </w:tbl>
    <w:p w14:paraId="57C6CE72">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6A58B4F5">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C4BF739">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2ECA5D28">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50F7602C">
      <w:pPr>
        <w:spacing w:line="480" w:lineRule="auto"/>
        <w:jc w:val="both"/>
        <w:rPr>
          <w:rFonts w:hint="eastAsia" w:ascii="宋体" w:hAnsi="宋体" w:cs="宋体"/>
          <w:b/>
          <w:bCs/>
          <w:color w:val="000000" w:themeColor="text1"/>
          <w:sz w:val="32"/>
          <w:szCs w:val="32"/>
          <w14:textFill>
            <w14:solidFill>
              <w14:schemeClr w14:val="tx1"/>
            </w14:solidFill>
          </w14:textFill>
        </w:rPr>
      </w:pPr>
    </w:p>
    <w:p w14:paraId="666F362A">
      <w:pPr>
        <w:spacing w:line="480" w:lineRule="auto"/>
        <w:jc w:val="center"/>
        <w:rPr>
          <w:rFonts w:hint="eastAsia" w:ascii="宋体" w:hAnsi="宋体" w:cs="宋体"/>
          <w:b/>
          <w:bCs/>
          <w:color w:val="000000" w:themeColor="text1"/>
          <w:sz w:val="32"/>
          <w:szCs w:val="32"/>
          <w14:textFill>
            <w14:solidFill>
              <w14:schemeClr w14:val="tx1"/>
            </w14:solidFill>
          </w14:textFill>
        </w:rPr>
      </w:pPr>
    </w:p>
    <w:p w14:paraId="46ED1F37">
      <w:pPr>
        <w:spacing w:line="480" w:lineRule="auto"/>
        <w:jc w:val="center"/>
        <w:rPr>
          <w:rFonts w:ascii="宋体" w:hAnsi="宋体" w:cs="宋体"/>
          <w:b/>
          <w:bCs/>
          <w:color w:val="000000" w:themeColor="text1"/>
          <w:sz w:val="32"/>
          <w:szCs w:val="32"/>
          <w14:textFill>
            <w14:solidFill>
              <w14:schemeClr w14:val="tx1"/>
            </w14:solidFill>
          </w14:textFill>
        </w:rPr>
      </w:pPr>
      <w:r>
        <w:rPr>
          <w:rFonts w:hint="eastAsia" w:ascii="宋体" w:hAnsi="宋体" w:cs="宋体"/>
          <w:b/>
          <w:bCs/>
          <w:color w:val="000000" w:themeColor="text1"/>
          <w:sz w:val="32"/>
          <w:szCs w:val="32"/>
          <w14:textFill>
            <w14:solidFill>
              <w14:schemeClr w14:val="tx1"/>
            </w14:solidFill>
          </w14:textFill>
        </w:rPr>
        <w:t>2.2详细评审</w:t>
      </w:r>
    </w:p>
    <w:tbl>
      <w:tblPr>
        <w:tblStyle w:val="43"/>
        <w:tblW w:w="4943" w:type="pct"/>
        <w:tblInd w:w="0" w:type="dxa"/>
        <w:tblLayout w:type="autofit"/>
        <w:tblCellMar>
          <w:top w:w="0" w:type="dxa"/>
          <w:left w:w="108" w:type="dxa"/>
          <w:bottom w:w="0" w:type="dxa"/>
          <w:right w:w="108" w:type="dxa"/>
        </w:tblCellMar>
      </w:tblPr>
      <w:tblGrid>
        <w:gridCol w:w="1071"/>
        <w:gridCol w:w="1571"/>
        <w:gridCol w:w="7027"/>
      </w:tblGrid>
      <w:tr w14:paraId="6B854BC2">
        <w:tblPrEx>
          <w:tblCellMar>
            <w:top w:w="0" w:type="dxa"/>
            <w:left w:w="108" w:type="dxa"/>
            <w:bottom w:w="0" w:type="dxa"/>
            <w:right w:w="108" w:type="dxa"/>
          </w:tblCellMar>
        </w:tblPrEx>
        <w:trPr>
          <w:trHeight w:val="570" w:hRule="atLeast"/>
        </w:trPr>
        <w:tc>
          <w:tcPr>
            <w:tcW w:w="554" w:type="pct"/>
            <w:tcBorders>
              <w:top w:val="single" w:color="auto" w:sz="4" w:space="0"/>
              <w:left w:val="single" w:color="auto" w:sz="4" w:space="0"/>
              <w:bottom w:val="single" w:color="auto" w:sz="4" w:space="0"/>
              <w:right w:val="single" w:color="auto" w:sz="4" w:space="0"/>
            </w:tcBorders>
            <w:noWrap/>
            <w:vAlign w:val="center"/>
          </w:tcPr>
          <w:p w14:paraId="4164C90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条款号</w:t>
            </w:r>
          </w:p>
        </w:tc>
        <w:tc>
          <w:tcPr>
            <w:tcW w:w="812" w:type="pct"/>
            <w:tcBorders>
              <w:top w:val="single" w:color="auto" w:sz="4" w:space="0"/>
              <w:left w:val="nil"/>
              <w:bottom w:val="single" w:color="auto" w:sz="4" w:space="0"/>
              <w:right w:val="single" w:color="auto" w:sz="4" w:space="0"/>
            </w:tcBorders>
            <w:noWrap/>
            <w:vAlign w:val="center"/>
          </w:tcPr>
          <w:p w14:paraId="407B85C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评审内容</w:t>
            </w:r>
          </w:p>
        </w:tc>
        <w:tc>
          <w:tcPr>
            <w:tcW w:w="3632" w:type="pct"/>
            <w:tcBorders>
              <w:top w:val="single" w:color="auto" w:sz="4" w:space="0"/>
              <w:left w:val="nil"/>
              <w:bottom w:val="single" w:color="auto" w:sz="4" w:space="0"/>
              <w:right w:val="single" w:color="auto" w:sz="4" w:space="0"/>
            </w:tcBorders>
            <w:noWrap/>
            <w:vAlign w:val="center"/>
          </w:tcPr>
          <w:p w14:paraId="2B81CE5C">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评审标准</w:t>
            </w:r>
          </w:p>
        </w:tc>
      </w:tr>
      <w:tr w14:paraId="0925891F">
        <w:tblPrEx>
          <w:tblCellMar>
            <w:top w:w="0" w:type="dxa"/>
            <w:left w:w="108" w:type="dxa"/>
            <w:bottom w:w="0" w:type="dxa"/>
            <w:right w:w="108" w:type="dxa"/>
          </w:tblCellMar>
        </w:tblPrEx>
        <w:trPr>
          <w:trHeight w:val="1545" w:hRule="atLeast"/>
        </w:trPr>
        <w:tc>
          <w:tcPr>
            <w:tcW w:w="554" w:type="pct"/>
            <w:tcBorders>
              <w:top w:val="nil"/>
              <w:left w:val="single" w:color="auto" w:sz="4" w:space="0"/>
              <w:bottom w:val="single" w:color="auto" w:sz="4" w:space="0"/>
              <w:right w:val="single" w:color="auto" w:sz="4" w:space="0"/>
            </w:tcBorders>
            <w:vAlign w:val="center"/>
          </w:tcPr>
          <w:p w14:paraId="541E4033">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1、投标报价   （</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812" w:type="pct"/>
            <w:tcBorders>
              <w:top w:val="nil"/>
              <w:left w:val="nil"/>
              <w:bottom w:val="single" w:color="auto" w:sz="4" w:space="0"/>
              <w:right w:val="single" w:color="auto" w:sz="4" w:space="0"/>
            </w:tcBorders>
            <w:vAlign w:val="center"/>
          </w:tcPr>
          <w:p w14:paraId="184B025D">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投标报价</w:t>
            </w:r>
          </w:p>
          <w:p w14:paraId="01F7F51E">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w:t>
            </w:r>
            <w:r>
              <w:rPr>
                <w:rFonts w:hint="eastAsia" w:ascii="宋体" w:hAnsi="宋体" w:cs="宋体"/>
                <w:color w:val="000000"/>
                <w:kern w:val="0"/>
                <w:sz w:val="24"/>
                <w:lang w:val="en-US" w:eastAsia="zh-CN"/>
              </w:rPr>
              <w:t>3</w:t>
            </w:r>
            <w:r>
              <w:rPr>
                <w:rFonts w:hint="eastAsia" w:ascii="宋体" w:hAnsi="宋体" w:cs="宋体"/>
                <w:color w:val="000000"/>
                <w:kern w:val="0"/>
                <w:sz w:val="24"/>
              </w:rPr>
              <w:t>0分）</w:t>
            </w:r>
          </w:p>
        </w:tc>
        <w:tc>
          <w:tcPr>
            <w:tcW w:w="3632" w:type="pct"/>
            <w:tcBorders>
              <w:top w:val="nil"/>
              <w:left w:val="nil"/>
              <w:bottom w:val="single" w:color="auto" w:sz="4" w:space="0"/>
              <w:right w:val="single" w:color="auto" w:sz="4" w:space="0"/>
            </w:tcBorders>
            <w:vAlign w:val="center"/>
          </w:tcPr>
          <w:p w14:paraId="321126CF">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rPr>
              <w:t>1、</w:t>
            </w:r>
            <w:r>
              <w:rPr>
                <w:rFonts w:hint="eastAsia" w:cs="宋体" w:asciiTheme="minorEastAsia" w:hAnsiTheme="minorEastAsia" w:eastAsiaTheme="minorEastAsia"/>
                <w:b w:val="0"/>
                <w:bCs w:val="0"/>
                <w:szCs w:val="21"/>
                <w:highlight w:val="none"/>
                <w:lang w:val="en-US" w:eastAsia="zh-CN"/>
              </w:rPr>
              <w:t>磋商报价高于“最高限价”的，采购人将不予接受，且本次投标做无效处理；</w:t>
            </w:r>
          </w:p>
          <w:p w14:paraId="1C5F8039">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b/>
                <w:color w:val="000000"/>
                <w:sz w:val="24"/>
                <w:szCs w:val="24"/>
                <w:lang w:val="en-US" w:eastAsia="zh-CN"/>
              </w:rPr>
              <w:t>2、</w:t>
            </w:r>
            <w:r>
              <w:rPr>
                <w:rFonts w:hint="eastAsia" w:ascii="宋体" w:hAnsi="宋体"/>
                <w:b/>
                <w:color w:val="000000"/>
                <w:sz w:val="24"/>
                <w:szCs w:val="24"/>
              </w:rPr>
              <w:t>评标基准报价计算方法：</w:t>
            </w:r>
            <w:r>
              <w:rPr>
                <w:rFonts w:hint="eastAsia" w:ascii="宋体" w:hAnsi="宋体"/>
                <w:color w:val="000000"/>
                <w:sz w:val="24"/>
                <w:szCs w:val="24"/>
              </w:rPr>
              <w:t>价格分采用低价优先法计算，即满足招标文件要求且投标价格最低的投标报价为评标基准价，其价格分为满分。其他投标人的价格分统一按照下列公式计算：</w:t>
            </w:r>
          </w:p>
          <w:p w14:paraId="2E5DF1EC">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ascii="宋体" w:hAnsi="宋体"/>
                <w:color w:val="000000"/>
                <w:sz w:val="24"/>
                <w:szCs w:val="24"/>
              </w:rPr>
              <w:t>投标报价得分=</w:t>
            </w:r>
            <w:r>
              <w:rPr>
                <w:rFonts w:hint="eastAsia" w:ascii="宋体" w:hAnsi="宋体"/>
                <w:color w:val="000000"/>
                <w:sz w:val="24"/>
                <w:szCs w:val="24"/>
                <w:lang w:val="en-US" w:eastAsia="zh-CN"/>
              </w:rPr>
              <w:t>3</w:t>
            </w:r>
            <w:r>
              <w:rPr>
                <w:rFonts w:hint="eastAsia" w:ascii="宋体" w:hAnsi="宋体"/>
                <w:color w:val="000000"/>
                <w:sz w:val="24"/>
                <w:szCs w:val="24"/>
              </w:rPr>
              <w:t>0×（评审基准价/投标报价）；（以上评分计算最终保留两位2小数，第三位四舍五入）</w:t>
            </w:r>
          </w:p>
          <w:p w14:paraId="1317BFC2">
            <w:pPr>
              <w:keepNext w:val="0"/>
              <w:keepLines w:val="0"/>
              <w:suppressLineNumbers w:val="0"/>
              <w:tabs>
                <w:tab w:val="left" w:pos="420"/>
              </w:tabs>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lang w:val="en-US" w:eastAsia="zh-CN"/>
              </w:rPr>
              <w:t>3</w:t>
            </w:r>
            <w:r>
              <w:rPr>
                <w:rFonts w:hint="eastAsia" w:ascii="宋体" w:hAnsi="宋体"/>
                <w:color w:val="000000"/>
                <w:sz w:val="24"/>
                <w:szCs w:val="24"/>
              </w:rPr>
              <w:t>、价格分计算保留小数点两位。</w:t>
            </w:r>
          </w:p>
          <w:p w14:paraId="1F67E180">
            <w:pPr>
              <w:keepNext w:val="0"/>
              <w:keepLines w:val="0"/>
              <w:suppressLineNumbers w:val="0"/>
              <w:spacing w:before="0" w:beforeAutospacing="0" w:after="0" w:afterAutospacing="0" w:line="240" w:lineRule="auto"/>
              <w:ind w:left="0" w:right="0"/>
              <w:jc w:val="left"/>
              <w:rPr>
                <w:rFonts w:hint="default" w:ascii="宋体" w:hAnsi="宋体"/>
                <w:color w:val="000000"/>
                <w:sz w:val="24"/>
                <w:szCs w:val="24"/>
              </w:rPr>
            </w:pPr>
            <w:r>
              <w:rPr>
                <w:rFonts w:hint="eastAsia" w:cs="宋体" w:asciiTheme="minorEastAsia" w:hAnsiTheme="minorEastAsia" w:eastAsiaTheme="minorEastAsia"/>
                <w:b/>
                <w:bCs/>
                <w:szCs w:val="21"/>
                <w:highlight w:val="none"/>
              </w:rPr>
              <w:t>注：本项目专门面向中小微企业（监狱企业、残疾人福利性企业视同小微企业）采购的项目，不再享受小微企业、监狱企业和残疾人福利性企业价格扣除优惠政策。</w:t>
            </w:r>
          </w:p>
        </w:tc>
      </w:tr>
      <w:tr w14:paraId="4C57C443">
        <w:tblPrEx>
          <w:tblCellMar>
            <w:top w:w="0" w:type="dxa"/>
            <w:left w:w="108" w:type="dxa"/>
            <w:bottom w:w="0" w:type="dxa"/>
            <w:right w:w="108" w:type="dxa"/>
          </w:tblCellMar>
        </w:tblPrEx>
        <w:trPr>
          <w:trHeight w:val="1249" w:hRule="atLeast"/>
        </w:trPr>
        <w:tc>
          <w:tcPr>
            <w:tcW w:w="554" w:type="pct"/>
            <w:vMerge w:val="restart"/>
            <w:tcBorders>
              <w:top w:val="nil"/>
              <w:left w:val="single" w:color="auto" w:sz="4" w:space="0"/>
              <w:right w:val="single" w:color="auto" w:sz="4" w:space="0"/>
            </w:tcBorders>
            <w:vAlign w:val="center"/>
          </w:tcPr>
          <w:p w14:paraId="0FC19E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r>
              <w:rPr>
                <w:rFonts w:hint="eastAsia" w:ascii="宋体" w:hAnsi="宋体" w:cs="宋体"/>
                <w:color w:val="000000"/>
                <w:kern w:val="0"/>
                <w:sz w:val="24"/>
                <w:szCs w:val="24"/>
              </w:rPr>
              <w:t>2、技术标评审（5</w:t>
            </w:r>
            <w:r>
              <w:rPr>
                <w:rFonts w:hint="eastAsia" w:ascii="宋体" w:hAnsi="宋体" w:cs="宋体"/>
                <w:color w:val="000000"/>
                <w:kern w:val="0"/>
                <w:sz w:val="24"/>
                <w:szCs w:val="24"/>
                <w:lang w:val="en-US" w:eastAsia="zh-CN"/>
              </w:rPr>
              <w:t>0</w:t>
            </w:r>
            <w:r>
              <w:rPr>
                <w:rFonts w:hint="eastAsia" w:ascii="宋体" w:hAnsi="宋体" w:cs="宋体"/>
                <w:color w:val="000000"/>
                <w:kern w:val="0"/>
                <w:sz w:val="24"/>
                <w:szCs w:val="24"/>
              </w:rPr>
              <w:t xml:space="preserve">分） </w:t>
            </w:r>
          </w:p>
          <w:p w14:paraId="222F677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p w14:paraId="18EECBB1">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nil"/>
              <w:left w:val="nil"/>
              <w:bottom w:val="single" w:color="auto" w:sz="4" w:space="0"/>
              <w:right w:val="single" w:color="auto" w:sz="4" w:space="0"/>
            </w:tcBorders>
            <w:vAlign w:val="center"/>
          </w:tcPr>
          <w:p w14:paraId="512E0949">
            <w:pPr>
              <w:keepNext w:val="0"/>
              <w:keepLines w:val="0"/>
              <w:suppressLineNumbers w:val="0"/>
              <w:spacing w:before="0" w:beforeAutospacing="0" w:after="0" w:afterAutospacing="0" w:line="240" w:lineRule="auto"/>
              <w:ind w:left="0" w:right="0"/>
              <w:jc w:val="center"/>
              <w:rPr>
                <w:rFonts w:hint="default"/>
                <w:color w:val="000000"/>
                <w:sz w:val="24"/>
                <w:szCs w:val="24"/>
              </w:rPr>
            </w:pPr>
            <w:r>
              <w:rPr>
                <w:rFonts w:hint="eastAsia" w:ascii="宋体" w:hAnsi="宋体"/>
                <w:color w:val="000000"/>
                <w:sz w:val="24"/>
                <w:szCs w:val="24"/>
              </w:rPr>
              <w:t>内容完整性（</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nil"/>
              <w:left w:val="nil"/>
              <w:bottom w:val="single" w:color="auto" w:sz="4" w:space="0"/>
              <w:right w:val="single" w:color="auto" w:sz="4" w:space="0"/>
            </w:tcBorders>
            <w:vAlign w:val="center"/>
          </w:tcPr>
          <w:p w14:paraId="2EF821A9">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技术标的主要内容具有完整性，符合竞争性磋商文件的要求，得5分。</w:t>
            </w:r>
          </w:p>
          <w:p w14:paraId="1F78669E">
            <w:pPr>
              <w:keepNext w:val="0"/>
              <w:keepLines w:val="0"/>
              <w:widowControl/>
              <w:suppressLineNumbers w:val="0"/>
              <w:spacing w:before="0" w:beforeAutospacing="0" w:after="0" w:afterAutospacing="0" w:line="240" w:lineRule="auto"/>
              <w:ind w:left="0" w:right="0"/>
              <w:jc w:val="left"/>
              <w:rPr>
                <w:rFonts w:hint="default" w:asciiTheme="minorEastAsia" w:hAnsiTheme="minorEastAsia" w:eastAsiaTheme="minorEastAsia" w:cstheme="minorEastAsia"/>
                <w:kern w:val="0"/>
                <w:sz w:val="24"/>
                <w:szCs w:val="24"/>
                <w:lang w:val="en-US" w:eastAsia="zh-CN"/>
              </w:rPr>
            </w:pPr>
            <w:r>
              <w:rPr>
                <w:rFonts w:hint="default" w:asciiTheme="minorEastAsia" w:hAnsiTheme="minorEastAsia" w:eastAsiaTheme="minorEastAsia" w:cstheme="minorEastAsia"/>
                <w:kern w:val="0"/>
                <w:sz w:val="24"/>
                <w:szCs w:val="24"/>
                <w:lang w:val="en-US" w:eastAsia="zh-CN"/>
              </w:rPr>
              <w:t>技术标不符合竞争性磋商文件要求，不得分。</w:t>
            </w:r>
          </w:p>
        </w:tc>
      </w:tr>
      <w:tr w14:paraId="0E1E9BEB">
        <w:tblPrEx>
          <w:tblCellMar>
            <w:top w:w="0" w:type="dxa"/>
            <w:left w:w="108" w:type="dxa"/>
            <w:bottom w:w="0" w:type="dxa"/>
            <w:right w:w="108" w:type="dxa"/>
          </w:tblCellMar>
        </w:tblPrEx>
        <w:trPr>
          <w:trHeight w:val="2190" w:hRule="atLeast"/>
        </w:trPr>
        <w:tc>
          <w:tcPr>
            <w:tcW w:w="554" w:type="pct"/>
            <w:vMerge w:val="continue"/>
            <w:tcBorders>
              <w:top w:val="nil"/>
              <w:left w:val="single" w:color="auto" w:sz="4" w:space="0"/>
              <w:right w:val="single" w:color="auto" w:sz="4" w:space="0"/>
            </w:tcBorders>
            <w:vAlign w:val="center"/>
          </w:tcPr>
          <w:p w14:paraId="78C1072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24"/>
              </w:rPr>
            </w:pPr>
          </w:p>
        </w:tc>
        <w:tc>
          <w:tcPr>
            <w:tcW w:w="812" w:type="pct"/>
            <w:tcBorders>
              <w:top w:val="single" w:color="auto" w:sz="4" w:space="0"/>
              <w:left w:val="nil"/>
              <w:bottom w:val="single" w:color="auto" w:sz="4" w:space="0"/>
              <w:right w:val="single" w:color="auto" w:sz="4" w:space="0"/>
            </w:tcBorders>
            <w:vAlign w:val="center"/>
          </w:tcPr>
          <w:p w14:paraId="465AA904">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主要施工方案与技术措施</w:t>
            </w:r>
          </w:p>
          <w:p w14:paraId="647F58C3">
            <w:pPr>
              <w:keepNext w:val="0"/>
              <w:keepLines w:val="0"/>
              <w:suppressLineNumbers w:val="0"/>
              <w:spacing w:before="0" w:beforeAutospacing="0" w:after="0" w:afterAutospacing="0" w:line="240" w:lineRule="auto"/>
              <w:ind w:left="0" w:right="0"/>
              <w:rPr>
                <w:rFonts w:hint="default"/>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379BF487">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施工方案（含工程特点、施工重点与难点及绿色施工）总体安排合理，运用先进、合理的施工工艺、施工机械；对施工难点有先进和合理的建议。5分</w:t>
            </w:r>
          </w:p>
          <w:p w14:paraId="3103ED0E">
            <w:pPr>
              <w:keepNext w:val="0"/>
              <w:keepLines w:val="0"/>
              <w:numPr>
                <w:ilvl w:val="0"/>
                <w:numId w:val="0"/>
              </w:numPr>
              <w:suppressLineNumbers w:val="0"/>
              <w:spacing w:before="0" w:beforeAutospacing="0" w:after="0" w:afterAutospacing="0" w:line="240" w:lineRule="auto"/>
              <w:ind w:left="0" w:right="0"/>
              <w:rPr>
                <w:rFonts w:hint="default"/>
                <w:color w:val="000000"/>
                <w:sz w:val="24"/>
                <w:szCs w:val="24"/>
                <w:lang w:val="en-US" w:eastAsia="zh-CN"/>
              </w:rPr>
            </w:pPr>
            <w:r>
              <w:rPr>
                <w:rFonts w:hint="default"/>
                <w:color w:val="000000"/>
                <w:sz w:val="24"/>
                <w:szCs w:val="24"/>
                <w:lang w:val="en-US" w:eastAsia="zh-CN"/>
              </w:rPr>
              <w:t>施工方案（含工程特点、施工重点与难点及绿色施工）总体安排合理，施工工艺、施工机械合理、可行；对施工难点有合理的建议。3分</w:t>
            </w:r>
          </w:p>
          <w:p w14:paraId="31C695B5">
            <w:pPr>
              <w:pStyle w:val="2"/>
              <w:rPr>
                <w:rFonts w:hint="default"/>
                <w:lang w:val="en-US" w:eastAsia="zh-CN"/>
              </w:rPr>
            </w:pPr>
            <w:r>
              <w:rPr>
                <w:rFonts w:hint="eastAsia"/>
                <w:sz w:val="24"/>
                <w:szCs w:val="24"/>
              </w:rPr>
              <w:t>缺项的，该项为0分；不缺项的，不低于最低分。</w:t>
            </w:r>
          </w:p>
        </w:tc>
      </w:tr>
      <w:tr w14:paraId="5C21E114">
        <w:tblPrEx>
          <w:tblCellMar>
            <w:top w:w="0" w:type="dxa"/>
            <w:left w:w="108" w:type="dxa"/>
            <w:bottom w:w="0" w:type="dxa"/>
            <w:right w:w="108" w:type="dxa"/>
          </w:tblCellMar>
        </w:tblPrEx>
        <w:trPr>
          <w:trHeight w:val="2204" w:hRule="atLeast"/>
        </w:trPr>
        <w:tc>
          <w:tcPr>
            <w:tcW w:w="554" w:type="pct"/>
            <w:vMerge w:val="continue"/>
            <w:tcBorders>
              <w:left w:val="single" w:color="auto" w:sz="4" w:space="0"/>
              <w:bottom w:val="single" w:color="auto" w:sz="4" w:space="0"/>
              <w:right w:val="single" w:color="auto" w:sz="4" w:space="0"/>
            </w:tcBorders>
            <w:vAlign w:val="center"/>
          </w:tcPr>
          <w:p w14:paraId="6A20C8B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44945FA1">
            <w:pPr>
              <w:keepNext w:val="0"/>
              <w:keepLines w:val="0"/>
              <w:suppressLineNumbers w:val="0"/>
              <w:spacing w:before="0" w:beforeAutospacing="0" w:after="0" w:afterAutospacing="0" w:line="240" w:lineRule="auto"/>
              <w:ind w:left="0" w:right="0"/>
              <w:rPr>
                <w:rFonts w:hint="eastAsia" w:ascii="宋体" w:hAnsi="宋体"/>
                <w:color w:val="000000"/>
                <w:sz w:val="24"/>
                <w:szCs w:val="24"/>
              </w:rPr>
            </w:pPr>
            <w:r>
              <w:rPr>
                <w:rFonts w:hint="eastAsia" w:ascii="宋体" w:hAnsi="宋体"/>
                <w:color w:val="000000"/>
                <w:sz w:val="24"/>
                <w:szCs w:val="24"/>
                <w:lang w:val="en-US" w:eastAsia="zh-CN"/>
              </w:rPr>
              <w:t>质量管理体系与措施</w:t>
            </w:r>
          </w:p>
          <w:p w14:paraId="5AE6D727">
            <w:pPr>
              <w:keepNext w:val="0"/>
              <w:keepLines w:val="0"/>
              <w:suppressLineNumbers w:val="0"/>
              <w:spacing w:before="0" w:beforeAutospacing="0" w:after="0" w:afterAutospacing="0" w:line="240" w:lineRule="auto"/>
              <w:ind w:left="0" w:right="0"/>
              <w:rPr>
                <w:rFonts w:hint="default" w:ascii="宋体" w:hAnsi="宋体"/>
                <w:color w:val="000000"/>
                <w:sz w:val="24"/>
                <w:szCs w:val="24"/>
              </w:rPr>
            </w:pPr>
            <w:r>
              <w:rPr>
                <w:rFonts w:hint="eastAsia" w:ascii="宋体" w:hAnsi="宋体"/>
                <w:color w:val="000000"/>
                <w:sz w:val="24"/>
                <w:szCs w:val="24"/>
              </w:rPr>
              <w:t>（</w:t>
            </w:r>
            <w:r>
              <w:rPr>
                <w:rFonts w:hint="eastAsia" w:ascii="宋体" w:hAnsi="宋体"/>
                <w:color w:val="000000"/>
                <w:sz w:val="24"/>
                <w:szCs w:val="24"/>
                <w:lang w:val="en-US" w:eastAsia="zh-CN"/>
              </w:rPr>
              <w:t>0-</w:t>
            </w:r>
            <w:r>
              <w:rPr>
                <w:rFonts w:hint="eastAsia" w:ascii="宋体" w:hAnsi="宋体"/>
                <w:color w:val="000000"/>
                <w:sz w:val="24"/>
                <w:szCs w:val="24"/>
              </w:rPr>
              <w:t>5分）</w:t>
            </w:r>
          </w:p>
        </w:tc>
        <w:tc>
          <w:tcPr>
            <w:tcW w:w="3632" w:type="pct"/>
            <w:tcBorders>
              <w:top w:val="single" w:color="auto" w:sz="4" w:space="0"/>
              <w:left w:val="nil"/>
              <w:bottom w:val="single" w:color="auto" w:sz="4" w:space="0"/>
              <w:right w:val="single" w:color="auto" w:sz="4" w:space="0"/>
            </w:tcBorders>
            <w:vAlign w:val="center"/>
          </w:tcPr>
          <w:p w14:paraId="47A6C780">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组织机构形式合理，有完善的指挥系统、质量监控系统、联络协调系统，对项目提出先进、可行、具体的保证措施。5分</w:t>
            </w:r>
          </w:p>
          <w:p w14:paraId="6AD9A84C">
            <w:pPr>
              <w:keepNext w:val="0"/>
              <w:keepLines w:val="0"/>
              <w:numPr>
                <w:ilvl w:val="0"/>
                <w:numId w:val="0"/>
              </w:numPr>
              <w:suppressLineNumbers w:val="0"/>
              <w:spacing w:before="0" w:beforeAutospacing="0" w:after="0" w:afterAutospacing="0" w:line="240" w:lineRule="auto"/>
              <w:ind w:left="0" w:right="0"/>
              <w:rPr>
                <w:rFonts w:hint="default" w:ascii="新宋体" w:hAnsi="新宋体" w:eastAsia="新宋体" w:cs="新宋体"/>
                <w:sz w:val="24"/>
                <w:szCs w:val="24"/>
                <w:lang w:val="en-US" w:eastAsia="zh-CN"/>
              </w:rPr>
            </w:pPr>
            <w:r>
              <w:rPr>
                <w:rFonts w:hint="default" w:ascii="新宋体" w:hAnsi="新宋体" w:eastAsia="新宋体" w:cs="新宋体"/>
                <w:sz w:val="24"/>
                <w:szCs w:val="24"/>
                <w:lang w:val="en-US" w:eastAsia="zh-CN"/>
              </w:rPr>
              <w:t>组织机构形式基本合理，指挥系统、质量监控系统、联络协调系统，具体措施可行。质量保证措施经济、安全、基本可行。3分</w:t>
            </w:r>
          </w:p>
          <w:p w14:paraId="77B61835">
            <w:pPr>
              <w:pStyle w:val="2"/>
              <w:rPr>
                <w:rFonts w:hint="default"/>
                <w:lang w:val="en-US" w:eastAsia="zh-CN"/>
              </w:rPr>
            </w:pPr>
            <w:r>
              <w:rPr>
                <w:rFonts w:hint="eastAsia"/>
                <w:sz w:val="24"/>
                <w:szCs w:val="24"/>
              </w:rPr>
              <w:t>缺项的，该项为0分；不缺项的，不低于最低分。</w:t>
            </w:r>
          </w:p>
        </w:tc>
      </w:tr>
      <w:tr w14:paraId="06FDA70F">
        <w:tblPrEx>
          <w:tblCellMar>
            <w:top w:w="0" w:type="dxa"/>
            <w:left w:w="108" w:type="dxa"/>
            <w:bottom w:w="0" w:type="dxa"/>
            <w:right w:w="108" w:type="dxa"/>
          </w:tblCellMar>
        </w:tblPrEx>
        <w:trPr>
          <w:trHeight w:val="3452" w:hRule="atLeast"/>
        </w:trPr>
        <w:tc>
          <w:tcPr>
            <w:tcW w:w="554" w:type="pct"/>
            <w:vMerge w:val="continue"/>
            <w:tcBorders>
              <w:top w:val="single" w:color="auto" w:sz="4" w:space="0"/>
              <w:left w:val="single" w:color="auto" w:sz="4" w:space="0"/>
              <w:right w:val="single" w:color="auto" w:sz="4" w:space="0"/>
            </w:tcBorders>
            <w:vAlign w:val="center"/>
          </w:tcPr>
          <w:p w14:paraId="3533F92E">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E925BAC">
            <w:pPr>
              <w:keepNext w:val="0"/>
              <w:keepLines w:val="0"/>
              <w:suppressLineNumbers w:val="0"/>
              <w:spacing w:before="0" w:beforeAutospacing="0" w:after="0" w:afterAutospacing="0" w:line="240" w:lineRule="auto"/>
              <w:ind w:left="0" w:right="0"/>
              <w:rPr>
                <w:rFonts w:hint="eastAsia" w:ascii="宋体" w:hAnsi="宋体"/>
                <w:color w:val="auto"/>
                <w:sz w:val="24"/>
                <w:szCs w:val="24"/>
              </w:rPr>
            </w:pPr>
            <w:r>
              <w:rPr>
                <w:rFonts w:hint="eastAsia" w:ascii="宋体" w:hAnsi="宋体"/>
                <w:color w:val="auto"/>
                <w:sz w:val="24"/>
                <w:szCs w:val="24"/>
                <w:lang w:val="en-US" w:eastAsia="zh-CN"/>
              </w:rPr>
              <w:t>安全管理体系与措施</w:t>
            </w:r>
          </w:p>
          <w:p w14:paraId="14D5E50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rPr>
              <w:t>（</w:t>
            </w:r>
            <w:r>
              <w:rPr>
                <w:rFonts w:hint="eastAsia" w:ascii="宋体" w:hAnsi="宋体"/>
                <w:color w:val="auto"/>
                <w:sz w:val="24"/>
                <w:szCs w:val="24"/>
                <w:lang w:val="en-US" w:eastAsia="zh-CN"/>
              </w:rPr>
              <w:t>0-</w:t>
            </w:r>
            <w:r>
              <w:rPr>
                <w:rFonts w:hint="eastAsia" w:ascii="宋体" w:hAnsi="宋体"/>
                <w:color w:val="auto"/>
                <w:sz w:val="24"/>
                <w:szCs w:val="24"/>
              </w:rPr>
              <w:t>5分）</w:t>
            </w:r>
          </w:p>
        </w:tc>
        <w:tc>
          <w:tcPr>
            <w:tcW w:w="3632" w:type="pct"/>
            <w:tcBorders>
              <w:top w:val="single" w:color="auto" w:sz="4" w:space="0"/>
              <w:left w:val="nil"/>
              <w:bottom w:val="single" w:color="auto" w:sz="4" w:space="0"/>
              <w:right w:val="single" w:color="auto" w:sz="4" w:space="0"/>
            </w:tcBorders>
            <w:vAlign w:val="center"/>
          </w:tcPr>
          <w:p w14:paraId="3A1ED928">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rPr>
            </w:pPr>
            <w:r>
              <w:rPr>
                <w:rFonts w:hint="default"/>
                <w:color w:val="auto"/>
                <w:sz w:val="24"/>
                <w:szCs w:val="24"/>
                <w:lang w:val="en-US" w:eastAsia="zh-CN"/>
              </w:rPr>
              <w:t>施工安全生产保障体系健全，安全管理制度完善，安全管理目标具体，全员安全责任制明确，现场安全管理组织机构。根据工程特点、施工工艺，现场重大危险源辨识全面，明确有相应的安全管理措施。安全技术方案措施科学合理、先进可行。</w:t>
            </w:r>
          </w:p>
          <w:p w14:paraId="520804E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5分</w:t>
            </w:r>
          </w:p>
          <w:p w14:paraId="5B1E9EE2">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有施工安全生产保障体系、安全责任制和安全管理制度，现场安全管理机构。根据工程特点、施工工艺，正确识别现场重大危险源并有相应的安全防护管理措施。制定相关专项施工方案（或方案计划），安全技术方案、措施基本可行。3分</w:t>
            </w:r>
          </w:p>
          <w:p w14:paraId="040B6B44">
            <w:pPr>
              <w:pStyle w:val="2"/>
              <w:rPr>
                <w:rFonts w:hint="default"/>
              </w:rPr>
            </w:pPr>
            <w:r>
              <w:rPr>
                <w:rFonts w:hint="eastAsia"/>
                <w:sz w:val="24"/>
                <w:szCs w:val="24"/>
              </w:rPr>
              <w:t>缺项的，该项为0分；不缺项的，不低于最低分。</w:t>
            </w:r>
          </w:p>
        </w:tc>
      </w:tr>
      <w:tr w14:paraId="54C67478">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24B9B77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right w:val="single" w:color="auto" w:sz="4" w:space="0"/>
            </w:tcBorders>
            <w:vAlign w:val="center"/>
          </w:tcPr>
          <w:p w14:paraId="5D7C3FBA">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auto"/>
                <w:kern w:val="0"/>
                <w:sz w:val="24"/>
                <w:szCs w:val="24"/>
              </w:rPr>
            </w:pPr>
            <w:r>
              <w:rPr>
                <w:rFonts w:hint="eastAsia" w:ascii="宋体" w:hAnsi="宋体" w:cs="宋体"/>
                <w:color w:val="auto"/>
                <w:kern w:val="0"/>
                <w:sz w:val="24"/>
                <w:szCs w:val="24"/>
                <w:lang w:val="en-US" w:eastAsia="zh-CN"/>
              </w:rPr>
              <w:t>文明施工、环境保护管理体系及施工现场扬尘治理措施</w:t>
            </w:r>
            <w:r>
              <w:rPr>
                <w:rFonts w:hint="eastAsia" w:ascii="宋体" w:hAnsi="宋体" w:cs="宋体"/>
                <w:color w:val="auto"/>
                <w:kern w:val="0"/>
                <w:sz w:val="24"/>
                <w:szCs w:val="24"/>
              </w:rPr>
              <w:t>（</w:t>
            </w:r>
            <w:r>
              <w:rPr>
                <w:rFonts w:hint="eastAsia" w:ascii="宋体" w:hAnsi="宋体" w:cs="宋体"/>
                <w:color w:val="auto"/>
                <w:kern w:val="0"/>
                <w:sz w:val="24"/>
                <w:szCs w:val="24"/>
                <w:lang w:val="en-US" w:eastAsia="zh-CN"/>
              </w:rPr>
              <w:t>0-</w:t>
            </w:r>
            <w:r>
              <w:rPr>
                <w:rFonts w:hint="eastAsia" w:ascii="宋体" w:hAnsi="宋体" w:cs="宋体"/>
                <w:color w:val="auto"/>
                <w:kern w:val="0"/>
                <w:sz w:val="24"/>
                <w:szCs w:val="24"/>
              </w:rPr>
              <w:t>5分）</w:t>
            </w:r>
          </w:p>
        </w:tc>
        <w:tc>
          <w:tcPr>
            <w:tcW w:w="3632" w:type="pct"/>
            <w:tcBorders>
              <w:top w:val="single" w:color="auto" w:sz="4" w:space="0"/>
              <w:left w:val="nil"/>
              <w:bottom w:val="nil"/>
              <w:right w:val="single" w:color="auto" w:sz="4" w:space="0"/>
            </w:tcBorders>
            <w:vAlign w:val="center"/>
          </w:tcPr>
          <w:p w14:paraId="23D07846">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rPr>
            </w:pPr>
            <w:r>
              <w:rPr>
                <w:rFonts w:hint="default" w:asciiTheme="minorEastAsia" w:hAnsiTheme="minorEastAsia" w:eastAsiaTheme="minorEastAsia" w:cstheme="minorEastAsia"/>
                <w:color w:val="auto"/>
                <w:sz w:val="24"/>
                <w:szCs w:val="24"/>
                <w:lang w:val="en-US" w:eastAsia="zh-CN"/>
              </w:rPr>
              <w:t>创安全文明标准化目标明确，有针对项目实际情况，科学可行的创建计划和符合相关标准、规范、规程的创建保证措施和安全文明措施费用投入使用计划，现场施工区、生活区、办公区等设置科学规范，符合有关文明施工、健康卫生的规定。施工现场扬尘治理措施符合规定，防治方案科学、先进。5分</w:t>
            </w:r>
          </w:p>
        </w:tc>
      </w:tr>
      <w:tr w14:paraId="01BFF50C">
        <w:tblPrEx>
          <w:tblCellMar>
            <w:top w:w="0" w:type="dxa"/>
            <w:left w:w="108" w:type="dxa"/>
            <w:bottom w:w="0" w:type="dxa"/>
            <w:right w:w="108" w:type="dxa"/>
          </w:tblCellMar>
        </w:tblPrEx>
        <w:trPr>
          <w:trHeight w:val="1605" w:hRule="atLeast"/>
        </w:trPr>
        <w:tc>
          <w:tcPr>
            <w:tcW w:w="554" w:type="pct"/>
            <w:vMerge w:val="continue"/>
            <w:tcBorders>
              <w:left w:val="single" w:color="auto" w:sz="4" w:space="0"/>
              <w:right w:val="single" w:color="auto" w:sz="4" w:space="0"/>
            </w:tcBorders>
            <w:vAlign w:val="center"/>
          </w:tcPr>
          <w:p w14:paraId="0E56CFD3">
            <w:pPr>
              <w:keepNext w:val="0"/>
              <w:keepLines w:val="0"/>
              <w:widowControl/>
              <w:suppressLineNumbers w:val="0"/>
              <w:spacing w:before="0" w:beforeAutospacing="0" w:after="0" w:afterAutospacing="0" w:line="240" w:lineRule="auto"/>
              <w:ind w:left="0" w:right="0"/>
              <w:rPr>
                <w:rFonts w:hint="default"/>
              </w:rPr>
            </w:pPr>
          </w:p>
        </w:tc>
        <w:tc>
          <w:tcPr>
            <w:tcW w:w="812" w:type="pct"/>
            <w:vMerge w:val="continue"/>
            <w:tcBorders>
              <w:left w:val="nil"/>
              <w:bottom w:val="single" w:color="auto" w:sz="4" w:space="0"/>
              <w:right w:val="single" w:color="auto" w:sz="4" w:space="0"/>
            </w:tcBorders>
            <w:vAlign w:val="center"/>
          </w:tcPr>
          <w:p w14:paraId="402B12B8">
            <w:pPr>
              <w:keepNext w:val="0"/>
              <w:keepLines w:val="0"/>
              <w:widowControl/>
              <w:suppressLineNumbers w:val="0"/>
              <w:spacing w:before="0" w:beforeAutospacing="0" w:after="0" w:afterAutospacing="0" w:line="240" w:lineRule="auto"/>
              <w:ind w:left="0" w:right="0"/>
              <w:rPr>
                <w:rFonts w:hint="default"/>
              </w:rPr>
            </w:pPr>
          </w:p>
        </w:tc>
        <w:tc>
          <w:tcPr>
            <w:tcW w:w="3632" w:type="pct"/>
            <w:tcBorders>
              <w:top w:val="nil"/>
              <w:left w:val="nil"/>
              <w:bottom w:val="single" w:color="auto" w:sz="4" w:space="0"/>
              <w:right w:val="single" w:color="auto" w:sz="4" w:space="0"/>
            </w:tcBorders>
            <w:vAlign w:val="center"/>
          </w:tcPr>
          <w:p w14:paraId="693356E7">
            <w:pPr>
              <w:keepNext w:val="0"/>
              <w:keepLines w:val="0"/>
              <w:widowControl/>
              <w:numPr>
                <w:ilvl w:val="0"/>
                <w:numId w:val="0"/>
              </w:numPr>
              <w:suppressLineNumbers w:val="0"/>
              <w:spacing w:before="0" w:beforeAutospacing="0" w:after="0" w:afterAutospacing="0" w:line="240" w:lineRule="auto"/>
              <w:ind w:left="0" w:right="0"/>
              <w:rPr>
                <w:rFonts w:hint="default"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有</w:t>
            </w:r>
            <w:r>
              <w:rPr>
                <w:rFonts w:hint="default" w:asciiTheme="minorEastAsia" w:hAnsiTheme="minorEastAsia" w:eastAsiaTheme="minorEastAsia" w:cstheme="minorEastAsia"/>
                <w:color w:val="auto"/>
                <w:sz w:val="24"/>
                <w:szCs w:val="24"/>
                <w:lang w:val="en-US" w:eastAsia="zh-CN"/>
              </w:rPr>
              <w:t>安全文明标准化创建目标计划和创建措施，有安全文明措施费用投入使用计划，现场施工区、生活区、办公区等设置符合有关文明施工、健康卫生的规定。施工现场扬尘治理措施基本达</w:t>
            </w:r>
            <w:r>
              <w:rPr>
                <w:rFonts w:hint="eastAsia" w:asciiTheme="minorEastAsia" w:hAnsiTheme="minorEastAsia" w:cstheme="minorEastAsia"/>
                <w:color w:val="auto"/>
                <w:sz w:val="24"/>
                <w:szCs w:val="24"/>
                <w:lang w:val="en-US" w:eastAsia="zh-CN"/>
              </w:rPr>
              <w:t>到</w:t>
            </w:r>
            <w:r>
              <w:rPr>
                <w:rFonts w:hint="default" w:asciiTheme="minorEastAsia" w:hAnsiTheme="minorEastAsia" w:eastAsiaTheme="minorEastAsia" w:cstheme="minorEastAsia"/>
                <w:color w:val="auto"/>
                <w:sz w:val="24"/>
                <w:szCs w:val="24"/>
                <w:lang w:val="en-US" w:eastAsia="zh-CN"/>
              </w:rPr>
              <w:t>规定，有防治方案。3分</w:t>
            </w:r>
          </w:p>
          <w:p w14:paraId="2EB56364">
            <w:pPr>
              <w:pStyle w:val="2"/>
              <w:rPr>
                <w:rFonts w:hint="default"/>
              </w:rPr>
            </w:pPr>
            <w:r>
              <w:rPr>
                <w:rFonts w:hint="eastAsia"/>
                <w:sz w:val="24"/>
                <w:szCs w:val="24"/>
              </w:rPr>
              <w:t>缺项的，该项为0分；不缺项的，不低于最低分。</w:t>
            </w:r>
          </w:p>
        </w:tc>
      </w:tr>
      <w:tr w14:paraId="5ECF8428">
        <w:tblPrEx>
          <w:tblCellMar>
            <w:top w:w="0" w:type="dxa"/>
            <w:left w:w="108" w:type="dxa"/>
            <w:bottom w:w="0" w:type="dxa"/>
            <w:right w:w="108" w:type="dxa"/>
          </w:tblCellMar>
        </w:tblPrEx>
        <w:trPr>
          <w:trHeight w:val="1268" w:hRule="atLeast"/>
        </w:trPr>
        <w:tc>
          <w:tcPr>
            <w:tcW w:w="554" w:type="pct"/>
            <w:vMerge w:val="continue"/>
            <w:tcBorders>
              <w:left w:val="single" w:color="auto" w:sz="4" w:space="0"/>
              <w:right w:val="single" w:color="auto" w:sz="4" w:space="0"/>
            </w:tcBorders>
            <w:vAlign w:val="center"/>
          </w:tcPr>
          <w:p w14:paraId="1486EA9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nil"/>
              <w:left w:val="nil"/>
              <w:bottom w:val="single" w:color="auto" w:sz="4" w:space="0"/>
              <w:right w:val="single" w:color="auto" w:sz="4" w:space="0"/>
            </w:tcBorders>
            <w:vAlign w:val="center"/>
          </w:tcPr>
          <w:p w14:paraId="3D884D71">
            <w:pPr>
              <w:keepNext w:val="0"/>
              <w:keepLines w:val="0"/>
              <w:suppressLineNumbers w:val="0"/>
              <w:spacing w:before="0" w:beforeAutospacing="0" w:after="0" w:afterAutospacing="0" w:line="240" w:lineRule="auto"/>
              <w:ind w:left="0" w:right="0"/>
              <w:rPr>
                <w:rFonts w:hint="default"/>
                <w:color w:val="auto"/>
                <w:sz w:val="24"/>
                <w:szCs w:val="24"/>
              </w:rPr>
            </w:pPr>
            <w:r>
              <w:rPr>
                <w:rFonts w:hint="eastAsia" w:ascii="宋体" w:hAnsi="宋体"/>
                <w:color w:val="auto"/>
                <w:sz w:val="24"/>
                <w:szCs w:val="24"/>
                <w:lang w:val="en-US" w:eastAsia="zh-CN"/>
              </w:rPr>
              <w:t>工期保证措施（0-5分</w:t>
            </w:r>
            <w:r>
              <w:rPr>
                <w:rFonts w:hint="eastAsia" w:ascii="宋体" w:hAnsi="宋体"/>
                <w:color w:val="auto"/>
                <w:sz w:val="24"/>
                <w:szCs w:val="24"/>
              </w:rPr>
              <w:t>）</w:t>
            </w:r>
          </w:p>
        </w:tc>
        <w:tc>
          <w:tcPr>
            <w:tcW w:w="3632" w:type="pct"/>
            <w:tcBorders>
              <w:top w:val="nil"/>
              <w:left w:val="nil"/>
              <w:bottom w:val="single" w:color="auto" w:sz="4" w:space="0"/>
              <w:right w:val="single" w:color="auto" w:sz="4" w:space="0"/>
            </w:tcBorders>
            <w:vAlign w:val="center"/>
          </w:tcPr>
          <w:p w14:paraId="156A3D8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工期承诺满足竞争性磋商文件要求，工期保证措施合理且有针对性，有具体的违约责任承诺。5分</w:t>
            </w:r>
          </w:p>
          <w:p w14:paraId="2198CD1D">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工期承诺满足竞争性磋商文件要求，工期保证措施基本合理，有具体的违约责任承诺。3分</w:t>
            </w:r>
          </w:p>
          <w:p w14:paraId="5750F099">
            <w:pPr>
              <w:pStyle w:val="2"/>
              <w:rPr>
                <w:rFonts w:hint="default"/>
                <w:lang w:val="en-US" w:eastAsia="zh-CN"/>
              </w:rPr>
            </w:pPr>
            <w:r>
              <w:rPr>
                <w:rFonts w:hint="eastAsia"/>
                <w:sz w:val="24"/>
                <w:szCs w:val="24"/>
              </w:rPr>
              <w:t>缺项的，该项为0分；不缺项的，不低于最低分。</w:t>
            </w:r>
          </w:p>
        </w:tc>
      </w:tr>
      <w:tr w14:paraId="1647F61B">
        <w:tblPrEx>
          <w:tblCellMar>
            <w:top w:w="0" w:type="dxa"/>
            <w:left w:w="108" w:type="dxa"/>
            <w:bottom w:w="0" w:type="dxa"/>
            <w:right w:w="108" w:type="dxa"/>
          </w:tblCellMar>
        </w:tblPrEx>
        <w:trPr>
          <w:trHeight w:val="3764" w:hRule="atLeast"/>
        </w:trPr>
        <w:tc>
          <w:tcPr>
            <w:tcW w:w="554" w:type="pct"/>
            <w:vMerge w:val="continue"/>
            <w:tcBorders>
              <w:left w:val="single" w:color="auto" w:sz="4" w:space="0"/>
              <w:bottom w:val="single" w:color="auto" w:sz="4" w:space="0"/>
              <w:right w:val="single" w:color="auto" w:sz="4" w:space="0"/>
            </w:tcBorders>
            <w:vAlign w:val="center"/>
          </w:tcPr>
          <w:p w14:paraId="5B16F4E4">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D96CCF5">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拟投入资源配备计划（0-5分）</w:t>
            </w:r>
          </w:p>
        </w:tc>
        <w:tc>
          <w:tcPr>
            <w:tcW w:w="3632" w:type="pct"/>
            <w:tcBorders>
              <w:top w:val="single" w:color="auto" w:sz="4" w:space="0"/>
              <w:left w:val="nil"/>
              <w:bottom w:val="single" w:color="auto" w:sz="4" w:space="0"/>
              <w:right w:val="single" w:color="auto" w:sz="4" w:space="0"/>
            </w:tcBorders>
            <w:vAlign w:val="center"/>
          </w:tcPr>
          <w:p w14:paraId="49CFB25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、机械：投入计划与进度计划呼应，采用先进机械设备且配置合理、先进，满足安全技术规范和施工进度需要；</w:t>
            </w:r>
          </w:p>
          <w:p w14:paraId="5F0B0E70">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2、劳动力：投入计划与进度计划呼应，较好满足施工需要，调配投入计划合理、准确；</w:t>
            </w:r>
          </w:p>
          <w:p w14:paraId="0C8BAC57">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3、主要物资计划：主要物资投入计划与进度计划呼应，较好满足施工需要，调配投入计划合理、准确。5分</w:t>
            </w:r>
          </w:p>
          <w:p w14:paraId="6AD2396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eastAsia"/>
                <w:color w:val="auto"/>
                <w:sz w:val="24"/>
                <w:szCs w:val="24"/>
                <w:lang w:val="en-US" w:eastAsia="zh-CN"/>
              </w:rPr>
              <w:t>1</w:t>
            </w:r>
            <w:r>
              <w:rPr>
                <w:rFonts w:hint="default"/>
                <w:color w:val="auto"/>
                <w:sz w:val="24"/>
                <w:szCs w:val="24"/>
                <w:lang w:val="en-US" w:eastAsia="zh-CN"/>
              </w:rPr>
              <w:t>、机械：投入计划与进度计划呼应，机械设备配置基本合理，满足安全技术规范和施工进度需要；</w:t>
            </w:r>
          </w:p>
          <w:p w14:paraId="5227D50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2、劳动力：投入计划与进度计划呼应，基本满足施工需要，调配投入计划基本合理；</w:t>
            </w:r>
          </w:p>
          <w:p w14:paraId="1732159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3、主要物资计划：主要物资投入计划与进度计划呼应，基本满足施工需要，调配投入计划基本合理。3分</w:t>
            </w:r>
          </w:p>
          <w:p w14:paraId="6ACE8D2E">
            <w:pPr>
              <w:pStyle w:val="2"/>
              <w:rPr>
                <w:rFonts w:hint="default"/>
                <w:lang w:val="en-US" w:eastAsia="zh-CN"/>
              </w:rPr>
            </w:pPr>
            <w:r>
              <w:rPr>
                <w:rFonts w:hint="eastAsia"/>
                <w:sz w:val="24"/>
                <w:szCs w:val="24"/>
              </w:rPr>
              <w:t>缺项的，该项为0分；不缺项的，不低于最低分。</w:t>
            </w:r>
          </w:p>
        </w:tc>
      </w:tr>
      <w:tr w14:paraId="7C7A7E92">
        <w:tblPrEx>
          <w:tblCellMar>
            <w:top w:w="0" w:type="dxa"/>
            <w:left w:w="108" w:type="dxa"/>
            <w:bottom w:w="0" w:type="dxa"/>
            <w:right w:w="108" w:type="dxa"/>
          </w:tblCellMar>
        </w:tblPrEx>
        <w:trPr>
          <w:trHeight w:val="120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340718D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487189FD">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施工进度表与网络计划图（0-5分）</w:t>
            </w:r>
          </w:p>
        </w:tc>
        <w:tc>
          <w:tcPr>
            <w:tcW w:w="3632" w:type="pct"/>
            <w:tcBorders>
              <w:top w:val="single" w:color="auto" w:sz="4" w:space="0"/>
              <w:left w:val="single" w:color="auto" w:sz="4" w:space="0"/>
              <w:bottom w:val="single" w:color="auto" w:sz="4" w:space="0"/>
              <w:right w:val="single" w:color="auto" w:sz="4" w:space="0"/>
            </w:tcBorders>
            <w:vAlign w:val="center"/>
          </w:tcPr>
          <w:p w14:paraId="4B205CB4">
            <w:pPr>
              <w:keepNext w:val="0"/>
              <w:keepLines w:val="0"/>
              <w:numPr>
                <w:ilvl w:val="0"/>
                <w:numId w:val="0"/>
              </w:numPr>
              <w:suppressLineNumbers w:val="0"/>
              <w:spacing w:before="0" w:beforeAutospacing="0" w:after="0" w:afterAutospacing="0" w:line="240" w:lineRule="auto"/>
              <w:ind w:left="0" w:right="0"/>
              <w:rPr>
                <w:rFonts w:hint="eastAsia"/>
                <w:color w:val="auto"/>
                <w:sz w:val="24"/>
                <w:szCs w:val="24"/>
                <w:lang w:val="en-US" w:eastAsia="zh-CN"/>
              </w:rPr>
            </w:pPr>
            <w:r>
              <w:rPr>
                <w:rFonts w:hint="eastAsia"/>
                <w:color w:val="auto"/>
                <w:sz w:val="24"/>
                <w:szCs w:val="24"/>
                <w:lang w:val="en-US" w:eastAsia="zh-CN"/>
              </w:rPr>
              <w:t>关</w:t>
            </w:r>
            <w:r>
              <w:rPr>
                <w:rFonts w:hint="default"/>
                <w:color w:val="auto"/>
                <w:sz w:val="24"/>
                <w:szCs w:val="24"/>
                <w:lang w:val="en-US" w:eastAsia="zh-CN"/>
              </w:rPr>
              <w:t>键线路清晰、准确、完整、计划编制合理、可行、满足竞争性磋商文件对工期的要求。5分</w:t>
            </w:r>
          </w:p>
          <w:p w14:paraId="5B6B3D63">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关键线路基本准确，计划编制基本可行。3分</w:t>
            </w:r>
          </w:p>
          <w:p w14:paraId="43A51011">
            <w:pPr>
              <w:pStyle w:val="2"/>
              <w:rPr>
                <w:rFonts w:hint="eastAsia"/>
                <w:lang w:val="en-US" w:eastAsia="zh-CN"/>
              </w:rPr>
            </w:pPr>
            <w:r>
              <w:rPr>
                <w:rFonts w:hint="eastAsia"/>
                <w:sz w:val="24"/>
                <w:szCs w:val="24"/>
              </w:rPr>
              <w:t>缺项的，该项为0分；不缺项的，不低于最低分。</w:t>
            </w:r>
          </w:p>
        </w:tc>
      </w:tr>
      <w:tr w14:paraId="4541959C">
        <w:tblPrEx>
          <w:tblCellMar>
            <w:top w:w="0" w:type="dxa"/>
            <w:left w:w="108" w:type="dxa"/>
            <w:bottom w:w="0" w:type="dxa"/>
            <w:right w:w="108" w:type="dxa"/>
          </w:tblCellMar>
        </w:tblPrEx>
        <w:trPr>
          <w:trHeight w:val="1375"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74115712">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vMerge w:val="restart"/>
            <w:tcBorders>
              <w:top w:val="single" w:color="auto" w:sz="4" w:space="0"/>
              <w:left w:val="nil"/>
              <w:bottom w:val="single" w:color="auto" w:sz="4" w:space="0"/>
              <w:right w:val="single" w:color="auto" w:sz="4" w:space="0"/>
            </w:tcBorders>
            <w:vAlign w:val="center"/>
          </w:tcPr>
          <w:p w14:paraId="752DBD9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施工总平面图布置（0-5分）</w:t>
            </w:r>
          </w:p>
        </w:tc>
        <w:tc>
          <w:tcPr>
            <w:tcW w:w="3632" w:type="pct"/>
            <w:tcBorders>
              <w:top w:val="nil"/>
              <w:left w:val="nil"/>
              <w:bottom w:val="single" w:color="auto" w:sz="4" w:space="0"/>
              <w:right w:val="single" w:color="auto" w:sz="4" w:space="0"/>
            </w:tcBorders>
            <w:vAlign w:val="center"/>
          </w:tcPr>
          <w:p w14:paraId="09DACF46">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总体布置有针对性、合理、能较好满足施工需要，符合安全、文明施工要求；材料堆放有序。5分</w:t>
            </w:r>
          </w:p>
          <w:p w14:paraId="4911F869">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总体布置基本合理、基本满足施工需要。3分</w:t>
            </w:r>
          </w:p>
          <w:p w14:paraId="4523C3CC">
            <w:pPr>
              <w:pStyle w:val="2"/>
              <w:rPr>
                <w:rFonts w:hint="default"/>
                <w:lang w:val="en-US" w:eastAsia="zh-CN"/>
              </w:rPr>
            </w:pPr>
            <w:r>
              <w:rPr>
                <w:rFonts w:hint="eastAsia"/>
                <w:sz w:val="24"/>
                <w:szCs w:val="24"/>
              </w:rPr>
              <w:t>缺项的，该项为0分；不缺项的，不低于最低分。</w:t>
            </w:r>
          </w:p>
        </w:tc>
      </w:tr>
      <w:tr w14:paraId="5D421826">
        <w:tblPrEx>
          <w:tblCellMar>
            <w:top w:w="0" w:type="dxa"/>
            <w:left w:w="108" w:type="dxa"/>
            <w:bottom w:w="0" w:type="dxa"/>
            <w:right w:w="108" w:type="dxa"/>
          </w:tblCellMar>
        </w:tblPrEx>
        <w:trPr>
          <w:trHeight w:val="1891" w:hRule="atLeast"/>
        </w:trPr>
        <w:tc>
          <w:tcPr>
            <w:tcW w:w="554" w:type="pct"/>
            <w:vMerge w:val="continue"/>
            <w:tcBorders>
              <w:top w:val="single" w:color="auto" w:sz="4" w:space="0"/>
              <w:left w:val="single" w:color="auto" w:sz="4" w:space="0"/>
              <w:bottom w:val="single" w:color="auto" w:sz="4" w:space="0"/>
              <w:right w:val="single" w:color="auto" w:sz="4" w:space="0"/>
            </w:tcBorders>
            <w:vAlign w:val="center"/>
          </w:tcPr>
          <w:p w14:paraId="418C2629">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812" w:type="pct"/>
            <w:tcBorders>
              <w:top w:val="single" w:color="auto" w:sz="4" w:space="0"/>
              <w:left w:val="nil"/>
              <w:bottom w:val="single" w:color="auto" w:sz="4" w:space="0"/>
              <w:right w:val="single" w:color="auto" w:sz="4" w:space="0"/>
            </w:tcBorders>
            <w:vAlign w:val="center"/>
          </w:tcPr>
          <w:p w14:paraId="1C57DED1">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r>
              <w:rPr>
                <w:rFonts w:hint="eastAsia" w:ascii="宋体" w:hAnsi="宋体"/>
                <w:color w:val="auto"/>
                <w:sz w:val="24"/>
                <w:szCs w:val="24"/>
                <w:lang w:val="en-US" w:eastAsia="zh-CN"/>
              </w:rPr>
              <w:t>采用新工艺、新技术、新设备、新材料、BIM等的程度（0-5分</w:t>
            </w:r>
          </w:p>
          <w:p w14:paraId="68875C04">
            <w:pPr>
              <w:keepNext w:val="0"/>
              <w:keepLines w:val="0"/>
              <w:suppressLineNumbers w:val="0"/>
              <w:spacing w:before="0" w:beforeAutospacing="0" w:after="0" w:afterAutospacing="0" w:line="240" w:lineRule="auto"/>
              <w:ind w:left="0" w:right="0"/>
              <w:rPr>
                <w:rFonts w:hint="eastAsia" w:ascii="宋体" w:hAnsi="宋体"/>
                <w:color w:val="auto"/>
                <w:sz w:val="24"/>
                <w:szCs w:val="24"/>
                <w:lang w:val="en-US" w:eastAsia="zh-CN"/>
              </w:rPr>
            </w:pPr>
          </w:p>
        </w:tc>
        <w:tc>
          <w:tcPr>
            <w:tcW w:w="3632" w:type="pct"/>
            <w:tcBorders>
              <w:top w:val="nil"/>
              <w:left w:val="nil"/>
              <w:bottom w:val="single" w:color="auto" w:sz="4" w:space="0"/>
              <w:right w:val="single" w:color="auto" w:sz="4" w:space="0"/>
            </w:tcBorders>
            <w:vAlign w:val="center"/>
          </w:tcPr>
          <w:p w14:paraId="6F7A6A3B">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采用新工艺、新技术、新设备、新材料、BIM等的程度满足设计要求，符合施工需要和相应技术标准等规定，经济适用。5分</w:t>
            </w:r>
          </w:p>
          <w:p w14:paraId="696278BC">
            <w:pPr>
              <w:keepNext w:val="0"/>
              <w:keepLines w:val="0"/>
              <w:numPr>
                <w:ilvl w:val="0"/>
                <w:numId w:val="0"/>
              </w:numPr>
              <w:suppressLineNumbers w:val="0"/>
              <w:spacing w:before="0" w:beforeAutospacing="0" w:after="0" w:afterAutospacing="0" w:line="240" w:lineRule="auto"/>
              <w:ind w:left="0" w:right="0"/>
              <w:rPr>
                <w:rFonts w:hint="default"/>
                <w:color w:val="auto"/>
                <w:sz w:val="24"/>
                <w:szCs w:val="24"/>
                <w:lang w:val="en-US" w:eastAsia="zh-CN"/>
              </w:rPr>
            </w:pPr>
            <w:r>
              <w:rPr>
                <w:rFonts w:hint="default"/>
                <w:color w:val="auto"/>
                <w:sz w:val="24"/>
                <w:szCs w:val="24"/>
                <w:lang w:val="en-US" w:eastAsia="zh-CN"/>
              </w:rPr>
              <w:t>采用新工艺、新技术、新设备、新材料、BIM等的程度满足设计要求，基本符合施工要求和相应技术标准等规定。3分</w:t>
            </w:r>
          </w:p>
          <w:p w14:paraId="0979E769">
            <w:pPr>
              <w:pStyle w:val="2"/>
              <w:rPr>
                <w:rFonts w:hint="default"/>
                <w:lang w:val="en-US" w:eastAsia="zh-CN"/>
              </w:rPr>
            </w:pPr>
            <w:r>
              <w:rPr>
                <w:rFonts w:hint="eastAsia"/>
                <w:sz w:val="24"/>
                <w:szCs w:val="24"/>
              </w:rPr>
              <w:t>缺项的，该项为0分；不缺项的，不低于最低分。</w:t>
            </w:r>
          </w:p>
        </w:tc>
      </w:tr>
      <w:tr w14:paraId="2AA07F8C">
        <w:tblPrEx>
          <w:tblCellMar>
            <w:top w:w="0" w:type="dxa"/>
            <w:left w:w="108" w:type="dxa"/>
            <w:bottom w:w="0" w:type="dxa"/>
            <w:right w:w="108" w:type="dxa"/>
          </w:tblCellMar>
        </w:tblPrEx>
        <w:trPr>
          <w:trHeight w:val="557" w:hRule="atLeast"/>
        </w:trPr>
        <w:tc>
          <w:tcPr>
            <w:tcW w:w="554" w:type="pct"/>
            <w:tcBorders>
              <w:top w:val="single" w:color="auto" w:sz="4" w:space="0"/>
              <w:left w:val="single" w:color="auto" w:sz="4" w:space="0"/>
              <w:bottom w:val="single" w:color="auto" w:sz="4" w:space="0"/>
              <w:right w:val="single" w:color="auto" w:sz="4" w:space="0"/>
            </w:tcBorders>
            <w:vAlign w:val="center"/>
          </w:tcPr>
          <w:p w14:paraId="040CFD66">
            <w:pPr>
              <w:keepNext w:val="0"/>
              <w:keepLines w:val="0"/>
              <w:widowControl/>
              <w:suppressLineNumbers w:val="0"/>
              <w:spacing w:before="100" w:beforeAutospacing="1" w:after="100" w:afterAutospacing="1" w:line="240" w:lineRule="auto"/>
              <w:ind w:left="0" w:right="0"/>
              <w:jc w:val="center"/>
              <w:rPr>
                <w:rFonts w:hint="default" w:ascii="宋体" w:hAnsi="宋体" w:cs="宋体"/>
                <w:color w:val="000000"/>
                <w:kern w:val="0"/>
                <w:sz w:val="24"/>
                <w:szCs w:val="18"/>
              </w:rPr>
            </w:pPr>
          </w:p>
        </w:tc>
        <w:tc>
          <w:tcPr>
            <w:tcW w:w="4445" w:type="pct"/>
            <w:gridSpan w:val="2"/>
            <w:tcBorders>
              <w:top w:val="single" w:color="auto" w:sz="4" w:space="0"/>
              <w:left w:val="nil"/>
              <w:bottom w:val="single" w:color="auto" w:sz="4" w:space="0"/>
              <w:right w:val="single" w:color="auto" w:sz="4" w:space="0"/>
            </w:tcBorders>
            <w:vAlign w:val="center"/>
          </w:tcPr>
          <w:p w14:paraId="58977EA3">
            <w:pPr>
              <w:keepNext w:val="0"/>
              <w:keepLines w:val="0"/>
              <w:suppressLineNumbers w:val="0"/>
              <w:adjustRightInd w:val="0"/>
              <w:snapToGrid w:val="0"/>
              <w:spacing w:before="0" w:beforeAutospacing="0" w:after="0" w:afterAutospacing="0" w:line="240" w:lineRule="auto"/>
              <w:ind w:left="0" w:right="0"/>
              <w:rPr>
                <w:rFonts w:hint="default" w:ascii="宋体" w:hAnsi="宋体" w:cs="宋体"/>
                <w:color w:val="000000"/>
                <w:kern w:val="0"/>
                <w:sz w:val="24"/>
              </w:rPr>
            </w:pPr>
            <w:r>
              <w:rPr>
                <w:rFonts w:hint="eastAsia"/>
                <w:sz w:val="24"/>
                <w:szCs w:val="24"/>
              </w:rPr>
              <w:t>备注：以上项目若有缺项的，该项为0分；不缺项的，不低于最低分。</w:t>
            </w:r>
          </w:p>
        </w:tc>
      </w:tr>
      <w:tr w14:paraId="10C2CB15">
        <w:tblPrEx>
          <w:tblCellMar>
            <w:top w:w="0" w:type="dxa"/>
            <w:left w:w="108" w:type="dxa"/>
            <w:bottom w:w="0" w:type="dxa"/>
            <w:right w:w="108" w:type="dxa"/>
          </w:tblCellMar>
        </w:tblPrEx>
        <w:trPr>
          <w:trHeight w:val="995" w:hRule="atLeast"/>
        </w:trPr>
        <w:tc>
          <w:tcPr>
            <w:tcW w:w="554" w:type="pct"/>
            <w:vMerge w:val="restart"/>
            <w:tcBorders>
              <w:top w:val="single" w:color="auto" w:sz="4" w:space="0"/>
              <w:left w:val="single" w:color="auto" w:sz="4" w:space="0"/>
              <w:right w:val="single" w:color="auto" w:sz="4" w:space="0"/>
            </w:tcBorders>
            <w:vAlign w:val="center"/>
          </w:tcPr>
          <w:p w14:paraId="77D4FE30">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r>
              <w:rPr>
                <w:rFonts w:hint="eastAsia" w:ascii="宋体" w:hAnsi="宋体" w:cs="宋体"/>
                <w:color w:val="000000"/>
                <w:kern w:val="0"/>
                <w:sz w:val="24"/>
              </w:rPr>
              <w:t>3</w:t>
            </w:r>
            <w:r>
              <w:rPr>
                <w:rFonts w:hint="eastAsia" w:ascii="宋体" w:hAnsi="宋体" w:cs="宋体"/>
                <w:kern w:val="0"/>
                <w:sz w:val="24"/>
              </w:rPr>
              <w:t>、</w:t>
            </w:r>
            <w:r>
              <w:rPr>
                <w:rFonts w:hint="eastAsia" w:ascii="宋体" w:hAnsi="宋体" w:cs="宋体"/>
                <w:kern w:val="0"/>
                <w:sz w:val="24"/>
                <w:lang w:val="en-US" w:eastAsia="zh-CN"/>
              </w:rPr>
              <w:t>综合</w:t>
            </w:r>
            <w:r>
              <w:rPr>
                <w:rFonts w:hint="eastAsia" w:ascii="宋体" w:hAnsi="宋体" w:cs="宋体"/>
                <w:kern w:val="0"/>
                <w:sz w:val="24"/>
              </w:rPr>
              <w:t>标评审（</w:t>
            </w:r>
            <w:r>
              <w:rPr>
                <w:rFonts w:hint="eastAsia" w:ascii="宋体" w:hAnsi="宋体" w:cs="宋体"/>
                <w:kern w:val="0"/>
                <w:sz w:val="24"/>
                <w:lang w:val="en-US" w:eastAsia="zh-CN"/>
              </w:rPr>
              <w:t>20</w:t>
            </w:r>
            <w:r>
              <w:rPr>
                <w:rFonts w:hint="eastAsia" w:ascii="宋体" w:hAnsi="宋体" w:cs="宋体"/>
                <w:kern w:val="0"/>
                <w:sz w:val="24"/>
              </w:rPr>
              <w:t>分）</w:t>
            </w:r>
          </w:p>
        </w:tc>
        <w:tc>
          <w:tcPr>
            <w:tcW w:w="812" w:type="pct"/>
            <w:tcBorders>
              <w:top w:val="single" w:color="auto" w:sz="4" w:space="0"/>
              <w:left w:val="nil"/>
              <w:bottom w:val="single" w:color="auto" w:sz="4" w:space="0"/>
              <w:right w:val="single" w:color="auto" w:sz="4" w:space="0"/>
            </w:tcBorders>
            <w:vAlign w:val="center"/>
          </w:tcPr>
          <w:p w14:paraId="27606B79">
            <w:pPr>
              <w:keepNext w:val="0"/>
              <w:keepLines w:val="0"/>
              <w:suppressLineNumbers w:val="0"/>
              <w:spacing w:before="0" w:beforeAutospacing="0" w:after="0" w:afterAutospacing="0" w:line="240" w:lineRule="auto"/>
              <w:ind w:left="0" w:right="0"/>
              <w:rPr>
                <w:rFonts w:hint="default"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lang w:val="en-US" w:eastAsia="zh-CN"/>
              </w:rPr>
              <w:t>企业</w:t>
            </w:r>
            <w:r>
              <w:rPr>
                <w:rFonts w:hint="eastAsia" w:asciiTheme="minorEastAsia" w:hAnsiTheme="minorEastAsia" w:eastAsiaTheme="minorEastAsia" w:cstheme="minorEastAsia"/>
                <w:sz w:val="24"/>
                <w:szCs w:val="24"/>
              </w:rPr>
              <w:t>业绩（</w:t>
            </w:r>
            <w:r>
              <w:rPr>
                <w:rFonts w:hint="eastAsia" w:asciiTheme="minorEastAsia" w:hAnsiTheme="minorEastAsia" w:cstheme="minorEastAsia"/>
                <w:sz w:val="24"/>
                <w:szCs w:val="24"/>
                <w:lang w:val="en-US" w:eastAsia="zh-CN"/>
              </w:rPr>
              <w:t>6</w:t>
            </w:r>
            <w:r>
              <w:rPr>
                <w:rFonts w:hint="eastAsia" w:asciiTheme="minorEastAsia" w:hAnsiTheme="minorEastAsia" w:eastAsiaTheme="minorEastAsia" w:cstheme="minorEastAsia"/>
                <w:sz w:val="24"/>
                <w:szCs w:val="24"/>
              </w:rPr>
              <w:t>分）</w:t>
            </w:r>
          </w:p>
        </w:tc>
        <w:tc>
          <w:tcPr>
            <w:tcW w:w="3632" w:type="pct"/>
            <w:tcBorders>
              <w:top w:val="single" w:color="auto" w:sz="4" w:space="0"/>
              <w:left w:val="nil"/>
              <w:bottom w:val="single" w:color="auto" w:sz="4" w:space="0"/>
              <w:right w:val="single" w:color="auto" w:sz="4" w:space="0"/>
            </w:tcBorders>
          </w:tcPr>
          <w:p w14:paraId="73A7B986">
            <w:pPr>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投标人自202</w:t>
            </w:r>
            <w:r>
              <w:rPr>
                <w:rFonts w:hint="eastAsia" w:ascii="宋体" w:hAnsi="宋体" w:cs="宋体"/>
                <w:sz w:val="24"/>
                <w:lang w:val="en-US" w:eastAsia="zh-CN"/>
              </w:rPr>
              <w:t>2</w:t>
            </w:r>
            <w:r>
              <w:rPr>
                <w:rFonts w:hint="default" w:ascii="宋体" w:hAnsi="宋体" w:cs="宋体"/>
                <w:sz w:val="24"/>
                <w:lang w:val="en-US" w:eastAsia="zh-CN"/>
              </w:rPr>
              <w:t>年1月1日以来完成过类似工程业绩的，每提供一项得2分，最多得</w:t>
            </w:r>
            <w:r>
              <w:rPr>
                <w:rFonts w:hint="eastAsia" w:ascii="宋体" w:hAnsi="宋体" w:cs="宋体"/>
                <w:sz w:val="24"/>
                <w:lang w:val="en-US" w:eastAsia="zh-CN"/>
              </w:rPr>
              <w:t>6</w:t>
            </w:r>
            <w:r>
              <w:rPr>
                <w:rFonts w:hint="default" w:ascii="宋体" w:hAnsi="宋体" w:cs="宋体"/>
                <w:sz w:val="24"/>
                <w:lang w:val="en-US" w:eastAsia="zh-CN"/>
              </w:rPr>
              <w:t>分（以中标通知书或建设工程施工合同为准。）</w:t>
            </w:r>
          </w:p>
        </w:tc>
      </w:tr>
      <w:tr w14:paraId="0870C757">
        <w:tblPrEx>
          <w:tblCellMar>
            <w:top w:w="0" w:type="dxa"/>
            <w:left w:w="108" w:type="dxa"/>
            <w:bottom w:w="0" w:type="dxa"/>
            <w:right w:w="108" w:type="dxa"/>
          </w:tblCellMar>
        </w:tblPrEx>
        <w:trPr>
          <w:trHeight w:val="1067" w:hRule="atLeast"/>
        </w:trPr>
        <w:tc>
          <w:tcPr>
            <w:tcW w:w="554" w:type="pct"/>
            <w:vMerge w:val="continue"/>
            <w:tcBorders>
              <w:left w:val="single" w:color="auto" w:sz="4" w:space="0"/>
              <w:right w:val="single" w:color="auto" w:sz="4" w:space="0"/>
            </w:tcBorders>
            <w:vAlign w:val="center"/>
          </w:tcPr>
          <w:p w14:paraId="40686136">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bottom w:val="single" w:color="auto" w:sz="4" w:space="0"/>
              <w:right w:val="single" w:color="auto" w:sz="4" w:space="0"/>
            </w:tcBorders>
            <w:vAlign w:val="center"/>
          </w:tcPr>
          <w:p w14:paraId="48F99413">
            <w:pPr>
              <w:keepNext w:val="0"/>
              <w:keepLines w:val="0"/>
              <w:suppressLineNumbers w:val="0"/>
              <w:spacing w:before="0" w:beforeAutospacing="0" w:after="0" w:afterAutospacing="0" w:line="240" w:lineRule="auto"/>
              <w:ind w:left="0" w:right="0"/>
              <w:jc w:val="center"/>
              <w:rPr>
                <w:rFonts w:hint="default" w:ascii="宋体" w:hAnsi="宋体" w:cs="宋体"/>
                <w:kern w:val="0"/>
                <w:sz w:val="24"/>
                <w:szCs w:val="24"/>
              </w:rPr>
            </w:pPr>
            <w:r>
              <w:rPr>
                <w:rFonts w:hint="eastAsia" w:ascii="宋体" w:hAnsi="宋体" w:cs="宋体"/>
                <w:kern w:val="0"/>
                <w:sz w:val="24"/>
                <w:szCs w:val="24"/>
              </w:rPr>
              <w:t>项目经理业绩(</w:t>
            </w:r>
            <w:r>
              <w:rPr>
                <w:rFonts w:hint="eastAsia" w:ascii="宋体" w:hAnsi="宋体" w:cs="宋体"/>
                <w:kern w:val="0"/>
                <w:sz w:val="24"/>
                <w:szCs w:val="24"/>
                <w:lang w:val="en-US" w:eastAsia="zh-CN"/>
              </w:rPr>
              <w:t>4</w:t>
            </w:r>
            <w:r>
              <w:rPr>
                <w:rFonts w:hint="eastAsia" w:ascii="宋体" w:hAnsi="宋体" w:cs="宋体"/>
                <w:kern w:val="0"/>
                <w:sz w:val="24"/>
                <w:szCs w:val="24"/>
              </w:rPr>
              <w:t>分)</w:t>
            </w:r>
          </w:p>
        </w:tc>
        <w:tc>
          <w:tcPr>
            <w:tcW w:w="3632" w:type="pct"/>
            <w:tcBorders>
              <w:top w:val="single" w:color="auto" w:sz="4" w:space="0"/>
              <w:left w:val="nil"/>
              <w:bottom w:val="single" w:color="auto" w:sz="4" w:space="0"/>
              <w:right w:val="single" w:color="auto" w:sz="4" w:space="0"/>
            </w:tcBorders>
            <w:vAlign w:val="center"/>
          </w:tcPr>
          <w:p w14:paraId="5BA02037">
            <w:pPr>
              <w:keepNext w:val="0"/>
              <w:keepLines w:val="0"/>
              <w:suppressLineNumbers w:val="0"/>
              <w:spacing w:before="0" w:beforeAutospacing="0" w:after="0" w:afterAutospacing="0" w:line="240" w:lineRule="auto"/>
              <w:ind w:left="0" w:right="0"/>
              <w:jc w:val="left"/>
              <w:rPr>
                <w:rFonts w:hint="default" w:ascii="宋体" w:hAnsi="宋体"/>
              </w:rPr>
            </w:pPr>
            <w:r>
              <w:rPr>
                <w:rFonts w:hint="default" w:ascii="宋体" w:hAnsi="宋体"/>
                <w:sz w:val="24"/>
                <w:szCs w:val="24"/>
                <w:lang w:val="en-US" w:eastAsia="zh-CN"/>
              </w:rPr>
              <w:t>供应商202</w:t>
            </w:r>
            <w:r>
              <w:rPr>
                <w:rFonts w:hint="eastAsia" w:ascii="宋体" w:hAnsi="宋体"/>
                <w:sz w:val="24"/>
                <w:szCs w:val="24"/>
                <w:lang w:val="en-US" w:eastAsia="zh-CN"/>
              </w:rPr>
              <w:t>2</w:t>
            </w:r>
            <w:r>
              <w:rPr>
                <w:rFonts w:hint="default" w:ascii="宋体" w:hAnsi="宋体"/>
                <w:sz w:val="24"/>
                <w:szCs w:val="24"/>
                <w:lang w:val="en-US" w:eastAsia="zh-CN"/>
              </w:rPr>
              <w:t>年1月1日以来类似项目业绩，每提供一份得2分，（需提供中标通知书、施工合同）满分</w:t>
            </w:r>
            <w:r>
              <w:rPr>
                <w:rFonts w:hint="eastAsia" w:ascii="宋体" w:hAnsi="宋体"/>
                <w:sz w:val="24"/>
                <w:szCs w:val="24"/>
                <w:lang w:val="en-US" w:eastAsia="zh-CN"/>
              </w:rPr>
              <w:t>4</w:t>
            </w:r>
            <w:r>
              <w:rPr>
                <w:rFonts w:hint="default" w:ascii="宋体" w:hAnsi="宋体"/>
                <w:sz w:val="24"/>
                <w:szCs w:val="24"/>
                <w:lang w:val="en-US" w:eastAsia="zh-CN"/>
              </w:rPr>
              <w:t>分，缺项不得分</w:t>
            </w:r>
            <w:r>
              <w:rPr>
                <w:rFonts w:hint="eastAsia" w:ascii="宋体" w:hAnsi="宋体"/>
                <w:sz w:val="24"/>
                <w:szCs w:val="24"/>
                <w:lang w:val="en-US" w:eastAsia="zh-CN"/>
              </w:rPr>
              <w:t>。</w:t>
            </w:r>
            <w:r>
              <w:rPr>
                <w:rFonts w:hint="default" w:ascii="宋体" w:hAnsi="宋体"/>
                <w:sz w:val="24"/>
                <w:szCs w:val="24"/>
                <w:lang w:val="en-US" w:eastAsia="zh-CN"/>
              </w:rPr>
              <w:t>（项目经理业绩与企业业绩不重复计分）</w:t>
            </w:r>
          </w:p>
        </w:tc>
      </w:tr>
      <w:tr w14:paraId="2FBD0079">
        <w:tblPrEx>
          <w:tblCellMar>
            <w:top w:w="0" w:type="dxa"/>
            <w:left w:w="108" w:type="dxa"/>
            <w:bottom w:w="0" w:type="dxa"/>
            <w:right w:w="108" w:type="dxa"/>
          </w:tblCellMar>
        </w:tblPrEx>
        <w:trPr>
          <w:trHeight w:val="771" w:hRule="atLeast"/>
        </w:trPr>
        <w:tc>
          <w:tcPr>
            <w:tcW w:w="554" w:type="pct"/>
            <w:vMerge w:val="continue"/>
            <w:tcBorders>
              <w:left w:val="single" w:color="auto" w:sz="4" w:space="0"/>
              <w:right w:val="single" w:color="auto" w:sz="4" w:space="0"/>
            </w:tcBorders>
            <w:vAlign w:val="center"/>
          </w:tcPr>
          <w:p w14:paraId="4826F76E">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3EEE383C">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default" w:ascii="宋体" w:hAnsi="宋体" w:cs="宋体"/>
                <w:sz w:val="24"/>
              </w:rPr>
              <w:t>优惠承诺</w:t>
            </w:r>
          </w:p>
          <w:p w14:paraId="11B87F00">
            <w:pPr>
              <w:keepNext w:val="0"/>
              <w:keepLines w:val="0"/>
              <w:suppressLineNumbers w:val="0"/>
              <w:spacing w:before="0" w:beforeAutospacing="0" w:after="0" w:afterAutospacing="0" w:line="240" w:lineRule="auto"/>
              <w:ind w:left="0" w:right="0"/>
              <w:jc w:val="center"/>
              <w:rPr>
                <w:rFonts w:hint="default" w:ascii="宋体" w:hAnsi="宋体" w:cs="宋体"/>
                <w:sz w:val="24"/>
              </w:rPr>
            </w:pPr>
            <w:r>
              <w:rPr>
                <w:rFonts w:hint="eastAsia" w:ascii="宋体" w:hAnsi="宋体" w:cs="宋体"/>
                <w:sz w:val="24"/>
              </w:rPr>
              <w:t>（</w:t>
            </w:r>
            <w:r>
              <w:rPr>
                <w:rFonts w:hint="eastAsia" w:ascii="宋体" w:hAnsi="宋体" w:cs="宋体"/>
                <w:sz w:val="24"/>
                <w:lang w:val="en-US" w:eastAsia="zh-CN"/>
              </w:rPr>
              <w:t>0-2</w:t>
            </w:r>
            <w:r>
              <w:rPr>
                <w:rFonts w:hint="eastAsia" w:ascii="宋体" w:hAnsi="宋体" w:cs="宋体"/>
                <w:sz w:val="24"/>
              </w:rPr>
              <w:t>分）</w:t>
            </w:r>
          </w:p>
        </w:tc>
        <w:tc>
          <w:tcPr>
            <w:tcW w:w="3632" w:type="pct"/>
            <w:tcBorders>
              <w:top w:val="single" w:color="auto" w:sz="4" w:space="0"/>
              <w:left w:val="nil"/>
              <w:bottom w:val="single" w:color="auto" w:sz="4" w:space="0"/>
              <w:right w:val="single" w:color="auto" w:sz="4" w:space="0"/>
            </w:tcBorders>
            <w:vAlign w:val="center"/>
          </w:tcPr>
          <w:p w14:paraId="5149F1FC">
            <w:pPr>
              <w:pStyle w:val="222"/>
              <w:keepNext w:val="0"/>
              <w:keepLines w:val="0"/>
              <w:suppressLineNumbers w:val="0"/>
              <w:spacing w:before="0" w:beforeAutospacing="0" w:after="0" w:afterAutospacing="0" w:line="240" w:lineRule="auto"/>
              <w:ind w:left="0" w:right="0"/>
              <w:rPr>
                <w:rFonts w:hint="default" w:ascii="宋体" w:hAnsi="宋体" w:cs="宋体"/>
                <w:sz w:val="24"/>
              </w:rPr>
            </w:pPr>
            <w:r>
              <w:rPr>
                <w:rFonts w:hint="default" w:ascii="宋体" w:hAnsi="宋体" w:cs="宋体"/>
                <w:sz w:val="24"/>
                <w:lang w:val="en-US" w:eastAsia="zh-CN"/>
              </w:rPr>
              <w:t>优惠承诺符合工程实际情况，确保依法依规，优惠合理，详实可行得</w:t>
            </w:r>
            <w:r>
              <w:rPr>
                <w:rFonts w:hint="eastAsia" w:ascii="宋体" w:hAnsi="宋体" w:cs="宋体"/>
                <w:sz w:val="24"/>
                <w:lang w:val="en-US" w:eastAsia="zh-CN"/>
              </w:rPr>
              <w:t>2</w:t>
            </w:r>
            <w:r>
              <w:rPr>
                <w:rFonts w:hint="default" w:ascii="宋体" w:hAnsi="宋体" w:cs="宋体"/>
                <w:sz w:val="24"/>
                <w:lang w:val="en-US" w:eastAsia="zh-CN"/>
              </w:rPr>
              <w:t>分；基本可行得</w:t>
            </w:r>
            <w:r>
              <w:rPr>
                <w:rFonts w:hint="eastAsia" w:ascii="宋体" w:hAnsi="宋体" w:cs="宋体"/>
                <w:sz w:val="24"/>
                <w:lang w:val="en-US" w:eastAsia="zh-CN"/>
              </w:rPr>
              <w:t>1</w:t>
            </w:r>
            <w:r>
              <w:rPr>
                <w:rFonts w:hint="default" w:ascii="宋体" w:hAnsi="宋体" w:cs="宋体"/>
                <w:sz w:val="24"/>
                <w:lang w:val="en-US" w:eastAsia="zh-CN"/>
              </w:rPr>
              <w:t>分；没有不得分。</w:t>
            </w:r>
          </w:p>
        </w:tc>
      </w:tr>
      <w:tr w14:paraId="198961BC">
        <w:tblPrEx>
          <w:tblCellMar>
            <w:top w:w="0" w:type="dxa"/>
            <w:left w:w="108" w:type="dxa"/>
            <w:bottom w:w="0" w:type="dxa"/>
            <w:right w:w="108" w:type="dxa"/>
          </w:tblCellMar>
        </w:tblPrEx>
        <w:trPr>
          <w:trHeight w:val="971" w:hRule="atLeast"/>
        </w:trPr>
        <w:tc>
          <w:tcPr>
            <w:tcW w:w="554" w:type="pct"/>
            <w:vMerge w:val="continue"/>
            <w:tcBorders>
              <w:left w:val="single" w:color="auto" w:sz="4" w:space="0"/>
              <w:right w:val="single" w:color="auto" w:sz="4" w:space="0"/>
            </w:tcBorders>
            <w:vAlign w:val="center"/>
          </w:tcPr>
          <w:p w14:paraId="6D549589">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5A10349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合理化建议（0-3）</w:t>
            </w:r>
          </w:p>
        </w:tc>
        <w:tc>
          <w:tcPr>
            <w:tcW w:w="3632" w:type="pct"/>
            <w:tcBorders>
              <w:top w:val="single" w:color="auto" w:sz="4" w:space="0"/>
              <w:left w:val="nil"/>
              <w:bottom w:val="single" w:color="auto" w:sz="4" w:space="0"/>
              <w:right w:val="single" w:color="auto" w:sz="4" w:space="0"/>
            </w:tcBorders>
            <w:vAlign w:val="center"/>
          </w:tcPr>
          <w:p w14:paraId="32A09F72">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科学、合理、满足要求的得</w:t>
            </w:r>
            <w:r>
              <w:rPr>
                <w:rFonts w:hint="eastAsia" w:ascii="宋体" w:hAnsi="宋体" w:cs="宋体"/>
                <w:sz w:val="24"/>
                <w:lang w:val="en-US" w:eastAsia="zh-CN"/>
              </w:rPr>
              <w:t>3</w:t>
            </w:r>
            <w:r>
              <w:rPr>
                <w:rFonts w:hint="default" w:ascii="宋体" w:hAnsi="宋体" w:cs="宋体"/>
                <w:sz w:val="24"/>
                <w:lang w:val="en-US" w:eastAsia="zh-CN"/>
              </w:rPr>
              <w:t>分；基本合理、基本满足要求的得</w:t>
            </w:r>
            <w:r>
              <w:rPr>
                <w:rFonts w:hint="eastAsia" w:ascii="宋体" w:hAnsi="宋体" w:cs="宋体"/>
                <w:sz w:val="24"/>
                <w:lang w:val="en-US" w:eastAsia="zh-CN"/>
              </w:rPr>
              <w:t>1</w:t>
            </w:r>
            <w:r>
              <w:rPr>
                <w:rFonts w:hint="default" w:ascii="宋体" w:hAnsi="宋体" w:cs="宋体"/>
                <w:sz w:val="24"/>
                <w:lang w:val="en-US" w:eastAsia="zh-CN"/>
              </w:rPr>
              <w:t>分；没有不得分</w:t>
            </w:r>
            <w:r>
              <w:rPr>
                <w:rFonts w:hint="eastAsia" w:ascii="宋体" w:hAnsi="宋体" w:cs="宋体"/>
                <w:sz w:val="24"/>
                <w:lang w:val="en-US" w:eastAsia="zh-CN"/>
              </w:rPr>
              <w:t>。</w:t>
            </w:r>
          </w:p>
        </w:tc>
      </w:tr>
      <w:tr w14:paraId="7060CA11">
        <w:tblPrEx>
          <w:tblCellMar>
            <w:top w:w="0" w:type="dxa"/>
            <w:left w:w="108" w:type="dxa"/>
            <w:bottom w:w="0" w:type="dxa"/>
            <w:right w:w="108" w:type="dxa"/>
          </w:tblCellMar>
        </w:tblPrEx>
        <w:trPr>
          <w:trHeight w:val="2006" w:hRule="atLeast"/>
        </w:trPr>
        <w:tc>
          <w:tcPr>
            <w:tcW w:w="554" w:type="pct"/>
            <w:vMerge w:val="continue"/>
            <w:tcBorders>
              <w:left w:val="single" w:color="auto" w:sz="4" w:space="0"/>
              <w:right w:val="single" w:color="auto" w:sz="4" w:space="0"/>
            </w:tcBorders>
            <w:vAlign w:val="center"/>
          </w:tcPr>
          <w:p w14:paraId="56D68A02">
            <w:pPr>
              <w:keepNext w:val="0"/>
              <w:keepLines w:val="0"/>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812" w:type="pct"/>
            <w:tcBorders>
              <w:top w:val="single" w:color="auto" w:sz="4" w:space="0"/>
              <w:left w:val="nil"/>
              <w:right w:val="single" w:color="auto" w:sz="4" w:space="0"/>
            </w:tcBorders>
            <w:vAlign w:val="center"/>
          </w:tcPr>
          <w:p w14:paraId="079B08E4">
            <w:pPr>
              <w:keepNext w:val="0"/>
              <w:keepLines w:val="0"/>
              <w:suppressLineNumbers w:val="0"/>
              <w:spacing w:before="0" w:beforeAutospacing="0" w:after="0" w:afterAutospacing="0" w:line="240" w:lineRule="auto"/>
              <w:ind w:left="0" w:right="0"/>
              <w:jc w:val="center"/>
              <w:rPr>
                <w:rFonts w:hint="eastAsia" w:ascii="宋体" w:hAnsi="宋体" w:cs="宋体"/>
                <w:sz w:val="24"/>
              </w:rPr>
            </w:pPr>
            <w:r>
              <w:rPr>
                <w:rFonts w:hint="eastAsia" w:ascii="宋体" w:hAnsi="宋体" w:cs="宋体"/>
                <w:sz w:val="24"/>
                <w:lang w:val="en-US" w:eastAsia="zh-CN"/>
              </w:rPr>
              <w:t>履职尽责承诺（0-5分）</w:t>
            </w:r>
          </w:p>
          <w:p w14:paraId="73F4D693">
            <w:pPr>
              <w:keepNext w:val="0"/>
              <w:keepLines w:val="0"/>
              <w:suppressLineNumbers w:val="0"/>
              <w:spacing w:before="0" w:beforeAutospacing="0" w:after="0" w:afterAutospacing="0" w:line="240" w:lineRule="auto"/>
              <w:ind w:left="0" w:right="0"/>
              <w:jc w:val="center"/>
              <w:rPr>
                <w:rFonts w:hint="eastAsia" w:ascii="宋体" w:hAnsi="宋体" w:cs="宋体"/>
                <w:sz w:val="24"/>
              </w:rPr>
            </w:pPr>
          </w:p>
        </w:tc>
        <w:tc>
          <w:tcPr>
            <w:tcW w:w="3632" w:type="pct"/>
            <w:tcBorders>
              <w:top w:val="single" w:color="auto" w:sz="4" w:space="0"/>
              <w:left w:val="nil"/>
              <w:bottom w:val="single" w:color="auto" w:sz="4" w:space="0"/>
              <w:right w:val="single" w:color="auto" w:sz="4" w:space="0"/>
            </w:tcBorders>
            <w:vAlign w:val="center"/>
          </w:tcPr>
          <w:p w14:paraId="3167511E">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具有全面、详实、可行、合法有效的书面保证技术措施落实到位的承诺和落实不到位的处理承诺，其中包括各关键岗位人员（项目经理及相关技术人员）的在岗、更换等履职尽责承诺，提供响应人履约保证得5分；</w:t>
            </w:r>
          </w:p>
          <w:p w14:paraId="46C6A717">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保证技术措施落实到位的承诺和落实不到位的处理承诺不够全面、详尽、无具体措施、不可行的，得3分；</w:t>
            </w:r>
          </w:p>
          <w:p w14:paraId="02702B8D">
            <w:pPr>
              <w:pStyle w:val="222"/>
              <w:keepNext w:val="0"/>
              <w:keepLines w:val="0"/>
              <w:suppressLineNumbers w:val="0"/>
              <w:spacing w:before="0" w:beforeAutospacing="0" w:after="0" w:afterAutospacing="0" w:line="240" w:lineRule="auto"/>
              <w:ind w:left="0" w:right="0"/>
              <w:rPr>
                <w:rFonts w:hint="default" w:ascii="宋体" w:hAnsi="宋体" w:cs="宋体"/>
                <w:sz w:val="24"/>
                <w:lang w:val="en-US" w:eastAsia="zh-CN"/>
              </w:rPr>
            </w:pPr>
            <w:r>
              <w:rPr>
                <w:rFonts w:hint="default" w:ascii="宋体" w:hAnsi="宋体" w:cs="宋体"/>
                <w:sz w:val="24"/>
                <w:lang w:val="en-US" w:eastAsia="zh-CN"/>
              </w:rPr>
              <w:t>承诺不合理、不科学的不得分。</w:t>
            </w:r>
          </w:p>
        </w:tc>
      </w:tr>
      <w:tr w14:paraId="64FEA2F5">
        <w:tblPrEx>
          <w:tblCellMar>
            <w:top w:w="0" w:type="dxa"/>
            <w:left w:w="108" w:type="dxa"/>
            <w:bottom w:w="0" w:type="dxa"/>
            <w:right w:w="108" w:type="dxa"/>
          </w:tblCellMar>
        </w:tblPrEx>
        <w:trPr>
          <w:trHeight w:val="485" w:hRule="atLeast"/>
        </w:trPr>
        <w:tc>
          <w:tcPr>
            <w:tcW w:w="554" w:type="pct"/>
            <w:vMerge w:val="continue"/>
            <w:tcBorders>
              <w:left w:val="single" w:color="auto" w:sz="4" w:space="0"/>
              <w:bottom w:val="single" w:color="auto" w:sz="4" w:space="0"/>
              <w:right w:val="single" w:color="auto" w:sz="4" w:space="0"/>
            </w:tcBorders>
            <w:vAlign w:val="center"/>
          </w:tcPr>
          <w:p w14:paraId="73F073C7">
            <w:pPr>
              <w:keepNext w:val="0"/>
              <w:keepLines w:val="0"/>
              <w:widowControl/>
              <w:suppressLineNumbers w:val="0"/>
              <w:spacing w:before="0" w:beforeAutospacing="0" w:after="0" w:afterAutospacing="0" w:line="240" w:lineRule="auto"/>
              <w:ind w:left="0" w:right="0"/>
              <w:jc w:val="center"/>
              <w:rPr>
                <w:rFonts w:hint="default" w:ascii="宋体" w:hAnsi="宋体" w:cs="宋体"/>
                <w:color w:val="000000"/>
                <w:kern w:val="0"/>
                <w:sz w:val="24"/>
              </w:rPr>
            </w:pPr>
          </w:p>
        </w:tc>
        <w:tc>
          <w:tcPr>
            <w:tcW w:w="4445" w:type="pct"/>
            <w:gridSpan w:val="2"/>
            <w:tcBorders>
              <w:top w:val="single" w:color="auto" w:sz="4" w:space="0"/>
              <w:left w:val="nil"/>
              <w:bottom w:val="single" w:color="auto" w:sz="4" w:space="0"/>
              <w:right w:val="single" w:color="auto" w:sz="4" w:space="0"/>
            </w:tcBorders>
            <w:vAlign w:val="center"/>
          </w:tcPr>
          <w:p w14:paraId="7639C376">
            <w:pPr>
              <w:keepNext w:val="0"/>
              <w:keepLines w:val="0"/>
              <w:suppressLineNumbers w:val="0"/>
              <w:spacing w:before="0" w:beforeAutospacing="0" w:after="0" w:afterAutospacing="0" w:line="240" w:lineRule="auto"/>
              <w:ind w:left="0" w:right="0"/>
              <w:jc w:val="left"/>
              <w:rPr>
                <w:rFonts w:hint="default" w:ascii="宋体" w:hAnsi="宋体" w:cs="宋体"/>
                <w:kern w:val="0"/>
                <w:sz w:val="24"/>
                <w:szCs w:val="24"/>
              </w:rPr>
            </w:pPr>
            <w:r>
              <w:rPr>
                <w:rFonts w:hint="eastAsia"/>
                <w:sz w:val="24"/>
                <w:szCs w:val="24"/>
              </w:rPr>
              <w:t>备注：以上项目若有缺项的，该项为0分；不缺项的，不低于最低分。</w:t>
            </w:r>
          </w:p>
        </w:tc>
      </w:tr>
    </w:tbl>
    <w:p w14:paraId="205AB6FA">
      <w:pPr>
        <w:widowControl/>
        <w:spacing w:line="500" w:lineRule="exact"/>
        <w:ind w:firstLine="425"/>
        <w:jc w:val="left"/>
        <w:rPr>
          <w:rFonts w:ascii="宋体" w:hAnsi="宋体" w:eastAsia="宋体" w:cs="Times New Roman"/>
          <w:kern w:val="0"/>
          <w:sz w:val="24"/>
        </w:rPr>
      </w:pPr>
    </w:p>
    <w:p w14:paraId="18BA1722">
      <w:pPr>
        <w:rPr>
          <w:rFonts w:hint="eastAsia" w:ascii="宋体" w:hAnsi="宋体" w:cs="宋体"/>
          <w:b/>
          <w:bCs/>
          <w:kern w:val="0"/>
          <w:sz w:val="24"/>
        </w:rPr>
      </w:pPr>
      <w:r>
        <w:rPr>
          <w:rFonts w:hint="eastAsia" w:ascii="宋体" w:hAnsi="宋体" w:cs="宋体"/>
          <w:b/>
          <w:bCs/>
          <w:kern w:val="0"/>
          <w:sz w:val="24"/>
        </w:rPr>
        <w:t>注：评标过程中涉及到资格审查、企业荣誉、人员业绩、企业业绩等计分部分时，以投标单位自行上传到响应文件中的相应内容为准。</w:t>
      </w:r>
    </w:p>
    <w:bookmarkEnd w:id="111"/>
    <w:p w14:paraId="3F22E547">
      <w:pPr>
        <w:jc w:val="left"/>
        <w:outlineLvl w:val="1"/>
        <w:rPr>
          <w:rFonts w:ascii="宋体" w:hAnsi="宋体" w:cs="宋体"/>
          <w:b/>
          <w:bCs/>
          <w:kern w:val="0"/>
          <w:sz w:val="24"/>
        </w:rPr>
      </w:pPr>
      <w:bookmarkStart w:id="179" w:name="_bookmark84"/>
      <w:bookmarkEnd w:id="179"/>
      <w:bookmarkStart w:id="180" w:name="_Toc23724"/>
      <w:bookmarkStart w:id="181" w:name="_Toc20564"/>
    </w:p>
    <w:p w14:paraId="0F09A197">
      <w:pPr>
        <w:ind w:firstLine="482" w:firstLineChars="200"/>
        <w:jc w:val="left"/>
        <w:outlineLvl w:val="1"/>
        <w:rPr>
          <w:rFonts w:ascii="宋体" w:hAnsi="宋体" w:cs="宋体"/>
          <w:kern w:val="0"/>
          <w:sz w:val="24"/>
        </w:rPr>
      </w:pPr>
      <w:r>
        <w:rPr>
          <w:rFonts w:hint="eastAsia" w:ascii="宋体" w:hAnsi="宋体" w:cs="宋体"/>
          <w:b/>
          <w:bCs/>
          <w:kern w:val="0"/>
          <w:sz w:val="24"/>
        </w:rPr>
        <w:t>1. 评标方法</w:t>
      </w:r>
      <w:bookmarkEnd w:id="180"/>
      <w:bookmarkEnd w:id="181"/>
    </w:p>
    <w:p w14:paraId="538C88E1">
      <w:pPr>
        <w:adjustRightInd w:val="0"/>
        <w:snapToGrid w:val="0"/>
        <w:spacing w:line="500" w:lineRule="exact"/>
        <w:ind w:firstLine="480" w:firstLineChars="200"/>
        <w:jc w:val="left"/>
        <w:rPr>
          <w:rFonts w:ascii="宋体" w:cs="宋体"/>
          <w:sz w:val="24"/>
        </w:rPr>
      </w:pPr>
      <w:r>
        <w:rPr>
          <w:rFonts w:hint="eastAsia" w:ascii="宋体" w:hAnsi="宋体" w:cs="宋体"/>
          <w:sz w:val="24"/>
        </w:rPr>
        <w:t>评标委员会对满足</w:t>
      </w:r>
      <w:r>
        <w:rPr>
          <w:rFonts w:hint="eastAsia" w:ascii="宋体" w:hAnsi="宋体" w:cs="宋体"/>
          <w:sz w:val="24"/>
          <w:lang w:eastAsia="zh-CN"/>
        </w:rPr>
        <w:t>竞争性磋商文件</w:t>
      </w:r>
      <w:r>
        <w:rPr>
          <w:rFonts w:hint="eastAsia" w:ascii="宋体" w:hAnsi="宋体" w:cs="宋体"/>
          <w:sz w:val="24"/>
        </w:rPr>
        <w:t>实质性要求的</w:t>
      </w:r>
      <w:r>
        <w:rPr>
          <w:rFonts w:hint="eastAsia" w:ascii="宋体" w:hAnsi="宋体" w:cs="宋体"/>
          <w:sz w:val="24"/>
          <w:lang w:eastAsia="zh-CN"/>
        </w:rPr>
        <w:t>响应文件</w:t>
      </w:r>
      <w:r>
        <w:rPr>
          <w:rFonts w:hint="eastAsia" w:ascii="宋体" w:hAnsi="宋体" w:cs="宋体"/>
          <w:sz w:val="24"/>
        </w:rPr>
        <w:t>，按照本章第2.2款规定的评分标准进行打分，并按得分由高到低顺序推荐1-3名中标候选人。综合评分相等时，以投标总报价低的优先；投标总报价也相等的，由</w:t>
      </w:r>
      <w:r>
        <w:rPr>
          <w:rFonts w:hint="eastAsia" w:ascii="宋体" w:hAnsi="宋体" w:cs="宋体"/>
          <w:sz w:val="24"/>
          <w:lang w:eastAsia="zh-CN"/>
        </w:rPr>
        <w:t>采购人</w:t>
      </w:r>
      <w:r>
        <w:rPr>
          <w:rFonts w:hint="eastAsia" w:ascii="宋体" w:hAnsi="宋体" w:cs="宋体"/>
          <w:sz w:val="24"/>
        </w:rPr>
        <w:t>自行确定。</w:t>
      </w:r>
    </w:p>
    <w:p w14:paraId="3184A6E1">
      <w:pPr>
        <w:pStyle w:val="6"/>
        <w:adjustRightInd w:val="0"/>
        <w:snapToGrid w:val="0"/>
        <w:spacing w:line="500" w:lineRule="exact"/>
        <w:ind w:firstLine="482" w:firstLineChars="200"/>
        <w:jc w:val="left"/>
        <w:rPr>
          <w:rFonts w:ascii="宋体" w:hAnsi="宋体" w:cs="宋体"/>
          <w:sz w:val="24"/>
          <w:szCs w:val="24"/>
        </w:rPr>
      </w:pPr>
      <w:bookmarkStart w:id="182" w:name="_Toc1224"/>
      <w:bookmarkStart w:id="183" w:name="_Toc11820"/>
      <w:bookmarkStart w:id="184" w:name="_Toc381809952"/>
      <w:bookmarkStart w:id="185" w:name="_Toc10739"/>
      <w:bookmarkStart w:id="186" w:name="_Toc15014"/>
      <w:bookmarkStart w:id="187" w:name="_Toc247514025"/>
      <w:bookmarkStart w:id="188" w:name="_Toc247527626"/>
      <w:bookmarkStart w:id="189" w:name="_Toc454956818"/>
      <w:r>
        <w:rPr>
          <w:rFonts w:hint="eastAsia" w:ascii="宋体" w:hAnsi="宋体" w:cs="宋体"/>
          <w:sz w:val="24"/>
          <w:szCs w:val="24"/>
        </w:rPr>
        <w:t>2. 评审标准</w:t>
      </w:r>
      <w:bookmarkEnd w:id="182"/>
      <w:bookmarkEnd w:id="183"/>
      <w:bookmarkEnd w:id="184"/>
      <w:bookmarkEnd w:id="185"/>
      <w:bookmarkEnd w:id="186"/>
      <w:bookmarkEnd w:id="187"/>
      <w:bookmarkEnd w:id="188"/>
      <w:bookmarkEnd w:id="189"/>
    </w:p>
    <w:p w14:paraId="58765237">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190" w:name="_Toc979"/>
      <w:bookmarkStart w:id="191" w:name="_Toc381809953"/>
      <w:bookmarkStart w:id="192" w:name="_Toc24043"/>
      <w:bookmarkStart w:id="193" w:name="_Toc247527627"/>
      <w:bookmarkStart w:id="194" w:name="_Toc31790"/>
      <w:bookmarkStart w:id="195" w:name="_Toc454956819"/>
      <w:bookmarkStart w:id="196" w:name="_Toc46835828"/>
      <w:bookmarkStart w:id="197" w:name="_Toc12122"/>
      <w:bookmarkStart w:id="198" w:name="_Toc22474"/>
      <w:bookmarkStart w:id="199" w:name="_Toc247514026"/>
      <w:r>
        <w:rPr>
          <w:rFonts w:hint="eastAsia" w:ascii="宋体" w:hAnsi="宋体" w:eastAsia="宋体" w:cs="宋体"/>
          <w:sz w:val="24"/>
        </w:rPr>
        <w:t>2.1 初步评审标准</w:t>
      </w:r>
      <w:bookmarkEnd w:id="190"/>
      <w:bookmarkEnd w:id="191"/>
      <w:bookmarkEnd w:id="192"/>
      <w:bookmarkEnd w:id="193"/>
      <w:bookmarkEnd w:id="194"/>
      <w:bookmarkEnd w:id="195"/>
      <w:bookmarkEnd w:id="196"/>
      <w:bookmarkEnd w:id="197"/>
      <w:bookmarkEnd w:id="198"/>
      <w:bookmarkEnd w:id="199"/>
    </w:p>
    <w:p w14:paraId="7B035B18">
      <w:pPr>
        <w:adjustRightInd w:val="0"/>
        <w:snapToGrid w:val="0"/>
        <w:spacing w:line="500" w:lineRule="exact"/>
        <w:ind w:firstLine="480" w:firstLineChars="200"/>
        <w:jc w:val="left"/>
        <w:rPr>
          <w:rFonts w:ascii="宋体" w:cs="宋体"/>
          <w:sz w:val="24"/>
        </w:rPr>
      </w:pPr>
      <w:r>
        <w:rPr>
          <w:rFonts w:hint="eastAsia" w:ascii="宋体" w:hAnsi="宋体" w:cs="宋体"/>
          <w:sz w:val="24"/>
        </w:rPr>
        <w:t>2.1.1 形式评审标准：见评标办法前附表</w:t>
      </w:r>
    </w:p>
    <w:p w14:paraId="67FC4245">
      <w:pPr>
        <w:adjustRightInd w:val="0"/>
        <w:snapToGrid w:val="0"/>
        <w:spacing w:line="500" w:lineRule="exact"/>
        <w:ind w:firstLine="480" w:firstLineChars="200"/>
        <w:jc w:val="left"/>
        <w:rPr>
          <w:rFonts w:ascii="宋体" w:cs="宋体"/>
          <w:sz w:val="24"/>
        </w:rPr>
      </w:pPr>
      <w:r>
        <w:rPr>
          <w:rFonts w:hint="eastAsia" w:ascii="宋体" w:hAnsi="宋体" w:cs="宋体"/>
          <w:sz w:val="24"/>
        </w:rPr>
        <w:t>2.1.2 资格评审标准：见评标办法前附表</w:t>
      </w:r>
    </w:p>
    <w:p w14:paraId="4B4AA2BE">
      <w:pPr>
        <w:adjustRightInd w:val="0"/>
        <w:snapToGrid w:val="0"/>
        <w:spacing w:line="500" w:lineRule="exact"/>
        <w:ind w:firstLine="480" w:firstLineChars="200"/>
        <w:jc w:val="left"/>
        <w:rPr>
          <w:rFonts w:ascii="宋体" w:cs="宋体"/>
          <w:sz w:val="24"/>
        </w:rPr>
      </w:pPr>
      <w:r>
        <w:rPr>
          <w:rFonts w:hint="eastAsia" w:ascii="宋体" w:hAnsi="宋体" w:cs="宋体"/>
          <w:sz w:val="24"/>
        </w:rPr>
        <w:t>2.1.3 响应性评审标准：见评标办法前附表</w:t>
      </w:r>
    </w:p>
    <w:p w14:paraId="6CBE3F92">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00" w:name="_Toc247527628"/>
      <w:bookmarkStart w:id="201" w:name="_Toc26623"/>
      <w:bookmarkStart w:id="202" w:name="_Toc12300"/>
      <w:bookmarkStart w:id="203" w:name="_Toc14915"/>
      <w:bookmarkStart w:id="204" w:name="_Toc46835829"/>
      <w:bookmarkStart w:id="205" w:name="_Toc247514027"/>
      <w:bookmarkStart w:id="206" w:name="_Toc30176"/>
      <w:bookmarkStart w:id="207" w:name="_Toc454956820"/>
      <w:bookmarkStart w:id="208" w:name="_Toc381809954"/>
      <w:bookmarkStart w:id="209" w:name="_Toc10451"/>
      <w:bookmarkStart w:id="210" w:name="_Toc24415"/>
      <w:bookmarkStart w:id="211" w:name="_Toc666"/>
      <w:r>
        <w:rPr>
          <w:rFonts w:hint="eastAsia" w:ascii="宋体" w:hAnsi="宋体" w:eastAsia="宋体" w:cs="宋体"/>
          <w:sz w:val="24"/>
        </w:rPr>
        <w:t>2.2 分值构成与评分标准</w:t>
      </w:r>
      <w:bookmarkEnd w:id="200"/>
      <w:bookmarkEnd w:id="201"/>
      <w:bookmarkEnd w:id="202"/>
      <w:bookmarkEnd w:id="203"/>
      <w:bookmarkEnd w:id="204"/>
      <w:bookmarkEnd w:id="205"/>
      <w:bookmarkEnd w:id="206"/>
      <w:bookmarkEnd w:id="207"/>
      <w:bookmarkEnd w:id="208"/>
      <w:bookmarkEnd w:id="209"/>
      <w:bookmarkEnd w:id="210"/>
      <w:bookmarkEnd w:id="211"/>
    </w:p>
    <w:p w14:paraId="5B987CEC">
      <w:pPr>
        <w:adjustRightInd w:val="0"/>
        <w:snapToGrid w:val="0"/>
        <w:spacing w:line="500" w:lineRule="exact"/>
        <w:ind w:firstLine="480" w:firstLineChars="200"/>
        <w:jc w:val="left"/>
        <w:rPr>
          <w:rFonts w:ascii="宋体" w:cs="宋体"/>
          <w:sz w:val="24"/>
        </w:rPr>
      </w:pPr>
      <w:r>
        <w:rPr>
          <w:rFonts w:hint="eastAsia" w:ascii="宋体" w:hAnsi="宋体" w:cs="宋体"/>
          <w:sz w:val="24"/>
        </w:rPr>
        <w:t>2.2.1 分值构成</w:t>
      </w:r>
    </w:p>
    <w:p w14:paraId="08FF6B27">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（1）技术部分评分：</w:t>
      </w:r>
      <w:r>
        <w:rPr>
          <w:rFonts w:hint="eastAsia" w:ascii="宋体" w:hAnsi="宋体"/>
          <w:sz w:val="24"/>
        </w:rPr>
        <w:t>见评标办法前附表；</w:t>
      </w:r>
    </w:p>
    <w:p w14:paraId="53F23B8A">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（2）综合部分评分：</w:t>
      </w:r>
      <w:r>
        <w:rPr>
          <w:rFonts w:hint="eastAsia" w:ascii="宋体" w:hAnsi="宋体"/>
          <w:sz w:val="24"/>
        </w:rPr>
        <w:t>见评标办法前附表；</w:t>
      </w:r>
    </w:p>
    <w:p w14:paraId="4FE265C4">
      <w:pPr>
        <w:adjustRightInd w:val="0"/>
        <w:snapToGrid w:val="0"/>
        <w:spacing w:line="500" w:lineRule="exact"/>
        <w:ind w:firstLine="480" w:firstLineChars="200"/>
        <w:jc w:val="left"/>
        <w:rPr>
          <w:rFonts w:ascii="宋体" w:cs="宋体"/>
          <w:sz w:val="24"/>
        </w:rPr>
      </w:pPr>
      <w:r>
        <w:rPr>
          <w:rFonts w:hint="eastAsia" w:ascii="宋体" w:hAnsi="宋体" w:cs="宋体"/>
          <w:sz w:val="24"/>
        </w:rPr>
        <w:t>（3）商务部分评分：</w:t>
      </w:r>
      <w:r>
        <w:rPr>
          <w:rFonts w:hint="eastAsia" w:ascii="宋体" w:hAnsi="宋体"/>
          <w:sz w:val="24"/>
        </w:rPr>
        <w:t>见评标办法前附表；</w:t>
      </w:r>
    </w:p>
    <w:p w14:paraId="188D83CE">
      <w:pPr>
        <w:adjustRightInd w:val="0"/>
        <w:snapToGrid w:val="0"/>
        <w:spacing w:line="500" w:lineRule="exact"/>
        <w:ind w:firstLine="480" w:firstLineChars="200"/>
        <w:jc w:val="left"/>
        <w:rPr>
          <w:rFonts w:ascii="宋体" w:cs="宋体"/>
          <w:sz w:val="24"/>
        </w:rPr>
      </w:pPr>
      <w:r>
        <w:rPr>
          <w:rFonts w:hint="eastAsia" w:ascii="宋体" w:hAnsi="宋体" w:cs="宋体"/>
          <w:sz w:val="24"/>
        </w:rPr>
        <w:t>2.2.</w:t>
      </w:r>
      <w:r>
        <w:rPr>
          <w:rFonts w:hint="eastAsia" w:ascii="宋体" w:hAnsi="宋体" w:cs="宋体"/>
          <w:sz w:val="24"/>
          <w:lang w:val="en-US" w:eastAsia="zh-CN"/>
        </w:rPr>
        <w:t>2</w:t>
      </w:r>
      <w:r>
        <w:rPr>
          <w:rFonts w:hint="eastAsia" w:ascii="宋体" w:hAnsi="宋体" w:cs="宋体"/>
          <w:sz w:val="24"/>
        </w:rPr>
        <w:t>评分标准</w:t>
      </w:r>
      <w:bookmarkStart w:id="212" w:name="_Toc247514028"/>
      <w:bookmarkStart w:id="213" w:name="_Toc381809955"/>
      <w:bookmarkStart w:id="214" w:name="_Toc247527629"/>
    </w:p>
    <w:p w14:paraId="720CC592">
      <w:pPr>
        <w:adjustRightInd w:val="0"/>
        <w:snapToGrid w:val="0"/>
        <w:spacing w:line="500" w:lineRule="exact"/>
        <w:ind w:firstLine="480" w:firstLineChars="200"/>
        <w:jc w:val="left"/>
        <w:rPr>
          <w:rFonts w:ascii="宋体" w:cs="宋体"/>
          <w:sz w:val="24"/>
        </w:rPr>
      </w:pPr>
      <w:r>
        <w:rPr>
          <w:rFonts w:hint="eastAsia" w:ascii="宋体" w:hAnsi="宋体" w:cs="宋体"/>
          <w:sz w:val="24"/>
        </w:rPr>
        <w:t>（1）技术部分：见评标办法前附表</w:t>
      </w:r>
    </w:p>
    <w:p w14:paraId="20E0EBFF">
      <w:pPr>
        <w:adjustRightInd w:val="0"/>
        <w:snapToGrid w:val="0"/>
        <w:spacing w:line="500" w:lineRule="exact"/>
        <w:ind w:firstLine="480" w:firstLineChars="200"/>
        <w:jc w:val="left"/>
        <w:rPr>
          <w:rFonts w:ascii="宋体" w:cs="宋体"/>
          <w:sz w:val="24"/>
        </w:rPr>
      </w:pPr>
      <w:r>
        <w:rPr>
          <w:rFonts w:hint="eastAsia" w:ascii="宋体" w:hAnsi="宋体" w:cs="宋体"/>
          <w:sz w:val="24"/>
        </w:rPr>
        <w:t>（2）综合部分：见评标办法前附表</w:t>
      </w:r>
    </w:p>
    <w:p w14:paraId="7CDBB848">
      <w:pPr>
        <w:adjustRightInd w:val="0"/>
        <w:snapToGrid w:val="0"/>
        <w:spacing w:line="500" w:lineRule="exact"/>
        <w:ind w:firstLine="480" w:firstLineChars="200"/>
        <w:jc w:val="left"/>
        <w:rPr>
          <w:rFonts w:ascii="宋体" w:hAnsi="宋体" w:cs="宋体"/>
          <w:sz w:val="24"/>
        </w:rPr>
      </w:pPr>
      <w:r>
        <w:rPr>
          <w:rFonts w:hint="eastAsia" w:ascii="宋体" w:hAnsi="宋体" w:cs="宋体"/>
          <w:sz w:val="24"/>
        </w:rPr>
        <w:t>（3）商务部分：见评标办法前附表</w:t>
      </w:r>
    </w:p>
    <w:p w14:paraId="04A5F2F1">
      <w:pPr>
        <w:pStyle w:val="6"/>
        <w:adjustRightInd w:val="0"/>
        <w:snapToGrid w:val="0"/>
        <w:spacing w:line="500" w:lineRule="exact"/>
        <w:ind w:firstLine="482" w:firstLineChars="200"/>
        <w:jc w:val="left"/>
        <w:rPr>
          <w:rFonts w:ascii="宋体" w:hAnsi="宋体" w:cs="宋体"/>
          <w:sz w:val="24"/>
          <w:szCs w:val="24"/>
        </w:rPr>
      </w:pPr>
      <w:bookmarkStart w:id="215" w:name="_Toc454956821"/>
      <w:bookmarkStart w:id="216" w:name="_Toc27626"/>
      <w:bookmarkStart w:id="217" w:name="_Toc12159"/>
      <w:bookmarkStart w:id="218" w:name="_Toc5635"/>
      <w:bookmarkStart w:id="219" w:name="_Toc2041"/>
      <w:r>
        <w:rPr>
          <w:rFonts w:hint="eastAsia" w:ascii="宋体" w:hAnsi="宋体" w:cs="宋体"/>
          <w:sz w:val="24"/>
          <w:szCs w:val="24"/>
        </w:rPr>
        <w:t>3. 评标程序</w:t>
      </w:r>
      <w:bookmarkEnd w:id="215"/>
      <w:bookmarkEnd w:id="216"/>
      <w:bookmarkEnd w:id="217"/>
      <w:bookmarkEnd w:id="218"/>
      <w:bookmarkEnd w:id="219"/>
    </w:p>
    <w:bookmarkEnd w:id="212"/>
    <w:bookmarkEnd w:id="213"/>
    <w:bookmarkEnd w:id="214"/>
    <w:p w14:paraId="4FC27BEE">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20" w:name="_Toc247514029"/>
      <w:bookmarkStart w:id="221" w:name="_Toc247527630"/>
      <w:bookmarkStart w:id="222" w:name="_Toc26852"/>
      <w:bookmarkStart w:id="223" w:name="_Toc46835830"/>
      <w:bookmarkStart w:id="224" w:name="_Toc454956822"/>
      <w:bookmarkStart w:id="225" w:name="_Toc381809956"/>
      <w:bookmarkStart w:id="226" w:name="_Toc24860"/>
      <w:bookmarkStart w:id="227" w:name="_Toc16848"/>
      <w:bookmarkStart w:id="228" w:name="_Toc8745"/>
      <w:bookmarkStart w:id="229" w:name="_Toc30590"/>
      <w:bookmarkStart w:id="230" w:name="_Toc3574"/>
      <w:bookmarkStart w:id="231" w:name="_Toc16650"/>
      <w:r>
        <w:rPr>
          <w:rFonts w:hint="eastAsia" w:ascii="宋体" w:hAnsi="宋体" w:eastAsia="宋体" w:cs="宋体"/>
          <w:sz w:val="24"/>
        </w:rPr>
        <w:t>3.1 初步评审</w:t>
      </w:r>
      <w:bookmarkEnd w:id="220"/>
      <w:bookmarkEnd w:id="221"/>
      <w:bookmarkEnd w:id="222"/>
      <w:bookmarkEnd w:id="223"/>
      <w:bookmarkEnd w:id="224"/>
      <w:bookmarkEnd w:id="225"/>
      <w:bookmarkEnd w:id="226"/>
      <w:bookmarkEnd w:id="227"/>
      <w:bookmarkEnd w:id="228"/>
      <w:bookmarkEnd w:id="229"/>
      <w:bookmarkEnd w:id="230"/>
      <w:bookmarkEnd w:id="231"/>
    </w:p>
    <w:p w14:paraId="434C6EBE">
      <w:pPr>
        <w:adjustRightInd w:val="0"/>
        <w:snapToGrid w:val="0"/>
        <w:spacing w:line="500" w:lineRule="exact"/>
        <w:ind w:firstLine="480" w:firstLineChars="200"/>
        <w:jc w:val="left"/>
        <w:rPr>
          <w:rFonts w:ascii="宋体" w:cs="宋体"/>
          <w:sz w:val="24"/>
        </w:rPr>
      </w:pPr>
      <w:r>
        <w:rPr>
          <w:rFonts w:hint="eastAsia" w:ascii="宋体" w:hAnsi="宋体" w:cs="宋体"/>
          <w:sz w:val="24"/>
        </w:rPr>
        <w:t>3.1.1评标委员会依据本章第2.1款规定的标准对</w:t>
      </w:r>
      <w:r>
        <w:rPr>
          <w:rFonts w:hint="eastAsia" w:ascii="宋体" w:hAnsi="宋体" w:cs="宋体"/>
          <w:sz w:val="24"/>
          <w:lang w:eastAsia="zh-CN"/>
        </w:rPr>
        <w:t>响应文件</w:t>
      </w:r>
      <w:r>
        <w:rPr>
          <w:rFonts w:hint="eastAsia" w:ascii="宋体" w:hAnsi="宋体" w:cs="宋体"/>
          <w:sz w:val="24"/>
        </w:rPr>
        <w:t>进行初步评审。有一项不符合评审标准的，评标委员会应当否决其投标。</w:t>
      </w:r>
    </w:p>
    <w:p w14:paraId="47F80A5F">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3.1.2 </w:t>
      </w:r>
      <w:r>
        <w:rPr>
          <w:rFonts w:hint="eastAsia" w:ascii="宋体" w:hAnsi="宋体" w:cs="宋体"/>
          <w:sz w:val="24"/>
          <w:lang w:eastAsia="zh-CN"/>
        </w:rPr>
        <w:t>供应商</w:t>
      </w:r>
      <w:r>
        <w:rPr>
          <w:rFonts w:hint="eastAsia" w:ascii="宋体" w:hAnsi="宋体" w:cs="宋体"/>
          <w:sz w:val="24"/>
        </w:rPr>
        <w:t>有以下情形之一的，评标委员会应当否决其投标：</w:t>
      </w:r>
    </w:p>
    <w:p w14:paraId="00600BB5">
      <w:pPr>
        <w:adjustRightInd w:val="0"/>
        <w:snapToGrid w:val="0"/>
        <w:spacing w:line="500" w:lineRule="exact"/>
        <w:ind w:firstLine="480" w:firstLineChars="200"/>
        <w:jc w:val="left"/>
        <w:rPr>
          <w:rFonts w:ascii="宋体" w:cs="宋体"/>
          <w:sz w:val="24"/>
        </w:rPr>
      </w:pPr>
      <w:r>
        <w:rPr>
          <w:rFonts w:hint="eastAsia" w:ascii="宋体" w:hAnsi="宋体" w:cs="宋体"/>
          <w:sz w:val="24"/>
        </w:rPr>
        <w:t>（1）第二章“</w:t>
      </w:r>
      <w:r>
        <w:rPr>
          <w:rFonts w:hint="eastAsia" w:ascii="宋体" w:hAnsi="宋体" w:cs="宋体"/>
          <w:sz w:val="24"/>
          <w:lang w:eastAsia="zh-CN"/>
        </w:rPr>
        <w:t>供应商</w:t>
      </w:r>
      <w:r>
        <w:rPr>
          <w:rFonts w:hint="eastAsia" w:ascii="宋体" w:hAnsi="宋体" w:cs="宋体"/>
          <w:sz w:val="24"/>
        </w:rPr>
        <w:t>须知”第1.4.3项规定的任何一种情形的；</w:t>
      </w:r>
    </w:p>
    <w:p w14:paraId="4F88AC59">
      <w:pPr>
        <w:adjustRightInd w:val="0"/>
        <w:snapToGrid w:val="0"/>
        <w:spacing w:line="500" w:lineRule="exact"/>
        <w:ind w:firstLine="480" w:firstLineChars="200"/>
        <w:jc w:val="left"/>
        <w:rPr>
          <w:rFonts w:ascii="宋体" w:cs="宋体"/>
          <w:sz w:val="24"/>
        </w:rPr>
      </w:pPr>
      <w:r>
        <w:rPr>
          <w:rFonts w:hint="eastAsia" w:ascii="宋体" w:hAnsi="宋体" w:cs="宋体"/>
          <w:sz w:val="24"/>
        </w:rPr>
        <w:t>（2）串通投标或弄虚作假或有其他违法行为的；</w:t>
      </w:r>
    </w:p>
    <w:p w14:paraId="0860BD2F">
      <w:pPr>
        <w:adjustRightInd w:val="0"/>
        <w:snapToGrid w:val="0"/>
        <w:spacing w:line="500" w:lineRule="exact"/>
        <w:ind w:firstLine="480" w:firstLineChars="200"/>
        <w:jc w:val="left"/>
        <w:rPr>
          <w:rFonts w:ascii="宋体" w:cs="宋体"/>
          <w:sz w:val="24"/>
        </w:rPr>
      </w:pPr>
      <w:r>
        <w:rPr>
          <w:rFonts w:hint="eastAsia" w:ascii="宋体" w:hAnsi="宋体" w:cs="宋体"/>
          <w:sz w:val="24"/>
        </w:rPr>
        <w:t>（3）不按评标委员会要求澄清、说明或补正的。</w:t>
      </w:r>
    </w:p>
    <w:p w14:paraId="7F8CC929">
      <w:pPr>
        <w:adjustRightInd w:val="0"/>
        <w:snapToGrid w:val="0"/>
        <w:spacing w:line="500" w:lineRule="exact"/>
        <w:ind w:firstLine="480" w:firstLineChars="200"/>
        <w:jc w:val="left"/>
        <w:rPr>
          <w:rFonts w:ascii="宋体" w:cs="宋体"/>
          <w:sz w:val="24"/>
        </w:rPr>
      </w:pPr>
      <w:r>
        <w:rPr>
          <w:rFonts w:hint="eastAsia" w:ascii="宋体" w:hAnsi="宋体" w:cs="宋体"/>
          <w:sz w:val="24"/>
        </w:rPr>
        <w:t>3.1.3 投标报价有算术错误的，评标委员会按以下原则对投标报价进行修正，修正的价格经</w:t>
      </w:r>
      <w:r>
        <w:rPr>
          <w:rFonts w:hint="eastAsia" w:ascii="宋体" w:hAnsi="宋体" w:cs="宋体"/>
          <w:sz w:val="24"/>
          <w:lang w:eastAsia="zh-CN"/>
        </w:rPr>
        <w:t>供应商</w:t>
      </w:r>
      <w:r>
        <w:rPr>
          <w:rFonts w:hint="eastAsia" w:ascii="宋体" w:hAnsi="宋体" w:cs="宋体"/>
          <w:sz w:val="24"/>
        </w:rPr>
        <w:t>书面确认后具有约束力。</w:t>
      </w:r>
      <w:r>
        <w:rPr>
          <w:rFonts w:hint="eastAsia" w:ascii="宋体" w:hAnsi="宋体" w:cs="宋体"/>
          <w:sz w:val="24"/>
          <w:lang w:eastAsia="zh-CN"/>
        </w:rPr>
        <w:t>供应商</w:t>
      </w:r>
      <w:r>
        <w:rPr>
          <w:rFonts w:hint="eastAsia" w:ascii="宋体" w:hAnsi="宋体" w:cs="宋体"/>
          <w:sz w:val="24"/>
        </w:rPr>
        <w:t>不接受修正价格的，评标委员会应当否决其投标。</w:t>
      </w:r>
    </w:p>
    <w:p w14:paraId="02546F4F">
      <w:pPr>
        <w:adjustRightInd w:val="0"/>
        <w:snapToGrid w:val="0"/>
        <w:spacing w:line="500" w:lineRule="exact"/>
        <w:ind w:firstLine="480" w:firstLineChars="200"/>
        <w:jc w:val="left"/>
        <w:rPr>
          <w:rFonts w:ascii="宋体" w:cs="宋体"/>
          <w:sz w:val="24"/>
        </w:rPr>
      </w:pPr>
      <w:r>
        <w:rPr>
          <w:rFonts w:hint="eastAsia" w:ascii="宋体" w:hAnsi="宋体" w:cs="宋体"/>
          <w:sz w:val="24"/>
        </w:rPr>
        <w:t>（1）</w:t>
      </w:r>
      <w:r>
        <w:rPr>
          <w:rFonts w:hint="eastAsia" w:ascii="宋体" w:hAnsi="宋体" w:cs="宋体"/>
          <w:sz w:val="24"/>
          <w:lang w:eastAsia="zh-CN"/>
        </w:rPr>
        <w:t>响应文件</w:t>
      </w:r>
      <w:r>
        <w:rPr>
          <w:rFonts w:hint="eastAsia" w:ascii="宋体" w:hAnsi="宋体" w:cs="宋体"/>
          <w:sz w:val="24"/>
        </w:rPr>
        <w:t>中的大写金额与小写金额不一致的，以大写金额为准；</w:t>
      </w:r>
    </w:p>
    <w:p w14:paraId="688828E2">
      <w:pPr>
        <w:adjustRightInd w:val="0"/>
        <w:snapToGrid w:val="0"/>
        <w:spacing w:line="500" w:lineRule="exact"/>
        <w:ind w:firstLine="480" w:firstLineChars="200"/>
        <w:jc w:val="left"/>
        <w:rPr>
          <w:rFonts w:ascii="宋体" w:cs="宋体"/>
          <w:sz w:val="24"/>
        </w:rPr>
      </w:pPr>
      <w:r>
        <w:rPr>
          <w:rFonts w:hint="eastAsia" w:ascii="宋体" w:hAnsi="宋体" w:cs="宋体"/>
          <w:sz w:val="24"/>
        </w:rPr>
        <w:t>（2）总价金额与依据单价计算出的结果不一致的，以单价金额为准修正总价，但单价金额小数点有明显错误的除外。</w:t>
      </w:r>
    </w:p>
    <w:p w14:paraId="163C9C3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32" w:name="_Toc16971"/>
      <w:bookmarkStart w:id="233" w:name="_Toc21429"/>
      <w:bookmarkStart w:id="234" w:name="_Toc8347"/>
      <w:bookmarkStart w:id="235" w:name="_Toc454956823"/>
      <w:bookmarkStart w:id="236" w:name="_Toc247527631"/>
      <w:bookmarkStart w:id="237" w:name="_Toc27670"/>
      <w:bookmarkStart w:id="238" w:name="_Toc46835831"/>
      <w:bookmarkStart w:id="239" w:name="_Toc805"/>
      <w:bookmarkStart w:id="240" w:name="_Toc4779"/>
      <w:bookmarkStart w:id="241" w:name="_Toc3540"/>
      <w:bookmarkStart w:id="242" w:name="_Toc247514030"/>
      <w:bookmarkStart w:id="243" w:name="_Toc381809957"/>
      <w:r>
        <w:rPr>
          <w:rFonts w:hint="eastAsia" w:ascii="宋体" w:hAnsi="宋体" w:eastAsia="宋体" w:cs="宋体"/>
          <w:sz w:val="24"/>
        </w:rPr>
        <w:t>3.2 详细评审</w:t>
      </w:r>
      <w:bookmarkEnd w:id="232"/>
      <w:bookmarkEnd w:id="233"/>
      <w:bookmarkEnd w:id="234"/>
      <w:bookmarkEnd w:id="235"/>
      <w:bookmarkEnd w:id="236"/>
      <w:bookmarkEnd w:id="237"/>
      <w:bookmarkEnd w:id="238"/>
      <w:bookmarkEnd w:id="239"/>
      <w:bookmarkEnd w:id="240"/>
      <w:bookmarkEnd w:id="241"/>
      <w:bookmarkEnd w:id="242"/>
      <w:bookmarkEnd w:id="243"/>
    </w:p>
    <w:p w14:paraId="0D800236">
      <w:pPr>
        <w:adjustRightInd w:val="0"/>
        <w:snapToGrid w:val="0"/>
        <w:spacing w:line="500" w:lineRule="exact"/>
        <w:ind w:firstLine="480" w:firstLineChars="200"/>
        <w:jc w:val="left"/>
        <w:rPr>
          <w:rFonts w:ascii="宋体" w:cs="宋体"/>
          <w:sz w:val="24"/>
        </w:rPr>
      </w:pPr>
      <w:r>
        <w:rPr>
          <w:rFonts w:hint="eastAsia" w:ascii="宋体" w:hAnsi="宋体" w:cs="宋体"/>
          <w:sz w:val="24"/>
        </w:rPr>
        <w:t>3.2.1 评标委员会按本章第2.2款规定的量化因素和分值进行打分，并计算出综合评估得分。</w:t>
      </w:r>
    </w:p>
    <w:p w14:paraId="351FAF49">
      <w:pPr>
        <w:adjustRightInd w:val="0"/>
        <w:snapToGrid w:val="0"/>
        <w:spacing w:line="500" w:lineRule="exact"/>
        <w:ind w:firstLine="480" w:firstLineChars="200"/>
        <w:jc w:val="left"/>
        <w:rPr>
          <w:rFonts w:ascii="宋体" w:cs="宋体"/>
          <w:sz w:val="24"/>
        </w:rPr>
      </w:pPr>
      <w:r>
        <w:rPr>
          <w:rFonts w:hint="eastAsia" w:ascii="宋体" w:hAnsi="宋体" w:cs="宋体"/>
          <w:sz w:val="24"/>
        </w:rPr>
        <w:t xml:space="preserve">3.2.2评分分值计算保留小数点后两位，小数点后第三位“四舍五入”。 </w:t>
      </w:r>
      <w:r>
        <w:rPr>
          <w:rFonts w:hint="eastAsia" w:ascii="宋体" w:hAnsi="宋体" w:cs="宋体"/>
          <w:sz w:val="24"/>
          <w:lang w:eastAsia="zh-CN"/>
        </w:rPr>
        <w:t>供应商</w:t>
      </w:r>
      <w:r>
        <w:rPr>
          <w:rFonts w:hint="eastAsia" w:ascii="宋体" w:hAnsi="宋体" w:cs="宋体"/>
          <w:sz w:val="24"/>
        </w:rPr>
        <w:t>最终得分为所有评委得分的算术平均值。</w:t>
      </w:r>
    </w:p>
    <w:p w14:paraId="7177025D">
      <w:pPr>
        <w:adjustRightInd w:val="0"/>
        <w:snapToGrid w:val="0"/>
        <w:spacing w:line="500" w:lineRule="exact"/>
        <w:ind w:firstLine="480" w:firstLineChars="200"/>
        <w:jc w:val="left"/>
        <w:rPr>
          <w:rFonts w:ascii="宋体" w:cs="宋体"/>
          <w:sz w:val="24"/>
        </w:rPr>
      </w:pPr>
      <w:r>
        <w:rPr>
          <w:rFonts w:hint="eastAsia" w:ascii="宋体" w:hAnsi="宋体" w:cs="宋体"/>
          <w:sz w:val="24"/>
        </w:rPr>
        <w:t>3.2.3 评标委员会发现</w:t>
      </w:r>
      <w:r>
        <w:rPr>
          <w:rFonts w:hint="eastAsia" w:ascii="宋体" w:hAnsi="宋体" w:cs="宋体"/>
          <w:sz w:val="24"/>
          <w:lang w:eastAsia="zh-CN"/>
        </w:rPr>
        <w:t>供应商</w:t>
      </w:r>
      <w:r>
        <w:rPr>
          <w:rFonts w:hint="eastAsia" w:ascii="宋体" w:hAnsi="宋体" w:cs="宋体"/>
          <w:sz w:val="24"/>
        </w:rPr>
        <w:t>的报价明显低于其他投标报价，使得其投标报价可能低于其个别成本的，应当要求该</w:t>
      </w:r>
      <w:r>
        <w:rPr>
          <w:rFonts w:hint="eastAsia" w:ascii="宋体" w:hAnsi="宋体" w:cs="宋体"/>
          <w:sz w:val="24"/>
          <w:lang w:eastAsia="zh-CN"/>
        </w:rPr>
        <w:t>供应商</w:t>
      </w:r>
      <w:r>
        <w:rPr>
          <w:rFonts w:hint="eastAsia" w:ascii="宋体" w:hAnsi="宋体" w:cs="宋体"/>
          <w:sz w:val="24"/>
        </w:rPr>
        <w:t>作出书面说明并提供相应的证明材料。</w:t>
      </w:r>
      <w:r>
        <w:rPr>
          <w:rFonts w:hint="eastAsia" w:ascii="宋体" w:hAnsi="宋体" w:cs="宋体"/>
          <w:sz w:val="24"/>
          <w:lang w:eastAsia="zh-CN"/>
        </w:rPr>
        <w:t>供应商</w:t>
      </w:r>
      <w:r>
        <w:rPr>
          <w:rFonts w:hint="eastAsia" w:ascii="宋体" w:hAnsi="宋体" w:cs="宋体"/>
          <w:sz w:val="24"/>
        </w:rPr>
        <w:t>不能合理说明或者不能提供相应证明材料的，评标委员会应当认定该</w:t>
      </w:r>
      <w:r>
        <w:rPr>
          <w:rFonts w:hint="eastAsia" w:ascii="宋体" w:hAnsi="宋体" w:cs="宋体"/>
          <w:sz w:val="24"/>
          <w:lang w:eastAsia="zh-CN"/>
        </w:rPr>
        <w:t>供应商</w:t>
      </w:r>
      <w:r>
        <w:rPr>
          <w:rFonts w:hint="eastAsia" w:ascii="宋体" w:hAnsi="宋体" w:cs="宋体"/>
          <w:sz w:val="24"/>
        </w:rPr>
        <w:t>以低于成本报价竞标，应当否决其投标。</w:t>
      </w:r>
    </w:p>
    <w:p w14:paraId="7BEFBBE0">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44" w:name="_Toc46835832"/>
      <w:bookmarkStart w:id="245" w:name="_Toc7555"/>
      <w:bookmarkStart w:id="246" w:name="_Toc454956824"/>
      <w:bookmarkStart w:id="247" w:name="_Toc247527632"/>
      <w:bookmarkStart w:id="248" w:name="_Toc7747"/>
      <w:bookmarkStart w:id="249" w:name="_Toc247514031"/>
      <w:bookmarkStart w:id="250" w:name="_Toc5176"/>
      <w:bookmarkStart w:id="251" w:name="_Toc4058"/>
      <w:bookmarkStart w:id="252" w:name="_Toc19130"/>
      <w:bookmarkStart w:id="253" w:name="_Toc21591"/>
      <w:bookmarkStart w:id="254" w:name="_Toc381809958"/>
      <w:bookmarkStart w:id="255" w:name="_Toc31187"/>
      <w:r>
        <w:rPr>
          <w:rFonts w:hint="eastAsia" w:ascii="宋体" w:hAnsi="宋体" w:eastAsia="宋体" w:cs="宋体"/>
          <w:sz w:val="24"/>
        </w:rPr>
        <w:t xml:space="preserve">3.3 </w:t>
      </w:r>
      <w:r>
        <w:rPr>
          <w:rFonts w:hint="eastAsia" w:ascii="宋体" w:hAnsi="宋体" w:eastAsia="宋体" w:cs="宋体"/>
          <w:sz w:val="24"/>
          <w:lang w:eastAsia="zh-CN"/>
        </w:rPr>
        <w:t>响应文件</w:t>
      </w:r>
      <w:r>
        <w:rPr>
          <w:rFonts w:hint="eastAsia" w:ascii="宋体" w:hAnsi="宋体" w:eastAsia="宋体" w:cs="宋体"/>
          <w:sz w:val="24"/>
        </w:rPr>
        <w:t>的澄清和补正</w:t>
      </w:r>
      <w:bookmarkEnd w:id="244"/>
      <w:bookmarkEnd w:id="245"/>
      <w:bookmarkEnd w:id="246"/>
      <w:bookmarkEnd w:id="247"/>
      <w:bookmarkEnd w:id="248"/>
      <w:bookmarkEnd w:id="249"/>
      <w:bookmarkEnd w:id="250"/>
      <w:bookmarkEnd w:id="251"/>
      <w:bookmarkEnd w:id="252"/>
      <w:bookmarkEnd w:id="253"/>
      <w:bookmarkEnd w:id="254"/>
      <w:bookmarkEnd w:id="255"/>
    </w:p>
    <w:p w14:paraId="1D0E1E79">
      <w:pPr>
        <w:adjustRightInd w:val="0"/>
        <w:snapToGrid w:val="0"/>
        <w:spacing w:line="500" w:lineRule="exact"/>
        <w:ind w:firstLine="480" w:firstLineChars="200"/>
        <w:jc w:val="left"/>
        <w:rPr>
          <w:rFonts w:ascii="宋体" w:cs="宋体"/>
          <w:sz w:val="24"/>
        </w:rPr>
      </w:pPr>
      <w:r>
        <w:rPr>
          <w:rFonts w:hint="eastAsia" w:ascii="宋体" w:hAnsi="宋体" w:cs="宋体"/>
          <w:sz w:val="24"/>
        </w:rPr>
        <w:t>3.3.1 在评标过程中，评标委员会可以书面形式要求</w:t>
      </w:r>
      <w:r>
        <w:rPr>
          <w:rFonts w:hint="eastAsia" w:ascii="宋体" w:hAnsi="宋体" w:cs="宋体"/>
          <w:sz w:val="24"/>
          <w:lang w:eastAsia="zh-CN"/>
        </w:rPr>
        <w:t>供应商</w:t>
      </w:r>
      <w:r>
        <w:rPr>
          <w:rFonts w:hint="eastAsia" w:ascii="宋体" w:hAnsi="宋体" w:cs="宋体"/>
          <w:sz w:val="24"/>
        </w:rPr>
        <w:t>对所提交</w:t>
      </w:r>
      <w:r>
        <w:rPr>
          <w:rFonts w:hint="eastAsia" w:ascii="宋体" w:hAnsi="宋体" w:cs="宋体"/>
          <w:sz w:val="24"/>
          <w:lang w:eastAsia="zh-CN"/>
        </w:rPr>
        <w:t>响应文件</w:t>
      </w:r>
      <w:r>
        <w:rPr>
          <w:rFonts w:hint="eastAsia" w:ascii="宋体" w:hAnsi="宋体" w:cs="宋体"/>
          <w:sz w:val="24"/>
        </w:rPr>
        <w:t>中不明确的内容进行书面澄清或说明，或者对细微偏差进行补正。评标委员会不接受</w:t>
      </w:r>
      <w:r>
        <w:rPr>
          <w:rFonts w:hint="eastAsia" w:ascii="宋体" w:hAnsi="宋体" w:cs="宋体"/>
          <w:sz w:val="24"/>
          <w:lang w:eastAsia="zh-CN"/>
        </w:rPr>
        <w:t>供应商</w:t>
      </w:r>
      <w:r>
        <w:rPr>
          <w:rFonts w:hint="eastAsia" w:ascii="宋体" w:hAnsi="宋体" w:cs="宋体"/>
          <w:sz w:val="24"/>
        </w:rPr>
        <w:t>主动提出的澄清、说明或补正。</w:t>
      </w:r>
    </w:p>
    <w:p w14:paraId="4D46B404">
      <w:pPr>
        <w:adjustRightInd w:val="0"/>
        <w:snapToGrid w:val="0"/>
        <w:spacing w:line="500" w:lineRule="exact"/>
        <w:ind w:firstLine="480" w:firstLineChars="200"/>
        <w:jc w:val="left"/>
        <w:rPr>
          <w:rFonts w:ascii="宋体" w:cs="宋体"/>
          <w:sz w:val="24"/>
        </w:rPr>
      </w:pPr>
      <w:r>
        <w:rPr>
          <w:rFonts w:hint="eastAsia" w:ascii="宋体" w:hAnsi="宋体" w:cs="宋体"/>
          <w:sz w:val="24"/>
        </w:rPr>
        <w:t>3.3.2 澄清、说明和补正不得改变</w:t>
      </w:r>
      <w:r>
        <w:rPr>
          <w:rFonts w:hint="eastAsia" w:ascii="宋体" w:hAnsi="宋体" w:cs="宋体"/>
          <w:sz w:val="24"/>
          <w:lang w:eastAsia="zh-CN"/>
        </w:rPr>
        <w:t>响应文件</w:t>
      </w:r>
      <w:r>
        <w:rPr>
          <w:rFonts w:hint="eastAsia" w:ascii="宋体" w:hAnsi="宋体" w:cs="宋体"/>
          <w:sz w:val="24"/>
        </w:rPr>
        <w:t>的实质性内容。</w:t>
      </w:r>
      <w:r>
        <w:rPr>
          <w:rFonts w:hint="eastAsia" w:ascii="宋体" w:hAnsi="宋体" w:cs="宋体"/>
          <w:sz w:val="24"/>
          <w:lang w:eastAsia="zh-CN"/>
        </w:rPr>
        <w:t>供应商</w:t>
      </w:r>
      <w:r>
        <w:rPr>
          <w:rFonts w:hint="eastAsia" w:ascii="宋体" w:hAnsi="宋体" w:cs="宋体"/>
          <w:sz w:val="24"/>
        </w:rPr>
        <w:t>的书面澄清、说明和补正属于</w:t>
      </w:r>
      <w:r>
        <w:rPr>
          <w:rFonts w:hint="eastAsia" w:ascii="宋体" w:hAnsi="宋体" w:cs="宋体"/>
          <w:sz w:val="24"/>
          <w:lang w:eastAsia="zh-CN"/>
        </w:rPr>
        <w:t>响应文件</w:t>
      </w:r>
      <w:r>
        <w:rPr>
          <w:rFonts w:hint="eastAsia" w:ascii="宋体" w:hAnsi="宋体" w:cs="宋体"/>
          <w:sz w:val="24"/>
        </w:rPr>
        <w:t>的组成部分。</w:t>
      </w:r>
    </w:p>
    <w:p w14:paraId="6B650BC2">
      <w:pPr>
        <w:adjustRightInd w:val="0"/>
        <w:snapToGrid w:val="0"/>
        <w:spacing w:line="500" w:lineRule="exact"/>
        <w:ind w:firstLine="480" w:firstLineChars="200"/>
        <w:jc w:val="left"/>
        <w:rPr>
          <w:rFonts w:ascii="宋体" w:cs="宋体"/>
          <w:sz w:val="24"/>
        </w:rPr>
      </w:pPr>
      <w:r>
        <w:rPr>
          <w:rFonts w:hint="eastAsia" w:ascii="宋体" w:hAnsi="宋体" w:cs="宋体"/>
          <w:sz w:val="24"/>
        </w:rPr>
        <w:t>3.3.3 评标委员会对</w:t>
      </w:r>
      <w:r>
        <w:rPr>
          <w:rFonts w:hint="eastAsia" w:ascii="宋体" w:hAnsi="宋体" w:cs="宋体"/>
          <w:sz w:val="24"/>
          <w:lang w:eastAsia="zh-CN"/>
        </w:rPr>
        <w:t>供应商</w:t>
      </w:r>
      <w:r>
        <w:rPr>
          <w:rFonts w:hint="eastAsia" w:ascii="宋体" w:hAnsi="宋体" w:cs="宋体"/>
          <w:sz w:val="24"/>
        </w:rPr>
        <w:t>提交的澄清、说明或补正有疑问的，可以要求</w:t>
      </w:r>
      <w:r>
        <w:rPr>
          <w:rFonts w:hint="eastAsia" w:ascii="宋体" w:hAnsi="宋体" w:cs="宋体"/>
          <w:sz w:val="24"/>
          <w:lang w:eastAsia="zh-CN"/>
        </w:rPr>
        <w:t>供应商</w:t>
      </w:r>
      <w:r>
        <w:rPr>
          <w:rFonts w:hint="eastAsia" w:ascii="宋体" w:hAnsi="宋体" w:cs="宋体"/>
          <w:sz w:val="24"/>
        </w:rPr>
        <w:t>进一步澄清、说明或补正，直至满足评标委员会的要求。</w:t>
      </w:r>
    </w:p>
    <w:p w14:paraId="620F121B">
      <w:pPr>
        <w:pStyle w:val="4"/>
        <w:tabs>
          <w:tab w:val="left" w:pos="425"/>
        </w:tabs>
        <w:adjustRightInd w:val="0"/>
        <w:snapToGrid w:val="0"/>
        <w:spacing w:before="0" w:after="0" w:line="500" w:lineRule="exact"/>
        <w:ind w:firstLine="482" w:firstLineChars="200"/>
        <w:jc w:val="left"/>
        <w:rPr>
          <w:rFonts w:ascii="宋体" w:hAnsi="宋体" w:eastAsia="宋体" w:cs="宋体"/>
          <w:sz w:val="24"/>
        </w:rPr>
      </w:pPr>
      <w:bookmarkStart w:id="256" w:name="_Toc16897"/>
      <w:bookmarkStart w:id="257" w:name="_Toc17287"/>
      <w:bookmarkStart w:id="258" w:name="_Toc209"/>
      <w:bookmarkStart w:id="259" w:name="_Toc247514032"/>
      <w:bookmarkStart w:id="260" w:name="_Toc46835833"/>
      <w:bookmarkStart w:id="261" w:name="_Toc247527633"/>
      <w:bookmarkStart w:id="262" w:name="_Toc89"/>
      <w:bookmarkStart w:id="263" w:name="_Toc381809959"/>
      <w:bookmarkStart w:id="264" w:name="_Toc7181"/>
      <w:bookmarkStart w:id="265" w:name="_Toc10002"/>
      <w:bookmarkStart w:id="266" w:name="_Toc454956825"/>
      <w:bookmarkStart w:id="267" w:name="_Toc4106"/>
      <w:r>
        <w:rPr>
          <w:rFonts w:hint="eastAsia" w:ascii="宋体" w:hAnsi="宋体" w:eastAsia="宋体" w:cs="宋体"/>
          <w:sz w:val="24"/>
        </w:rPr>
        <w:t>3.4 评标结果</w:t>
      </w:r>
      <w:bookmarkEnd w:id="256"/>
      <w:bookmarkEnd w:id="257"/>
      <w:bookmarkEnd w:id="258"/>
      <w:bookmarkEnd w:id="259"/>
      <w:bookmarkEnd w:id="260"/>
      <w:bookmarkEnd w:id="261"/>
      <w:bookmarkEnd w:id="262"/>
      <w:bookmarkEnd w:id="263"/>
      <w:bookmarkEnd w:id="264"/>
      <w:bookmarkEnd w:id="265"/>
      <w:bookmarkEnd w:id="266"/>
      <w:bookmarkEnd w:id="267"/>
    </w:p>
    <w:p w14:paraId="732474DD">
      <w:pPr>
        <w:adjustRightInd w:val="0"/>
        <w:snapToGrid w:val="0"/>
        <w:spacing w:line="500" w:lineRule="exact"/>
        <w:ind w:firstLine="480" w:firstLineChars="200"/>
        <w:jc w:val="left"/>
        <w:rPr>
          <w:rFonts w:ascii="宋体" w:cs="宋体"/>
          <w:sz w:val="24"/>
        </w:rPr>
      </w:pPr>
      <w:r>
        <w:rPr>
          <w:rFonts w:hint="eastAsia" w:ascii="宋体" w:hAnsi="宋体" w:cs="宋体"/>
          <w:sz w:val="24"/>
        </w:rPr>
        <w:t>3.4.1 除第二章“</w:t>
      </w:r>
      <w:r>
        <w:rPr>
          <w:rFonts w:hint="eastAsia" w:ascii="宋体" w:hAnsi="宋体" w:cs="宋体"/>
          <w:sz w:val="24"/>
          <w:lang w:eastAsia="zh-CN"/>
        </w:rPr>
        <w:t>供应商</w:t>
      </w:r>
      <w:r>
        <w:rPr>
          <w:rFonts w:hint="eastAsia" w:ascii="宋体" w:hAnsi="宋体" w:cs="宋体"/>
          <w:sz w:val="24"/>
        </w:rPr>
        <w:t>须知”前附表授权直接确定中标人外，评标委员会按照得分由高到低的顺序推荐1-3名中标候选人。</w:t>
      </w:r>
    </w:p>
    <w:p w14:paraId="77A3B928">
      <w:pPr>
        <w:pStyle w:val="61"/>
        <w:spacing w:line="360" w:lineRule="auto"/>
        <w:ind w:firstLine="480" w:firstLineChars="200"/>
        <w:jc w:val="both"/>
        <w:rPr>
          <w:rFonts w:hint="default" w:hAnsi="宋体" w:cs="宋体"/>
          <w:b/>
          <w:color w:val="auto"/>
        </w:rPr>
      </w:pPr>
      <w:r>
        <w:rPr>
          <w:rFonts w:hAnsi="宋体" w:cs="宋体"/>
          <w:color w:val="auto"/>
        </w:rPr>
        <w:t>3.4.2 评标委员会完成评标后，应当向</w:t>
      </w:r>
      <w:r>
        <w:rPr>
          <w:rFonts w:hint="eastAsia" w:hAnsi="宋体" w:cs="宋体"/>
          <w:color w:val="auto"/>
          <w:lang w:eastAsia="zh-CN"/>
        </w:rPr>
        <w:t>采购人</w:t>
      </w:r>
      <w:r>
        <w:rPr>
          <w:rFonts w:hAnsi="宋体" w:cs="宋体"/>
          <w:color w:val="auto"/>
        </w:rPr>
        <w:t>提交书面评标报告。</w:t>
      </w:r>
      <w:r>
        <w:rPr>
          <w:rFonts w:hAnsi="宋体" w:cs="宋体"/>
          <w:b/>
          <w:color w:val="auto"/>
        </w:rPr>
        <w:br w:type="page"/>
      </w:r>
      <w:bookmarkStart w:id="268" w:name="_Toc17925"/>
      <w:bookmarkStart w:id="269" w:name="_Toc142932630"/>
      <w:bookmarkStart w:id="270" w:name="_Toc2989"/>
    </w:p>
    <w:p w14:paraId="20CE630F">
      <w:pPr>
        <w:pStyle w:val="3"/>
        <w:jc w:val="center"/>
      </w:pPr>
      <w:bookmarkStart w:id="271" w:name="_Toc193295706"/>
      <w:r>
        <w:t>第五章 合同条款及格式</w:t>
      </w:r>
      <w:bookmarkEnd w:id="268"/>
      <w:bookmarkEnd w:id="269"/>
      <w:bookmarkEnd w:id="270"/>
      <w:bookmarkEnd w:id="271"/>
    </w:p>
    <w:p w14:paraId="0850A898">
      <w:pPr>
        <w:ind w:firstLine="280" w:firstLineChars="100"/>
        <w:jc w:val="center"/>
        <w:rPr>
          <w:rFonts w:ascii="宋体" w:hAnsi="宋体" w:cs="宋体"/>
          <w:bCs/>
          <w:sz w:val="28"/>
          <w:szCs w:val="28"/>
        </w:rPr>
      </w:pPr>
      <w:bookmarkStart w:id="272" w:name="_Toc147975192"/>
      <w:bookmarkStart w:id="273" w:name="_Toc39152304"/>
      <w:bookmarkStart w:id="274" w:name="_Toc38967086"/>
      <w:bookmarkStart w:id="275" w:name="_Toc146438235"/>
      <w:bookmarkStart w:id="276" w:name="_Toc269715900"/>
      <w:bookmarkStart w:id="277" w:name="_Toc168930901"/>
      <w:bookmarkStart w:id="278" w:name="_Toc39067084"/>
      <w:bookmarkStart w:id="279" w:name="_Toc39154271"/>
      <w:bookmarkStart w:id="280" w:name="_Toc147975496"/>
      <w:bookmarkStart w:id="281" w:name="_Toc38963525"/>
      <w:bookmarkStart w:id="282" w:name="_Toc38965487"/>
      <w:bookmarkStart w:id="283" w:name="_Toc39156189"/>
      <w:bookmarkStart w:id="284" w:name="_Toc147283398"/>
      <w:bookmarkStart w:id="285" w:name="_Toc147287589"/>
      <w:bookmarkStart w:id="286" w:name="_Toc146438029"/>
      <w:bookmarkStart w:id="287" w:name="_Toc39037094"/>
      <w:bookmarkStart w:id="288" w:name="_Toc127199869"/>
      <w:bookmarkStart w:id="289" w:name="_Toc38966382"/>
      <w:bookmarkStart w:id="290" w:name="_Toc39155679"/>
      <w:bookmarkStart w:id="291" w:name="_Toc168995653"/>
      <w:bookmarkStart w:id="292" w:name="_Toc146437875"/>
      <w:r>
        <w:rPr>
          <w:rFonts w:hint="eastAsia" w:ascii="宋体" w:hAnsi="宋体" w:cs="宋体"/>
          <w:bCs/>
          <w:sz w:val="28"/>
          <w:szCs w:val="28"/>
        </w:rPr>
        <w:t>（合同仅供参考，具体内容以实际签订为准）</w:t>
      </w:r>
    </w:p>
    <w:p w14:paraId="666F1716">
      <w:pPr>
        <w:spacing w:line="400" w:lineRule="exact"/>
        <w:jc w:val="center"/>
        <w:rPr>
          <w:sz w:val="24"/>
          <w:szCs w:val="21"/>
        </w:rPr>
      </w:pPr>
      <w:r>
        <w:rPr>
          <w:rFonts w:hint="eastAsia"/>
          <w:sz w:val="24"/>
          <w:szCs w:val="21"/>
        </w:rPr>
        <w:t>（仅供参考）</w:t>
      </w:r>
    </w:p>
    <w:p w14:paraId="6A425EE8">
      <w:pPr>
        <w:spacing w:line="480" w:lineRule="exact"/>
        <w:rPr>
          <w:rFonts w:ascii="宋体" w:hAnsi="宋体"/>
          <w:color w:val="000000"/>
          <w:sz w:val="24"/>
          <w:u w:val="single"/>
        </w:rPr>
      </w:pPr>
      <w:bookmarkStart w:id="293" w:name="_Toc375040676"/>
      <w:bookmarkEnd w:id="293"/>
      <w:r>
        <w:rPr>
          <w:rFonts w:ascii="宋体" w:hAnsi="宋体"/>
          <w:color w:val="000000"/>
          <w:sz w:val="24"/>
        </w:rPr>
        <w:t>发包人（全称）：</w:t>
      </w:r>
      <w:r>
        <w:rPr>
          <w:rFonts w:hint="eastAsia" w:ascii="宋体" w:hAnsi="宋体" w:cs="宋体"/>
          <w:color w:val="000000"/>
          <w:sz w:val="24"/>
          <w:u w:val="single"/>
        </w:rPr>
        <w:t></w:t>
      </w:r>
      <w:r>
        <w:rPr>
          <w:rFonts w:hint="eastAsia" w:ascii="宋体" w:hAnsi="宋体"/>
          <w:color w:val="000000"/>
          <w:sz w:val="24"/>
          <w:u w:val="single"/>
        </w:rPr>
        <w:t xml:space="preserve">                                 </w:t>
      </w:r>
    </w:p>
    <w:p w14:paraId="1A9CBCFE">
      <w:pPr>
        <w:spacing w:line="480" w:lineRule="exact"/>
        <w:rPr>
          <w:rFonts w:ascii="宋体" w:hAnsi="宋体"/>
          <w:color w:val="000000"/>
          <w:sz w:val="24"/>
          <w:u w:val="single"/>
        </w:rPr>
      </w:pPr>
      <w:r>
        <w:rPr>
          <w:rFonts w:ascii="宋体" w:hAnsi="宋体"/>
          <w:color w:val="000000"/>
          <w:sz w:val="24"/>
        </w:rPr>
        <w:t>承包人（全称）：</w:t>
      </w:r>
      <w:r>
        <w:rPr>
          <w:rFonts w:hint="eastAsia" w:ascii="宋体" w:hAnsi="宋体" w:cs="宋体"/>
          <w:color w:val="000000"/>
          <w:sz w:val="24"/>
          <w:u w:val="single"/>
        </w:rPr>
        <w:t>                     </w:t>
      </w:r>
    </w:p>
    <w:p w14:paraId="40B6591B">
      <w:pPr>
        <w:spacing w:line="480" w:lineRule="exact"/>
        <w:ind w:firstLine="480"/>
        <w:rPr>
          <w:rFonts w:ascii="宋体" w:hAnsi="宋体"/>
          <w:color w:val="000000"/>
          <w:sz w:val="24"/>
        </w:rPr>
      </w:pPr>
      <w:r>
        <w:rPr>
          <w:rFonts w:ascii="宋体" w:hAnsi="宋体"/>
          <w:color w:val="000000"/>
          <w:sz w:val="24"/>
        </w:rPr>
        <w:t>根据《中华人民共和国合同法》、《中华人民共和国建筑法》及有关法律规定，遵循平等、自愿、公平和诚实信用的原则，双方就</w:t>
      </w:r>
      <w:r>
        <w:rPr>
          <w:rFonts w:hint="eastAsia" w:ascii="宋体" w:hAnsi="宋体"/>
          <w:color w:val="000000"/>
          <w:sz w:val="24"/>
          <w:u w:val="single"/>
        </w:rPr>
        <w:t xml:space="preserve">                         项目</w:t>
      </w:r>
      <w:r>
        <w:rPr>
          <w:rFonts w:ascii="宋体" w:hAnsi="宋体"/>
          <w:color w:val="000000"/>
          <w:sz w:val="24"/>
        </w:rPr>
        <w:t>有关事项协商一致，共同达成如下协议：</w:t>
      </w:r>
    </w:p>
    <w:p w14:paraId="28AFED83">
      <w:pPr>
        <w:spacing w:before="120" w:after="120" w:line="480" w:lineRule="exact"/>
        <w:outlineLvl w:val="3"/>
        <w:rPr>
          <w:rFonts w:ascii="宋体" w:hAnsi="宋体"/>
          <w:bCs/>
          <w:color w:val="000000"/>
          <w:kern w:val="1"/>
          <w:sz w:val="24"/>
        </w:rPr>
      </w:pPr>
      <w:bookmarkStart w:id="294" w:name="_Toc351203481"/>
      <w:bookmarkEnd w:id="294"/>
      <w:r>
        <w:rPr>
          <w:rFonts w:ascii="宋体" w:hAnsi="宋体"/>
          <w:color w:val="000000"/>
          <w:kern w:val="1"/>
          <w:sz w:val="24"/>
        </w:rPr>
        <w:t>一、工程概况</w:t>
      </w:r>
    </w:p>
    <w:p w14:paraId="4E0E4BE3">
      <w:pPr>
        <w:spacing w:line="480" w:lineRule="exact"/>
        <w:ind w:firstLine="470"/>
        <w:rPr>
          <w:rFonts w:ascii="宋体" w:hAnsi="宋体"/>
          <w:color w:val="000000"/>
          <w:sz w:val="24"/>
          <w:u w:val="single"/>
        </w:rPr>
      </w:pPr>
      <w:r>
        <w:rPr>
          <w:rFonts w:ascii="宋体" w:hAnsi="宋体"/>
          <w:bCs/>
          <w:color w:val="000000"/>
          <w:sz w:val="24"/>
        </w:rPr>
        <w:t>1.工程名称</w:t>
      </w:r>
      <w:r>
        <w:rPr>
          <w:rFonts w:ascii="宋体" w:hAnsi="宋体"/>
          <w:color w:val="000000"/>
          <w:sz w:val="24"/>
        </w:rPr>
        <w:t>：</w:t>
      </w:r>
      <w:r>
        <w:rPr>
          <w:rFonts w:hint="eastAsia" w:ascii="宋体" w:hAnsi="宋体"/>
          <w:bCs/>
          <w:color w:val="000000"/>
          <w:sz w:val="24"/>
          <w:u w:val="single"/>
        </w:rPr>
        <w:t></w:t>
      </w:r>
      <w:r>
        <w:rPr>
          <w:rFonts w:hint="eastAsia" w:ascii="宋体" w:hAnsi="宋体"/>
          <w:color w:val="000000"/>
          <w:sz w:val="24"/>
          <w:u w:val="single"/>
        </w:rPr>
        <w:t xml:space="preserve">                                       。</w:t>
      </w:r>
    </w:p>
    <w:p w14:paraId="09CA1267">
      <w:pPr>
        <w:spacing w:line="480" w:lineRule="exact"/>
        <w:ind w:firstLine="470"/>
        <w:rPr>
          <w:rFonts w:ascii="宋体" w:hAnsi="宋体" w:cs="宋体"/>
          <w:color w:val="000000"/>
          <w:sz w:val="24"/>
          <w:u w:val="single"/>
        </w:rPr>
      </w:pPr>
      <w:r>
        <w:rPr>
          <w:rFonts w:ascii="宋体" w:hAnsi="宋体"/>
          <w:color w:val="000000"/>
          <w:sz w:val="24"/>
        </w:rPr>
        <w:t>2.工程地点：</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11AE7849">
      <w:pPr>
        <w:spacing w:line="480" w:lineRule="exact"/>
        <w:ind w:firstLine="470"/>
        <w:rPr>
          <w:rFonts w:ascii="宋体" w:hAnsi="宋体"/>
          <w:color w:val="000000"/>
          <w:sz w:val="24"/>
        </w:rPr>
      </w:pPr>
      <w:r>
        <w:rPr>
          <w:rFonts w:ascii="宋体" w:hAnsi="宋体"/>
          <w:color w:val="000000"/>
          <w:sz w:val="24"/>
        </w:rPr>
        <w:t>3.工程立项批准文号：</w:t>
      </w:r>
      <w:r>
        <w:rPr>
          <w:rFonts w:hint="eastAsia" w:ascii="宋体" w:hAnsi="宋体" w:cs="宋体"/>
          <w:color w:val="000000"/>
          <w:sz w:val="24"/>
          <w:u w:val="single"/>
        </w:rPr>
        <w:t></w:t>
      </w:r>
      <w:r>
        <w:rPr>
          <w:rFonts w:hint="eastAsia" w:ascii="宋体" w:hAnsi="宋体" w:cs="仿宋_GB2312"/>
          <w:color w:val="000000"/>
          <w:sz w:val="24"/>
          <w:u w:val="single"/>
        </w:rPr>
        <w:t>／</w:t>
      </w:r>
      <w:r>
        <w:rPr>
          <w:rFonts w:hint="eastAsia" w:ascii="宋体" w:hAnsi="宋体" w:cs="宋体"/>
          <w:color w:val="000000"/>
          <w:sz w:val="24"/>
          <w:u w:val="single"/>
        </w:rPr>
        <w:t xml:space="preserve"> </w:t>
      </w:r>
      <w:r>
        <w:rPr>
          <w:rFonts w:ascii="宋体" w:hAnsi="宋体"/>
          <w:color w:val="000000"/>
          <w:sz w:val="24"/>
          <w:u w:val="single"/>
        </w:rPr>
        <w:t>。</w:t>
      </w:r>
    </w:p>
    <w:p w14:paraId="3C2ED40F">
      <w:pPr>
        <w:spacing w:line="480" w:lineRule="exact"/>
        <w:ind w:firstLine="470"/>
        <w:rPr>
          <w:rFonts w:ascii="宋体" w:hAnsi="宋体"/>
          <w:color w:val="000000"/>
          <w:sz w:val="24"/>
        </w:rPr>
      </w:pPr>
      <w:r>
        <w:rPr>
          <w:rFonts w:ascii="宋体" w:hAnsi="宋体"/>
          <w:color w:val="000000"/>
          <w:sz w:val="24"/>
        </w:rPr>
        <w:t>4.资金来源：</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ascii="宋体" w:hAnsi="宋体"/>
          <w:color w:val="000000"/>
          <w:sz w:val="24"/>
        </w:rPr>
        <w:t>。</w:t>
      </w:r>
    </w:p>
    <w:p w14:paraId="1B4D94A2">
      <w:pPr>
        <w:spacing w:line="480" w:lineRule="exact"/>
        <w:ind w:firstLine="470"/>
        <w:rPr>
          <w:rFonts w:ascii="宋体" w:hAnsi="宋体"/>
          <w:color w:val="000000"/>
          <w:sz w:val="24"/>
        </w:rPr>
      </w:pPr>
      <w:r>
        <w:rPr>
          <w:rFonts w:hint="eastAsia" w:ascii="宋体" w:hAnsi="宋体"/>
          <w:color w:val="000000"/>
          <w:sz w:val="24"/>
        </w:rPr>
        <w:t>5</w:t>
      </w:r>
      <w:r>
        <w:rPr>
          <w:rFonts w:ascii="宋体" w:hAnsi="宋体"/>
          <w:color w:val="000000"/>
          <w:sz w:val="24"/>
        </w:rPr>
        <w:t>.工程承包范围：</w:t>
      </w:r>
      <w:r>
        <w:rPr>
          <w:rFonts w:hint="eastAsia" w:ascii="宋体" w:hAnsi="宋体"/>
          <w:color w:val="000000"/>
          <w:sz w:val="24"/>
          <w:u w:val="single"/>
        </w:rPr>
        <w:t>（详见谈判文件及工程量清单）</w:t>
      </w:r>
      <w:r>
        <w:rPr>
          <w:rFonts w:ascii="宋体" w:hAnsi="宋体"/>
          <w:color w:val="000000"/>
          <w:sz w:val="24"/>
        </w:rPr>
        <w:t>。</w:t>
      </w:r>
    </w:p>
    <w:p w14:paraId="3180D242">
      <w:pPr>
        <w:spacing w:before="120" w:after="120" w:line="480" w:lineRule="exact"/>
        <w:outlineLvl w:val="3"/>
        <w:rPr>
          <w:rFonts w:ascii="宋体" w:hAnsi="宋体"/>
          <w:bCs/>
          <w:color w:val="000000"/>
          <w:kern w:val="1"/>
          <w:sz w:val="24"/>
        </w:rPr>
      </w:pPr>
      <w:bookmarkStart w:id="295" w:name="_Toc351203482"/>
      <w:bookmarkEnd w:id="295"/>
      <w:r>
        <w:rPr>
          <w:rFonts w:ascii="宋体" w:hAnsi="宋体"/>
          <w:bCs/>
          <w:color w:val="000000"/>
          <w:kern w:val="1"/>
          <w:sz w:val="24"/>
        </w:rPr>
        <w:t>二、合同工期</w:t>
      </w:r>
    </w:p>
    <w:p w14:paraId="2FCAEC3A">
      <w:pPr>
        <w:spacing w:line="480" w:lineRule="exact"/>
        <w:ind w:firstLine="459"/>
        <w:rPr>
          <w:rFonts w:ascii="宋体" w:hAnsi="宋体"/>
          <w:color w:val="000000"/>
          <w:sz w:val="24"/>
        </w:rPr>
      </w:pPr>
      <w:r>
        <w:rPr>
          <w:rFonts w:ascii="宋体" w:hAnsi="宋体"/>
          <w:color w:val="000000"/>
          <w:sz w:val="24"/>
        </w:rPr>
        <w:t>计划开工日期：</w:t>
      </w:r>
      <w:r>
        <w:rPr>
          <w:rFonts w:hint="eastAsia" w:ascii="宋体" w:hAnsi="宋体" w:cs="宋体"/>
          <w:color w:val="000000"/>
          <w:sz w:val="24"/>
        </w:rPr>
        <w:t></w:t>
      </w:r>
      <w:r>
        <w:rPr>
          <w:rFonts w:hint="eastAsia" w:ascii="宋体" w:hAnsi="宋体"/>
          <w:color w:val="000000"/>
          <w:sz w:val="24"/>
          <w:u w:val="single"/>
        </w:rPr>
        <w:t xml:space="preserve">         </w:t>
      </w:r>
      <w:r>
        <w:rPr>
          <w:rFonts w:hint="eastAsia" w:ascii="宋体" w:hAnsi="宋体"/>
          <w:color w:val="000000"/>
          <w:sz w:val="24"/>
        </w:rPr>
        <w:t>年</w:t>
      </w:r>
      <w:r>
        <w:rPr>
          <w:rFonts w:hint="eastAsia" w:ascii="宋体" w:hAnsi="宋体"/>
          <w:color w:val="000000"/>
          <w:sz w:val="24"/>
          <w:u w:val="single"/>
        </w:rPr>
        <w:t xml:space="preserve">       </w:t>
      </w:r>
      <w:r>
        <w:rPr>
          <w:rFonts w:hint="eastAsia" w:ascii="宋体" w:hAnsi="宋体"/>
          <w:color w:val="000000"/>
          <w:sz w:val="24"/>
        </w:rPr>
        <w:t>月</w:t>
      </w:r>
      <w:r>
        <w:rPr>
          <w:rFonts w:hint="eastAsia" w:ascii="宋体" w:hAnsi="宋体"/>
          <w:color w:val="000000"/>
          <w:sz w:val="24"/>
          <w:u w:val="single"/>
        </w:rPr>
        <w:t xml:space="preserve">     </w:t>
      </w:r>
      <w:r>
        <w:rPr>
          <w:rFonts w:ascii="宋体" w:hAnsi="宋体"/>
          <w:color w:val="000000"/>
          <w:sz w:val="24"/>
          <w:u w:val="single"/>
        </w:rPr>
        <w:t>日</w:t>
      </w:r>
      <w:r>
        <w:rPr>
          <w:rFonts w:ascii="宋体" w:hAnsi="宋体"/>
          <w:color w:val="000000"/>
          <w:sz w:val="24"/>
        </w:rPr>
        <w:t>。</w:t>
      </w:r>
    </w:p>
    <w:p w14:paraId="41FCDCE5">
      <w:pPr>
        <w:spacing w:line="480" w:lineRule="exact"/>
        <w:ind w:firstLine="459"/>
        <w:rPr>
          <w:rFonts w:ascii="宋体" w:hAnsi="宋体"/>
          <w:color w:val="000000"/>
          <w:sz w:val="24"/>
        </w:rPr>
      </w:pPr>
      <w:r>
        <w:rPr>
          <w:rFonts w:ascii="宋体" w:hAnsi="宋体"/>
          <w:color w:val="000000"/>
          <w:sz w:val="24"/>
        </w:rPr>
        <w:t>计划竣工日期：</w:t>
      </w:r>
      <w:r>
        <w:rPr>
          <w:rFonts w:hint="eastAsia" w:ascii="宋体" w:hAnsi="宋体" w:cs="宋体"/>
          <w:color w:val="000000"/>
          <w:sz w:val="24"/>
        </w:rPr>
        <w:t></w:t>
      </w:r>
      <w:r>
        <w:rPr>
          <w:rFonts w:hint="eastAsia" w:ascii="宋体" w:hAnsi="宋体"/>
          <w:color w:val="000000"/>
          <w:sz w:val="24"/>
          <w:u w:val="single"/>
        </w:rPr>
        <w:t xml:space="preserve">        </w:t>
      </w:r>
      <w:r>
        <w:rPr>
          <w:rFonts w:ascii="宋体" w:hAnsi="宋体"/>
          <w:color w:val="000000"/>
          <w:sz w:val="24"/>
        </w:rPr>
        <w:t>年</w:t>
      </w:r>
      <w:r>
        <w:rPr>
          <w:rFonts w:hint="eastAsia" w:ascii="宋体" w:hAnsi="宋体"/>
          <w:color w:val="000000"/>
          <w:sz w:val="24"/>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月</w:t>
      </w:r>
      <w:r>
        <w:rPr>
          <w:rFonts w:hint="eastAsia" w:ascii="宋体" w:hAnsi="宋体"/>
          <w:color w:val="000000"/>
          <w:sz w:val="24"/>
          <w:u w:val="single"/>
        </w:rPr>
        <w:t xml:space="preserve">     </w:t>
      </w:r>
      <w:r>
        <w:rPr>
          <w:rFonts w:ascii="宋体" w:hAnsi="宋体"/>
          <w:color w:val="000000"/>
          <w:sz w:val="24"/>
        </w:rPr>
        <w:t>日。</w:t>
      </w:r>
    </w:p>
    <w:p w14:paraId="63FE5EFD">
      <w:pPr>
        <w:spacing w:line="480" w:lineRule="exact"/>
        <w:ind w:firstLine="459"/>
        <w:rPr>
          <w:rFonts w:ascii="宋体" w:hAnsi="宋体"/>
          <w:color w:val="000000"/>
          <w:sz w:val="24"/>
        </w:rPr>
      </w:pPr>
      <w:r>
        <w:rPr>
          <w:rFonts w:ascii="宋体" w:hAnsi="宋体"/>
          <w:color w:val="000000"/>
          <w:sz w:val="24"/>
        </w:rPr>
        <w:t>工期总日历天数：</w:t>
      </w:r>
      <w:r>
        <w:rPr>
          <w:rFonts w:hint="eastAsia" w:ascii="宋体" w:hAnsi="宋体"/>
          <w:color w:val="000000"/>
          <w:sz w:val="24"/>
          <w:u w:val="single"/>
        </w:rPr>
        <w:t xml:space="preserve">        </w:t>
      </w:r>
      <w:r>
        <w:rPr>
          <w:rFonts w:hint="eastAsia" w:ascii="宋体" w:hAnsi="宋体"/>
          <w:color w:val="000000"/>
          <w:sz w:val="24"/>
        </w:rPr>
        <w:t>日历</w:t>
      </w:r>
      <w:r>
        <w:rPr>
          <w:rFonts w:ascii="宋体" w:hAnsi="宋体"/>
          <w:color w:val="000000"/>
          <w:sz w:val="24"/>
        </w:rPr>
        <w:t>天。工期总日历天数与根据前述计划开竣工日期计算的工期天数不一致的，以工期总日历天数为准。</w:t>
      </w:r>
    </w:p>
    <w:p w14:paraId="0DB53DC9">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6" w:name="_Toc351203483"/>
      <w:bookmarkEnd w:id="296"/>
      <w:r>
        <w:rPr>
          <w:rFonts w:ascii="宋体" w:hAnsi="宋体"/>
          <w:color w:val="000000"/>
          <w:kern w:val="1"/>
          <w:sz w:val="24"/>
        </w:rPr>
        <w:t>三、质量标准</w:t>
      </w:r>
    </w:p>
    <w:p w14:paraId="0F67689E">
      <w:pPr>
        <w:spacing w:line="480" w:lineRule="exact"/>
        <w:ind w:firstLine="459"/>
        <w:jc w:val="left"/>
        <w:rPr>
          <w:rFonts w:ascii="宋体" w:hAnsi="宋体"/>
          <w:color w:val="000000"/>
          <w:sz w:val="24"/>
        </w:rPr>
      </w:pPr>
      <w:r>
        <w:rPr>
          <w:rFonts w:ascii="宋体" w:hAnsi="宋体"/>
          <w:color w:val="000000"/>
          <w:sz w:val="24"/>
        </w:rPr>
        <w:t>工程质量符合</w:t>
      </w:r>
      <w:r>
        <w:rPr>
          <w:rFonts w:hint="eastAsia" w:ascii="宋体" w:hAnsi="宋体"/>
          <w:color w:val="000000"/>
          <w:sz w:val="24"/>
        </w:rPr>
        <w:t xml:space="preserve">现行建设工程施工及验收规范合格标准 </w:t>
      </w:r>
      <w:r>
        <w:rPr>
          <w:rFonts w:ascii="宋体" w:hAnsi="宋体"/>
          <w:color w:val="000000"/>
          <w:sz w:val="24"/>
        </w:rPr>
        <w:t>。</w:t>
      </w:r>
    </w:p>
    <w:p w14:paraId="462AEE45">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7" w:name="_Toc351203484"/>
      <w:bookmarkEnd w:id="297"/>
      <w:r>
        <w:rPr>
          <w:rFonts w:ascii="宋体" w:hAnsi="宋体"/>
          <w:color w:val="000000"/>
          <w:kern w:val="1"/>
          <w:sz w:val="24"/>
        </w:rPr>
        <w:t>四、签约合同价与合同价格形式</w:t>
      </w:r>
      <w:r>
        <w:rPr>
          <w:rFonts w:ascii="宋体" w:hAnsi="宋体"/>
          <w:color w:val="000000"/>
          <w:kern w:val="1"/>
          <w:sz w:val="24"/>
        </w:rPr>
        <w:tab/>
      </w:r>
    </w:p>
    <w:p w14:paraId="6B875917">
      <w:pPr>
        <w:spacing w:line="480" w:lineRule="exact"/>
        <w:ind w:firstLine="480"/>
        <w:rPr>
          <w:rFonts w:ascii="宋体" w:hAnsi="宋体"/>
          <w:color w:val="000000"/>
          <w:sz w:val="24"/>
        </w:rPr>
      </w:pPr>
      <w:r>
        <w:rPr>
          <w:rFonts w:ascii="宋体" w:hAnsi="宋体"/>
          <w:color w:val="000000"/>
          <w:sz w:val="24"/>
        </w:rPr>
        <w:t>签约合同价为：</w:t>
      </w:r>
    </w:p>
    <w:p w14:paraId="18315C2C">
      <w:pPr>
        <w:spacing w:line="480" w:lineRule="exact"/>
        <w:ind w:firstLine="600"/>
        <w:rPr>
          <w:rFonts w:ascii="宋体" w:hAnsi="宋体"/>
          <w:color w:val="000000"/>
          <w:sz w:val="24"/>
        </w:rPr>
      </w:pPr>
      <w:r>
        <w:rPr>
          <w:rFonts w:ascii="宋体" w:hAnsi="宋体"/>
          <w:color w:val="000000"/>
          <w:sz w:val="24"/>
        </w:rPr>
        <w:t>人民币（大写）</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元)；</w:t>
      </w:r>
    </w:p>
    <w:p w14:paraId="569F4DAA">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bookmarkStart w:id="298" w:name="_Toc351203485"/>
      <w:bookmarkEnd w:id="298"/>
      <w:r>
        <w:rPr>
          <w:rFonts w:ascii="宋体" w:hAnsi="宋体"/>
          <w:bCs/>
          <w:color w:val="000000"/>
          <w:kern w:val="1"/>
          <w:sz w:val="24"/>
        </w:rPr>
        <w:t>五、项目经理</w:t>
      </w:r>
    </w:p>
    <w:p w14:paraId="19DF7862">
      <w:pPr>
        <w:spacing w:line="480" w:lineRule="exact"/>
        <w:ind w:firstLine="480"/>
        <w:rPr>
          <w:rFonts w:ascii="宋体" w:hAnsi="宋体"/>
          <w:color w:val="000000"/>
          <w:sz w:val="24"/>
        </w:rPr>
      </w:pPr>
      <w:r>
        <w:rPr>
          <w:rFonts w:ascii="宋体" w:hAnsi="宋体"/>
          <w:color w:val="000000"/>
          <w:sz w:val="24"/>
        </w:rPr>
        <w:t>承包人项目经理：</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w:t>
      </w:r>
      <w:r>
        <w:rPr>
          <w:rFonts w:ascii="宋体" w:hAnsi="宋体"/>
          <w:color w:val="000000"/>
          <w:sz w:val="24"/>
        </w:rPr>
        <w:t>。</w:t>
      </w:r>
    </w:p>
    <w:p w14:paraId="1B65BEF8">
      <w:pPr>
        <w:spacing w:before="120" w:after="120" w:line="48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299" w:name="_Toc351203486"/>
      <w:bookmarkEnd w:id="299"/>
      <w:r>
        <w:rPr>
          <w:rFonts w:ascii="宋体" w:hAnsi="宋体"/>
          <w:color w:val="000000"/>
          <w:kern w:val="1"/>
          <w:sz w:val="24"/>
        </w:rPr>
        <w:t>六、合同文件构成</w:t>
      </w:r>
    </w:p>
    <w:p w14:paraId="5794C25B">
      <w:pPr>
        <w:spacing w:line="480" w:lineRule="exact"/>
        <w:ind w:firstLine="480"/>
        <w:rPr>
          <w:rFonts w:ascii="宋体" w:hAnsi="宋体"/>
          <w:color w:val="000000"/>
          <w:sz w:val="24"/>
        </w:rPr>
      </w:pPr>
      <w:r>
        <w:rPr>
          <w:rFonts w:ascii="宋体" w:hAnsi="宋体"/>
          <w:color w:val="000000"/>
          <w:sz w:val="24"/>
        </w:rPr>
        <w:t>本协议书与下列文件一起构成合同文件：</w:t>
      </w:r>
    </w:p>
    <w:p w14:paraId="7D089F92">
      <w:pPr>
        <w:spacing w:line="480" w:lineRule="exact"/>
        <w:ind w:firstLine="480"/>
        <w:jc w:val="left"/>
        <w:rPr>
          <w:rFonts w:ascii="宋体" w:hAnsi="宋体"/>
          <w:color w:val="000000"/>
          <w:sz w:val="24"/>
        </w:rPr>
      </w:pPr>
      <w:r>
        <w:rPr>
          <w:rFonts w:ascii="宋体" w:hAnsi="宋体"/>
          <w:color w:val="000000"/>
          <w:sz w:val="24"/>
        </w:rPr>
        <w:t>（1）中标通知书（如果有）；</w:t>
      </w:r>
    </w:p>
    <w:p w14:paraId="68E5AB85">
      <w:pPr>
        <w:spacing w:line="480" w:lineRule="exact"/>
        <w:ind w:firstLine="480"/>
        <w:jc w:val="left"/>
        <w:rPr>
          <w:rFonts w:ascii="宋体" w:hAnsi="宋体"/>
          <w:color w:val="000000"/>
          <w:sz w:val="24"/>
        </w:rPr>
      </w:pPr>
      <w:r>
        <w:rPr>
          <w:rFonts w:ascii="宋体" w:hAnsi="宋体"/>
          <w:color w:val="000000"/>
          <w:sz w:val="24"/>
        </w:rPr>
        <w:t xml:space="preserve">（2）投标函（如果有）； </w:t>
      </w:r>
    </w:p>
    <w:p w14:paraId="6BB47D77">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3</w:t>
      </w:r>
      <w:r>
        <w:rPr>
          <w:rFonts w:ascii="宋体" w:hAnsi="宋体"/>
          <w:color w:val="000000"/>
          <w:sz w:val="24"/>
        </w:rPr>
        <w:t>）技术标准和要求；</w:t>
      </w:r>
    </w:p>
    <w:p w14:paraId="2DB78CA4">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4</w:t>
      </w:r>
      <w:r>
        <w:rPr>
          <w:rFonts w:ascii="宋体" w:hAnsi="宋体"/>
          <w:color w:val="000000"/>
          <w:sz w:val="24"/>
        </w:rPr>
        <w:t>）已标价工程量清单或预算书；</w:t>
      </w:r>
    </w:p>
    <w:p w14:paraId="5CB5B368">
      <w:pPr>
        <w:spacing w:line="480" w:lineRule="exact"/>
        <w:ind w:firstLine="480"/>
        <w:jc w:val="left"/>
        <w:rPr>
          <w:rFonts w:ascii="宋体" w:hAnsi="宋体"/>
          <w:color w:val="000000"/>
          <w:sz w:val="24"/>
        </w:rPr>
      </w:pPr>
      <w:r>
        <w:rPr>
          <w:rFonts w:ascii="宋体" w:hAnsi="宋体"/>
          <w:color w:val="000000"/>
          <w:sz w:val="24"/>
        </w:rPr>
        <w:t>（</w:t>
      </w:r>
      <w:r>
        <w:rPr>
          <w:rFonts w:hint="eastAsia" w:ascii="宋体" w:hAnsi="宋体"/>
          <w:color w:val="000000"/>
          <w:sz w:val="24"/>
        </w:rPr>
        <w:t>5</w:t>
      </w:r>
      <w:r>
        <w:rPr>
          <w:rFonts w:ascii="宋体" w:hAnsi="宋体"/>
          <w:color w:val="000000"/>
          <w:sz w:val="24"/>
        </w:rPr>
        <w:t>）其他合同文件。</w:t>
      </w:r>
    </w:p>
    <w:p w14:paraId="13B21D41">
      <w:pPr>
        <w:spacing w:line="480" w:lineRule="exact"/>
        <w:ind w:firstLine="480"/>
        <w:jc w:val="left"/>
        <w:rPr>
          <w:rFonts w:ascii="宋体" w:hAnsi="宋体"/>
          <w:color w:val="000000"/>
          <w:sz w:val="24"/>
        </w:rPr>
      </w:pPr>
      <w:r>
        <w:rPr>
          <w:rFonts w:ascii="宋体" w:hAnsi="宋体"/>
          <w:color w:val="000000"/>
          <w:sz w:val="24"/>
        </w:rPr>
        <w:t>在合同订立及履行过程中形成的与合同有关的文件均构成合同文件组成部分。</w:t>
      </w:r>
    </w:p>
    <w:p w14:paraId="1860E95E">
      <w:pPr>
        <w:spacing w:line="500" w:lineRule="exact"/>
        <w:ind w:firstLine="480"/>
        <w:jc w:val="left"/>
        <w:rPr>
          <w:rFonts w:ascii="宋体" w:hAnsi="宋体"/>
          <w:color w:val="000000"/>
          <w:sz w:val="24"/>
        </w:rPr>
      </w:pPr>
      <w:r>
        <w:rPr>
          <w:rFonts w:ascii="宋体" w:hAnsi="宋体"/>
          <w:color w:val="000000"/>
          <w:sz w:val="24"/>
        </w:rPr>
        <w:t>上述各项合同文件包括合同当事人就该项合同文件所作出的补充和修改，属于同一类内容的文件，应以最新签署的为准。</w:t>
      </w:r>
    </w:p>
    <w:p w14:paraId="18C75396">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0" w:name="_Toc351203487"/>
      <w:bookmarkEnd w:id="300"/>
      <w:r>
        <w:rPr>
          <w:rFonts w:ascii="宋体" w:hAnsi="宋体"/>
          <w:color w:val="000000"/>
          <w:kern w:val="1"/>
          <w:sz w:val="24"/>
        </w:rPr>
        <w:t>七、承诺</w:t>
      </w:r>
    </w:p>
    <w:p w14:paraId="0D7DBCCD">
      <w:pPr>
        <w:spacing w:line="500" w:lineRule="exact"/>
        <w:ind w:firstLine="480"/>
        <w:rPr>
          <w:rFonts w:ascii="宋体" w:hAnsi="宋体"/>
          <w:color w:val="000000"/>
          <w:sz w:val="24"/>
        </w:rPr>
      </w:pPr>
      <w:r>
        <w:rPr>
          <w:rFonts w:ascii="宋体" w:hAnsi="宋体"/>
          <w:color w:val="000000"/>
          <w:sz w:val="24"/>
        </w:rPr>
        <w:t>1.发包人承诺按照法律规定履行项目审批手续、筹集工程建设资金并按照合同约定的期限和方式支付合同价款。</w:t>
      </w:r>
    </w:p>
    <w:p w14:paraId="40ADBF4C">
      <w:pPr>
        <w:spacing w:line="500" w:lineRule="exact"/>
        <w:ind w:firstLine="480"/>
        <w:rPr>
          <w:rFonts w:ascii="宋体" w:hAnsi="宋体"/>
          <w:color w:val="000000"/>
          <w:sz w:val="24"/>
        </w:rPr>
      </w:pPr>
      <w:r>
        <w:rPr>
          <w:rFonts w:ascii="宋体" w:hAnsi="宋体"/>
          <w:color w:val="000000"/>
          <w:sz w:val="24"/>
        </w:rPr>
        <w:t>2.承包人承诺按照法律规定及合同约定组织完成工程施工，确保工程质量和安全，不进行转包及违法分包，并在缺陷责任期及保修期内承担相应的工程维修责任。</w:t>
      </w:r>
    </w:p>
    <w:p w14:paraId="0E8FE88F">
      <w:pPr>
        <w:spacing w:line="500" w:lineRule="exact"/>
        <w:ind w:firstLine="480"/>
        <w:rPr>
          <w:rFonts w:ascii="宋体" w:hAnsi="宋体"/>
          <w:color w:val="000000"/>
          <w:sz w:val="24"/>
        </w:rPr>
      </w:pPr>
      <w:r>
        <w:rPr>
          <w:rFonts w:ascii="宋体" w:hAnsi="宋体"/>
          <w:color w:val="000000"/>
          <w:sz w:val="24"/>
        </w:rPr>
        <w:t>3.发包人和承包人通过招投标形式签订合同的，双方理解并</w:t>
      </w:r>
      <w:r>
        <w:rPr>
          <w:rFonts w:hint="eastAsia" w:ascii="宋体" w:hAnsi="宋体"/>
          <w:color w:val="000000"/>
          <w:sz w:val="24"/>
        </w:rPr>
        <w:t>承诺</w:t>
      </w:r>
      <w:r>
        <w:rPr>
          <w:rFonts w:ascii="宋体" w:hAnsi="宋体"/>
          <w:color w:val="000000"/>
          <w:sz w:val="24"/>
        </w:rPr>
        <w:t>不再就同一工程另行签订与合同实质性内容相背离的协议。</w:t>
      </w:r>
      <w:bookmarkStart w:id="301" w:name="_Toc351203488"/>
      <w:bookmarkEnd w:id="301"/>
    </w:p>
    <w:p w14:paraId="1C5CE982">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r>
        <w:rPr>
          <w:rFonts w:ascii="宋体" w:hAnsi="宋体"/>
          <w:color w:val="000000"/>
          <w:kern w:val="1"/>
          <w:sz w:val="24"/>
        </w:rPr>
        <w:t xml:space="preserve">  </w:t>
      </w:r>
      <w:bookmarkStart w:id="302" w:name="_Toc351203489"/>
      <w:bookmarkEnd w:id="302"/>
      <w:r>
        <w:rPr>
          <w:rFonts w:hint="eastAsia" w:ascii="宋体" w:hAnsi="宋体"/>
          <w:color w:val="000000"/>
          <w:kern w:val="1"/>
          <w:sz w:val="24"/>
        </w:rPr>
        <w:t>八</w:t>
      </w:r>
      <w:r>
        <w:rPr>
          <w:rFonts w:ascii="宋体" w:hAnsi="宋体"/>
          <w:color w:val="000000"/>
          <w:kern w:val="1"/>
          <w:sz w:val="24"/>
        </w:rPr>
        <w:t>、签订时间</w:t>
      </w:r>
    </w:p>
    <w:p w14:paraId="46F10542">
      <w:pPr>
        <w:spacing w:line="500" w:lineRule="exact"/>
        <w:ind w:firstLine="480"/>
        <w:rPr>
          <w:rFonts w:ascii="宋体" w:hAnsi="宋体"/>
          <w:color w:val="000000"/>
          <w:sz w:val="24"/>
        </w:rPr>
      </w:pPr>
      <w:r>
        <w:rPr>
          <w:rFonts w:ascii="宋体" w:hAnsi="宋体"/>
          <w:color w:val="000000"/>
          <w:sz w:val="24"/>
        </w:rPr>
        <w:t>本合同于</w:t>
      </w:r>
      <w:r>
        <w:rPr>
          <w:rFonts w:ascii="宋体" w:hAnsi="宋体"/>
          <w:color w:val="000000"/>
          <w:sz w:val="24"/>
          <w:u w:val="single"/>
        </w:rPr>
        <w:t xml:space="preserve">         </w:t>
      </w:r>
      <w:r>
        <w:rPr>
          <w:rFonts w:ascii="宋体" w:hAnsi="宋体"/>
          <w:color w:val="000000"/>
          <w:sz w:val="24"/>
        </w:rPr>
        <w:t>年</w:t>
      </w:r>
      <w:r>
        <w:rPr>
          <w:rFonts w:ascii="宋体" w:hAnsi="宋体"/>
          <w:color w:val="000000"/>
          <w:sz w:val="24"/>
          <w:u w:val="single"/>
        </w:rPr>
        <w:t xml:space="preserve">    </w:t>
      </w:r>
      <w:r>
        <w:rPr>
          <w:rFonts w:ascii="宋体" w:hAnsi="宋体"/>
          <w:color w:val="000000"/>
          <w:sz w:val="24"/>
        </w:rPr>
        <w:t>月</w:t>
      </w:r>
      <w:r>
        <w:rPr>
          <w:rFonts w:ascii="宋体" w:hAnsi="宋体"/>
          <w:color w:val="000000"/>
          <w:sz w:val="24"/>
          <w:u w:val="single"/>
        </w:rPr>
        <w:t xml:space="preserve">    </w:t>
      </w:r>
      <w:r>
        <w:rPr>
          <w:rFonts w:ascii="宋体" w:hAnsi="宋体"/>
          <w:color w:val="000000"/>
          <w:sz w:val="24"/>
        </w:rPr>
        <w:t>日签订。</w:t>
      </w:r>
    </w:p>
    <w:p w14:paraId="221102F4">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3" w:name="_Toc351203490"/>
      <w:bookmarkEnd w:id="303"/>
      <w:r>
        <w:rPr>
          <w:rFonts w:hint="eastAsia" w:ascii="宋体" w:hAnsi="宋体"/>
          <w:color w:val="000000"/>
          <w:kern w:val="1"/>
          <w:sz w:val="24"/>
        </w:rPr>
        <w:t>九</w:t>
      </w:r>
      <w:r>
        <w:rPr>
          <w:rFonts w:ascii="宋体" w:hAnsi="宋体"/>
          <w:color w:val="000000"/>
          <w:kern w:val="1"/>
          <w:sz w:val="24"/>
        </w:rPr>
        <w:t>、签订地点</w:t>
      </w:r>
    </w:p>
    <w:p w14:paraId="4E1DB53B">
      <w:pPr>
        <w:spacing w:line="500" w:lineRule="exact"/>
        <w:ind w:firstLine="480"/>
        <w:rPr>
          <w:rFonts w:ascii="宋体" w:hAnsi="宋体"/>
          <w:color w:val="000000"/>
          <w:sz w:val="24"/>
        </w:rPr>
      </w:pPr>
      <w:r>
        <w:rPr>
          <w:rFonts w:ascii="宋体" w:hAnsi="宋体"/>
          <w:color w:val="000000"/>
          <w:sz w:val="24"/>
        </w:rPr>
        <w:t>本合同在</w:t>
      </w:r>
      <w:r>
        <w:rPr>
          <w:rFonts w:ascii="宋体" w:hAnsi="宋体"/>
          <w:color w:val="000000"/>
          <w:sz w:val="24"/>
          <w:u w:val="single"/>
        </w:rPr>
        <w:t xml:space="preserve">                                    </w:t>
      </w:r>
      <w:r>
        <w:rPr>
          <w:rFonts w:ascii="宋体" w:hAnsi="宋体"/>
          <w:color w:val="000000"/>
          <w:sz w:val="24"/>
        </w:rPr>
        <w:t>签订。</w:t>
      </w:r>
    </w:p>
    <w:p w14:paraId="37462E8F">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4" w:name="_Toc351203491"/>
      <w:bookmarkEnd w:id="304"/>
      <w:r>
        <w:rPr>
          <w:rFonts w:ascii="宋体" w:hAnsi="宋体"/>
          <w:color w:val="000000"/>
          <w:kern w:val="1"/>
          <w:sz w:val="24"/>
        </w:rPr>
        <w:t>十、补充协议</w:t>
      </w:r>
    </w:p>
    <w:p w14:paraId="334AE754">
      <w:pPr>
        <w:spacing w:line="500" w:lineRule="exact"/>
        <w:ind w:firstLine="480"/>
        <w:rPr>
          <w:rFonts w:ascii="宋体" w:hAnsi="宋体"/>
          <w:color w:val="000000"/>
          <w:sz w:val="24"/>
        </w:rPr>
      </w:pPr>
      <w:r>
        <w:rPr>
          <w:rFonts w:ascii="宋体" w:hAnsi="宋体"/>
          <w:color w:val="000000"/>
          <w:sz w:val="24"/>
        </w:rPr>
        <w:t>合同未尽事宜，合同当事人另行签订补充协议</w:t>
      </w:r>
      <w:r>
        <w:rPr>
          <w:rFonts w:hint="eastAsia" w:ascii="宋体" w:hAnsi="宋体"/>
          <w:color w:val="000000"/>
          <w:sz w:val="24"/>
        </w:rPr>
        <w:t>，</w:t>
      </w:r>
      <w:r>
        <w:rPr>
          <w:rFonts w:ascii="宋体" w:hAnsi="宋体"/>
          <w:color w:val="000000"/>
          <w:sz w:val="24"/>
        </w:rPr>
        <w:t>补充协议是合同的组成部分。</w:t>
      </w:r>
    </w:p>
    <w:p w14:paraId="4DAAC0CE">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5" w:name="_Toc351203492"/>
      <w:bookmarkEnd w:id="305"/>
      <w:r>
        <w:rPr>
          <w:rFonts w:ascii="宋体" w:hAnsi="宋体"/>
          <w:color w:val="000000"/>
          <w:kern w:val="1"/>
          <w:sz w:val="24"/>
        </w:rPr>
        <w:t>十</w:t>
      </w:r>
      <w:r>
        <w:rPr>
          <w:rFonts w:hint="eastAsia" w:ascii="宋体" w:hAnsi="宋体"/>
          <w:color w:val="000000"/>
          <w:kern w:val="1"/>
          <w:sz w:val="24"/>
        </w:rPr>
        <w:t>一</w:t>
      </w:r>
      <w:r>
        <w:rPr>
          <w:rFonts w:ascii="宋体" w:hAnsi="宋体"/>
          <w:color w:val="000000"/>
          <w:kern w:val="1"/>
          <w:sz w:val="24"/>
        </w:rPr>
        <w:t>、合同生效</w:t>
      </w:r>
    </w:p>
    <w:p w14:paraId="5D507C28">
      <w:pPr>
        <w:spacing w:line="500" w:lineRule="exact"/>
        <w:ind w:firstLine="480"/>
        <w:rPr>
          <w:rFonts w:ascii="宋体" w:hAnsi="宋体"/>
          <w:color w:val="000000"/>
          <w:sz w:val="24"/>
        </w:rPr>
      </w:pPr>
      <w:r>
        <w:rPr>
          <w:rFonts w:ascii="宋体" w:hAnsi="宋体"/>
          <w:color w:val="000000"/>
          <w:sz w:val="24"/>
        </w:rPr>
        <w:t>本合同自</w:t>
      </w:r>
      <w:r>
        <w:rPr>
          <w:rFonts w:ascii="宋体" w:hAnsi="宋体"/>
          <w:color w:val="000000"/>
          <w:sz w:val="24"/>
          <w:u w:val="single"/>
        </w:rPr>
        <w:t xml:space="preserve">                                   </w:t>
      </w:r>
      <w:r>
        <w:rPr>
          <w:rFonts w:ascii="宋体" w:hAnsi="宋体"/>
          <w:color w:val="000000"/>
          <w:sz w:val="24"/>
        </w:rPr>
        <w:t>生效。</w:t>
      </w:r>
    </w:p>
    <w:p w14:paraId="5123B218">
      <w:pPr>
        <w:spacing w:before="120" w:after="120" w:line="500" w:lineRule="exact"/>
        <w:outlineLvl w:val="3"/>
        <w:rPr>
          <w:rFonts w:ascii="宋体" w:hAnsi="宋体"/>
          <w:bCs/>
          <w:color w:val="000000"/>
          <w:kern w:val="1"/>
          <w:sz w:val="24"/>
        </w:rPr>
      </w:pPr>
      <w:r>
        <w:rPr>
          <w:rFonts w:ascii="宋体" w:hAnsi="宋体"/>
          <w:bCs/>
          <w:color w:val="000000"/>
          <w:kern w:val="1"/>
          <w:sz w:val="24"/>
        </w:rPr>
        <w:t xml:space="preserve">    </w:t>
      </w:r>
      <w:bookmarkStart w:id="306" w:name="_Toc351203493"/>
      <w:bookmarkEnd w:id="306"/>
      <w:r>
        <w:rPr>
          <w:rFonts w:ascii="宋体" w:hAnsi="宋体"/>
          <w:color w:val="000000"/>
          <w:kern w:val="1"/>
          <w:sz w:val="24"/>
        </w:rPr>
        <w:t>十三、合同份数</w:t>
      </w:r>
    </w:p>
    <w:p w14:paraId="04899DEC">
      <w:pPr>
        <w:spacing w:line="500" w:lineRule="exact"/>
        <w:ind w:firstLine="480"/>
        <w:rPr>
          <w:rFonts w:ascii="宋体" w:hAnsi="宋体"/>
          <w:color w:val="000000"/>
          <w:sz w:val="24"/>
        </w:rPr>
      </w:pPr>
      <w:r>
        <w:rPr>
          <w:rFonts w:ascii="宋体" w:hAnsi="宋体"/>
          <w:color w:val="000000"/>
          <w:sz w:val="24"/>
        </w:rPr>
        <w:t>本合同一式</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份，均具有同等法律效力，发包人执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份，承包人执</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份。</w:t>
      </w:r>
    </w:p>
    <w:p w14:paraId="29ED8C04">
      <w:pPr>
        <w:spacing w:line="500" w:lineRule="exact"/>
        <w:ind w:firstLine="540"/>
        <w:rPr>
          <w:rFonts w:ascii="宋体" w:hAnsi="宋体"/>
          <w:color w:val="000000"/>
          <w:sz w:val="24"/>
        </w:rPr>
      </w:pPr>
      <w:r>
        <w:rPr>
          <w:rFonts w:ascii="宋体" w:hAnsi="宋体"/>
          <w:color w:val="000000"/>
          <w:sz w:val="24"/>
        </w:rPr>
        <w:t>发包人</w:t>
      </w:r>
      <w:r>
        <w:rPr>
          <w:rFonts w:hint="eastAsia" w:ascii="宋体" w:hAnsi="宋体"/>
          <w:color w:val="000000"/>
          <w:sz w:val="24"/>
        </w:rPr>
        <w:t xml:space="preserve">：  </w:t>
      </w:r>
      <w:r>
        <w:rPr>
          <w:rFonts w:ascii="宋体" w:hAnsi="宋体"/>
          <w:color w:val="000000"/>
          <w:sz w:val="24"/>
        </w:rPr>
        <w:t>(公章)</w:t>
      </w:r>
      <w:r>
        <w:rPr>
          <w:rFonts w:hint="eastAsia" w:ascii="宋体" w:hAnsi="宋体"/>
          <w:color w:val="000000"/>
          <w:sz w:val="24"/>
        </w:rPr>
        <w:t xml:space="preserve">             </w:t>
      </w:r>
      <w:r>
        <w:rPr>
          <w:rFonts w:ascii="宋体" w:hAnsi="宋体"/>
          <w:color w:val="000000"/>
          <w:sz w:val="24"/>
        </w:rPr>
        <w:t>承包人</w:t>
      </w:r>
      <w:r>
        <w:rPr>
          <w:rFonts w:hint="eastAsia" w:ascii="宋体" w:hAnsi="宋体"/>
          <w:color w:val="000000"/>
          <w:sz w:val="24"/>
        </w:rPr>
        <w:t xml:space="preserve">：  </w:t>
      </w:r>
      <w:r>
        <w:rPr>
          <w:rFonts w:ascii="宋体" w:hAnsi="宋体"/>
          <w:color w:val="000000"/>
          <w:sz w:val="24"/>
        </w:rPr>
        <w:t>(公章)</w:t>
      </w:r>
    </w:p>
    <w:p w14:paraId="4B733F08">
      <w:pPr>
        <w:spacing w:line="500" w:lineRule="exact"/>
        <w:ind w:firstLine="540"/>
        <w:rPr>
          <w:rFonts w:ascii="宋体" w:hAnsi="宋体"/>
          <w:color w:val="000000"/>
          <w:sz w:val="24"/>
          <w:u w:val="single"/>
        </w:rPr>
      </w:pPr>
      <w:r>
        <w:rPr>
          <w:rFonts w:hint="eastAsia" w:ascii="宋体" w:hAnsi="宋体"/>
          <w:color w:val="000000"/>
          <w:sz w:val="24"/>
        </w:rPr>
        <w:t xml:space="preserve">                                 </w:t>
      </w:r>
    </w:p>
    <w:p w14:paraId="35E56E9C">
      <w:pPr>
        <w:spacing w:line="500" w:lineRule="exact"/>
        <w:ind w:firstLine="540"/>
        <w:rPr>
          <w:rFonts w:ascii="宋体" w:hAnsi="宋体"/>
          <w:color w:val="000000"/>
          <w:sz w:val="24"/>
        </w:rPr>
      </w:pPr>
      <w:r>
        <w:rPr>
          <w:rFonts w:hint="eastAsia" w:ascii="宋体" w:hAnsi="宋体"/>
          <w:color w:val="000000"/>
          <w:sz w:val="24"/>
        </w:rPr>
        <w:t>法定代表人或其委托代理人：       法定代表人或其委托代理人：</w:t>
      </w:r>
    </w:p>
    <w:p w14:paraId="55F73584">
      <w:pPr>
        <w:spacing w:line="500" w:lineRule="exact"/>
        <w:ind w:firstLine="540"/>
        <w:rPr>
          <w:rFonts w:ascii="宋体" w:hAnsi="宋体"/>
          <w:color w:val="000000"/>
          <w:sz w:val="24"/>
        </w:rPr>
      </w:pPr>
      <w:r>
        <w:rPr>
          <w:rFonts w:hint="eastAsia" w:ascii="宋体" w:hAnsi="宋体"/>
          <w:color w:val="000000"/>
          <w:sz w:val="24"/>
        </w:rPr>
        <w:t>（签字）                        （签字）</w:t>
      </w:r>
    </w:p>
    <w:p w14:paraId="0A11A7D8">
      <w:pPr>
        <w:spacing w:line="480" w:lineRule="exact"/>
        <w:ind w:firstLine="540"/>
        <w:rPr>
          <w:rFonts w:ascii="宋体" w:hAnsi="宋体"/>
          <w:color w:val="000000"/>
          <w:sz w:val="24"/>
          <w:u w:val="single"/>
        </w:rPr>
      </w:pPr>
    </w:p>
    <w:p w14:paraId="0B2F50CE">
      <w:pPr>
        <w:tabs>
          <w:tab w:val="left" w:pos="4410"/>
        </w:tabs>
        <w:spacing w:line="480" w:lineRule="exact"/>
        <w:ind w:firstLine="540"/>
        <w:rPr>
          <w:rFonts w:ascii="宋体" w:hAnsi="宋体"/>
          <w:color w:val="000000"/>
          <w:sz w:val="24"/>
        </w:rPr>
      </w:pPr>
      <w:r>
        <w:rPr>
          <w:rFonts w:hint="eastAsia" w:ascii="宋体" w:hAnsi="宋体"/>
          <w:color w:val="000000"/>
          <w:sz w:val="24"/>
        </w:rPr>
        <w:t>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组织机构代码：</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p>
    <w:p w14:paraId="66A08625">
      <w:pPr>
        <w:spacing w:line="480" w:lineRule="exact"/>
        <w:ind w:firstLine="540"/>
        <w:rPr>
          <w:rFonts w:ascii="宋体" w:hAnsi="宋体"/>
          <w:color w:val="000000"/>
          <w:sz w:val="24"/>
        </w:rPr>
      </w:pPr>
      <w:r>
        <w:rPr>
          <w:rFonts w:ascii="宋体" w:hAnsi="宋体"/>
          <w:color w:val="000000"/>
          <w:sz w:val="24"/>
        </w:rPr>
        <w:t>地  址：</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地  址：</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21F1B17B">
      <w:pPr>
        <w:spacing w:line="480" w:lineRule="exact"/>
        <w:ind w:firstLine="540"/>
        <w:rPr>
          <w:rFonts w:ascii="宋体" w:hAnsi="宋体"/>
          <w:color w:val="000000"/>
          <w:sz w:val="24"/>
        </w:rPr>
      </w:pPr>
      <w:r>
        <w:rPr>
          <w:rFonts w:ascii="宋体" w:hAnsi="宋体"/>
          <w:color w:val="000000"/>
          <w:sz w:val="24"/>
        </w:rPr>
        <w:t>邮政编码：</w:t>
      </w:r>
      <w:r>
        <w:rPr>
          <w:rFonts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邮政编码：</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 xml:space="preserve">   </w:t>
      </w:r>
    </w:p>
    <w:p w14:paraId="22665761">
      <w:pPr>
        <w:spacing w:line="480" w:lineRule="exact"/>
        <w:ind w:firstLine="540"/>
        <w:rPr>
          <w:rFonts w:ascii="宋体" w:hAnsi="宋体"/>
          <w:color w:val="000000"/>
          <w:sz w:val="24"/>
        </w:rPr>
      </w:pP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法定代表人：</w:t>
      </w:r>
      <w:r>
        <w:rPr>
          <w:rFonts w:hint="eastAsia" w:ascii="宋体" w:hAnsi="宋体" w:cs="宋体"/>
          <w:color w:val="000000"/>
          <w:sz w:val="24"/>
          <w:u w:val="single"/>
        </w:rPr>
        <w:t></w:t>
      </w:r>
      <w:r>
        <w:rPr>
          <w:rFonts w:hint="eastAsia" w:ascii="宋体" w:hAnsi="宋体"/>
          <w:color w:val="000000"/>
          <w:sz w:val="24"/>
          <w:u w:val="single"/>
        </w:rPr>
        <w:t xml:space="preserve">      </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p>
    <w:p w14:paraId="046ECBEE">
      <w:pPr>
        <w:spacing w:line="480" w:lineRule="exact"/>
        <w:ind w:firstLine="540"/>
        <w:rPr>
          <w:rFonts w:ascii="宋体" w:hAnsi="宋体"/>
          <w:color w:val="000000"/>
          <w:sz w:val="24"/>
        </w:rPr>
      </w:pP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委托代理人：</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F0DD6DE">
      <w:pPr>
        <w:spacing w:line="480" w:lineRule="exact"/>
        <w:ind w:firstLine="540"/>
        <w:rPr>
          <w:rFonts w:ascii="宋体" w:hAnsi="宋体"/>
          <w:color w:val="000000"/>
          <w:sz w:val="24"/>
        </w:rPr>
      </w:pP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电  话：</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64F8361F">
      <w:pPr>
        <w:spacing w:line="480" w:lineRule="exact"/>
        <w:ind w:firstLine="540"/>
        <w:rPr>
          <w:rFonts w:ascii="宋体" w:hAnsi="宋体"/>
          <w:color w:val="000000"/>
          <w:sz w:val="24"/>
        </w:rPr>
      </w:pPr>
      <w:r>
        <w:rPr>
          <w:rFonts w:ascii="宋体" w:hAnsi="宋体"/>
          <w:color w:val="000000"/>
          <w:sz w:val="24"/>
        </w:rPr>
        <w:t>传  真：</w:t>
      </w:r>
      <w:r>
        <w:rPr>
          <w:rFonts w:hint="eastAsia" w:ascii="宋体" w:hAnsi="宋体" w:cs="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传  真：</w:t>
      </w:r>
      <w:r>
        <w:rPr>
          <w:rFonts w:hint="eastAsia" w:ascii="宋体" w:hAnsi="宋体" w:cs="宋体"/>
          <w:color w:val="000000"/>
          <w:sz w:val="24"/>
          <w:u w:val="single"/>
        </w:rPr>
        <w:t xml:space="preserve">      </w:t>
      </w:r>
      <w:r>
        <w:rPr>
          <w:rFonts w:ascii="宋体" w:hAnsi="宋体"/>
          <w:color w:val="000000"/>
          <w:sz w:val="24"/>
        </w:rPr>
        <w:t xml:space="preserve"> </w:t>
      </w:r>
    </w:p>
    <w:p w14:paraId="59489BEF">
      <w:pPr>
        <w:spacing w:line="480" w:lineRule="exact"/>
        <w:ind w:firstLine="540"/>
        <w:rPr>
          <w:rFonts w:ascii="宋体" w:hAnsi="宋体"/>
          <w:color w:val="000000"/>
          <w:sz w:val="24"/>
        </w:rPr>
      </w:pPr>
      <w:r>
        <w:rPr>
          <w:rFonts w:ascii="宋体" w:hAnsi="宋体"/>
          <w:color w:val="000000"/>
          <w:sz w:val="24"/>
        </w:rPr>
        <w:t>电子信箱：</w:t>
      </w:r>
      <w:r>
        <w:rPr>
          <w:rFonts w:ascii="宋体" w:hAnsi="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电子信箱：</w:t>
      </w:r>
      <w:r>
        <w:rPr>
          <w:rFonts w:hint="eastAsia" w:ascii="宋体" w:hAnsi="宋体" w:cs="宋体"/>
          <w:color w:val="000000"/>
          <w:sz w:val="24"/>
          <w:u w:val="single"/>
        </w:rPr>
        <w:t xml:space="preserve">  </w:t>
      </w:r>
      <w:r>
        <w:rPr>
          <w:rFonts w:hint="eastAsia" w:ascii="宋体" w:hAnsi="宋体"/>
          <w:color w:val="000000"/>
          <w:sz w:val="24"/>
          <w:u w:val="single"/>
        </w:rPr>
        <w:t xml:space="preserve"> </w:t>
      </w:r>
      <w:r>
        <w:rPr>
          <w:rFonts w:ascii="宋体" w:hAnsi="宋体"/>
          <w:color w:val="000000"/>
          <w:sz w:val="24"/>
          <w:u w:val="single"/>
        </w:rPr>
        <w:t xml:space="preserve"> </w:t>
      </w:r>
    </w:p>
    <w:p w14:paraId="715C5E3A">
      <w:pPr>
        <w:spacing w:line="480" w:lineRule="exact"/>
        <w:ind w:firstLine="540"/>
        <w:rPr>
          <w:rFonts w:ascii="宋体" w:hAnsi="宋体"/>
          <w:color w:val="000000"/>
          <w:sz w:val="24"/>
        </w:rPr>
      </w:pPr>
      <w:r>
        <w:rPr>
          <w:rFonts w:ascii="宋体" w:hAnsi="宋体"/>
          <w:color w:val="000000"/>
          <w:sz w:val="24"/>
        </w:rPr>
        <w:t>开户银行：</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ascii="宋体" w:hAnsi="宋体"/>
          <w:color w:val="000000"/>
          <w:sz w:val="24"/>
        </w:rPr>
        <w:t xml:space="preserve"> </w:t>
      </w:r>
      <w:r>
        <w:rPr>
          <w:rFonts w:hint="eastAsia" w:ascii="宋体" w:hAnsi="宋体"/>
          <w:color w:val="000000"/>
          <w:sz w:val="24"/>
        </w:rPr>
        <w:t xml:space="preserve">        </w:t>
      </w:r>
      <w:r>
        <w:rPr>
          <w:rFonts w:ascii="宋体" w:hAnsi="宋体"/>
          <w:color w:val="000000"/>
          <w:sz w:val="24"/>
        </w:rPr>
        <w:t>开户银行：</w:t>
      </w:r>
      <w:r>
        <w:rPr>
          <w:rFonts w:hint="eastAsia" w:ascii="宋体" w:hAnsi="宋体" w:cs="宋体"/>
          <w:color w:val="000000"/>
          <w:sz w:val="24"/>
          <w:u w:val="single"/>
        </w:rPr>
        <w:t xml:space="preserve">   </w:t>
      </w:r>
    </w:p>
    <w:p w14:paraId="3A480ECE">
      <w:pPr>
        <w:spacing w:line="480" w:lineRule="exact"/>
        <w:ind w:firstLine="540"/>
        <w:rPr>
          <w:rFonts w:ascii="宋体" w:hAnsi="宋体"/>
          <w:color w:val="000000"/>
          <w:sz w:val="24"/>
        </w:rPr>
      </w:pPr>
      <w:r>
        <w:rPr>
          <w:rFonts w:ascii="宋体" w:hAnsi="宋体"/>
          <w:color w:val="000000"/>
          <w:sz w:val="24"/>
        </w:rPr>
        <w:t>账  号：</w:t>
      </w:r>
      <w:r>
        <w:rPr>
          <w:rFonts w:hint="eastAsia" w:ascii="宋体" w:hAnsi="宋体" w:cs="宋体"/>
          <w:color w:val="000000"/>
          <w:sz w:val="24"/>
          <w:u w:val="single"/>
        </w:rPr>
        <w:t> </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rPr>
        <w:t xml:space="preserve">      </w:t>
      </w:r>
      <w:r>
        <w:rPr>
          <w:rFonts w:ascii="宋体" w:hAnsi="宋体"/>
          <w:color w:val="000000"/>
          <w:sz w:val="24"/>
        </w:rPr>
        <w:t>账</w:t>
      </w:r>
      <w:r>
        <w:rPr>
          <w:rFonts w:hint="eastAsia" w:ascii="宋体" w:hAnsi="宋体"/>
          <w:color w:val="000000"/>
          <w:sz w:val="24"/>
        </w:rPr>
        <w:t xml:space="preserve"> </w:t>
      </w:r>
      <w:r>
        <w:rPr>
          <w:rFonts w:ascii="宋体" w:hAnsi="宋体"/>
          <w:color w:val="000000"/>
          <w:sz w:val="24"/>
        </w:rPr>
        <w:t xml:space="preserve"> 号：</w:t>
      </w:r>
      <w:r>
        <w:rPr>
          <w:rFonts w:hint="eastAsia" w:ascii="宋体" w:hAnsi="宋体" w:cs="宋体"/>
          <w:color w:val="000000"/>
          <w:sz w:val="24"/>
          <w:u w:val="single"/>
        </w:rPr>
        <w:t></w:t>
      </w:r>
      <w:r>
        <w:rPr>
          <w:rFonts w:hint="eastAsia" w:ascii="宋体" w:hAnsi="宋体"/>
          <w:color w:val="000000"/>
          <w:sz w:val="24"/>
          <w:u w:val="single"/>
        </w:rPr>
        <w:t xml:space="preserve">  </w:t>
      </w:r>
      <w:r>
        <w:rPr>
          <w:rFonts w:ascii="宋体" w:hAnsi="宋体"/>
          <w:color w:val="000000"/>
          <w:sz w:val="24"/>
          <w:u w:val="single"/>
        </w:rPr>
        <w:t xml:space="preserve">  </w:t>
      </w:r>
      <w:r>
        <w:rPr>
          <w:rFonts w:hint="eastAsia" w:ascii="宋体" w:hAnsi="宋体"/>
          <w:color w:val="000000"/>
          <w:sz w:val="24"/>
          <w:u w:val="single"/>
        </w:rPr>
        <w:t xml:space="preserve"> </w:t>
      </w:r>
    </w:p>
    <w:p w14:paraId="7FDDD344">
      <w:pPr>
        <w:spacing w:line="480" w:lineRule="exact"/>
        <w:ind w:firstLine="680"/>
        <w:rPr>
          <w:rFonts w:ascii="宋体" w:hAnsi="宋体" w:cs="仿宋_GB2312"/>
          <w:color w:val="000000"/>
          <w:sz w:val="24"/>
        </w:rPr>
      </w:pPr>
    </w:p>
    <w:p w14:paraId="1142D8B1">
      <w:pPr>
        <w:spacing w:line="480" w:lineRule="exact"/>
        <w:ind w:firstLine="680"/>
        <w:rPr>
          <w:rFonts w:ascii="宋体" w:hAnsi="宋体" w:cs="仿宋_GB2312"/>
          <w:color w:val="000000"/>
          <w:sz w:val="24"/>
        </w:rPr>
      </w:pPr>
    </w:p>
    <w:p w14:paraId="4BB7B41F">
      <w:pPr>
        <w:spacing w:line="480" w:lineRule="exact"/>
        <w:ind w:firstLine="680"/>
        <w:rPr>
          <w:rFonts w:ascii="宋体" w:hAnsi="宋体" w:cs="仿宋_GB2312"/>
          <w:color w:val="000000"/>
          <w:sz w:val="24"/>
        </w:rPr>
      </w:pPr>
    </w:p>
    <w:p w14:paraId="14B206D7">
      <w:pPr>
        <w:spacing w:line="480" w:lineRule="exact"/>
        <w:ind w:firstLine="680"/>
        <w:rPr>
          <w:rFonts w:ascii="宋体" w:hAnsi="宋体" w:cs="仿宋_GB2312"/>
          <w:color w:val="000000"/>
          <w:sz w:val="24"/>
        </w:rPr>
      </w:pPr>
    </w:p>
    <w:p w14:paraId="459000C4">
      <w:pPr>
        <w:spacing w:line="480" w:lineRule="exact"/>
        <w:ind w:firstLine="680"/>
        <w:rPr>
          <w:rFonts w:ascii="宋体" w:hAnsi="宋体" w:cs="仿宋_GB2312"/>
          <w:color w:val="000000"/>
          <w:sz w:val="24"/>
        </w:rPr>
      </w:pPr>
    </w:p>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p w14:paraId="39268FF1">
      <w:pPr>
        <w:pStyle w:val="3"/>
        <w:jc w:val="center"/>
        <w:rPr>
          <w:rFonts w:hint="eastAsia"/>
        </w:rPr>
      </w:pPr>
      <w:bookmarkStart w:id="307" w:name="_Toc8223"/>
      <w:bookmarkStart w:id="308" w:name="_Toc6147"/>
      <w:bookmarkStart w:id="309" w:name="_Toc142932631"/>
      <w:bookmarkStart w:id="310" w:name="_Toc2755"/>
      <w:bookmarkStart w:id="311" w:name="_Toc193295707"/>
      <w:bookmarkStart w:id="312" w:name="_Toc23767"/>
      <w:bookmarkStart w:id="313" w:name="_Toc19184"/>
      <w:bookmarkStart w:id="314" w:name="_Toc142932632"/>
    </w:p>
    <w:p w14:paraId="10940C55">
      <w:pPr>
        <w:pStyle w:val="3"/>
        <w:jc w:val="center"/>
        <w:rPr>
          <w:rFonts w:hint="eastAsia"/>
        </w:rPr>
      </w:pPr>
    </w:p>
    <w:p w14:paraId="356F11FE">
      <w:pPr>
        <w:pStyle w:val="3"/>
        <w:jc w:val="center"/>
      </w:pPr>
      <w:r>
        <w:rPr>
          <w:rFonts w:hint="eastAsia"/>
        </w:rPr>
        <w:t xml:space="preserve">第六章 </w:t>
      </w:r>
      <w:bookmarkEnd w:id="307"/>
      <w:bookmarkEnd w:id="308"/>
      <w:bookmarkEnd w:id="309"/>
      <w:r>
        <w:rPr>
          <w:rFonts w:hint="eastAsia"/>
        </w:rPr>
        <w:t>工程量清单</w:t>
      </w:r>
      <w:bookmarkEnd w:id="310"/>
      <w:r>
        <w:rPr>
          <w:rFonts w:hint="eastAsia"/>
        </w:rPr>
        <w:t>及图纸</w:t>
      </w:r>
      <w:bookmarkEnd w:id="311"/>
    </w:p>
    <w:p w14:paraId="4FC63DA3"/>
    <w:p w14:paraId="490D7012">
      <w:pPr>
        <w:widowControl/>
        <w:tabs>
          <w:tab w:val="center" w:pos="4201"/>
          <w:tab w:val="right" w:leader="dot" w:pos="9298"/>
        </w:tabs>
        <w:autoSpaceDE w:val="0"/>
        <w:autoSpaceDN w:val="0"/>
        <w:spacing w:line="276" w:lineRule="auto"/>
        <w:ind w:firstLine="1680" w:firstLineChars="700"/>
        <w:rPr>
          <w:rFonts w:ascii="宋体" w:hAnsi="宋体" w:cs="宋体"/>
          <w:kern w:val="0"/>
          <w:sz w:val="24"/>
        </w:rPr>
      </w:pPr>
      <w:bookmarkStart w:id="315" w:name="_Toc332725486"/>
      <w:bookmarkEnd w:id="315"/>
      <w:bookmarkStart w:id="316" w:name="_Toc413738464"/>
      <w:bookmarkEnd w:id="316"/>
      <w:bookmarkStart w:id="317" w:name="_Toc26914"/>
      <w:r>
        <w:rPr>
          <w:rFonts w:hint="eastAsia" w:ascii="宋体" w:hAnsi="宋体" w:cs="宋体"/>
          <w:kern w:val="0"/>
          <w:sz w:val="24"/>
        </w:rPr>
        <w:t>详见《三门峡市公共资源交易中心网》系统上传有关内容</w:t>
      </w:r>
    </w:p>
    <w:bookmarkEnd w:id="317"/>
    <w:p w14:paraId="145741FD">
      <w:pPr>
        <w:spacing w:line="720" w:lineRule="auto"/>
        <w:ind w:right="-340" w:rightChars="-162"/>
        <w:jc w:val="center"/>
        <w:outlineLvl w:val="1"/>
        <w:rPr>
          <w:rFonts w:ascii="宋体" w:hAnsi="宋体" w:cs="宋体"/>
          <w:sz w:val="24"/>
        </w:rPr>
      </w:pPr>
      <w:r>
        <w:rPr>
          <w:rFonts w:hint="eastAsia" w:ascii="宋体" w:hAnsi="宋体" w:cs="宋体"/>
          <w:sz w:val="24"/>
        </w:rPr>
        <w:t xml:space="preserve"> </w:t>
      </w:r>
    </w:p>
    <w:p w14:paraId="416CC4EC">
      <w:pPr>
        <w:pStyle w:val="5"/>
      </w:pPr>
    </w:p>
    <w:p w14:paraId="3F38F416"/>
    <w:p w14:paraId="4D813AF1">
      <w:pPr>
        <w:pStyle w:val="5"/>
      </w:pPr>
    </w:p>
    <w:p w14:paraId="550985F5"/>
    <w:p w14:paraId="2B5C6D61">
      <w:pPr>
        <w:pStyle w:val="5"/>
      </w:pPr>
    </w:p>
    <w:p w14:paraId="424E168B"/>
    <w:p w14:paraId="2ABBBB52">
      <w:pPr>
        <w:pStyle w:val="5"/>
      </w:pPr>
    </w:p>
    <w:p w14:paraId="55232A09"/>
    <w:p w14:paraId="2D84BD72">
      <w:pPr>
        <w:pStyle w:val="5"/>
      </w:pPr>
    </w:p>
    <w:p w14:paraId="0C49A633"/>
    <w:p w14:paraId="4F5FA60B">
      <w:pPr>
        <w:pStyle w:val="5"/>
      </w:pPr>
    </w:p>
    <w:p w14:paraId="006475A5"/>
    <w:p w14:paraId="18C2A1DA">
      <w:pPr>
        <w:pStyle w:val="5"/>
      </w:pPr>
    </w:p>
    <w:p w14:paraId="0F7B78F6"/>
    <w:p w14:paraId="15132C52">
      <w:pPr>
        <w:pStyle w:val="5"/>
      </w:pPr>
    </w:p>
    <w:p w14:paraId="5BA2D965"/>
    <w:p w14:paraId="65D1256E">
      <w:pPr>
        <w:pStyle w:val="5"/>
      </w:pPr>
    </w:p>
    <w:p w14:paraId="24645234"/>
    <w:p w14:paraId="59D18C34">
      <w:pPr>
        <w:pStyle w:val="5"/>
      </w:pPr>
    </w:p>
    <w:p w14:paraId="4573BE34"/>
    <w:p w14:paraId="62ACF733">
      <w:pPr>
        <w:pStyle w:val="5"/>
      </w:pPr>
    </w:p>
    <w:p w14:paraId="5DCEB158"/>
    <w:p w14:paraId="572746A7">
      <w:pPr>
        <w:pStyle w:val="5"/>
      </w:pPr>
    </w:p>
    <w:p w14:paraId="09523B15"/>
    <w:p w14:paraId="61608DA1">
      <w:pPr>
        <w:pStyle w:val="5"/>
      </w:pPr>
    </w:p>
    <w:p w14:paraId="6587135F"/>
    <w:p w14:paraId="06A4339B">
      <w:pPr>
        <w:pStyle w:val="5"/>
      </w:pPr>
    </w:p>
    <w:p w14:paraId="6FA1C7C7"/>
    <w:p w14:paraId="10F3E463">
      <w:pPr>
        <w:pStyle w:val="5"/>
      </w:pPr>
    </w:p>
    <w:p w14:paraId="28D1BBFA"/>
    <w:p w14:paraId="300DDC76">
      <w:pPr>
        <w:pStyle w:val="5"/>
      </w:pPr>
    </w:p>
    <w:p w14:paraId="6AA9E288"/>
    <w:bookmarkEnd w:id="312"/>
    <w:bookmarkEnd w:id="313"/>
    <w:bookmarkEnd w:id="314"/>
    <w:p w14:paraId="2A8A664D">
      <w:pPr>
        <w:pStyle w:val="3"/>
        <w:jc w:val="center"/>
      </w:pPr>
      <w:bookmarkStart w:id="318" w:name="_Toc16466"/>
      <w:bookmarkStart w:id="319" w:name="_Toc142932634"/>
      <w:bookmarkStart w:id="320" w:name="_Toc193295708"/>
      <w:bookmarkStart w:id="321" w:name="_Toc21689"/>
      <w:r>
        <w:rPr>
          <w:rFonts w:hint="eastAsia"/>
        </w:rPr>
        <w:t>第七章  技术标准和要求</w:t>
      </w:r>
      <w:bookmarkEnd w:id="318"/>
      <w:bookmarkEnd w:id="319"/>
      <w:bookmarkEnd w:id="320"/>
      <w:bookmarkEnd w:id="321"/>
      <w:bookmarkStart w:id="322" w:name="_Toc23406"/>
    </w:p>
    <w:bookmarkEnd w:id="322"/>
    <w:p w14:paraId="44AB8C3B">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1、适用的规范、标准和规程</w:t>
      </w:r>
    </w:p>
    <w:p w14:paraId="51C7C019">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1.1本工程适用现行国家、行业和地方规范、标准和规程。构成合同文件的任何内容与适用的规范、标准和规程之间出现矛盾，监理人应书面要求发包人予以澄清，除发包人有特别指示外，监理人应按照最严格的标准执行。</w:t>
      </w:r>
    </w:p>
    <w:p w14:paraId="652AC80F">
      <w:pPr>
        <w:autoSpaceDE w:val="0"/>
        <w:autoSpaceDN w:val="0"/>
        <w:adjustRightInd w:val="0"/>
        <w:spacing w:line="500" w:lineRule="exact"/>
        <w:ind w:firstLine="480" w:firstLineChars="200"/>
        <w:jc w:val="left"/>
        <w:rPr>
          <w:rFonts w:ascii="宋体" w:hAnsi="宋体" w:cs="宋体"/>
          <w:b/>
          <w:bCs/>
          <w:sz w:val="24"/>
        </w:rPr>
      </w:pPr>
      <w:r>
        <w:rPr>
          <w:rFonts w:hint="eastAsia" w:ascii="宋体" w:hAnsi="宋体" w:cs="宋体"/>
          <w:sz w:val="24"/>
        </w:rPr>
        <w:t>1.2除合同另有约定外，材料、施工工艺和本工程都应依照本技术标准和要求以及适用的现行规范、标准和规程的最新版本执行。若适用的现行规范、标准和规程的最新版本是在基准日后颁布的，且相应标准发生变更并成为合同文件中最严格的标准。</w:t>
      </w:r>
    </w:p>
    <w:p w14:paraId="7D79C131">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2、施工及验收规范</w:t>
      </w:r>
    </w:p>
    <w:p w14:paraId="5F621B4A">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本工程执行国家现行的与本工程有关的施工及验收规范、标准图集、图纸设计等。</w:t>
      </w:r>
    </w:p>
    <w:p w14:paraId="302EC0DF">
      <w:pPr>
        <w:autoSpaceDE w:val="0"/>
        <w:autoSpaceDN w:val="0"/>
        <w:adjustRightInd w:val="0"/>
        <w:spacing w:line="500" w:lineRule="exact"/>
        <w:ind w:firstLine="482" w:firstLineChars="200"/>
        <w:jc w:val="left"/>
        <w:rPr>
          <w:rFonts w:ascii="宋体" w:hAnsi="宋体" w:cs="宋体"/>
          <w:b/>
          <w:bCs/>
          <w:sz w:val="24"/>
        </w:rPr>
      </w:pPr>
      <w:r>
        <w:rPr>
          <w:rFonts w:hint="eastAsia" w:ascii="宋体" w:hAnsi="宋体" w:cs="宋体"/>
          <w:b/>
          <w:bCs/>
          <w:sz w:val="24"/>
        </w:rPr>
        <w:t>3、主要质量检验评定标准</w:t>
      </w:r>
    </w:p>
    <w:p w14:paraId="553C8305">
      <w:pPr>
        <w:autoSpaceDE w:val="0"/>
        <w:autoSpaceDN w:val="0"/>
        <w:adjustRightInd w:val="0"/>
        <w:spacing w:line="500" w:lineRule="exact"/>
        <w:ind w:firstLine="480" w:firstLineChars="200"/>
        <w:jc w:val="left"/>
        <w:rPr>
          <w:rFonts w:ascii="宋体" w:hAnsi="宋体" w:cs="宋体"/>
          <w:sz w:val="24"/>
        </w:rPr>
      </w:pPr>
      <w:r>
        <w:rPr>
          <w:rFonts w:hint="eastAsia" w:ascii="宋体" w:hAnsi="宋体" w:cs="宋体"/>
          <w:sz w:val="24"/>
        </w:rPr>
        <w:t>本工程执行国家现行的与本工程有关的质量检验评定标准。</w:t>
      </w:r>
    </w:p>
    <w:p w14:paraId="23A79FAF">
      <w:pPr>
        <w:spacing w:line="360" w:lineRule="auto"/>
        <w:ind w:firstLine="496" w:firstLineChars="200"/>
        <w:rPr>
          <w:rFonts w:ascii="宋体" w:hAnsi="宋体" w:cs="宋体"/>
          <w:spacing w:val="4"/>
          <w:sz w:val="24"/>
        </w:rPr>
      </w:pPr>
    </w:p>
    <w:p w14:paraId="43E950C8">
      <w:pPr>
        <w:pStyle w:val="61"/>
        <w:spacing w:line="360" w:lineRule="auto"/>
        <w:rPr>
          <w:rFonts w:hint="default" w:hAnsi="宋体" w:cs="宋体"/>
          <w:color w:val="auto"/>
        </w:rPr>
      </w:pPr>
      <w:r>
        <w:rPr>
          <w:rFonts w:hAnsi="宋体" w:cs="宋体"/>
          <w:color w:val="auto"/>
        </w:rPr>
        <w:br w:type="page"/>
      </w:r>
    </w:p>
    <w:p w14:paraId="35AF1DB9">
      <w:pPr>
        <w:pStyle w:val="3"/>
        <w:jc w:val="center"/>
      </w:pPr>
      <w:bookmarkStart w:id="323" w:name="_Toc13277"/>
      <w:bookmarkStart w:id="324" w:name="_Toc142932637"/>
      <w:bookmarkStart w:id="325" w:name="_Toc193295709"/>
      <w:bookmarkStart w:id="326" w:name="_Toc4717"/>
      <w:r>
        <w:rPr>
          <w:rFonts w:hint="eastAsia"/>
        </w:rPr>
        <w:t xml:space="preserve">第八章  </w:t>
      </w:r>
      <w:r>
        <w:rPr>
          <w:rFonts w:hint="eastAsia"/>
          <w:lang w:val="en-US" w:eastAsia="zh-CN"/>
        </w:rPr>
        <w:t>响应</w:t>
      </w:r>
      <w:r>
        <w:rPr>
          <w:rFonts w:hint="eastAsia"/>
        </w:rPr>
        <w:t>文件格式</w:t>
      </w:r>
      <w:bookmarkEnd w:id="323"/>
      <w:bookmarkEnd w:id="324"/>
      <w:bookmarkEnd w:id="325"/>
      <w:bookmarkEnd w:id="326"/>
    </w:p>
    <w:p w14:paraId="62BF898B">
      <w:pPr>
        <w:spacing w:line="360" w:lineRule="auto"/>
        <w:ind w:firstLine="420" w:firstLineChars="200"/>
        <w:rPr>
          <w:rFonts w:ascii="宋体" w:hAnsi="宋体" w:cs="宋体"/>
        </w:rPr>
      </w:pPr>
    </w:p>
    <w:p w14:paraId="22C54D4F">
      <w:pPr>
        <w:pStyle w:val="41"/>
      </w:pPr>
    </w:p>
    <w:p w14:paraId="6FFA10EE">
      <w:pPr>
        <w:spacing w:line="360" w:lineRule="auto"/>
        <w:jc w:val="center"/>
        <w:outlineLvl w:val="0"/>
        <w:rPr>
          <w:rFonts w:hint="eastAsia" w:ascii="宋体" w:hAnsi="宋体" w:cs="宋体"/>
          <w:sz w:val="28"/>
          <w:szCs w:val="28"/>
        </w:rPr>
      </w:pPr>
      <w:bookmarkStart w:id="327" w:name="_Toc19799"/>
      <w:bookmarkStart w:id="328" w:name="_Toc181711548"/>
      <w:bookmarkStart w:id="329" w:name="_Toc142912949"/>
      <w:bookmarkStart w:id="330" w:name="_Toc17758"/>
      <w:bookmarkStart w:id="331" w:name="_Toc10970"/>
      <w:bookmarkStart w:id="332" w:name="_Toc181711016"/>
      <w:bookmarkStart w:id="333" w:name="_Toc11291"/>
      <w:bookmarkStart w:id="334" w:name="_Toc193295710"/>
      <w:bookmarkStart w:id="335" w:name="_Toc142932586"/>
      <w:bookmarkStart w:id="336" w:name="_Toc142932639"/>
      <w:bookmarkStart w:id="337" w:name="_Toc192673525"/>
      <w:r>
        <w:rPr>
          <w:rFonts w:hint="eastAsia" w:ascii="宋体" w:hAnsi="宋体" w:cs="宋体"/>
          <w:sz w:val="28"/>
          <w:szCs w:val="28"/>
          <w:u w:val="single"/>
          <w:lang w:eastAsia="zh-CN"/>
        </w:rPr>
        <w:t>三门峡市陕州区2024年中央和地方水库移民扶持基金项目（第一标段—第四标段项目）第三标段（四次）</w:t>
      </w:r>
      <w:r>
        <w:rPr>
          <w:rFonts w:hint="eastAsia" w:ascii="宋体" w:hAnsi="宋体" w:cs="宋体"/>
          <w:sz w:val="28"/>
          <w:szCs w:val="28"/>
        </w:rPr>
        <w:t>（项目名称）</w:t>
      </w:r>
    </w:p>
    <w:bookmarkEnd w:id="327"/>
    <w:bookmarkEnd w:id="328"/>
    <w:bookmarkEnd w:id="329"/>
    <w:bookmarkEnd w:id="330"/>
    <w:bookmarkEnd w:id="331"/>
    <w:bookmarkEnd w:id="332"/>
    <w:bookmarkEnd w:id="333"/>
    <w:bookmarkEnd w:id="334"/>
    <w:bookmarkEnd w:id="335"/>
    <w:bookmarkEnd w:id="336"/>
    <w:bookmarkEnd w:id="337"/>
    <w:p w14:paraId="3E7C7F90">
      <w:pPr>
        <w:spacing w:line="360" w:lineRule="auto"/>
        <w:jc w:val="center"/>
        <w:outlineLvl w:val="0"/>
        <w:rPr>
          <w:rFonts w:ascii="宋体" w:hAnsi="宋体" w:cs="宋体"/>
          <w:sz w:val="28"/>
          <w:szCs w:val="28"/>
        </w:rPr>
      </w:pPr>
    </w:p>
    <w:p w14:paraId="0D5C2649">
      <w:pPr>
        <w:pStyle w:val="61"/>
        <w:spacing w:line="360" w:lineRule="auto"/>
        <w:rPr>
          <w:rFonts w:hint="default" w:hAnsi="宋体" w:cs="宋体"/>
          <w:color w:val="auto"/>
          <w:sz w:val="28"/>
          <w:szCs w:val="28"/>
        </w:rPr>
      </w:pPr>
    </w:p>
    <w:p w14:paraId="3C2C576A">
      <w:pPr>
        <w:pStyle w:val="61"/>
        <w:spacing w:line="360" w:lineRule="auto"/>
        <w:ind w:firstLine="3141" w:firstLineChars="1122"/>
        <w:rPr>
          <w:rFonts w:hint="default" w:hAnsi="宋体" w:cs="宋体"/>
          <w:color w:val="auto"/>
          <w:sz w:val="28"/>
          <w:szCs w:val="28"/>
        </w:rPr>
      </w:pPr>
      <w:r>
        <w:rPr>
          <w:rFonts w:hAnsi="宋体" w:cs="宋体"/>
          <w:color w:val="auto"/>
          <w:sz w:val="28"/>
          <w:szCs w:val="28"/>
        </w:rPr>
        <w:t>项目编号：</w:t>
      </w:r>
    </w:p>
    <w:p w14:paraId="1B51C094">
      <w:pPr>
        <w:spacing w:line="360" w:lineRule="auto"/>
        <w:ind w:firstLine="420" w:firstLineChars="200"/>
        <w:rPr>
          <w:rFonts w:ascii="宋体" w:hAnsi="宋体" w:cs="宋体"/>
          <w:szCs w:val="21"/>
        </w:rPr>
      </w:pPr>
    </w:p>
    <w:p w14:paraId="342313D7">
      <w:pPr>
        <w:spacing w:line="360" w:lineRule="auto"/>
        <w:jc w:val="center"/>
        <w:outlineLvl w:val="0"/>
        <w:rPr>
          <w:rFonts w:ascii="宋体" w:hAnsi="宋体" w:cs="宋体"/>
          <w:b/>
          <w:bCs/>
          <w:sz w:val="52"/>
          <w:szCs w:val="52"/>
        </w:rPr>
      </w:pPr>
      <w:bookmarkStart w:id="338" w:name="_Toc181711017"/>
      <w:bookmarkStart w:id="339" w:name="_Toc24567"/>
      <w:bookmarkStart w:id="340" w:name="_Toc25875"/>
      <w:bookmarkStart w:id="341" w:name="_Toc142912950"/>
      <w:bookmarkStart w:id="342" w:name="_Toc13"/>
      <w:bookmarkStart w:id="343" w:name="_Toc22905"/>
      <w:bookmarkStart w:id="344" w:name="_Toc142932587"/>
      <w:bookmarkStart w:id="345" w:name="_Toc181711549"/>
      <w:bookmarkStart w:id="346" w:name="_Toc19574"/>
      <w:bookmarkStart w:id="347" w:name="_Toc193295711"/>
      <w:bookmarkStart w:id="348" w:name="_Toc25979"/>
      <w:bookmarkStart w:id="349" w:name="_Toc192673526"/>
      <w:bookmarkStart w:id="350" w:name="_Toc142932640"/>
      <w:r>
        <w:rPr>
          <w:rFonts w:hint="eastAsia" w:ascii="宋体" w:hAnsi="宋体" w:cs="宋体"/>
          <w:b/>
          <w:bCs/>
          <w:sz w:val="52"/>
          <w:szCs w:val="52"/>
          <w:lang w:val="en-US" w:eastAsia="zh-CN"/>
        </w:rPr>
        <w:t>响应文件</w:t>
      </w:r>
      <w:bookmarkEnd w:id="338"/>
      <w:bookmarkEnd w:id="339"/>
      <w:bookmarkEnd w:id="340"/>
      <w:bookmarkEnd w:id="341"/>
      <w:bookmarkEnd w:id="342"/>
      <w:bookmarkEnd w:id="343"/>
      <w:bookmarkEnd w:id="344"/>
      <w:bookmarkEnd w:id="345"/>
      <w:bookmarkEnd w:id="346"/>
      <w:bookmarkEnd w:id="347"/>
      <w:bookmarkEnd w:id="348"/>
      <w:bookmarkEnd w:id="349"/>
      <w:bookmarkEnd w:id="350"/>
    </w:p>
    <w:p w14:paraId="043ED138">
      <w:pPr>
        <w:spacing w:line="360" w:lineRule="auto"/>
        <w:ind w:firstLine="420" w:firstLineChars="200"/>
        <w:rPr>
          <w:rFonts w:ascii="宋体" w:hAnsi="宋体" w:cs="宋体"/>
        </w:rPr>
      </w:pPr>
    </w:p>
    <w:p w14:paraId="5F603A00">
      <w:pPr>
        <w:spacing w:line="360" w:lineRule="auto"/>
        <w:ind w:firstLine="420" w:firstLineChars="200"/>
        <w:rPr>
          <w:rFonts w:ascii="宋体" w:hAnsi="宋体" w:cs="宋体"/>
        </w:rPr>
      </w:pPr>
    </w:p>
    <w:p w14:paraId="69D406B8">
      <w:pPr>
        <w:spacing w:line="360" w:lineRule="auto"/>
        <w:ind w:firstLine="420" w:firstLineChars="200"/>
        <w:rPr>
          <w:rFonts w:ascii="宋体" w:hAnsi="宋体" w:cs="宋体"/>
        </w:rPr>
      </w:pPr>
    </w:p>
    <w:p w14:paraId="3AB23021">
      <w:pPr>
        <w:spacing w:line="360" w:lineRule="auto"/>
        <w:ind w:firstLine="420" w:firstLineChars="200"/>
        <w:rPr>
          <w:rFonts w:ascii="宋体" w:hAnsi="宋体" w:cs="宋体"/>
        </w:rPr>
      </w:pPr>
    </w:p>
    <w:p w14:paraId="42912468">
      <w:pPr>
        <w:spacing w:line="360" w:lineRule="auto"/>
        <w:ind w:firstLine="420" w:firstLineChars="200"/>
        <w:rPr>
          <w:rFonts w:ascii="宋体" w:hAnsi="宋体" w:cs="宋体"/>
        </w:rPr>
      </w:pPr>
    </w:p>
    <w:p w14:paraId="0757484B">
      <w:pPr>
        <w:spacing w:line="360" w:lineRule="auto"/>
        <w:rPr>
          <w:rFonts w:ascii="宋体" w:hAnsi="宋体" w:cs="宋体"/>
        </w:rPr>
      </w:pPr>
    </w:p>
    <w:p w14:paraId="1E8F6C60">
      <w:pPr>
        <w:spacing w:line="360" w:lineRule="auto"/>
        <w:ind w:firstLine="420" w:firstLineChars="200"/>
        <w:rPr>
          <w:rFonts w:ascii="宋体" w:hAnsi="宋体" w:cs="宋体"/>
        </w:rPr>
      </w:pPr>
    </w:p>
    <w:p w14:paraId="57B3E92C">
      <w:pPr>
        <w:spacing w:line="360" w:lineRule="auto"/>
        <w:rPr>
          <w:rFonts w:ascii="宋体" w:hAnsi="宋体" w:cs="宋体"/>
        </w:rPr>
      </w:pPr>
    </w:p>
    <w:p w14:paraId="5300480C">
      <w:pPr>
        <w:spacing w:line="360" w:lineRule="auto"/>
        <w:rPr>
          <w:rFonts w:ascii="宋体" w:hAnsi="宋体" w:cs="宋体"/>
          <w:sz w:val="28"/>
          <w:szCs w:val="28"/>
        </w:rPr>
      </w:pPr>
      <w:bookmarkStart w:id="351" w:name="_Toc184635138"/>
      <w:bookmarkEnd w:id="351"/>
    </w:p>
    <w:p w14:paraId="671D5D54">
      <w:pPr>
        <w:spacing w:line="360" w:lineRule="auto"/>
        <w:ind w:firstLine="1680" w:firstLineChars="600"/>
        <w:rPr>
          <w:rFonts w:ascii="宋体" w:hAnsi="宋体" w:cs="宋体"/>
          <w:sz w:val="28"/>
          <w:szCs w:val="28"/>
        </w:rPr>
      </w:pPr>
    </w:p>
    <w:p w14:paraId="06672459">
      <w:pPr>
        <w:spacing w:line="360" w:lineRule="auto"/>
        <w:ind w:firstLine="1680" w:firstLineChars="600"/>
        <w:rPr>
          <w:rFonts w:ascii="宋体" w:hAnsi="宋体" w:cs="宋体"/>
          <w:sz w:val="28"/>
          <w:szCs w:val="28"/>
        </w:rPr>
      </w:pPr>
      <w:r>
        <w:rPr>
          <w:rFonts w:hint="eastAsia" w:ascii="宋体" w:hAnsi="宋体" w:cs="宋体"/>
          <w:sz w:val="28"/>
          <w:szCs w:val="28"/>
          <w:lang w:val="en-US" w:eastAsia="zh-CN"/>
        </w:rPr>
        <w:t>供应商</w:t>
      </w:r>
      <w:r>
        <w:rPr>
          <w:rFonts w:hint="eastAsia" w:ascii="宋体" w:hAnsi="宋体" w:cs="宋体"/>
          <w:sz w:val="28"/>
          <w:szCs w:val="28"/>
        </w:rPr>
        <w:t>：（电子签章）</w:t>
      </w:r>
    </w:p>
    <w:p w14:paraId="0844775D">
      <w:pPr>
        <w:spacing w:line="360" w:lineRule="auto"/>
        <w:ind w:firstLine="1680" w:firstLineChars="600"/>
        <w:rPr>
          <w:rFonts w:ascii="宋体" w:hAnsi="宋体" w:cs="宋体"/>
          <w:sz w:val="28"/>
          <w:szCs w:val="28"/>
        </w:rPr>
      </w:pPr>
      <w:r>
        <w:rPr>
          <w:rFonts w:hint="eastAsia" w:ascii="宋体" w:hAnsi="宋体" w:cs="宋体"/>
          <w:sz w:val="28"/>
          <w:szCs w:val="28"/>
        </w:rPr>
        <w:t>法定代表人 ：（电子签章）</w:t>
      </w:r>
    </w:p>
    <w:p w14:paraId="5C26B9AE">
      <w:pPr>
        <w:spacing w:line="360" w:lineRule="auto"/>
        <w:ind w:firstLine="1680" w:firstLineChars="600"/>
        <w:rPr>
          <w:rFonts w:ascii="宋体" w:hAnsi="宋体" w:cs="宋体"/>
          <w:sz w:val="28"/>
          <w:szCs w:val="28"/>
        </w:rPr>
      </w:pPr>
      <w:r>
        <w:rPr>
          <w:rFonts w:hint="eastAsia" w:ascii="宋体" w:hAnsi="宋体" w:cs="宋体"/>
          <w:sz w:val="28"/>
          <w:szCs w:val="28"/>
        </w:rPr>
        <w:t>年   月   日</w:t>
      </w:r>
    </w:p>
    <w:p w14:paraId="789A1373">
      <w:pPr>
        <w:spacing w:line="360" w:lineRule="auto"/>
        <w:jc w:val="center"/>
        <w:rPr>
          <w:rFonts w:ascii="宋体" w:hAnsi="宋体" w:cs="宋体"/>
          <w:sz w:val="28"/>
          <w:szCs w:val="28"/>
        </w:rPr>
      </w:pPr>
    </w:p>
    <w:p w14:paraId="1BC9A798">
      <w:pPr>
        <w:spacing w:beforeLines="100" w:line="360" w:lineRule="auto"/>
        <w:textAlignment w:val="center"/>
        <w:rPr>
          <w:rFonts w:ascii="宋体" w:hAnsi="宋体" w:cs="宋体"/>
          <w:sz w:val="32"/>
          <w:szCs w:val="32"/>
        </w:rPr>
      </w:pPr>
    </w:p>
    <w:p w14:paraId="510FB9F5">
      <w:pPr>
        <w:spacing w:beforeLines="100" w:line="360" w:lineRule="auto"/>
        <w:textAlignment w:val="center"/>
        <w:rPr>
          <w:rFonts w:ascii="宋体" w:hAnsi="宋体" w:cs="宋体"/>
          <w:sz w:val="32"/>
          <w:szCs w:val="32"/>
        </w:rPr>
      </w:pPr>
    </w:p>
    <w:p w14:paraId="765AA20A">
      <w:pPr>
        <w:spacing w:beforeLines="100" w:line="360" w:lineRule="auto"/>
        <w:textAlignment w:val="center"/>
        <w:rPr>
          <w:rFonts w:ascii="宋体" w:hAnsi="宋体" w:cs="宋体"/>
          <w:sz w:val="32"/>
          <w:szCs w:val="32"/>
        </w:rPr>
      </w:pPr>
    </w:p>
    <w:p w14:paraId="6DA32809">
      <w:pPr>
        <w:spacing w:line="360" w:lineRule="auto"/>
        <w:jc w:val="center"/>
        <w:textAlignment w:val="center"/>
        <w:outlineLvl w:val="0"/>
        <w:rPr>
          <w:rFonts w:ascii="宋体" w:hAnsi="宋体" w:cs="宋体"/>
          <w:sz w:val="32"/>
          <w:szCs w:val="32"/>
        </w:rPr>
      </w:pPr>
      <w:bookmarkStart w:id="352" w:name="_Toc30490"/>
      <w:bookmarkStart w:id="353" w:name="_Toc193295712"/>
      <w:bookmarkStart w:id="354" w:name="_Toc142932588"/>
      <w:bookmarkStart w:id="355" w:name="_Toc181711018"/>
      <w:bookmarkStart w:id="356" w:name="_Toc192673527"/>
      <w:bookmarkStart w:id="357" w:name="_Toc22868"/>
      <w:bookmarkStart w:id="358" w:name="_Toc181711550"/>
      <w:bookmarkStart w:id="359" w:name="_Toc6592"/>
      <w:bookmarkStart w:id="360" w:name="_Toc142932641"/>
      <w:bookmarkStart w:id="361" w:name="_Toc24468"/>
      <w:bookmarkStart w:id="362" w:name="_Toc23306"/>
      <w:bookmarkStart w:id="363" w:name="_Toc142912951"/>
      <w:bookmarkStart w:id="364" w:name="_Toc15774"/>
      <w:r>
        <w:rPr>
          <w:rFonts w:hint="eastAsia" w:ascii="宋体" w:hAnsi="宋体" w:cs="宋体"/>
          <w:sz w:val="32"/>
          <w:szCs w:val="32"/>
        </w:rPr>
        <w:t>目   录</w:t>
      </w:r>
      <w:bookmarkEnd w:id="352"/>
      <w:bookmarkEnd w:id="353"/>
      <w:bookmarkEnd w:id="354"/>
      <w:bookmarkEnd w:id="355"/>
      <w:bookmarkEnd w:id="356"/>
      <w:bookmarkEnd w:id="357"/>
      <w:bookmarkEnd w:id="358"/>
      <w:bookmarkEnd w:id="359"/>
      <w:bookmarkEnd w:id="360"/>
      <w:bookmarkEnd w:id="361"/>
      <w:bookmarkEnd w:id="362"/>
      <w:bookmarkEnd w:id="363"/>
      <w:bookmarkEnd w:id="364"/>
    </w:p>
    <w:p w14:paraId="0C1B2E6F">
      <w:pPr>
        <w:spacing w:line="360" w:lineRule="auto"/>
        <w:textAlignment w:val="center"/>
        <w:rPr>
          <w:rFonts w:ascii="宋体" w:hAnsi="宋体" w:cs="宋体"/>
          <w:sz w:val="24"/>
        </w:rPr>
      </w:pPr>
    </w:p>
    <w:p w14:paraId="7B085803">
      <w:pPr>
        <w:spacing w:line="360" w:lineRule="auto"/>
        <w:ind w:firstLine="424" w:firstLineChars="177"/>
        <w:textAlignment w:val="center"/>
        <w:outlineLvl w:val="1"/>
        <w:rPr>
          <w:rFonts w:ascii="宋体" w:hAnsi="宋体" w:cs="宋体"/>
          <w:sz w:val="24"/>
        </w:rPr>
      </w:pPr>
      <w:bookmarkStart w:id="365" w:name="_Toc19832"/>
      <w:bookmarkStart w:id="366" w:name="_Toc142932589"/>
      <w:bookmarkStart w:id="367" w:name="_Toc142912952"/>
      <w:bookmarkStart w:id="368" w:name="_Toc142932642"/>
      <w:bookmarkStart w:id="369" w:name="_Toc24740"/>
      <w:bookmarkStart w:id="370" w:name="_Toc13800"/>
      <w:r>
        <w:rPr>
          <w:rFonts w:hint="eastAsia" w:ascii="宋体" w:hAnsi="宋体" w:cs="宋体"/>
          <w:sz w:val="24"/>
        </w:rPr>
        <w:t>一、投标函及投标函附录</w:t>
      </w:r>
      <w:bookmarkEnd w:id="365"/>
      <w:bookmarkEnd w:id="366"/>
      <w:bookmarkEnd w:id="367"/>
      <w:bookmarkEnd w:id="368"/>
      <w:bookmarkEnd w:id="369"/>
      <w:bookmarkEnd w:id="370"/>
    </w:p>
    <w:p w14:paraId="1885F39E">
      <w:pPr>
        <w:spacing w:line="360" w:lineRule="auto"/>
        <w:ind w:firstLine="424" w:firstLineChars="177"/>
        <w:textAlignment w:val="center"/>
        <w:outlineLvl w:val="1"/>
        <w:rPr>
          <w:rFonts w:ascii="宋体" w:hAnsi="宋体" w:cs="宋体"/>
          <w:sz w:val="24"/>
        </w:rPr>
      </w:pPr>
      <w:bookmarkStart w:id="371" w:name="_Toc9489"/>
      <w:bookmarkStart w:id="372" w:name="_Toc25207"/>
      <w:bookmarkStart w:id="373" w:name="_Toc142912953"/>
      <w:bookmarkStart w:id="374" w:name="_Toc17943"/>
      <w:bookmarkStart w:id="375" w:name="_Toc142932590"/>
      <w:bookmarkStart w:id="376" w:name="_Toc142932643"/>
      <w:r>
        <w:rPr>
          <w:rFonts w:hint="eastAsia" w:ascii="宋体" w:hAnsi="宋体" w:cs="宋体"/>
          <w:sz w:val="24"/>
        </w:rPr>
        <w:t>二、法定代表人身份证明</w:t>
      </w:r>
      <w:bookmarkEnd w:id="371"/>
      <w:bookmarkEnd w:id="372"/>
      <w:bookmarkEnd w:id="373"/>
      <w:bookmarkEnd w:id="374"/>
      <w:bookmarkEnd w:id="375"/>
      <w:bookmarkEnd w:id="376"/>
    </w:p>
    <w:p w14:paraId="763EA23F">
      <w:pPr>
        <w:spacing w:line="360" w:lineRule="auto"/>
        <w:ind w:firstLine="424" w:firstLineChars="177"/>
        <w:textAlignment w:val="center"/>
        <w:outlineLvl w:val="1"/>
        <w:rPr>
          <w:rFonts w:ascii="宋体" w:hAnsi="宋体" w:cs="宋体"/>
          <w:sz w:val="24"/>
        </w:rPr>
      </w:pPr>
      <w:bookmarkStart w:id="377" w:name="_Toc142932592"/>
      <w:bookmarkStart w:id="378" w:name="_Toc21662"/>
      <w:bookmarkStart w:id="379" w:name="_Toc19401"/>
      <w:bookmarkStart w:id="380" w:name="_Toc142912955"/>
      <w:bookmarkStart w:id="381" w:name="_Toc24915"/>
      <w:bookmarkStart w:id="382" w:name="_Toc142932645"/>
      <w:r>
        <w:rPr>
          <w:rFonts w:hint="eastAsia" w:ascii="宋体" w:hAnsi="宋体" w:cs="宋体"/>
          <w:sz w:val="24"/>
          <w:lang w:val="en-US" w:eastAsia="zh-CN"/>
        </w:rPr>
        <w:t>三</w:t>
      </w:r>
      <w:r>
        <w:rPr>
          <w:rFonts w:hint="eastAsia" w:ascii="宋体" w:hAnsi="宋体" w:cs="宋体"/>
          <w:sz w:val="24"/>
        </w:rPr>
        <w:t>、已标价</w:t>
      </w:r>
      <w:bookmarkEnd w:id="377"/>
      <w:bookmarkEnd w:id="378"/>
      <w:bookmarkEnd w:id="379"/>
      <w:bookmarkEnd w:id="380"/>
      <w:bookmarkEnd w:id="381"/>
      <w:bookmarkEnd w:id="382"/>
      <w:r>
        <w:rPr>
          <w:rFonts w:hint="eastAsia" w:ascii="宋体" w:hAnsi="宋体" w:cs="宋体"/>
          <w:sz w:val="24"/>
        </w:rPr>
        <w:t>工程量清单</w:t>
      </w:r>
      <w:bookmarkStart w:id="383" w:name="_Toc23907"/>
      <w:bookmarkStart w:id="384" w:name="_Toc142932646"/>
      <w:bookmarkStart w:id="385" w:name="_Toc142912956"/>
      <w:bookmarkStart w:id="386" w:name="_Toc21"/>
      <w:bookmarkStart w:id="387" w:name="_Toc142932593"/>
      <w:bookmarkStart w:id="388" w:name="_Toc104"/>
    </w:p>
    <w:p w14:paraId="3FDB727D">
      <w:pPr>
        <w:spacing w:line="360" w:lineRule="auto"/>
        <w:ind w:firstLine="424" w:firstLineChars="177"/>
        <w:textAlignment w:val="center"/>
        <w:outlineLvl w:val="1"/>
        <w:rPr>
          <w:rFonts w:ascii="宋体" w:hAnsi="宋体" w:cs="宋体"/>
          <w:sz w:val="24"/>
        </w:rPr>
      </w:pPr>
      <w:r>
        <w:rPr>
          <w:rFonts w:hint="eastAsia" w:ascii="宋体" w:hAnsi="宋体" w:cs="宋体"/>
          <w:sz w:val="24"/>
          <w:lang w:val="en-US" w:eastAsia="zh-CN"/>
        </w:rPr>
        <w:t>四</w:t>
      </w:r>
      <w:r>
        <w:rPr>
          <w:rFonts w:hint="eastAsia" w:ascii="宋体" w:hAnsi="宋体" w:cs="宋体"/>
          <w:sz w:val="24"/>
        </w:rPr>
        <w:t>、施工组织设计</w:t>
      </w:r>
      <w:bookmarkEnd w:id="383"/>
      <w:bookmarkEnd w:id="384"/>
      <w:bookmarkEnd w:id="385"/>
      <w:bookmarkEnd w:id="386"/>
      <w:bookmarkEnd w:id="387"/>
      <w:bookmarkEnd w:id="388"/>
    </w:p>
    <w:p w14:paraId="51B5F84E">
      <w:pPr>
        <w:spacing w:line="360" w:lineRule="auto"/>
        <w:ind w:firstLine="424" w:firstLineChars="177"/>
        <w:textAlignment w:val="center"/>
        <w:outlineLvl w:val="1"/>
        <w:rPr>
          <w:rFonts w:ascii="宋体" w:hAnsi="宋体" w:cs="宋体"/>
          <w:sz w:val="24"/>
        </w:rPr>
      </w:pPr>
      <w:bookmarkStart w:id="389" w:name="_Toc142932647"/>
      <w:bookmarkStart w:id="390" w:name="_Toc142932594"/>
      <w:bookmarkStart w:id="391" w:name="_Toc19114"/>
      <w:bookmarkStart w:id="392" w:name="_Toc142912957"/>
      <w:bookmarkStart w:id="393" w:name="_Toc19255"/>
      <w:bookmarkStart w:id="394" w:name="_Toc15153"/>
      <w:r>
        <w:rPr>
          <w:rFonts w:hint="eastAsia" w:ascii="宋体" w:hAnsi="宋体" w:cs="宋体"/>
          <w:sz w:val="24"/>
          <w:lang w:val="en-US" w:eastAsia="zh-CN"/>
        </w:rPr>
        <w:t>五</w:t>
      </w:r>
      <w:r>
        <w:rPr>
          <w:rFonts w:hint="eastAsia" w:ascii="宋体" w:hAnsi="宋体" w:cs="宋体"/>
          <w:sz w:val="24"/>
        </w:rPr>
        <w:t>、项目管理机构</w:t>
      </w:r>
      <w:bookmarkEnd w:id="389"/>
      <w:bookmarkEnd w:id="390"/>
      <w:bookmarkEnd w:id="391"/>
      <w:bookmarkEnd w:id="392"/>
      <w:bookmarkEnd w:id="393"/>
      <w:bookmarkEnd w:id="394"/>
    </w:p>
    <w:p w14:paraId="61DF0717">
      <w:pPr>
        <w:spacing w:line="360" w:lineRule="auto"/>
        <w:ind w:firstLine="424" w:firstLineChars="177"/>
        <w:textAlignment w:val="center"/>
        <w:outlineLvl w:val="1"/>
        <w:rPr>
          <w:rFonts w:ascii="宋体" w:hAnsi="宋体" w:cs="宋体"/>
          <w:sz w:val="24"/>
        </w:rPr>
      </w:pPr>
      <w:bookmarkStart w:id="395" w:name="_Toc19368"/>
      <w:bookmarkStart w:id="396" w:name="_Toc64"/>
      <w:bookmarkStart w:id="397" w:name="_Toc142932595"/>
      <w:bookmarkStart w:id="398" w:name="_Toc142912958"/>
      <w:bookmarkStart w:id="399" w:name="_Toc142932648"/>
      <w:bookmarkStart w:id="400" w:name="_Toc30776"/>
      <w:r>
        <w:rPr>
          <w:rFonts w:hint="eastAsia" w:ascii="宋体" w:hAnsi="宋体" w:cs="宋体"/>
          <w:sz w:val="24"/>
          <w:lang w:val="en-US" w:eastAsia="zh-CN"/>
        </w:rPr>
        <w:t>六</w:t>
      </w:r>
      <w:r>
        <w:rPr>
          <w:rFonts w:hint="eastAsia" w:ascii="宋体" w:hAnsi="宋体" w:cs="宋体"/>
          <w:sz w:val="24"/>
        </w:rPr>
        <w:t>、企业基本情况资料</w:t>
      </w:r>
      <w:bookmarkEnd w:id="395"/>
      <w:bookmarkEnd w:id="396"/>
      <w:bookmarkEnd w:id="397"/>
      <w:bookmarkEnd w:id="398"/>
      <w:bookmarkEnd w:id="399"/>
      <w:bookmarkEnd w:id="400"/>
    </w:p>
    <w:p w14:paraId="15512B4A">
      <w:pPr>
        <w:spacing w:line="360" w:lineRule="auto"/>
        <w:ind w:firstLine="424" w:firstLineChars="177"/>
        <w:textAlignment w:val="center"/>
        <w:outlineLvl w:val="1"/>
        <w:rPr>
          <w:rFonts w:ascii="宋体" w:hAnsi="宋体" w:cs="宋体"/>
          <w:sz w:val="24"/>
        </w:rPr>
      </w:pPr>
      <w:bookmarkStart w:id="401" w:name="_Toc142912959"/>
      <w:bookmarkStart w:id="402" w:name="_Toc32015"/>
      <w:bookmarkStart w:id="403" w:name="_Toc27312"/>
      <w:bookmarkStart w:id="404" w:name="_Toc12954"/>
      <w:bookmarkStart w:id="405" w:name="_Toc142932596"/>
      <w:bookmarkStart w:id="406" w:name="_Toc142932649"/>
      <w:r>
        <w:rPr>
          <w:rFonts w:hint="eastAsia" w:ascii="宋体" w:hAnsi="宋体" w:cs="宋体"/>
          <w:sz w:val="24"/>
          <w:lang w:val="en-US" w:eastAsia="zh-CN"/>
        </w:rPr>
        <w:t>七</w:t>
      </w:r>
      <w:r>
        <w:rPr>
          <w:rFonts w:hint="eastAsia" w:ascii="宋体" w:hAnsi="宋体" w:cs="宋体"/>
          <w:sz w:val="24"/>
        </w:rPr>
        <w:t>、</w:t>
      </w:r>
      <w:r>
        <w:rPr>
          <w:rFonts w:hint="eastAsia" w:ascii="宋体" w:hAnsi="宋体" w:cs="宋体"/>
          <w:sz w:val="24"/>
          <w:lang w:eastAsia="zh-CN"/>
        </w:rPr>
        <w:t>供应商</w:t>
      </w:r>
      <w:r>
        <w:rPr>
          <w:rFonts w:hint="eastAsia" w:ascii="宋体" w:hAnsi="宋体" w:cs="宋体"/>
          <w:sz w:val="24"/>
        </w:rPr>
        <w:t>认为需要提供的其他材料</w:t>
      </w:r>
      <w:bookmarkEnd w:id="401"/>
      <w:bookmarkEnd w:id="402"/>
      <w:bookmarkEnd w:id="403"/>
      <w:bookmarkEnd w:id="404"/>
      <w:bookmarkEnd w:id="405"/>
      <w:bookmarkEnd w:id="406"/>
    </w:p>
    <w:p w14:paraId="4C017C24">
      <w:pPr>
        <w:spacing w:beforeLines="100" w:line="360" w:lineRule="auto"/>
        <w:jc w:val="center"/>
        <w:textAlignment w:val="center"/>
        <w:rPr>
          <w:rFonts w:ascii="宋体" w:hAnsi="宋体" w:cs="宋体"/>
          <w:sz w:val="30"/>
          <w:szCs w:val="30"/>
        </w:rPr>
      </w:pPr>
      <w:bookmarkStart w:id="407" w:name="_Toc2024"/>
      <w:bookmarkStart w:id="408" w:name="_Toc11364"/>
      <w:bookmarkStart w:id="409" w:name="_Toc8276"/>
      <w:bookmarkStart w:id="410" w:name="_Toc8089"/>
      <w:bookmarkStart w:id="411" w:name="_Toc24260"/>
    </w:p>
    <w:p w14:paraId="03C134A0">
      <w:pPr>
        <w:pStyle w:val="61"/>
        <w:spacing w:line="360" w:lineRule="auto"/>
        <w:rPr>
          <w:rFonts w:hint="default" w:hAnsi="宋体" w:cs="宋体"/>
          <w:color w:val="auto"/>
        </w:rPr>
      </w:pPr>
      <w:r>
        <w:rPr>
          <w:rFonts w:hAnsi="宋体" w:cs="宋体"/>
          <w:color w:val="auto"/>
        </w:rPr>
        <w:br w:type="page"/>
      </w:r>
    </w:p>
    <w:p w14:paraId="4AA22BB4">
      <w:pPr>
        <w:pStyle w:val="5"/>
        <w:jc w:val="center"/>
        <w:rPr>
          <w:rFonts w:ascii="宋体" w:hAnsi="宋体" w:cs="宋体"/>
          <w:bCs/>
          <w:sz w:val="32"/>
        </w:rPr>
      </w:pPr>
      <w:bookmarkStart w:id="412" w:name="_Toc16952"/>
      <w:r>
        <w:rPr>
          <w:rFonts w:hint="eastAsia" w:ascii="宋体" w:hAnsi="宋体" w:cs="宋体"/>
          <w:bCs/>
          <w:sz w:val="32"/>
        </w:rPr>
        <w:t>一、投标函及投标函附录</w:t>
      </w:r>
      <w:bookmarkEnd w:id="407"/>
      <w:bookmarkEnd w:id="408"/>
      <w:bookmarkEnd w:id="409"/>
      <w:bookmarkEnd w:id="410"/>
      <w:bookmarkEnd w:id="411"/>
      <w:bookmarkEnd w:id="412"/>
    </w:p>
    <w:p w14:paraId="76DE17A2">
      <w:pPr>
        <w:pStyle w:val="145"/>
        <w:spacing w:line="360" w:lineRule="auto"/>
        <w:ind w:firstLine="120"/>
        <w:jc w:val="center"/>
        <w:rPr>
          <w:rFonts w:ascii="宋体" w:hAnsi="宋体" w:eastAsia="宋体" w:cs="宋体"/>
          <w:szCs w:val="24"/>
        </w:rPr>
      </w:pPr>
      <w:bookmarkStart w:id="413" w:name="_Toc28874"/>
      <w:bookmarkStart w:id="414" w:name="_Toc2988"/>
      <w:bookmarkStart w:id="415" w:name="_Toc3649"/>
      <w:bookmarkStart w:id="416" w:name="_Toc6004"/>
      <w:bookmarkStart w:id="417" w:name="_Toc21361"/>
      <w:bookmarkStart w:id="418" w:name="_Toc16251"/>
      <w:bookmarkStart w:id="419" w:name="_Toc4905"/>
      <w:bookmarkStart w:id="420" w:name="_Toc11888"/>
      <w:bookmarkStart w:id="421" w:name="_Toc28003"/>
      <w:r>
        <w:rPr>
          <w:rFonts w:hint="eastAsia" w:ascii="宋体" w:hAnsi="宋体" w:eastAsia="宋体" w:cs="宋体"/>
          <w:szCs w:val="24"/>
        </w:rPr>
        <w:t>（一）投标函</w:t>
      </w:r>
      <w:bookmarkEnd w:id="413"/>
      <w:bookmarkEnd w:id="414"/>
      <w:bookmarkEnd w:id="415"/>
      <w:bookmarkEnd w:id="416"/>
      <w:bookmarkEnd w:id="417"/>
      <w:bookmarkEnd w:id="418"/>
      <w:bookmarkEnd w:id="419"/>
      <w:bookmarkEnd w:id="420"/>
      <w:bookmarkEnd w:id="421"/>
    </w:p>
    <w:p w14:paraId="7884C38F">
      <w:pPr>
        <w:spacing w:line="360" w:lineRule="auto"/>
        <w:rPr>
          <w:rFonts w:ascii="宋体" w:hAnsi="宋体" w:cs="宋体"/>
          <w:sz w:val="24"/>
        </w:rPr>
      </w:pPr>
      <w:r>
        <w:rPr>
          <w:rFonts w:hint="eastAsia" w:ascii="宋体" w:hAnsi="宋体" w:cs="宋体"/>
          <w:sz w:val="24"/>
          <w:lang w:eastAsia="zh-CN"/>
        </w:rPr>
        <w:t>（采购人名称）</w:t>
      </w:r>
      <w:r>
        <w:rPr>
          <w:rFonts w:hint="eastAsia" w:ascii="宋体" w:hAnsi="宋体" w:cs="宋体"/>
          <w:sz w:val="24"/>
        </w:rPr>
        <w:t>：</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44E8D689">
      <w:pPr>
        <w:spacing w:line="360" w:lineRule="auto"/>
        <w:ind w:firstLine="480" w:firstLineChars="200"/>
        <w:rPr>
          <w:rFonts w:ascii="宋体" w:hAnsi="宋体" w:cs="宋体"/>
          <w:sz w:val="24"/>
        </w:rPr>
      </w:pPr>
      <w:r>
        <w:rPr>
          <w:rFonts w:hint="eastAsia" w:ascii="宋体" w:hAnsi="宋体" w:cs="宋体"/>
          <w:sz w:val="24"/>
        </w:rPr>
        <w:t>1．我方已仔细研究了</w:t>
      </w:r>
      <w:r>
        <w:rPr>
          <w:rFonts w:hint="eastAsia" w:ascii="宋体" w:hAnsi="宋体" w:cs="宋体"/>
          <w:sz w:val="24"/>
          <w:u w:val="single"/>
        </w:rPr>
        <w:t xml:space="preserve">（项目名称）  </w:t>
      </w:r>
      <w:r>
        <w:rPr>
          <w:rFonts w:hint="eastAsia" w:ascii="宋体" w:hAnsi="宋体" w:cs="宋体"/>
          <w:sz w:val="24"/>
        </w:rPr>
        <w:t>标段</w:t>
      </w:r>
      <w:r>
        <w:rPr>
          <w:rFonts w:hint="eastAsia" w:ascii="宋体" w:hAnsi="宋体" w:cs="宋体"/>
          <w:sz w:val="24"/>
          <w:lang w:eastAsia="zh-CN"/>
        </w:rPr>
        <w:t>竞争性磋商文件</w:t>
      </w:r>
      <w:r>
        <w:rPr>
          <w:rFonts w:hint="eastAsia" w:ascii="宋体" w:hAnsi="宋体" w:cs="宋体"/>
          <w:sz w:val="24"/>
        </w:rPr>
        <w:t>的全部内容，愿意以（大写）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元的投标总报价，工期</w:t>
      </w:r>
      <w:r>
        <w:rPr>
          <w:rFonts w:hint="eastAsia" w:ascii="宋体" w:hAnsi="宋体" w:cs="宋体"/>
          <w:sz w:val="24"/>
          <w:u w:val="single"/>
        </w:rPr>
        <w:t xml:space="preserve">       </w:t>
      </w:r>
      <w:r>
        <w:rPr>
          <w:rFonts w:hint="eastAsia" w:ascii="宋体" w:hAnsi="宋体" w:cs="宋体"/>
          <w:sz w:val="24"/>
        </w:rPr>
        <w:t>，按合同约定实施和完成工程，修补工程中的任何缺陷，质量要求</w:t>
      </w:r>
      <w:r>
        <w:rPr>
          <w:rFonts w:hint="eastAsia" w:ascii="宋体" w:hAnsi="宋体" w:cs="宋体"/>
          <w:sz w:val="24"/>
          <w:u w:val="single"/>
        </w:rPr>
        <w:t xml:space="preserve">      </w:t>
      </w:r>
      <w:r>
        <w:rPr>
          <w:rFonts w:hint="eastAsia" w:ascii="宋体" w:hAnsi="宋体" w:cs="宋体"/>
          <w:sz w:val="24"/>
        </w:rPr>
        <w:t>，安全目标</w:t>
      </w:r>
      <w:r>
        <w:rPr>
          <w:rFonts w:hint="eastAsia" w:ascii="宋体" w:hAnsi="宋体" w:cs="宋体"/>
          <w:sz w:val="24"/>
          <w:u w:val="single"/>
        </w:rPr>
        <w:t xml:space="preserve">       </w:t>
      </w:r>
      <w:r>
        <w:rPr>
          <w:rFonts w:hint="eastAsia" w:ascii="宋体" w:hAnsi="宋体" w:cs="宋体"/>
          <w:sz w:val="24"/>
        </w:rPr>
        <w:t>。</w:t>
      </w:r>
    </w:p>
    <w:p w14:paraId="060E50B1">
      <w:pPr>
        <w:spacing w:line="360" w:lineRule="auto"/>
        <w:ind w:firstLine="480" w:firstLineChars="200"/>
        <w:rPr>
          <w:rFonts w:ascii="宋体" w:hAnsi="宋体" w:cs="宋体"/>
          <w:sz w:val="24"/>
        </w:rPr>
      </w:pPr>
      <w:r>
        <w:rPr>
          <w:rFonts w:hint="eastAsia" w:ascii="宋体" w:hAnsi="宋体" w:cs="宋体"/>
          <w:sz w:val="24"/>
        </w:rPr>
        <w:t>2．我方承诺在</w:t>
      </w:r>
      <w:r>
        <w:rPr>
          <w:rFonts w:hint="eastAsia" w:ascii="宋体" w:hAnsi="宋体" w:cs="宋体"/>
          <w:sz w:val="24"/>
          <w:lang w:eastAsia="zh-CN"/>
        </w:rPr>
        <w:t>竞争性磋商文件</w:t>
      </w:r>
      <w:r>
        <w:rPr>
          <w:rFonts w:hint="eastAsia" w:ascii="宋体" w:hAnsi="宋体" w:cs="宋体"/>
          <w:sz w:val="24"/>
        </w:rPr>
        <w:t>规定的投标有效期内不撤销</w:t>
      </w:r>
      <w:r>
        <w:rPr>
          <w:rFonts w:hint="eastAsia" w:ascii="宋体" w:hAnsi="宋体" w:cs="宋体"/>
          <w:sz w:val="24"/>
          <w:lang w:eastAsia="zh-CN"/>
        </w:rPr>
        <w:t>响应文件</w:t>
      </w:r>
      <w:r>
        <w:rPr>
          <w:rFonts w:hint="eastAsia" w:ascii="宋体" w:hAnsi="宋体" w:cs="宋体"/>
          <w:sz w:val="24"/>
        </w:rPr>
        <w:t>。</w:t>
      </w:r>
    </w:p>
    <w:p w14:paraId="3B657534">
      <w:pPr>
        <w:spacing w:line="360" w:lineRule="auto"/>
        <w:ind w:firstLine="480" w:firstLineChars="200"/>
        <w:rPr>
          <w:rFonts w:ascii="宋体" w:hAnsi="宋体" w:cs="宋体"/>
          <w:sz w:val="24"/>
          <w:u w:val="single"/>
        </w:rPr>
      </w:pPr>
      <w:r>
        <w:rPr>
          <w:rFonts w:hint="eastAsia" w:ascii="宋体" w:hAnsi="宋体" w:cs="宋体"/>
          <w:sz w:val="24"/>
        </w:rPr>
        <w:t>3.随同本投标函提交投标保证金:金额为人民币（大写）</w:t>
      </w:r>
      <w:r>
        <w:rPr>
          <w:rFonts w:hint="eastAsia" w:ascii="宋体" w:hAnsi="宋体" w:cs="宋体"/>
          <w:sz w:val="24"/>
          <w:u w:val="single"/>
        </w:rPr>
        <w:t xml:space="preserve">       </w:t>
      </w:r>
      <w:r>
        <w:rPr>
          <w:rFonts w:hint="eastAsia" w:ascii="宋体" w:hAnsi="宋体" w:cs="宋体"/>
          <w:sz w:val="24"/>
        </w:rPr>
        <w:t>（小写）</w:t>
      </w:r>
      <w:r>
        <w:rPr>
          <w:rFonts w:hint="eastAsia" w:ascii="宋体" w:hAnsi="宋体" w:cs="宋体"/>
          <w:sz w:val="24"/>
          <w:u w:val="single"/>
        </w:rPr>
        <w:t xml:space="preserve">      </w:t>
      </w:r>
      <w:r>
        <w:rPr>
          <w:rFonts w:hint="eastAsia" w:ascii="宋体" w:hAnsi="宋体" w:cs="宋体"/>
          <w:sz w:val="24"/>
        </w:rPr>
        <w:t>元。</w:t>
      </w:r>
    </w:p>
    <w:p w14:paraId="48EB8BFD">
      <w:pPr>
        <w:spacing w:line="360" w:lineRule="auto"/>
        <w:ind w:firstLine="480" w:firstLineChars="200"/>
        <w:rPr>
          <w:rFonts w:ascii="宋体" w:hAnsi="宋体" w:cs="宋体"/>
          <w:sz w:val="24"/>
        </w:rPr>
      </w:pPr>
      <w:r>
        <w:rPr>
          <w:rFonts w:hint="eastAsia" w:ascii="宋体" w:hAnsi="宋体" w:cs="宋体"/>
          <w:sz w:val="24"/>
        </w:rPr>
        <w:t>4．如我方中标，我方承诺：</w:t>
      </w:r>
    </w:p>
    <w:p w14:paraId="519E45BC">
      <w:pPr>
        <w:spacing w:line="360" w:lineRule="auto"/>
        <w:ind w:firstLine="480" w:firstLineChars="200"/>
        <w:rPr>
          <w:rFonts w:ascii="宋体" w:hAnsi="宋体" w:cs="宋体"/>
          <w:sz w:val="24"/>
        </w:rPr>
      </w:pPr>
      <w:r>
        <w:rPr>
          <w:rFonts w:hint="eastAsia" w:ascii="宋体" w:hAnsi="宋体" w:cs="宋体"/>
          <w:sz w:val="24"/>
        </w:rPr>
        <w:t>（1）在收到中标通知书后，在中标通知书规定的期限内与你方签订合同；</w:t>
      </w:r>
    </w:p>
    <w:p w14:paraId="6FC7846C">
      <w:pPr>
        <w:spacing w:line="360" w:lineRule="auto"/>
        <w:ind w:firstLine="480" w:firstLineChars="200"/>
        <w:rPr>
          <w:rFonts w:ascii="宋体" w:hAnsi="宋体" w:cs="宋体"/>
          <w:sz w:val="24"/>
        </w:rPr>
      </w:pPr>
      <w:r>
        <w:rPr>
          <w:rFonts w:hint="eastAsia" w:ascii="宋体" w:hAnsi="宋体" w:cs="宋体"/>
          <w:sz w:val="24"/>
        </w:rPr>
        <w:t>（2）随同本投标函递交的投标函附录属于合同文件的组成部分。</w:t>
      </w:r>
    </w:p>
    <w:p w14:paraId="71B497BC">
      <w:pPr>
        <w:spacing w:line="360" w:lineRule="auto"/>
        <w:ind w:firstLine="480" w:firstLineChars="200"/>
        <w:rPr>
          <w:rFonts w:ascii="宋体" w:hAnsi="宋体" w:cs="宋体"/>
          <w:sz w:val="24"/>
        </w:rPr>
      </w:pPr>
      <w:r>
        <w:rPr>
          <w:rFonts w:hint="eastAsia" w:ascii="宋体" w:hAnsi="宋体" w:cs="宋体"/>
          <w:sz w:val="24"/>
        </w:rPr>
        <w:t>（3）我方承诺按照</w:t>
      </w:r>
      <w:r>
        <w:rPr>
          <w:rFonts w:hint="eastAsia" w:ascii="宋体" w:hAnsi="宋体" w:cs="宋体"/>
          <w:sz w:val="24"/>
          <w:lang w:eastAsia="zh-CN"/>
        </w:rPr>
        <w:t>竞争性磋商文件</w:t>
      </w:r>
      <w:r>
        <w:rPr>
          <w:rFonts w:hint="eastAsia" w:ascii="宋体" w:hAnsi="宋体" w:cs="宋体"/>
          <w:sz w:val="24"/>
        </w:rPr>
        <w:t>规定向你方递交履约担保。</w:t>
      </w:r>
    </w:p>
    <w:p w14:paraId="585F7331">
      <w:pPr>
        <w:spacing w:line="360" w:lineRule="auto"/>
        <w:ind w:firstLine="480" w:firstLineChars="200"/>
        <w:rPr>
          <w:rFonts w:ascii="宋体" w:hAnsi="宋体" w:cs="宋体"/>
          <w:sz w:val="24"/>
        </w:rPr>
      </w:pPr>
      <w:r>
        <w:rPr>
          <w:rFonts w:hint="eastAsia" w:ascii="宋体" w:hAnsi="宋体" w:cs="宋体"/>
          <w:sz w:val="24"/>
        </w:rPr>
        <w:t>（4）我方承诺在合同约定的期限内完成并移交全部合同工程。</w:t>
      </w:r>
    </w:p>
    <w:p w14:paraId="1AF9730C">
      <w:pPr>
        <w:spacing w:line="360" w:lineRule="auto"/>
        <w:ind w:firstLine="480" w:firstLineChars="200"/>
        <w:rPr>
          <w:rFonts w:ascii="宋体" w:hAnsi="宋体" w:cs="宋体"/>
          <w:sz w:val="24"/>
        </w:rPr>
      </w:pPr>
      <w:r>
        <w:rPr>
          <w:rFonts w:hint="eastAsia" w:ascii="宋体" w:hAnsi="宋体" w:cs="宋体"/>
          <w:sz w:val="24"/>
        </w:rPr>
        <w:t>（5）我方承诺满足合同专用条款中补充条款的内容。</w:t>
      </w:r>
    </w:p>
    <w:p w14:paraId="677E1599">
      <w:pPr>
        <w:spacing w:line="360" w:lineRule="auto"/>
        <w:ind w:firstLine="480" w:firstLineChars="200"/>
        <w:rPr>
          <w:rFonts w:ascii="宋体" w:hAnsi="宋体" w:cs="宋体"/>
          <w:sz w:val="24"/>
        </w:rPr>
      </w:pPr>
      <w:r>
        <w:rPr>
          <w:rFonts w:hint="eastAsia" w:ascii="宋体" w:hAnsi="宋体" w:cs="宋体"/>
          <w:sz w:val="24"/>
        </w:rPr>
        <w:t>5．我方在此声明，所递交的</w:t>
      </w:r>
      <w:r>
        <w:rPr>
          <w:rFonts w:hint="eastAsia" w:ascii="宋体" w:hAnsi="宋体" w:cs="宋体"/>
          <w:sz w:val="24"/>
          <w:lang w:eastAsia="zh-CN"/>
        </w:rPr>
        <w:t>响应文件</w:t>
      </w:r>
      <w:r>
        <w:rPr>
          <w:rFonts w:hint="eastAsia" w:ascii="宋体" w:hAnsi="宋体" w:cs="宋体"/>
          <w:sz w:val="24"/>
        </w:rPr>
        <w:t>及有关资料内容完整、真实和准确，且不存在第二章“</w:t>
      </w:r>
      <w:r>
        <w:rPr>
          <w:rFonts w:hint="eastAsia" w:ascii="宋体" w:hAnsi="宋体" w:cs="宋体"/>
          <w:sz w:val="24"/>
          <w:lang w:eastAsia="zh-CN"/>
        </w:rPr>
        <w:t>供应商</w:t>
      </w:r>
      <w:r>
        <w:rPr>
          <w:rFonts w:hint="eastAsia" w:ascii="宋体" w:hAnsi="宋体" w:cs="宋体"/>
          <w:sz w:val="24"/>
        </w:rPr>
        <w:t>须知”第1.4.3项规定的任何一种情形。</w:t>
      </w:r>
    </w:p>
    <w:p w14:paraId="392A535B">
      <w:pPr>
        <w:spacing w:line="360" w:lineRule="auto"/>
        <w:ind w:firstLine="480" w:firstLineChars="200"/>
        <w:rPr>
          <w:rFonts w:ascii="宋体" w:hAnsi="宋体" w:cs="宋体"/>
          <w:sz w:val="24"/>
        </w:rPr>
      </w:pPr>
      <w:r>
        <w:rPr>
          <w:rFonts w:hint="eastAsia" w:ascii="宋体" w:hAnsi="宋体" w:cs="宋体"/>
          <w:sz w:val="24"/>
        </w:rPr>
        <w:t>6．（其他补充说明）。</w:t>
      </w:r>
    </w:p>
    <w:p w14:paraId="44CCA621">
      <w:pPr>
        <w:spacing w:line="360" w:lineRule="auto"/>
        <w:jc w:val="left"/>
        <w:rPr>
          <w:rFonts w:ascii="宋体" w:hAnsi="宋体" w:cs="宋体"/>
          <w:sz w:val="24"/>
        </w:rPr>
      </w:pPr>
    </w:p>
    <w:p w14:paraId="1A19781A">
      <w:pPr>
        <w:spacing w:line="360" w:lineRule="auto"/>
        <w:jc w:val="left"/>
        <w:rPr>
          <w:rFonts w:ascii="宋体" w:hAnsi="宋体" w:cs="宋体"/>
          <w:sz w:val="24"/>
        </w:rPr>
      </w:pPr>
    </w:p>
    <w:p w14:paraId="164FBC80">
      <w:pPr>
        <w:spacing w:line="360" w:lineRule="auto"/>
        <w:jc w:val="left"/>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5C9A2CBD">
      <w:pPr>
        <w:spacing w:line="360" w:lineRule="auto"/>
        <w:jc w:val="left"/>
        <w:rPr>
          <w:rFonts w:ascii="宋体" w:hAnsi="宋体" w:cs="宋体"/>
          <w:sz w:val="24"/>
        </w:rPr>
      </w:pPr>
      <w:r>
        <w:rPr>
          <w:rFonts w:hint="eastAsia" w:ascii="宋体" w:hAnsi="宋体" w:cs="宋体"/>
          <w:sz w:val="24"/>
        </w:rPr>
        <w:t xml:space="preserve">                                  法定代表人：（电子签章）</w:t>
      </w:r>
    </w:p>
    <w:p w14:paraId="5A902DE2">
      <w:pPr>
        <w:spacing w:line="360" w:lineRule="auto"/>
        <w:jc w:val="left"/>
        <w:rPr>
          <w:rFonts w:ascii="宋体" w:hAnsi="宋体" w:cs="宋体"/>
          <w:sz w:val="24"/>
          <w:u w:val="single"/>
        </w:rPr>
      </w:pPr>
      <w:r>
        <w:rPr>
          <w:rFonts w:hint="eastAsia" w:ascii="宋体" w:hAnsi="宋体" w:cs="宋体"/>
          <w:sz w:val="24"/>
        </w:rPr>
        <w:t xml:space="preserve">                                  地  址：</w:t>
      </w:r>
    </w:p>
    <w:p w14:paraId="4936A60E">
      <w:pPr>
        <w:pStyle w:val="2"/>
        <w:spacing w:line="360" w:lineRule="auto"/>
        <w:rPr>
          <w:rFonts w:ascii="宋体" w:hAnsi="宋体" w:cs="宋体"/>
          <w:sz w:val="24"/>
          <w:u w:val="single"/>
        </w:rPr>
      </w:pPr>
      <w:r>
        <w:rPr>
          <w:rFonts w:hint="eastAsia" w:ascii="宋体" w:hAnsi="宋体" w:cs="宋体"/>
          <w:sz w:val="24"/>
        </w:rPr>
        <w:t xml:space="preserve">                                  电  话：</w:t>
      </w:r>
    </w:p>
    <w:p w14:paraId="445AE1F4">
      <w:pPr>
        <w:pStyle w:val="2"/>
        <w:spacing w:line="360" w:lineRule="auto"/>
        <w:rPr>
          <w:rFonts w:ascii="宋体" w:hAnsi="宋体" w:cs="宋体"/>
          <w:sz w:val="24"/>
          <w:u w:val="single"/>
        </w:rPr>
      </w:pPr>
      <w:r>
        <w:rPr>
          <w:rFonts w:hint="eastAsia" w:ascii="宋体" w:hAnsi="宋体" w:cs="宋体"/>
          <w:sz w:val="24"/>
        </w:rPr>
        <w:t xml:space="preserve">                             </w:t>
      </w:r>
    </w:p>
    <w:p w14:paraId="480845F3">
      <w:pPr>
        <w:spacing w:line="360" w:lineRule="auto"/>
        <w:rPr>
          <w:rFonts w:ascii="宋体" w:hAnsi="宋体" w:cs="宋体"/>
          <w:sz w:val="24"/>
        </w:rPr>
      </w:pPr>
      <w:r>
        <w:rPr>
          <w:rFonts w:hint="eastAsia" w:ascii="宋体" w:hAnsi="宋体" w:cs="宋体"/>
          <w:sz w:val="24"/>
        </w:rPr>
        <w:t xml:space="preserve">                                            日期：  年</w:t>
      </w:r>
      <w:r>
        <w:rPr>
          <w:rFonts w:hint="eastAsia" w:ascii="宋体" w:hAnsi="宋体" w:cs="宋体"/>
          <w:sz w:val="24"/>
        </w:rPr>
        <w:tab/>
      </w:r>
      <w:r>
        <w:rPr>
          <w:rFonts w:hint="eastAsia" w:ascii="宋体" w:hAnsi="宋体" w:cs="宋体"/>
          <w:sz w:val="24"/>
        </w:rPr>
        <w:t xml:space="preserve">  月</w:t>
      </w:r>
      <w:r>
        <w:rPr>
          <w:rFonts w:hint="eastAsia" w:ascii="宋体" w:hAnsi="宋体" w:cs="宋体"/>
          <w:sz w:val="24"/>
        </w:rPr>
        <w:tab/>
      </w:r>
      <w:r>
        <w:rPr>
          <w:rFonts w:hint="eastAsia" w:ascii="宋体" w:hAnsi="宋体" w:cs="宋体"/>
          <w:sz w:val="24"/>
        </w:rPr>
        <w:t>日</w:t>
      </w:r>
    </w:p>
    <w:p w14:paraId="45C8D10C">
      <w:pPr>
        <w:pStyle w:val="61"/>
        <w:spacing w:line="360" w:lineRule="auto"/>
        <w:rPr>
          <w:rFonts w:hint="default" w:hAnsi="宋体" w:cs="宋体"/>
          <w:color w:val="auto"/>
        </w:rPr>
      </w:pPr>
    </w:p>
    <w:p w14:paraId="1161CB38">
      <w:pPr>
        <w:pStyle w:val="145"/>
        <w:spacing w:line="360" w:lineRule="auto"/>
        <w:ind w:firstLine="120"/>
        <w:jc w:val="center"/>
        <w:rPr>
          <w:rFonts w:ascii="宋体" w:hAnsi="宋体" w:eastAsia="宋体" w:cs="宋体"/>
          <w:szCs w:val="24"/>
        </w:rPr>
      </w:pPr>
      <w:bookmarkStart w:id="422" w:name="_Toc21483"/>
      <w:bookmarkStart w:id="423" w:name="_Toc9144"/>
      <w:r>
        <w:rPr>
          <w:rFonts w:hint="eastAsia" w:ascii="宋体" w:hAnsi="宋体" w:eastAsia="宋体" w:cs="宋体"/>
          <w:szCs w:val="24"/>
        </w:rPr>
        <w:t>（二）投标函附录</w:t>
      </w:r>
      <w:bookmarkEnd w:id="422"/>
      <w:bookmarkEnd w:id="423"/>
    </w:p>
    <w:tbl>
      <w:tblPr>
        <w:tblStyle w:val="43"/>
        <w:tblpPr w:leftFromText="181" w:rightFromText="181" w:vertAnchor="text" w:horzAnchor="margin" w:tblpXSpec="center" w:tblpY="128"/>
        <w:tblOverlap w:val="never"/>
        <w:tblW w:w="93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04"/>
        <w:gridCol w:w="2208"/>
        <w:gridCol w:w="791"/>
        <w:gridCol w:w="1052"/>
        <w:gridCol w:w="1576"/>
        <w:gridCol w:w="2256"/>
      </w:tblGrid>
      <w:tr w14:paraId="2D7CF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exact"/>
          <w:jc w:val="center"/>
        </w:trPr>
        <w:tc>
          <w:tcPr>
            <w:tcW w:w="1504" w:type="dxa"/>
            <w:vAlign w:val="center"/>
          </w:tcPr>
          <w:p w14:paraId="0FBB8600">
            <w:pPr>
              <w:spacing w:line="360" w:lineRule="auto"/>
              <w:jc w:val="center"/>
              <w:rPr>
                <w:rFonts w:ascii="宋体" w:hAnsi="宋体" w:cs="宋体"/>
                <w:sz w:val="24"/>
              </w:rPr>
            </w:pPr>
            <w:r>
              <w:rPr>
                <w:rFonts w:hint="eastAsia" w:ascii="宋体" w:hAnsi="宋体" w:cs="宋体"/>
                <w:sz w:val="24"/>
              </w:rPr>
              <w:t>项目名称</w:t>
            </w:r>
          </w:p>
        </w:tc>
        <w:tc>
          <w:tcPr>
            <w:tcW w:w="7883" w:type="dxa"/>
            <w:gridSpan w:val="5"/>
            <w:vAlign w:val="center"/>
          </w:tcPr>
          <w:p w14:paraId="7F22A29B">
            <w:pPr>
              <w:spacing w:line="360" w:lineRule="auto"/>
              <w:jc w:val="center"/>
              <w:rPr>
                <w:rFonts w:ascii="宋体" w:hAnsi="宋体" w:cs="宋体"/>
                <w:sz w:val="24"/>
              </w:rPr>
            </w:pPr>
          </w:p>
        </w:tc>
      </w:tr>
      <w:tr w14:paraId="5E6F41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exact"/>
          <w:jc w:val="center"/>
        </w:trPr>
        <w:tc>
          <w:tcPr>
            <w:tcW w:w="1504" w:type="dxa"/>
            <w:vAlign w:val="center"/>
          </w:tcPr>
          <w:p w14:paraId="504FC0F5">
            <w:pPr>
              <w:spacing w:line="360" w:lineRule="auto"/>
              <w:jc w:val="center"/>
              <w:rPr>
                <w:rFonts w:hint="eastAsia" w:ascii="宋体" w:hAnsi="宋体" w:eastAsia="宋体" w:cs="宋体"/>
                <w:sz w:val="24"/>
                <w:lang w:eastAsia="zh-CN"/>
              </w:rPr>
            </w:pPr>
            <w:r>
              <w:rPr>
                <w:rFonts w:hint="eastAsia" w:ascii="宋体" w:hAnsi="宋体" w:cs="宋体"/>
                <w:sz w:val="24"/>
                <w:lang w:val="en-US" w:eastAsia="zh-CN"/>
              </w:rPr>
              <w:t>供应商</w:t>
            </w:r>
          </w:p>
        </w:tc>
        <w:tc>
          <w:tcPr>
            <w:tcW w:w="7883" w:type="dxa"/>
            <w:gridSpan w:val="5"/>
            <w:vAlign w:val="center"/>
          </w:tcPr>
          <w:p w14:paraId="7155006F">
            <w:pPr>
              <w:spacing w:line="360" w:lineRule="auto"/>
              <w:jc w:val="center"/>
              <w:rPr>
                <w:rFonts w:ascii="宋体" w:hAnsi="宋体" w:cs="宋体"/>
                <w:sz w:val="24"/>
              </w:rPr>
            </w:pPr>
          </w:p>
        </w:tc>
      </w:tr>
      <w:tr w14:paraId="5D1BA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1504" w:type="dxa"/>
            <w:vAlign w:val="center"/>
          </w:tcPr>
          <w:p w14:paraId="3A33D3DA">
            <w:pPr>
              <w:spacing w:line="360" w:lineRule="auto"/>
              <w:jc w:val="center"/>
              <w:rPr>
                <w:rFonts w:ascii="宋体" w:hAnsi="宋体" w:cs="宋体"/>
                <w:sz w:val="24"/>
              </w:rPr>
            </w:pPr>
            <w:r>
              <w:rPr>
                <w:rFonts w:hint="eastAsia" w:ascii="宋体" w:hAnsi="宋体" w:cs="宋体"/>
                <w:sz w:val="24"/>
              </w:rPr>
              <w:t>项目经理</w:t>
            </w:r>
          </w:p>
        </w:tc>
        <w:tc>
          <w:tcPr>
            <w:tcW w:w="2208" w:type="dxa"/>
            <w:vAlign w:val="center"/>
          </w:tcPr>
          <w:p w14:paraId="547B4624">
            <w:pPr>
              <w:spacing w:line="360" w:lineRule="auto"/>
              <w:jc w:val="center"/>
              <w:rPr>
                <w:rFonts w:ascii="宋体" w:hAnsi="宋体" w:cs="宋体"/>
                <w:sz w:val="24"/>
              </w:rPr>
            </w:pPr>
          </w:p>
        </w:tc>
        <w:tc>
          <w:tcPr>
            <w:tcW w:w="791" w:type="dxa"/>
            <w:vAlign w:val="center"/>
          </w:tcPr>
          <w:p w14:paraId="484DB9E0">
            <w:pPr>
              <w:spacing w:line="360" w:lineRule="auto"/>
              <w:jc w:val="center"/>
              <w:rPr>
                <w:rFonts w:ascii="宋体" w:hAnsi="宋体" w:cs="宋体"/>
                <w:sz w:val="24"/>
              </w:rPr>
            </w:pPr>
            <w:r>
              <w:rPr>
                <w:rFonts w:hint="eastAsia" w:ascii="宋体" w:hAnsi="宋体" w:cs="宋体"/>
                <w:sz w:val="24"/>
              </w:rPr>
              <w:t>级别</w:t>
            </w:r>
          </w:p>
        </w:tc>
        <w:tc>
          <w:tcPr>
            <w:tcW w:w="1052" w:type="dxa"/>
            <w:vAlign w:val="center"/>
          </w:tcPr>
          <w:p w14:paraId="370AA325">
            <w:pPr>
              <w:spacing w:line="360" w:lineRule="auto"/>
              <w:ind w:firstLine="240" w:firstLineChars="100"/>
              <w:jc w:val="center"/>
              <w:rPr>
                <w:rFonts w:ascii="宋体" w:hAnsi="宋体" w:cs="宋体"/>
                <w:sz w:val="24"/>
              </w:rPr>
            </w:pPr>
          </w:p>
        </w:tc>
        <w:tc>
          <w:tcPr>
            <w:tcW w:w="1576" w:type="dxa"/>
            <w:vAlign w:val="center"/>
          </w:tcPr>
          <w:p w14:paraId="4B6F8AB0">
            <w:pPr>
              <w:spacing w:line="360" w:lineRule="auto"/>
              <w:jc w:val="center"/>
              <w:rPr>
                <w:rFonts w:ascii="宋体" w:hAnsi="宋体" w:cs="宋体"/>
                <w:sz w:val="24"/>
              </w:rPr>
            </w:pPr>
            <w:r>
              <w:rPr>
                <w:rFonts w:hint="eastAsia" w:ascii="宋体" w:hAnsi="宋体" w:cs="宋体"/>
                <w:sz w:val="24"/>
              </w:rPr>
              <w:t>注册编号</w:t>
            </w:r>
          </w:p>
        </w:tc>
        <w:tc>
          <w:tcPr>
            <w:tcW w:w="2256" w:type="dxa"/>
            <w:vAlign w:val="center"/>
          </w:tcPr>
          <w:p w14:paraId="0882380F">
            <w:pPr>
              <w:spacing w:line="360" w:lineRule="auto"/>
              <w:rPr>
                <w:rFonts w:ascii="宋体" w:hAnsi="宋体" w:cs="宋体"/>
                <w:sz w:val="24"/>
              </w:rPr>
            </w:pPr>
          </w:p>
        </w:tc>
      </w:tr>
      <w:tr w14:paraId="34274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exact"/>
          <w:jc w:val="center"/>
        </w:trPr>
        <w:tc>
          <w:tcPr>
            <w:tcW w:w="3712" w:type="dxa"/>
            <w:gridSpan w:val="2"/>
            <w:vAlign w:val="center"/>
          </w:tcPr>
          <w:p w14:paraId="334AAAA2">
            <w:pPr>
              <w:spacing w:line="360" w:lineRule="auto"/>
              <w:jc w:val="center"/>
              <w:rPr>
                <w:rFonts w:ascii="宋体" w:hAnsi="宋体" w:cs="宋体"/>
                <w:sz w:val="24"/>
              </w:rPr>
            </w:pPr>
            <w:r>
              <w:rPr>
                <w:rFonts w:hint="eastAsia" w:ascii="宋体" w:hAnsi="宋体" w:cs="宋体"/>
                <w:sz w:val="24"/>
              </w:rPr>
              <w:t>投标内容</w:t>
            </w:r>
          </w:p>
        </w:tc>
        <w:tc>
          <w:tcPr>
            <w:tcW w:w="5675" w:type="dxa"/>
            <w:gridSpan w:val="4"/>
            <w:vAlign w:val="center"/>
          </w:tcPr>
          <w:p w14:paraId="2FD94FDE">
            <w:pPr>
              <w:spacing w:line="360" w:lineRule="auto"/>
              <w:rPr>
                <w:rFonts w:ascii="宋体" w:hAnsi="宋体" w:cs="宋体"/>
                <w:sz w:val="24"/>
              </w:rPr>
            </w:pPr>
          </w:p>
        </w:tc>
      </w:tr>
      <w:tr w14:paraId="20012B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2" w:hRule="exact"/>
          <w:jc w:val="center"/>
        </w:trPr>
        <w:tc>
          <w:tcPr>
            <w:tcW w:w="3712" w:type="dxa"/>
            <w:gridSpan w:val="2"/>
            <w:vAlign w:val="center"/>
          </w:tcPr>
          <w:p w14:paraId="7CB6B17E">
            <w:pPr>
              <w:spacing w:line="360" w:lineRule="auto"/>
              <w:jc w:val="center"/>
              <w:rPr>
                <w:rFonts w:ascii="宋体" w:hAnsi="宋体" w:cs="宋体"/>
                <w:sz w:val="24"/>
              </w:rPr>
            </w:pPr>
            <w:r>
              <w:rPr>
                <w:rFonts w:hint="eastAsia" w:ascii="宋体" w:hAnsi="宋体" w:cs="宋体"/>
                <w:sz w:val="24"/>
              </w:rPr>
              <w:t>投标报价</w:t>
            </w:r>
          </w:p>
        </w:tc>
        <w:tc>
          <w:tcPr>
            <w:tcW w:w="5675" w:type="dxa"/>
            <w:gridSpan w:val="4"/>
            <w:vAlign w:val="center"/>
          </w:tcPr>
          <w:p w14:paraId="7283D22A">
            <w:pPr>
              <w:spacing w:line="360" w:lineRule="auto"/>
              <w:rPr>
                <w:rFonts w:ascii="宋体" w:hAnsi="宋体" w:cs="宋体"/>
                <w:sz w:val="24"/>
              </w:rPr>
            </w:pPr>
            <w:r>
              <w:rPr>
                <w:rFonts w:hint="eastAsia" w:ascii="宋体" w:hAnsi="宋体" w:cs="宋体"/>
                <w:sz w:val="24"/>
              </w:rPr>
              <w:t xml:space="preserve">（大写）  </w:t>
            </w:r>
          </w:p>
          <w:p w14:paraId="2442FEA2">
            <w:pPr>
              <w:spacing w:line="360" w:lineRule="auto"/>
              <w:rPr>
                <w:rFonts w:ascii="宋体" w:hAnsi="宋体" w:cs="宋体"/>
                <w:sz w:val="24"/>
              </w:rPr>
            </w:pPr>
            <w:r>
              <w:rPr>
                <w:rFonts w:hint="eastAsia" w:ascii="宋体" w:hAnsi="宋体" w:cs="宋体"/>
                <w:sz w:val="24"/>
              </w:rPr>
              <w:t xml:space="preserve">（小写）  </w:t>
            </w:r>
          </w:p>
        </w:tc>
      </w:tr>
      <w:tr w14:paraId="6549FD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2" w:hRule="atLeast"/>
          <w:jc w:val="center"/>
        </w:trPr>
        <w:tc>
          <w:tcPr>
            <w:tcW w:w="3712" w:type="dxa"/>
            <w:gridSpan w:val="2"/>
            <w:vAlign w:val="center"/>
          </w:tcPr>
          <w:p w14:paraId="551E8176">
            <w:pPr>
              <w:spacing w:line="360" w:lineRule="auto"/>
              <w:jc w:val="center"/>
              <w:rPr>
                <w:rFonts w:ascii="宋体" w:hAnsi="宋体" w:cs="宋体"/>
                <w:sz w:val="24"/>
              </w:rPr>
            </w:pPr>
            <w:r>
              <w:rPr>
                <w:rFonts w:hint="eastAsia" w:ascii="宋体" w:hAnsi="宋体" w:cs="宋体"/>
                <w:sz w:val="24"/>
              </w:rPr>
              <w:t xml:space="preserve">质量要求 </w:t>
            </w:r>
          </w:p>
        </w:tc>
        <w:tc>
          <w:tcPr>
            <w:tcW w:w="5675" w:type="dxa"/>
            <w:gridSpan w:val="4"/>
            <w:vAlign w:val="center"/>
          </w:tcPr>
          <w:p w14:paraId="72858756">
            <w:pPr>
              <w:spacing w:line="360" w:lineRule="auto"/>
              <w:jc w:val="center"/>
              <w:rPr>
                <w:rFonts w:ascii="宋体" w:hAnsi="宋体" w:cs="宋体"/>
                <w:sz w:val="24"/>
              </w:rPr>
            </w:pPr>
          </w:p>
        </w:tc>
      </w:tr>
      <w:tr w14:paraId="201C7F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6" w:hRule="atLeast"/>
          <w:jc w:val="center"/>
        </w:trPr>
        <w:tc>
          <w:tcPr>
            <w:tcW w:w="3712" w:type="dxa"/>
            <w:gridSpan w:val="2"/>
            <w:vAlign w:val="center"/>
          </w:tcPr>
          <w:p w14:paraId="4FC05727">
            <w:pPr>
              <w:spacing w:line="360" w:lineRule="auto"/>
              <w:jc w:val="center"/>
              <w:rPr>
                <w:rFonts w:ascii="宋体" w:hAnsi="宋体" w:cs="宋体"/>
                <w:sz w:val="24"/>
              </w:rPr>
            </w:pPr>
            <w:r>
              <w:rPr>
                <w:rFonts w:hint="eastAsia" w:ascii="宋体" w:hAnsi="宋体" w:cs="宋体"/>
                <w:sz w:val="24"/>
              </w:rPr>
              <w:t>工期</w:t>
            </w:r>
          </w:p>
        </w:tc>
        <w:tc>
          <w:tcPr>
            <w:tcW w:w="5675" w:type="dxa"/>
            <w:gridSpan w:val="4"/>
            <w:vAlign w:val="center"/>
          </w:tcPr>
          <w:p w14:paraId="4B1DD5C1">
            <w:pPr>
              <w:spacing w:line="360" w:lineRule="auto"/>
              <w:jc w:val="center"/>
              <w:rPr>
                <w:rFonts w:ascii="宋体" w:hAnsi="宋体" w:cs="宋体"/>
                <w:sz w:val="24"/>
              </w:rPr>
            </w:pPr>
          </w:p>
        </w:tc>
      </w:tr>
      <w:tr w14:paraId="77AC77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89B1C90">
            <w:pPr>
              <w:spacing w:line="360" w:lineRule="auto"/>
              <w:jc w:val="center"/>
              <w:rPr>
                <w:rFonts w:ascii="宋体" w:hAnsi="宋体" w:cs="宋体"/>
                <w:sz w:val="24"/>
              </w:rPr>
            </w:pPr>
            <w:r>
              <w:rPr>
                <w:rFonts w:hint="eastAsia" w:ascii="宋体" w:hAnsi="宋体" w:cs="宋体"/>
                <w:sz w:val="24"/>
              </w:rPr>
              <w:t>投标有效期</w:t>
            </w:r>
          </w:p>
        </w:tc>
        <w:tc>
          <w:tcPr>
            <w:tcW w:w="5675" w:type="dxa"/>
            <w:gridSpan w:val="4"/>
            <w:vAlign w:val="center"/>
          </w:tcPr>
          <w:p w14:paraId="0172D402">
            <w:pPr>
              <w:spacing w:line="360" w:lineRule="auto"/>
              <w:jc w:val="center"/>
              <w:rPr>
                <w:rFonts w:ascii="宋体" w:hAnsi="宋体" w:cs="宋体"/>
                <w:sz w:val="24"/>
              </w:rPr>
            </w:pPr>
          </w:p>
        </w:tc>
      </w:tr>
      <w:tr w14:paraId="5D704D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0B84CB3A">
            <w:pPr>
              <w:spacing w:line="360" w:lineRule="auto"/>
              <w:jc w:val="center"/>
              <w:rPr>
                <w:rFonts w:ascii="宋体" w:hAnsi="宋体" w:cs="宋体"/>
                <w:sz w:val="24"/>
              </w:rPr>
            </w:pPr>
            <w:r>
              <w:rPr>
                <w:rFonts w:hint="eastAsia" w:ascii="宋体" w:hAnsi="宋体" w:cs="宋体"/>
                <w:sz w:val="24"/>
              </w:rPr>
              <w:t>安全目标</w:t>
            </w:r>
          </w:p>
        </w:tc>
        <w:tc>
          <w:tcPr>
            <w:tcW w:w="5675" w:type="dxa"/>
            <w:gridSpan w:val="4"/>
            <w:vAlign w:val="center"/>
          </w:tcPr>
          <w:p w14:paraId="554C5A27">
            <w:pPr>
              <w:spacing w:line="360" w:lineRule="auto"/>
              <w:jc w:val="center"/>
              <w:rPr>
                <w:rFonts w:ascii="宋体" w:hAnsi="宋体" w:cs="宋体"/>
                <w:sz w:val="24"/>
              </w:rPr>
            </w:pPr>
          </w:p>
        </w:tc>
      </w:tr>
      <w:tr w14:paraId="2FAD3E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646010AF">
            <w:pPr>
              <w:spacing w:line="360" w:lineRule="auto"/>
              <w:jc w:val="center"/>
              <w:rPr>
                <w:rFonts w:ascii="宋体" w:hAnsi="宋体" w:cs="宋体"/>
                <w:sz w:val="24"/>
              </w:rPr>
            </w:pPr>
            <w:r>
              <w:rPr>
                <w:rFonts w:hint="eastAsia" w:ascii="宋体" w:hAnsi="宋体" w:cs="宋体"/>
                <w:sz w:val="24"/>
              </w:rPr>
              <w:t>工程保修期</w:t>
            </w:r>
          </w:p>
        </w:tc>
        <w:tc>
          <w:tcPr>
            <w:tcW w:w="5675" w:type="dxa"/>
            <w:gridSpan w:val="4"/>
            <w:vAlign w:val="center"/>
          </w:tcPr>
          <w:p w14:paraId="5809A35D">
            <w:pPr>
              <w:spacing w:line="360" w:lineRule="auto"/>
              <w:jc w:val="center"/>
              <w:rPr>
                <w:rFonts w:ascii="宋体" w:hAnsi="宋体" w:cs="宋体"/>
                <w:sz w:val="24"/>
              </w:rPr>
            </w:pPr>
          </w:p>
        </w:tc>
      </w:tr>
      <w:tr w14:paraId="19C4E4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4" w:hRule="atLeast"/>
          <w:jc w:val="center"/>
        </w:trPr>
        <w:tc>
          <w:tcPr>
            <w:tcW w:w="3712" w:type="dxa"/>
            <w:gridSpan w:val="2"/>
            <w:vAlign w:val="center"/>
          </w:tcPr>
          <w:p w14:paraId="5DD87483">
            <w:pPr>
              <w:spacing w:line="360" w:lineRule="auto"/>
              <w:jc w:val="center"/>
              <w:rPr>
                <w:rFonts w:ascii="宋体" w:hAnsi="宋体" w:cs="宋体"/>
                <w:sz w:val="24"/>
              </w:rPr>
            </w:pPr>
            <w:r>
              <w:rPr>
                <w:rFonts w:hint="eastAsia" w:ascii="宋体" w:hAnsi="宋体" w:cs="宋体"/>
                <w:sz w:val="24"/>
              </w:rPr>
              <w:t>质量缺陷期</w:t>
            </w:r>
          </w:p>
        </w:tc>
        <w:tc>
          <w:tcPr>
            <w:tcW w:w="5675" w:type="dxa"/>
            <w:gridSpan w:val="4"/>
            <w:vAlign w:val="center"/>
          </w:tcPr>
          <w:p w14:paraId="3B9B480D">
            <w:pPr>
              <w:autoSpaceDE w:val="0"/>
              <w:spacing w:line="360" w:lineRule="auto"/>
              <w:jc w:val="center"/>
              <w:rPr>
                <w:rFonts w:ascii="宋体" w:hAnsi="宋体" w:cs="宋体"/>
                <w:sz w:val="24"/>
              </w:rPr>
            </w:pPr>
          </w:p>
        </w:tc>
      </w:tr>
      <w:tr w14:paraId="575D93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2" w:hRule="atLeast"/>
          <w:jc w:val="center"/>
        </w:trPr>
        <w:tc>
          <w:tcPr>
            <w:tcW w:w="3712" w:type="dxa"/>
            <w:gridSpan w:val="2"/>
            <w:vAlign w:val="center"/>
          </w:tcPr>
          <w:p w14:paraId="49FA2B18">
            <w:pPr>
              <w:spacing w:line="360" w:lineRule="auto"/>
              <w:jc w:val="center"/>
              <w:rPr>
                <w:rFonts w:ascii="宋体" w:hAnsi="宋体" w:cs="宋体"/>
                <w:sz w:val="24"/>
              </w:rPr>
            </w:pPr>
            <w:r>
              <w:rPr>
                <w:rFonts w:hint="eastAsia" w:ascii="宋体" w:hAnsi="宋体" w:cs="宋体"/>
                <w:sz w:val="24"/>
              </w:rPr>
              <w:t>其他说明</w:t>
            </w:r>
          </w:p>
        </w:tc>
        <w:tc>
          <w:tcPr>
            <w:tcW w:w="5675" w:type="dxa"/>
            <w:gridSpan w:val="4"/>
            <w:vAlign w:val="center"/>
          </w:tcPr>
          <w:p w14:paraId="75665F3B">
            <w:pPr>
              <w:spacing w:line="360" w:lineRule="auto"/>
              <w:rPr>
                <w:rFonts w:ascii="宋体" w:hAnsi="宋体" w:cs="宋体"/>
                <w:sz w:val="24"/>
              </w:rPr>
            </w:pPr>
          </w:p>
        </w:tc>
      </w:tr>
    </w:tbl>
    <w:p w14:paraId="4573198E">
      <w:pPr>
        <w:spacing w:line="360" w:lineRule="auto"/>
        <w:ind w:firstLine="480" w:firstLineChars="200"/>
        <w:jc w:val="right"/>
        <w:rPr>
          <w:rFonts w:ascii="宋体" w:hAnsi="宋体" w:cs="宋体"/>
          <w:sz w:val="24"/>
        </w:rPr>
      </w:pPr>
    </w:p>
    <w:p w14:paraId="3D6903C2">
      <w:pPr>
        <w:spacing w:line="360" w:lineRule="auto"/>
        <w:ind w:firstLine="480" w:firstLineChars="200"/>
        <w:jc w:val="right"/>
        <w:rPr>
          <w:rFonts w:ascii="宋体" w:hAnsi="宋体" w:cs="宋体"/>
          <w:sz w:val="24"/>
        </w:rPr>
      </w:pPr>
      <w:r>
        <w:rPr>
          <w:rFonts w:hint="eastAsia" w:ascii="宋体" w:hAnsi="宋体" w:cs="宋体"/>
          <w:sz w:val="24"/>
        </w:rPr>
        <w:t xml:space="preserve">  </w:t>
      </w:r>
      <w:r>
        <w:rPr>
          <w:rFonts w:hint="eastAsia" w:ascii="宋体" w:hAnsi="宋体" w:cs="宋体"/>
          <w:sz w:val="24"/>
          <w:lang w:val="en-US" w:eastAsia="zh-CN"/>
        </w:rPr>
        <w:t>供应商</w:t>
      </w:r>
      <w:r>
        <w:rPr>
          <w:rFonts w:hint="eastAsia" w:ascii="宋体" w:hAnsi="宋体" w:cs="宋体"/>
          <w:sz w:val="24"/>
        </w:rPr>
        <w:t>：（电子签章）</w:t>
      </w:r>
    </w:p>
    <w:p w14:paraId="06F25887">
      <w:pPr>
        <w:spacing w:line="360" w:lineRule="auto"/>
        <w:ind w:firstLine="3742"/>
        <w:jc w:val="right"/>
        <w:rPr>
          <w:rFonts w:ascii="宋体" w:hAnsi="宋体" w:cs="宋体"/>
          <w:sz w:val="24"/>
        </w:rPr>
      </w:pPr>
      <w:r>
        <w:rPr>
          <w:rFonts w:hint="eastAsia" w:ascii="宋体" w:hAnsi="宋体" w:cs="宋体"/>
          <w:sz w:val="24"/>
        </w:rPr>
        <w:t>法定代表人：（电子签章）</w:t>
      </w:r>
    </w:p>
    <w:p w14:paraId="09C40604">
      <w:pPr>
        <w:spacing w:line="360" w:lineRule="auto"/>
        <w:ind w:firstLine="3742"/>
        <w:jc w:val="right"/>
        <w:rPr>
          <w:rFonts w:ascii="宋体" w:hAnsi="宋体" w:cs="宋体"/>
          <w:sz w:val="24"/>
        </w:rPr>
      </w:pPr>
      <w:r>
        <w:rPr>
          <w:rFonts w:hint="eastAsia" w:ascii="宋体" w:hAnsi="宋体" w:cs="宋体"/>
          <w:sz w:val="24"/>
        </w:rPr>
        <w:t>日  期：年月日</w:t>
      </w:r>
    </w:p>
    <w:p w14:paraId="298005ED">
      <w:pPr>
        <w:spacing w:line="360" w:lineRule="auto"/>
        <w:ind w:firstLine="482" w:firstLineChars="200"/>
        <w:rPr>
          <w:rFonts w:ascii="宋体" w:hAnsi="宋体" w:cs="宋体"/>
          <w:b/>
          <w:sz w:val="24"/>
        </w:rPr>
      </w:pPr>
    </w:p>
    <w:p w14:paraId="7203616D">
      <w:pPr>
        <w:widowControl/>
        <w:adjustRightInd w:val="0"/>
        <w:spacing w:line="360" w:lineRule="auto"/>
        <w:jc w:val="center"/>
        <w:rPr>
          <w:rFonts w:ascii="宋体" w:hAnsi="宋体" w:cs="宋体"/>
          <w:b/>
          <w:kern w:val="0"/>
          <w:sz w:val="28"/>
          <w:szCs w:val="28"/>
        </w:rPr>
      </w:pPr>
    </w:p>
    <w:p w14:paraId="5C3E73F1">
      <w:pPr>
        <w:pStyle w:val="5"/>
        <w:jc w:val="center"/>
        <w:rPr>
          <w:rFonts w:ascii="宋体" w:hAnsi="宋体" w:cs="宋体"/>
          <w:bCs/>
          <w:sz w:val="32"/>
        </w:rPr>
      </w:pPr>
      <w:bookmarkStart w:id="424" w:name="_Toc142932597"/>
      <w:bookmarkStart w:id="425" w:name="_Toc142932650"/>
      <w:bookmarkStart w:id="426" w:name="_Toc142912960"/>
      <w:bookmarkStart w:id="427" w:name="_Toc17850"/>
      <w:bookmarkStart w:id="428" w:name="_Toc30288"/>
      <w:bookmarkStart w:id="429" w:name="_Toc29665"/>
      <w:bookmarkStart w:id="430" w:name="_Toc12882"/>
      <w:r>
        <w:rPr>
          <w:rFonts w:hint="eastAsia" w:ascii="宋体" w:hAnsi="宋体" w:cs="宋体"/>
          <w:bCs/>
          <w:sz w:val="32"/>
        </w:rPr>
        <w:t>二、法定代表人身份证明</w:t>
      </w:r>
      <w:bookmarkEnd w:id="424"/>
      <w:bookmarkEnd w:id="425"/>
      <w:bookmarkEnd w:id="426"/>
      <w:bookmarkEnd w:id="427"/>
      <w:bookmarkEnd w:id="428"/>
      <w:bookmarkEnd w:id="429"/>
      <w:bookmarkEnd w:id="430"/>
    </w:p>
    <w:p w14:paraId="772515F3">
      <w:pPr>
        <w:widowControl/>
        <w:adjustRightInd w:val="0"/>
        <w:spacing w:line="360" w:lineRule="auto"/>
        <w:ind w:firstLine="480" w:firstLineChars="200"/>
        <w:jc w:val="left"/>
        <w:rPr>
          <w:rFonts w:ascii="宋体" w:hAnsi="宋体" w:cs="宋体"/>
          <w:kern w:val="0"/>
          <w:sz w:val="24"/>
        </w:rPr>
      </w:pPr>
    </w:p>
    <w:p w14:paraId="588E7F5F">
      <w:pPr>
        <w:widowControl/>
        <w:adjustRightInd w:val="0"/>
        <w:spacing w:line="360" w:lineRule="auto"/>
        <w:ind w:firstLine="480" w:firstLineChars="200"/>
        <w:jc w:val="left"/>
        <w:rPr>
          <w:rFonts w:ascii="宋体" w:hAnsi="宋体" w:cs="宋体"/>
          <w:kern w:val="0"/>
          <w:sz w:val="24"/>
        </w:rPr>
      </w:pPr>
    </w:p>
    <w:p w14:paraId="087A327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lang w:val="en-US" w:eastAsia="zh-CN"/>
        </w:rPr>
        <w:t>供应商</w:t>
      </w:r>
      <w:r>
        <w:rPr>
          <w:rFonts w:hint="eastAsia" w:ascii="宋体" w:hAnsi="宋体" w:cs="宋体"/>
          <w:kern w:val="0"/>
          <w:sz w:val="24"/>
        </w:rPr>
        <w:t>名称：</w:t>
      </w:r>
    </w:p>
    <w:p w14:paraId="359471A1">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单位性质：</w:t>
      </w:r>
    </w:p>
    <w:p w14:paraId="3E04EFC7">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地址：</w:t>
      </w:r>
    </w:p>
    <w:p w14:paraId="6E96233F">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成立时间：  年   月  日</w:t>
      </w:r>
    </w:p>
    <w:p w14:paraId="021704D4">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经营期限：</w:t>
      </w:r>
    </w:p>
    <w:p w14:paraId="0E94F83B">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姓名：   性别：  年龄：     职务：</w:t>
      </w:r>
    </w:p>
    <w:p w14:paraId="42B53803">
      <w:pPr>
        <w:widowControl/>
        <w:adjustRightInd w:val="0"/>
        <w:spacing w:line="360" w:lineRule="auto"/>
        <w:ind w:firstLine="480" w:firstLineChars="200"/>
        <w:jc w:val="left"/>
        <w:rPr>
          <w:rFonts w:ascii="宋体" w:hAnsi="宋体" w:cs="宋体"/>
          <w:kern w:val="0"/>
          <w:sz w:val="24"/>
        </w:rPr>
      </w:pPr>
      <w:r>
        <w:rPr>
          <w:rFonts w:hint="eastAsia" w:ascii="宋体" w:hAnsi="宋体" w:cs="宋体"/>
          <w:kern w:val="0"/>
          <w:sz w:val="24"/>
        </w:rPr>
        <w:t>系   （</w:t>
      </w:r>
      <w:r>
        <w:rPr>
          <w:rFonts w:hint="eastAsia" w:ascii="宋体" w:hAnsi="宋体" w:cs="宋体"/>
          <w:kern w:val="0"/>
          <w:sz w:val="24"/>
          <w:lang w:eastAsia="zh-CN"/>
        </w:rPr>
        <w:t>供应商</w:t>
      </w:r>
      <w:r>
        <w:rPr>
          <w:rFonts w:hint="eastAsia" w:ascii="宋体" w:hAnsi="宋体" w:cs="宋体"/>
          <w:kern w:val="0"/>
          <w:sz w:val="24"/>
        </w:rPr>
        <w:t>名称）    的法定代表人。</w:t>
      </w:r>
    </w:p>
    <w:p w14:paraId="2D44AB2F">
      <w:pPr>
        <w:spacing w:line="360" w:lineRule="auto"/>
        <w:ind w:firstLine="480" w:firstLineChars="200"/>
        <w:rPr>
          <w:rFonts w:ascii="宋体" w:hAnsi="宋体" w:cs="宋体"/>
          <w:sz w:val="24"/>
        </w:rPr>
      </w:pPr>
      <w:r>
        <w:rPr>
          <w:rFonts w:hint="eastAsia" w:ascii="宋体" w:hAnsi="宋体" w:cs="宋体"/>
          <w:sz w:val="24"/>
        </w:rPr>
        <w:t>特此证明。</w:t>
      </w:r>
    </w:p>
    <w:p w14:paraId="302ACF8B">
      <w:pPr>
        <w:spacing w:line="360" w:lineRule="auto"/>
        <w:ind w:firstLine="480" w:firstLineChars="200"/>
        <w:rPr>
          <w:rFonts w:ascii="宋体" w:hAnsi="宋体" w:cs="宋体"/>
          <w:sz w:val="24"/>
        </w:rPr>
      </w:pP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p>
    <w:p w14:paraId="087DE77F">
      <w:pPr>
        <w:spacing w:line="360" w:lineRule="auto"/>
        <w:ind w:firstLine="480" w:firstLineChars="200"/>
        <w:rPr>
          <w:rFonts w:ascii="宋体" w:hAnsi="宋体" w:cs="宋体"/>
          <w:sz w:val="24"/>
        </w:rPr>
      </w:pPr>
      <w:r>
        <w:rPr>
          <w:rFonts w:hint="eastAsia" w:ascii="宋体" w:hAnsi="宋体" w:cs="宋体"/>
          <w:sz w:val="24"/>
        </w:rPr>
        <w:t xml:space="preserve">    附：法定代表人身份证扫描件。</w:t>
      </w:r>
    </w:p>
    <w:p w14:paraId="589D34C7">
      <w:pPr>
        <w:spacing w:line="360" w:lineRule="auto"/>
        <w:rPr>
          <w:rFonts w:ascii="宋体" w:hAnsi="宋体" w:cs="宋体"/>
          <w:sz w:val="24"/>
        </w:rPr>
      </w:pPr>
    </w:p>
    <w:p w14:paraId="4F47F626">
      <w:pPr>
        <w:spacing w:line="360" w:lineRule="auto"/>
        <w:rPr>
          <w:rFonts w:ascii="宋体" w:hAnsi="宋体" w:cs="宋体"/>
          <w:sz w:val="24"/>
        </w:rPr>
      </w:pPr>
    </w:p>
    <w:p w14:paraId="16919B30">
      <w:pPr>
        <w:spacing w:line="360" w:lineRule="auto"/>
        <w:rPr>
          <w:rFonts w:ascii="宋体" w:hAnsi="宋体" w:cs="宋体"/>
          <w:sz w:val="24"/>
        </w:rPr>
      </w:pPr>
    </w:p>
    <w:p w14:paraId="28558C7C">
      <w:pPr>
        <w:spacing w:line="360" w:lineRule="auto"/>
        <w:rPr>
          <w:rFonts w:ascii="宋体" w:hAnsi="宋体" w:cs="宋体"/>
          <w:sz w:val="24"/>
        </w:rPr>
      </w:pPr>
    </w:p>
    <w:p w14:paraId="60A6579B">
      <w:pPr>
        <w:spacing w:line="360" w:lineRule="auto"/>
        <w:ind w:right="960"/>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57DF759B">
      <w:pPr>
        <w:spacing w:line="360" w:lineRule="auto"/>
        <w:jc w:val="right"/>
        <w:rPr>
          <w:rFonts w:ascii="宋体" w:hAnsi="宋体" w:cs="宋体"/>
          <w:sz w:val="24"/>
        </w:rPr>
      </w:pPr>
    </w:p>
    <w:p w14:paraId="7656781D">
      <w:pPr>
        <w:spacing w:line="360" w:lineRule="auto"/>
        <w:jc w:val="center"/>
        <w:rPr>
          <w:rFonts w:ascii="宋体" w:hAnsi="宋体" w:cs="宋体"/>
          <w:sz w:val="24"/>
        </w:rPr>
      </w:pPr>
      <w:r>
        <w:rPr>
          <w:rFonts w:hint="eastAsia" w:ascii="宋体" w:hAnsi="宋体" w:cs="宋体"/>
          <w:sz w:val="24"/>
        </w:rPr>
        <w:t xml:space="preserve">                                               年</w:t>
      </w:r>
      <w:r>
        <w:rPr>
          <w:rFonts w:hint="eastAsia" w:ascii="宋体" w:hAnsi="宋体" w:cs="宋体"/>
          <w:sz w:val="24"/>
        </w:rPr>
        <w:tab/>
      </w:r>
      <w:r>
        <w:rPr>
          <w:rFonts w:hint="eastAsia" w:ascii="宋体" w:hAnsi="宋体" w:cs="宋体"/>
          <w:sz w:val="24"/>
        </w:rPr>
        <w:tab/>
      </w:r>
      <w:r>
        <w:rPr>
          <w:rFonts w:hint="eastAsia" w:ascii="宋体" w:hAnsi="宋体" w:cs="宋体"/>
          <w:sz w:val="24"/>
        </w:rPr>
        <w:t>月</w:t>
      </w:r>
      <w:r>
        <w:rPr>
          <w:rFonts w:hint="eastAsia" w:ascii="宋体" w:hAnsi="宋体" w:cs="宋体"/>
          <w:sz w:val="24"/>
        </w:rPr>
        <w:tab/>
      </w:r>
      <w:r>
        <w:rPr>
          <w:rFonts w:hint="eastAsia" w:ascii="宋体" w:hAnsi="宋体" w:cs="宋体"/>
          <w:sz w:val="24"/>
        </w:rPr>
        <w:tab/>
      </w:r>
      <w:r>
        <w:rPr>
          <w:rFonts w:hint="eastAsia" w:ascii="宋体" w:hAnsi="宋体" w:cs="宋体"/>
          <w:sz w:val="24"/>
        </w:rPr>
        <w:t>日</w:t>
      </w:r>
    </w:p>
    <w:p w14:paraId="0566EA29">
      <w:pPr>
        <w:widowControl/>
        <w:adjustRightInd w:val="0"/>
        <w:spacing w:line="360" w:lineRule="auto"/>
        <w:jc w:val="left"/>
        <w:rPr>
          <w:rFonts w:ascii="宋体" w:hAnsi="宋体" w:cs="宋体"/>
          <w:kern w:val="0"/>
          <w:sz w:val="24"/>
        </w:rPr>
      </w:pPr>
    </w:p>
    <w:p w14:paraId="05B87E9C">
      <w:pPr>
        <w:spacing w:beforeLines="100" w:afterLines="50" w:line="360" w:lineRule="auto"/>
        <w:textAlignment w:val="center"/>
        <w:rPr>
          <w:rFonts w:ascii="宋体" w:hAnsi="宋体" w:cs="宋体"/>
          <w:sz w:val="24"/>
        </w:rPr>
      </w:pPr>
    </w:p>
    <w:p w14:paraId="34E79542">
      <w:pPr>
        <w:widowControl/>
        <w:adjustRightInd w:val="0"/>
        <w:spacing w:line="360" w:lineRule="auto"/>
        <w:jc w:val="center"/>
        <w:rPr>
          <w:rFonts w:ascii="宋体" w:hAnsi="宋体" w:cs="宋体"/>
          <w:b/>
          <w:kern w:val="0"/>
          <w:sz w:val="28"/>
          <w:szCs w:val="28"/>
        </w:rPr>
      </w:pPr>
    </w:p>
    <w:p w14:paraId="0AB70E3A">
      <w:pPr>
        <w:widowControl/>
        <w:adjustRightInd w:val="0"/>
        <w:spacing w:line="360" w:lineRule="auto"/>
        <w:jc w:val="center"/>
        <w:rPr>
          <w:rFonts w:ascii="宋体" w:hAnsi="宋体" w:cs="宋体"/>
          <w:b/>
          <w:kern w:val="0"/>
          <w:sz w:val="28"/>
          <w:szCs w:val="28"/>
        </w:rPr>
      </w:pPr>
    </w:p>
    <w:p w14:paraId="4889B93A">
      <w:pPr>
        <w:widowControl/>
        <w:adjustRightInd w:val="0"/>
        <w:spacing w:line="360" w:lineRule="auto"/>
        <w:jc w:val="center"/>
        <w:rPr>
          <w:rFonts w:ascii="宋体" w:hAnsi="宋体" w:cs="宋体"/>
          <w:b/>
          <w:kern w:val="0"/>
          <w:sz w:val="28"/>
          <w:szCs w:val="28"/>
        </w:rPr>
      </w:pPr>
    </w:p>
    <w:p w14:paraId="45282D9B">
      <w:pPr>
        <w:widowControl/>
        <w:spacing w:line="360" w:lineRule="auto"/>
        <w:jc w:val="left"/>
        <w:rPr>
          <w:rFonts w:ascii="宋体" w:hAnsi="宋体" w:cs="宋体"/>
          <w:b/>
          <w:bCs/>
          <w:sz w:val="28"/>
          <w:szCs w:val="28"/>
        </w:rPr>
      </w:pPr>
      <w:bookmarkStart w:id="431" w:name="_Toc17239"/>
      <w:bookmarkStart w:id="432" w:name="_Toc9194"/>
      <w:bookmarkStart w:id="433" w:name="_Toc18069"/>
      <w:bookmarkStart w:id="434" w:name="_Toc13758"/>
      <w:bookmarkStart w:id="435" w:name="_Toc13903"/>
      <w:bookmarkStart w:id="436" w:name="_Toc505093197"/>
      <w:bookmarkStart w:id="437" w:name="_Toc24563"/>
      <w:bookmarkStart w:id="438" w:name="_Toc20615"/>
      <w:bookmarkStart w:id="439" w:name="_Toc23404"/>
      <w:bookmarkStart w:id="440" w:name="_Toc7269"/>
      <w:r>
        <w:rPr>
          <w:rFonts w:hint="eastAsia" w:ascii="宋体" w:hAnsi="宋体" w:cs="宋体"/>
          <w:bCs/>
          <w:sz w:val="28"/>
          <w:szCs w:val="28"/>
        </w:rPr>
        <w:br w:type="page"/>
      </w:r>
    </w:p>
    <w:bookmarkEnd w:id="431"/>
    <w:bookmarkEnd w:id="432"/>
    <w:bookmarkEnd w:id="433"/>
    <w:bookmarkEnd w:id="434"/>
    <w:bookmarkEnd w:id="435"/>
    <w:bookmarkEnd w:id="436"/>
    <w:bookmarkEnd w:id="437"/>
    <w:bookmarkEnd w:id="438"/>
    <w:bookmarkEnd w:id="439"/>
    <w:bookmarkEnd w:id="440"/>
    <w:p w14:paraId="2ADBC847">
      <w:pPr>
        <w:pStyle w:val="5"/>
        <w:jc w:val="center"/>
        <w:rPr>
          <w:rFonts w:ascii="宋体" w:hAnsi="宋体" w:cs="宋体"/>
          <w:bCs/>
          <w:sz w:val="32"/>
        </w:rPr>
      </w:pPr>
      <w:bookmarkStart w:id="441" w:name="_Toc3397"/>
      <w:bookmarkStart w:id="442" w:name="_Toc26017"/>
      <w:bookmarkStart w:id="443" w:name="_Toc31860"/>
      <w:bookmarkStart w:id="444" w:name="_Toc142932599"/>
      <w:bookmarkStart w:id="445" w:name="_Toc25818"/>
      <w:bookmarkStart w:id="446" w:name="_Toc142932652"/>
      <w:bookmarkStart w:id="447" w:name="_Toc142912962"/>
      <w:r>
        <w:rPr>
          <w:rFonts w:hint="eastAsia" w:ascii="宋体" w:hAnsi="宋体" w:cs="宋体"/>
          <w:bCs/>
          <w:sz w:val="32"/>
          <w:lang w:val="en-US" w:eastAsia="zh-CN"/>
        </w:rPr>
        <w:t>三</w:t>
      </w:r>
      <w:r>
        <w:rPr>
          <w:rFonts w:hint="eastAsia" w:ascii="宋体" w:hAnsi="宋体" w:cs="宋体"/>
          <w:bCs/>
          <w:sz w:val="32"/>
        </w:rPr>
        <w:t>、已标价</w:t>
      </w:r>
      <w:bookmarkEnd w:id="441"/>
      <w:bookmarkEnd w:id="442"/>
      <w:bookmarkEnd w:id="443"/>
      <w:bookmarkEnd w:id="444"/>
      <w:bookmarkEnd w:id="445"/>
      <w:bookmarkEnd w:id="446"/>
      <w:bookmarkEnd w:id="447"/>
      <w:r>
        <w:rPr>
          <w:rFonts w:hint="eastAsia" w:ascii="宋体" w:hAnsi="宋体" w:cs="宋体"/>
          <w:bCs/>
          <w:sz w:val="32"/>
        </w:rPr>
        <w:t>工程量清单</w:t>
      </w:r>
    </w:p>
    <w:p w14:paraId="719463B4">
      <w:pPr>
        <w:spacing w:line="360" w:lineRule="auto"/>
        <w:ind w:firstLine="480" w:firstLineChars="200"/>
        <w:textAlignment w:val="center"/>
        <w:rPr>
          <w:rFonts w:ascii="宋体" w:hAnsi="宋体" w:cs="宋体"/>
          <w:sz w:val="24"/>
        </w:rPr>
      </w:pPr>
      <w:r>
        <w:rPr>
          <w:rFonts w:hint="eastAsia" w:ascii="宋体" w:hAnsi="宋体" w:cs="宋体"/>
          <w:sz w:val="24"/>
        </w:rPr>
        <w:t>说明：已标价工程量清单按第六章“工程量清单”中的相关清单表格式填写。构成合同文件的已标价工程量清单包括第六章“工程量清单”有关工程量清单、投标报价以及其他说明的内容。</w:t>
      </w:r>
    </w:p>
    <w:p w14:paraId="5E80324A">
      <w:pPr>
        <w:spacing w:beforeLines="100" w:afterLines="50" w:line="360" w:lineRule="auto"/>
        <w:textAlignment w:val="center"/>
        <w:rPr>
          <w:rFonts w:ascii="宋体" w:hAnsi="宋体" w:cs="宋体"/>
          <w:b/>
          <w:sz w:val="24"/>
        </w:rPr>
      </w:pPr>
    </w:p>
    <w:p w14:paraId="13390BB8">
      <w:pPr>
        <w:widowControl/>
        <w:spacing w:line="360" w:lineRule="auto"/>
        <w:jc w:val="left"/>
        <w:rPr>
          <w:rFonts w:ascii="宋体" w:hAnsi="宋体" w:cs="宋体"/>
          <w:b/>
          <w:sz w:val="28"/>
          <w:szCs w:val="28"/>
        </w:rPr>
      </w:pPr>
      <w:bookmarkStart w:id="448" w:name="_Toc26075"/>
      <w:bookmarkStart w:id="449" w:name="_Toc6784"/>
      <w:r>
        <w:rPr>
          <w:rFonts w:hint="eastAsia" w:ascii="宋体" w:hAnsi="宋体" w:cs="宋体"/>
          <w:b/>
          <w:sz w:val="28"/>
          <w:szCs w:val="28"/>
        </w:rPr>
        <w:br w:type="page"/>
      </w:r>
    </w:p>
    <w:p w14:paraId="4BC98A5A">
      <w:pPr>
        <w:pStyle w:val="5"/>
        <w:jc w:val="center"/>
        <w:rPr>
          <w:rFonts w:ascii="宋体" w:hAnsi="宋体" w:cs="宋体"/>
          <w:bCs/>
          <w:sz w:val="32"/>
        </w:rPr>
      </w:pPr>
      <w:bookmarkStart w:id="450" w:name="_Toc23984"/>
      <w:bookmarkStart w:id="451" w:name="_Toc142932653"/>
      <w:bookmarkStart w:id="452" w:name="_Toc1516"/>
      <w:bookmarkStart w:id="453" w:name="_Toc142932600"/>
      <w:bookmarkStart w:id="454" w:name="_Toc142912963"/>
      <w:r>
        <w:rPr>
          <w:rFonts w:hint="eastAsia" w:ascii="宋体" w:hAnsi="宋体" w:cs="宋体"/>
          <w:bCs/>
          <w:sz w:val="32"/>
          <w:lang w:val="en-US" w:eastAsia="zh-CN"/>
        </w:rPr>
        <w:t>四</w:t>
      </w:r>
      <w:r>
        <w:rPr>
          <w:rFonts w:hint="eastAsia" w:ascii="宋体" w:hAnsi="宋体" w:cs="宋体"/>
          <w:bCs/>
          <w:sz w:val="32"/>
        </w:rPr>
        <w:t>、施工组织设计</w:t>
      </w:r>
      <w:bookmarkEnd w:id="448"/>
      <w:bookmarkEnd w:id="449"/>
      <w:bookmarkEnd w:id="450"/>
      <w:bookmarkEnd w:id="451"/>
      <w:bookmarkEnd w:id="452"/>
      <w:bookmarkEnd w:id="453"/>
      <w:bookmarkEnd w:id="454"/>
    </w:p>
    <w:p w14:paraId="21670DC8">
      <w:pPr>
        <w:pStyle w:val="5"/>
        <w:jc w:val="center"/>
        <w:rPr>
          <w:rFonts w:hint="eastAsia" w:ascii="宋体" w:hAnsi="宋体" w:cs="宋体"/>
          <w:bCs/>
          <w:sz w:val="32"/>
        </w:rPr>
      </w:pPr>
      <w:bookmarkStart w:id="455" w:name="_Toc7111"/>
      <w:bookmarkStart w:id="456" w:name="_Toc6413"/>
      <w:bookmarkStart w:id="457" w:name="_Toc5110"/>
      <w:bookmarkStart w:id="458" w:name="_Toc23418"/>
    </w:p>
    <w:p w14:paraId="1674DF4A">
      <w:pPr>
        <w:pStyle w:val="5"/>
        <w:jc w:val="center"/>
        <w:rPr>
          <w:rFonts w:hint="eastAsia" w:ascii="宋体" w:hAnsi="宋体" w:cs="宋体"/>
          <w:bCs/>
          <w:sz w:val="32"/>
        </w:rPr>
      </w:pPr>
    </w:p>
    <w:p w14:paraId="3280FE60">
      <w:pPr>
        <w:pStyle w:val="5"/>
        <w:jc w:val="center"/>
        <w:rPr>
          <w:rFonts w:hint="eastAsia" w:ascii="宋体" w:hAnsi="宋体" w:eastAsia="宋体" w:cs="宋体"/>
          <w:bCs/>
          <w:sz w:val="32"/>
          <w:lang w:val="en-US" w:eastAsia="zh-CN"/>
        </w:rPr>
      </w:pPr>
      <w:r>
        <w:rPr>
          <w:rFonts w:hint="eastAsia" w:ascii="宋体" w:hAnsi="宋体" w:cs="宋体"/>
          <w:b w:val="0"/>
          <w:bCs w:val="0"/>
          <w:color w:val="auto"/>
          <w:sz w:val="28"/>
          <w:szCs w:val="28"/>
          <w:lang w:val="en-US" w:eastAsia="zh-CN"/>
        </w:rPr>
        <w:t>格式自拟</w:t>
      </w:r>
    </w:p>
    <w:p w14:paraId="7D9DA694">
      <w:pPr>
        <w:pStyle w:val="5"/>
        <w:jc w:val="center"/>
        <w:rPr>
          <w:rFonts w:hint="eastAsia" w:ascii="宋体" w:hAnsi="宋体" w:cs="宋体"/>
          <w:bCs/>
          <w:sz w:val="32"/>
        </w:rPr>
      </w:pPr>
    </w:p>
    <w:p w14:paraId="3E4FDFD5">
      <w:pPr>
        <w:pStyle w:val="5"/>
        <w:jc w:val="center"/>
        <w:rPr>
          <w:rFonts w:hint="eastAsia" w:ascii="宋体" w:hAnsi="宋体" w:cs="宋体"/>
          <w:bCs/>
          <w:sz w:val="32"/>
        </w:rPr>
      </w:pPr>
    </w:p>
    <w:p w14:paraId="7F018EFE">
      <w:pPr>
        <w:pStyle w:val="5"/>
        <w:jc w:val="center"/>
        <w:rPr>
          <w:rFonts w:hint="eastAsia" w:ascii="宋体" w:hAnsi="宋体" w:cs="宋体"/>
          <w:bCs/>
          <w:sz w:val="32"/>
        </w:rPr>
      </w:pPr>
    </w:p>
    <w:p w14:paraId="43305FDB">
      <w:pPr>
        <w:pStyle w:val="5"/>
        <w:jc w:val="center"/>
        <w:rPr>
          <w:rFonts w:hint="eastAsia" w:ascii="宋体" w:hAnsi="宋体" w:cs="宋体"/>
          <w:bCs/>
          <w:sz w:val="32"/>
        </w:rPr>
      </w:pPr>
    </w:p>
    <w:p w14:paraId="20DB21BB">
      <w:pPr>
        <w:pStyle w:val="5"/>
        <w:jc w:val="center"/>
        <w:rPr>
          <w:rFonts w:hint="eastAsia" w:ascii="宋体" w:hAnsi="宋体" w:cs="宋体"/>
          <w:bCs/>
          <w:sz w:val="32"/>
        </w:rPr>
      </w:pPr>
    </w:p>
    <w:p w14:paraId="1EACCD31">
      <w:pPr>
        <w:pStyle w:val="5"/>
        <w:jc w:val="center"/>
        <w:rPr>
          <w:rFonts w:hint="eastAsia" w:ascii="宋体" w:hAnsi="宋体" w:cs="宋体"/>
          <w:bCs/>
          <w:sz w:val="32"/>
        </w:rPr>
      </w:pPr>
    </w:p>
    <w:p w14:paraId="033457E2">
      <w:pPr>
        <w:pStyle w:val="5"/>
        <w:jc w:val="center"/>
        <w:rPr>
          <w:rFonts w:hint="eastAsia" w:ascii="宋体" w:hAnsi="宋体" w:cs="宋体"/>
          <w:bCs/>
          <w:sz w:val="32"/>
        </w:rPr>
      </w:pPr>
    </w:p>
    <w:p w14:paraId="01B9BD2D">
      <w:pPr>
        <w:pStyle w:val="5"/>
        <w:jc w:val="center"/>
        <w:rPr>
          <w:rFonts w:hint="eastAsia" w:ascii="宋体" w:hAnsi="宋体" w:cs="宋体"/>
          <w:bCs/>
          <w:sz w:val="32"/>
        </w:rPr>
      </w:pPr>
    </w:p>
    <w:p w14:paraId="56524F0E">
      <w:pPr>
        <w:pStyle w:val="5"/>
        <w:jc w:val="center"/>
        <w:rPr>
          <w:rFonts w:hint="eastAsia" w:ascii="宋体" w:hAnsi="宋体" w:cs="宋体"/>
          <w:bCs/>
          <w:sz w:val="32"/>
        </w:rPr>
      </w:pPr>
    </w:p>
    <w:p w14:paraId="4DA2529E">
      <w:pPr>
        <w:pStyle w:val="5"/>
        <w:jc w:val="center"/>
        <w:rPr>
          <w:rFonts w:hint="eastAsia" w:ascii="宋体" w:hAnsi="宋体" w:cs="宋体"/>
          <w:bCs/>
          <w:sz w:val="32"/>
        </w:rPr>
      </w:pPr>
    </w:p>
    <w:p w14:paraId="130E066E">
      <w:pPr>
        <w:pStyle w:val="5"/>
        <w:jc w:val="center"/>
        <w:rPr>
          <w:rFonts w:hint="eastAsia" w:ascii="宋体" w:hAnsi="宋体" w:cs="宋体"/>
          <w:bCs/>
          <w:sz w:val="32"/>
        </w:rPr>
      </w:pPr>
    </w:p>
    <w:p w14:paraId="10175E90">
      <w:pPr>
        <w:pStyle w:val="5"/>
        <w:jc w:val="center"/>
        <w:rPr>
          <w:rFonts w:hint="eastAsia" w:ascii="宋体" w:hAnsi="宋体" w:cs="宋体"/>
          <w:bCs/>
          <w:sz w:val="32"/>
        </w:rPr>
      </w:pPr>
    </w:p>
    <w:p w14:paraId="37605AF0">
      <w:pPr>
        <w:pStyle w:val="5"/>
        <w:jc w:val="center"/>
        <w:rPr>
          <w:rFonts w:hint="eastAsia" w:ascii="宋体" w:hAnsi="宋体" w:cs="宋体"/>
          <w:bCs/>
          <w:sz w:val="32"/>
        </w:rPr>
      </w:pPr>
    </w:p>
    <w:p w14:paraId="2418EA98">
      <w:pPr>
        <w:pStyle w:val="5"/>
        <w:jc w:val="center"/>
        <w:rPr>
          <w:rFonts w:hint="eastAsia" w:ascii="宋体" w:hAnsi="宋体" w:cs="宋体"/>
          <w:bCs/>
          <w:sz w:val="32"/>
        </w:rPr>
      </w:pPr>
    </w:p>
    <w:p w14:paraId="27BAEC5D">
      <w:pPr>
        <w:pStyle w:val="5"/>
        <w:jc w:val="center"/>
        <w:rPr>
          <w:rFonts w:hint="eastAsia" w:ascii="宋体" w:hAnsi="宋体" w:cs="宋体"/>
          <w:bCs/>
          <w:sz w:val="32"/>
        </w:rPr>
      </w:pPr>
    </w:p>
    <w:p w14:paraId="4FCCFE88">
      <w:pPr>
        <w:pStyle w:val="5"/>
        <w:jc w:val="center"/>
        <w:rPr>
          <w:rFonts w:hint="eastAsia" w:ascii="宋体" w:hAnsi="宋体" w:cs="宋体"/>
          <w:bCs/>
          <w:sz w:val="32"/>
        </w:rPr>
      </w:pPr>
    </w:p>
    <w:p w14:paraId="10978EEB">
      <w:pPr>
        <w:pStyle w:val="5"/>
        <w:jc w:val="center"/>
        <w:rPr>
          <w:rFonts w:hint="eastAsia" w:ascii="宋体" w:hAnsi="宋体" w:cs="宋体"/>
          <w:bCs/>
          <w:sz w:val="32"/>
        </w:rPr>
      </w:pPr>
    </w:p>
    <w:p w14:paraId="490DA4A3">
      <w:pPr>
        <w:pStyle w:val="5"/>
        <w:jc w:val="center"/>
        <w:rPr>
          <w:rFonts w:ascii="宋体" w:hAnsi="宋体" w:cs="宋体"/>
          <w:bCs/>
          <w:sz w:val="32"/>
        </w:rPr>
      </w:pPr>
      <w:r>
        <w:rPr>
          <w:rFonts w:hint="eastAsia" w:ascii="宋体" w:hAnsi="宋体" w:cs="宋体"/>
          <w:bCs/>
          <w:sz w:val="32"/>
          <w:lang w:val="en-US" w:eastAsia="zh-CN"/>
        </w:rPr>
        <w:t>五</w:t>
      </w:r>
      <w:r>
        <w:rPr>
          <w:rFonts w:hint="eastAsia" w:ascii="宋体" w:hAnsi="宋体" w:cs="宋体"/>
          <w:bCs/>
          <w:sz w:val="32"/>
        </w:rPr>
        <w:t>、项目管理机构</w:t>
      </w:r>
      <w:bookmarkEnd w:id="455"/>
      <w:bookmarkEnd w:id="456"/>
      <w:bookmarkEnd w:id="457"/>
      <w:bookmarkEnd w:id="458"/>
    </w:p>
    <w:p w14:paraId="6987C0E9">
      <w:pPr>
        <w:spacing w:afterLines="100" w:line="360" w:lineRule="auto"/>
        <w:jc w:val="center"/>
        <w:textAlignment w:val="center"/>
        <w:rPr>
          <w:rFonts w:ascii="宋体" w:hAnsi="宋体" w:cs="宋体"/>
          <w:sz w:val="24"/>
        </w:rPr>
      </w:pPr>
      <w:r>
        <w:rPr>
          <w:rFonts w:hint="eastAsia" w:ascii="宋体" w:hAnsi="宋体" w:cs="宋体"/>
          <w:sz w:val="24"/>
        </w:rPr>
        <w:t>（一）项目管理机构组成表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
        <w:gridCol w:w="708"/>
        <w:gridCol w:w="708"/>
        <w:gridCol w:w="853"/>
        <w:gridCol w:w="1051"/>
        <w:gridCol w:w="934"/>
        <w:gridCol w:w="850"/>
        <w:gridCol w:w="1982"/>
        <w:gridCol w:w="707"/>
      </w:tblGrid>
      <w:tr w14:paraId="58855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restart"/>
            <w:tcBorders>
              <w:top w:val="single" w:color="auto" w:sz="4" w:space="0"/>
              <w:left w:val="single" w:color="auto" w:sz="4" w:space="0"/>
              <w:bottom w:val="single" w:color="auto" w:sz="4" w:space="0"/>
              <w:right w:val="single" w:color="auto" w:sz="4" w:space="0"/>
            </w:tcBorders>
            <w:vAlign w:val="center"/>
          </w:tcPr>
          <w:p w14:paraId="32955808">
            <w:pPr>
              <w:spacing w:line="360" w:lineRule="auto"/>
              <w:jc w:val="center"/>
              <w:textAlignment w:val="center"/>
              <w:rPr>
                <w:rFonts w:ascii="宋体" w:hAnsi="宋体" w:cs="宋体"/>
                <w:sz w:val="24"/>
              </w:rPr>
            </w:pPr>
            <w:r>
              <w:rPr>
                <w:rFonts w:hint="eastAsia" w:ascii="宋体" w:hAnsi="宋体" w:cs="宋体"/>
                <w:sz w:val="24"/>
              </w:rPr>
              <w:t>职务</w:t>
            </w:r>
          </w:p>
        </w:tc>
        <w:tc>
          <w:tcPr>
            <w:tcW w:w="708" w:type="dxa"/>
            <w:vMerge w:val="restart"/>
            <w:tcBorders>
              <w:top w:val="single" w:color="auto" w:sz="4" w:space="0"/>
              <w:left w:val="nil"/>
              <w:bottom w:val="single" w:color="auto" w:sz="4" w:space="0"/>
              <w:right w:val="single" w:color="auto" w:sz="4" w:space="0"/>
            </w:tcBorders>
            <w:vAlign w:val="center"/>
          </w:tcPr>
          <w:p w14:paraId="5D51ABA0">
            <w:pPr>
              <w:spacing w:line="360" w:lineRule="auto"/>
              <w:jc w:val="center"/>
              <w:textAlignment w:val="center"/>
              <w:rPr>
                <w:rFonts w:ascii="宋体" w:hAnsi="宋体" w:cs="宋体"/>
                <w:sz w:val="24"/>
              </w:rPr>
            </w:pPr>
            <w:r>
              <w:rPr>
                <w:rFonts w:hint="eastAsia" w:ascii="宋体" w:hAnsi="宋体" w:cs="宋体"/>
                <w:sz w:val="24"/>
              </w:rPr>
              <w:t>姓名</w:t>
            </w:r>
          </w:p>
        </w:tc>
        <w:tc>
          <w:tcPr>
            <w:tcW w:w="708" w:type="dxa"/>
            <w:vMerge w:val="restart"/>
            <w:tcBorders>
              <w:top w:val="single" w:color="auto" w:sz="4" w:space="0"/>
              <w:left w:val="nil"/>
              <w:bottom w:val="single" w:color="auto" w:sz="4" w:space="0"/>
              <w:right w:val="single" w:color="auto" w:sz="4" w:space="0"/>
            </w:tcBorders>
            <w:vAlign w:val="center"/>
          </w:tcPr>
          <w:p w14:paraId="5F95FC7D">
            <w:pPr>
              <w:spacing w:line="360" w:lineRule="auto"/>
              <w:jc w:val="center"/>
              <w:textAlignment w:val="center"/>
              <w:rPr>
                <w:rFonts w:ascii="宋体" w:hAnsi="宋体" w:cs="宋体"/>
                <w:sz w:val="24"/>
              </w:rPr>
            </w:pPr>
            <w:r>
              <w:rPr>
                <w:rFonts w:hint="eastAsia" w:ascii="宋体" w:hAnsi="宋体" w:cs="宋体"/>
                <w:sz w:val="24"/>
              </w:rPr>
              <w:t>职称</w:t>
            </w:r>
          </w:p>
        </w:tc>
        <w:tc>
          <w:tcPr>
            <w:tcW w:w="5670" w:type="dxa"/>
            <w:gridSpan w:val="5"/>
            <w:tcBorders>
              <w:top w:val="single" w:color="auto" w:sz="4" w:space="0"/>
              <w:left w:val="nil"/>
              <w:bottom w:val="single" w:color="auto" w:sz="4" w:space="0"/>
              <w:right w:val="single" w:color="auto" w:sz="4" w:space="0"/>
            </w:tcBorders>
            <w:vAlign w:val="center"/>
          </w:tcPr>
          <w:p w14:paraId="122FAA12">
            <w:pPr>
              <w:spacing w:line="360" w:lineRule="auto"/>
              <w:jc w:val="center"/>
              <w:textAlignment w:val="center"/>
              <w:rPr>
                <w:rFonts w:ascii="宋体" w:hAnsi="宋体" w:cs="宋体"/>
                <w:sz w:val="24"/>
              </w:rPr>
            </w:pPr>
            <w:r>
              <w:rPr>
                <w:rFonts w:hint="eastAsia" w:ascii="宋体" w:hAnsi="宋体" w:cs="宋体"/>
                <w:sz w:val="24"/>
              </w:rPr>
              <w:t>执业或职业资格证明</w:t>
            </w:r>
          </w:p>
        </w:tc>
        <w:tc>
          <w:tcPr>
            <w:tcW w:w="707" w:type="dxa"/>
            <w:vMerge w:val="restart"/>
            <w:tcBorders>
              <w:top w:val="single" w:color="auto" w:sz="4" w:space="0"/>
              <w:left w:val="nil"/>
              <w:bottom w:val="single" w:color="auto" w:sz="4" w:space="0"/>
              <w:right w:val="single" w:color="auto" w:sz="4" w:space="0"/>
            </w:tcBorders>
            <w:vAlign w:val="center"/>
          </w:tcPr>
          <w:p w14:paraId="71E53317">
            <w:pPr>
              <w:spacing w:line="360" w:lineRule="auto"/>
              <w:jc w:val="center"/>
              <w:textAlignment w:val="center"/>
              <w:rPr>
                <w:rFonts w:ascii="宋体" w:hAnsi="宋体" w:cs="宋体"/>
                <w:sz w:val="24"/>
              </w:rPr>
            </w:pPr>
            <w:r>
              <w:rPr>
                <w:rFonts w:hint="eastAsia" w:ascii="宋体" w:hAnsi="宋体" w:cs="宋体"/>
                <w:sz w:val="24"/>
              </w:rPr>
              <w:t>备注</w:t>
            </w:r>
          </w:p>
        </w:tc>
      </w:tr>
      <w:tr w14:paraId="127FE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vMerge w:val="continue"/>
            <w:tcBorders>
              <w:top w:val="single" w:color="auto" w:sz="4" w:space="0"/>
              <w:left w:val="single" w:color="auto" w:sz="4" w:space="0"/>
              <w:bottom w:val="single" w:color="auto" w:sz="4" w:space="0"/>
              <w:right w:val="single" w:color="auto" w:sz="4" w:space="0"/>
            </w:tcBorders>
            <w:vAlign w:val="center"/>
          </w:tcPr>
          <w:p w14:paraId="6ED486F8">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09FFAC79">
            <w:pPr>
              <w:spacing w:line="360" w:lineRule="auto"/>
              <w:rPr>
                <w:rFonts w:ascii="宋体" w:hAnsi="宋体" w:cs="宋体"/>
                <w:sz w:val="20"/>
                <w:szCs w:val="20"/>
              </w:rPr>
            </w:pPr>
          </w:p>
        </w:tc>
        <w:tc>
          <w:tcPr>
            <w:tcW w:w="708" w:type="dxa"/>
            <w:vMerge w:val="continue"/>
            <w:tcBorders>
              <w:top w:val="single" w:color="auto" w:sz="4" w:space="0"/>
              <w:left w:val="nil"/>
              <w:bottom w:val="single" w:color="auto" w:sz="4" w:space="0"/>
              <w:right w:val="single" w:color="auto" w:sz="4" w:space="0"/>
            </w:tcBorders>
            <w:vAlign w:val="center"/>
          </w:tcPr>
          <w:p w14:paraId="762897A7">
            <w:pPr>
              <w:spacing w:line="360" w:lineRule="auto"/>
              <w:rPr>
                <w:rFonts w:ascii="宋体" w:hAnsi="宋体" w:cs="宋体"/>
                <w:sz w:val="20"/>
                <w:szCs w:val="20"/>
              </w:rPr>
            </w:pPr>
          </w:p>
        </w:tc>
        <w:tc>
          <w:tcPr>
            <w:tcW w:w="853" w:type="dxa"/>
            <w:tcBorders>
              <w:top w:val="single" w:color="auto" w:sz="4" w:space="0"/>
              <w:left w:val="nil"/>
              <w:bottom w:val="single" w:color="auto" w:sz="4" w:space="0"/>
              <w:right w:val="single" w:color="auto" w:sz="4" w:space="0"/>
            </w:tcBorders>
            <w:vAlign w:val="center"/>
          </w:tcPr>
          <w:p w14:paraId="00A68593">
            <w:pPr>
              <w:spacing w:line="360" w:lineRule="auto"/>
              <w:jc w:val="center"/>
              <w:textAlignment w:val="center"/>
              <w:rPr>
                <w:rFonts w:ascii="宋体" w:hAnsi="宋体" w:cs="宋体"/>
                <w:sz w:val="24"/>
              </w:rPr>
            </w:pPr>
            <w:r>
              <w:rPr>
                <w:rFonts w:hint="eastAsia" w:ascii="宋体" w:hAnsi="宋体" w:cs="宋体"/>
                <w:sz w:val="24"/>
              </w:rPr>
              <w:t>证书名称</w:t>
            </w:r>
          </w:p>
        </w:tc>
        <w:tc>
          <w:tcPr>
            <w:tcW w:w="1051" w:type="dxa"/>
            <w:tcBorders>
              <w:top w:val="single" w:color="auto" w:sz="4" w:space="0"/>
              <w:left w:val="nil"/>
              <w:bottom w:val="single" w:color="auto" w:sz="4" w:space="0"/>
              <w:right w:val="single" w:color="auto" w:sz="4" w:space="0"/>
            </w:tcBorders>
            <w:vAlign w:val="center"/>
          </w:tcPr>
          <w:p w14:paraId="1D70D2B6">
            <w:pPr>
              <w:spacing w:line="360" w:lineRule="auto"/>
              <w:jc w:val="center"/>
              <w:textAlignment w:val="center"/>
              <w:rPr>
                <w:rFonts w:ascii="宋体" w:hAnsi="宋体" w:cs="宋体"/>
                <w:sz w:val="24"/>
              </w:rPr>
            </w:pPr>
            <w:r>
              <w:rPr>
                <w:rFonts w:hint="eastAsia" w:ascii="宋体" w:hAnsi="宋体" w:cs="宋体"/>
                <w:sz w:val="24"/>
              </w:rPr>
              <w:t>级别</w:t>
            </w:r>
          </w:p>
        </w:tc>
        <w:tc>
          <w:tcPr>
            <w:tcW w:w="934" w:type="dxa"/>
            <w:tcBorders>
              <w:top w:val="single" w:color="auto" w:sz="4" w:space="0"/>
              <w:left w:val="nil"/>
              <w:bottom w:val="single" w:color="auto" w:sz="4" w:space="0"/>
              <w:right w:val="single" w:color="auto" w:sz="4" w:space="0"/>
            </w:tcBorders>
            <w:vAlign w:val="center"/>
          </w:tcPr>
          <w:p w14:paraId="29502FB2">
            <w:pPr>
              <w:spacing w:line="360" w:lineRule="auto"/>
              <w:jc w:val="center"/>
              <w:textAlignment w:val="center"/>
              <w:rPr>
                <w:rFonts w:ascii="宋体" w:hAnsi="宋体" w:cs="宋体"/>
                <w:sz w:val="24"/>
              </w:rPr>
            </w:pPr>
            <w:r>
              <w:rPr>
                <w:rFonts w:hint="eastAsia" w:ascii="宋体" w:hAnsi="宋体" w:cs="宋体"/>
                <w:sz w:val="24"/>
              </w:rPr>
              <w:t>证号</w:t>
            </w:r>
          </w:p>
        </w:tc>
        <w:tc>
          <w:tcPr>
            <w:tcW w:w="850" w:type="dxa"/>
            <w:tcBorders>
              <w:top w:val="single" w:color="auto" w:sz="4" w:space="0"/>
              <w:left w:val="nil"/>
              <w:bottom w:val="single" w:color="auto" w:sz="4" w:space="0"/>
              <w:right w:val="single" w:color="auto" w:sz="4" w:space="0"/>
            </w:tcBorders>
            <w:vAlign w:val="center"/>
          </w:tcPr>
          <w:p w14:paraId="5F0CBDFC">
            <w:pPr>
              <w:spacing w:line="360" w:lineRule="auto"/>
              <w:jc w:val="center"/>
              <w:textAlignment w:val="center"/>
              <w:rPr>
                <w:rFonts w:ascii="宋体" w:hAnsi="宋体" w:cs="宋体"/>
                <w:sz w:val="24"/>
              </w:rPr>
            </w:pPr>
            <w:r>
              <w:rPr>
                <w:rFonts w:hint="eastAsia" w:ascii="宋体" w:hAnsi="宋体" w:cs="宋体"/>
                <w:sz w:val="24"/>
              </w:rPr>
              <w:t>专业</w:t>
            </w:r>
          </w:p>
        </w:tc>
        <w:tc>
          <w:tcPr>
            <w:tcW w:w="1982" w:type="dxa"/>
            <w:tcBorders>
              <w:top w:val="single" w:color="auto" w:sz="4" w:space="0"/>
              <w:left w:val="nil"/>
              <w:bottom w:val="single" w:color="auto" w:sz="4" w:space="0"/>
              <w:right w:val="single" w:color="auto" w:sz="4" w:space="0"/>
            </w:tcBorders>
            <w:vAlign w:val="center"/>
          </w:tcPr>
          <w:p w14:paraId="077BE363">
            <w:pPr>
              <w:spacing w:line="360" w:lineRule="auto"/>
              <w:jc w:val="center"/>
              <w:textAlignment w:val="center"/>
              <w:rPr>
                <w:rFonts w:ascii="宋体" w:hAnsi="宋体" w:cs="宋体"/>
                <w:sz w:val="24"/>
              </w:rPr>
            </w:pPr>
            <w:r>
              <w:rPr>
                <w:rFonts w:hint="eastAsia" w:ascii="宋体" w:hAnsi="宋体" w:cs="宋体"/>
                <w:sz w:val="24"/>
              </w:rPr>
              <w:t>养老保险</w:t>
            </w:r>
          </w:p>
          <w:p w14:paraId="1ED6C8DB">
            <w:pPr>
              <w:spacing w:line="360" w:lineRule="auto"/>
              <w:jc w:val="center"/>
              <w:textAlignment w:val="center"/>
              <w:rPr>
                <w:rFonts w:ascii="宋体" w:hAnsi="宋体" w:cs="宋体"/>
                <w:sz w:val="24"/>
              </w:rPr>
            </w:pPr>
            <w:r>
              <w:rPr>
                <w:rFonts w:hint="eastAsia" w:ascii="宋体" w:hAnsi="宋体" w:cs="宋体"/>
                <w:sz w:val="24"/>
              </w:rPr>
              <w:t>（是否交纳）</w:t>
            </w:r>
          </w:p>
        </w:tc>
        <w:tc>
          <w:tcPr>
            <w:tcW w:w="707" w:type="dxa"/>
            <w:vMerge w:val="continue"/>
            <w:tcBorders>
              <w:top w:val="single" w:color="auto" w:sz="4" w:space="0"/>
              <w:left w:val="nil"/>
              <w:bottom w:val="single" w:color="auto" w:sz="4" w:space="0"/>
              <w:right w:val="single" w:color="auto" w:sz="4" w:space="0"/>
            </w:tcBorders>
            <w:vAlign w:val="center"/>
          </w:tcPr>
          <w:p w14:paraId="03182477">
            <w:pPr>
              <w:spacing w:line="360" w:lineRule="auto"/>
              <w:rPr>
                <w:rFonts w:ascii="宋体" w:hAnsi="宋体" w:cs="宋体"/>
                <w:sz w:val="20"/>
                <w:szCs w:val="20"/>
              </w:rPr>
            </w:pPr>
          </w:p>
        </w:tc>
      </w:tr>
      <w:tr w14:paraId="7F6BA8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FB9D99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3FB6ADB">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06BBDC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BAC05B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E75D31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D8DBC5">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53DDCA5">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58F192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21027CE">
            <w:pPr>
              <w:spacing w:line="360" w:lineRule="auto"/>
              <w:jc w:val="center"/>
              <w:textAlignment w:val="center"/>
              <w:rPr>
                <w:rFonts w:ascii="宋体" w:hAnsi="宋体" w:cs="宋体"/>
                <w:sz w:val="24"/>
              </w:rPr>
            </w:pPr>
          </w:p>
        </w:tc>
      </w:tr>
      <w:tr w14:paraId="06E2F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58DCE4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CDDF6B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0DDFF7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097367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79970B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589BB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78E003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E390DD">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386AEF">
            <w:pPr>
              <w:spacing w:line="360" w:lineRule="auto"/>
              <w:jc w:val="center"/>
              <w:textAlignment w:val="center"/>
              <w:rPr>
                <w:rFonts w:ascii="宋体" w:hAnsi="宋体" w:cs="宋体"/>
                <w:sz w:val="24"/>
              </w:rPr>
            </w:pPr>
          </w:p>
        </w:tc>
      </w:tr>
      <w:tr w14:paraId="26090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9E97A4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542A4C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707A4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FEAB3B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85DA5B">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87DEC2A">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1C4281A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4A2F53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1B9F5E3">
            <w:pPr>
              <w:spacing w:line="360" w:lineRule="auto"/>
              <w:jc w:val="center"/>
              <w:textAlignment w:val="center"/>
              <w:rPr>
                <w:rFonts w:ascii="宋体" w:hAnsi="宋体" w:cs="宋体"/>
                <w:sz w:val="24"/>
              </w:rPr>
            </w:pPr>
          </w:p>
        </w:tc>
      </w:tr>
      <w:tr w14:paraId="68946F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4A1D22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92386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D92719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0F76E0F8">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A9DDC2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6BFE96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25F9E7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06DBDA">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AF8598F">
            <w:pPr>
              <w:spacing w:line="360" w:lineRule="auto"/>
              <w:jc w:val="center"/>
              <w:textAlignment w:val="center"/>
              <w:rPr>
                <w:rFonts w:ascii="宋体" w:hAnsi="宋体" w:cs="宋体"/>
                <w:sz w:val="24"/>
              </w:rPr>
            </w:pPr>
          </w:p>
        </w:tc>
      </w:tr>
      <w:tr w14:paraId="1BADA7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6BDEB2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72357B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524460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B71538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17BB2E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3504EE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7401F6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B9D83A5">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FC20849">
            <w:pPr>
              <w:spacing w:line="360" w:lineRule="auto"/>
              <w:jc w:val="center"/>
              <w:textAlignment w:val="center"/>
              <w:rPr>
                <w:rFonts w:ascii="宋体" w:hAnsi="宋体" w:cs="宋体"/>
                <w:sz w:val="24"/>
              </w:rPr>
            </w:pPr>
          </w:p>
        </w:tc>
      </w:tr>
      <w:tr w14:paraId="4F5868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0149336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0959E3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AC67365">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FD3761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2FEC53">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79CBB94">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6DC5CE6">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9B1742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A3DF412">
            <w:pPr>
              <w:spacing w:line="360" w:lineRule="auto"/>
              <w:jc w:val="center"/>
              <w:textAlignment w:val="center"/>
              <w:rPr>
                <w:rFonts w:ascii="宋体" w:hAnsi="宋体" w:cs="宋体"/>
                <w:sz w:val="24"/>
              </w:rPr>
            </w:pPr>
          </w:p>
        </w:tc>
      </w:tr>
      <w:tr w14:paraId="35CA24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E398BD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B9161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1583ED6">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BEB535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5413A2F">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4E6EE4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0EDE9C2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6F6D3C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390A798">
            <w:pPr>
              <w:spacing w:line="360" w:lineRule="auto"/>
              <w:jc w:val="center"/>
              <w:textAlignment w:val="center"/>
              <w:rPr>
                <w:rFonts w:ascii="宋体" w:hAnsi="宋体" w:cs="宋体"/>
                <w:sz w:val="24"/>
              </w:rPr>
            </w:pPr>
          </w:p>
        </w:tc>
      </w:tr>
      <w:tr w14:paraId="7CC221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201D3DE">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19C81D61">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74D1EAC">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67E7019A">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6AB970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6CCE26C">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9ACD9FE">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A6F18F7">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DB60FF7">
            <w:pPr>
              <w:spacing w:line="360" w:lineRule="auto"/>
              <w:jc w:val="center"/>
              <w:textAlignment w:val="center"/>
              <w:rPr>
                <w:rFonts w:ascii="宋体" w:hAnsi="宋体" w:cs="宋体"/>
                <w:sz w:val="24"/>
              </w:rPr>
            </w:pPr>
          </w:p>
        </w:tc>
      </w:tr>
      <w:tr w14:paraId="2ED49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3EA44C4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F81500">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6F9E870">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FAD04">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BC90C6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40A3B928">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4EE688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E1525C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6B7044F2">
            <w:pPr>
              <w:spacing w:line="360" w:lineRule="auto"/>
              <w:jc w:val="center"/>
              <w:textAlignment w:val="center"/>
              <w:rPr>
                <w:rFonts w:ascii="宋体" w:hAnsi="宋体" w:cs="宋体"/>
                <w:sz w:val="24"/>
              </w:rPr>
            </w:pPr>
          </w:p>
        </w:tc>
      </w:tr>
      <w:tr w14:paraId="6E514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A820B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55B82B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7CB120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2EA83EF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5DD3E5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D500971">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654253F">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7855307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B8843C5">
            <w:pPr>
              <w:spacing w:line="360" w:lineRule="auto"/>
              <w:jc w:val="center"/>
              <w:textAlignment w:val="center"/>
              <w:rPr>
                <w:rFonts w:ascii="宋体" w:hAnsi="宋体" w:cs="宋体"/>
                <w:sz w:val="24"/>
              </w:rPr>
            </w:pPr>
          </w:p>
        </w:tc>
      </w:tr>
      <w:tr w14:paraId="2ECB6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FFC523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401AB9">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F5A3561">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7FA99BD">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308DA70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728CF70">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F3D2C13">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91270F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42E2F52">
            <w:pPr>
              <w:spacing w:line="360" w:lineRule="auto"/>
              <w:jc w:val="center"/>
              <w:textAlignment w:val="center"/>
              <w:rPr>
                <w:rFonts w:ascii="宋体" w:hAnsi="宋体" w:cs="宋体"/>
                <w:sz w:val="24"/>
              </w:rPr>
            </w:pPr>
          </w:p>
        </w:tc>
      </w:tr>
      <w:tr w14:paraId="71834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1F3D8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508D108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D0C831E">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C9664D9">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0934ABE">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93329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A86D4BB">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056A397B">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5D03B460">
            <w:pPr>
              <w:spacing w:line="360" w:lineRule="auto"/>
              <w:jc w:val="center"/>
              <w:textAlignment w:val="center"/>
              <w:rPr>
                <w:rFonts w:ascii="宋体" w:hAnsi="宋体" w:cs="宋体"/>
                <w:sz w:val="24"/>
              </w:rPr>
            </w:pPr>
          </w:p>
        </w:tc>
      </w:tr>
      <w:tr w14:paraId="3EA15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1EF1EDC6">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0ED6BC6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FDF8569">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2EE1D0C">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C7512DC">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372BCFA3">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54C64D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011A7C1">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095B08D">
            <w:pPr>
              <w:spacing w:line="360" w:lineRule="auto"/>
              <w:jc w:val="center"/>
              <w:textAlignment w:val="center"/>
              <w:rPr>
                <w:rFonts w:ascii="宋体" w:hAnsi="宋体" w:cs="宋体"/>
                <w:sz w:val="24"/>
              </w:rPr>
            </w:pPr>
          </w:p>
        </w:tc>
      </w:tr>
      <w:tr w14:paraId="441B24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2A4C572">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7907655">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DCBBDA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80936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605E0C9">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0C8F0DD9">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80DEE6D">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552380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00F78A68">
            <w:pPr>
              <w:spacing w:line="360" w:lineRule="auto"/>
              <w:jc w:val="center"/>
              <w:textAlignment w:val="center"/>
              <w:rPr>
                <w:rFonts w:ascii="宋体" w:hAnsi="宋体" w:cs="宋体"/>
                <w:sz w:val="24"/>
              </w:rPr>
            </w:pPr>
          </w:p>
        </w:tc>
      </w:tr>
      <w:tr w14:paraId="24F111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248814CA">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5159E23">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4B10CA2B">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AD4FE50">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E4B3577">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6325557B">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2E72D2BC">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DE627A8">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5985092">
            <w:pPr>
              <w:spacing w:line="360" w:lineRule="auto"/>
              <w:jc w:val="center"/>
              <w:textAlignment w:val="center"/>
              <w:rPr>
                <w:rFonts w:ascii="宋体" w:hAnsi="宋体" w:cs="宋体"/>
                <w:sz w:val="24"/>
              </w:rPr>
            </w:pPr>
          </w:p>
        </w:tc>
      </w:tr>
      <w:tr w14:paraId="254A6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5C4D8C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5D09F">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EAC5E44">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55619B26">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DE825B1">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7092032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6E8FA019">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C2E666C">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11BA1172">
            <w:pPr>
              <w:spacing w:line="360" w:lineRule="auto"/>
              <w:jc w:val="center"/>
              <w:textAlignment w:val="center"/>
              <w:rPr>
                <w:rFonts w:ascii="宋体" w:hAnsi="宋体" w:cs="宋体"/>
                <w:sz w:val="24"/>
              </w:rPr>
            </w:pPr>
          </w:p>
        </w:tc>
      </w:tr>
      <w:tr w14:paraId="069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78D46E5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6C5669C">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24C4725A">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3CDC5CDF">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11417FD5">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4654252">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79744E97">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379845A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3BD6C823">
            <w:pPr>
              <w:spacing w:line="360" w:lineRule="auto"/>
              <w:jc w:val="center"/>
              <w:textAlignment w:val="center"/>
              <w:rPr>
                <w:rFonts w:ascii="宋体" w:hAnsi="宋体" w:cs="宋体"/>
                <w:sz w:val="24"/>
              </w:rPr>
            </w:pPr>
          </w:p>
        </w:tc>
      </w:tr>
      <w:tr w14:paraId="73E18E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6AD53F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A17EF88">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35779F03">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18C3E1C7">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7F1C0DE8">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88AF09F">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3464709A">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1745B2EF">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781D5A25">
            <w:pPr>
              <w:spacing w:line="360" w:lineRule="auto"/>
              <w:jc w:val="center"/>
              <w:textAlignment w:val="center"/>
              <w:rPr>
                <w:rFonts w:ascii="宋体" w:hAnsi="宋体" w:cs="宋体"/>
                <w:sz w:val="24"/>
              </w:rPr>
            </w:pPr>
          </w:p>
        </w:tc>
      </w:tr>
      <w:tr w14:paraId="09345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08" w:type="dxa"/>
            <w:tcBorders>
              <w:top w:val="single" w:color="auto" w:sz="4" w:space="0"/>
              <w:left w:val="single" w:color="auto" w:sz="4" w:space="0"/>
              <w:bottom w:val="single" w:color="auto" w:sz="4" w:space="0"/>
              <w:right w:val="single" w:color="auto" w:sz="4" w:space="0"/>
            </w:tcBorders>
            <w:vAlign w:val="center"/>
          </w:tcPr>
          <w:p w14:paraId="6AB7A5F7">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74B43F14">
            <w:pPr>
              <w:spacing w:line="360" w:lineRule="auto"/>
              <w:jc w:val="center"/>
              <w:textAlignment w:val="center"/>
              <w:rPr>
                <w:rFonts w:ascii="宋体" w:hAnsi="宋体" w:cs="宋体"/>
                <w:sz w:val="24"/>
              </w:rPr>
            </w:pPr>
          </w:p>
        </w:tc>
        <w:tc>
          <w:tcPr>
            <w:tcW w:w="708" w:type="dxa"/>
            <w:tcBorders>
              <w:top w:val="single" w:color="auto" w:sz="4" w:space="0"/>
              <w:left w:val="nil"/>
              <w:bottom w:val="single" w:color="auto" w:sz="4" w:space="0"/>
              <w:right w:val="single" w:color="auto" w:sz="4" w:space="0"/>
            </w:tcBorders>
            <w:vAlign w:val="center"/>
          </w:tcPr>
          <w:p w14:paraId="68011AC2">
            <w:pPr>
              <w:spacing w:line="360" w:lineRule="auto"/>
              <w:jc w:val="center"/>
              <w:textAlignment w:val="center"/>
              <w:rPr>
                <w:rFonts w:ascii="宋体" w:hAnsi="宋体" w:cs="宋体"/>
                <w:sz w:val="24"/>
              </w:rPr>
            </w:pPr>
          </w:p>
        </w:tc>
        <w:tc>
          <w:tcPr>
            <w:tcW w:w="853" w:type="dxa"/>
            <w:tcBorders>
              <w:top w:val="single" w:color="auto" w:sz="4" w:space="0"/>
              <w:left w:val="nil"/>
              <w:bottom w:val="single" w:color="auto" w:sz="4" w:space="0"/>
              <w:right w:val="single" w:color="auto" w:sz="4" w:space="0"/>
            </w:tcBorders>
            <w:vAlign w:val="center"/>
          </w:tcPr>
          <w:p w14:paraId="48C99342">
            <w:pPr>
              <w:spacing w:line="360" w:lineRule="auto"/>
              <w:jc w:val="center"/>
              <w:textAlignment w:val="center"/>
              <w:rPr>
                <w:rFonts w:ascii="宋体" w:hAnsi="宋体" w:cs="宋体"/>
                <w:sz w:val="24"/>
              </w:rPr>
            </w:pPr>
          </w:p>
        </w:tc>
        <w:tc>
          <w:tcPr>
            <w:tcW w:w="1051" w:type="dxa"/>
            <w:tcBorders>
              <w:top w:val="single" w:color="auto" w:sz="4" w:space="0"/>
              <w:left w:val="nil"/>
              <w:bottom w:val="single" w:color="auto" w:sz="4" w:space="0"/>
              <w:right w:val="single" w:color="auto" w:sz="4" w:space="0"/>
            </w:tcBorders>
            <w:vAlign w:val="center"/>
          </w:tcPr>
          <w:p w14:paraId="5DA005F6">
            <w:pPr>
              <w:spacing w:line="360" w:lineRule="auto"/>
              <w:jc w:val="center"/>
              <w:textAlignment w:val="center"/>
              <w:rPr>
                <w:rFonts w:ascii="宋体" w:hAnsi="宋体" w:cs="宋体"/>
                <w:sz w:val="24"/>
              </w:rPr>
            </w:pPr>
          </w:p>
        </w:tc>
        <w:tc>
          <w:tcPr>
            <w:tcW w:w="934" w:type="dxa"/>
            <w:tcBorders>
              <w:top w:val="single" w:color="auto" w:sz="4" w:space="0"/>
              <w:left w:val="nil"/>
              <w:bottom w:val="single" w:color="auto" w:sz="4" w:space="0"/>
              <w:right w:val="single" w:color="auto" w:sz="4" w:space="0"/>
            </w:tcBorders>
            <w:vAlign w:val="center"/>
          </w:tcPr>
          <w:p w14:paraId="1140F347">
            <w:pPr>
              <w:spacing w:line="360" w:lineRule="auto"/>
              <w:jc w:val="center"/>
              <w:textAlignment w:val="center"/>
              <w:rPr>
                <w:rFonts w:ascii="宋体" w:hAnsi="宋体" w:cs="宋体"/>
                <w:sz w:val="24"/>
              </w:rPr>
            </w:pPr>
          </w:p>
        </w:tc>
        <w:tc>
          <w:tcPr>
            <w:tcW w:w="850" w:type="dxa"/>
            <w:tcBorders>
              <w:top w:val="single" w:color="auto" w:sz="4" w:space="0"/>
              <w:left w:val="nil"/>
              <w:bottom w:val="single" w:color="auto" w:sz="4" w:space="0"/>
              <w:right w:val="single" w:color="auto" w:sz="4" w:space="0"/>
            </w:tcBorders>
            <w:vAlign w:val="center"/>
          </w:tcPr>
          <w:p w14:paraId="565324E4">
            <w:pPr>
              <w:spacing w:line="360" w:lineRule="auto"/>
              <w:jc w:val="center"/>
              <w:textAlignment w:val="center"/>
              <w:rPr>
                <w:rFonts w:ascii="宋体" w:hAnsi="宋体" w:cs="宋体"/>
                <w:sz w:val="24"/>
              </w:rPr>
            </w:pPr>
          </w:p>
        </w:tc>
        <w:tc>
          <w:tcPr>
            <w:tcW w:w="1982" w:type="dxa"/>
            <w:tcBorders>
              <w:top w:val="single" w:color="auto" w:sz="4" w:space="0"/>
              <w:left w:val="nil"/>
              <w:bottom w:val="single" w:color="auto" w:sz="4" w:space="0"/>
              <w:right w:val="single" w:color="auto" w:sz="4" w:space="0"/>
            </w:tcBorders>
            <w:vAlign w:val="center"/>
          </w:tcPr>
          <w:p w14:paraId="403F9280">
            <w:pPr>
              <w:spacing w:line="360" w:lineRule="auto"/>
              <w:jc w:val="center"/>
              <w:textAlignment w:val="center"/>
              <w:rPr>
                <w:rFonts w:ascii="宋体" w:hAnsi="宋体" w:cs="宋体"/>
                <w:sz w:val="24"/>
              </w:rPr>
            </w:pPr>
          </w:p>
        </w:tc>
        <w:tc>
          <w:tcPr>
            <w:tcW w:w="707" w:type="dxa"/>
            <w:tcBorders>
              <w:top w:val="single" w:color="auto" w:sz="4" w:space="0"/>
              <w:left w:val="nil"/>
              <w:bottom w:val="single" w:color="auto" w:sz="4" w:space="0"/>
              <w:right w:val="single" w:color="auto" w:sz="4" w:space="0"/>
            </w:tcBorders>
            <w:vAlign w:val="center"/>
          </w:tcPr>
          <w:p w14:paraId="2EB6874C">
            <w:pPr>
              <w:spacing w:line="360" w:lineRule="auto"/>
              <w:jc w:val="center"/>
              <w:textAlignment w:val="center"/>
              <w:rPr>
                <w:rFonts w:ascii="宋体" w:hAnsi="宋体" w:cs="宋体"/>
                <w:sz w:val="24"/>
              </w:rPr>
            </w:pPr>
          </w:p>
        </w:tc>
      </w:tr>
    </w:tbl>
    <w:p w14:paraId="52067B5B">
      <w:pPr>
        <w:spacing w:beforeLines="50" w:afterLines="100" w:line="360" w:lineRule="auto"/>
        <w:textAlignment w:val="center"/>
        <w:rPr>
          <w:rFonts w:ascii="宋体" w:hAnsi="宋体" w:cs="宋体"/>
          <w:sz w:val="24"/>
        </w:rPr>
      </w:pPr>
    </w:p>
    <w:p w14:paraId="308C73E2">
      <w:pPr>
        <w:spacing w:beforeLines="50" w:afterLines="100" w:line="360" w:lineRule="auto"/>
        <w:textAlignment w:val="center"/>
        <w:rPr>
          <w:rFonts w:ascii="宋体" w:hAnsi="宋体" w:cs="宋体"/>
          <w:sz w:val="24"/>
        </w:rPr>
      </w:pPr>
    </w:p>
    <w:p w14:paraId="699ADA19">
      <w:pPr>
        <w:spacing w:beforeLines="50" w:afterLines="100" w:line="360" w:lineRule="auto"/>
        <w:jc w:val="center"/>
        <w:textAlignment w:val="center"/>
        <w:rPr>
          <w:rFonts w:ascii="宋体" w:hAnsi="宋体" w:cs="宋体"/>
          <w:sz w:val="24"/>
        </w:rPr>
      </w:pPr>
      <w:r>
        <w:rPr>
          <w:rFonts w:hint="eastAsia" w:ascii="宋体" w:hAnsi="宋体" w:cs="宋体"/>
          <w:sz w:val="24"/>
        </w:rPr>
        <w:t>（二）主要人员简历表</w:t>
      </w:r>
    </w:p>
    <w:p w14:paraId="151A0CFE">
      <w:pPr>
        <w:spacing w:beforeLines="50" w:afterLines="100" w:line="360" w:lineRule="auto"/>
        <w:ind w:firstLine="480" w:firstLineChars="200"/>
        <w:textAlignment w:val="center"/>
        <w:rPr>
          <w:rFonts w:ascii="宋体" w:hAnsi="宋体" w:cs="宋体"/>
          <w:sz w:val="24"/>
        </w:rPr>
      </w:pPr>
      <w:r>
        <w:rPr>
          <w:rFonts w:hint="eastAsia" w:ascii="宋体" w:hAnsi="宋体" w:cs="宋体"/>
          <w:sz w:val="24"/>
        </w:rPr>
        <w:t xml:space="preserve"> “主要人员简历表”中的项目经理应附相关专业贰级注册建造师资格证、安全生产考核合格证；管理过的项目业绩须提供中标通知书或合同协议书等相关证明文件。项目经理出具养老保险缴纳证明；其他主要人员的岗位证书。</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1"/>
        <w:gridCol w:w="1034"/>
        <w:gridCol w:w="1135"/>
        <w:gridCol w:w="1274"/>
        <w:gridCol w:w="1843"/>
        <w:gridCol w:w="2126"/>
      </w:tblGrid>
      <w:tr w14:paraId="0D57E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60D51F0">
            <w:pPr>
              <w:spacing w:line="360" w:lineRule="auto"/>
              <w:jc w:val="center"/>
              <w:textAlignment w:val="center"/>
              <w:rPr>
                <w:rFonts w:ascii="宋体" w:hAnsi="宋体" w:cs="宋体"/>
                <w:sz w:val="24"/>
              </w:rPr>
            </w:pPr>
            <w:r>
              <w:rPr>
                <w:rFonts w:hint="eastAsia" w:ascii="宋体" w:hAnsi="宋体" w:cs="宋体"/>
                <w:sz w:val="24"/>
              </w:rPr>
              <w:t>姓  名</w:t>
            </w:r>
          </w:p>
        </w:tc>
        <w:tc>
          <w:tcPr>
            <w:tcW w:w="1034" w:type="dxa"/>
            <w:tcBorders>
              <w:top w:val="single" w:color="auto" w:sz="4" w:space="0"/>
              <w:left w:val="nil"/>
              <w:bottom w:val="single" w:color="auto" w:sz="4" w:space="0"/>
              <w:right w:val="single" w:color="auto" w:sz="4" w:space="0"/>
            </w:tcBorders>
            <w:vAlign w:val="center"/>
          </w:tcPr>
          <w:p w14:paraId="740F3EB3">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1389E61B">
            <w:pPr>
              <w:spacing w:line="360" w:lineRule="auto"/>
              <w:jc w:val="center"/>
              <w:textAlignment w:val="center"/>
              <w:rPr>
                <w:rFonts w:ascii="宋体" w:hAnsi="宋体" w:cs="宋体"/>
                <w:sz w:val="24"/>
              </w:rPr>
            </w:pPr>
            <w:r>
              <w:rPr>
                <w:rFonts w:hint="eastAsia" w:ascii="宋体" w:hAnsi="宋体" w:cs="宋体"/>
                <w:sz w:val="24"/>
              </w:rPr>
              <w:t>年  龄</w:t>
            </w:r>
          </w:p>
        </w:tc>
        <w:tc>
          <w:tcPr>
            <w:tcW w:w="1274" w:type="dxa"/>
            <w:tcBorders>
              <w:top w:val="single" w:color="auto" w:sz="4" w:space="0"/>
              <w:left w:val="nil"/>
              <w:bottom w:val="single" w:color="auto" w:sz="4" w:space="0"/>
              <w:right w:val="single" w:color="auto" w:sz="4" w:space="0"/>
            </w:tcBorders>
            <w:vAlign w:val="center"/>
          </w:tcPr>
          <w:p w14:paraId="5037C64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821BD40">
            <w:pPr>
              <w:spacing w:line="360" w:lineRule="auto"/>
              <w:jc w:val="center"/>
              <w:textAlignment w:val="center"/>
              <w:rPr>
                <w:rFonts w:ascii="宋体" w:hAnsi="宋体" w:cs="宋体"/>
                <w:sz w:val="24"/>
              </w:rPr>
            </w:pPr>
            <w:r>
              <w:rPr>
                <w:rFonts w:hint="eastAsia" w:ascii="宋体" w:hAnsi="宋体" w:cs="宋体"/>
                <w:sz w:val="24"/>
              </w:rPr>
              <w:t>学历</w:t>
            </w:r>
          </w:p>
        </w:tc>
        <w:tc>
          <w:tcPr>
            <w:tcW w:w="2126" w:type="dxa"/>
            <w:tcBorders>
              <w:top w:val="single" w:color="auto" w:sz="4" w:space="0"/>
              <w:left w:val="nil"/>
              <w:bottom w:val="single" w:color="auto" w:sz="4" w:space="0"/>
              <w:right w:val="single" w:color="auto" w:sz="4" w:space="0"/>
            </w:tcBorders>
            <w:vAlign w:val="center"/>
          </w:tcPr>
          <w:p w14:paraId="23AFEAA6">
            <w:pPr>
              <w:spacing w:line="360" w:lineRule="auto"/>
              <w:jc w:val="center"/>
              <w:textAlignment w:val="center"/>
              <w:rPr>
                <w:rFonts w:ascii="宋体" w:hAnsi="宋体" w:cs="宋体"/>
                <w:sz w:val="24"/>
              </w:rPr>
            </w:pPr>
          </w:p>
        </w:tc>
      </w:tr>
      <w:tr w14:paraId="6239B4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583BAC9">
            <w:pPr>
              <w:spacing w:line="360" w:lineRule="auto"/>
              <w:jc w:val="center"/>
              <w:textAlignment w:val="center"/>
              <w:rPr>
                <w:rFonts w:ascii="宋体" w:hAnsi="宋体" w:cs="宋体"/>
                <w:sz w:val="24"/>
              </w:rPr>
            </w:pPr>
            <w:r>
              <w:rPr>
                <w:rFonts w:hint="eastAsia" w:ascii="宋体" w:hAnsi="宋体" w:cs="宋体"/>
                <w:sz w:val="24"/>
              </w:rPr>
              <w:t>职  称</w:t>
            </w:r>
          </w:p>
        </w:tc>
        <w:tc>
          <w:tcPr>
            <w:tcW w:w="1034" w:type="dxa"/>
            <w:tcBorders>
              <w:top w:val="single" w:color="auto" w:sz="4" w:space="0"/>
              <w:left w:val="nil"/>
              <w:bottom w:val="single" w:color="auto" w:sz="4" w:space="0"/>
              <w:right w:val="single" w:color="auto" w:sz="4" w:space="0"/>
            </w:tcBorders>
            <w:vAlign w:val="center"/>
          </w:tcPr>
          <w:p w14:paraId="6FF48A76">
            <w:pPr>
              <w:spacing w:line="360" w:lineRule="auto"/>
              <w:jc w:val="center"/>
              <w:textAlignment w:val="center"/>
              <w:rPr>
                <w:rFonts w:ascii="宋体" w:hAnsi="宋体" w:cs="宋体"/>
                <w:sz w:val="24"/>
              </w:rPr>
            </w:pPr>
          </w:p>
        </w:tc>
        <w:tc>
          <w:tcPr>
            <w:tcW w:w="1135" w:type="dxa"/>
            <w:tcBorders>
              <w:top w:val="single" w:color="auto" w:sz="4" w:space="0"/>
              <w:left w:val="nil"/>
              <w:bottom w:val="single" w:color="auto" w:sz="4" w:space="0"/>
              <w:right w:val="single" w:color="auto" w:sz="4" w:space="0"/>
            </w:tcBorders>
            <w:vAlign w:val="center"/>
          </w:tcPr>
          <w:p w14:paraId="0E39132A">
            <w:pPr>
              <w:spacing w:line="360" w:lineRule="auto"/>
              <w:jc w:val="center"/>
              <w:textAlignment w:val="center"/>
              <w:rPr>
                <w:rFonts w:ascii="宋体" w:hAnsi="宋体" w:cs="宋体"/>
                <w:sz w:val="24"/>
              </w:rPr>
            </w:pPr>
            <w:r>
              <w:rPr>
                <w:rFonts w:hint="eastAsia" w:ascii="宋体" w:hAnsi="宋体" w:cs="宋体"/>
                <w:sz w:val="24"/>
              </w:rPr>
              <w:t>职  务</w:t>
            </w:r>
          </w:p>
        </w:tc>
        <w:tc>
          <w:tcPr>
            <w:tcW w:w="1274" w:type="dxa"/>
            <w:tcBorders>
              <w:top w:val="single" w:color="auto" w:sz="4" w:space="0"/>
              <w:left w:val="nil"/>
              <w:bottom w:val="single" w:color="auto" w:sz="4" w:space="0"/>
              <w:right w:val="single" w:color="auto" w:sz="4" w:space="0"/>
            </w:tcBorders>
            <w:vAlign w:val="center"/>
          </w:tcPr>
          <w:p w14:paraId="64513452">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8568C8B">
            <w:pPr>
              <w:spacing w:line="360" w:lineRule="auto"/>
              <w:jc w:val="center"/>
              <w:textAlignment w:val="center"/>
              <w:rPr>
                <w:rFonts w:ascii="宋体" w:hAnsi="宋体" w:cs="宋体"/>
                <w:sz w:val="24"/>
              </w:rPr>
            </w:pPr>
            <w:r>
              <w:rPr>
                <w:rFonts w:hint="eastAsia" w:ascii="宋体" w:hAnsi="宋体" w:cs="宋体"/>
                <w:sz w:val="24"/>
              </w:rPr>
              <w:t>拟在本工程</w:t>
            </w:r>
          </w:p>
          <w:p w14:paraId="3A68A7F9">
            <w:pPr>
              <w:spacing w:line="360" w:lineRule="auto"/>
              <w:jc w:val="center"/>
              <w:textAlignment w:val="center"/>
              <w:rPr>
                <w:rFonts w:ascii="宋体" w:hAnsi="宋体" w:cs="宋体"/>
                <w:sz w:val="24"/>
              </w:rPr>
            </w:pPr>
            <w:r>
              <w:rPr>
                <w:rFonts w:hint="eastAsia" w:ascii="宋体" w:hAnsi="宋体" w:cs="宋体"/>
                <w:sz w:val="24"/>
              </w:rPr>
              <w:t>任职</w:t>
            </w:r>
          </w:p>
        </w:tc>
        <w:tc>
          <w:tcPr>
            <w:tcW w:w="2126" w:type="dxa"/>
            <w:tcBorders>
              <w:top w:val="single" w:color="auto" w:sz="4" w:space="0"/>
              <w:left w:val="nil"/>
              <w:bottom w:val="single" w:color="auto" w:sz="4" w:space="0"/>
              <w:right w:val="single" w:color="auto" w:sz="4" w:space="0"/>
            </w:tcBorders>
            <w:vAlign w:val="center"/>
          </w:tcPr>
          <w:p w14:paraId="53922D8F">
            <w:pPr>
              <w:spacing w:line="360" w:lineRule="auto"/>
              <w:jc w:val="center"/>
              <w:textAlignment w:val="center"/>
              <w:rPr>
                <w:rFonts w:ascii="宋体" w:hAnsi="宋体" w:cs="宋体"/>
                <w:sz w:val="24"/>
              </w:rPr>
            </w:pPr>
          </w:p>
        </w:tc>
      </w:tr>
      <w:tr w14:paraId="4339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F7DE1CE">
            <w:pPr>
              <w:spacing w:line="360" w:lineRule="auto"/>
              <w:jc w:val="center"/>
              <w:textAlignment w:val="center"/>
              <w:rPr>
                <w:rFonts w:ascii="宋体" w:hAnsi="宋体" w:cs="宋体"/>
                <w:sz w:val="24"/>
              </w:rPr>
            </w:pPr>
            <w:r>
              <w:rPr>
                <w:rFonts w:hint="eastAsia" w:ascii="宋体" w:hAnsi="宋体" w:cs="宋体"/>
                <w:sz w:val="24"/>
              </w:rPr>
              <w:t>毕业  学校</w:t>
            </w:r>
          </w:p>
        </w:tc>
        <w:tc>
          <w:tcPr>
            <w:tcW w:w="7412" w:type="dxa"/>
            <w:gridSpan w:val="5"/>
            <w:tcBorders>
              <w:top w:val="single" w:color="auto" w:sz="4" w:space="0"/>
              <w:left w:val="nil"/>
              <w:bottom w:val="single" w:color="auto" w:sz="4" w:space="0"/>
              <w:right w:val="single" w:color="auto" w:sz="4" w:space="0"/>
            </w:tcBorders>
            <w:vAlign w:val="center"/>
          </w:tcPr>
          <w:p w14:paraId="7B8D14EC">
            <w:pPr>
              <w:spacing w:line="360" w:lineRule="auto"/>
              <w:ind w:firstLine="960" w:firstLineChars="400"/>
              <w:textAlignment w:val="center"/>
              <w:rPr>
                <w:rFonts w:ascii="宋体" w:hAnsi="宋体" w:cs="宋体"/>
                <w:sz w:val="24"/>
              </w:rPr>
            </w:pPr>
            <w:r>
              <w:rPr>
                <w:rFonts w:hint="eastAsia" w:ascii="宋体" w:hAnsi="宋体" w:cs="宋体"/>
                <w:sz w:val="24"/>
              </w:rPr>
              <w:t>年毕业于                  学校            专业</w:t>
            </w:r>
          </w:p>
        </w:tc>
      </w:tr>
      <w:tr w14:paraId="72A3A1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03" w:type="dxa"/>
            <w:gridSpan w:val="6"/>
            <w:tcBorders>
              <w:top w:val="single" w:color="auto" w:sz="4" w:space="0"/>
              <w:left w:val="single" w:color="auto" w:sz="4" w:space="0"/>
              <w:bottom w:val="single" w:color="auto" w:sz="4" w:space="0"/>
              <w:right w:val="single" w:color="auto" w:sz="4" w:space="0"/>
            </w:tcBorders>
            <w:vAlign w:val="center"/>
          </w:tcPr>
          <w:p w14:paraId="41E8D178">
            <w:pPr>
              <w:spacing w:line="360" w:lineRule="auto"/>
              <w:jc w:val="center"/>
              <w:textAlignment w:val="center"/>
              <w:rPr>
                <w:rFonts w:ascii="宋体" w:hAnsi="宋体" w:cs="宋体"/>
                <w:sz w:val="24"/>
              </w:rPr>
            </w:pPr>
            <w:r>
              <w:rPr>
                <w:rFonts w:hint="eastAsia" w:ascii="宋体" w:hAnsi="宋体" w:cs="宋体"/>
                <w:sz w:val="24"/>
              </w:rPr>
              <w:t>主要工作经历</w:t>
            </w:r>
          </w:p>
        </w:tc>
      </w:tr>
      <w:tr w14:paraId="228AF9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E4CB0C6">
            <w:pPr>
              <w:spacing w:line="360" w:lineRule="auto"/>
              <w:jc w:val="center"/>
              <w:textAlignment w:val="center"/>
              <w:rPr>
                <w:rFonts w:ascii="宋体" w:hAnsi="宋体" w:cs="宋体"/>
                <w:sz w:val="24"/>
              </w:rPr>
            </w:pPr>
            <w:r>
              <w:rPr>
                <w:rFonts w:hint="eastAsia" w:ascii="宋体" w:hAnsi="宋体" w:cs="宋体"/>
                <w:sz w:val="24"/>
              </w:rPr>
              <w:t>时  间</w:t>
            </w:r>
          </w:p>
        </w:tc>
        <w:tc>
          <w:tcPr>
            <w:tcW w:w="3443" w:type="dxa"/>
            <w:gridSpan w:val="3"/>
            <w:tcBorders>
              <w:top w:val="single" w:color="auto" w:sz="4" w:space="0"/>
              <w:left w:val="nil"/>
              <w:bottom w:val="single" w:color="auto" w:sz="4" w:space="0"/>
              <w:right w:val="single" w:color="auto" w:sz="4" w:space="0"/>
            </w:tcBorders>
            <w:vAlign w:val="center"/>
          </w:tcPr>
          <w:p w14:paraId="46EC4DB7">
            <w:pPr>
              <w:spacing w:line="360" w:lineRule="auto"/>
              <w:jc w:val="center"/>
              <w:textAlignment w:val="center"/>
              <w:rPr>
                <w:rFonts w:ascii="宋体" w:hAnsi="宋体" w:cs="宋体"/>
                <w:sz w:val="24"/>
              </w:rPr>
            </w:pPr>
            <w:r>
              <w:rPr>
                <w:rFonts w:hint="eastAsia" w:ascii="宋体" w:hAnsi="宋体" w:cs="宋体"/>
                <w:sz w:val="24"/>
              </w:rPr>
              <w:t xml:space="preserve">参加过的类似项目 </w:t>
            </w:r>
          </w:p>
        </w:tc>
        <w:tc>
          <w:tcPr>
            <w:tcW w:w="1843" w:type="dxa"/>
            <w:tcBorders>
              <w:top w:val="single" w:color="auto" w:sz="4" w:space="0"/>
              <w:left w:val="nil"/>
              <w:bottom w:val="single" w:color="auto" w:sz="4" w:space="0"/>
              <w:right w:val="single" w:color="auto" w:sz="4" w:space="0"/>
            </w:tcBorders>
            <w:vAlign w:val="center"/>
          </w:tcPr>
          <w:p w14:paraId="2327841E">
            <w:pPr>
              <w:spacing w:line="360" w:lineRule="auto"/>
              <w:jc w:val="center"/>
              <w:textAlignment w:val="center"/>
              <w:rPr>
                <w:rFonts w:ascii="宋体" w:hAnsi="宋体" w:cs="宋体"/>
                <w:sz w:val="24"/>
              </w:rPr>
            </w:pPr>
            <w:r>
              <w:rPr>
                <w:rFonts w:hint="eastAsia" w:ascii="宋体" w:hAnsi="宋体" w:cs="宋体"/>
                <w:sz w:val="24"/>
              </w:rPr>
              <w:t>担任职务</w:t>
            </w:r>
          </w:p>
        </w:tc>
        <w:tc>
          <w:tcPr>
            <w:tcW w:w="2126" w:type="dxa"/>
            <w:tcBorders>
              <w:top w:val="single" w:color="auto" w:sz="4" w:space="0"/>
              <w:left w:val="nil"/>
              <w:bottom w:val="single" w:color="auto" w:sz="4" w:space="0"/>
              <w:right w:val="single" w:color="auto" w:sz="4" w:space="0"/>
            </w:tcBorders>
            <w:vAlign w:val="center"/>
          </w:tcPr>
          <w:p w14:paraId="53FECBD7">
            <w:pPr>
              <w:spacing w:line="360" w:lineRule="auto"/>
              <w:jc w:val="center"/>
              <w:textAlignment w:val="center"/>
              <w:rPr>
                <w:rFonts w:ascii="宋体" w:hAnsi="宋体" w:cs="宋体"/>
                <w:sz w:val="24"/>
              </w:rPr>
            </w:pPr>
            <w:r>
              <w:rPr>
                <w:rFonts w:hint="eastAsia" w:ascii="宋体" w:hAnsi="宋体" w:cs="宋体"/>
                <w:sz w:val="24"/>
              </w:rPr>
              <w:t>发包人及联系</w:t>
            </w:r>
          </w:p>
          <w:p w14:paraId="65A00920">
            <w:pPr>
              <w:spacing w:line="360" w:lineRule="auto"/>
              <w:jc w:val="center"/>
              <w:textAlignment w:val="center"/>
              <w:rPr>
                <w:rFonts w:ascii="宋体" w:hAnsi="宋体" w:cs="宋体"/>
                <w:sz w:val="24"/>
              </w:rPr>
            </w:pPr>
            <w:r>
              <w:rPr>
                <w:rFonts w:hint="eastAsia" w:ascii="宋体" w:hAnsi="宋体" w:cs="宋体"/>
                <w:sz w:val="24"/>
              </w:rPr>
              <w:t>电话</w:t>
            </w:r>
          </w:p>
        </w:tc>
      </w:tr>
      <w:tr w14:paraId="1EB0E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09592822">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4EC503ED">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387D42">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93D95DE">
            <w:pPr>
              <w:spacing w:line="360" w:lineRule="auto"/>
              <w:jc w:val="center"/>
              <w:textAlignment w:val="center"/>
              <w:rPr>
                <w:rFonts w:ascii="宋体" w:hAnsi="宋体" w:cs="宋体"/>
                <w:sz w:val="24"/>
              </w:rPr>
            </w:pPr>
          </w:p>
        </w:tc>
      </w:tr>
      <w:tr w14:paraId="492FA9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2AC41CB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76727DF">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7F99F08">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0AD2FCB2">
            <w:pPr>
              <w:spacing w:line="360" w:lineRule="auto"/>
              <w:jc w:val="center"/>
              <w:textAlignment w:val="center"/>
              <w:rPr>
                <w:rFonts w:ascii="宋体" w:hAnsi="宋体" w:cs="宋体"/>
                <w:sz w:val="24"/>
              </w:rPr>
            </w:pPr>
          </w:p>
        </w:tc>
      </w:tr>
      <w:tr w14:paraId="7C8115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142EF4FD">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6411FAF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258BB056">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4E19E260">
            <w:pPr>
              <w:spacing w:line="360" w:lineRule="auto"/>
              <w:jc w:val="center"/>
              <w:textAlignment w:val="center"/>
              <w:rPr>
                <w:rFonts w:ascii="宋体" w:hAnsi="宋体" w:cs="宋体"/>
                <w:sz w:val="24"/>
              </w:rPr>
            </w:pPr>
          </w:p>
        </w:tc>
      </w:tr>
      <w:tr w14:paraId="5E55A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EFFE46">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9455DF3">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CCDE1F9">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71A4E5C">
            <w:pPr>
              <w:spacing w:line="360" w:lineRule="auto"/>
              <w:jc w:val="center"/>
              <w:textAlignment w:val="center"/>
              <w:rPr>
                <w:rFonts w:ascii="宋体" w:hAnsi="宋体" w:cs="宋体"/>
                <w:sz w:val="24"/>
              </w:rPr>
            </w:pPr>
          </w:p>
        </w:tc>
      </w:tr>
      <w:tr w14:paraId="4DFBE7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453AFF31">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3F04A64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641820FD">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887F923">
            <w:pPr>
              <w:spacing w:line="360" w:lineRule="auto"/>
              <w:jc w:val="center"/>
              <w:textAlignment w:val="center"/>
              <w:rPr>
                <w:rFonts w:ascii="宋体" w:hAnsi="宋体" w:cs="宋体"/>
                <w:sz w:val="24"/>
              </w:rPr>
            </w:pPr>
          </w:p>
        </w:tc>
      </w:tr>
      <w:tr w14:paraId="2628D1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62BA876C">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544CD5DB">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78730B75">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6385FD23">
            <w:pPr>
              <w:spacing w:line="360" w:lineRule="auto"/>
              <w:jc w:val="center"/>
              <w:textAlignment w:val="center"/>
              <w:rPr>
                <w:rFonts w:ascii="宋体" w:hAnsi="宋体" w:cs="宋体"/>
                <w:sz w:val="24"/>
              </w:rPr>
            </w:pPr>
          </w:p>
        </w:tc>
      </w:tr>
      <w:tr w14:paraId="3B8BBC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91" w:type="dxa"/>
            <w:tcBorders>
              <w:top w:val="single" w:color="auto" w:sz="4" w:space="0"/>
              <w:left w:val="single" w:color="auto" w:sz="4" w:space="0"/>
              <w:bottom w:val="single" w:color="auto" w:sz="4" w:space="0"/>
              <w:right w:val="single" w:color="auto" w:sz="4" w:space="0"/>
            </w:tcBorders>
            <w:vAlign w:val="center"/>
          </w:tcPr>
          <w:p w14:paraId="5E9E3ED7">
            <w:pPr>
              <w:spacing w:line="360" w:lineRule="auto"/>
              <w:jc w:val="center"/>
              <w:textAlignment w:val="center"/>
              <w:rPr>
                <w:rFonts w:ascii="宋体" w:hAnsi="宋体" w:cs="宋体"/>
                <w:sz w:val="24"/>
              </w:rPr>
            </w:pPr>
          </w:p>
        </w:tc>
        <w:tc>
          <w:tcPr>
            <w:tcW w:w="3443" w:type="dxa"/>
            <w:gridSpan w:val="3"/>
            <w:tcBorders>
              <w:top w:val="single" w:color="auto" w:sz="4" w:space="0"/>
              <w:left w:val="nil"/>
              <w:bottom w:val="single" w:color="auto" w:sz="4" w:space="0"/>
              <w:right w:val="single" w:color="auto" w:sz="4" w:space="0"/>
            </w:tcBorders>
            <w:vAlign w:val="center"/>
          </w:tcPr>
          <w:p w14:paraId="7902CA16">
            <w:pPr>
              <w:spacing w:line="360" w:lineRule="auto"/>
              <w:jc w:val="center"/>
              <w:textAlignment w:val="center"/>
              <w:rPr>
                <w:rFonts w:ascii="宋体" w:hAnsi="宋体" w:cs="宋体"/>
                <w:sz w:val="24"/>
              </w:rPr>
            </w:pPr>
          </w:p>
        </w:tc>
        <w:tc>
          <w:tcPr>
            <w:tcW w:w="1843" w:type="dxa"/>
            <w:tcBorders>
              <w:top w:val="single" w:color="auto" w:sz="4" w:space="0"/>
              <w:left w:val="nil"/>
              <w:bottom w:val="single" w:color="auto" w:sz="4" w:space="0"/>
              <w:right w:val="single" w:color="auto" w:sz="4" w:space="0"/>
            </w:tcBorders>
            <w:vAlign w:val="center"/>
          </w:tcPr>
          <w:p w14:paraId="33F2E02A">
            <w:pPr>
              <w:spacing w:line="360" w:lineRule="auto"/>
              <w:jc w:val="center"/>
              <w:textAlignment w:val="center"/>
              <w:rPr>
                <w:rFonts w:ascii="宋体" w:hAnsi="宋体" w:cs="宋体"/>
                <w:sz w:val="24"/>
              </w:rPr>
            </w:pPr>
          </w:p>
        </w:tc>
        <w:tc>
          <w:tcPr>
            <w:tcW w:w="2126" w:type="dxa"/>
            <w:tcBorders>
              <w:top w:val="single" w:color="auto" w:sz="4" w:space="0"/>
              <w:left w:val="nil"/>
              <w:bottom w:val="single" w:color="auto" w:sz="4" w:space="0"/>
              <w:right w:val="single" w:color="auto" w:sz="4" w:space="0"/>
            </w:tcBorders>
            <w:vAlign w:val="center"/>
          </w:tcPr>
          <w:p w14:paraId="51DC0AC0">
            <w:pPr>
              <w:spacing w:line="360" w:lineRule="auto"/>
              <w:jc w:val="center"/>
              <w:textAlignment w:val="center"/>
              <w:rPr>
                <w:rFonts w:ascii="宋体" w:hAnsi="宋体" w:cs="宋体"/>
                <w:sz w:val="24"/>
              </w:rPr>
            </w:pPr>
          </w:p>
        </w:tc>
      </w:tr>
    </w:tbl>
    <w:p w14:paraId="0F49FD5E">
      <w:pPr>
        <w:spacing w:line="360" w:lineRule="auto"/>
        <w:textAlignment w:val="center"/>
        <w:rPr>
          <w:rFonts w:ascii="宋体" w:hAnsi="宋体" w:cs="宋体"/>
          <w:sz w:val="24"/>
        </w:rPr>
      </w:pPr>
    </w:p>
    <w:p w14:paraId="3EAF946C">
      <w:pPr>
        <w:spacing w:line="360" w:lineRule="auto"/>
        <w:textAlignment w:val="center"/>
        <w:rPr>
          <w:rFonts w:ascii="宋体" w:hAnsi="宋体" w:cs="宋体"/>
          <w:sz w:val="24"/>
        </w:rPr>
      </w:pPr>
    </w:p>
    <w:p w14:paraId="18C2F03A">
      <w:pPr>
        <w:spacing w:line="360" w:lineRule="auto"/>
        <w:textAlignment w:val="center"/>
        <w:rPr>
          <w:rFonts w:ascii="宋体" w:hAnsi="宋体" w:cs="宋体"/>
          <w:sz w:val="24"/>
        </w:rPr>
      </w:pPr>
    </w:p>
    <w:p w14:paraId="6E0C0E1F">
      <w:pPr>
        <w:spacing w:line="360" w:lineRule="auto"/>
        <w:textAlignment w:val="center"/>
        <w:rPr>
          <w:rFonts w:ascii="宋体" w:hAnsi="宋体" w:cs="宋体"/>
          <w:sz w:val="24"/>
        </w:rPr>
      </w:pPr>
    </w:p>
    <w:p w14:paraId="65589EEA">
      <w:pPr>
        <w:spacing w:line="360" w:lineRule="auto"/>
        <w:textAlignment w:val="center"/>
        <w:rPr>
          <w:rFonts w:ascii="宋体" w:hAnsi="宋体" w:cs="宋体"/>
          <w:sz w:val="24"/>
        </w:rPr>
      </w:pPr>
    </w:p>
    <w:p w14:paraId="0212A80E">
      <w:pPr>
        <w:numPr>
          <w:ilvl w:val="0"/>
          <w:numId w:val="2"/>
        </w:numPr>
        <w:spacing w:line="360" w:lineRule="auto"/>
        <w:jc w:val="center"/>
        <w:textAlignment w:val="center"/>
        <w:rPr>
          <w:rFonts w:ascii="宋体" w:hAnsi="宋体" w:cs="宋体"/>
          <w:sz w:val="24"/>
        </w:rPr>
      </w:pPr>
      <w:r>
        <w:rPr>
          <w:rFonts w:hint="eastAsia" w:ascii="宋体" w:hAnsi="宋体" w:cs="宋体"/>
          <w:sz w:val="24"/>
        </w:rPr>
        <w:t xml:space="preserve">承诺书 </w:t>
      </w:r>
    </w:p>
    <w:p w14:paraId="680AC189">
      <w:pPr>
        <w:spacing w:afterLines="100" w:line="360" w:lineRule="auto"/>
        <w:textAlignment w:val="center"/>
        <w:rPr>
          <w:rFonts w:ascii="宋体" w:hAnsi="宋体" w:cs="宋体"/>
          <w:sz w:val="24"/>
          <w:u w:val="single"/>
        </w:rPr>
      </w:pPr>
    </w:p>
    <w:p w14:paraId="4B37697C">
      <w:pPr>
        <w:spacing w:afterLines="100" w:line="360" w:lineRule="auto"/>
        <w:textAlignment w:val="center"/>
        <w:rPr>
          <w:rFonts w:ascii="宋体" w:hAnsi="宋体" w:cs="宋体"/>
          <w:sz w:val="24"/>
        </w:rPr>
      </w:pPr>
      <w:r>
        <w:rPr>
          <w:rFonts w:hint="eastAsia" w:ascii="宋体" w:hAnsi="宋体" w:cs="宋体"/>
          <w:sz w:val="24"/>
          <w:u w:val="single"/>
          <w:lang w:eastAsia="zh-CN"/>
        </w:rPr>
        <w:t>（采购人名称）</w:t>
      </w:r>
      <w:r>
        <w:rPr>
          <w:rFonts w:hint="eastAsia" w:ascii="宋体" w:hAnsi="宋体" w:cs="宋体"/>
          <w:sz w:val="24"/>
        </w:rPr>
        <w:t>：</w:t>
      </w:r>
    </w:p>
    <w:p w14:paraId="5A56D441">
      <w:pPr>
        <w:spacing w:line="360" w:lineRule="auto"/>
        <w:ind w:firstLine="480" w:firstLineChars="200"/>
        <w:textAlignment w:val="center"/>
        <w:rPr>
          <w:rFonts w:ascii="宋体" w:hAnsi="宋体" w:cs="宋体"/>
          <w:sz w:val="24"/>
        </w:rPr>
      </w:pPr>
      <w:r>
        <w:rPr>
          <w:rFonts w:hint="eastAsia" w:ascii="宋体" w:hAnsi="宋体" w:cs="宋体"/>
          <w:sz w:val="24"/>
        </w:rPr>
        <w:t>我方在此声明，我方拟派往</w:t>
      </w:r>
      <w:r>
        <w:rPr>
          <w:rFonts w:hint="eastAsia" w:ascii="宋体" w:hAnsi="宋体" w:cs="宋体"/>
          <w:sz w:val="24"/>
          <w:u w:val="single"/>
        </w:rPr>
        <w:t>（项目名称）</w:t>
      </w:r>
      <w:r>
        <w:rPr>
          <w:rFonts w:hint="eastAsia" w:ascii="宋体" w:hAnsi="宋体" w:cs="宋体"/>
          <w:sz w:val="24"/>
        </w:rPr>
        <w:t>（以下简称“本工程”）的项目经理</w:t>
      </w:r>
      <w:r>
        <w:rPr>
          <w:rFonts w:hint="eastAsia" w:ascii="宋体" w:hAnsi="宋体" w:cs="宋体"/>
          <w:sz w:val="24"/>
          <w:u w:val="single"/>
        </w:rPr>
        <w:t>（项目经理姓名）</w:t>
      </w:r>
      <w:r>
        <w:rPr>
          <w:rFonts w:hint="eastAsia" w:ascii="宋体" w:hAnsi="宋体" w:cs="宋体"/>
          <w:sz w:val="24"/>
        </w:rPr>
        <w:t>现阶段无在建和无新承接工程施工项目。</w:t>
      </w:r>
    </w:p>
    <w:p w14:paraId="0AEA1197">
      <w:pPr>
        <w:spacing w:line="360" w:lineRule="auto"/>
        <w:ind w:firstLine="480" w:firstLineChars="200"/>
        <w:textAlignment w:val="center"/>
        <w:rPr>
          <w:rFonts w:ascii="宋体" w:hAnsi="宋体" w:cs="宋体"/>
          <w:sz w:val="24"/>
        </w:rPr>
      </w:pPr>
      <w:r>
        <w:rPr>
          <w:rFonts w:hint="eastAsia" w:ascii="宋体" w:hAnsi="宋体" w:cs="宋体"/>
          <w:sz w:val="24"/>
        </w:rPr>
        <w:t>我方保证上述信息的真实和准确，并愿意承担因我方就此弄虚作假所引起的一切法律后果。</w:t>
      </w:r>
    </w:p>
    <w:p w14:paraId="748A0A0B">
      <w:pPr>
        <w:spacing w:line="360" w:lineRule="auto"/>
        <w:ind w:firstLine="480" w:firstLineChars="200"/>
        <w:textAlignment w:val="center"/>
        <w:rPr>
          <w:rFonts w:ascii="宋体" w:hAnsi="宋体" w:cs="宋体"/>
          <w:sz w:val="24"/>
        </w:rPr>
      </w:pPr>
    </w:p>
    <w:p w14:paraId="6ACC9746">
      <w:pPr>
        <w:spacing w:line="360" w:lineRule="auto"/>
        <w:ind w:firstLine="480" w:firstLineChars="200"/>
        <w:textAlignment w:val="center"/>
        <w:rPr>
          <w:rFonts w:ascii="宋体" w:hAnsi="宋体" w:cs="宋体"/>
          <w:sz w:val="24"/>
        </w:rPr>
      </w:pPr>
    </w:p>
    <w:p w14:paraId="248CCF00">
      <w:pPr>
        <w:spacing w:line="360" w:lineRule="auto"/>
        <w:ind w:firstLine="480" w:firstLineChars="200"/>
        <w:textAlignment w:val="center"/>
        <w:rPr>
          <w:rFonts w:ascii="宋体" w:hAnsi="宋体" w:cs="宋体"/>
          <w:sz w:val="24"/>
        </w:rPr>
      </w:pPr>
      <w:r>
        <w:rPr>
          <w:rFonts w:hint="eastAsia" w:ascii="宋体" w:hAnsi="宋体" w:cs="宋体"/>
          <w:sz w:val="24"/>
        </w:rPr>
        <w:t>特此承诺</w:t>
      </w:r>
    </w:p>
    <w:p w14:paraId="7B52E17C">
      <w:pPr>
        <w:spacing w:line="360" w:lineRule="auto"/>
        <w:ind w:firstLine="480" w:firstLineChars="200"/>
        <w:textAlignment w:val="center"/>
        <w:rPr>
          <w:rFonts w:ascii="宋体" w:hAnsi="宋体" w:cs="宋体"/>
          <w:sz w:val="24"/>
        </w:rPr>
      </w:pPr>
    </w:p>
    <w:p w14:paraId="32F2509B">
      <w:pPr>
        <w:spacing w:line="360" w:lineRule="auto"/>
        <w:ind w:firstLine="480" w:firstLineChars="200"/>
        <w:textAlignment w:val="center"/>
        <w:rPr>
          <w:rFonts w:ascii="宋体" w:hAnsi="宋体" w:cs="宋体"/>
          <w:sz w:val="24"/>
        </w:rPr>
      </w:pPr>
    </w:p>
    <w:p w14:paraId="3486C5BE">
      <w:pPr>
        <w:spacing w:line="360" w:lineRule="auto"/>
        <w:ind w:firstLine="480" w:firstLineChars="200"/>
        <w:textAlignment w:val="center"/>
        <w:rPr>
          <w:rFonts w:ascii="宋体" w:hAnsi="宋体" w:cs="宋体"/>
          <w:sz w:val="24"/>
        </w:rPr>
      </w:pPr>
    </w:p>
    <w:p w14:paraId="3CB49D00">
      <w:pPr>
        <w:spacing w:line="360" w:lineRule="auto"/>
        <w:ind w:firstLine="480" w:firstLineChars="200"/>
        <w:textAlignment w:val="center"/>
        <w:rPr>
          <w:rFonts w:ascii="宋体" w:hAnsi="宋体" w:cs="宋体"/>
          <w:sz w:val="24"/>
        </w:rPr>
      </w:pPr>
    </w:p>
    <w:p w14:paraId="6DDD8724">
      <w:pPr>
        <w:spacing w:line="360" w:lineRule="auto"/>
        <w:ind w:firstLine="480" w:firstLineChars="200"/>
        <w:textAlignment w:val="center"/>
        <w:rPr>
          <w:rFonts w:ascii="宋体" w:hAnsi="宋体" w:cs="宋体"/>
          <w:sz w:val="24"/>
        </w:rPr>
      </w:pPr>
    </w:p>
    <w:p w14:paraId="362C6E42">
      <w:pPr>
        <w:spacing w:line="360" w:lineRule="auto"/>
        <w:ind w:firstLine="3794" w:firstLineChars="1581"/>
        <w:jc w:val="right"/>
        <w:rPr>
          <w:rFonts w:ascii="宋体" w:hAnsi="宋体" w:cs="宋体"/>
          <w:sz w:val="24"/>
        </w:rPr>
      </w:pPr>
      <w:r>
        <w:rPr>
          <w:rFonts w:hint="eastAsia" w:ascii="宋体" w:hAnsi="宋体" w:cs="宋体"/>
          <w:sz w:val="24"/>
          <w:lang w:eastAsia="zh-CN"/>
        </w:rPr>
        <w:t>供应商：</w:t>
      </w:r>
      <w:r>
        <w:rPr>
          <w:rFonts w:hint="eastAsia" w:ascii="宋体" w:hAnsi="宋体" w:cs="宋体"/>
          <w:sz w:val="24"/>
        </w:rPr>
        <w:t>（电子签章）</w:t>
      </w:r>
    </w:p>
    <w:p w14:paraId="1264BEF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1AD88932">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54B7590A">
      <w:pPr>
        <w:spacing w:beforeLines="50" w:afterLines="100" w:line="360" w:lineRule="auto"/>
        <w:ind w:right="420"/>
        <w:textAlignment w:val="center"/>
        <w:rPr>
          <w:rFonts w:ascii="宋体" w:hAnsi="宋体" w:cs="宋体"/>
          <w:sz w:val="24"/>
        </w:rPr>
      </w:pPr>
    </w:p>
    <w:p w14:paraId="34E5B405">
      <w:pPr>
        <w:spacing w:line="360" w:lineRule="auto"/>
        <w:textAlignment w:val="center"/>
        <w:rPr>
          <w:rFonts w:ascii="宋体" w:hAnsi="宋体" w:cs="宋体"/>
          <w:sz w:val="24"/>
        </w:rPr>
      </w:pPr>
      <w:bookmarkStart w:id="459" w:name="_Toc31353"/>
      <w:bookmarkStart w:id="460" w:name="_Toc20862"/>
    </w:p>
    <w:p w14:paraId="4897BECB">
      <w:pPr>
        <w:pStyle w:val="61"/>
        <w:spacing w:line="360" w:lineRule="auto"/>
        <w:rPr>
          <w:rFonts w:hint="default" w:hAnsi="宋体" w:cs="宋体"/>
          <w:color w:val="auto"/>
        </w:rPr>
      </w:pPr>
      <w:r>
        <w:rPr>
          <w:rFonts w:hAnsi="宋体" w:cs="宋体"/>
          <w:color w:val="auto"/>
        </w:rPr>
        <w:br w:type="page"/>
      </w:r>
    </w:p>
    <w:p w14:paraId="2098D3F1">
      <w:pPr>
        <w:pStyle w:val="5"/>
        <w:jc w:val="center"/>
        <w:rPr>
          <w:rFonts w:ascii="宋体" w:hAnsi="宋体" w:cs="宋体"/>
          <w:bCs/>
          <w:sz w:val="32"/>
        </w:rPr>
      </w:pPr>
      <w:bookmarkStart w:id="461" w:name="_Toc17599"/>
      <w:bookmarkStart w:id="462" w:name="_Toc5477"/>
      <w:r>
        <w:rPr>
          <w:rFonts w:hint="eastAsia" w:ascii="宋体" w:hAnsi="宋体" w:cs="宋体"/>
          <w:bCs/>
          <w:sz w:val="32"/>
          <w:lang w:val="en-US" w:eastAsia="zh-CN"/>
        </w:rPr>
        <w:t>六</w:t>
      </w:r>
      <w:r>
        <w:rPr>
          <w:rFonts w:hint="eastAsia" w:ascii="宋体" w:hAnsi="宋体" w:cs="宋体"/>
          <w:bCs/>
          <w:sz w:val="32"/>
        </w:rPr>
        <w:t>、企业基本情况资料</w:t>
      </w:r>
      <w:bookmarkEnd w:id="459"/>
      <w:bookmarkEnd w:id="460"/>
      <w:bookmarkEnd w:id="461"/>
      <w:bookmarkEnd w:id="462"/>
    </w:p>
    <w:p w14:paraId="7AACD7ED">
      <w:pPr>
        <w:spacing w:line="360" w:lineRule="auto"/>
        <w:jc w:val="center"/>
        <w:textAlignment w:val="center"/>
        <w:rPr>
          <w:rFonts w:ascii="宋体" w:hAnsi="宋体" w:cs="宋体"/>
          <w:b/>
          <w:bCs/>
          <w:sz w:val="24"/>
        </w:rPr>
      </w:pPr>
      <w:bookmarkStart w:id="463" w:name="_Toc392837523"/>
      <w:bookmarkEnd w:id="463"/>
      <w:r>
        <w:rPr>
          <w:rFonts w:hint="eastAsia" w:ascii="宋体" w:hAnsi="宋体" w:cs="宋体"/>
          <w:b/>
          <w:bCs/>
          <w:sz w:val="24"/>
        </w:rPr>
        <w:t>（一）</w:t>
      </w:r>
      <w:r>
        <w:rPr>
          <w:rFonts w:hint="eastAsia" w:ascii="宋体" w:hAnsi="宋体" w:cs="宋体"/>
          <w:b/>
          <w:bCs/>
          <w:sz w:val="24"/>
          <w:lang w:eastAsia="zh-CN"/>
        </w:rPr>
        <w:t>供应商</w:t>
      </w:r>
      <w:r>
        <w:rPr>
          <w:rFonts w:hint="eastAsia" w:ascii="宋体" w:hAnsi="宋体" w:cs="宋体"/>
          <w:b/>
          <w:bCs/>
          <w:sz w:val="24"/>
        </w:rPr>
        <w:t>基本情况表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5"/>
        <w:gridCol w:w="969"/>
        <w:gridCol w:w="1103"/>
        <w:gridCol w:w="1073"/>
        <w:gridCol w:w="306"/>
        <w:gridCol w:w="212"/>
        <w:gridCol w:w="1348"/>
        <w:gridCol w:w="281"/>
        <w:gridCol w:w="767"/>
        <w:gridCol w:w="1535"/>
      </w:tblGrid>
      <w:tr w14:paraId="35CA8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0966FB7">
            <w:pPr>
              <w:spacing w:line="360" w:lineRule="auto"/>
              <w:jc w:val="center"/>
              <w:rPr>
                <w:rFonts w:ascii="宋体" w:hAnsi="宋体" w:cs="宋体"/>
                <w:sz w:val="24"/>
              </w:rPr>
            </w:pPr>
            <w:r>
              <w:rPr>
                <w:rFonts w:hint="eastAsia" w:ascii="宋体" w:hAnsi="宋体" w:cs="宋体"/>
                <w:sz w:val="24"/>
                <w:lang w:val="en-US" w:eastAsia="zh-CN"/>
              </w:rPr>
              <w:t>供应商</w:t>
            </w:r>
            <w:r>
              <w:rPr>
                <w:rFonts w:hint="eastAsia" w:ascii="宋体" w:hAnsi="宋体" w:cs="宋体"/>
                <w:sz w:val="24"/>
              </w:rPr>
              <w:t>名称</w:t>
            </w:r>
          </w:p>
        </w:tc>
        <w:tc>
          <w:tcPr>
            <w:tcW w:w="7594" w:type="dxa"/>
            <w:gridSpan w:val="9"/>
            <w:tcBorders>
              <w:top w:val="single" w:color="auto" w:sz="4" w:space="0"/>
              <w:left w:val="nil"/>
              <w:bottom w:val="single" w:color="auto" w:sz="4" w:space="0"/>
              <w:right w:val="single" w:color="auto" w:sz="4" w:space="0"/>
            </w:tcBorders>
            <w:vAlign w:val="center"/>
          </w:tcPr>
          <w:p w14:paraId="29951ECB">
            <w:pPr>
              <w:spacing w:line="360" w:lineRule="auto"/>
              <w:jc w:val="center"/>
              <w:rPr>
                <w:rFonts w:ascii="宋体" w:hAnsi="宋体" w:cs="宋体"/>
                <w:sz w:val="24"/>
              </w:rPr>
            </w:pPr>
          </w:p>
        </w:tc>
      </w:tr>
      <w:tr w14:paraId="1EA9BC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3AEEEAC">
            <w:pPr>
              <w:spacing w:line="360" w:lineRule="auto"/>
              <w:jc w:val="center"/>
              <w:rPr>
                <w:rFonts w:ascii="宋体" w:hAnsi="宋体" w:cs="宋体"/>
                <w:sz w:val="24"/>
              </w:rPr>
            </w:pPr>
            <w:r>
              <w:rPr>
                <w:rFonts w:hint="eastAsia" w:ascii="宋体" w:hAnsi="宋体" w:cs="宋体"/>
                <w:sz w:val="24"/>
              </w:rPr>
              <w:t>注册地址</w:t>
            </w:r>
          </w:p>
        </w:tc>
        <w:tc>
          <w:tcPr>
            <w:tcW w:w="3663" w:type="dxa"/>
            <w:gridSpan w:val="5"/>
            <w:tcBorders>
              <w:top w:val="single" w:color="auto" w:sz="4" w:space="0"/>
              <w:left w:val="nil"/>
              <w:bottom w:val="single" w:color="auto" w:sz="4" w:space="0"/>
              <w:right w:val="single" w:color="auto" w:sz="4" w:space="0"/>
            </w:tcBorders>
            <w:vAlign w:val="center"/>
          </w:tcPr>
          <w:p w14:paraId="39E8CD93">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0030DC65">
            <w:pPr>
              <w:spacing w:line="360" w:lineRule="auto"/>
              <w:jc w:val="center"/>
              <w:rPr>
                <w:rFonts w:ascii="宋体" w:hAnsi="宋体" w:cs="宋体"/>
                <w:sz w:val="24"/>
              </w:rPr>
            </w:pPr>
            <w:r>
              <w:rPr>
                <w:rFonts w:hint="eastAsia" w:ascii="宋体" w:hAnsi="宋体" w:cs="宋体"/>
                <w:sz w:val="24"/>
              </w:rPr>
              <w:t>邮政编码</w:t>
            </w:r>
          </w:p>
        </w:tc>
        <w:tc>
          <w:tcPr>
            <w:tcW w:w="2583" w:type="dxa"/>
            <w:gridSpan w:val="3"/>
            <w:tcBorders>
              <w:top w:val="single" w:color="auto" w:sz="4" w:space="0"/>
              <w:left w:val="nil"/>
              <w:bottom w:val="single" w:color="auto" w:sz="4" w:space="0"/>
              <w:right w:val="single" w:color="auto" w:sz="4" w:space="0"/>
            </w:tcBorders>
            <w:vAlign w:val="center"/>
          </w:tcPr>
          <w:p w14:paraId="3523A5B6">
            <w:pPr>
              <w:spacing w:line="360" w:lineRule="auto"/>
              <w:jc w:val="center"/>
              <w:rPr>
                <w:rFonts w:ascii="宋体" w:hAnsi="宋体" w:cs="宋体"/>
                <w:sz w:val="24"/>
              </w:rPr>
            </w:pPr>
          </w:p>
        </w:tc>
      </w:tr>
      <w:tr w14:paraId="7AEAC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1605" w:type="dxa"/>
            <w:vMerge w:val="restart"/>
            <w:tcBorders>
              <w:top w:val="nil"/>
              <w:left w:val="single" w:color="auto" w:sz="4" w:space="0"/>
              <w:bottom w:val="single" w:color="auto" w:sz="4" w:space="0"/>
              <w:right w:val="single" w:color="auto" w:sz="4" w:space="0"/>
            </w:tcBorders>
            <w:vAlign w:val="center"/>
          </w:tcPr>
          <w:p w14:paraId="1B1A9502">
            <w:pPr>
              <w:spacing w:line="360" w:lineRule="auto"/>
              <w:jc w:val="center"/>
              <w:rPr>
                <w:rFonts w:ascii="宋体" w:hAnsi="宋体" w:cs="宋体"/>
                <w:sz w:val="24"/>
              </w:rPr>
            </w:pPr>
            <w:r>
              <w:rPr>
                <w:rFonts w:hint="eastAsia" w:ascii="宋体" w:hAnsi="宋体" w:cs="宋体"/>
                <w:sz w:val="24"/>
              </w:rPr>
              <w:t>联系方式</w:t>
            </w:r>
          </w:p>
        </w:tc>
        <w:tc>
          <w:tcPr>
            <w:tcW w:w="969" w:type="dxa"/>
            <w:tcBorders>
              <w:top w:val="single" w:color="auto" w:sz="4" w:space="0"/>
              <w:left w:val="nil"/>
              <w:bottom w:val="single" w:color="auto" w:sz="4" w:space="0"/>
              <w:right w:val="single" w:color="auto" w:sz="4" w:space="0"/>
            </w:tcBorders>
            <w:vAlign w:val="center"/>
          </w:tcPr>
          <w:p w14:paraId="5F667457">
            <w:pPr>
              <w:spacing w:line="360" w:lineRule="auto"/>
              <w:jc w:val="center"/>
              <w:rPr>
                <w:rFonts w:ascii="宋体" w:hAnsi="宋体" w:cs="宋体"/>
                <w:sz w:val="24"/>
              </w:rPr>
            </w:pPr>
            <w:r>
              <w:rPr>
                <w:rFonts w:hint="eastAsia" w:ascii="宋体" w:hAnsi="宋体" w:cs="宋体"/>
                <w:sz w:val="24"/>
              </w:rPr>
              <w:t>联系人</w:t>
            </w:r>
          </w:p>
        </w:tc>
        <w:tc>
          <w:tcPr>
            <w:tcW w:w="2694" w:type="dxa"/>
            <w:gridSpan w:val="4"/>
            <w:tcBorders>
              <w:top w:val="single" w:color="auto" w:sz="4" w:space="0"/>
              <w:left w:val="nil"/>
              <w:bottom w:val="single" w:color="auto" w:sz="4" w:space="0"/>
              <w:right w:val="single" w:color="auto" w:sz="4" w:space="0"/>
            </w:tcBorders>
            <w:vAlign w:val="center"/>
          </w:tcPr>
          <w:p w14:paraId="0816618F">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35A9231A">
            <w:pPr>
              <w:spacing w:line="360" w:lineRule="auto"/>
              <w:jc w:val="center"/>
              <w:rPr>
                <w:rFonts w:ascii="宋体" w:hAnsi="宋体" w:cs="宋体"/>
                <w:sz w:val="24"/>
              </w:rPr>
            </w:pPr>
            <w:r>
              <w:rPr>
                <w:rFonts w:hint="eastAsia" w:ascii="宋体" w:hAnsi="宋体" w:cs="宋体"/>
                <w:sz w:val="24"/>
              </w:rPr>
              <w:t>电  话</w:t>
            </w:r>
          </w:p>
        </w:tc>
        <w:tc>
          <w:tcPr>
            <w:tcW w:w="2583" w:type="dxa"/>
            <w:gridSpan w:val="3"/>
            <w:tcBorders>
              <w:top w:val="single" w:color="auto" w:sz="4" w:space="0"/>
              <w:left w:val="nil"/>
              <w:bottom w:val="single" w:color="auto" w:sz="4" w:space="0"/>
              <w:right w:val="single" w:color="auto" w:sz="4" w:space="0"/>
            </w:tcBorders>
            <w:vAlign w:val="center"/>
          </w:tcPr>
          <w:p w14:paraId="0298C214">
            <w:pPr>
              <w:spacing w:line="360" w:lineRule="auto"/>
              <w:jc w:val="center"/>
              <w:rPr>
                <w:rFonts w:ascii="宋体" w:hAnsi="宋体" w:cs="宋体"/>
                <w:sz w:val="24"/>
              </w:rPr>
            </w:pPr>
          </w:p>
        </w:tc>
      </w:tr>
      <w:tr w14:paraId="49FE8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center"/>
        </w:trPr>
        <w:tc>
          <w:tcPr>
            <w:tcW w:w="1605" w:type="dxa"/>
            <w:vMerge w:val="continue"/>
            <w:tcBorders>
              <w:top w:val="nil"/>
              <w:left w:val="single" w:color="auto" w:sz="4" w:space="0"/>
              <w:bottom w:val="single" w:color="auto" w:sz="4" w:space="0"/>
              <w:right w:val="single" w:color="auto" w:sz="4" w:space="0"/>
            </w:tcBorders>
            <w:vAlign w:val="center"/>
          </w:tcPr>
          <w:p w14:paraId="1FB2607F">
            <w:pPr>
              <w:spacing w:line="360" w:lineRule="auto"/>
              <w:rPr>
                <w:rFonts w:ascii="宋体" w:hAnsi="宋体" w:cs="宋体"/>
                <w:sz w:val="24"/>
              </w:rPr>
            </w:pPr>
          </w:p>
        </w:tc>
        <w:tc>
          <w:tcPr>
            <w:tcW w:w="969" w:type="dxa"/>
            <w:tcBorders>
              <w:top w:val="single" w:color="auto" w:sz="4" w:space="0"/>
              <w:left w:val="nil"/>
              <w:bottom w:val="single" w:color="auto" w:sz="4" w:space="0"/>
              <w:right w:val="single" w:color="auto" w:sz="4" w:space="0"/>
            </w:tcBorders>
            <w:vAlign w:val="center"/>
          </w:tcPr>
          <w:p w14:paraId="32A3DA3C">
            <w:pPr>
              <w:spacing w:line="360" w:lineRule="auto"/>
              <w:jc w:val="center"/>
              <w:rPr>
                <w:rFonts w:ascii="宋体" w:hAnsi="宋体" w:cs="宋体"/>
                <w:sz w:val="24"/>
              </w:rPr>
            </w:pPr>
            <w:r>
              <w:rPr>
                <w:rFonts w:hint="eastAsia" w:ascii="宋体" w:hAnsi="宋体" w:cs="宋体"/>
                <w:sz w:val="24"/>
              </w:rPr>
              <w:t>传  真</w:t>
            </w:r>
          </w:p>
        </w:tc>
        <w:tc>
          <w:tcPr>
            <w:tcW w:w="2694" w:type="dxa"/>
            <w:gridSpan w:val="4"/>
            <w:tcBorders>
              <w:top w:val="single" w:color="auto" w:sz="4" w:space="0"/>
              <w:left w:val="nil"/>
              <w:bottom w:val="single" w:color="auto" w:sz="4" w:space="0"/>
              <w:right w:val="single" w:color="auto" w:sz="4" w:space="0"/>
            </w:tcBorders>
            <w:vAlign w:val="center"/>
          </w:tcPr>
          <w:p w14:paraId="242D2E6C">
            <w:pPr>
              <w:spacing w:line="360" w:lineRule="auto"/>
              <w:jc w:val="center"/>
              <w:rPr>
                <w:rFonts w:ascii="宋体" w:hAnsi="宋体" w:cs="宋体"/>
                <w:sz w:val="24"/>
              </w:rPr>
            </w:pPr>
          </w:p>
        </w:tc>
        <w:tc>
          <w:tcPr>
            <w:tcW w:w="1348" w:type="dxa"/>
            <w:tcBorders>
              <w:top w:val="single" w:color="auto" w:sz="4" w:space="0"/>
              <w:left w:val="nil"/>
              <w:bottom w:val="single" w:color="auto" w:sz="4" w:space="0"/>
              <w:right w:val="single" w:color="auto" w:sz="4" w:space="0"/>
            </w:tcBorders>
            <w:vAlign w:val="center"/>
          </w:tcPr>
          <w:p w14:paraId="5075A3F9">
            <w:pPr>
              <w:spacing w:line="360" w:lineRule="auto"/>
              <w:jc w:val="center"/>
              <w:rPr>
                <w:rFonts w:ascii="宋体" w:hAnsi="宋体" w:cs="宋体"/>
                <w:sz w:val="24"/>
              </w:rPr>
            </w:pPr>
            <w:r>
              <w:rPr>
                <w:rFonts w:hint="eastAsia" w:ascii="宋体" w:hAnsi="宋体" w:cs="宋体"/>
                <w:sz w:val="24"/>
              </w:rPr>
              <w:t>网  址</w:t>
            </w:r>
          </w:p>
        </w:tc>
        <w:tc>
          <w:tcPr>
            <w:tcW w:w="2583" w:type="dxa"/>
            <w:gridSpan w:val="3"/>
            <w:tcBorders>
              <w:top w:val="single" w:color="auto" w:sz="4" w:space="0"/>
              <w:left w:val="nil"/>
              <w:bottom w:val="single" w:color="auto" w:sz="4" w:space="0"/>
              <w:right w:val="single" w:color="auto" w:sz="4" w:space="0"/>
            </w:tcBorders>
            <w:vAlign w:val="center"/>
          </w:tcPr>
          <w:p w14:paraId="48958205">
            <w:pPr>
              <w:spacing w:line="360" w:lineRule="auto"/>
              <w:jc w:val="center"/>
              <w:rPr>
                <w:rFonts w:ascii="宋体" w:hAnsi="宋体" w:cs="宋体"/>
                <w:sz w:val="24"/>
              </w:rPr>
            </w:pPr>
          </w:p>
        </w:tc>
      </w:tr>
      <w:tr w14:paraId="198E9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1A97EDBE">
            <w:pPr>
              <w:spacing w:line="360" w:lineRule="auto"/>
              <w:jc w:val="center"/>
              <w:rPr>
                <w:rFonts w:ascii="宋体" w:hAnsi="宋体" w:cs="宋体"/>
                <w:sz w:val="24"/>
              </w:rPr>
            </w:pPr>
            <w:r>
              <w:rPr>
                <w:rFonts w:hint="eastAsia" w:ascii="宋体" w:hAnsi="宋体" w:cs="宋体"/>
                <w:sz w:val="24"/>
              </w:rPr>
              <w:t>组织机构</w:t>
            </w:r>
          </w:p>
        </w:tc>
        <w:tc>
          <w:tcPr>
            <w:tcW w:w="7594" w:type="dxa"/>
            <w:gridSpan w:val="9"/>
            <w:tcBorders>
              <w:top w:val="single" w:color="auto" w:sz="4" w:space="0"/>
              <w:left w:val="nil"/>
              <w:bottom w:val="single" w:color="auto" w:sz="4" w:space="0"/>
              <w:right w:val="single" w:color="auto" w:sz="4" w:space="0"/>
            </w:tcBorders>
            <w:vAlign w:val="center"/>
          </w:tcPr>
          <w:p w14:paraId="3F53FA60">
            <w:pPr>
              <w:spacing w:line="360" w:lineRule="auto"/>
              <w:jc w:val="center"/>
              <w:rPr>
                <w:rFonts w:ascii="宋体" w:hAnsi="宋体" w:cs="宋体"/>
                <w:sz w:val="24"/>
              </w:rPr>
            </w:pPr>
          </w:p>
        </w:tc>
      </w:tr>
      <w:tr w14:paraId="4773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088283">
            <w:pPr>
              <w:spacing w:line="360" w:lineRule="auto"/>
              <w:jc w:val="center"/>
              <w:rPr>
                <w:rFonts w:ascii="宋体" w:hAnsi="宋体" w:cs="宋体"/>
                <w:sz w:val="24"/>
              </w:rPr>
            </w:pPr>
            <w:r>
              <w:rPr>
                <w:rFonts w:hint="eastAsia" w:ascii="宋体" w:hAnsi="宋体" w:cs="宋体"/>
                <w:sz w:val="24"/>
              </w:rPr>
              <w:t>法定代表人</w:t>
            </w:r>
          </w:p>
        </w:tc>
        <w:tc>
          <w:tcPr>
            <w:tcW w:w="969" w:type="dxa"/>
            <w:tcBorders>
              <w:top w:val="single" w:color="auto" w:sz="4" w:space="0"/>
              <w:left w:val="nil"/>
              <w:bottom w:val="single" w:color="auto" w:sz="4" w:space="0"/>
              <w:right w:val="single" w:color="auto" w:sz="4" w:space="0"/>
            </w:tcBorders>
            <w:vAlign w:val="center"/>
          </w:tcPr>
          <w:p w14:paraId="0596096C">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0FF280F">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5633D8D7">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08E8DD3F">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48462442">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2F592553">
            <w:pPr>
              <w:spacing w:line="360" w:lineRule="auto"/>
              <w:jc w:val="center"/>
              <w:rPr>
                <w:rFonts w:ascii="宋体" w:hAnsi="宋体" w:cs="宋体"/>
                <w:sz w:val="24"/>
              </w:rPr>
            </w:pPr>
          </w:p>
        </w:tc>
      </w:tr>
      <w:tr w14:paraId="7ED874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B24AF7E">
            <w:pPr>
              <w:spacing w:line="360" w:lineRule="auto"/>
              <w:jc w:val="center"/>
              <w:rPr>
                <w:rFonts w:ascii="宋体" w:hAnsi="宋体" w:cs="宋体"/>
                <w:sz w:val="24"/>
              </w:rPr>
            </w:pPr>
            <w:r>
              <w:rPr>
                <w:rFonts w:hint="eastAsia" w:ascii="宋体" w:hAnsi="宋体" w:cs="宋体"/>
                <w:sz w:val="24"/>
              </w:rPr>
              <w:t>技术负责人</w:t>
            </w:r>
          </w:p>
        </w:tc>
        <w:tc>
          <w:tcPr>
            <w:tcW w:w="969" w:type="dxa"/>
            <w:tcBorders>
              <w:top w:val="single" w:color="auto" w:sz="4" w:space="0"/>
              <w:left w:val="nil"/>
              <w:bottom w:val="single" w:color="auto" w:sz="4" w:space="0"/>
              <w:right w:val="single" w:color="auto" w:sz="4" w:space="0"/>
            </w:tcBorders>
            <w:vAlign w:val="center"/>
          </w:tcPr>
          <w:p w14:paraId="5C24929E">
            <w:pPr>
              <w:spacing w:line="360" w:lineRule="auto"/>
              <w:jc w:val="center"/>
              <w:rPr>
                <w:rFonts w:ascii="宋体" w:hAnsi="宋体" w:cs="宋体"/>
                <w:sz w:val="24"/>
              </w:rPr>
            </w:pPr>
            <w:r>
              <w:rPr>
                <w:rFonts w:hint="eastAsia" w:ascii="宋体" w:hAnsi="宋体" w:cs="宋体"/>
                <w:sz w:val="24"/>
              </w:rPr>
              <w:t>姓名</w:t>
            </w:r>
          </w:p>
        </w:tc>
        <w:tc>
          <w:tcPr>
            <w:tcW w:w="1103" w:type="dxa"/>
            <w:tcBorders>
              <w:top w:val="single" w:color="auto" w:sz="4" w:space="0"/>
              <w:left w:val="nil"/>
              <w:bottom w:val="single" w:color="auto" w:sz="4" w:space="0"/>
              <w:right w:val="single" w:color="auto" w:sz="4" w:space="0"/>
            </w:tcBorders>
            <w:vAlign w:val="center"/>
          </w:tcPr>
          <w:p w14:paraId="53256E67">
            <w:pPr>
              <w:spacing w:line="360" w:lineRule="auto"/>
              <w:jc w:val="center"/>
              <w:rPr>
                <w:rFonts w:ascii="宋体" w:hAnsi="宋体" w:cs="宋体"/>
                <w:sz w:val="24"/>
              </w:rPr>
            </w:pPr>
          </w:p>
        </w:tc>
        <w:tc>
          <w:tcPr>
            <w:tcW w:w="1379" w:type="dxa"/>
            <w:gridSpan w:val="2"/>
            <w:tcBorders>
              <w:top w:val="single" w:color="auto" w:sz="4" w:space="0"/>
              <w:left w:val="nil"/>
              <w:bottom w:val="single" w:color="auto" w:sz="4" w:space="0"/>
              <w:right w:val="single" w:color="auto" w:sz="4" w:space="0"/>
            </w:tcBorders>
            <w:vAlign w:val="center"/>
          </w:tcPr>
          <w:p w14:paraId="608C7F6F">
            <w:pPr>
              <w:spacing w:line="360" w:lineRule="auto"/>
              <w:jc w:val="center"/>
              <w:rPr>
                <w:rFonts w:ascii="宋体" w:hAnsi="宋体" w:cs="宋体"/>
                <w:sz w:val="24"/>
              </w:rPr>
            </w:pPr>
            <w:r>
              <w:rPr>
                <w:rFonts w:hint="eastAsia" w:ascii="宋体" w:hAnsi="宋体" w:cs="宋体"/>
                <w:sz w:val="24"/>
              </w:rPr>
              <w:t>技术职称</w:t>
            </w:r>
          </w:p>
        </w:tc>
        <w:tc>
          <w:tcPr>
            <w:tcW w:w="1841" w:type="dxa"/>
            <w:gridSpan w:val="3"/>
            <w:tcBorders>
              <w:top w:val="single" w:color="auto" w:sz="4" w:space="0"/>
              <w:left w:val="nil"/>
              <w:bottom w:val="single" w:color="auto" w:sz="4" w:space="0"/>
              <w:right w:val="single" w:color="auto" w:sz="4" w:space="0"/>
            </w:tcBorders>
            <w:vAlign w:val="center"/>
          </w:tcPr>
          <w:p w14:paraId="3AC3C505">
            <w:pPr>
              <w:spacing w:line="360" w:lineRule="auto"/>
              <w:jc w:val="center"/>
              <w:rPr>
                <w:rFonts w:ascii="宋体" w:hAnsi="宋体" w:cs="宋体"/>
                <w:sz w:val="24"/>
              </w:rPr>
            </w:pPr>
          </w:p>
        </w:tc>
        <w:tc>
          <w:tcPr>
            <w:tcW w:w="767" w:type="dxa"/>
            <w:tcBorders>
              <w:top w:val="single" w:color="auto" w:sz="4" w:space="0"/>
              <w:left w:val="nil"/>
              <w:bottom w:val="single" w:color="auto" w:sz="4" w:space="0"/>
              <w:right w:val="single" w:color="auto" w:sz="4" w:space="0"/>
            </w:tcBorders>
            <w:vAlign w:val="center"/>
          </w:tcPr>
          <w:p w14:paraId="3FD2A8C7">
            <w:pPr>
              <w:spacing w:line="360" w:lineRule="auto"/>
              <w:jc w:val="center"/>
              <w:rPr>
                <w:rFonts w:ascii="宋体" w:hAnsi="宋体" w:cs="宋体"/>
                <w:sz w:val="24"/>
              </w:rPr>
            </w:pPr>
            <w:r>
              <w:rPr>
                <w:rFonts w:hint="eastAsia" w:ascii="宋体" w:hAnsi="宋体" w:cs="宋体"/>
                <w:sz w:val="24"/>
              </w:rPr>
              <w:t>电话</w:t>
            </w:r>
          </w:p>
        </w:tc>
        <w:tc>
          <w:tcPr>
            <w:tcW w:w="1535" w:type="dxa"/>
            <w:tcBorders>
              <w:top w:val="single" w:color="auto" w:sz="4" w:space="0"/>
              <w:left w:val="nil"/>
              <w:bottom w:val="single" w:color="auto" w:sz="4" w:space="0"/>
              <w:right w:val="single" w:color="auto" w:sz="4" w:space="0"/>
            </w:tcBorders>
            <w:vAlign w:val="center"/>
          </w:tcPr>
          <w:p w14:paraId="0D958798">
            <w:pPr>
              <w:spacing w:line="360" w:lineRule="auto"/>
              <w:jc w:val="center"/>
              <w:rPr>
                <w:rFonts w:ascii="宋体" w:hAnsi="宋体" w:cs="宋体"/>
                <w:sz w:val="24"/>
              </w:rPr>
            </w:pPr>
          </w:p>
        </w:tc>
      </w:tr>
      <w:tr w14:paraId="6C247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EDCA2E">
            <w:pPr>
              <w:spacing w:line="360" w:lineRule="auto"/>
              <w:jc w:val="center"/>
              <w:rPr>
                <w:rFonts w:ascii="宋体" w:hAnsi="宋体" w:cs="宋体"/>
                <w:sz w:val="24"/>
              </w:rPr>
            </w:pPr>
            <w:r>
              <w:rPr>
                <w:rFonts w:hint="eastAsia" w:ascii="宋体" w:hAnsi="宋体" w:cs="宋体"/>
                <w:sz w:val="24"/>
              </w:rPr>
              <w:t>成立时间</w:t>
            </w:r>
          </w:p>
        </w:tc>
        <w:tc>
          <w:tcPr>
            <w:tcW w:w="2072" w:type="dxa"/>
            <w:gridSpan w:val="2"/>
            <w:tcBorders>
              <w:top w:val="single" w:color="auto" w:sz="4" w:space="0"/>
              <w:left w:val="nil"/>
              <w:bottom w:val="single" w:color="auto" w:sz="4" w:space="0"/>
              <w:right w:val="single" w:color="auto" w:sz="4" w:space="0"/>
            </w:tcBorders>
            <w:vAlign w:val="center"/>
          </w:tcPr>
          <w:p w14:paraId="093DB2FF">
            <w:pPr>
              <w:spacing w:line="360" w:lineRule="auto"/>
              <w:jc w:val="center"/>
              <w:rPr>
                <w:rFonts w:ascii="宋体" w:hAnsi="宋体" w:cs="宋体"/>
                <w:sz w:val="24"/>
              </w:rPr>
            </w:pPr>
          </w:p>
        </w:tc>
        <w:tc>
          <w:tcPr>
            <w:tcW w:w="5522" w:type="dxa"/>
            <w:gridSpan w:val="7"/>
            <w:tcBorders>
              <w:top w:val="single" w:color="auto" w:sz="4" w:space="0"/>
              <w:left w:val="nil"/>
              <w:bottom w:val="single" w:color="auto" w:sz="4" w:space="0"/>
              <w:right w:val="single" w:color="auto" w:sz="4" w:space="0"/>
            </w:tcBorders>
            <w:vAlign w:val="center"/>
          </w:tcPr>
          <w:p w14:paraId="1554785B">
            <w:pPr>
              <w:spacing w:line="360" w:lineRule="auto"/>
              <w:jc w:val="center"/>
              <w:rPr>
                <w:rFonts w:ascii="宋体" w:hAnsi="宋体" w:cs="宋体"/>
                <w:sz w:val="24"/>
              </w:rPr>
            </w:pPr>
            <w:r>
              <w:rPr>
                <w:rFonts w:hint="eastAsia" w:ascii="宋体" w:hAnsi="宋体" w:cs="宋体"/>
                <w:sz w:val="24"/>
              </w:rPr>
              <w:t>员工总人数：</w:t>
            </w:r>
          </w:p>
        </w:tc>
      </w:tr>
      <w:tr w14:paraId="1DE8B9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1"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5EA8CEB7">
            <w:pPr>
              <w:spacing w:line="360" w:lineRule="auto"/>
              <w:jc w:val="center"/>
              <w:rPr>
                <w:rFonts w:ascii="宋体" w:hAnsi="宋体" w:cs="宋体"/>
                <w:sz w:val="24"/>
              </w:rPr>
            </w:pPr>
            <w:r>
              <w:rPr>
                <w:rFonts w:hint="eastAsia" w:ascii="宋体" w:hAnsi="宋体" w:cs="宋体"/>
                <w:sz w:val="24"/>
              </w:rPr>
              <w:t>企业资质等级</w:t>
            </w:r>
          </w:p>
        </w:tc>
        <w:tc>
          <w:tcPr>
            <w:tcW w:w="969" w:type="dxa"/>
            <w:tcBorders>
              <w:top w:val="single" w:color="auto" w:sz="4" w:space="0"/>
              <w:left w:val="nil"/>
              <w:bottom w:val="single" w:color="auto" w:sz="4" w:space="0"/>
              <w:right w:val="single" w:color="auto" w:sz="4" w:space="0"/>
            </w:tcBorders>
            <w:vAlign w:val="center"/>
          </w:tcPr>
          <w:p w14:paraId="372C92DE">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1125949F">
            <w:pPr>
              <w:spacing w:line="360" w:lineRule="auto"/>
              <w:jc w:val="center"/>
              <w:rPr>
                <w:rFonts w:ascii="宋体" w:hAnsi="宋体" w:cs="宋体"/>
                <w:sz w:val="24"/>
              </w:rPr>
            </w:pPr>
          </w:p>
        </w:tc>
        <w:tc>
          <w:tcPr>
            <w:tcW w:w="1073" w:type="dxa"/>
            <w:vMerge w:val="restart"/>
            <w:tcBorders>
              <w:top w:val="single" w:color="auto" w:sz="4" w:space="0"/>
              <w:left w:val="nil"/>
              <w:bottom w:val="single" w:color="auto" w:sz="4" w:space="0"/>
              <w:right w:val="single" w:color="auto" w:sz="4" w:space="0"/>
            </w:tcBorders>
            <w:vAlign w:val="center"/>
          </w:tcPr>
          <w:p w14:paraId="6FE7D24A">
            <w:pPr>
              <w:spacing w:line="360" w:lineRule="auto"/>
              <w:jc w:val="center"/>
              <w:rPr>
                <w:rFonts w:ascii="宋体" w:hAnsi="宋体" w:cs="宋体"/>
                <w:sz w:val="24"/>
              </w:rPr>
            </w:pPr>
            <w:r>
              <w:rPr>
                <w:rFonts w:hint="eastAsia" w:ascii="宋体" w:hAnsi="宋体" w:cs="宋体"/>
                <w:sz w:val="24"/>
              </w:rPr>
              <w:t>其中</w:t>
            </w:r>
          </w:p>
        </w:tc>
        <w:tc>
          <w:tcPr>
            <w:tcW w:w="2147" w:type="dxa"/>
            <w:gridSpan w:val="4"/>
            <w:tcBorders>
              <w:top w:val="single" w:color="auto" w:sz="4" w:space="0"/>
              <w:left w:val="nil"/>
              <w:bottom w:val="single" w:color="auto" w:sz="4" w:space="0"/>
              <w:right w:val="single" w:color="auto" w:sz="4" w:space="0"/>
            </w:tcBorders>
            <w:vAlign w:val="center"/>
          </w:tcPr>
          <w:p w14:paraId="499F84B5">
            <w:pPr>
              <w:spacing w:line="360" w:lineRule="auto"/>
              <w:jc w:val="center"/>
              <w:rPr>
                <w:rFonts w:ascii="宋体" w:hAnsi="宋体" w:cs="宋体"/>
                <w:sz w:val="24"/>
              </w:rPr>
            </w:pPr>
            <w:r>
              <w:rPr>
                <w:rFonts w:hint="eastAsia" w:ascii="宋体" w:hAnsi="宋体" w:cs="宋体"/>
                <w:sz w:val="24"/>
              </w:rPr>
              <w:t>项目经理</w:t>
            </w:r>
          </w:p>
        </w:tc>
        <w:tc>
          <w:tcPr>
            <w:tcW w:w="2302" w:type="dxa"/>
            <w:gridSpan w:val="2"/>
            <w:tcBorders>
              <w:top w:val="single" w:color="auto" w:sz="4" w:space="0"/>
              <w:left w:val="nil"/>
              <w:bottom w:val="single" w:color="auto" w:sz="4" w:space="0"/>
              <w:right w:val="single" w:color="auto" w:sz="4" w:space="0"/>
            </w:tcBorders>
            <w:vAlign w:val="center"/>
          </w:tcPr>
          <w:p w14:paraId="3F043001">
            <w:pPr>
              <w:spacing w:line="360" w:lineRule="auto"/>
              <w:jc w:val="center"/>
              <w:rPr>
                <w:rFonts w:ascii="宋体" w:hAnsi="宋体" w:cs="宋体"/>
                <w:sz w:val="24"/>
              </w:rPr>
            </w:pPr>
          </w:p>
        </w:tc>
      </w:tr>
      <w:tr w14:paraId="51727A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3F033426">
            <w:pPr>
              <w:spacing w:line="360" w:lineRule="auto"/>
              <w:jc w:val="center"/>
              <w:rPr>
                <w:rFonts w:ascii="宋体" w:hAnsi="宋体" w:cs="宋体"/>
                <w:sz w:val="24"/>
              </w:rPr>
            </w:pPr>
            <w:r>
              <w:rPr>
                <w:rFonts w:hint="eastAsia" w:ascii="宋体" w:hAnsi="宋体" w:cs="宋体"/>
                <w:sz w:val="24"/>
              </w:rPr>
              <w:t>营业执照号</w:t>
            </w:r>
          </w:p>
        </w:tc>
        <w:tc>
          <w:tcPr>
            <w:tcW w:w="969" w:type="dxa"/>
            <w:tcBorders>
              <w:top w:val="single" w:color="auto" w:sz="4" w:space="0"/>
              <w:left w:val="nil"/>
              <w:bottom w:val="single" w:color="auto" w:sz="4" w:space="0"/>
              <w:right w:val="single" w:color="auto" w:sz="4" w:space="0"/>
            </w:tcBorders>
            <w:vAlign w:val="center"/>
          </w:tcPr>
          <w:p w14:paraId="75164A16">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0EBE216">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12D4A78F">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31596434">
            <w:pPr>
              <w:spacing w:line="360" w:lineRule="auto"/>
              <w:jc w:val="center"/>
              <w:rPr>
                <w:rFonts w:ascii="宋体" w:hAnsi="宋体" w:cs="宋体"/>
                <w:sz w:val="24"/>
              </w:rPr>
            </w:pPr>
            <w:r>
              <w:rPr>
                <w:rFonts w:hint="eastAsia" w:ascii="宋体" w:hAnsi="宋体" w:cs="宋体"/>
                <w:sz w:val="24"/>
              </w:rPr>
              <w:t>高级职称人员</w:t>
            </w:r>
          </w:p>
        </w:tc>
        <w:tc>
          <w:tcPr>
            <w:tcW w:w="2302" w:type="dxa"/>
            <w:gridSpan w:val="2"/>
            <w:tcBorders>
              <w:top w:val="single" w:color="auto" w:sz="4" w:space="0"/>
              <w:left w:val="nil"/>
              <w:bottom w:val="single" w:color="auto" w:sz="4" w:space="0"/>
              <w:right w:val="single" w:color="auto" w:sz="4" w:space="0"/>
            </w:tcBorders>
            <w:vAlign w:val="center"/>
          </w:tcPr>
          <w:p w14:paraId="731DA645">
            <w:pPr>
              <w:spacing w:line="360" w:lineRule="auto"/>
              <w:jc w:val="center"/>
              <w:rPr>
                <w:rFonts w:ascii="宋体" w:hAnsi="宋体" w:cs="宋体"/>
                <w:sz w:val="24"/>
              </w:rPr>
            </w:pPr>
          </w:p>
        </w:tc>
      </w:tr>
      <w:tr w14:paraId="044D6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204A5C5B">
            <w:pPr>
              <w:spacing w:line="360" w:lineRule="auto"/>
              <w:jc w:val="center"/>
              <w:rPr>
                <w:rFonts w:ascii="宋体" w:hAnsi="宋体" w:cs="宋体"/>
                <w:sz w:val="24"/>
              </w:rPr>
            </w:pPr>
            <w:r>
              <w:rPr>
                <w:rFonts w:hint="eastAsia" w:ascii="宋体" w:hAnsi="宋体" w:cs="宋体"/>
                <w:sz w:val="24"/>
              </w:rPr>
              <w:t>注册资金</w:t>
            </w:r>
          </w:p>
        </w:tc>
        <w:tc>
          <w:tcPr>
            <w:tcW w:w="969" w:type="dxa"/>
            <w:tcBorders>
              <w:top w:val="single" w:color="auto" w:sz="4" w:space="0"/>
              <w:left w:val="nil"/>
              <w:bottom w:val="single" w:color="auto" w:sz="4" w:space="0"/>
              <w:right w:val="single" w:color="auto" w:sz="4" w:space="0"/>
            </w:tcBorders>
            <w:vAlign w:val="center"/>
          </w:tcPr>
          <w:p w14:paraId="13859652">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7EBB6BAA">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7495C3E7">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45089397">
            <w:pPr>
              <w:spacing w:line="360" w:lineRule="auto"/>
              <w:jc w:val="center"/>
              <w:rPr>
                <w:rFonts w:ascii="宋体" w:hAnsi="宋体" w:cs="宋体"/>
                <w:sz w:val="24"/>
              </w:rPr>
            </w:pPr>
            <w:r>
              <w:rPr>
                <w:rFonts w:hint="eastAsia" w:ascii="宋体" w:hAnsi="宋体" w:cs="宋体"/>
                <w:sz w:val="24"/>
              </w:rPr>
              <w:t>中级职称人员</w:t>
            </w:r>
          </w:p>
        </w:tc>
        <w:tc>
          <w:tcPr>
            <w:tcW w:w="2302" w:type="dxa"/>
            <w:gridSpan w:val="2"/>
            <w:tcBorders>
              <w:top w:val="single" w:color="auto" w:sz="4" w:space="0"/>
              <w:left w:val="nil"/>
              <w:bottom w:val="single" w:color="auto" w:sz="4" w:space="0"/>
              <w:right w:val="single" w:color="auto" w:sz="4" w:space="0"/>
            </w:tcBorders>
            <w:vAlign w:val="center"/>
          </w:tcPr>
          <w:p w14:paraId="2819892B">
            <w:pPr>
              <w:spacing w:line="360" w:lineRule="auto"/>
              <w:jc w:val="center"/>
              <w:rPr>
                <w:rFonts w:ascii="宋体" w:hAnsi="宋体" w:cs="宋体"/>
                <w:sz w:val="24"/>
              </w:rPr>
            </w:pPr>
          </w:p>
        </w:tc>
      </w:tr>
      <w:tr w14:paraId="14D201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4B2A43D">
            <w:pPr>
              <w:spacing w:line="360" w:lineRule="auto"/>
              <w:jc w:val="center"/>
              <w:rPr>
                <w:rFonts w:ascii="宋体" w:hAnsi="宋体" w:cs="宋体"/>
                <w:sz w:val="24"/>
              </w:rPr>
            </w:pPr>
            <w:r>
              <w:rPr>
                <w:rFonts w:hint="eastAsia" w:ascii="宋体" w:hAnsi="宋体" w:cs="宋体"/>
                <w:sz w:val="24"/>
              </w:rPr>
              <w:t>开户银行</w:t>
            </w:r>
          </w:p>
        </w:tc>
        <w:tc>
          <w:tcPr>
            <w:tcW w:w="969" w:type="dxa"/>
            <w:tcBorders>
              <w:top w:val="single" w:color="auto" w:sz="4" w:space="0"/>
              <w:left w:val="nil"/>
              <w:bottom w:val="single" w:color="auto" w:sz="4" w:space="0"/>
              <w:right w:val="single" w:color="auto" w:sz="4" w:space="0"/>
            </w:tcBorders>
            <w:vAlign w:val="center"/>
          </w:tcPr>
          <w:p w14:paraId="2FAD95C8">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5DE2C785">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60C2FED">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5E6C8682">
            <w:pPr>
              <w:spacing w:line="360" w:lineRule="auto"/>
              <w:jc w:val="center"/>
              <w:rPr>
                <w:rFonts w:ascii="宋体" w:hAnsi="宋体" w:cs="宋体"/>
                <w:sz w:val="24"/>
              </w:rPr>
            </w:pPr>
            <w:r>
              <w:rPr>
                <w:rFonts w:hint="eastAsia" w:ascii="宋体" w:hAnsi="宋体" w:cs="宋体"/>
                <w:sz w:val="24"/>
              </w:rPr>
              <w:t>初级职称人员</w:t>
            </w:r>
          </w:p>
        </w:tc>
        <w:tc>
          <w:tcPr>
            <w:tcW w:w="2302" w:type="dxa"/>
            <w:gridSpan w:val="2"/>
            <w:tcBorders>
              <w:top w:val="single" w:color="auto" w:sz="4" w:space="0"/>
              <w:left w:val="nil"/>
              <w:bottom w:val="single" w:color="auto" w:sz="4" w:space="0"/>
              <w:right w:val="single" w:color="auto" w:sz="4" w:space="0"/>
            </w:tcBorders>
            <w:vAlign w:val="center"/>
          </w:tcPr>
          <w:p w14:paraId="0ECCD449">
            <w:pPr>
              <w:spacing w:line="360" w:lineRule="auto"/>
              <w:jc w:val="center"/>
              <w:rPr>
                <w:rFonts w:ascii="宋体" w:hAnsi="宋体" w:cs="宋体"/>
                <w:sz w:val="24"/>
              </w:rPr>
            </w:pPr>
          </w:p>
        </w:tc>
      </w:tr>
      <w:tr w14:paraId="7D430C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04DAA776">
            <w:pPr>
              <w:spacing w:line="360" w:lineRule="auto"/>
              <w:jc w:val="center"/>
              <w:rPr>
                <w:rFonts w:ascii="宋体" w:hAnsi="宋体" w:cs="宋体"/>
                <w:sz w:val="24"/>
              </w:rPr>
            </w:pPr>
            <w:r>
              <w:rPr>
                <w:rFonts w:hint="eastAsia" w:ascii="宋体" w:hAnsi="宋体" w:cs="宋体"/>
                <w:sz w:val="24"/>
              </w:rPr>
              <w:t>账号</w:t>
            </w:r>
          </w:p>
        </w:tc>
        <w:tc>
          <w:tcPr>
            <w:tcW w:w="969" w:type="dxa"/>
            <w:tcBorders>
              <w:top w:val="single" w:color="auto" w:sz="4" w:space="0"/>
              <w:left w:val="nil"/>
              <w:bottom w:val="single" w:color="auto" w:sz="4" w:space="0"/>
              <w:right w:val="single" w:color="auto" w:sz="4" w:space="0"/>
            </w:tcBorders>
            <w:vAlign w:val="center"/>
          </w:tcPr>
          <w:p w14:paraId="44CA9325">
            <w:pPr>
              <w:spacing w:line="360" w:lineRule="auto"/>
              <w:jc w:val="center"/>
              <w:rPr>
                <w:rFonts w:ascii="宋体" w:hAnsi="宋体" w:cs="宋体"/>
                <w:sz w:val="24"/>
              </w:rPr>
            </w:pPr>
          </w:p>
        </w:tc>
        <w:tc>
          <w:tcPr>
            <w:tcW w:w="1103" w:type="dxa"/>
            <w:tcBorders>
              <w:top w:val="single" w:color="auto" w:sz="4" w:space="0"/>
              <w:left w:val="nil"/>
              <w:bottom w:val="single" w:color="auto" w:sz="4" w:space="0"/>
              <w:right w:val="single" w:color="auto" w:sz="4" w:space="0"/>
            </w:tcBorders>
            <w:vAlign w:val="center"/>
          </w:tcPr>
          <w:p w14:paraId="232B1767">
            <w:pPr>
              <w:spacing w:line="360" w:lineRule="auto"/>
              <w:jc w:val="center"/>
              <w:rPr>
                <w:rFonts w:ascii="宋体" w:hAnsi="宋体" w:cs="宋体"/>
                <w:sz w:val="24"/>
              </w:rPr>
            </w:pPr>
          </w:p>
        </w:tc>
        <w:tc>
          <w:tcPr>
            <w:tcW w:w="1073" w:type="dxa"/>
            <w:vMerge w:val="continue"/>
            <w:tcBorders>
              <w:top w:val="single" w:color="auto" w:sz="4" w:space="0"/>
              <w:left w:val="nil"/>
              <w:bottom w:val="single" w:color="auto" w:sz="4" w:space="0"/>
              <w:right w:val="single" w:color="auto" w:sz="4" w:space="0"/>
            </w:tcBorders>
            <w:vAlign w:val="center"/>
          </w:tcPr>
          <w:p w14:paraId="625949F1">
            <w:pPr>
              <w:spacing w:line="360" w:lineRule="auto"/>
              <w:rPr>
                <w:rFonts w:ascii="宋体" w:hAnsi="宋体" w:cs="宋体"/>
                <w:sz w:val="24"/>
              </w:rPr>
            </w:pPr>
          </w:p>
        </w:tc>
        <w:tc>
          <w:tcPr>
            <w:tcW w:w="2147" w:type="dxa"/>
            <w:gridSpan w:val="4"/>
            <w:tcBorders>
              <w:top w:val="single" w:color="auto" w:sz="4" w:space="0"/>
              <w:left w:val="nil"/>
              <w:bottom w:val="single" w:color="auto" w:sz="4" w:space="0"/>
              <w:right w:val="single" w:color="auto" w:sz="4" w:space="0"/>
            </w:tcBorders>
            <w:vAlign w:val="center"/>
          </w:tcPr>
          <w:p w14:paraId="22970AB6">
            <w:pPr>
              <w:spacing w:line="360" w:lineRule="auto"/>
              <w:jc w:val="center"/>
              <w:rPr>
                <w:rFonts w:ascii="宋体" w:hAnsi="宋体" w:cs="宋体"/>
                <w:sz w:val="24"/>
              </w:rPr>
            </w:pPr>
            <w:r>
              <w:rPr>
                <w:rFonts w:hint="eastAsia" w:ascii="宋体" w:hAnsi="宋体" w:cs="宋体"/>
                <w:sz w:val="24"/>
              </w:rPr>
              <w:t>技  工</w:t>
            </w:r>
          </w:p>
        </w:tc>
        <w:tc>
          <w:tcPr>
            <w:tcW w:w="2302" w:type="dxa"/>
            <w:gridSpan w:val="2"/>
            <w:tcBorders>
              <w:top w:val="single" w:color="auto" w:sz="4" w:space="0"/>
              <w:left w:val="nil"/>
              <w:bottom w:val="single" w:color="auto" w:sz="4" w:space="0"/>
              <w:right w:val="single" w:color="auto" w:sz="4" w:space="0"/>
            </w:tcBorders>
            <w:vAlign w:val="center"/>
          </w:tcPr>
          <w:p w14:paraId="507BA1BA">
            <w:pPr>
              <w:spacing w:line="360" w:lineRule="auto"/>
              <w:jc w:val="center"/>
              <w:rPr>
                <w:rFonts w:ascii="宋体" w:hAnsi="宋体" w:cs="宋体"/>
                <w:sz w:val="24"/>
              </w:rPr>
            </w:pPr>
          </w:p>
        </w:tc>
      </w:tr>
      <w:tr w14:paraId="6913A8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2"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2F03D48">
            <w:pPr>
              <w:spacing w:line="360" w:lineRule="auto"/>
              <w:jc w:val="center"/>
              <w:rPr>
                <w:rFonts w:ascii="宋体" w:hAnsi="宋体" w:cs="宋体"/>
                <w:sz w:val="24"/>
              </w:rPr>
            </w:pPr>
            <w:r>
              <w:rPr>
                <w:rFonts w:hint="eastAsia" w:ascii="宋体" w:hAnsi="宋体" w:cs="宋体"/>
                <w:sz w:val="24"/>
              </w:rPr>
              <w:t>经营范围</w:t>
            </w:r>
          </w:p>
        </w:tc>
        <w:tc>
          <w:tcPr>
            <w:tcW w:w="7594" w:type="dxa"/>
            <w:gridSpan w:val="9"/>
            <w:tcBorders>
              <w:top w:val="single" w:color="auto" w:sz="4" w:space="0"/>
              <w:left w:val="nil"/>
              <w:bottom w:val="single" w:color="auto" w:sz="4" w:space="0"/>
              <w:right w:val="single" w:color="auto" w:sz="4" w:space="0"/>
            </w:tcBorders>
            <w:vAlign w:val="center"/>
          </w:tcPr>
          <w:p w14:paraId="569C49D6">
            <w:pPr>
              <w:spacing w:line="360" w:lineRule="auto"/>
              <w:jc w:val="center"/>
              <w:rPr>
                <w:rFonts w:ascii="宋体" w:hAnsi="宋体" w:cs="宋体"/>
                <w:sz w:val="24"/>
              </w:rPr>
            </w:pPr>
          </w:p>
        </w:tc>
      </w:tr>
      <w:tr w14:paraId="016F4D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1605" w:type="dxa"/>
            <w:tcBorders>
              <w:top w:val="single" w:color="auto" w:sz="4" w:space="0"/>
              <w:left w:val="single" w:color="auto" w:sz="4" w:space="0"/>
              <w:bottom w:val="single" w:color="auto" w:sz="4" w:space="0"/>
              <w:right w:val="single" w:color="auto" w:sz="4" w:space="0"/>
            </w:tcBorders>
            <w:vAlign w:val="center"/>
          </w:tcPr>
          <w:p w14:paraId="700F45F4">
            <w:pPr>
              <w:spacing w:line="360" w:lineRule="auto"/>
              <w:jc w:val="center"/>
              <w:rPr>
                <w:rFonts w:ascii="宋体" w:hAnsi="宋体" w:cs="宋体"/>
                <w:sz w:val="24"/>
              </w:rPr>
            </w:pPr>
            <w:r>
              <w:rPr>
                <w:rFonts w:hint="eastAsia" w:ascii="宋体" w:hAnsi="宋体" w:cs="宋体"/>
                <w:sz w:val="24"/>
              </w:rPr>
              <w:t>备注</w:t>
            </w:r>
          </w:p>
        </w:tc>
        <w:tc>
          <w:tcPr>
            <w:tcW w:w="7594" w:type="dxa"/>
            <w:gridSpan w:val="9"/>
            <w:tcBorders>
              <w:top w:val="single" w:color="auto" w:sz="4" w:space="0"/>
              <w:left w:val="nil"/>
              <w:bottom w:val="single" w:color="auto" w:sz="4" w:space="0"/>
              <w:right w:val="single" w:color="auto" w:sz="4" w:space="0"/>
            </w:tcBorders>
            <w:vAlign w:val="center"/>
          </w:tcPr>
          <w:p w14:paraId="5CB8E028">
            <w:pPr>
              <w:spacing w:line="360" w:lineRule="auto"/>
              <w:jc w:val="center"/>
              <w:rPr>
                <w:rFonts w:ascii="宋体" w:hAnsi="宋体" w:cs="宋体"/>
                <w:sz w:val="24"/>
              </w:rPr>
            </w:pPr>
          </w:p>
        </w:tc>
      </w:tr>
    </w:tbl>
    <w:p w14:paraId="4F8214A8">
      <w:pPr>
        <w:spacing w:line="360" w:lineRule="auto"/>
        <w:rPr>
          <w:rFonts w:ascii="宋体" w:hAnsi="宋体" w:cs="宋体"/>
          <w:sz w:val="24"/>
        </w:rPr>
      </w:pPr>
      <w:r>
        <w:rPr>
          <w:rFonts w:hint="eastAsia" w:ascii="宋体" w:hAnsi="宋体" w:cs="宋体"/>
          <w:sz w:val="24"/>
          <w:szCs w:val="32"/>
        </w:rPr>
        <w:t>备注：本表后应附企业法人营业执照、企业资质证书、安全生产许可证等材料的原件扫描件。</w:t>
      </w:r>
    </w:p>
    <w:p w14:paraId="3BC0B155">
      <w:pPr>
        <w:widowControl/>
        <w:jc w:val="left"/>
        <w:rPr>
          <w:rFonts w:ascii="宋体" w:hAnsi="宋体" w:cs="宋体"/>
          <w:b/>
          <w:bCs/>
          <w:sz w:val="24"/>
        </w:rPr>
      </w:pPr>
      <w:bookmarkStart w:id="464" w:name="_Toc392837524"/>
      <w:bookmarkEnd w:id="464"/>
      <w:r>
        <w:rPr>
          <w:rFonts w:ascii="宋体" w:hAnsi="宋体" w:cs="宋体"/>
          <w:bCs/>
          <w:sz w:val="24"/>
        </w:rPr>
        <w:br w:type="page"/>
      </w:r>
    </w:p>
    <w:p w14:paraId="4AAA32C7">
      <w:pPr>
        <w:pStyle w:val="6"/>
        <w:keepNext w:val="0"/>
        <w:keepLines w:val="0"/>
        <w:widowControl/>
        <w:jc w:val="center"/>
        <w:rPr>
          <w:rFonts w:ascii="宋体" w:hAnsi="宋体" w:cs="宋体"/>
          <w:b w:val="0"/>
          <w:sz w:val="24"/>
          <w:szCs w:val="24"/>
        </w:rPr>
      </w:pPr>
      <w:r>
        <w:rPr>
          <w:rFonts w:hint="eastAsia" w:ascii="宋体" w:hAnsi="宋体" w:cs="宋体"/>
          <w:bCs/>
          <w:sz w:val="24"/>
          <w:szCs w:val="24"/>
        </w:rPr>
        <w:t>（二）近年财务状况表</w:t>
      </w:r>
    </w:p>
    <w:p w14:paraId="6BD08675">
      <w:pPr>
        <w:spacing w:line="360" w:lineRule="auto"/>
        <w:ind w:firstLine="480" w:firstLineChars="200"/>
        <w:rPr>
          <w:rFonts w:ascii="宋体" w:hAnsi="宋体" w:cs="宋体"/>
          <w:sz w:val="24"/>
        </w:rPr>
      </w:pPr>
    </w:p>
    <w:p w14:paraId="2A1357E4">
      <w:pPr>
        <w:spacing w:line="360" w:lineRule="auto"/>
        <w:ind w:firstLine="480" w:firstLineChars="200"/>
        <w:rPr>
          <w:rFonts w:ascii="宋体" w:hAnsi="宋体" w:cs="宋体"/>
          <w:szCs w:val="21"/>
        </w:rPr>
      </w:pPr>
      <w:r>
        <w:rPr>
          <w:rFonts w:hint="eastAsia" w:ascii="宋体" w:hAnsi="宋体" w:cs="宋体"/>
          <w:sz w:val="24"/>
        </w:rPr>
        <w:t>备注：在此附经会计师事务所或审计机构审计的审计报告的原件扫描件，具体年份要求见</w:t>
      </w:r>
      <w:r>
        <w:rPr>
          <w:rFonts w:hint="eastAsia" w:ascii="宋体" w:hAnsi="宋体" w:cs="宋体"/>
          <w:sz w:val="24"/>
          <w:lang w:eastAsia="zh-CN"/>
        </w:rPr>
        <w:t>供应商</w:t>
      </w:r>
      <w:r>
        <w:rPr>
          <w:rFonts w:hint="eastAsia" w:ascii="宋体" w:hAnsi="宋体" w:cs="宋体"/>
          <w:sz w:val="24"/>
        </w:rPr>
        <w:t>须知表。</w:t>
      </w:r>
    </w:p>
    <w:p w14:paraId="6D08CC8A">
      <w:pPr>
        <w:widowControl/>
        <w:jc w:val="left"/>
        <w:rPr>
          <w:rFonts w:ascii="宋体" w:hAnsi="宋体" w:cs="宋体"/>
          <w:b/>
          <w:bCs/>
          <w:sz w:val="24"/>
        </w:rPr>
      </w:pPr>
      <w:bookmarkStart w:id="465" w:name="_Toc392837525"/>
      <w:bookmarkEnd w:id="465"/>
      <w:r>
        <w:rPr>
          <w:rFonts w:ascii="宋体" w:hAnsi="宋体" w:cs="宋体"/>
          <w:bCs/>
          <w:sz w:val="24"/>
        </w:rPr>
        <w:br w:type="page"/>
      </w:r>
    </w:p>
    <w:p w14:paraId="414A6CEE">
      <w:pPr>
        <w:pStyle w:val="6"/>
        <w:keepNext w:val="0"/>
        <w:keepLines w:val="0"/>
        <w:widowControl/>
        <w:jc w:val="center"/>
        <w:rPr>
          <w:rFonts w:ascii="宋体" w:hAnsi="宋体" w:cs="宋体"/>
          <w:b w:val="0"/>
          <w:sz w:val="24"/>
          <w:szCs w:val="24"/>
        </w:rPr>
      </w:pPr>
      <w:r>
        <w:rPr>
          <w:rFonts w:hint="eastAsia" w:ascii="宋体" w:hAnsi="宋体" w:cs="宋体"/>
          <w:bCs/>
          <w:sz w:val="24"/>
          <w:szCs w:val="24"/>
        </w:rPr>
        <w:t>（三）近年完成的类似项目情况表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2"/>
        <w:gridCol w:w="6073"/>
      </w:tblGrid>
      <w:tr w14:paraId="47825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77FD71F6">
            <w:pPr>
              <w:spacing w:line="360" w:lineRule="auto"/>
              <w:jc w:val="center"/>
              <w:rPr>
                <w:rFonts w:ascii="宋体" w:hAnsi="宋体" w:cs="宋体"/>
                <w:sz w:val="24"/>
              </w:rPr>
            </w:pPr>
            <w:r>
              <w:rPr>
                <w:rFonts w:hint="eastAsia" w:ascii="宋体" w:hAnsi="宋体" w:cs="宋体"/>
                <w:sz w:val="24"/>
              </w:rPr>
              <w:t>项目名称</w:t>
            </w:r>
          </w:p>
        </w:tc>
        <w:tc>
          <w:tcPr>
            <w:tcW w:w="6073" w:type="dxa"/>
            <w:tcBorders>
              <w:top w:val="single" w:color="auto" w:sz="4" w:space="0"/>
              <w:left w:val="nil"/>
              <w:bottom w:val="single" w:color="auto" w:sz="4" w:space="0"/>
              <w:right w:val="single" w:color="auto" w:sz="4" w:space="0"/>
            </w:tcBorders>
            <w:vAlign w:val="center"/>
          </w:tcPr>
          <w:p w14:paraId="19AF2B8A">
            <w:pPr>
              <w:spacing w:line="360" w:lineRule="auto"/>
              <w:jc w:val="center"/>
              <w:rPr>
                <w:rFonts w:ascii="宋体" w:hAnsi="宋体" w:cs="宋体"/>
                <w:sz w:val="24"/>
              </w:rPr>
            </w:pPr>
          </w:p>
        </w:tc>
      </w:tr>
      <w:tr w14:paraId="53A10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C20BC21">
            <w:pPr>
              <w:spacing w:line="360" w:lineRule="auto"/>
              <w:jc w:val="center"/>
              <w:rPr>
                <w:rFonts w:ascii="宋体" w:hAnsi="宋体" w:cs="宋体"/>
                <w:sz w:val="24"/>
              </w:rPr>
            </w:pPr>
            <w:r>
              <w:rPr>
                <w:rFonts w:hint="eastAsia" w:ascii="宋体" w:hAnsi="宋体" w:cs="宋体"/>
                <w:sz w:val="24"/>
              </w:rPr>
              <w:t>项目所在地</w:t>
            </w:r>
          </w:p>
        </w:tc>
        <w:tc>
          <w:tcPr>
            <w:tcW w:w="6073" w:type="dxa"/>
            <w:tcBorders>
              <w:top w:val="single" w:color="auto" w:sz="4" w:space="0"/>
              <w:left w:val="nil"/>
              <w:bottom w:val="single" w:color="auto" w:sz="4" w:space="0"/>
              <w:right w:val="single" w:color="auto" w:sz="4" w:space="0"/>
            </w:tcBorders>
            <w:vAlign w:val="center"/>
          </w:tcPr>
          <w:p w14:paraId="4C51D736">
            <w:pPr>
              <w:spacing w:line="360" w:lineRule="auto"/>
              <w:jc w:val="center"/>
              <w:rPr>
                <w:rFonts w:ascii="宋体" w:hAnsi="宋体" w:cs="宋体"/>
                <w:sz w:val="24"/>
              </w:rPr>
            </w:pPr>
          </w:p>
        </w:tc>
      </w:tr>
      <w:tr w14:paraId="6105BD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CFB77F1">
            <w:pPr>
              <w:spacing w:line="360" w:lineRule="auto"/>
              <w:jc w:val="center"/>
              <w:rPr>
                <w:rFonts w:ascii="宋体" w:hAnsi="宋体" w:cs="宋体"/>
                <w:sz w:val="24"/>
              </w:rPr>
            </w:pPr>
            <w:r>
              <w:rPr>
                <w:rFonts w:hint="eastAsia" w:ascii="宋体" w:hAnsi="宋体" w:cs="宋体"/>
                <w:sz w:val="24"/>
              </w:rPr>
              <w:t>发包人名称</w:t>
            </w:r>
          </w:p>
        </w:tc>
        <w:tc>
          <w:tcPr>
            <w:tcW w:w="6073" w:type="dxa"/>
            <w:tcBorders>
              <w:top w:val="single" w:color="auto" w:sz="4" w:space="0"/>
              <w:left w:val="nil"/>
              <w:bottom w:val="single" w:color="auto" w:sz="4" w:space="0"/>
              <w:right w:val="single" w:color="auto" w:sz="4" w:space="0"/>
            </w:tcBorders>
            <w:vAlign w:val="center"/>
          </w:tcPr>
          <w:p w14:paraId="2856B52E">
            <w:pPr>
              <w:spacing w:line="360" w:lineRule="auto"/>
              <w:jc w:val="center"/>
              <w:rPr>
                <w:rFonts w:ascii="宋体" w:hAnsi="宋体" w:cs="宋体"/>
                <w:sz w:val="24"/>
              </w:rPr>
            </w:pPr>
          </w:p>
        </w:tc>
      </w:tr>
      <w:tr w14:paraId="4F7CFB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9EC340A">
            <w:pPr>
              <w:spacing w:line="360" w:lineRule="auto"/>
              <w:jc w:val="center"/>
              <w:rPr>
                <w:rFonts w:ascii="宋体" w:hAnsi="宋体" w:cs="宋体"/>
                <w:sz w:val="24"/>
              </w:rPr>
            </w:pPr>
            <w:r>
              <w:rPr>
                <w:rFonts w:hint="eastAsia" w:ascii="宋体" w:hAnsi="宋体" w:cs="宋体"/>
                <w:sz w:val="24"/>
              </w:rPr>
              <w:t>发包人地址</w:t>
            </w:r>
          </w:p>
        </w:tc>
        <w:tc>
          <w:tcPr>
            <w:tcW w:w="6073" w:type="dxa"/>
            <w:tcBorders>
              <w:top w:val="single" w:color="auto" w:sz="4" w:space="0"/>
              <w:left w:val="nil"/>
              <w:bottom w:val="single" w:color="auto" w:sz="4" w:space="0"/>
              <w:right w:val="single" w:color="auto" w:sz="4" w:space="0"/>
            </w:tcBorders>
            <w:vAlign w:val="center"/>
          </w:tcPr>
          <w:p w14:paraId="7CB0CADC">
            <w:pPr>
              <w:spacing w:line="360" w:lineRule="auto"/>
              <w:jc w:val="center"/>
              <w:rPr>
                <w:rFonts w:ascii="宋体" w:hAnsi="宋体" w:cs="宋体"/>
                <w:sz w:val="24"/>
              </w:rPr>
            </w:pPr>
          </w:p>
        </w:tc>
      </w:tr>
      <w:tr w14:paraId="5685C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7F88A94">
            <w:pPr>
              <w:spacing w:line="360" w:lineRule="auto"/>
              <w:jc w:val="center"/>
              <w:rPr>
                <w:rFonts w:ascii="宋体" w:hAnsi="宋体" w:cs="宋体"/>
                <w:sz w:val="24"/>
              </w:rPr>
            </w:pPr>
            <w:r>
              <w:rPr>
                <w:rFonts w:hint="eastAsia" w:ascii="宋体" w:hAnsi="宋体" w:cs="宋体"/>
                <w:sz w:val="24"/>
              </w:rPr>
              <w:t>发包人联系人及电话</w:t>
            </w:r>
          </w:p>
        </w:tc>
        <w:tc>
          <w:tcPr>
            <w:tcW w:w="6073" w:type="dxa"/>
            <w:tcBorders>
              <w:top w:val="single" w:color="auto" w:sz="4" w:space="0"/>
              <w:left w:val="nil"/>
              <w:bottom w:val="single" w:color="auto" w:sz="4" w:space="0"/>
              <w:right w:val="single" w:color="auto" w:sz="4" w:space="0"/>
            </w:tcBorders>
            <w:vAlign w:val="center"/>
          </w:tcPr>
          <w:p w14:paraId="15CDC741">
            <w:pPr>
              <w:spacing w:line="360" w:lineRule="auto"/>
              <w:jc w:val="center"/>
              <w:rPr>
                <w:rFonts w:ascii="宋体" w:hAnsi="宋体" w:cs="宋体"/>
                <w:sz w:val="24"/>
              </w:rPr>
            </w:pPr>
          </w:p>
        </w:tc>
      </w:tr>
      <w:tr w14:paraId="357E73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56CC78F4">
            <w:pPr>
              <w:spacing w:line="360" w:lineRule="auto"/>
              <w:jc w:val="center"/>
              <w:rPr>
                <w:rFonts w:ascii="宋体" w:hAnsi="宋体" w:cs="宋体"/>
                <w:sz w:val="24"/>
              </w:rPr>
            </w:pPr>
            <w:r>
              <w:rPr>
                <w:rFonts w:hint="eastAsia" w:ascii="宋体" w:hAnsi="宋体" w:cs="宋体"/>
                <w:sz w:val="24"/>
              </w:rPr>
              <w:t>合同价格</w:t>
            </w:r>
          </w:p>
        </w:tc>
        <w:tc>
          <w:tcPr>
            <w:tcW w:w="6073" w:type="dxa"/>
            <w:tcBorders>
              <w:top w:val="single" w:color="auto" w:sz="4" w:space="0"/>
              <w:left w:val="nil"/>
              <w:bottom w:val="single" w:color="auto" w:sz="4" w:space="0"/>
              <w:right w:val="single" w:color="auto" w:sz="4" w:space="0"/>
            </w:tcBorders>
            <w:vAlign w:val="center"/>
          </w:tcPr>
          <w:p w14:paraId="75239BDB">
            <w:pPr>
              <w:spacing w:line="360" w:lineRule="auto"/>
              <w:jc w:val="center"/>
              <w:rPr>
                <w:rFonts w:ascii="宋体" w:hAnsi="宋体" w:cs="宋体"/>
                <w:sz w:val="24"/>
              </w:rPr>
            </w:pPr>
          </w:p>
        </w:tc>
      </w:tr>
      <w:tr w14:paraId="1151B3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024C873">
            <w:pPr>
              <w:spacing w:line="360" w:lineRule="auto"/>
              <w:jc w:val="center"/>
              <w:rPr>
                <w:rFonts w:ascii="宋体" w:hAnsi="宋体" w:cs="宋体"/>
                <w:sz w:val="24"/>
              </w:rPr>
            </w:pPr>
            <w:r>
              <w:rPr>
                <w:rFonts w:hint="eastAsia" w:ascii="宋体" w:hAnsi="宋体" w:cs="宋体"/>
                <w:sz w:val="24"/>
              </w:rPr>
              <w:t>开工日期</w:t>
            </w:r>
          </w:p>
        </w:tc>
        <w:tc>
          <w:tcPr>
            <w:tcW w:w="6073" w:type="dxa"/>
            <w:tcBorders>
              <w:top w:val="single" w:color="auto" w:sz="4" w:space="0"/>
              <w:left w:val="nil"/>
              <w:bottom w:val="single" w:color="auto" w:sz="4" w:space="0"/>
              <w:right w:val="single" w:color="auto" w:sz="4" w:space="0"/>
            </w:tcBorders>
            <w:vAlign w:val="center"/>
          </w:tcPr>
          <w:p w14:paraId="6190D59C">
            <w:pPr>
              <w:spacing w:line="360" w:lineRule="auto"/>
              <w:jc w:val="center"/>
              <w:rPr>
                <w:rFonts w:ascii="宋体" w:hAnsi="宋体" w:cs="宋体"/>
                <w:sz w:val="24"/>
              </w:rPr>
            </w:pPr>
          </w:p>
        </w:tc>
      </w:tr>
      <w:tr w14:paraId="376034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98F593D">
            <w:pPr>
              <w:spacing w:line="360" w:lineRule="auto"/>
              <w:jc w:val="center"/>
              <w:rPr>
                <w:rFonts w:ascii="宋体" w:hAnsi="宋体" w:cs="宋体"/>
                <w:sz w:val="24"/>
              </w:rPr>
            </w:pPr>
            <w:r>
              <w:rPr>
                <w:rFonts w:hint="eastAsia" w:ascii="宋体" w:hAnsi="宋体" w:cs="宋体"/>
                <w:sz w:val="24"/>
              </w:rPr>
              <w:t>竣工日期</w:t>
            </w:r>
          </w:p>
        </w:tc>
        <w:tc>
          <w:tcPr>
            <w:tcW w:w="6073" w:type="dxa"/>
            <w:tcBorders>
              <w:top w:val="single" w:color="auto" w:sz="4" w:space="0"/>
              <w:left w:val="nil"/>
              <w:bottom w:val="single" w:color="auto" w:sz="4" w:space="0"/>
              <w:right w:val="single" w:color="auto" w:sz="4" w:space="0"/>
            </w:tcBorders>
            <w:vAlign w:val="center"/>
          </w:tcPr>
          <w:p w14:paraId="6F6FD5DB">
            <w:pPr>
              <w:spacing w:line="360" w:lineRule="auto"/>
              <w:jc w:val="center"/>
              <w:rPr>
                <w:rFonts w:ascii="宋体" w:hAnsi="宋体" w:cs="宋体"/>
                <w:sz w:val="24"/>
              </w:rPr>
            </w:pPr>
          </w:p>
        </w:tc>
      </w:tr>
      <w:tr w14:paraId="72544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E687FFA">
            <w:pPr>
              <w:spacing w:line="360" w:lineRule="auto"/>
              <w:jc w:val="center"/>
              <w:rPr>
                <w:rFonts w:ascii="宋体" w:hAnsi="宋体" w:cs="宋体"/>
                <w:sz w:val="24"/>
              </w:rPr>
            </w:pPr>
            <w:r>
              <w:rPr>
                <w:rFonts w:hint="eastAsia" w:ascii="宋体" w:hAnsi="宋体" w:cs="宋体"/>
                <w:sz w:val="24"/>
              </w:rPr>
              <w:t>承担的工作</w:t>
            </w:r>
          </w:p>
        </w:tc>
        <w:tc>
          <w:tcPr>
            <w:tcW w:w="6073" w:type="dxa"/>
            <w:tcBorders>
              <w:top w:val="single" w:color="auto" w:sz="4" w:space="0"/>
              <w:left w:val="nil"/>
              <w:bottom w:val="single" w:color="auto" w:sz="4" w:space="0"/>
              <w:right w:val="single" w:color="auto" w:sz="4" w:space="0"/>
            </w:tcBorders>
            <w:vAlign w:val="center"/>
          </w:tcPr>
          <w:p w14:paraId="762560B9">
            <w:pPr>
              <w:spacing w:line="360" w:lineRule="auto"/>
              <w:jc w:val="center"/>
              <w:rPr>
                <w:rFonts w:ascii="宋体" w:hAnsi="宋体" w:cs="宋体"/>
                <w:sz w:val="24"/>
              </w:rPr>
            </w:pPr>
          </w:p>
        </w:tc>
      </w:tr>
      <w:tr w14:paraId="02B48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66DCD28F">
            <w:pPr>
              <w:spacing w:line="360" w:lineRule="auto"/>
              <w:jc w:val="center"/>
              <w:rPr>
                <w:rFonts w:ascii="宋体" w:hAnsi="宋体" w:cs="宋体"/>
                <w:sz w:val="24"/>
              </w:rPr>
            </w:pPr>
            <w:r>
              <w:rPr>
                <w:rFonts w:hint="eastAsia" w:ascii="宋体" w:hAnsi="宋体" w:cs="宋体"/>
                <w:sz w:val="24"/>
              </w:rPr>
              <w:t>工程质量</w:t>
            </w:r>
          </w:p>
        </w:tc>
        <w:tc>
          <w:tcPr>
            <w:tcW w:w="6073" w:type="dxa"/>
            <w:tcBorders>
              <w:top w:val="single" w:color="auto" w:sz="4" w:space="0"/>
              <w:left w:val="nil"/>
              <w:bottom w:val="single" w:color="auto" w:sz="4" w:space="0"/>
              <w:right w:val="single" w:color="auto" w:sz="4" w:space="0"/>
            </w:tcBorders>
            <w:vAlign w:val="center"/>
          </w:tcPr>
          <w:p w14:paraId="0B500A5B">
            <w:pPr>
              <w:spacing w:line="360" w:lineRule="auto"/>
              <w:jc w:val="center"/>
              <w:rPr>
                <w:rFonts w:ascii="宋体" w:hAnsi="宋体" w:cs="宋体"/>
                <w:sz w:val="24"/>
              </w:rPr>
            </w:pPr>
          </w:p>
        </w:tc>
      </w:tr>
      <w:tr w14:paraId="1F74CD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EE6DE1">
            <w:pPr>
              <w:spacing w:line="360" w:lineRule="auto"/>
              <w:jc w:val="center"/>
              <w:rPr>
                <w:rFonts w:ascii="宋体" w:hAnsi="宋体" w:cs="宋体"/>
                <w:sz w:val="24"/>
              </w:rPr>
            </w:pPr>
            <w:r>
              <w:rPr>
                <w:rFonts w:hint="eastAsia" w:ascii="宋体" w:hAnsi="宋体" w:cs="宋体"/>
                <w:sz w:val="24"/>
              </w:rPr>
              <w:t>项目经理</w:t>
            </w:r>
          </w:p>
        </w:tc>
        <w:tc>
          <w:tcPr>
            <w:tcW w:w="6073" w:type="dxa"/>
            <w:tcBorders>
              <w:top w:val="single" w:color="auto" w:sz="4" w:space="0"/>
              <w:left w:val="nil"/>
              <w:bottom w:val="single" w:color="auto" w:sz="4" w:space="0"/>
              <w:right w:val="single" w:color="auto" w:sz="4" w:space="0"/>
            </w:tcBorders>
            <w:vAlign w:val="center"/>
          </w:tcPr>
          <w:p w14:paraId="42D65FFC">
            <w:pPr>
              <w:spacing w:line="360" w:lineRule="auto"/>
              <w:jc w:val="center"/>
              <w:rPr>
                <w:rFonts w:ascii="宋体" w:hAnsi="宋体" w:cs="宋体"/>
                <w:sz w:val="24"/>
              </w:rPr>
            </w:pPr>
          </w:p>
        </w:tc>
      </w:tr>
      <w:tr w14:paraId="441551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35867103">
            <w:pPr>
              <w:spacing w:line="360" w:lineRule="auto"/>
              <w:jc w:val="center"/>
              <w:rPr>
                <w:rFonts w:ascii="宋体" w:hAnsi="宋体" w:cs="宋体"/>
                <w:sz w:val="24"/>
              </w:rPr>
            </w:pPr>
            <w:r>
              <w:rPr>
                <w:rFonts w:hint="eastAsia" w:ascii="宋体" w:hAnsi="宋体" w:cs="宋体"/>
                <w:sz w:val="24"/>
              </w:rPr>
              <w:t>技术负责人</w:t>
            </w:r>
          </w:p>
        </w:tc>
        <w:tc>
          <w:tcPr>
            <w:tcW w:w="6073" w:type="dxa"/>
            <w:tcBorders>
              <w:top w:val="single" w:color="auto" w:sz="4" w:space="0"/>
              <w:left w:val="nil"/>
              <w:bottom w:val="single" w:color="auto" w:sz="4" w:space="0"/>
              <w:right w:val="single" w:color="auto" w:sz="4" w:space="0"/>
            </w:tcBorders>
            <w:vAlign w:val="center"/>
          </w:tcPr>
          <w:p w14:paraId="4709A2B6">
            <w:pPr>
              <w:spacing w:line="360" w:lineRule="auto"/>
              <w:jc w:val="center"/>
              <w:rPr>
                <w:rFonts w:ascii="宋体" w:hAnsi="宋体" w:cs="宋体"/>
                <w:sz w:val="24"/>
              </w:rPr>
            </w:pPr>
          </w:p>
        </w:tc>
      </w:tr>
      <w:tr w14:paraId="7913D2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1"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2FD56B81">
            <w:pPr>
              <w:spacing w:line="360" w:lineRule="auto"/>
              <w:jc w:val="center"/>
              <w:rPr>
                <w:rFonts w:ascii="宋体" w:hAnsi="宋体" w:cs="宋体"/>
                <w:sz w:val="24"/>
              </w:rPr>
            </w:pPr>
            <w:r>
              <w:rPr>
                <w:rFonts w:hint="eastAsia" w:ascii="宋体" w:hAnsi="宋体" w:cs="宋体"/>
                <w:sz w:val="24"/>
              </w:rPr>
              <w:t>项目描述</w:t>
            </w:r>
          </w:p>
        </w:tc>
        <w:tc>
          <w:tcPr>
            <w:tcW w:w="6073" w:type="dxa"/>
            <w:tcBorders>
              <w:top w:val="single" w:color="auto" w:sz="4" w:space="0"/>
              <w:left w:val="nil"/>
              <w:bottom w:val="single" w:color="auto" w:sz="4" w:space="0"/>
              <w:right w:val="single" w:color="auto" w:sz="4" w:space="0"/>
            </w:tcBorders>
            <w:vAlign w:val="center"/>
          </w:tcPr>
          <w:p w14:paraId="3C3730BD">
            <w:pPr>
              <w:spacing w:line="360" w:lineRule="auto"/>
              <w:jc w:val="center"/>
              <w:rPr>
                <w:rFonts w:ascii="宋体" w:hAnsi="宋体" w:cs="宋体"/>
                <w:sz w:val="24"/>
              </w:rPr>
            </w:pPr>
          </w:p>
        </w:tc>
      </w:tr>
      <w:tr w14:paraId="63005C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2402" w:type="dxa"/>
            <w:tcBorders>
              <w:top w:val="single" w:color="auto" w:sz="4" w:space="0"/>
              <w:left w:val="single" w:color="auto" w:sz="4" w:space="0"/>
              <w:bottom w:val="single" w:color="auto" w:sz="4" w:space="0"/>
              <w:right w:val="single" w:color="auto" w:sz="4" w:space="0"/>
            </w:tcBorders>
            <w:vAlign w:val="center"/>
          </w:tcPr>
          <w:p w14:paraId="1C27675C">
            <w:pPr>
              <w:spacing w:line="360" w:lineRule="auto"/>
              <w:jc w:val="center"/>
              <w:rPr>
                <w:rFonts w:ascii="宋体" w:hAnsi="宋体" w:cs="宋体"/>
                <w:sz w:val="24"/>
              </w:rPr>
            </w:pPr>
            <w:r>
              <w:rPr>
                <w:rFonts w:hint="eastAsia" w:ascii="宋体" w:hAnsi="宋体" w:cs="宋体"/>
                <w:sz w:val="24"/>
              </w:rPr>
              <w:t>备注</w:t>
            </w:r>
          </w:p>
        </w:tc>
        <w:tc>
          <w:tcPr>
            <w:tcW w:w="6073" w:type="dxa"/>
            <w:tcBorders>
              <w:top w:val="single" w:color="auto" w:sz="4" w:space="0"/>
              <w:left w:val="nil"/>
              <w:bottom w:val="single" w:color="auto" w:sz="4" w:space="0"/>
              <w:right w:val="single" w:color="auto" w:sz="4" w:space="0"/>
            </w:tcBorders>
            <w:vAlign w:val="center"/>
          </w:tcPr>
          <w:p w14:paraId="4B69CA6B">
            <w:pPr>
              <w:spacing w:line="360" w:lineRule="auto"/>
              <w:jc w:val="center"/>
              <w:rPr>
                <w:rFonts w:ascii="宋体" w:hAnsi="宋体" w:cs="宋体"/>
                <w:sz w:val="24"/>
              </w:rPr>
            </w:pPr>
          </w:p>
        </w:tc>
      </w:tr>
    </w:tbl>
    <w:p w14:paraId="16FC3625">
      <w:pPr>
        <w:spacing w:line="360" w:lineRule="auto"/>
        <w:ind w:left="630" w:leftChars="300"/>
        <w:rPr>
          <w:rFonts w:ascii="宋体" w:hAnsi="宋体" w:cs="宋体"/>
          <w:sz w:val="24"/>
        </w:rPr>
      </w:pPr>
      <w:r>
        <w:rPr>
          <w:rFonts w:hint="eastAsia" w:ascii="宋体" w:hAnsi="宋体" w:cs="宋体"/>
          <w:sz w:val="24"/>
          <w:szCs w:val="32"/>
        </w:rPr>
        <w:t>备注：本表后提供中标通知书和合同协议书的原件扫描件，具体年份要求见</w:t>
      </w:r>
      <w:r>
        <w:rPr>
          <w:rFonts w:hint="eastAsia" w:ascii="宋体" w:hAnsi="宋体" w:cs="宋体"/>
          <w:sz w:val="24"/>
          <w:szCs w:val="32"/>
          <w:lang w:eastAsia="zh-CN"/>
        </w:rPr>
        <w:t>供应商</w:t>
      </w:r>
      <w:r>
        <w:rPr>
          <w:rFonts w:hint="eastAsia" w:ascii="宋体" w:hAnsi="宋体" w:cs="宋体"/>
          <w:sz w:val="24"/>
          <w:szCs w:val="32"/>
        </w:rPr>
        <w:t>须知前附表。每张表格只填写一个项目，并标明序号。</w:t>
      </w:r>
    </w:p>
    <w:p w14:paraId="79D82A64">
      <w:pPr>
        <w:widowControl/>
        <w:jc w:val="left"/>
        <w:rPr>
          <w:rFonts w:ascii="宋体" w:hAnsi="宋体" w:cs="宋体"/>
          <w:b/>
          <w:bCs/>
          <w:sz w:val="24"/>
        </w:rPr>
      </w:pPr>
      <w:bookmarkStart w:id="466" w:name="_Toc392837526"/>
      <w:bookmarkEnd w:id="466"/>
      <w:r>
        <w:rPr>
          <w:rFonts w:ascii="宋体" w:hAnsi="宋体" w:cs="宋体"/>
          <w:bCs/>
          <w:sz w:val="24"/>
        </w:rPr>
        <w:br w:type="page"/>
      </w:r>
    </w:p>
    <w:p w14:paraId="0D026E1D">
      <w:pPr>
        <w:pStyle w:val="6"/>
        <w:keepNext w:val="0"/>
        <w:keepLines w:val="0"/>
        <w:widowControl/>
        <w:jc w:val="center"/>
        <w:rPr>
          <w:rFonts w:ascii="宋体" w:hAnsi="宋体" w:cs="宋体"/>
          <w:b w:val="0"/>
          <w:sz w:val="24"/>
          <w:szCs w:val="24"/>
        </w:rPr>
      </w:pPr>
      <w:r>
        <w:rPr>
          <w:rFonts w:hint="eastAsia" w:ascii="宋体" w:hAnsi="宋体" w:cs="宋体"/>
          <w:bCs/>
          <w:sz w:val="24"/>
          <w:szCs w:val="24"/>
        </w:rPr>
        <w:t>（四）正在施工的和新承接的项目情况表</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0"/>
        <w:gridCol w:w="6095"/>
      </w:tblGrid>
      <w:tr w14:paraId="3FF7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A104627">
            <w:pPr>
              <w:spacing w:line="360" w:lineRule="auto"/>
              <w:jc w:val="center"/>
              <w:rPr>
                <w:rFonts w:ascii="宋体" w:hAnsi="宋体" w:cs="宋体"/>
                <w:sz w:val="24"/>
              </w:rPr>
            </w:pPr>
            <w:r>
              <w:rPr>
                <w:rFonts w:hint="eastAsia" w:ascii="宋体" w:hAnsi="宋体" w:cs="宋体"/>
                <w:sz w:val="24"/>
              </w:rPr>
              <w:t>项目名称</w:t>
            </w:r>
          </w:p>
        </w:tc>
        <w:tc>
          <w:tcPr>
            <w:tcW w:w="6095" w:type="dxa"/>
            <w:tcBorders>
              <w:top w:val="single" w:color="auto" w:sz="4" w:space="0"/>
              <w:left w:val="nil"/>
              <w:bottom w:val="single" w:color="auto" w:sz="4" w:space="0"/>
              <w:right w:val="single" w:color="auto" w:sz="4" w:space="0"/>
            </w:tcBorders>
            <w:vAlign w:val="center"/>
          </w:tcPr>
          <w:p w14:paraId="3E6DEEF2">
            <w:pPr>
              <w:spacing w:line="360" w:lineRule="auto"/>
              <w:jc w:val="center"/>
              <w:rPr>
                <w:rFonts w:ascii="宋体" w:hAnsi="宋体" w:cs="宋体"/>
                <w:sz w:val="24"/>
              </w:rPr>
            </w:pPr>
          </w:p>
        </w:tc>
      </w:tr>
      <w:tr w14:paraId="77F2C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4B6642F6">
            <w:pPr>
              <w:spacing w:line="360" w:lineRule="auto"/>
              <w:jc w:val="center"/>
              <w:rPr>
                <w:rFonts w:ascii="宋体" w:hAnsi="宋体" w:cs="宋体"/>
                <w:sz w:val="24"/>
              </w:rPr>
            </w:pPr>
            <w:r>
              <w:rPr>
                <w:rFonts w:hint="eastAsia" w:ascii="宋体" w:hAnsi="宋体" w:cs="宋体"/>
                <w:sz w:val="24"/>
              </w:rPr>
              <w:t>项目所在地</w:t>
            </w:r>
          </w:p>
        </w:tc>
        <w:tc>
          <w:tcPr>
            <w:tcW w:w="6095" w:type="dxa"/>
            <w:tcBorders>
              <w:top w:val="single" w:color="auto" w:sz="4" w:space="0"/>
              <w:left w:val="nil"/>
              <w:bottom w:val="single" w:color="auto" w:sz="4" w:space="0"/>
              <w:right w:val="single" w:color="auto" w:sz="4" w:space="0"/>
            </w:tcBorders>
            <w:vAlign w:val="center"/>
          </w:tcPr>
          <w:p w14:paraId="00172BFF">
            <w:pPr>
              <w:spacing w:line="360" w:lineRule="auto"/>
              <w:jc w:val="center"/>
              <w:rPr>
                <w:rFonts w:ascii="宋体" w:hAnsi="宋体" w:cs="宋体"/>
                <w:sz w:val="24"/>
              </w:rPr>
            </w:pPr>
          </w:p>
        </w:tc>
      </w:tr>
      <w:tr w14:paraId="18944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3826B8A5">
            <w:pPr>
              <w:spacing w:line="360" w:lineRule="auto"/>
              <w:jc w:val="center"/>
              <w:rPr>
                <w:rFonts w:ascii="宋体" w:hAnsi="宋体" w:cs="宋体"/>
                <w:sz w:val="24"/>
              </w:rPr>
            </w:pPr>
            <w:r>
              <w:rPr>
                <w:rFonts w:hint="eastAsia" w:ascii="宋体" w:hAnsi="宋体" w:cs="宋体"/>
                <w:sz w:val="24"/>
              </w:rPr>
              <w:t>发包人名称</w:t>
            </w:r>
          </w:p>
        </w:tc>
        <w:tc>
          <w:tcPr>
            <w:tcW w:w="6095" w:type="dxa"/>
            <w:tcBorders>
              <w:top w:val="single" w:color="auto" w:sz="4" w:space="0"/>
              <w:left w:val="nil"/>
              <w:bottom w:val="single" w:color="auto" w:sz="4" w:space="0"/>
              <w:right w:val="single" w:color="auto" w:sz="4" w:space="0"/>
            </w:tcBorders>
            <w:vAlign w:val="center"/>
          </w:tcPr>
          <w:p w14:paraId="4CB8B946">
            <w:pPr>
              <w:spacing w:line="360" w:lineRule="auto"/>
              <w:jc w:val="center"/>
              <w:rPr>
                <w:rFonts w:ascii="宋体" w:hAnsi="宋体" w:cs="宋体"/>
                <w:sz w:val="24"/>
              </w:rPr>
            </w:pPr>
          </w:p>
        </w:tc>
      </w:tr>
      <w:tr w14:paraId="52D2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6AFFAD5">
            <w:pPr>
              <w:spacing w:line="360" w:lineRule="auto"/>
              <w:jc w:val="center"/>
              <w:rPr>
                <w:rFonts w:ascii="宋体" w:hAnsi="宋体" w:cs="宋体"/>
                <w:sz w:val="24"/>
              </w:rPr>
            </w:pPr>
            <w:r>
              <w:rPr>
                <w:rFonts w:hint="eastAsia" w:ascii="宋体" w:hAnsi="宋体" w:cs="宋体"/>
                <w:sz w:val="24"/>
              </w:rPr>
              <w:t>发包人地址</w:t>
            </w:r>
          </w:p>
        </w:tc>
        <w:tc>
          <w:tcPr>
            <w:tcW w:w="6095" w:type="dxa"/>
            <w:tcBorders>
              <w:top w:val="single" w:color="auto" w:sz="4" w:space="0"/>
              <w:left w:val="nil"/>
              <w:bottom w:val="single" w:color="auto" w:sz="4" w:space="0"/>
              <w:right w:val="single" w:color="auto" w:sz="4" w:space="0"/>
            </w:tcBorders>
            <w:vAlign w:val="center"/>
          </w:tcPr>
          <w:p w14:paraId="4839DDB9">
            <w:pPr>
              <w:spacing w:line="360" w:lineRule="auto"/>
              <w:jc w:val="center"/>
              <w:rPr>
                <w:rFonts w:ascii="宋体" w:hAnsi="宋体" w:cs="宋体"/>
                <w:sz w:val="24"/>
              </w:rPr>
            </w:pPr>
          </w:p>
        </w:tc>
      </w:tr>
      <w:tr w14:paraId="71544A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23263B84">
            <w:pPr>
              <w:spacing w:line="360" w:lineRule="auto"/>
              <w:jc w:val="center"/>
              <w:rPr>
                <w:rFonts w:ascii="宋体" w:hAnsi="宋体" w:cs="宋体"/>
                <w:sz w:val="24"/>
              </w:rPr>
            </w:pPr>
            <w:r>
              <w:rPr>
                <w:rFonts w:hint="eastAsia" w:ascii="宋体" w:hAnsi="宋体" w:cs="宋体"/>
                <w:sz w:val="24"/>
              </w:rPr>
              <w:t>发包人电话</w:t>
            </w:r>
          </w:p>
        </w:tc>
        <w:tc>
          <w:tcPr>
            <w:tcW w:w="6095" w:type="dxa"/>
            <w:tcBorders>
              <w:top w:val="single" w:color="auto" w:sz="4" w:space="0"/>
              <w:left w:val="nil"/>
              <w:bottom w:val="single" w:color="auto" w:sz="4" w:space="0"/>
              <w:right w:val="single" w:color="auto" w:sz="4" w:space="0"/>
            </w:tcBorders>
            <w:vAlign w:val="center"/>
          </w:tcPr>
          <w:p w14:paraId="68366EE7">
            <w:pPr>
              <w:spacing w:line="360" w:lineRule="auto"/>
              <w:jc w:val="center"/>
              <w:rPr>
                <w:rFonts w:ascii="宋体" w:hAnsi="宋体" w:cs="宋体"/>
                <w:sz w:val="24"/>
              </w:rPr>
            </w:pPr>
          </w:p>
        </w:tc>
      </w:tr>
      <w:tr w14:paraId="4250A5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7CC02C2F">
            <w:pPr>
              <w:spacing w:line="360" w:lineRule="auto"/>
              <w:jc w:val="center"/>
              <w:rPr>
                <w:rFonts w:ascii="宋体" w:hAnsi="宋体" w:cs="宋体"/>
                <w:sz w:val="24"/>
              </w:rPr>
            </w:pPr>
            <w:r>
              <w:rPr>
                <w:rFonts w:hint="eastAsia" w:ascii="宋体" w:hAnsi="宋体" w:cs="宋体"/>
                <w:sz w:val="24"/>
              </w:rPr>
              <w:t>签约合同价</w:t>
            </w:r>
          </w:p>
        </w:tc>
        <w:tc>
          <w:tcPr>
            <w:tcW w:w="6095" w:type="dxa"/>
            <w:tcBorders>
              <w:top w:val="single" w:color="auto" w:sz="4" w:space="0"/>
              <w:left w:val="nil"/>
              <w:bottom w:val="single" w:color="auto" w:sz="4" w:space="0"/>
              <w:right w:val="single" w:color="auto" w:sz="4" w:space="0"/>
            </w:tcBorders>
            <w:vAlign w:val="center"/>
          </w:tcPr>
          <w:p w14:paraId="66A8517F">
            <w:pPr>
              <w:spacing w:line="360" w:lineRule="auto"/>
              <w:jc w:val="center"/>
              <w:rPr>
                <w:rFonts w:ascii="宋体" w:hAnsi="宋体" w:cs="宋体"/>
                <w:sz w:val="24"/>
              </w:rPr>
            </w:pPr>
          </w:p>
        </w:tc>
      </w:tr>
      <w:tr w14:paraId="3B48BA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BDA936">
            <w:pPr>
              <w:spacing w:line="360" w:lineRule="auto"/>
              <w:jc w:val="center"/>
              <w:rPr>
                <w:rFonts w:ascii="宋体" w:hAnsi="宋体" w:cs="宋体"/>
                <w:sz w:val="24"/>
              </w:rPr>
            </w:pPr>
            <w:r>
              <w:rPr>
                <w:rFonts w:hint="eastAsia" w:ascii="宋体" w:hAnsi="宋体" w:cs="宋体"/>
                <w:sz w:val="24"/>
              </w:rPr>
              <w:t>开工日期</w:t>
            </w:r>
          </w:p>
        </w:tc>
        <w:tc>
          <w:tcPr>
            <w:tcW w:w="6095" w:type="dxa"/>
            <w:tcBorders>
              <w:top w:val="single" w:color="auto" w:sz="4" w:space="0"/>
              <w:left w:val="nil"/>
              <w:bottom w:val="single" w:color="auto" w:sz="4" w:space="0"/>
              <w:right w:val="single" w:color="auto" w:sz="4" w:space="0"/>
            </w:tcBorders>
            <w:vAlign w:val="center"/>
          </w:tcPr>
          <w:p w14:paraId="3154B926">
            <w:pPr>
              <w:spacing w:line="360" w:lineRule="auto"/>
              <w:jc w:val="center"/>
              <w:rPr>
                <w:rFonts w:ascii="宋体" w:hAnsi="宋体" w:cs="宋体"/>
                <w:sz w:val="24"/>
              </w:rPr>
            </w:pPr>
          </w:p>
        </w:tc>
      </w:tr>
      <w:tr w14:paraId="4E422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C031D20">
            <w:pPr>
              <w:spacing w:line="360" w:lineRule="auto"/>
              <w:jc w:val="center"/>
              <w:rPr>
                <w:rFonts w:ascii="宋体" w:hAnsi="宋体" w:cs="宋体"/>
                <w:sz w:val="24"/>
              </w:rPr>
            </w:pPr>
            <w:r>
              <w:rPr>
                <w:rFonts w:hint="eastAsia" w:ascii="宋体" w:hAnsi="宋体" w:cs="宋体"/>
                <w:sz w:val="24"/>
              </w:rPr>
              <w:t>计划竣工日期</w:t>
            </w:r>
          </w:p>
        </w:tc>
        <w:tc>
          <w:tcPr>
            <w:tcW w:w="6095" w:type="dxa"/>
            <w:tcBorders>
              <w:top w:val="single" w:color="auto" w:sz="4" w:space="0"/>
              <w:left w:val="nil"/>
              <w:bottom w:val="single" w:color="auto" w:sz="4" w:space="0"/>
              <w:right w:val="single" w:color="auto" w:sz="4" w:space="0"/>
            </w:tcBorders>
            <w:vAlign w:val="center"/>
          </w:tcPr>
          <w:p w14:paraId="5371C3A2">
            <w:pPr>
              <w:spacing w:line="360" w:lineRule="auto"/>
              <w:jc w:val="center"/>
              <w:rPr>
                <w:rFonts w:ascii="宋体" w:hAnsi="宋体" w:cs="宋体"/>
                <w:sz w:val="24"/>
              </w:rPr>
            </w:pPr>
          </w:p>
        </w:tc>
      </w:tr>
      <w:tr w14:paraId="0780E0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FB35117">
            <w:pPr>
              <w:spacing w:line="360" w:lineRule="auto"/>
              <w:jc w:val="center"/>
              <w:rPr>
                <w:rFonts w:ascii="宋体" w:hAnsi="宋体" w:cs="宋体"/>
                <w:sz w:val="24"/>
              </w:rPr>
            </w:pPr>
            <w:r>
              <w:rPr>
                <w:rFonts w:hint="eastAsia" w:ascii="宋体" w:hAnsi="宋体" w:cs="宋体"/>
                <w:sz w:val="24"/>
              </w:rPr>
              <w:t>承担的工作</w:t>
            </w:r>
          </w:p>
        </w:tc>
        <w:tc>
          <w:tcPr>
            <w:tcW w:w="6095" w:type="dxa"/>
            <w:tcBorders>
              <w:top w:val="single" w:color="auto" w:sz="4" w:space="0"/>
              <w:left w:val="nil"/>
              <w:bottom w:val="single" w:color="auto" w:sz="4" w:space="0"/>
              <w:right w:val="single" w:color="auto" w:sz="4" w:space="0"/>
            </w:tcBorders>
            <w:vAlign w:val="center"/>
          </w:tcPr>
          <w:p w14:paraId="5693A140">
            <w:pPr>
              <w:spacing w:line="360" w:lineRule="auto"/>
              <w:jc w:val="center"/>
              <w:rPr>
                <w:rFonts w:ascii="宋体" w:hAnsi="宋体" w:cs="宋体"/>
                <w:sz w:val="24"/>
              </w:rPr>
            </w:pPr>
          </w:p>
        </w:tc>
      </w:tr>
      <w:tr w14:paraId="28B933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C87DDD4">
            <w:pPr>
              <w:spacing w:line="360" w:lineRule="auto"/>
              <w:jc w:val="center"/>
              <w:rPr>
                <w:rFonts w:ascii="宋体" w:hAnsi="宋体" w:cs="宋体"/>
                <w:sz w:val="24"/>
              </w:rPr>
            </w:pPr>
            <w:r>
              <w:rPr>
                <w:rFonts w:hint="eastAsia" w:ascii="宋体" w:hAnsi="宋体" w:cs="宋体"/>
                <w:sz w:val="24"/>
              </w:rPr>
              <w:t>工程质量</w:t>
            </w:r>
          </w:p>
        </w:tc>
        <w:tc>
          <w:tcPr>
            <w:tcW w:w="6095" w:type="dxa"/>
            <w:tcBorders>
              <w:top w:val="single" w:color="auto" w:sz="4" w:space="0"/>
              <w:left w:val="nil"/>
              <w:bottom w:val="single" w:color="auto" w:sz="4" w:space="0"/>
              <w:right w:val="single" w:color="auto" w:sz="4" w:space="0"/>
            </w:tcBorders>
            <w:vAlign w:val="center"/>
          </w:tcPr>
          <w:p w14:paraId="67BDDEDB">
            <w:pPr>
              <w:spacing w:line="360" w:lineRule="auto"/>
              <w:jc w:val="center"/>
              <w:rPr>
                <w:rFonts w:ascii="宋体" w:hAnsi="宋体" w:cs="宋体"/>
                <w:sz w:val="24"/>
              </w:rPr>
            </w:pPr>
          </w:p>
        </w:tc>
      </w:tr>
      <w:tr w14:paraId="1CA75B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48C0EB5">
            <w:pPr>
              <w:spacing w:line="360" w:lineRule="auto"/>
              <w:jc w:val="center"/>
              <w:rPr>
                <w:rFonts w:ascii="宋体" w:hAnsi="宋体" w:cs="宋体"/>
                <w:sz w:val="24"/>
              </w:rPr>
            </w:pPr>
            <w:r>
              <w:rPr>
                <w:rFonts w:hint="eastAsia" w:ascii="宋体" w:hAnsi="宋体" w:cs="宋体"/>
                <w:sz w:val="24"/>
              </w:rPr>
              <w:t>项目经理</w:t>
            </w:r>
          </w:p>
        </w:tc>
        <w:tc>
          <w:tcPr>
            <w:tcW w:w="6095" w:type="dxa"/>
            <w:tcBorders>
              <w:top w:val="single" w:color="auto" w:sz="4" w:space="0"/>
              <w:left w:val="nil"/>
              <w:bottom w:val="single" w:color="auto" w:sz="4" w:space="0"/>
              <w:right w:val="single" w:color="auto" w:sz="4" w:space="0"/>
            </w:tcBorders>
            <w:vAlign w:val="center"/>
          </w:tcPr>
          <w:p w14:paraId="0251D3B2">
            <w:pPr>
              <w:spacing w:line="360" w:lineRule="auto"/>
              <w:jc w:val="center"/>
              <w:rPr>
                <w:rFonts w:ascii="宋体" w:hAnsi="宋体" w:cs="宋体"/>
                <w:sz w:val="24"/>
              </w:rPr>
            </w:pPr>
          </w:p>
        </w:tc>
      </w:tr>
      <w:tr w14:paraId="62CD39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11ACC90B">
            <w:pPr>
              <w:spacing w:line="360" w:lineRule="auto"/>
              <w:jc w:val="center"/>
              <w:rPr>
                <w:rFonts w:ascii="宋体" w:hAnsi="宋体" w:cs="宋体"/>
                <w:sz w:val="24"/>
              </w:rPr>
            </w:pPr>
            <w:r>
              <w:rPr>
                <w:rFonts w:hint="eastAsia" w:ascii="宋体" w:hAnsi="宋体" w:cs="宋体"/>
                <w:sz w:val="24"/>
              </w:rPr>
              <w:t>技术负责人</w:t>
            </w:r>
          </w:p>
        </w:tc>
        <w:tc>
          <w:tcPr>
            <w:tcW w:w="6095" w:type="dxa"/>
            <w:tcBorders>
              <w:top w:val="single" w:color="auto" w:sz="4" w:space="0"/>
              <w:left w:val="nil"/>
              <w:bottom w:val="single" w:color="auto" w:sz="4" w:space="0"/>
              <w:right w:val="single" w:color="auto" w:sz="4" w:space="0"/>
            </w:tcBorders>
            <w:vAlign w:val="center"/>
          </w:tcPr>
          <w:p w14:paraId="39E5C22D">
            <w:pPr>
              <w:spacing w:line="360" w:lineRule="auto"/>
              <w:jc w:val="center"/>
              <w:rPr>
                <w:rFonts w:ascii="宋体" w:hAnsi="宋体" w:cs="宋体"/>
                <w:sz w:val="24"/>
              </w:rPr>
            </w:pPr>
          </w:p>
        </w:tc>
      </w:tr>
      <w:tr w14:paraId="7C720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2"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5024CBE9">
            <w:pPr>
              <w:spacing w:line="360" w:lineRule="auto"/>
              <w:jc w:val="center"/>
              <w:rPr>
                <w:rFonts w:ascii="宋体" w:hAnsi="宋体" w:cs="宋体"/>
                <w:sz w:val="24"/>
              </w:rPr>
            </w:pPr>
            <w:r>
              <w:rPr>
                <w:rFonts w:hint="eastAsia" w:ascii="宋体" w:hAnsi="宋体" w:cs="宋体"/>
                <w:sz w:val="24"/>
              </w:rPr>
              <w:t>项目描述</w:t>
            </w:r>
          </w:p>
        </w:tc>
        <w:tc>
          <w:tcPr>
            <w:tcW w:w="6095" w:type="dxa"/>
            <w:tcBorders>
              <w:top w:val="single" w:color="auto" w:sz="4" w:space="0"/>
              <w:left w:val="nil"/>
              <w:bottom w:val="single" w:color="auto" w:sz="4" w:space="0"/>
              <w:right w:val="single" w:color="auto" w:sz="4" w:space="0"/>
            </w:tcBorders>
            <w:vAlign w:val="center"/>
          </w:tcPr>
          <w:p w14:paraId="62A8013A">
            <w:pPr>
              <w:spacing w:line="360" w:lineRule="auto"/>
              <w:jc w:val="center"/>
              <w:rPr>
                <w:rFonts w:ascii="宋体" w:hAnsi="宋体" w:cs="宋体"/>
                <w:sz w:val="24"/>
              </w:rPr>
            </w:pPr>
          </w:p>
        </w:tc>
      </w:tr>
      <w:tr w14:paraId="29B79E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2410" w:type="dxa"/>
            <w:tcBorders>
              <w:top w:val="single" w:color="auto" w:sz="4" w:space="0"/>
              <w:left w:val="single" w:color="auto" w:sz="4" w:space="0"/>
              <w:bottom w:val="single" w:color="auto" w:sz="4" w:space="0"/>
              <w:right w:val="single" w:color="auto" w:sz="4" w:space="0"/>
            </w:tcBorders>
            <w:vAlign w:val="center"/>
          </w:tcPr>
          <w:p w14:paraId="05BA12F0">
            <w:pPr>
              <w:spacing w:line="360" w:lineRule="auto"/>
              <w:jc w:val="center"/>
              <w:rPr>
                <w:rFonts w:ascii="宋体" w:hAnsi="宋体" w:cs="宋体"/>
                <w:sz w:val="24"/>
              </w:rPr>
            </w:pPr>
            <w:r>
              <w:rPr>
                <w:rFonts w:hint="eastAsia" w:ascii="宋体" w:hAnsi="宋体" w:cs="宋体"/>
                <w:sz w:val="24"/>
              </w:rPr>
              <w:t>备注</w:t>
            </w:r>
          </w:p>
        </w:tc>
        <w:tc>
          <w:tcPr>
            <w:tcW w:w="6095" w:type="dxa"/>
            <w:tcBorders>
              <w:top w:val="single" w:color="auto" w:sz="4" w:space="0"/>
              <w:left w:val="nil"/>
              <w:bottom w:val="single" w:color="auto" w:sz="4" w:space="0"/>
              <w:right w:val="single" w:color="auto" w:sz="4" w:space="0"/>
            </w:tcBorders>
            <w:vAlign w:val="center"/>
          </w:tcPr>
          <w:p w14:paraId="69B83DD1">
            <w:pPr>
              <w:spacing w:line="360" w:lineRule="auto"/>
              <w:jc w:val="center"/>
              <w:rPr>
                <w:rFonts w:ascii="宋体" w:hAnsi="宋体" w:cs="宋体"/>
                <w:sz w:val="24"/>
              </w:rPr>
            </w:pPr>
          </w:p>
        </w:tc>
      </w:tr>
    </w:tbl>
    <w:p w14:paraId="2CF3AEAB">
      <w:pPr>
        <w:spacing w:line="360" w:lineRule="auto"/>
        <w:rPr>
          <w:rFonts w:ascii="宋体" w:hAnsi="宋体" w:cs="宋体"/>
          <w:szCs w:val="21"/>
        </w:rPr>
      </w:pPr>
      <w:r>
        <w:rPr>
          <w:rFonts w:hint="eastAsia" w:ascii="宋体" w:hAnsi="宋体" w:cs="宋体"/>
          <w:sz w:val="24"/>
        </w:rPr>
        <w:t>备注：本表后提供中标通知书或合同协议书原件扫描件。每张表格只填写一个项目，并标明序号。</w:t>
      </w:r>
    </w:p>
    <w:p w14:paraId="205B8FBB">
      <w:pPr>
        <w:widowControl/>
        <w:jc w:val="left"/>
        <w:rPr>
          <w:rFonts w:ascii="宋体" w:hAnsi="宋体" w:cs="宋体"/>
          <w:b/>
          <w:bCs/>
          <w:sz w:val="24"/>
        </w:rPr>
      </w:pPr>
      <w:bookmarkStart w:id="467" w:name="_Toc392837527"/>
      <w:bookmarkEnd w:id="467"/>
      <w:r>
        <w:rPr>
          <w:rFonts w:ascii="宋体" w:hAnsi="宋体" w:cs="宋体"/>
          <w:b/>
          <w:bCs/>
          <w:sz w:val="24"/>
        </w:rPr>
        <w:br w:type="page"/>
      </w:r>
    </w:p>
    <w:p w14:paraId="5867AA21">
      <w:pPr>
        <w:numPr>
          <w:ilvl w:val="0"/>
          <w:numId w:val="3"/>
        </w:numPr>
        <w:spacing w:line="360" w:lineRule="auto"/>
        <w:jc w:val="center"/>
        <w:textAlignment w:val="center"/>
        <w:rPr>
          <w:rFonts w:ascii="宋体" w:hAnsi="宋体" w:cs="宋体"/>
          <w:b/>
          <w:bCs/>
          <w:sz w:val="24"/>
        </w:rPr>
      </w:pPr>
      <w:r>
        <w:rPr>
          <w:rFonts w:hint="eastAsia" w:ascii="宋体" w:hAnsi="宋体" w:cs="宋体"/>
          <w:b/>
          <w:bCs/>
          <w:sz w:val="24"/>
        </w:rPr>
        <w:t>近年发生的诉讼和仲裁情况</w:t>
      </w:r>
    </w:p>
    <w:p w14:paraId="3839798D">
      <w:pPr>
        <w:pStyle w:val="60"/>
        <w:ind w:firstLine="0" w:firstLineChars="0"/>
      </w:pPr>
    </w:p>
    <w:p w14:paraId="11563240">
      <w:pPr>
        <w:spacing w:line="360" w:lineRule="auto"/>
        <w:ind w:firstLine="480" w:firstLineChars="200"/>
        <w:rPr>
          <w:rFonts w:ascii="宋体" w:hAnsi="宋体" w:cs="宋体"/>
          <w:sz w:val="24"/>
        </w:rPr>
      </w:pPr>
      <w:r>
        <w:rPr>
          <w:rFonts w:hint="eastAsia" w:ascii="宋体" w:hAnsi="宋体" w:cs="宋体"/>
          <w:sz w:val="24"/>
        </w:rPr>
        <w:t>说明：近年发生的诉讼和仲裁情况仅限于</w:t>
      </w:r>
      <w:r>
        <w:rPr>
          <w:rFonts w:hint="eastAsia" w:ascii="宋体" w:hAnsi="宋体" w:cs="宋体"/>
          <w:sz w:val="24"/>
          <w:lang w:eastAsia="zh-CN"/>
        </w:rPr>
        <w:t>供应商</w:t>
      </w:r>
      <w:r>
        <w:rPr>
          <w:rFonts w:hint="eastAsia" w:ascii="宋体" w:hAnsi="宋体" w:cs="宋体"/>
          <w:sz w:val="24"/>
        </w:rPr>
        <w:t>败诉的，且与履行施工承包合同有关的案件，不包括调解结案以及未裁决的仲裁或未终审判决的诉讼。</w:t>
      </w:r>
    </w:p>
    <w:p w14:paraId="2B39E8BA">
      <w:pPr>
        <w:spacing w:line="360" w:lineRule="auto"/>
        <w:textAlignment w:val="center"/>
        <w:rPr>
          <w:rFonts w:ascii="宋体" w:hAnsi="宋体" w:cs="宋体"/>
          <w:sz w:val="24"/>
        </w:rPr>
      </w:pPr>
    </w:p>
    <w:p w14:paraId="4D93A899">
      <w:pPr>
        <w:pStyle w:val="61"/>
        <w:spacing w:line="360" w:lineRule="auto"/>
        <w:rPr>
          <w:rFonts w:hint="default" w:hAnsi="宋体" w:cs="宋体"/>
          <w:color w:val="auto"/>
        </w:rPr>
      </w:pPr>
      <w:r>
        <w:rPr>
          <w:rFonts w:hAnsi="宋体" w:cs="宋体"/>
          <w:color w:val="auto"/>
        </w:rPr>
        <w:br w:type="page"/>
      </w:r>
    </w:p>
    <w:p w14:paraId="745738A0">
      <w:pPr>
        <w:spacing w:line="360" w:lineRule="auto"/>
        <w:jc w:val="center"/>
        <w:textAlignment w:val="center"/>
        <w:rPr>
          <w:rFonts w:ascii="宋体" w:hAnsi="宋体" w:cs="宋体"/>
          <w:b/>
          <w:bCs/>
          <w:sz w:val="24"/>
        </w:rPr>
      </w:pPr>
      <w:r>
        <w:rPr>
          <w:rFonts w:hint="eastAsia" w:ascii="宋体" w:hAnsi="宋体" w:cs="宋体"/>
          <w:b/>
          <w:bCs/>
          <w:sz w:val="24"/>
        </w:rPr>
        <w:t>（六）无商业贿赂及无不正当竞争行为承诺书（格式）</w:t>
      </w:r>
    </w:p>
    <w:p w14:paraId="0FA34EB7">
      <w:pPr>
        <w:spacing w:line="360" w:lineRule="auto"/>
        <w:textAlignment w:val="center"/>
        <w:rPr>
          <w:rFonts w:ascii="宋体" w:hAnsi="宋体" w:cs="宋体"/>
          <w:sz w:val="24"/>
        </w:rPr>
      </w:pPr>
    </w:p>
    <w:p w14:paraId="691C5BD3">
      <w:pPr>
        <w:spacing w:line="360" w:lineRule="auto"/>
        <w:ind w:firstLine="480" w:firstLineChars="200"/>
        <w:textAlignment w:val="center"/>
        <w:rPr>
          <w:rFonts w:ascii="宋体" w:hAnsi="宋体" w:cs="宋体"/>
          <w:sz w:val="24"/>
        </w:rPr>
      </w:pPr>
      <w:r>
        <w:rPr>
          <w:rFonts w:hint="eastAsia" w:ascii="宋体" w:hAnsi="宋体" w:cs="宋体"/>
          <w:sz w:val="24"/>
        </w:rPr>
        <w:t xml:space="preserve"> 我公司郑重承诺：自公司成立以来</w:t>
      </w:r>
      <w:r>
        <w:rPr>
          <w:rFonts w:hint="eastAsia" w:ascii="宋体" w:hAnsi="宋体" w:cs="宋体"/>
          <w:sz w:val="24"/>
          <w:u w:val="single"/>
        </w:rPr>
        <w:t xml:space="preserve">     （</w:t>
      </w:r>
      <w:r>
        <w:rPr>
          <w:rFonts w:hint="eastAsia" w:ascii="宋体" w:hAnsi="宋体" w:cs="宋体"/>
          <w:sz w:val="24"/>
          <w:u w:val="single"/>
          <w:lang w:eastAsia="zh-CN"/>
        </w:rPr>
        <w:t>供应商</w:t>
      </w:r>
      <w:r>
        <w:rPr>
          <w:rFonts w:hint="eastAsia" w:ascii="宋体" w:hAnsi="宋体" w:cs="宋体"/>
          <w:sz w:val="24"/>
          <w:u w:val="single"/>
        </w:rPr>
        <w:t xml:space="preserve">名称）  </w:t>
      </w:r>
      <w:r>
        <w:rPr>
          <w:rFonts w:hint="eastAsia" w:ascii="宋体" w:hAnsi="宋体" w:cs="宋体"/>
          <w:sz w:val="24"/>
        </w:rPr>
        <w:t>、法定代表人</w:t>
      </w:r>
      <w:r>
        <w:rPr>
          <w:rFonts w:hint="eastAsia" w:ascii="宋体" w:hAnsi="宋体" w:cs="宋体"/>
          <w:sz w:val="24"/>
          <w:u w:val="single"/>
        </w:rPr>
        <w:t xml:space="preserve">         </w:t>
      </w:r>
      <w:r>
        <w:rPr>
          <w:rFonts w:hint="eastAsia" w:ascii="宋体" w:hAnsi="宋体" w:cs="宋体"/>
          <w:sz w:val="24"/>
        </w:rPr>
        <w:t>、项目经理</w:t>
      </w:r>
      <w:r>
        <w:rPr>
          <w:rFonts w:hint="eastAsia" w:ascii="宋体" w:hAnsi="宋体" w:cs="宋体"/>
          <w:sz w:val="24"/>
          <w:u w:val="single"/>
        </w:rPr>
        <w:t xml:space="preserve">          </w:t>
      </w:r>
      <w:r>
        <w:rPr>
          <w:rFonts w:hint="eastAsia" w:ascii="宋体" w:hAnsi="宋体" w:cs="宋体"/>
          <w:sz w:val="24"/>
        </w:rPr>
        <w:t>没有出现过商业贿赂和不正当竞争行为。</w:t>
      </w:r>
    </w:p>
    <w:p w14:paraId="6ACB2C2C">
      <w:pPr>
        <w:spacing w:line="360" w:lineRule="auto"/>
        <w:ind w:firstLine="480" w:firstLineChars="200"/>
        <w:textAlignment w:val="center"/>
        <w:rPr>
          <w:rFonts w:ascii="宋体" w:hAnsi="宋体" w:cs="宋体"/>
          <w:sz w:val="24"/>
        </w:rPr>
      </w:pPr>
    </w:p>
    <w:p w14:paraId="48B7DDC1">
      <w:pPr>
        <w:spacing w:line="360" w:lineRule="auto"/>
        <w:ind w:firstLine="480" w:firstLineChars="200"/>
        <w:textAlignment w:val="center"/>
        <w:rPr>
          <w:rFonts w:ascii="宋体" w:hAnsi="宋体" w:cs="宋体"/>
          <w:sz w:val="24"/>
        </w:rPr>
      </w:pPr>
      <w:r>
        <w:rPr>
          <w:rFonts w:hint="eastAsia" w:ascii="宋体" w:hAnsi="宋体" w:cs="宋体"/>
          <w:sz w:val="24"/>
        </w:rPr>
        <w:t xml:space="preserve">  特此承诺。</w:t>
      </w:r>
    </w:p>
    <w:p w14:paraId="775816B6">
      <w:pPr>
        <w:spacing w:line="360" w:lineRule="auto"/>
        <w:textAlignment w:val="center"/>
        <w:rPr>
          <w:rFonts w:ascii="宋体" w:hAnsi="宋体" w:cs="宋体"/>
          <w:sz w:val="24"/>
        </w:rPr>
      </w:pPr>
    </w:p>
    <w:p w14:paraId="3B3F1D5F">
      <w:pPr>
        <w:spacing w:line="360" w:lineRule="auto"/>
        <w:ind w:firstLine="480" w:firstLineChars="200"/>
        <w:jc w:val="right"/>
        <w:textAlignment w:val="center"/>
        <w:rPr>
          <w:rFonts w:ascii="宋体" w:hAnsi="宋体" w:cs="宋体"/>
          <w:sz w:val="24"/>
        </w:rPr>
      </w:pPr>
      <w:r>
        <w:rPr>
          <w:rFonts w:hint="eastAsia" w:ascii="宋体" w:hAnsi="宋体" w:cs="宋体"/>
          <w:sz w:val="24"/>
        </w:rPr>
        <w:t xml:space="preserve">              </w:t>
      </w:r>
      <w:r>
        <w:rPr>
          <w:rFonts w:hint="eastAsia" w:ascii="宋体" w:hAnsi="宋体" w:cs="宋体"/>
          <w:sz w:val="24"/>
          <w:lang w:eastAsia="zh-CN"/>
        </w:rPr>
        <w:t>供应商：</w:t>
      </w:r>
      <w:r>
        <w:rPr>
          <w:rFonts w:hint="eastAsia" w:ascii="宋体" w:hAnsi="宋体" w:cs="宋体"/>
          <w:sz w:val="24"/>
        </w:rPr>
        <w:t>（电子签章）</w:t>
      </w:r>
    </w:p>
    <w:p w14:paraId="0C3815C4">
      <w:pPr>
        <w:spacing w:line="360" w:lineRule="auto"/>
        <w:ind w:firstLine="3794" w:firstLineChars="1581"/>
        <w:jc w:val="right"/>
        <w:rPr>
          <w:rFonts w:ascii="宋体" w:hAnsi="宋体" w:cs="宋体"/>
          <w:sz w:val="24"/>
        </w:rPr>
      </w:pPr>
      <w:r>
        <w:rPr>
          <w:rFonts w:hint="eastAsia" w:ascii="宋体" w:hAnsi="宋体" w:cs="宋体"/>
          <w:sz w:val="24"/>
        </w:rPr>
        <w:t>法定代表人：（电子签章）</w:t>
      </w:r>
    </w:p>
    <w:p w14:paraId="4A243D98">
      <w:pPr>
        <w:spacing w:line="360" w:lineRule="auto"/>
        <w:ind w:firstLine="3794" w:firstLineChars="1581"/>
        <w:jc w:val="right"/>
        <w:rPr>
          <w:rFonts w:ascii="宋体" w:hAnsi="宋体" w:cs="宋体"/>
          <w:sz w:val="24"/>
        </w:rPr>
      </w:pPr>
      <w:r>
        <w:rPr>
          <w:rFonts w:hint="eastAsia" w:ascii="宋体" w:hAnsi="宋体" w:cs="宋体"/>
          <w:sz w:val="24"/>
        </w:rPr>
        <w:t>日期：年月日</w:t>
      </w:r>
    </w:p>
    <w:p w14:paraId="0CCBC9AF">
      <w:pPr>
        <w:spacing w:line="360" w:lineRule="auto"/>
        <w:jc w:val="right"/>
        <w:textAlignment w:val="center"/>
        <w:rPr>
          <w:rFonts w:ascii="宋体" w:hAnsi="宋体" w:cs="宋体"/>
          <w:sz w:val="24"/>
        </w:rPr>
      </w:pPr>
    </w:p>
    <w:p w14:paraId="55841A9D">
      <w:pPr>
        <w:spacing w:line="360" w:lineRule="auto"/>
        <w:jc w:val="center"/>
        <w:textAlignment w:val="center"/>
        <w:rPr>
          <w:rFonts w:ascii="宋体" w:hAnsi="宋体" w:cs="宋体"/>
          <w:sz w:val="24"/>
        </w:rPr>
      </w:pPr>
    </w:p>
    <w:p w14:paraId="5183C69F">
      <w:pPr>
        <w:spacing w:line="360" w:lineRule="auto"/>
        <w:jc w:val="center"/>
        <w:textAlignment w:val="center"/>
        <w:rPr>
          <w:rFonts w:ascii="宋体" w:hAnsi="宋体" w:cs="宋体"/>
          <w:sz w:val="24"/>
        </w:rPr>
      </w:pPr>
    </w:p>
    <w:p w14:paraId="653C9C90">
      <w:pPr>
        <w:pStyle w:val="61"/>
        <w:spacing w:line="360" w:lineRule="auto"/>
        <w:rPr>
          <w:rFonts w:hint="default" w:hAnsi="宋体" w:cs="宋体"/>
          <w:color w:val="auto"/>
        </w:rPr>
      </w:pPr>
      <w:r>
        <w:rPr>
          <w:rFonts w:hAnsi="宋体" w:cs="宋体"/>
          <w:color w:val="auto"/>
        </w:rPr>
        <w:br w:type="page"/>
      </w:r>
    </w:p>
    <w:p w14:paraId="3E5B6276">
      <w:pPr>
        <w:pStyle w:val="5"/>
        <w:jc w:val="center"/>
        <w:rPr>
          <w:rFonts w:ascii="宋体" w:hAnsi="宋体" w:cs="宋体"/>
          <w:bCs/>
          <w:sz w:val="32"/>
        </w:rPr>
      </w:pPr>
      <w:bookmarkStart w:id="468" w:name="_Toc30556"/>
      <w:bookmarkStart w:id="469" w:name="_Toc142912964"/>
      <w:bookmarkStart w:id="470" w:name="_Toc24121"/>
      <w:bookmarkStart w:id="471" w:name="_Toc142932654"/>
      <w:bookmarkStart w:id="472" w:name="_Toc28620"/>
      <w:bookmarkStart w:id="473" w:name="_Toc142932601"/>
      <w:bookmarkStart w:id="474" w:name="_Toc24192"/>
      <w:r>
        <w:rPr>
          <w:rFonts w:hint="eastAsia" w:ascii="宋体" w:hAnsi="宋体" w:cs="宋体"/>
          <w:bCs/>
          <w:sz w:val="32"/>
          <w:lang w:val="en-US" w:eastAsia="zh-CN"/>
        </w:rPr>
        <w:t>七</w:t>
      </w:r>
      <w:r>
        <w:rPr>
          <w:rFonts w:hint="eastAsia" w:ascii="宋体" w:hAnsi="宋体" w:cs="宋体"/>
          <w:bCs/>
          <w:sz w:val="32"/>
        </w:rPr>
        <w:t>、</w:t>
      </w:r>
      <w:r>
        <w:rPr>
          <w:rFonts w:hint="eastAsia" w:ascii="宋体" w:hAnsi="宋体" w:cs="宋体"/>
          <w:bCs/>
          <w:sz w:val="32"/>
          <w:lang w:eastAsia="zh-CN"/>
        </w:rPr>
        <w:t>供应商</w:t>
      </w:r>
      <w:r>
        <w:rPr>
          <w:rFonts w:hint="eastAsia" w:ascii="宋体" w:hAnsi="宋体" w:cs="宋体"/>
          <w:bCs/>
          <w:sz w:val="32"/>
        </w:rPr>
        <w:t>认为需要提供的其他材料</w:t>
      </w:r>
      <w:bookmarkEnd w:id="468"/>
      <w:bookmarkEnd w:id="469"/>
      <w:bookmarkEnd w:id="470"/>
      <w:bookmarkEnd w:id="471"/>
      <w:bookmarkEnd w:id="472"/>
      <w:bookmarkEnd w:id="473"/>
      <w:bookmarkEnd w:id="474"/>
    </w:p>
    <w:p w14:paraId="766CA52B">
      <w:pPr>
        <w:rPr>
          <w:rFonts w:ascii="宋体" w:hAnsi="宋体" w:cs="宋体"/>
          <w:b/>
          <w:spacing w:val="14"/>
          <w:sz w:val="32"/>
          <w:szCs w:val="32"/>
        </w:rPr>
      </w:pPr>
    </w:p>
    <w:p w14:paraId="4CD01AE0">
      <w:pPr>
        <w:spacing w:line="600" w:lineRule="auto"/>
        <w:outlineLvl w:val="2"/>
        <w:rPr>
          <w:rFonts w:ascii="宋体" w:hAnsi="宋体"/>
          <w:bCs/>
          <w:sz w:val="24"/>
        </w:rPr>
      </w:pPr>
      <w:bookmarkStart w:id="475" w:name="_Toc191031470"/>
      <w:r>
        <w:rPr>
          <w:rFonts w:hint="eastAsia" w:ascii="宋体" w:hAnsi="宋体"/>
          <w:bCs/>
          <w:sz w:val="24"/>
        </w:rPr>
        <w:t xml:space="preserve">附件1、   </w:t>
      </w:r>
      <w:r>
        <w:rPr>
          <w:rFonts w:hint="eastAsia" w:ascii="宋体" w:hAnsi="宋体" w:cs="仿宋_GB2312"/>
          <w:bCs/>
          <w:kern w:val="0"/>
          <w:sz w:val="24"/>
        </w:rPr>
        <w:t xml:space="preserve">                </w:t>
      </w:r>
      <w:r>
        <w:rPr>
          <w:rFonts w:hint="eastAsia" w:ascii="宋体" w:hAnsi="宋体"/>
          <w:bCs/>
          <w:sz w:val="24"/>
        </w:rPr>
        <w:t>没有重大违法记录承诺书（格式）</w:t>
      </w:r>
      <w:bookmarkEnd w:id="475"/>
    </w:p>
    <w:p w14:paraId="6AA1393B">
      <w:pPr>
        <w:widowControl/>
        <w:spacing w:after="150" w:line="500" w:lineRule="exact"/>
        <w:ind w:firstLine="480" w:firstLineChars="200"/>
        <w:rPr>
          <w:rFonts w:ascii="宋体" w:hAnsi="宋体" w:eastAsia="等线"/>
          <w:sz w:val="24"/>
          <w:szCs w:val="22"/>
        </w:rPr>
      </w:pPr>
    </w:p>
    <w:p w14:paraId="0948F060">
      <w:pPr>
        <w:widowControl/>
        <w:spacing w:after="150" w:line="500" w:lineRule="exact"/>
        <w:rPr>
          <w:rFonts w:ascii="宋体" w:hAnsi="宋体" w:cs="宋体"/>
          <w:kern w:val="0"/>
          <w:sz w:val="24"/>
          <w:szCs w:val="22"/>
        </w:rPr>
      </w:pPr>
      <w:r>
        <w:rPr>
          <w:rFonts w:hint="eastAsia" w:ascii="宋体" w:hAnsi="宋体" w:cs="宋体"/>
          <w:sz w:val="24"/>
          <w:lang w:eastAsia="zh-CN"/>
        </w:rPr>
        <w:t>（采购人名称）</w:t>
      </w:r>
      <w:r>
        <w:rPr>
          <w:rFonts w:hint="eastAsia" w:ascii="宋体" w:hAnsi="宋体" w:cs="宋体"/>
          <w:sz w:val="24"/>
        </w:rPr>
        <w:t>：</w:t>
      </w:r>
    </w:p>
    <w:p w14:paraId="69C79C0A">
      <w:pPr>
        <w:keepNext/>
        <w:widowControl/>
        <w:spacing w:beforeLines="50" w:afterLines="50" w:line="600" w:lineRule="auto"/>
        <w:ind w:left="210" w:leftChars="100" w:firstLine="720" w:firstLineChars="300"/>
        <w:jc w:val="left"/>
        <w:rPr>
          <w:rFonts w:ascii="宋体" w:hAnsi="宋体" w:cs="宋体"/>
          <w:sz w:val="24"/>
          <w:szCs w:val="22"/>
        </w:rPr>
      </w:pPr>
      <w:r>
        <w:rPr>
          <w:rFonts w:hint="eastAsia" w:ascii="宋体" w:hAnsi="宋体" w:cs="宋体"/>
          <w:sz w:val="24"/>
          <w:szCs w:val="22"/>
        </w:rPr>
        <w:t>我公司承诺：参加本次招标活动前三年内在经营活动中，我公司以及公司法定代表人在经营活动中，从没有行贿犯罪、商业贿赂、不正当竞争、骗取中标、严重违约等重大违法记录行为，且信誉良好，没有处于被责令停业、投保资格被取消，财产被接管、冻结、破产状态。</w:t>
      </w:r>
    </w:p>
    <w:p w14:paraId="1A45F3EE">
      <w:pPr>
        <w:keepNext/>
        <w:widowControl/>
        <w:spacing w:beforeLines="50" w:afterLines="50" w:line="600" w:lineRule="auto"/>
        <w:ind w:left="210" w:leftChars="100" w:firstLine="720" w:firstLineChars="300"/>
        <w:jc w:val="left"/>
        <w:rPr>
          <w:rFonts w:ascii="宋体" w:hAnsi="宋体" w:cs="宋体"/>
          <w:sz w:val="24"/>
          <w:szCs w:val="22"/>
        </w:rPr>
      </w:pPr>
    </w:p>
    <w:p w14:paraId="2B97A6C3">
      <w:pPr>
        <w:spacing w:line="480" w:lineRule="exact"/>
        <w:ind w:right="600" w:firstLine="3609" w:firstLineChars="1504"/>
        <w:rPr>
          <w:rFonts w:ascii="宋体" w:hAnsi="宋体" w:cs="宋体"/>
          <w:sz w:val="24"/>
          <w:u w:val="single"/>
        </w:rPr>
      </w:pPr>
      <w:r>
        <w:rPr>
          <w:rFonts w:hint="eastAsia" w:ascii="宋体" w:hAnsi="宋体" w:cs="宋体"/>
          <w:sz w:val="24"/>
          <w:lang w:eastAsia="zh-CN"/>
        </w:rPr>
        <w:t>供应商：</w:t>
      </w:r>
      <w:r>
        <w:rPr>
          <w:rFonts w:hint="eastAsia" w:ascii="宋体" w:hAnsi="宋体" w:cs="宋体"/>
          <w:sz w:val="24"/>
        </w:rPr>
        <w:t>（电子签章）</w:t>
      </w:r>
    </w:p>
    <w:p w14:paraId="3FEBAAC1">
      <w:pPr>
        <w:spacing w:line="480" w:lineRule="exact"/>
        <w:ind w:firstLine="3609" w:firstLineChars="1504"/>
        <w:rPr>
          <w:rFonts w:ascii="宋体" w:hAnsi="宋体" w:cs="宋体"/>
          <w:sz w:val="24"/>
        </w:rPr>
      </w:pPr>
      <w:r>
        <w:rPr>
          <w:rFonts w:hint="eastAsia" w:ascii="宋体" w:hAnsi="宋体" w:cs="宋体"/>
          <w:sz w:val="24"/>
        </w:rPr>
        <w:t>法定代表人：</w:t>
      </w:r>
      <w:r>
        <w:rPr>
          <w:rFonts w:hint="eastAsia" w:ascii="宋体" w:hAnsi="宋体" w:cs="宋体"/>
          <w:b/>
          <w:sz w:val="24"/>
        </w:rPr>
        <w:t>（</w:t>
      </w:r>
      <w:r>
        <w:rPr>
          <w:rFonts w:hint="eastAsia" w:ascii="宋体" w:hAnsi="宋体" w:cs="宋体"/>
          <w:sz w:val="24"/>
        </w:rPr>
        <w:t>电子签章）</w:t>
      </w:r>
    </w:p>
    <w:p w14:paraId="74252D8A">
      <w:pPr>
        <w:spacing w:line="480" w:lineRule="exact"/>
        <w:ind w:firstLine="4089" w:firstLineChars="1704"/>
        <w:rPr>
          <w:rFonts w:ascii="宋体" w:hAnsi="宋体" w:cs="宋体"/>
          <w:sz w:val="24"/>
          <w:u w:val="single"/>
        </w:rPr>
      </w:pPr>
      <w:r>
        <w:rPr>
          <w:rFonts w:hint="eastAsia" w:ascii="宋体" w:hAnsi="宋体" w:cs="宋体"/>
          <w:sz w:val="24"/>
        </w:rPr>
        <w:t>年月日</w:t>
      </w:r>
    </w:p>
    <w:p w14:paraId="2228C07B">
      <w:pPr>
        <w:keepNext/>
        <w:widowControl/>
        <w:spacing w:beforeLines="50" w:afterLines="50" w:line="600" w:lineRule="auto"/>
        <w:ind w:left="210" w:leftChars="100" w:firstLine="720" w:firstLineChars="300"/>
        <w:jc w:val="left"/>
        <w:rPr>
          <w:rFonts w:ascii="宋体" w:hAnsi="宋体" w:cs="宋体"/>
          <w:sz w:val="24"/>
          <w:szCs w:val="22"/>
        </w:rPr>
      </w:pPr>
    </w:p>
    <w:p w14:paraId="4F05EB27">
      <w:pPr>
        <w:widowControl/>
        <w:spacing w:line="420" w:lineRule="exact"/>
        <w:jc w:val="center"/>
        <w:outlineLvl w:val="3"/>
        <w:rPr>
          <w:rFonts w:ascii="宋体" w:hAnsi="宋体" w:cs="宋体"/>
          <w:sz w:val="24"/>
        </w:rPr>
      </w:pPr>
    </w:p>
    <w:p w14:paraId="05CDD57D">
      <w:pPr>
        <w:widowControl/>
        <w:spacing w:line="420" w:lineRule="exact"/>
        <w:jc w:val="center"/>
        <w:outlineLvl w:val="3"/>
        <w:rPr>
          <w:rFonts w:ascii="宋体" w:hAnsi="宋体" w:cs="仿宋_GB2312"/>
          <w:sz w:val="24"/>
        </w:rPr>
      </w:pPr>
    </w:p>
    <w:p w14:paraId="405A9869">
      <w:pPr>
        <w:widowControl/>
        <w:jc w:val="left"/>
        <w:rPr>
          <w:rFonts w:ascii="宋体" w:hAnsi="宋体" w:cs="仿宋_GB2312"/>
          <w:sz w:val="24"/>
        </w:rPr>
      </w:pPr>
      <w:r>
        <w:rPr>
          <w:rFonts w:ascii="宋体" w:hAnsi="宋体" w:cs="仿宋_GB2312"/>
          <w:sz w:val="24"/>
        </w:rPr>
        <w:br w:type="page"/>
      </w:r>
    </w:p>
    <w:p w14:paraId="3C4F1169">
      <w:pPr>
        <w:widowControl/>
        <w:spacing w:line="420" w:lineRule="exact"/>
        <w:outlineLvl w:val="3"/>
        <w:rPr>
          <w:rFonts w:ascii="宋体" w:hAnsi="宋体" w:cs="仿宋_GB2312"/>
          <w:sz w:val="24"/>
        </w:rPr>
      </w:pPr>
      <w:r>
        <w:rPr>
          <w:rFonts w:hint="eastAsia" w:ascii="宋体" w:hAnsi="宋体" w:cs="仿宋_GB2312"/>
          <w:sz w:val="24"/>
        </w:rPr>
        <w:t>附件2、             无商业贿赂及无不正当竞争行为承诺书（格式）</w:t>
      </w:r>
    </w:p>
    <w:p w14:paraId="63B47862">
      <w:pPr>
        <w:widowControl/>
        <w:spacing w:line="480" w:lineRule="exact"/>
        <w:jc w:val="left"/>
        <w:textAlignment w:val="center"/>
        <w:rPr>
          <w:rFonts w:ascii="宋体" w:hAnsi="宋体" w:cs="仿宋_GB2312"/>
          <w:kern w:val="0"/>
          <w:sz w:val="24"/>
        </w:rPr>
      </w:pPr>
    </w:p>
    <w:p w14:paraId="577242BA">
      <w:pPr>
        <w:widowControl/>
        <w:spacing w:line="80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我公司郑重承诺：自公司成立以来</w:t>
      </w:r>
      <w:r>
        <w:rPr>
          <w:rFonts w:hint="eastAsia" w:ascii="宋体" w:hAnsi="宋体" w:cs="仿宋_GB2312"/>
          <w:kern w:val="0"/>
          <w:sz w:val="24"/>
          <w:u w:val="single"/>
        </w:rPr>
        <w:t xml:space="preserve">     （</w:t>
      </w:r>
      <w:r>
        <w:rPr>
          <w:rFonts w:hint="eastAsia" w:ascii="宋体" w:hAnsi="宋体" w:cs="仿宋_GB2312"/>
          <w:kern w:val="0"/>
          <w:sz w:val="24"/>
          <w:u w:val="single"/>
          <w:lang w:eastAsia="zh-CN"/>
        </w:rPr>
        <w:t>供应商</w:t>
      </w:r>
      <w:r>
        <w:rPr>
          <w:rFonts w:hint="eastAsia" w:ascii="宋体" w:hAnsi="宋体" w:cs="仿宋_GB2312"/>
          <w:kern w:val="0"/>
          <w:sz w:val="24"/>
          <w:u w:val="single"/>
        </w:rPr>
        <w:t xml:space="preserve">名称）  </w:t>
      </w:r>
      <w:r>
        <w:rPr>
          <w:rFonts w:hint="eastAsia" w:ascii="宋体" w:hAnsi="宋体" w:cs="仿宋_GB2312"/>
          <w:kern w:val="0"/>
          <w:sz w:val="24"/>
        </w:rPr>
        <w:t>、法定代表人</w:t>
      </w:r>
      <w:r>
        <w:rPr>
          <w:rFonts w:hint="eastAsia" w:ascii="宋体" w:hAnsi="宋体" w:cs="仿宋_GB2312"/>
          <w:kern w:val="0"/>
          <w:sz w:val="24"/>
          <w:u w:val="single"/>
        </w:rPr>
        <w:t xml:space="preserve">  （姓名）    </w:t>
      </w:r>
      <w:r>
        <w:rPr>
          <w:rFonts w:hint="eastAsia" w:ascii="宋体" w:hAnsi="宋体" w:cs="仿宋_GB2312"/>
          <w:kern w:val="0"/>
          <w:sz w:val="24"/>
        </w:rPr>
        <w:t>、项目经理</w:t>
      </w:r>
      <w:r>
        <w:rPr>
          <w:rFonts w:hint="eastAsia" w:ascii="宋体" w:hAnsi="宋体" w:cs="仿宋_GB2312"/>
          <w:kern w:val="0"/>
          <w:sz w:val="24"/>
          <w:u w:val="single"/>
        </w:rPr>
        <w:t xml:space="preserve">    （姓名）   </w:t>
      </w:r>
      <w:r>
        <w:rPr>
          <w:rFonts w:hint="eastAsia" w:ascii="宋体" w:hAnsi="宋体" w:cs="仿宋_GB2312"/>
          <w:kern w:val="0"/>
          <w:sz w:val="24"/>
        </w:rPr>
        <w:t>没有出现过商业贿赂及不正当竞争行为。</w:t>
      </w:r>
    </w:p>
    <w:p w14:paraId="76AE2990">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2C9BC7E0">
      <w:pPr>
        <w:widowControl/>
        <w:spacing w:line="800" w:lineRule="exact"/>
        <w:ind w:firstLine="480" w:firstLineChars="200"/>
        <w:jc w:val="left"/>
        <w:textAlignment w:val="center"/>
        <w:rPr>
          <w:rFonts w:ascii="宋体" w:hAnsi="宋体" w:cs="仿宋_GB2312"/>
          <w:kern w:val="0"/>
          <w:sz w:val="24"/>
        </w:rPr>
      </w:pPr>
    </w:p>
    <w:p w14:paraId="492BA805">
      <w:pPr>
        <w:widowControl/>
        <w:spacing w:line="800" w:lineRule="exact"/>
        <w:ind w:firstLine="480" w:firstLineChars="200"/>
        <w:jc w:val="left"/>
        <w:textAlignment w:val="center"/>
        <w:rPr>
          <w:rFonts w:ascii="宋体" w:hAnsi="宋体" w:cs="仿宋_GB2312"/>
          <w:kern w:val="0"/>
          <w:sz w:val="24"/>
        </w:rPr>
      </w:pPr>
    </w:p>
    <w:p w14:paraId="6937721A">
      <w:pPr>
        <w:widowControl/>
        <w:spacing w:line="480" w:lineRule="exact"/>
        <w:ind w:firstLine="480" w:firstLineChars="200"/>
        <w:jc w:val="left"/>
        <w:textAlignment w:val="center"/>
        <w:rPr>
          <w:rFonts w:ascii="宋体" w:hAnsi="宋体" w:cs="仿宋_GB2312"/>
          <w:kern w:val="0"/>
          <w:sz w:val="24"/>
        </w:rPr>
      </w:pPr>
      <w:r>
        <w:rPr>
          <w:rFonts w:hint="eastAsia" w:ascii="宋体" w:hAnsi="宋体" w:cs="仿宋_GB2312"/>
          <w:kern w:val="0"/>
          <w:sz w:val="24"/>
        </w:rPr>
        <w:t xml:space="preserve">  特此承诺 </w:t>
      </w:r>
    </w:p>
    <w:p w14:paraId="4CA1B3E5">
      <w:pPr>
        <w:widowControl/>
        <w:spacing w:line="480" w:lineRule="exact"/>
        <w:jc w:val="left"/>
        <w:textAlignment w:val="center"/>
        <w:rPr>
          <w:rFonts w:ascii="宋体" w:hAnsi="宋体" w:cs="仿宋_GB2312"/>
          <w:kern w:val="0"/>
          <w:sz w:val="24"/>
        </w:rPr>
      </w:pPr>
    </w:p>
    <w:p w14:paraId="16B194D0">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2D2E6BF2">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23EF8B">
      <w:pPr>
        <w:spacing w:line="480" w:lineRule="exact"/>
        <w:ind w:firstLine="4089" w:firstLineChars="1704"/>
        <w:rPr>
          <w:rFonts w:ascii="宋体" w:hAnsi="宋体"/>
          <w:sz w:val="24"/>
          <w:u w:val="single"/>
        </w:rPr>
      </w:pPr>
      <w:r>
        <w:rPr>
          <w:rFonts w:hint="eastAsia" w:ascii="宋体" w:hAnsi="宋体"/>
          <w:sz w:val="24"/>
        </w:rPr>
        <w:t>年月日</w:t>
      </w:r>
    </w:p>
    <w:p w14:paraId="5BBCCAB9">
      <w:pPr>
        <w:pStyle w:val="5"/>
      </w:pPr>
    </w:p>
    <w:p w14:paraId="363722E0">
      <w:pPr>
        <w:pStyle w:val="5"/>
      </w:pPr>
    </w:p>
    <w:p w14:paraId="713D5F8E"/>
    <w:p w14:paraId="3940735C">
      <w:pPr>
        <w:widowControl/>
        <w:jc w:val="left"/>
        <w:rPr>
          <w:rFonts w:ascii="宋体" w:hAnsi="宋体" w:cs="仿宋_GB2312"/>
          <w:kern w:val="0"/>
          <w:sz w:val="24"/>
        </w:rPr>
      </w:pPr>
      <w:r>
        <w:rPr>
          <w:rFonts w:ascii="宋体" w:hAnsi="宋体" w:cs="仿宋_GB2312"/>
          <w:kern w:val="0"/>
          <w:sz w:val="24"/>
        </w:rPr>
        <w:br w:type="page"/>
      </w:r>
    </w:p>
    <w:p w14:paraId="00FB1B74">
      <w:pPr>
        <w:widowControl/>
        <w:jc w:val="left"/>
        <w:rPr>
          <w:rFonts w:ascii="宋体" w:hAnsi="宋体"/>
          <w:sz w:val="24"/>
        </w:rPr>
      </w:pPr>
      <w:r>
        <w:rPr>
          <w:rFonts w:hint="eastAsia" w:ascii="宋体" w:hAnsi="宋体" w:cs="仿宋_GB2312"/>
          <w:kern w:val="0"/>
          <w:sz w:val="24"/>
        </w:rPr>
        <w:t xml:space="preserve">附件3、                     </w:t>
      </w:r>
      <w:r>
        <w:rPr>
          <w:rFonts w:hint="eastAsia" w:ascii="宋体" w:hAnsi="宋体"/>
          <w:sz w:val="24"/>
        </w:rPr>
        <w:t>非联合体投标承诺书（格式）</w:t>
      </w:r>
    </w:p>
    <w:p w14:paraId="0EAF4C56">
      <w:pPr>
        <w:snapToGrid w:val="0"/>
        <w:spacing w:afterLines="100" w:line="500" w:lineRule="exact"/>
        <w:rPr>
          <w:rFonts w:ascii="宋体" w:hAnsi="宋体"/>
          <w:sz w:val="24"/>
        </w:rPr>
      </w:pPr>
    </w:p>
    <w:p w14:paraId="536BA3A3">
      <w:pPr>
        <w:snapToGrid w:val="0"/>
        <w:spacing w:afterLines="100" w:line="500" w:lineRule="exact"/>
        <w:rPr>
          <w:rFonts w:ascii="宋体" w:hAnsi="宋体"/>
          <w:sz w:val="24"/>
        </w:rPr>
      </w:pPr>
      <w:r>
        <w:rPr>
          <w:rFonts w:hint="eastAsia" w:ascii="宋体" w:hAnsi="宋体"/>
          <w:sz w:val="24"/>
          <w:lang w:eastAsia="zh-CN"/>
        </w:rPr>
        <w:t>（采购人名称）</w:t>
      </w:r>
      <w:r>
        <w:rPr>
          <w:rFonts w:hint="eastAsia" w:ascii="宋体" w:hAnsi="宋体"/>
          <w:sz w:val="24"/>
        </w:rPr>
        <w:t>：</w:t>
      </w:r>
    </w:p>
    <w:p w14:paraId="5806C067">
      <w:pPr>
        <w:snapToGrid w:val="0"/>
        <w:spacing w:line="600" w:lineRule="exact"/>
        <w:ind w:firstLine="480" w:firstLineChars="200"/>
        <w:rPr>
          <w:rFonts w:ascii="宋体" w:hAnsi="宋体"/>
          <w:sz w:val="24"/>
        </w:rPr>
      </w:pPr>
      <w:r>
        <w:rPr>
          <w:rFonts w:ascii="宋体" w:hAnsi="宋体"/>
          <w:sz w:val="24"/>
        </w:rPr>
        <w:t>我公司郑重承诺：</w:t>
      </w:r>
    </w:p>
    <w:p w14:paraId="46F9C16B">
      <w:pPr>
        <w:snapToGrid w:val="0"/>
        <w:spacing w:line="600" w:lineRule="exact"/>
        <w:ind w:firstLine="480" w:firstLineChars="200"/>
        <w:rPr>
          <w:rFonts w:ascii="宋体" w:hAnsi="宋体"/>
          <w:sz w:val="24"/>
        </w:rPr>
      </w:pPr>
      <w:r>
        <w:rPr>
          <w:rFonts w:ascii="宋体" w:hAnsi="宋体"/>
          <w:sz w:val="24"/>
        </w:rPr>
        <w:t>我公司参加本次招投标活动，具备独立实施能力，采用非联合体投标。</w:t>
      </w:r>
    </w:p>
    <w:p w14:paraId="31529228">
      <w:pPr>
        <w:snapToGrid w:val="0"/>
        <w:spacing w:line="600" w:lineRule="exact"/>
        <w:ind w:firstLine="480" w:firstLineChars="200"/>
        <w:rPr>
          <w:rFonts w:ascii="宋体" w:hAnsi="宋体"/>
          <w:sz w:val="24"/>
        </w:rPr>
      </w:pPr>
      <w:r>
        <w:rPr>
          <w:rFonts w:ascii="宋体" w:hAnsi="宋体"/>
          <w:sz w:val="24"/>
        </w:rPr>
        <w:t>如承诺不实，我公司愿意承担相应责任</w:t>
      </w:r>
      <w:r>
        <w:rPr>
          <w:rFonts w:hint="eastAsia" w:ascii="宋体" w:hAnsi="宋体"/>
          <w:sz w:val="24"/>
        </w:rPr>
        <w:t>。</w:t>
      </w:r>
    </w:p>
    <w:p w14:paraId="11D84DC1">
      <w:pPr>
        <w:snapToGrid w:val="0"/>
        <w:spacing w:line="600" w:lineRule="exact"/>
        <w:ind w:firstLine="480" w:firstLineChars="200"/>
        <w:rPr>
          <w:rFonts w:ascii="宋体" w:hAnsi="宋体"/>
          <w:sz w:val="24"/>
        </w:rPr>
      </w:pPr>
      <w:r>
        <w:rPr>
          <w:rFonts w:ascii="宋体" w:hAnsi="宋体"/>
          <w:sz w:val="24"/>
        </w:rPr>
        <w:t>特此承诺！</w:t>
      </w:r>
    </w:p>
    <w:p w14:paraId="263013F8">
      <w:pPr>
        <w:spacing w:line="360" w:lineRule="auto"/>
        <w:ind w:firstLine="3742"/>
        <w:jc w:val="left"/>
        <w:rPr>
          <w:rFonts w:ascii="宋体" w:hAnsi="宋体"/>
          <w:sz w:val="24"/>
        </w:rPr>
      </w:pPr>
    </w:p>
    <w:p w14:paraId="305F5DCE">
      <w:pPr>
        <w:spacing w:line="360" w:lineRule="auto"/>
        <w:ind w:firstLine="3742"/>
        <w:jc w:val="left"/>
        <w:rPr>
          <w:rFonts w:ascii="宋体" w:hAnsi="宋体"/>
          <w:sz w:val="24"/>
        </w:rPr>
      </w:pPr>
    </w:p>
    <w:p w14:paraId="524BE4FB">
      <w:pPr>
        <w:spacing w:line="480" w:lineRule="exact"/>
        <w:ind w:right="600" w:firstLine="3609" w:firstLineChars="1504"/>
        <w:rPr>
          <w:rFonts w:ascii="宋体" w:hAnsi="宋体"/>
          <w:sz w:val="24"/>
          <w:u w:val="single"/>
        </w:rPr>
      </w:pPr>
      <w:r>
        <w:rPr>
          <w:rFonts w:hint="eastAsia" w:ascii="宋体" w:hAnsi="宋体"/>
          <w:sz w:val="24"/>
          <w:lang w:eastAsia="zh-CN"/>
        </w:rPr>
        <w:t>供应商：</w:t>
      </w:r>
      <w:r>
        <w:rPr>
          <w:rFonts w:hint="eastAsia" w:ascii="宋体" w:hAnsi="宋体"/>
          <w:sz w:val="24"/>
        </w:rPr>
        <w:t>（电子签章）</w:t>
      </w:r>
    </w:p>
    <w:p w14:paraId="1F1EEED9">
      <w:pPr>
        <w:spacing w:line="480" w:lineRule="exact"/>
        <w:ind w:firstLine="3609" w:firstLineChars="1504"/>
        <w:rPr>
          <w:rFonts w:ascii="宋体" w:hAnsi="宋体"/>
          <w:sz w:val="24"/>
        </w:rPr>
      </w:pPr>
      <w:r>
        <w:rPr>
          <w:rFonts w:hint="eastAsia" w:ascii="宋体" w:hAnsi="宋体"/>
          <w:sz w:val="24"/>
        </w:rPr>
        <w:t>法定代表人：</w:t>
      </w:r>
      <w:r>
        <w:rPr>
          <w:rFonts w:hint="eastAsia" w:ascii="宋体" w:hAnsi="宋体"/>
          <w:b/>
          <w:sz w:val="24"/>
        </w:rPr>
        <w:t>（</w:t>
      </w:r>
      <w:r>
        <w:rPr>
          <w:rFonts w:hint="eastAsia" w:ascii="宋体" w:hAnsi="宋体"/>
          <w:sz w:val="24"/>
        </w:rPr>
        <w:t>电子签章）</w:t>
      </w:r>
    </w:p>
    <w:p w14:paraId="6F627F91">
      <w:pPr>
        <w:spacing w:line="480" w:lineRule="exact"/>
        <w:ind w:firstLine="4089" w:firstLineChars="1704"/>
        <w:rPr>
          <w:rFonts w:ascii="宋体" w:hAnsi="宋体"/>
          <w:sz w:val="24"/>
          <w:u w:val="single"/>
        </w:rPr>
      </w:pPr>
      <w:r>
        <w:rPr>
          <w:rFonts w:hint="eastAsia" w:ascii="宋体" w:hAnsi="宋体"/>
          <w:sz w:val="24"/>
        </w:rPr>
        <w:t>年月日</w:t>
      </w:r>
    </w:p>
    <w:p w14:paraId="52CAA0B4">
      <w:pPr>
        <w:spacing w:line="360" w:lineRule="auto"/>
        <w:ind w:firstLine="3742"/>
        <w:jc w:val="left"/>
        <w:rPr>
          <w:rFonts w:ascii="宋体" w:hAnsi="宋体" w:cs="宋体"/>
          <w:sz w:val="24"/>
          <w:lang w:bidi="zh-CN"/>
        </w:rPr>
      </w:pPr>
    </w:p>
    <w:p w14:paraId="4B2A4206">
      <w:pPr>
        <w:spacing w:line="480" w:lineRule="exact"/>
        <w:ind w:firstLine="3609" w:firstLineChars="1504"/>
        <w:rPr>
          <w:rFonts w:ascii="宋体" w:hAnsi="宋体"/>
          <w:sz w:val="24"/>
          <w:u w:val="single"/>
        </w:rPr>
      </w:pPr>
    </w:p>
    <w:p w14:paraId="666B7FC5">
      <w:pPr>
        <w:widowControl/>
        <w:spacing w:line="480" w:lineRule="exact"/>
        <w:jc w:val="center"/>
        <w:textAlignment w:val="center"/>
        <w:rPr>
          <w:rFonts w:ascii="宋体" w:hAnsi="宋体" w:cs="仿宋_GB2312"/>
          <w:kern w:val="0"/>
          <w:sz w:val="24"/>
        </w:rPr>
      </w:pPr>
    </w:p>
    <w:p w14:paraId="3FE3C5A3">
      <w:pPr>
        <w:widowControl/>
        <w:spacing w:line="480" w:lineRule="exact"/>
        <w:jc w:val="center"/>
        <w:textAlignment w:val="center"/>
        <w:rPr>
          <w:rFonts w:ascii="宋体" w:hAnsi="宋体" w:cs="仿宋_GB2312"/>
          <w:kern w:val="0"/>
          <w:sz w:val="24"/>
        </w:rPr>
      </w:pPr>
    </w:p>
    <w:p w14:paraId="35B80E9E">
      <w:pPr>
        <w:pStyle w:val="41"/>
        <w:rPr>
          <w:rFonts w:ascii="宋体" w:hAnsi="宋体" w:cs="仿宋_GB2312"/>
          <w:kern w:val="0"/>
          <w:sz w:val="24"/>
        </w:rPr>
      </w:pPr>
    </w:p>
    <w:p w14:paraId="5181F87D">
      <w:pPr>
        <w:pStyle w:val="41"/>
        <w:rPr>
          <w:rFonts w:ascii="宋体" w:hAnsi="宋体" w:cs="仿宋_GB2312"/>
          <w:kern w:val="0"/>
          <w:sz w:val="24"/>
        </w:rPr>
      </w:pPr>
    </w:p>
    <w:p w14:paraId="51C4348E">
      <w:pPr>
        <w:pStyle w:val="41"/>
        <w:rPr>
          <w:rFonts w:ascii="宋体" w:hAnsi="宋体" w:cs="仿宋_GB2312"/>
          <w:kern w:val="0"/>
          <w:sz w:val="24"/>
        </w:rPr>
      </w:pPr>
    </w:p>
    <w:p w14:paraId="5F05D281">
      <w:pPr>
        <w:pStyle w:val="41"/>
        <w:rPr>
          <w:rFonts w:ascii="宋体" w:hAnsi="宋体" w:cs="仿宋_GB2312"/>
          <w:kern w:val="0"/>
          <w:sz w:val="24"/>
        </w:rPr>
      </w:pPr>
    </w:p>
    <w:p w14:paraId="7ED47879">
      <w:pPr>
        <w:pStyle w:val="41"/>
        <w:rPr>
          <w:rFonts w:ascii="宋体" w:hAnsi="宋体" w:cs="仿宋_GB2312"/>
          <w:kern w:val="0"/>
          <w:sz w:val="24"/>
        </w:rPr>
      </w:pPr>
    </w:p>
    <w:p w14:paraId="2829084A">
      <w:pPr>
        <w:pStyle w:val="41"/>
        <w:rPr>
          <w:rFonts w:ascii="宋体" w:hAnsi="宋体" w:cs="仿宋_GB2312"/>
          <w:kern w:val="0"/>
          <w:sz w:val="24"/>
        </w:rPr>
      </w:pPr>
    </w:p>
    <w:p w14:paraId="1EC8B000">
      <w:pPr>
        <w:pStyle w:val="41"/>
        <w:rPr>
          <w:rFonts w:ascii="宋体" w:hAnsi="宋体" w:cs="仿宋_GB2312"/>
          <w:kern w:val="0"/>
          <w:sz w:val="24"/>
        </w:rPr>
      </w:pPr>
    </w:p>
    <w:p w14:paraId="78B72557">
      <w:pPr>
        <w:pStyle w:val="41"/>
        <w:rPr>
          <w:rFonts w:ascii="宋体" w:hAnsi="宋体" w:cs="仿宋_GB2312"/>
          <w:kern w:val="0"/>
          <w:sz w:val="24"/>
        </w:rPr>
      </w:pPr>
    </w:p>
    <w:p w14:paraId="31002107">
      <w:pPr>
        <w:pStyle w:val="41"/>
        <w:rPr>
          <w:rFonts w:ascii="宋体" w:hAnsi="宋体" w:cs="仿宋_GB2312"/>
          <w:kern w:val="0"/>
          <w:sz w:val="24"/>
        </w:rPr>
      </w:pPr>
    </w:p>
    <w:p w14:paraId="3B4F52BF">
      <w:pPr>
        <w:pStyle w:val="41"/>
        <w:rPr>
          <w:rFonts w:ascii="宋体" w:hAnsi="宋体" w:cs="仿宋_GB2312"/>
          <w:kern w:val="0"/>
          <w:sz w:val="24"/>
        </w:rPr>
      </w:pPr>
    </w:p>
    <w:p w14:paraId="69AB758D">
      <w:pPr>
        <w:pStyle w:val="41"/>
        <w:rPr>
          <w:rFonts w:ascii="宋体" w:hAnsi="宋体" w:cs="仿宋_GB2312"/>
          <w:kern w:val="0"/>
          <w:sz w:val="24"/>
        </w:rPr>
      </w:pPr>
    </w:p>
    <w:p w14:paraId="7D5941B0">
      <w:pPr>
        <w:rPr>
          <w:rFonts w:ascii="宋体" w:hAnsi="宋体" w:cs="宋体"/>
        </w:rPr>
      </w:pPr>
    </w:p>
    <w:p w14:paraId="35A3A150">
      <w:pPr>
        <w:widowControl/>
        <w:jc w:val="left"/>
        <w:rPr>
          <w:rFonts w:hint="eastAsia" w:ascii="宋体" w:hAnsi="宋体" w:eastAsia="宋体" w:cs="宋体"/>
          <w:b/>
          <w:spacing w:val="14"/>
          <w:sz w:val="24"/>
          <w:szCs w:val="24"/>
          <w:lang w:eastAsia="zh-CN"/>
        </w:rPr>
      </w:pPr>
      <w:r>
        <w:rPr>
          <w:rFonts w:hint="eastAsia" w:ascii="宋体" w:hAnsi="宋体" w:cs="宋体"/>
          <w:b/>
          <w:spacing w:val="14"/>
          <w:sz w:val="24"/>
          <w:szCs w:val="24"/>
        </w:rPr>
        <w:t>附件</w:t>
      </w:r>
      <w:r>
        <w:rPr>
          <w:rFonts w:hint="eastAsia" w:ascii="宋体" w:hAnsi="宋体" w:cs="宋体"/>
          <w:b/>
          <w:spacing w:val="14"/>
          <w:sz w:val="24"/>
          <w:szCs w:val="24"/>
          <w:lang w:val="en-US" w:eastAsia="zh-CN"/>
        </w:rPr>
        <w:t>4、</w:t>
      </w:r>
    </w:p>
    <w:p w14:paraId="13359A1F">
      <w:pPr>
        <w:widowControl/>
        <w:adjustRightInd w:val="0"/>
        <w:snapToGrid w:val="0"/>
        <w:spacing w:before="120" w:beforeLines="50" w:line="360" w:lineRule="auto"/>
        <w:jc w:val="center"/>
        <w:rPr>
          <w:rFonts w:hint="eastAsia" w:ascii="宋体" w:hAnsi="宋体" w:eastAsia="宋体" w:cs="宋体"/>
          <w:b/>
          <w:bCs/>
          <w:spacing w:val="6"/>
          <w:kern w:val="0"/>
          <w:sz w:val="32"/>
          <w:szCs w:val="32"/>
        </w:rPr>
      </w:pPr>
      <w:r>
        <w:rPr>
          <w:rFonts w:hint="eastAsia" w:ascii="宋体" w:hAnsi="宋体" w:eastAsia="宋体" w:cs="宋体"/>
          <w:b/>
          <w:bCs/>
          <w:spacing w:val="6"/>
          <w:kern w:val="0"/>
          <w:sz w:val="32"/>
          <w:szCs w:val="32"/>
        </w:rPr>
        <w:t>中小企业声明函（</w:t>
      </w:r>
      <w:r>
        <w:rPr>
          <w:rFonts w:hint="eastAsia" w:ascii="宋体" w:hAnsi="宋体" w:eastAsia="宋体" w:cs="宋体"/>
          <w:b/>
          <w:bCs/>
          <w:spacing w:val="6"/>
          <w:kern w:val="0"/>
          <w:sz w:val="32"/>
          <w:szCs w:val="32"/>
          <w:lang w:val="en-US" w:eastAsia="zh-CN"/>
        </w:rPr>
        <w:t>工程</w:t>
      </w:r>
      <w:r>
        <w:rPr>
          <w:rFonts w:hint="eastAsia" w:ascii="宋体" w:hAnsi="宋体" w:eastAsia="宋体" w:cs="宋体"/>
          <w:b/>
          <w:bCs/>
          <w:spacing w:val="6"/>
          <w:kern w:val="0"/>
          <w:sz w:val="32"/>
          <w:szCs w:val="32"/>
        </w:rPr>
        <w:t>）</w:t>
      </w:r>
    </w:p>
    <w:p w14:paraId="45A54351">
      <w:pPr>
        <w:pStyle w:val="61"/>
        <w:rPr>
          <w:rFonts w:hint="eastAsia" w:ascii="宋体" w:hAnsi="宋体" w:eastAsia="宋体" w:cs="宋体"/>
        </w:rPr>
      </w:pPr>
    </w:p>
    <w:p w14:paraId="4D271C6B">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本公司郑重声明，根据《政府采购促进中小企业发展管理办法》（财库﹝2020﹞46 号）的规定，本公司参加</w:t>
      </w:r>
      <w:r>
        <w:rPr>
          <w:rFonts w:hint="eastAsia" w:ascii="宋体" w:hAnsi="宋体" w:eastAsia="宋体" w:cs="宋体"/>
          <w:sz w:val="24"/>
          <w:szCs w:val="24"/>
          <w:u w:val="single"/>
        </w:rPr>
        <w:t>（单位名称）</w:t>
      </w:r>
      <w:r>
        <w:rPr>
          <w:rFonts w:hint="eastAsia" w:ascii="宋体" w:hAnsi="宋体" w:eastAsia="宋体" w:cs="宋体"/>
          <w:sz w:val="24"/>
          <w:szCs w:val="24"/>
        </w:rPr>
        <w:t>的</w:t>
      </w:r>
      <w:r>
        <w:rPr>
          <w:rFonts w:hint="eastAsia" w:ascii="宋体" w:hAnsi="宋体" w:eastAsia="宋体" w:cs="宋体"/>
          <w:sz w:val="24"/>
          <w:szCs w:val="24"/>
          <w:u w:val="single"/>
        </w:rPr>
        <w:t>（项目名称）</w:t>
      </w:r>
      <w:r>
        <w:rPr>
          <w:rFonts w:hint="eastAsia" w:ascii="宋体" w:hAnsi="宋体" w:eastAsia="宋体" w:cs="宋体"/>
          <w:sz w:val="24"/>
          <w:szCs w:val="24"/>
        </w:rPr>
        <w:t>采购活动，服务全部由符合政策要求的中小企业承接。相关企业的具体情况如下：</w:t>
      </w:r>
    </w:p>
    <w:p w14:paraId="2AE5A6A6">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37EE48EA">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2.</w:t>
      </w:r>
      <w:r>
        <w:rPr>
          <w:rFonts w:hint="eastAsia" w:ascii="宋体" w:hAnsi="宋体" w:eastAsia="宋体" w:cs="宋体"/>
          <w:sz w:val="24"/>
          <w:szCs w:val="24"/>
          <w:u w:val="single"/>
        </w:rPr>
        <w:t>（标的名称）</w:t>
      </w:r>
      <w:r>
        <w:rPr>
          <w:rFonts w:hint="eastAsia" w:ascii="宋体" w:hAnsi="宋体" w:eastAsia="宋体" w:cs="宋体"/>
          <w:sz w:val="24"/>
          <w:szCs w:val="24"/>
        </w:rPr>
        <w:t>，属于</w:t>
      </w:r>
      <w:r>
        <w:rPr>
          <w:rFonts w:hint="eastAsia" w:ascii="宋体" w:hAnsi="宋体" w:eastAsia="宋体" w:cs="宋体"/>
          <w:sz w:val="24"/>
          <w:szCs w:val="24"/>
          <w:u w:val="single"/>
        </w:rPr>
        <w:t>（采购文件中明确的所属行业）</w:t>
      </w:r>
      <w:r>
        <w:rPr>
          <w:rFonts w:hint="eastAsia" w:ascii="宋体" w:hAnsi="宋体" w:eastAsia="宋体" w:cs="宋体"/>
          <w:sz w:val="24"/>
          <w:szCs w:val="24"/>
        </w:rPr>
        <w:t>；承建（承接）企业为</w:t>
      </w:r>
      <w:r>
        <w:rPr>
          <w:rFonts w:hint="eastAsia" w:ascii="宋体" w:hAnsi="宋体" w:eastAsia="宋体" w:cs="宋体"/>
          <w:sz w:val="24"/>
          <w:szCs w:val="24"/>
          <w:u w:val="single"/>
        </w:rPr>
        <w:t>（企业名称）</w:t>
      </w:r>
      <w:r>
        <w:rPr>
          <w:rFonts w:hint="eastAsia" w:ascii="宋体" w:hAnsi="宋体" w:eastAsia="宋体" w:cs="宋体"/>
          <w:sz w:val="24"/>
          <w:szCs w:val="24"/>
        </w:rPr>
        <w:t>，从业人员</w:t>
      </w:r>
      <w:r>
        <w:rPr>
          <w:rFonts w:hint="eastAsia" w:ascii="宋体" w:hAnsi="宋体" w:eastAsia="宋体" w:cs="宋体"/>
          <w:sz w:val="24"/>
          <w:szCs w:val="24"/>
          <w:u w:val="single"/>
        </w:rPr>
        <w:tab/>
      </w:r>
      <w:r>
        <w:rPr>
          <w:rFonts w:hint="eastAsia" w:ascii="宋体" w:hAnsi="宋体" w:eastAsia="宋体" w:cs="宋体"/>
          <w:sz w:val="24"/>
          <w:szCs w:val="24"/>
        </w:rPr>
        <w:t>人，营业收入为</w:t>
      </w:r>
      <w:r>
        <w:rPr>
          <w:rFonts w:hint="eastAsia" w:ascii="宋体" w:hAnsi="宋体" w:eastAsia="宋体" w:cs="宋体"/>
          <w:sz w:val="24"/>
          <w:szCs w:val="24"/>
          <w:u w:val="single"/>
        </w:rPr>
        <w:tab/>
      </w:r>
      <w:r>
        <w:rPr>
          <w:rFonts w:hint="eastAsia" w:ascii="宋体" w:hAnsi="宋体" w:eastAsia="宋体" w:cs="宋体"/>
          <w:sz w:val="24"/>
          <w:szCs w:val="24"/>
        </w:rPr>
        <w:t>万元，资产总额为</w:t>
      </w:r>
      <w:r>
        <w:rPr>
          <w:rFonts w:hint="eastAsia" w:ascii="宋体" w:hAnsi="宋体" w:eastAsia="宋体" w:cs="宋体"/>
          <w:sz w:val="24"/>
          <w:szCs w:val="24"/>
          <w:u w:val="single"/>
        </w:rPr>
        <w:tab/>
      </w:r>
      <w:r>
        <w:rPr>
          <w:rFonts w:hint="eastAsia" w:ascii="宋体" w:hAnsi="宋体" w:eastAsia="宋体" w:cs="宋体"/>
          <w:sz w:val="24"/>
          <w:szCs w:val="24"/>
        </w:rPr>
        <w:t>万元，属于</w:t>
      </w:r>
      <w:r>
        <w:rPr>
          <w:rFonts w:hint="eastAsia" w:ascii="宋体" w:hAnsi="宋体" w:eastAsia="宋体" w:cs="宋体"/>
          <w:sz w:val="24"/>
          <w:szCs w:val="24"/>
          <w:u w:val="single"/>
        </w:rPr>
        <w:t>（中型企业、小型企业、微型企业）</w:t>
      </w:r>
      <w:r>
        <w:rPr>
          <w:rFonts w:hint="eastAsia" w:ascii="宋体" w:hAnsi="宋体" w:eastAsia="宋体" w:cs="宋体"/>
          <w:sz w:val="24"/>
          <w:szCs w:val="24"/>
        </w:rPr>
        <w:t>；</w:t>
      </w:r>
    </w:p>
    <w:p w14:paraId="4010A819">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14:paraId="580D9E0C">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14:paraId="47E7B120">
      <w:pPr>
        <w:adjustRightInd w:val="0"/>
        <w:snapToGrid w:val="0"/>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14:paraId="2067B7D3">
      <w:pPr>
        <w:pStyle w:val="42"/>
        <w:ind w:left="0" w:leftChars="0" w:firstLine="0" w:firstLineChars="0"/>
        <w:rPr>
          <w:rFonts w:hint="eastAsia" w:ascii="宋体" w:hAnsi="宋体" w:eastAsia="宋体" w:cs="宋体"/>
          <w:sz w:val="24"/>
          <w:szCs w:val="24"/>
        </w:rPr>
      </w:pPr>
    </w:p>
    <w:p w14:paraId="5DFB8BF1">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企业名称（盖章）：</w:t>
      </w:r>
    </w:p>
    <w:p w14:paraId="2495F366">
      <w:pPr>
        <w:adjustRightInd w:val="0"/>
        <w:snapToGrid w:val="0"/>
        <w:spacing w:line="360" w:lineRule="auto"/>
        <w:jc w:val="center"/>
        <w:rPr>
          <w:rFonts w:hint="eastAsia" w:ascii="宋体" w:hAnsi="宋体" w:eastAsia="宋体" w:cs="宋体"/>
          <w:sz w:val="24"/>
          <w:szCs w:val="24"/>
        </w:rPr>
      </w:pPr>
      <w:r>
        <w:rPr>
          <w:rFonts w:hint="eastAsia" w:ascii="宋体" w:hAnsi="宋体" w:eastAsia="宋体" w:cs="宋体"/>
          <w:sz w:val="24"/>
          <w:szCs w:val="24"/>
        </w:rPr>
        <w:t xml:space="preserve">   日        期：</w:t>
      </w:r>
    </w:p>
    <w:p w14:paraId="253ACCF7">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说明：</w:t>
      </w:r>
    </w:p>
    <w:p w14:paraId="6409CEE4">
      <w:pPr>
        <w:adjustRightInd w:val="0"/>
        <w:snapToGrid w:val="0"/>
        <w:spacing w:line="360" w:lineRule="auto"/>
        <w:rPr>
          <w:rFonts w:hint="eastAsia" w:ascii="宋体" w:hAnsi="宋体" w:eastAsia="宋体" w:cs="宋体"/>
          <w:spacing w:val="6"/>
          <w:kern w:val="0"/>
          <w:sz w:val="24"/>
          <w:szCs w:val="24"/>
        </w:rPr>
      </w:pPr>
      <w:r>
        <w:rPr>
          <w:rFonts w:hint="eastAsia" w:ascii="宋体" w:hAnsi="宋体" w:eastAsia="宋体" w:cs="宋体"/>
          <w:spacing w:val="6"/>
          <w:kern w:val="0"/>
          <w:sz w:val="24"/>
          <w:szCs w:val="24"/>
        </w:rPr>
        <w:t>1、从业人员、营业收入、资产总额填报上一年度数据，无上一年度数据的新成立企业可不填报。</w:t>
      </w:r>
    </w:p>
    <w:p w14:paraId="566A7AA1">
      <w:pPr>
        <w:adjustRightInd w:val="0"/>
        <w:snapToGrid w:val="0"/>
        <w:spacing w:line="360" w:lineRule="auto"/>
        <w:rPr>
          <w:rFonts w:hint="eastAsia" w:ascii="宋体" w:hAnsi="宋体" w:eastAsia="宋体" w:cs="宋体"/>
          <w:spacing w:val="6"/>
          <w:kern w:val="0"/>
          <w:sz w:val="24"/>
          <w:szCs w:val="24"/>
          <w:highlight w:val="none"/>
        </w:rPr>
      </w:pPr>
      <w:r>
        <w:rPr>
          <w:rFonts w:hint="eastAsia" w:ascii="宋体" w:hAnsi="宋体" w:eastAsia="宋体" w:cs="宋体"/>
          <w:spacing w:val="6"/>
          <w:kern w:val="0"/>
          <w:sz w:val="24"/>
          <w:szCs w:val="24"/>
        </w:rPr>
        <w:t>2、</w:t>
      </w:r>
      <w:r>
        <w:rPr>
          <w:rFonts w:hint="eastAsia" w:ascii="宋体" w:hAnsi="宋体" w:cs="宋体"/>
          <w:color w:val="000000"/>
          <w:spacing w:val="6"/>
          <w:kern w:val="0"/>
          <w:sz w:val="24"/>
          <w:szCs w:val="24"/>
        </w:rPr>
        <w:t>供应商提供《中小企业声明函》内容不实的</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属于“隐瞒真实情况</w:t>
      </w:r>
      <w:r>
        <w:rPr>
          <w:rFonts w:hint="eastAsia" w:ascii="宋体" w:hAnsi="宋体" w:cs="宋体"/>
          <w:color w:val="000000"/>
          <w:spacing w:val="6"/>
          <w:kern w:val="0"/>
          <w:sz w:val="24"/>
          <w:szCs w:val="24"/>
          <w:lang w:eastAsia="zh-CN"/>
        </w:rPr>
        <w:t>，</w:t>
      </w:r>
      <w:r>
        <w:rPr>
          <w:rFonts w:hint="eastAsia" w:ascii="宋体" w:hAnsi="宋体" w:cs="宋体"/>
          <w:color w:val="000000"/>
          <w:spacing w:val="6"/>
          <w:kern w:val="0"/>
          <w:sz w:val="24"/>
          <w:szCs w:val="24"/>
        </w:rPr>
        <w:t>提供虚假资料的”情形,依照《政府采购法》的有关规定追究相应责任</w:t>
      </w:r>
      <w:r>
        <w:rPr>
          <w:rFonts w:hint="eastAsia" w:ascii="宋体" w:hAnsi="宋体" w:eastAsia="宋体" w:cs="宋体"/>
          <w:spacing w:val="6"/>
          <w:kern w:val="0"/>
          <w:sz w:val="24"/>
          <w:szCs w:val="24"/>
          <w:highlight w:val="none"/>
        </w:rPr>
        <w:t>。</w:t>
      </w:r>
      <w:bookmarkStart w:id="476" w:name="_Toc25719"/>
      <w:bookmarkStart w:id="477" w:name="_Toc15388"/>
      <w:bookmarkStart w:id="478" w:name="_Toc7278"/>
      <w:bookmarkStart w:id="479" w:name="_Toc3686"/>
      <w:bookmarkStart w:id="480" w:name="_Toc25504"/>
      <w:bookmarkStart w:id="481" w:name="_Toc18758"/>
      <w:bookmarkStart w:id="482" w:name="OLE_LINK13"/>
      <w:bookmarkStart w:id="483" w:name="OLE_LINK14"/>
      <w:bookmarkStart w:id="484" w:name="_Toc14656"/>
      <w:bookmarkStart w:id="485" w:name="_Toc10802"/>
      <w:bookmarkStart w:id="486" w:name="_Toc23527"/>
      <w:bookmarkStart w:id="487" w:name="_Toc1407"/>
      <w:bookmarkStart w:id="488" w:name="_Toc22084"/>
      <w:bookmarkStart w:id="489" w:name="_Toc21261"/>
      <w:bookmarkStart w:id="490" w:name="_Toc14029"/>
      <w:bookmarkStart w:id="491" w:name="_Toc22816"/>
    </w:p>
    <w:p w14:paraId="3D9C00E4">
      <w:pPr>
        <w:adjustRightInd w:val="0"/>
        <w:snapToGrid w:val="0"/>
        <w:spacing w:line="360" w:lineRule="auto"/>
        <w:rPr>
          <w:rFonts w:hint="eastAsia" w:ascii="宋体" w:hAnsi="宋体" w:cs="宋体"/>
          <w:color w:val="000000"/>
          <w:spacing w:val="6"/>
          <w:kern w:val="0"/>
          <w:sz w:val="24"/>
          <w:szCs w:val="24"/>
          <w:highlight w:val="none"/>
        </w:rPr>
      </w:pPr>
      <w:r>
        <w:rPr>
          <w:rFonts w:hint="eastAsia" w:ascii="宋体" w:hAnsi="宋体" w:cs="宋体"/>
          <w:color w:val="000000"/>
          <w:spacing w:val="6"/>
          <w:kern w:val="0"/>
          <w:sz w:val="24"/>
          <w:szCs w:val="24"/>
          <w:highlight w:val="none"/>
        </w:rPr>
        <w:t>3、中小企业划分标准见附件。</w:t>
      </w:r>
    </w:p>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p w14:paraId="206F35FD">
      <w:pPr>
        <w:widowControl/>
        <w:spacing w:line="500" w:lineRule="exact"/>
        <w:jc w:val="left"/>
        <w:rPr>
          <w:rFonts w:ascii="宋体" w:hAnsi="宋体" w:cs="宋体"/>
          <w:b/>
          <w:spacing w:val="14"/>
          <w:sz w:val="84"/>
          <w:szCs w:val="84"/>
        </w:rPr>
      </w:pPr>
    </w:p>
    <w:sectPr>
      <w:footerReference r:id="rId3" w:type="default"/>
      <w:pgSz w:w="12240" w:h="15840"/>
      <w:pgMar w:top="1230" w:right="1338" w:bottom="1230" w:left="1338" w:header="0" w:footer="921"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imes">
    <w:altName w:val="Times New Roman"/>
    <w:panose1 w:val="02020603050405020304"/>
    <w:charset w:val="00"/>
    <w:family w:val="roman"/>
    <w:pitch w:val="default"/>
    <w:sig w:usb0="00000000" w:usb1="00000000" w:usb2="00000009" w:usb3="00000000" w:csb0="000001FF" w:csb1="00000000"/>
  </w:font>
  <w:font w:name="Microsoft JhengHei">
    <w:panose1 w:val="020B0604030504040204"/>
    <w:charset w:val="88"/>
    <w:family w:val="swiss"/>
    <w:pitch w:val="default"/>
    <w:sig w:usb0="000002A7" w:usb1="28CF4400" w:usb2="00000016" w:usb3="00000000" w:csb0="00100009" w:csb1="00000000"/>
  </w:font>
  <w:font w:name="新宋体">
    <w:panose1 w:val="02010609030101010101"/>
    <w:charset w:val="86"/>
    <w:family w:val="modern"/>
    <w:pitch w:val="default"/>
    <w:sig w:usb0="00000283" w:usb1="288F0000" w:usb2="0000000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C57C85">
    <w:pPr>
      <w:pStyle w:val="27"/>
      <w:tabs>
        <w:tab w:val="clear" w:pos="4153"/>
      </w:tabs>
      <w:jc w:val="cente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223520" cy="255270"/>
              <wp:effectExtent l="0" t="0" r="0" b="0"/>
              <wp:wrapNone/>
              <wp:docPr id="6"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3284" cy="255181"/>
                      </a:xfrm>
                      <a:prstGeom prst="rect">
                        <a:avLst/>
                      </a:prstGeom>
                      <a:noFill/>
                      <a:ln>
                        <a:noFill/>
                      </a:ln>
                      <a:effectLst/>
                    </wps:spPr>
                    <wps:txbx>
                      <w:txbxContent>
                        <w:p w14:paraId="66432AF0">
                          <w:pPr>
                            <w:pStyle w:val="27"/>
                          </w:pPr>
                          <w:r>
                            <w:fldChar w:fldCharType="begin"/>
                          </w:r>
                          <w:r>
                            <w:instrText xml:space="preserve"> PAGE  \* MERGEFORMAT </w:instrText>
                          </w:r>
                          <w:r>
                            <w:fldChar w:fldCharType="separate"/>
                          </w:r>
                          <w:r>
                            <w:t>2</w:t>
                          </w:r>
                          <w:r>
                            <w:fldChar w:fldCharType="end"/>
                          </w:r>
                        </w:p>
                      </w:txbxContent>
                    </wps:txbx>
                    <wps:bodyPr rot="0" vert="horz" wrap="square" lIns="0" tIns="0" rIns="0" bIns="0" anchor="t" anchorCtr="0" upright="1">
                      <a:noAutofit/>
                    </wps:bodyPr>
                  </wps:wsp>
                </a:graphicData>
              </a:graphic>
            </wp:anchor>
          </w:drawing>
        </mc:Choice>
        <mc:Fallback>
          <w:pict>
            <v:shape id="文本框 3" o:spid="_x0000_s1026" o:spt="202" type="#_x0000_t202" style="position:absolute;left:0pt;margin-top:0pt;height:20.1pt;width:17.6pt;mso-position-horizontal:center;mso-position-horizontal-relative:margin;z-index:251660288;mso-width-relative:page;mso-height-relative:page;" filled="f" stroked="f" coordsize="21600,21600" o:gfxdata="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n3ktL9QAAAADAQAADwAAAAAAAAABACAA&#10;AAAiAAAAZHJzL2Rvd25yZXYueG1sUEsBAhQAFAAAAAgAh07iQGHVRNERAgAAEgQAAA4AAAAAAAAA&#10;AQAgAAAAIwEAAGRycy9lMm9Eb2MueG1sUEsFBgAAAAAGAAYAWQEAAKYFAAAAAA==&#10;">
              <v:fill on="f" focussize="0,0"/>
              <v:stroke on="f"/>
              <v:imagedata o:title=""/>
              <o:lock v:ext="edit" aspectratio="f"/>
              <v:textbox inset="0mm,0mm,0mm,0mm">
                <w:txbxContent>
                  <w:p w14:paraId="66432AF0">
                    <w:pPr>
                      <w:pStyle w:val="27"/>
                    </w:pPr>
                    <w:r>
                      <w:fldChar w:fldCharType="begin"/>
                    </w:r>
                    <w:r>
                      <w:instrText xml:space="preserve"> PAGE  \* MERGEFORMAT </w:instrText>
                    </w:r>
                    <w:r>
                      <w:fldChar w:fldCharType="separate"/>
                    </w:r>
                    <w:r>
                      <w:t>2</w:t>
                    </w:r>
                    <w:r>
                      <w:fldChar w:fldCharType="end"/>
                    </w:r>
                  </w:p>
                </w:txbxContent>
              </v:textbox>
            </v:shape>
          </w:pict>
        </mc:Fallback>
      </mc:AlternateContent>
    </w:r>
  </w:p>
  <w:p w14:paraId="42676A0C">
    <w:pPr>
      <w:pStyle w:val="2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8D93D1"/>
    <w:multiLevelType w:val="singleLevel"/>
    <w:tmpl w:val="B98D93D1"/>
    <w:lvl w:ilvl="0" w:tentative="0">
      <w:start w:val="10"/>
      <w:numFmt w:val="chineseCounting"/>
      <w:suff w:val="nothing"/>
      <w:lvlText w:val="%1、"/>
      <w:lvlJc w:val="left"/>
      <w:rPr>
        <w:rFonts w:hint="eastAsia"/>
      </w:rPr>
    </w:lvl>
  </w:abstractNum>
  <w:abstractNum w:abstractNumId="1">
    <w:nsid w:val="67E071CF"/>
    <w:multiLevelType w:val="multilevel"/>
    <w:tmpl w:val="67E071CF"/>
    <w:lvl w:ilvl="0" w:tentative="0">
      <w:start w:val="3"/>
      <w:numFmt w:val="chineseCounting"/>
      <w:suff w:val="nothing"/>
      <w:lvlText w:val="(%1）　"/>
      <w:lvlJc w:val="left"/>
      <w:pPr>
        <w:tabs>
          <w:tab w:val="left" w:pos="0"/>
        </w:tabs>
        <w:ind w:left="0" w:firstLine="0"/>
      </w:pPr>
      <w:rPr>
        <w:rFonts w:hint="eastAsia" w:ascii="宋体" w:hAnsi="宋体" w:eastAsia="宋体" w:cs="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6E22421B"/>
    <w:multiLevelType w:val="singleLevel"/>
    <w:tmpl w:val="6E22421B"/>
    <w:lvl w:ilvl="0" w:tentative="0">
      <w:start w:val="5"/>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hideSpellingError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Y0NTQ5ZjZlZjRkYjZiMjNmNGJhODRjNGE5M2U2ZGYifQ=="/>
  </w:docVars>
  <w:rsids>
    <w:rsidRoot w:val="00D5588D"/>
    <w:rsid w:val="00005402"/>
    <w:rsid w:val="00007457"/>
    <w:rsid w:val="000101CB"/>
    <w:rsid w:val="000138D8"/>
    <w:rsid w:val="00020BAE"/>
    <w:rsid w:val="00022E0C"/>
    <w:rsid w:val="00025FD9"/>
    <w:rsid w:val="00035350"/>
    <w:rsid w:val="00036906"/>
    <w:rsid w:val="0004243F"/>
    <w:rsid w:val="00046366"/>
    <w:rsid w:val="00055EDF"/>
    <w:rsid w:val="00056D4B"/>
    <w:rsid w:val="00060CC7"/>
    <w:rsid w:val="00060CCE"/>
    <w:rsid w:val="00063A0C"/>
    <w:rsid w:val="00065C3F"/>
    <w:rsid w:val="00066B46"/>
    <w:rsid w:val="00066EBC"/>
    <w:rsid w:val="00085791"/>
    <w:rsid w:val="00086852"/>
    <w:rsid w:val="00091BF2"/>
    <w:rsid w:val="000936F6"/>
    <w:rsid w:val="000949D3"/>
    <w:rsid w:val="00096A0C"/>
    <w:rsid w:val="000A002F"/>
    <w:rsid w:val="000B0CD3"/>
    <w:rsid w:val="000B3F25"/>
    <w:rsid w:val="000B5404"/>
    <w:rsid w:val="000B74A1"/>
    <w:rsid w:val="000B780F"/>
    <w:rsid w:val="000D2A1F"/>
    <w:rsid w:val="000E29D9"/>
    <w:rsid w:val="000E4C8C"/>
    <w:rsid w:val="000E59CA"/>
    <w:rsid w:val="000F6874"/>
    <w:rsid w:val="000F69B4"/>
    <w:rsid w:val="000F7F65"/>
    <w:rsid w:val="001143E1"/>
    <w:rsid w:val="00115BDC"/>
    <w:rsid w:val="001177C2"/>
    <w:rsid w:val="00127729"/>
    <w:rsid w:val="00130042"/>
    <w:rsid w:val="001310BC"/>
    <w:rsid w:val="00145537"/>
    <w:rsid w:val="00155F9A"/>
    <w:rsid w:val="0016082A"/>
    <w:rsid w:val="001669D4"/>
    <w:rsid w:val="001674C1"/>
    <w:rsid w:val="00170710"/>
    <w:rsid w:val="00171DAE"/>
    <w:rsid w:val="00177EA3"/>
    <w:rsid w:val="00186B0B"/>
    <w:rsid w:val="00186BF0"/>
    <w:rsid w:val="00190073"/>
    <w:rsid w:val="001917C6"/>
    <w:rsid w:val="001943BB"/>
    <w:rsid w:val="001A4716"/>
    <w:rsid w:val="001A76FB"/>
    <w:rsid w:val="001A7832"/>
    <w:rsid w:val="001B0FBB"/>
    <w:rsid w:val="001C0A3B"/>
    <w:rsid w:val="001C3522"/>
    <w:rsid w:val="001C4B03"/>
    <w:rsid w:val="001D3A96"/>
    <w:rsid w:val="001D7B16"/>
    <w:rsid w:val="001E55F6"/>
    <w:rsid w:val="001F1880"/>
    <w:rsid w:val="001F1D2C"/>
    <w:rsid w:val="001F4B1E"/>
    <w:rsid w:val="001F68AC"/>
    <w:rsid w:val="00200656"/>
    <w:rsid w:val="00200C32"/>
    <w:rsid w:val="0020726D"/>
    <w:rsid w:val="0021681C"/>
    <w:rsid w:val="00221720"/>
    <w:rsid w:val="0022181C"/>
    <w:rsid w:val="002235CA"/>
    <w:rsid w:val="00225B22"/>
    <w:rsid w:val="00231578"/>
    <w:rsid w:val="002339E7"/>
    <w:rsid w:val="00236564"/>
    <w:rsid w:val="00237AEB"/>
    <w:rsid w:val="0024375F"/>
    <w:rsid w:val="00244440"/>
    <w:rsid w:val="002452B1"/>
    <w:rsid w:val="00246CFC"/>
    <w:rsid w:val="00246E4B"/>
    <w:rsid w:val="00247998"/>
    <w:rsid w:val="00247A26"/>
    <w:rsid w:val="002573A5"/>
    <w:rsid w:val="002662BE"/>
    <w:rsid w:val="00280B4A"/>
    <w:rsid w:val="0028114D"/>
    <w:rsid w:val="00292B59"/>
    <w:rsid w:val="00294959"/>
    <w:rsid w:val="002A397B"/>
    <w:rsid w:val="002B5ACF"/>
    <w:rsid w:val="002C1549"/>
    <w:rsid w:val="002C5C2D"/>
    <w:rsid w:val="002D0AF9"/>
    <w:rsid w:val="002D35D1"/>
    <w:rsid w:val="00303F39"/>
    <w:rsid w:val="003071CC"/>
    <w:rsid w:val="0031017D"/>
    <w:rsid w:val="003108C8"/>
    <w:rsid w:val="003206B6"/>
    <w:rsid w:val="00322BCC"/>
    <w:rsid w:val="00323E67"/>
    <w:rsid w:val="00334DED"/>
    <w:rsid w:val="00342CA3"/>
    <w:rsid w:val="00345759"/>
    <w:rsid w:val="00350E5B"/>
    <w:rsid w:val="0035763E"/>
    <w:rsid w:val="00361C30"/>
    <w:rsid w:val="00367B83"/>
    <w:rsid w:val="003752C8"/>
    <w:rsid w:val="00386B82"/>
    <w:rsid w:val="00387AA2"/>
    <w:rsid w:val="00393642"/>
    <w:rsid w:val="003A4DB8"/>
    <w:rsid w:val="003A5658"/>
    <w:rsid w:val="003A5A45"/>
    <w:rsid w:val="003B643A"/>
    <w:rsid w:val="003C22D4"/>
    <w:rsid w:val="003C376F"/>
    <w:rsid w:val="003C44AA"/>
    <w:rsid w:val="003C6C26"/>
    <w:rsid w:val="003D0D19"/>
    <w:rsid w:val="003D103C"/>
    <w:rsid w:val="003D6656"/>
    <w:rsid w:val="003D67CA"/>
    <w:rsid w:val="003D752C"/>
    <w:rsid w:val="003E133D"/>
    <w:rsid w:val="003E1E40"/>
    <w:rsid w:val="003E69C2"/>
    <w:rsid w:val="003E7D15"/>
    <w:rsid w:val="003F23CE"/>
    <w:rsid w:val="003F2882"/>
    <w:rsid w:val="004015B6"/>
    <w:rsid w:val="00402BCD"/>
    <w:rsid w:val="0040376D"/>
    <w:rsid w:val="00411BC5"/>
    <w:rsid w:val="004168B1"/>
    <w:rsid w:val="0042242A"/>
    <w:rsid w:val="00423C6D"/>
    <w:rsid w:val="004309E1"/>
    <w:rsid w:val="00441EDC"/>
    <w:rsid w:val="00445134"/>
    <w:rsid w:val="004479E5"/>
    <w:rsid w:val="00464875"/>
    <w:rsid w:val="00466C5C"/>
    <w:rsid w:val="00474160"/>
    <w:rsid w:val="00492230"/>
    <w:rsid w:val="00492508"/>
    <w:rsid w:val="00494741"/>
    <w:rsid w:val="004967C7"/>
    <w:rsid w:val="0049749F"/>
    <w:rsid w:val="004A043D"/>
    <w:rsid w:val="004A1D3F"/>
    <w:rsid w:val="004A5C68"/>
    <w:rsid w:val="004C26DA"/>
    <w:rsid w:val="004C365B"/>
    <w:rsid w:val="004C3D27"/>
    <w:rsid w:val="004C63F0"/>
    <w:rsid w:val="004D1FEE"/>
    <w:rsid w:val="004D20FC"/>
    <w:rsid w:val="004D2FE2"/>
    <w:rsid w:val="004D4AEB"/>
    <w:rsid w:val="004E01A1"/>
    <w:rsid w:val="004E0E6F"/>
    <w:rsid w:val="004E2611"/>
    <w:rsid w:val="004E7AE1"/>
    <w:rsid w:val="00500A59"/>
    <w:rsid w:val="0051019F"/>
    <w:rsid w:val="00520EAA"/>
    <w:rsid w:val="00527CEF"/>
    <w:rsid w:val="0053027B"/>
    <w:rsid w:val="00535E7A"/>
    <w:rsid w:val="00536117"/>
    <w:rsid w:val="00542906"/>
    <w:rsid w:val="00546CCF"/>
    <w:rsid w:val="005473B0"/>
    <w:rsid w:val="005539A0"/>
    <w:rsid w:val="00554864"/>
    <w:rsid w:val="00555E1A"/>
    <w:rsid w:val="00563274"/>
    <w:rsid w:val="005674FB"/>
    <w:rsid w:val="00582A80"/>
    <w:rsid w:val="0058556B"/>
    <w:rsid w:val="00585D0B"/>
    <w:rsid w:val="00587F85"/>
    <w:rsid w:val="00593490"/>
    <w:rsid w:val="005A1D3E"/>
    <w:rsid w:val="005A295A"/>
    <w:rsid w:val="005A4322"/>
    <w:rsid w:val="005B6290"/>
    <w:rsid w:val="005C20A7"/>
    <w:rsid w:val="005C5453"/>
    <w:rsid w:val="005C60D3"/>
    <w:rsid w:val="005E2AFF"/>
    <w:rsid w:val="005E3FE8"/>
    <w:rsid w:val="005E6909"/>
    <w:rsid w:val="005F48B2"/>
    <w:rsid w:val="00600A94"/>
    <w:rsid w:val="006047A9"/>
    <w:rsid w:val="00605122"/>
    <w:rsid w:val="006057E2"/>
    <w:rsid w:val="00607C9F"/>
    <w:rsid w:val="00610682"/>
    <w:rsid w:val="006140F3"/>
    <w:rsid w:val="00622AD6"/>
    <w:rsid w:val="00622F96"/>
    <w:rsid w:val="00632213"/>
    <w:rsid w:val="006360BD"/>
    <w:rsid w:val="00643BE3"/>
    <w:rsid w:val="0064433E"/>
    <w:rsid w:val="00644E78"/>
    <w:rsid w:val="00650130"/>
    <w:rsid w:val="00656B3C"/>
    <w:rsid w:val="0065754C"/>
    <w:rsid w:val="00666300"/>
    <w:rsid w:val="0067375E"/>
    <w:rsid w:val="00673BA0"/>
    <w:rsid w:val="00674E03"/>
    <w:rsid w:val="006773AA"/>
    <w:rsid w:val="00680DFF"/>
    <w:rsid w:val="00682AB2"/>
    <w:rsid w:val="00686D8C"/>
    <w:rsid w:val="006911F9"/>
    <w:rsid w:val="0069489F"/>
    <w:rsid w:val="006B0C5A"/>
    <w:rsid w:val="006B267D"/>
    <w:rsid w:val="006B31C3"/>
    <w:rsid w:val="006B47F9"/>
    <w:rsid w:val="006B7AD2"/>
    <w:rsid w:val="006C3C90"/>
    <w:rsid w:val="006D07CD"/>
    <w:rsid w:val="006D4195"/>
    <w:rsid w:val="006E3712"/>
    <w:rsid w:val="006E3D28"/>
    <w:rsid w:val="006F10F0"/>
    <w:rsid w:val="00700896"/>
    <w:rsid w:val="007158AC"/>
    <w:rsid w:val="0073393D"/>
    <w:rsid w:val="007355F2"/>
    <w:rsid w:val="00736A21"/>
    <w:rsid w:val="00757B9E"/>
    <w:rsid w:val="007605DD"/>
    <w:rsid w:val="007610AF"/>
    <w:rsid w:val="00764D7C"/>
    <w:rsid w:val="0077425A"/>
    <w:rsid w:val="007758A9"/>
    <w:rsid w:val="00780648"/>
    <w:rsid w:val="00782DFD"/>
    <w:rsid w:val="00793124"/>
    <w:rsid w:val="007958A1"/>
    <w:rsid w:val="0079782C"/>
    <w:rsid w:val="007B0098"/>
    <w:rsid w:val="007B1C06"/>
    <w:rsid w:val="007C0F2D"/>
    <w:rsid w:val="007C3C89"/>
    <w:rsid w:val="007C5C00"/>
    <w:rsid w:val="007E0BB7"/>
    <w:rsid w:val="007E34A9"/>
    <w:rsid w:val="007F00CE"/>
    <w:rsid w:val="007F0A1D"/>
    <w:rsid w:val="00802A69"/>
    <w:rsid w:val="008214D7"/>
    <w:rsid w:val="00824069"/>
    <w:rsid w:val="00824BD0"/>
    <w:rsid w:val="008261EC"/>
    <w:rsid w:val="00844285"/>
    <w:rsid w:val="00846B01"/>
    <w:rsid w:val="0084781B"/>
    <w:rsid w:val="008506E2"/>
    <w:rsid w:val="00853242"/>
    <w:rsid w:val="00853AD6"/>
    <w:rsid w:val="0085412F"/>
    <w:rsid w:val="00863B59"/>
    <w:rsid w:val="008704CE"/>
    <w:rsid w:val="008727A9"/>
    <w:rsid w:val="00872A47"/>
    <w:rsid w:val="008736F1"/>
    <w:rsid w:val="00873E27"/>
    <w:rsid w:val="00880CAF"/>
    <w:rsid w:val="00884472"/>
    <w:rsid w:val="00885B23"/>
    <w:rsid w:val="00897FC0"/>
    <w:rsid w:val="008A5CFF"/>
    <w:rsid w:val="008A7D3D"/>
    <w:rsid w:val="008E3692"/>
    <w:rsid w:val="0090724B"/>
    <w:rsid w:val="00912EDE"/>
    <w:rsid w:val="009269A2"/>
    <w:rsid w:val="00930429"/>
    <w:rsid w:val="009317D5"/>
    <w:rsid w:val="009329FE"/>
    <w:rsid w:val="00934274"/>
    <w:rsid w:val="0093492D"/>
    <w:rsid w:val="0093759E"/>
    <w:rsid w:val="00950D78"/>
    <w:rsid w:val="00960B9A"/>
    <w:rsid w:val="00977B14"/>
    <w:rsid w:val="009873E1"/>
    <w:rsid w:val="00994352"/>
    <w:rsid w:val="00995816"/>
    <w:rsid w:val="009A4296"/>
    <w:rsid w:val="009B5C51"/>
    <w:rsid w:val="009B7D8F"/>
    <w:rsid w:val="009D08D9"/>
    <w:rsid w:val="009D65C2"/>
    <w:rsid w:val="009D6B67"/>
    <w:rsid w:val="009F14EA"/>
    <w:rsid w:val="009F5AA1"/>
    <w:rsid w:val="009F77AF"/>
    <w:rsid w:val="00A06E07"/>
    <w:rsid w:val="00A10993"/>
    <w:rsid w:val="00A1481D"/>
    <w:rsid w:val="00A26967"/>
    <w:rsid w:val="00A3182C"/>
    <w:rsid w:val="00A37571"/>
    <w:rsid w:val="00A43DB8"/>
    <w:rsid w:val="00A47A66"/>
    <w:rsid w:val="00A56A3A"/>
    <w:rsid w:val="00A56F2D"/>
    <w:rsid w:val="00A57D3F"/>
    <w:rsid w:val="00A65FA9"/>
    <w:rsid w:val="00A66183"/>
    <w:rsid w:val="00A74987"/>
    <w:rsid w:val="00A83AD0"/>
    <w:rsid w:val="00A853EF"/>
    <w:rsid w:val="00A85F7A"/>
    <w:rsid w:val="00A95503"/>
    <w:rsid w:val="00A95A9A"/>
    <w:rsid w:val="00AA2F3F"/>
    <w:rsid w:val="00AA3CEC"/>
    <w:rsid w:val="00AA6292"/>
    <w:rsid w:val="00AB1A9A"/>
    <w:rsid w:val="00AB26CB"/>
    <w:rsid w:val="00AD0921"/>
    <w:rsid w:val="00AD1C8E"/>
    <w:rsid w:val="00AE0E18"/>
    <w:rsid w:val="00AE3CAC"/>
    <w:rsid w:val="00AE46FC"/>
    <w:rsid w:val="00AF0C27"/>
    <w:rsid w:val="00B01428"/>
    <w:rsid w:val="00B0425E"/>
    <w:rsid w:val="00B0467B"/>
    <w:rsid w:val="00B152C1"/>
    <w:rsid w:val="00B230A5"/>
    <w:rsid w:val="00B25730"/>
    <w:rsid w:val="00B42476"/>
    <w:rsid w:val="00B4544C"/>
    <w:rsid w:val="00B46918"/>
    <w:rsid w:val="00B46CDF"/>
    <w:rsid w:val="00B51601"/>
    <w:rsid w:val="00B71F65"/>
    <w:rsid w:val="00B7530C"/>
    <w:rsid w:val="00B758A9"/>
    <w:rsid w:val="00B8182B"/>
    <w:rsid w:val="00B91CEB"/>
    <w:rsid w:val="00B92181"/>
    <w:rsid w:val="00B92FEC"/>
    <w:rsid w:val="00B93F2F"/>
    <w:rsid w:val="00BA3455"/>
    <w:rsid w:val="00BA684A"/>
    <w:rsid w:val="00BB120C"/>
    <w:rsid w:val="00BC3E80"/>
    <w:rsid w:val="00BE1545"/>
    <w:rsid w:val="00BE422B"/>
    <w:rsid w:val="00BE5630"/>
    <w:rsid w:val="00BF706B"/>
    <w:rsid w:val="00C019F4"/>
    <w:rsid w:val="00C05E90"/>
    <w:rsid w:val="00C105A8"/>
    <w:rsid w:val="00C12A20"/>
    <w:rsid w:val="00C12DE3"/>
    <w:rsid w:val="00C14F3D"/>
    <w:rsid w:val="00C16E81"/>
    <w:rsid w:val="00C22243"/>
    <w:rsid w:val="00C31155"/>
    <w:rsid w:val="00C33E2B"/>
    <w:rsid w:val="00C372E2"/>
    <w:rsid w:val="00C374C8"/>
    <w:rsid w:val="00C37A29"/>
    <w:rsid w:val="00C41D2D"/>
    <w:rsid w:val="00C42E68"/>
    <w:rsid w:val="00C43CC1"/>
    <w:rsid w:val="00C44526"/>
    <w:rsid w:val="00C4647E"/>
    <w:rsid w:val="00C46A52"/>
    <w:rsid w:val="00C5559D"/>
    <w:rsid w:val="00C6664C"/>
    <w:rsid w:val="00C671F5"/>
    <w:rsid w:val="00C67283"/>
    <w:rsid w:val="00C8154A"/>
    <w:rsid w:val="00C9039D"/>
    <w:rsid w:val="00C92FA3"/>
    <w:rsid w:val="00CA2E7D"/>
    <w:rsid w:val="00CA3697"/>
    <w:rsid w:val="00CA3B4E"/>
    <w:rsid w:val="00CB3C62"/>
    <w:rsid w:val="00CB5C30"/>
    <w:rsid w:val="00CC1C25"/>
    <w:rsid w:val="00CC28DB"/>
    <w:rsid w:val="00CC6A9F"/>
    <w:rsid w:val="00CE50EB"/>
    <w:rsid w:val="00CE7A29"/>
    <w:rsid w:val="00CF02D9"/>
    <w:rsid w:val="00CF16ED"/>
    <w:rsid w:val="00D00AB2"/>
    <w:rsid w:val="00D01278"/>
    <w:rsid w:val="00D02019"/>
    <w:rsid w:val="00D04978"/>
    <w:rsid w:val="00D06CF5"/>
    <w:rsid w:val="00D06E71"/>
    <w:rsid w:val="00D15665"/>
    <w:rsid w:val="00D17F9F"/>
    <w:rsid w:val="00D42B17"/>
    <w:rsid w:val="00D475E8"/>
    <w:rsid w:val="00D5066F"/>
    <w:rsid w:val="00D5081B"/>
    <w:rsid w:val="00D51EE9"/>
    <w:rsid w:val="00D5588D"/>
    <w:rsid w:val="00D6470E"/>
    <w:rsid w:val="00D6482A"/>
    <w:rsid w:val="00D72408"/>
    <w:rsid w:val="00D81368"/>
    <w:rsid w:val="00D9718D"/>
    <w:rsid w:val="00DA2827"/>
    <w:rsid w:val="00DA3EA5"/>
    <w:rsid w:val="00DA75BA"/>
    <w:rsid w:val="00DB10DF"/>
    <w:rsid w:val="00DB17B3"/>
    <w:rsid w:val="00DB5293"/>
    <w:rsid w:val="00DC0E09"/>
    <w:rsid w:val="00DC2F26"/>
    <w:rsid w:val="00DD27B7"/>
    <w:rsid w:val="00DD4DD0"/>
    <w:rsid w:val="00DD50CB"/>
    <w:rsid w:val="00DE1BE7"/>
    <w:rsid w:val="00DE3995"/>
    <w:rsid w:val="00DE5D83"/>
    <w:rsid w:val="00DE6171"/>
    <w:rsid w:val="00DE6372"/>
    <w:rsid w:val="00E16FE2"/>
    <w:rsid w:val="00E259D7"/>
    <w:rsid w:val="00E26382"/>
    <w:rsid w:val="00E4542E"/>
    <w:rsid w:val="00E504C9"/>
    <w:rsid w:val="00E57E35"/>
    <w:rsid w:val="00E60A9C"/>
    <w:rsid w:val="00E62ABB"/>
    <w:rsid w:val="00E63CD9"/>
    <w:rsid w:val="00E724D7"/>
    <w:rsid w:val="00E74049"/>
    <w:rsid w:val="00E75471"/>
    <w:rsid w:val="00E8267E"/>
    <w:rsid w:val="00E82F99"/>
    <w:rsid w:val="00E857A8"/>
    <w:rsid w:val="00E97AD0"/>
    <w:rsid w:val="00EB5C64"/>
    <w:rsid w:val="00ED1E2A"/>
    <w:rsid w:val="00ED43C1"/>
    <w:rsid w:val="00ED6FF4"/>
    <w:rsid w:val="00EE14F2"/>
    <w:rsid w:val="00EE71E5"/>
    <w:rsid w:val="00EF16FF"/>
    <w:rsid w:val="00EF1F72"/>
    <w:rsid w:val="00EF5BA2"/>
    <w:rsid w:val="00F01AB7"/>
    <w:rsid w:val="00F03FAB"/>
    <w:rsid w:val="00F13D40"/>
    <w:rsid w:val="00F16F72"/>
    <w:rsid w:val="00F22A15"/>
    <w:rsid w:val="00F44B25"/>
    <w:rsid w:val="00F4579D"/>
    <w:rsid w:val="00F50CDF"/>
    <w:rsid w:val="00F533F1"/>
    <w:rsid w:val="00F541A7"/>
    <w:rsid w:val="00F60809"/>
    <w:rsid w:val="00F61C4E"/>
    <w:rsid w:val="00F64602"/>
    <w:rsid w:val="00FA00A3"/>
    <w:rsid w:val="00FA5A2D"/>
    <w:rsid w:val="00FB1C67"/>
    <w:rsid w:val="00FB3D80"/>
    <w:rsid w:val="00FB577A"/>
    <w:rsid w:val="00FB58D0"/>
    <w:rsid w:val="00FB6E38"/>
    <w:rsid w:val="00FB745E"/>
    <w:rsid w:val="00FB7B7A"/>
    <w:rsid w:val="00FC4F63"/>
    <w:rsid w:val="00FC585F"/>
    <w:rsid w:val="00FD1A45"/>
    <w:rsid w:val="00FD4BCF"/>
    <w:rsid w:val="00FE0FAD"/>
    <w:rsid w:val="00FE5C48"/>
    <w:rsid w:val="00FE5DE6"/>
    <w:rsid w:val="00FE79D5"/>
    <w:rsid w:val="010158D6"/>
    <w:rsid w:val="010A478A"/>
    <w:rsid w:val="010B405F"/>
    <w:rsid w:val="011078C7"/>
    <w:rsid w:val="01113D6B"/>
    <w:rsid w:val="01115B19"/>
    <w:rsid w:val="011473B7"/>
    <w:rsid w:val="01161381"/>
    <w:rsid w:val="011941B1"/>
    <w:rsid w:val="011D265D"/>
    <w:rsid w:val="01260E98"/>
    <w:rsid w:val="01282E62"/>
    <w:rsid w:val="012832B8"/>
    <w:rsid w:val="012A2737"/>
    <w:rsid w:val="012B64AF"/>
    <w:rsid w:val="012C2953"/>
    <w:rsid w:val="012D0479"/>
    <w:rsid w:val="01323CE1"/>
    <w:rsid w:val="013435B5"/>
    <w:rsid w:val="01347A59"/>
    <w:rsid w:val="01350C9C"/>
    <w:rsid w:val="013712F7"/>
    <w:rsid w:val="013B0DE8"/>
    <w:rsid w:val="013B2B96"/>
    <w:rsid w:val="013B4944"/>
    <w:rsid w:val="013C246A"/>
    <w:rsid w:val="013C690E"/>
    <w:rsid w:val="013D4B60"/>
    <w:rsid w:val="014001AC"/>
    <w:rsid w:val="014252EF"/>
    <w:rsid w:val="01477CD1"/>
    <w:rsid w:val="014D0B1B"/>
    <w:rsid w:val="014D4677"/>
    <w:rsid w:val="01623198"/>
    <w:rsid w:val="016519C1"/>
    <w:rsid w:val="01657C13"/>
    <w:rsid w:val="01671BDD"/>
    <w:rsid w:val="01714809"/>
    <w:rsid w:val="017641DF"/>
    <w:rsid w:val="0179546C"/>
    <w:rsid w:val="017E2A82"/>
    <w:rsid w:val="01804A4C"/>
    <w:rsid w:val="0183453D"/>
    <w:rsid w:val="0189499F"/>
    <w:rsid w:val="018C1643"/>
    <w:rsid w:val="018C33F1"/>
    <w:rsid w:val="018C6405"/>
    <w:rsid w:val="018E7169"/>
    <w:rsid w:val="018F2CA1"/>
    <w:rsid w:val="019B1886"/>
    <w:rsid w:val="01A22C15"/>
    <w:rsid w:val="01A87AFF"/>
    <w:rsid w:val="01AC5842"/>
    <w:rsid w:val="01AC75F0"/>
    <w:rsid w:val="01AD5116"/>
    <w:rsid w:val="01AE3368"/>
    <w:rsid w:val="01AF5332"/>
    <w:rsid w:val="01AF70E0"/>
    <w:rsid w:val="01B14C06"/>
    <w:rsid w:val="01B3097E"/>
    <w:rsid w:val="01B6046E"/>
    <w:rsid w:val="01B91D0C"/>
    <w:rsid w:val="01BA61B0"/>
    <w:rsid w:val="01BB5A85"/>
    <w:rsid w:val="01C26E13"/>
    <w:rsid w:val="01CC5EE4"/>
    <w:rsid w:val="01D54D98"/>
    <w:rsid w:val="01D628BE"/>
    <w:rsid w:val="01E054EB"/>
    <w:rsid w:val="01E44FDB"/>
    <w:rsid w:val="01E46D89"/>
    <w:rsid w:val="01E50D53"/>
    <w:rsid w:val="01E7687A"/>
    <w:rsid w:val="01E925F2"/>
    <w:rsid w:val="01EC20E2"/>
    <w:rsid w:val="01EC3E90"/>
    <w:rsid w:val="01EF3980"/>
    <w:rsid w:val="01F1594A"/>
    <w:rsid w:val="01F33470"/>
    <w:rsid w:val="01FD609D"/>
    <w:rsid w:val="02025461"/>
    <w:rsid w:val="0204567E"/>
    <w:rsid w:val="020531A4"/>
    <w:rsid w:val="02094A42"/>
    <w:rsid w:val="020C4532"/>
    <w:rsid w:val="020F5B76"/>
    <w:rsid w:val="02104022"/>
    <w:rsid w:val="02160F0D"/>
    <w:rsid w:val="02250A00"/>
    <w:rsid w:val="022655F4"/>
    <w:rsid w:val="0227311A"/>
    <w:rsid w:val="022C24DE"/>
    <w:rsid w:val="02306473"/>
    <w:rsid w:val="02313F99"/>
    <w:rsid w:val="02315D47"/>
    <w:rsid w:val="02355837"/>
    <w:rsid w:val="02377801"/>
    <w:rsid w:val="023A2E4D"/>
    <w:rsid w:val="023B0973"/>
    <w:rsid w:val="02421D02"/>
    <w:rsid w:val="024261A6"/>
    <w:rsid w:val="02477318"/>
    <w:rsid w:val="0250441F"/>
    <w:rsid w:val="02557C87"/>
    <w:rsid w:val="025739FF"/>
    <w:rsid w:val="025F0B06"/>
    <w:rsid w:val="02641C78"/>
    <w:rsid w:val="0264611C"/>
    <w:rsid w:val="026E54F6"/>
    <w:rsid w:val="0270061D"/>
    <w:rsid w:val="027520D7"/>
    <w:rsid w:val="0281282A"/>
    <w:rsid w:val="02816CCE"/>
    <w:rsid w:val="028422ED"/>
    <w:rsid w:val="028C11CF"/>
    <w:rsid w:val="02902A6D"/>
    <w:rsid w:val="02924A37"/>
    <w:rsid w:val="0293255D"/>
    <w:rsid w:val="029A1B3E"/>
    <w:rsid w:val="029C7664"/>
    <w:rsid w:val="029F0F02"/>
    <w:rsid w:val="029F7154"/>
    <w:rsid w:val="02A14C7A"/>
    <w:rsid w:val="02A429BD"/>
    <w:rsid w:val="02AA4008"/>
    <w:rsid w:val="02AD1871"/>
    <w:rsid w:val="02AD361F"/>
    <w:rsid w:val="02B0310F"/>
    <w:rsid w:val="02B40E52"/>
    <w:rsid w:val="02BA5D3C"/>
    <w:rsid w:val="02BF15A4"/>
    <w:rsid w:val="02C170CB"/>
    <w:rsid w:val="02C44BAF"/>
    <w:rsid w:val="02C62933"/>
    <w:rsid w:val="02C80459"/>
    <w:rsid w:val="02C866AB"/>
    <w:rsid w:val="02CE17E8"/>
    <w:rsid w:val="02D2752A"/>
    <w:rsid w:val="02E05818"/>
    <w:rsid w:val="02E72B1A"/>
    <w:rsid w:val="02F2197A"/>
    <w:rsid w:val="02F70D3E"/>
    <w:rsid w:val="02FA25DD"/>
    <w:rsid w:val="02FF2231"/>
    <w:rsid w:val="03004E02"/>
    <w:rsid w:val="03011BBD"/>
    <w:rsid w:val="0305345B"/>
    <w:rsid w:val="030A0A72"/>
    <w:rsid w:val="031A4A2D"/>
    <w:rsid w:val="0320497B"/>
    <w:rsid w:val="03215DBB"/>
    <w:rsid w:val="032338E1"/>
    <w:rsid w:val="0328714A"/>
    <w:rsid w:val="032A4C70"/>
    <w:rsid w:val="03330CEA"/>
    <w:rsid w:val="03345AEF"/>
    <w:rsid w:val="033755DF"/>
    <w:rsid w:val="0337738D"/>
    <w:rsid w:val="033A15F5"/>
    <w:rsid w:val="034C108A"/>
    <w:rsid w:val="034D4E02"/>
    <w:rsid w:val="035241C7"/>
    <w:rsid w:val="03541CED"/>
    <w:rsid w:val="03547F3F"/>
    <w:rsid w:val="03597303"/>
    <w:rsid w:val="036068E4"/>
    <w:rsid w:val="0361265C"/>
    <w:rsid w:val="03675EC4"/>
    <w:rsid w:val="036A1510"/>
    <w:rsid w:val="036F2FCB"/>
    <w:rsid w:val="03710AF1"/>
    <w:rsid w:val="037405E1"/>
    <w:rsid w:val="03767EB5"/>
    <w:rsid w:val="03773C2D"/>
    <w:rsid w:val="037B196F"/>
    <w:rsid w:val="03800D34"/>
    <w:rsid w:val="03802AE2"/>
    <w:rsid w:val="038A3960"/>
    <w:rsid w:val="03912F41"/>
    <w:rsid w:val="0394658D"/>
    <w:rsid w:val="03962305"/>
    <w:rsid w:val="039E565E"/>
    <w:rsid w:val="03A2514E"/>
    <w:rsid w:val="03A76CCE"/>
    <w:rsid w:val="03AE3AF3"/>
    <w:rsid w:val="03B1713F"/>
    <w:rsid w:val="03B44E81"/>
    <w:rsid w:val="03B86720"/>
    <w:rsid w:val="03B92498"/>
    <w:rsid w:val="03C302AB"/>
    <w:rsid w:val="03C54999"/>
    <w:rsid w:val="03C92778"/>
    <w:rsid w:val="03CC21CB"/>
    <w:rsid w:val="03D177E1"/>
    <w:rsid w:val="03D42E2E"/>
    <w:rsid w:val="03D60954"/>
    <w:rsid w:val="03D64DF8"/>
    <w:rsid w:val="03DB0660"/>
    <w:rsid w:val="03E05C76"/>
    <w:rsid w:val="03E33071"/>
    <w:rsid w:val="03F02558"/>
    <w:rsid w:val="03FA6D38"/>
    <w:rsid w:val="03FE4B5C"/>
    <w:rsid w:val="04043713"/>
    <w:rsid w:val="04051239"/>
    <w:rsid w:val="04133956"/>
    <w:rsid w:val="041453FF"/>
    <w:rsid w:val="04151050"/>
    <w:rsid w:val="041651F4"/>
    <w:rsid w:val="041B0A5C"/>
    <w:rsid w:val="04245B63"/>
    <w:rsid w:val="042518DB"/>
    <w:rsid w:val="04267B2D"/>
    <w:rsid w:val="04275653"/>
    <w:rsid w:val="0428311F"/>
    <w:rsid w:val="042913CB"/>
    <w:rsid w:val="04294F27"/>
    <w:rsid w:val="042A6EF2"/>
    <w:rsid w:val="042C0EBC"/>
    <w:rsid w:val="042C6499"/>
    <w:rsid w:val="042E253E"/>
    <w:rsid w:val="0430275A"/>
    <w:rsid w:val="043438CC"/>
    <w:rsid w:val="04357D70"/>
    <w:rsid w:val="043B4C5B"/>
    <w:rsid w:val="043D4E77"/>
    <w:rsid w:val="043D741E"/>
    <w:rsid w:val="04406715"/>
    <w:rsid w:val="04463D2B"/>
    <w:rsid w:val="044B7594"/>
    <w:rsid w:val="044F0706"/>
    <w:rsid w:val="04504BAA"/>
    <w:rsid w:val="04506958"/>
    <w:rsid w:val="045201B4"/>
    <w:rsid w:val="045301F6"/>
    <w:rsid w:val="045D2E23"/>
    <w:rsid w:val="04610B65"/>
    <w:rsid w:val="04631139"/>
    <w:rsid w:val="04657F2A"/>
    <w:rsid w:val="046824BD"/>
    <w:rsid w:val="04697A1A"/>
    <w:rsid w:val="046B5540"/>
    <w:rsid w:val="046C3066"/>
    <w:rsid w:val="046C750A"/>
    <w:rsid w:val="04762137"/>
    <w:rsid w:val="047B14FB"/>
    <w:rsid w:val="047C774D"/>
    <w:rsid w:val="047F0FEB"/>
    <w:rsid w:val="04814D63"/>
    <w:rsid w:val="0482288A"/>
    <w:rsid w:val="048B3E34"/>
    <w:rsid w:val="04932CE9"/>
    <w:rsid w:val="049A0FFF"/>
    <w:rsid w:val="049A5E25"/>
    <w:rsid w:val="049C7DEF"/>
    <w:rsid w:val="049E532B"/>
    <w:rsid w:val="04A15406"/>
    <w:rsid w:val="04A24CDA"/>
    <w:rsid w:val="04A722F0"/>
    <w:rsid w:val="04A93B87"/>
    <w:rsid w:val="04AB1DE0"/>
    <w:rsid w:val="04AE18D1"/>
    <w:rsid w:val="04B213C1"/>
    <w:rsid w:val="04BD7173"/>
    <w:rsid w:val="04C133B2"/>
    <w:rsid w:val="04C42EA2"/>
    <w:rsid w:val="04C64E6C"/>
    <w:rsid w:val="04CD1839"/>
    <w:rsid w:val="04CE5ACF"/>
    <w:rsid w:val="04D31337"/>
    <w:rsid w:val="04D550AF"/>
    <w:rsid w:val="04E1333E"/>
    <w:rsid w:val="04E13A54"/>
    <w:rsid w:val="04E23328"/>
    <w:rsid w:val="04E92909"/>
    <w:rsid w:val="04F27A0F"/>
    <w:rsid w:val="04F419D9"/>
    <w:rsid w:val="04F73278"/>
    <w:rsid w:val="04FA4B16"/>
    <w:rsid w:val="04FE63B4"/>
    <w:rsid w:val="04FF037E"/>
    <w:rsid w:val="050140F6"/>
    <w:rsid w:val="05034E4B"/>
    <w:rsid w:val="05065269"/>
    <w:rsid w:val="050D4849"/>
    <w:rsid w:val="050D65F7"/>
    <w:rsid w:val="050F05C1"/>
    <w:rsid w:val="050F6813"/>
    <w:rsid w:val="051E6A56"/>
    <w:rsid w:val="05235E1B"/>
    <w:rsid w:val="05243D35"/>
    <w:rsid w:val="052971A9"/>
    <w:rsid w:val="05300538"/>
    <w:rsid w:val="053718C6"/>
    <w:rsid w:val="053A3164"/>
    <w:rsid w:val="053A4F12"/>
    <w:rsid w:val="053C0C8A"/>
    <w:rsid w:val="053C6EDC"/>
    <w:rsid w:val="05412745"/>
    <w:rsid w:val="05465FAD"/>
    <w:rsid w:val="05526700"/>
    <w:rsid w:val="055406CA"/>
    <w:rsid w:val="05544226"/>
    <w:rsid w:val="055661F0"/>
    <w:rsid w:val="05577864"/>
    <w:rsid w:val="05592701"/>
    <w:rsid w:val="055B3806"/>
    <w:rsid w:val="055C757F"/>
    <w:rsid w:val="05656433"/>
    <w:rsid w:val="05663F59"/>
    <w:rsid w:val="056D353A"/>
    <w:rsid w:val="05720B50"/>
    <w:rsid w:val="057228FE"/>
    <w:rsid w:val="057C552B"/>
    <w:rsid w:val="0580326D"/>
    <w:rsid w:val="05810D93"/>
    <w:rsid w:val="05834B0B"/>
    <w:rsid w:val="05850883"/>
    <w:rsid w:val="05882122"/>
    <w:rsid w:val="058A5E9A"/>
    <w:rsid w:val="058C1C12"/>
    <w:rsid w:val="058F525E"/>
    <w:rsid w:val="059E1945"/>
    <w:rsid w:val="05A827C4"/>
    <w:rsid w:val="05A97689"/>
    <w:rsid w:val="05AA0B19"/>
    <w:rsid w:val="05AA653C"/>
    <w:rsid w:val="05AC22B4"/>
    <w:rsid w:val="05B178CA"/>
    <w:rsid w:val="05B20F4D"/>
    <w:rsid w:val="05B60A3D"/>
    <w:rsid w:val="05B7136E"/>
    <w:rsid w:val="05BB6053"/>
    <w:rsid w:val="05BC1DCB"/>
    <w:rsid w:val="05BE78F1"/>
    <w:rsid w:val="05C84C14"/>
    <w:rsid w:val="05CD222A"/>
    <w:rsid w:val="05CD5D86"/>
    <w:rsid w:val="05CE2604"/>
    <w:rsid w:val="05D05A20"/>
    <w:rsid w:val="05D215EF"/>
    <w:rsid w:val="05D84E57"/>
    <w:rsid w:val="05DB66F5"/>
    <w:rsid w:val="05DE7F94"/>
    <w:rsid w:val="05E27A5A"/>
    <w:rsid w:val="05E57574"/>
    <w:rsid w:val="05E80E12"/>
    <w:rsid w:val="05EA06E6"/>
    <w:rsid w:val="05ED6429"/>
    <w:rsid w:val="05F31C91"/>
    <w:rsid w:val="05F57389"/>
    <w:rsid w:val="05F652DD"/>
    <w:rsid w:val="05FE23E4"/>
    <w:rsid w:val="060043AE"/>
    <w:rsid w:val="06022AF2"/>
    <w:rsid w:val="060774EA"/>
    <w:rsid w:val="060A0D89"/>
    <w:rsid w:val="060B715F"/>
    <w:rsid w:val="060C0EF2"/>
    <w:rsid w:val="0612643E"/>
    <w:rsid w:val="0616597F"/>
    <w:rsid w:val="061816F7"/>
    <w:rsid w:val="0620235A"/>
    <w:rsid w:val="062A31D9"/>
    <w:rsid w:val="0639341C"/>
    <w:rsid w:val="063D115E"/>
    <w:rsid w:val="063E0A32"/>
    <w:rsid w:val="06420522"/>
    <w:rsid w:val="06430CCF"/>
    <w:rsid w:val="0644429B"/>
    <w:rsid w:val="06451DC1"/>
    <w:rsid w:val="064918B1"/>
    <w:rsid w:val="06500E91"/>
    <w:rsid w:val="065169B7"/>
    <w:rsid w:val="06585F98"/>
    <w:rsid w:val="066A1827"/>
    <w:rsid w:val="066F6E3E"/>
    <w:rsid w:val="0671705A"/>
    <w:rsid w:val="06744454"/>
    <w:rsid w:val="067526A6"/>
    <w:rsid w:val="06783F44"/>
    <w:rsid w:val="067B3A34"/>
    <w:rsid w:val="068428E9"/>
    <w:rsid w:val="068B011B"/>
    <w:rsid w:val="068B1EC9"/>
    <w:rsid w:val="068F128E"/>
    <w:rsid w:val="06905732"/>
    <w:rsid w:val="06954AF6"/>
    <w:rsid w:val="069A210C"/>
    <w:rsid w:val="069B5E85"/>
    <w:rsid w:val="069F3BC7"/>
    <w:rsid w:val="06A20FC1"/>
    <w:rsid w:val="06A50AB1"/>
    <w:rsid w:val="06A72A7B"/>
    <w:rsid w:val="06A82EB5"/>
    <w:rsid w:val="06B07B82"/>
    <w:rsid w:val="06B238FA"/>
    <w:rsid w:val="06B31420"/>
    <w:rsid w:val="06B331CE"/>
    <w:rsid w:val="06B64A6C"/>
    <w:rsid w:val="06BA27AF"/>
    <w:rsid w:val="06C07699"/>
    <w:rsid w:val="06C158EB"/>
    <w:rsid w:val="06C70A28"/>
    <w:rsid w:val="06C93ACC"/>
    <w:rsid w:val="06C947A0"/>
    <w:rsid w:val="06C97BAD"/>
    <w:rsid w:val="06CC4290"/>
    <w:rsid w:val="06CD24E2"/>
    <w:rsid w:val="06D51397"/>
    <w:rsid w:val="06D66EBD"/>
    <w:rsid w:val="06D82C35"/>
    <w:rsid w:val="06D849E3"/>
    <w:rsid w:val="06DE46EF"/>
    <w:rsid w:val="06E45A7E"/>
    <w:rsid w:val="06E72E78"/>
    <w:rsid w:val="06EA0626"/>
    <w:rsid w:val="06EC66E0"/>
    <w:rsid w:val="06EE4206"/>
    <w:rsid w:val="06F23CF7"/>
    <w:rsid w:val="06F37A6F"/>
    <w:rsid w:val="06F82C62"/>
    <w:rsid w:val="06FC6923"/>
    <w:rsid w:val="070103DE"/>
    <w:rsid w:val="07013F3A"/>
    <w:rsid w:val="070E6657"/>
    <w:rsid w:val="07100621"/>
    <w:rsid w:val="07155C37"/>
    <w:rsid w:val="071A4FFB"/>
    <w:rsid w:val="071D689A"/>
    <w:rsid w:val="072145DC"/>
    <w:rsid w:val="07224756"/>
    <w:rsid w:val="07230354"/>
    <w:rsid w:val="07254298"/>
    <w:rsid w:val="07262BF4"/>
    <w:rsid w:val="07293490"/>
    <w:rsid w:val="072D4D2F"/>
    <w:rsid w:val="07350087"/>
    <w:rsid w:val="07373DFF"/>
    <w:rsid w:val="07391925"/>
    <w:rsid w:val="073A38EF"/>
    <w:rsid w:val="073C1416"/>
    <w:rsid w:val="073C31C4"/>
    <w:rsid w:val="073C7668"/>
    <w:rsid w:val="073D0CEA"/>
    <w:rsid w:val="07420ABA"/>
    <w:rsid w:val="07462294"/>
    <w:rsid w:val="074958E1"/>
    <w:rsid w:val="074D717F"/>
    <w:rsid w:val="0754675F"/>
    <w:rsid w:val="07554285"/>
    <w:rsid w:val="0757624F"/>
    <w:rsid w:val="07577FFE"/>
    <w:rsid w:val="075F77DC"/>
    <w:rsid w:val="076170CE"/>
    <w:rsid w:val="0765096C"/>
    <w:rsid w:val="07666493"/>
    <w:rsid w:val="077820A1"/>
    <w:rsid w:val="07782386"/>
    <w:rsid w:val="077A3CEC"/>
    <w:rsid w:val="077B0190"/>
    <w:rsid w:val="07852DBD"/>
    <w:rsid w:val="078608E3"/>
    <w:rsid w:val="07862691"/>
    <w:rsid w:val="07944DAE"/>
    <w:rsid w:val="079E5C2C"/>
    <w:rsid w:val="079F3753"/>
    <w:rsid w:val="07A2707C"/>
    <w:rsid w:val="07A82607"/>
    <w:rsid w:val="07AB0349"/>
    <w:rsid w:val="07AF3996"/>
    <w:rsid w:val="07B436A2"/>
    <w:rsid w:val="07B611C8"/>
    <w:rsid w:val="07B70A9C"/>
    <w:rsid w:val="07BE007D"/>
    <w:rsid w:val="07BF7A34"/>
    <w:rsid w:val="07C35693"/>
    <w:rsid w:val="07C44FDB"/>
    <w:rsid w:val="07C531B9"/>
    <w:rsid w:val="07CF228A"/>
    <w:rsid w:val="07D01B5E"/>
    <w:rsid w:val="07D23B28"/>
    <w:rsid w:val="07D258D6"/>
    <w:rsid w:val="07D31880"/>
    <w:rsid w:val="07D478A0"/>
    <w:rsid w:val="07D653C6"/>
    <w:rsid w:val="07D7113E"/>
    <w:rsid w:val="07DB0C2F"/>
    <w:rsid w:val="07DE427B"/>
    <w:rsid w:val="07E06245"/>
    <w:rsid w:val="07E2450F"/>
    <w:rsid w:val="07E850FA"/>
    <w:rsid w:val="07EC4BEA"/>
    <w:rsid w:val="07ED44BE"/>
    <w:rsid w:val="07EF0236"/>
    <w:rsid w:val="07F41CF0"/>
    <w:rsid w:val="07F43A9E"/>
    <w:rsid w:val="07FE66CB"/>
    <w:rsid w:val="08071A24"/>
    <w:rsid w:val="080A32C2"/>
    <w:rsid w:val="080C703A"/>
    <w:rsid w:val="081128A2"/>
    <w:rsid w:val="08123F24"/>
    <w:rsid w:val="08145EEF"/>
    <w:rsid w:val="08163A15"/>
    <w:rsid w:val="08167EB9"/>
    <w:rsid w:val="081B102B"/>
    <w:rsid w:val="081B727D"/>
    <w:rsid w:val="081E6D6D"/>
    <w:rsid w:val="0822060B"/>
    <w:rsid w:val="08297BEC"/>
    <w:rsid w:val="08326375"/>
    <w:rsid w:val="08357E18"/>
    <w:rsid w:val="08386081"/>
    <w:rsid w:val="08395955"/>
    <w:rsid w:val="083D71F3"/>
    <w:rsid w:val="083E2F6B"/>
    <w:rsid w:val="083E4D1A"/>
    <w:rsid w:val="084560A8"/>
    <w:rsid w:val="08470AEB"/>
    <w:rsid w:val="08471E20"/>
    <w:rsid w:val="084F6F27"/>
    <w:rsid w:val="0850164A"/>
    <w:rsid w:val="0850403A"/>
    <w:rsid w:val="08512C9F"/>
    <w:rsid w:val="085207C5"/>
    <w:rsid w:val="08597DA5"/>
    <w:rsid w:val="085A5FF7"/>
    <w:rsid w:val="085D7896"/>
    <w:rsid w:val="085F360E"/>
    <w:rsid w:val="085F6817"/>
    <w:rsid w:val="08634780"/>
    <w:rsid w:val="08684960"/>
    <w:rsid w:val="0869448C"/>
    <w:rsid w:val="086A3D60"/>
    <w:rsid w:val="086E3851"/>
    <w:rsid w:val="0870581B"/>
    <w:rsid w:val="08732C15"/>
    <w:rsid w:val="087D5842"/>
    <w:rsid w:val="087F780C"/>
    <w:rsid w:val="08844E22"/>
    <w:rsid w:val="088766C0"/>
    <w:rsid w:val="088A61B1"/>
    <w:rsid w:val="088C017B"/>
    <w:rsid w:val="088F5575"/>
    <w:rsid w:val="08962DA7"/>
    <w:rsid w:val="08966904"/>
    <w:rsid w:val="089A4646"/>
    <w:rsid w:val="089D5EE4"/>
    <w:rsid w:val="089D7C92"/>
    <w:rsid w:val="089F7EAE"/>
    <w:rsid w:val="08A70B11"/>
    <w:rsid w:val="08AA0601"/>
    <w:rsid w:val="08AC533F"/>
    <w:rsid w:val="08B03E69"/>
    <w:rsid w:val="08B374B6"/>
    <w:rsid w:val="08B5322E"/>
    <w:rsid w:val="08C01BD2"/>
    <w:rsid w:val="08C2594B"/>
    <w:rsid w:val="08C276F9"/>
    <w:rsid w:val="08C711B3"/>
    <w:rsid w:val="08C77405"/>
    <w:rsid w:val="08CB2A51"/>
    <w:rsid w:val="08D27F95"/>
    <w:rsid w:val="08D35DAA"/>
    <w:rsid w:val="08DD09D6"/>
    <w:rsid w:val="08DD2784"/>
    <w:rsid w:val="08E458C1"/>
    <w:rsid w:val="08E6788B"/>
    <w:rsid w:val="08F128CC"/>
    <w:rsid w:val="08F24482"/>
    <w:rsid w:val="08F63846"/>
    <w:rsid w:val="08F85810"/>
    <w:rsid w:val="08F875BE"/>
    <w:rsid w:val="090135A2"/>
    <w:rsid w:val="090C4E18"/>
    <w:rsid w:val="09104908"/>
    <w:rsid w:val="091268D2"/>
    <w:rsid w:val="091361A6"/>
    <w:rsid w:val="091A12E3"/>
    <w:rsid w:val="091A588A"/>
    <w:rsid w:val="092403B3"/>
    <w:rsid w:val="09246605"/>
    <w:rsid w:val="092B34F0"/>
    <w:rsid w:val="092B7994"/>
    <w:rsid w:val="092C7268"/>
    <w:rsid w:val="092E1232"/>
    <w:rsid w:val="092E2FE0"/>
    <w:rsid w:val="09306D58"/>
    <w:rsid w:val="0932487E"/>
    <w:rsid w:val="093525C0"/>
    <w:rsid w:val="093C74AB"/>
    <w:rsid w:val="093D3223"/>
    <w:rsid w:val="093F343F"/>
    <w:rsid w:val="093F6F9B"/>
    <w:rsid w:val="09440A55"/>
    <w:rsid w:val="0946032A"/>
    <w:rsid w:val="09475E50"/>
    <w:rsid w:val="094840A2"/>
    <w:rsid w:val="095A2D1D"/>
    <w:rsid w:val="095A2ED7"/>
    <w:rsid w:val="095E38C5"/>
    <w:rsid w:val="095F13EB"/>
    <w:rsid w:val="09664528"/>
    <w:rsid w:val="09694018"/>
    <w:rsid w:val="096D58B6"/>
    <w:rsid w:val="09734E97"/>
    <w:rsid w:val="097529BD"/>
    <w:rsid w:val="09756E61"/>
    <w:rsid w:val="09774987"/>
    <w:rsid w:val="097C01EF"/>
    <w:rsid w:val="097E5D15"/>
    <w:rsid w:val="09821F29"/>
    <w:rsid w:val="098A46BA"/>
    <w:rsid w:val="098B0432"/>
    <w:rsid w:val="099948FD"/>
    <w:rsid w:val="09994E96"/>
    <w:rsid w:val="099E1F14"/>
    <w:rsid w:val="099E3CC2"/>
    <w:rsid w:val="099F5C8C"/>
    <w:rsid w:val="09A43944"/>
    <w:rsid w:val="09AF2373"/>
    <w:rsid w:val="09B07E99"/>
    <w:rsid w:val="09B24CF6"/>
    <w:rsid w:val="09B41737"/>
    <w:rsid w:val="09B47989"/>
    <w:rsid w:val="09B5725D"/>
    <w:rsid w:val="09B63701"/>
    <w:rsid w:val="09B90AFC"/>
    <w:rsid w:val="09B94F9F"/>
    <w:rsid w:val="09BC4A90"/>
    <w:rsid w:val="09C37BCC"/>
    <w:rsid w:val="09C53944"/>
    <w:rsid w:val="09CB4CD3"/>
    <w:rsid w:val="09CF031F"/>
    <w:rsid w:val="09D04097"/>
    <w:rsid w:val="09D771D4"/>
    <w:rsid w:val="09DB4F16"/>
    <w:rsid w:val="09DE0562"/>
    <w:rsid w:val="09E638BB"/>
    <w:rsid w:val="09E85885"/>
    <w:rsid w:val="09E87633"/>
    <w:rsid w:val="09ED4C49"/>
    <w:rsid w:val="09F558AC"/>
    <w:rsid w:val="09F77876"/>
    <w:rsid w:val="09F9539C"/>
    <w:rsid w:val="09FE32FC"/>
    <w:rsid w:val="0A002EBD"/>
    <w:rsid w:val="0A014251"/>
    <w:rsid w:val="0A0B50CF"/>
    <w:rsid w:val="0A0F2E11"/>
    <w:rsid w:val="0A0F696E"/>
    <w:rsid w:val="0A116E5B"/>
    <w:rsid w:val="0A1246B0"/>
    <w:rsid w:val="0A12645E"/>
    <w:rsid w:val="0A1421D6"/>
    <w:rsid w:val="0A161583"/>
    <w:rsid w:val="0A165F4E"/>
    <w:rsid w:val="0A1B7A08"/>
    <w:rsid w:val="0A2148F3"/>
    <w:rsid w:val="0A232419"/>
    <w:rsid w:val="0A2543E3"/>
    <w:rsid w:val="0A254969"/>
    <w:rsid w:val="0A2A19F9"/>
    <w:rsid w:val="0A3208AE"/>
    <w:rsid w:val="0A36214C"/>
    <w:rsid w:val="0A3665F0"/>
    <w:rsid w:val="0A391C3C"/>
    <w:rsid w:val="0A3B3C06"/>
    <w:rsid w:val="0A3D797F"/>
    <w:rsid w:val="0A3E36F7"/>
    <w:rsid w:val="0A40746F"/>
    <w:rsid w:val="0A434869"/>
    <w:rsid w:val="0A481E7F"/>
    <w:rsid w:val="0A4A5BF8"/>
    <w:rsid w:val="0A4E393A"/>
    <w:rsid w:val="0A5020C6"/>
    <w:rsid w:val="0A546A76"/>
    <w:rsid w:val="0A5B6057"/>
    <w:rsid w:val="0A5B7E05"/>
    <w:rsid w:val="0A5C592B"/>
    <w:rsid w:val="0A5E16A3"/>
    <w:rsid w:val="0A60541B"/>
    <w:rsid w:val="0A621193"/>
    <w:rsid w:val="0A6D18E6"/>
    <w:rsid w:val="0A6F0A75"/>
    <w:rsid w:val="0A7113D6"/>
    <w:rsid w:val="0A717628"/>
    <w:rsid w:val="0A740EC6"/>
    <w:rsid w:val="0A742C74"/>
    <w:rsid w:val="0A7809B7"/>
    <w:rsid w:val="0A7D4792"/>
    <w:rsid w:val="0A821835"/>
    <w:rsid w:val="0A8235E3"/>
    <w:rsid w:val="0A8455AD"/>
    <w:rsid w:val="0A8D4287"/>
    <w:rsid w:val="0A951569"/>
    <w:rsid w:val="0A981059"/>
    <w:rsid w:val="0A9F4195"/>
    <w:rsid w:val="0AA07F0D"/>
    <w:rsid w:val="0AA277E2"/>
    <w:rsid w:val="0AA6225D"/>
    <w:rsid w:val="0AA62B26"/>
    <w:rsid w:val="0AA74DF8"/>
    <w:rsid w:val="0AA96DC2"/>
    <w:rsid w:val="0AAF0151"/>
    <w:rsid w:val="0AB07621"/>
    <w:rsid w:val="0AB30C24"/>
    <w:rsid w:val="0AB614DF"/>
    <w:rsid w:val="0ABF65E6"/>
    <w:rsid w:val="0AC27E84"/>
    <w:rsid w:val="0AC41E4E"/>
    <w:rsid w:val="0AC51722"/>
    <w:rsid w:val="0AC7549A"/>
    <w:rsid w:val="0ACA6D38"/>
    <w:rsid w:val="0AD11E75"/>
    <w:rsid w:val="0ADF4592"/>
    <w:rsid w:val="0AE05F52"/>
    <w:rsid w:val="0AE222D4"/>
    <w:rsid w:val="0AE53C68"/>
    <w:rsid w:val="0AE61DC4"/>
    <w:rsid w:val="0AE778EA"/>
    <w:rsid w:val="0AEC4F01"/>
    <w:rsid w:val="0AF12517"/>
    <w:rsid w:val="0AF344E1"/>
    <w:rsid w:val="0AF81AF7"/>
    <w:rsid w:val="0AF85654"/>
    <w:rsid w:val="0B022976"/>
    <w:rsid w:val="0B030359"/>
    <w:rsid w:val="0B0B182B"/>
    <w:rsid w:val="0B0B35D9"/>
    <w:rsid w:val="0B0C55A3"/>
    <w:rsid w:val="0B0E30C9"/>
    <w:rsid w:val="0B1306DF"/>
    <w:rsid w:val="0B1319F2"/>
    <w:rsid w:val="0B1526A9"/>
    <w:rsid w:val="0B154424"/>
    <w:rsid w:val="0B183F48"/>
    <w:rsid w:val="0B185CF6"/>
    <w:rsid w:val="0B1A1A6E"/>
    <w:rsid w:val="0B1D155E"/>
    <w:rsid w:val="0B1F0E32"/>
    <w:rsid w:val="0B226B74"/>
    <w:rsid w:val="0B2621C1"/>
    <w:rsid w:val="0B2823DD"/>
    <w:rsid w:val="0B2B5A29"/>
    <w:rsid w:val="0B2F5EE6"/>
    <w:rsid w:val="0B3348DE"/>
    <w:rsid w:val="0B3626D0"/>
    <w:rsid w:val="0B36617C"/>
    <w:rsid w:val="0B3D39AE"/>
    <w:rsid w:val="0B3F14D4"/>
    <w:rsid w:val="0B42435B"/>
    <w:rsid w:val="0B446FB2"/>
    <w:rsid w:val="0B460AB5"/>
    <w:rsid w:val="0B464611"/>
    <w:rsid w:val="0B470389"/>
    <w:rsid w:val="0B5F1B77"/>
    <w:rsid w:val="0B61769D"/>
    <w:rsid w:val="0B641412"/>
    <w:rsid w:val="0B6B051B"/>
    <w:rsid w:val="0B6E5916"/>
    <w:rsid w:val="0B7373D0"/>
    <w:rsid w:val="0B756CA4"/>
    <w:rsid w:val="0B770C6E"/>
    <w:rsid w:val="0B84338B"/>
    <w:rsid w:val="0B884C29"/>
    <w:rsid w:val="0B8D0492"/>
    <w:rsid w:val="0B8D6901"/>
    <w:rsid w:val="0B907F82"/>
    <w:rsid w:val="0B943C03"/>
    <w:rsid w:val="0B957346"/>
    <w:rsid w:val="0B9A6334"/>
    <w:rsid w:val="0BA13F3D"/>
    <w:rsid w:val="0BA650B0"/>
    <w:rsid w:val="0BAD28E2"/>
    <w:rsid w:val="0BB84DE3"/>
    <w:rsid w:val="0BBA591E"/>
    <w:rsid w:val="0BBC48D3"/>
    <w:rsid w:val="0BBD4C25"/>
    <w:rsid w:val="0BC020FA"/>
    <w:rsid w:val="0BC65752"/>
    <w:rsid w:val="0BC81BCE"/>
    <w:rsid w:val="0BCF0AAA"/>
    <w:rsid w:val="0BD22349"/>
    <w:rsid w:val="0BD51E39"/>
    <w:rsid w:val="0BD52526"/>
    <w:rsid w:val="0BDC31C7"/>
    <w:rsid w:val="0BDC4F75"/>
    <w:rsid w:val="0BE107DE"/>
    <w:rsid w:val="0BE67BA2"/>
    <w:rsid w:val="0BEA7692"/>
    <w:rsid w:val="0BEB474C"/>
    <w:rsid w:val="0BED0F30"/>
    <w:rsid w:val="0BED7182"/>
    <w:rsid w:val="0BF22112"/>
    <w:rsid w:val="0BF52FA0"/>
    <w:rsid w:val="0BF56037"/>
    <w:rsid w:val="0BF64289"/>
    <w:rsid w:val="0BF71DAF"/>
    <w:rsid w:val="0BFC5617"/>
    <w:rsid w:val="0C0000B3"/>
    <w:rsid w:val="0C000C64"/>
    <w:rsid w:val="0C061FF2"/>
    <w:rsid w:val="0C087B18"/>
    <w:rsid w:val="0C0B7609"/>
    <w:rsid w:val="0C0D512F"/>
    <w:rsid w:val="0C112E71"/>
    <w:rsid w:val="0C22507E"/>
    <w:rsid w:val="0C2661F0"/>
    <w:rsid w:val="0C281F69"/>
    <w:rsid w:val="0C2D757F"/>
    <w:rsid w:val="0C3C5A14"/>
    <w:rsid w:val="0C4A1EDF"/>
    <w:rsid w:val="0C4D19CF"/>
    <w:rsid w:val="0C4D7C21"/>
    <w:rsid w:val="0C57284E"/>
    <w:rsid w:val="0C5745FC"/>
    <w:rsid w:val="0C590374"/>
    <w:rsid w:val="0C5B0590"/>
    <w:rsid w:val="0C5C7E64"/>
    <w:rsid w:val="0C5E1E2E"/>
    <w:rsid w:val="0C5F5CBA"/>
    <w:rsid w:val="0C61547A"/>
    <w:rsid w:val="0C654F6B"/>
    <w:rsid w:val="0C67518E"/>
    <w:rsid w:val="0C693011"/>
    <w:rsid w:val="0C71390F"/>
    <w:rsid w:val="0C776A4C"/>
    <w:rsid w:val="0C7934EB"/>
    <w:rsid w:val="0C7B29E0"/>
    <w:rsid w:val="0C7B478E"/>
    <w:rsid w:val="0C7F6B06"/>
    <w:rsid w:val="0C825B1D"/>
    <w:rsid w:val="0C8278CB"/>
    <w:rsid w:val="0C871385"/>
    <w:rsid w:val="0C897A2A"/>
    <w:rsid w:val="0C8A2C23"/>
    <w:rsid w:val="0C8D240C"/>
    <w:rsid w:val="0C8D626F"/>
    <w:rsid w:val="0C943AA2"/>
    <w:rsid w:val="0C965160"/>
    <w:rsid w:val="0C985340"/>
    <w:rsid w:val="0C9D4705"/>
    <w:rsid w:val="0C9F66CF"/>
    <w:rsid w:val="0CA10882"/>
    <w:rsid w:val="0CA35A93"/>
    <w:rsid w:val="0CA63ECA"/>
    <w:rsid w:val="0CA84E57"/>
    <w:rsid w:val="0CAA6E21"/>
    <w:rsid w:val="0CB101B0"/>
    <w:rsid w:val="0CB16402"/>
    <w:rsid w:val="0CB3217A"/>
    <w:rsid w:val="0CB87790"/>
    <w:rsid w:val="0CBB28B8"/>
    <w:rsid w:val="0CBB4B8B"/>
    <w:rsid w:val="0CBD4DA7"/>
    <w:rsid w:val="0CBE467B"/>
    <w:rsid w:val="0CC021A1"/>
    <w:rsid w:val="0CC04897"/>
    <w:rsid w:val="0CC46135"/>
    <w:rsid w:val="0CC55A09"/>
    <w:rsid w:val="0CC9374C"/>
    <w:rsid w:val="0CCF0636"/>
    <w:rsid w:val="0CD12600"/>
    <w:rsid w:val="0CD21ED4"/>
    <w:rsid w:val="0CDE6ACB"/>
    <w:rsid w:val="0CEA5470"/>
    <w:rsid w:val="0CEB1997"/>
    <w:rsid w:val="0CF14A50"/>
    <w:rsid w:val="0CF63E15"/>
    <w:rsid w:val="0CF87B8D"/>
    <w:rsid w:val="0CFD51A3"/>
    <w:rsid w:val="0D046532"/>
    <w:rsid w:val="0D0539CE"/>
    <w:rsid w:val="0D093B48"/>
    <w:rsid w:val="0D0F4ED6"/>
    <w:rsid w:val="0D116EA1"/>
    <w:rsid w:val="0D1644B7"/>
    <w:rsid w:val="0D1A3FA7"/>
    <w:rsid w:val="0D1C7D1F"/>
    <w:rsid w:val="0D222E5C"/>
    <w:rsid w:val="0D240982"/>
    <w:rsid w:val="0D2564A8"/>
    <w:rsid w:val="0D29243C"/>
    <w:rsid w:val="0D2A1D10"/>
    <w:rsid w:val="0D307327"/>
    <w:rsid w:val="0D3153D4"/>
    <w:rsid w:val="0D352B8F"/>
    <w:rsid w:val="0D38442D"/>
    <w:rsid w:val="0D3F3A0E"/>
    <w:rsid w:val="0D441024"/>
    <w:rsid w:val="0D470B14"/>
    <w:rsid w:val="0D4E59FF"/>
    <w:rsid w:val="0D646FD0"/>
    <w:rsid w:val="0D682F64"/>
    <w:rsid w:val="0D7F02AE"/>
    <w:rsid w:val="0D7F3E0A"/>
    <w:rsid w:val="0D821B4C"/>
    <w:rsid w:val="0D8256A8"/>
    <w:rsid w:val="0D88416D"/>
    <w:rsid w:val="0D8853B5"/>
    <w:rsid w:val="0D894C89"/>
    <w:rsid w:val="0D896A37"/>
    <w:rsid w:val="0D8C6527"/>
    <w:rsid w:val="0D8D45E5"/>
    <w:rsid w:val="0D8E6743"/>
    <w:rsid w:val="0D984ECC"/>
    <w:rsid w:val="0D9A6E96"/>
    <w:rsid w:val="0D9C10BE"/>
    <w:rsid w:val="0D9C49BC"/>
    <w:rsid w:val="0D9F26FE"/>
    <w:rsid w:val="0DA10224"/>
    <w:rsid w:val="0DA16476"/>
    <w:rsid w:val="0DA33F9D"/>
    <w:rsid w:val="0DA41AC3"/>
    <w:rsid w:val="0DA6625D"/>
    <w:rsid w:val="0DA90E87"/>
    <w:rsid w:val="0DA9532B"/>
    <w:rsid w:val="0DA959C8"/>
    <w:rsid w:val="0DAD4E1B"/>
    <w:rsid w:val="0DAE46EF"/>
    <w:rsid w:val="0DB461AA"/>
    <w:rsid w:val="0DB55A7E"/>
    <w:rsid w:val="0DB77CF3"/>
    <w:rsid w:val="0DBA7538"/>
    <w:rsid w:val="0DBD4932"/>
    <w:rsid w:val="0DBF68FD"/>
    <w:rsid w:val="0DC108C7"/>
    <w:rsid w:val="0DC14423"/>
    <w:rsid w:val="0DC363ED"/>
    <w:rsid w:val="0DC61A39"/>
    <w:rsid w:val="0DC65EDD"/>
    <w:rsid w:val="0DC9777B"/>
    <w:rsid w:val="0DCB52A1"/>
    <w:rsid w:val="0DD51C7C"/>
    <w:rsid w:val="0DD759F4"/>
    <w:rsid w:val="0DDC300B"/>
    <w:rsid w:val="0DDC74AE"/>
    <w:rsid w:val="0DDD6D83"/>
    <w:rsid w:val="0DDE3227"/>
    <w:rsid w:val="0DDF0D4D"/>
    <w:rsid w:val="0DDF2AFB"/>
    <w:rsid w:val="0DDF6F9F"/>
    <w:rsid w:val="0DE34399"/>
    <w:rsid w:val="0DE40111"/>
    <w:rsid w:val="0DE916F2"/>
    <w:rsid w:val="0DE93979"/>
    <w:rsid w:val="0DEB5944"/>
    <w:rsid w:val="0DED346A"/>
    <w:rsid w:val="0DEE0F90"/>
    <w:rsid w:val="0DF465A6"/>
    <w:rsid w:val="0DF50570"/>
    <w:rsid w:val="0E0A401C"/>
    <w:rsid w:val="0E0B7D94"/>
    <w:rsid w:val="0E122ED0"/>
    <w:rsid w:val="0E1924B1"/>
    <w:rsid w:val="0E2055ED"/>
    <w:rsid w:val="0E211365"/>
    <w:rsid w:val="0E213113"/>
    <w:rsid w:val="0E250E55"/>
    <w:rsid w:val="0E2A021A"/>
    <w:rsid w:val="0E2A187B"/>
    <w:rsid w:val="0E2A646C"/>
    <w:rsid w:val="0E2C21E4"/>
    <w:rsid w:val="0E2F3A82"/>
    <w:rsid w:val="0E31405C"/>
    <w:rsid w:val="0E3177FA"/>
    <w:rsid w:val="0E342E47"/>
    <w:rsid w:val="0E377BE4"/>
    <w:rsid w:val="0E3C7F4D"/>
    <w:rsid w:val="0E3E1F17"/>
    <w:rsid w:val="0E43752E"/>
    <w:rsid w:val="0E456E02"/>
    <w:rsid w:val="0E4A266A"/>
    <w:rsid w:val="0E4D075C"/>
    <w:rsid w:val="0E5232CD"/>
    <w:rsid w:val="0E5434E9"/>
    <w:rsid w:val="0E574D87"/>
    <w:rsid w:val="0E581951"/>
    <w:rsid w:val="0E5C05EF"/>
    <w:rsid w:val="0E5E6115"/>
    <w:rsid w:val="0E6179B4"/>
    <w:rsid w:val="0E652AC5"/>
    <w:rsid w:val="0E6B438E"/>
    <w:rsid w:val="0E721BC1"/>
    <w:rsid w:val="0E72571D"/>
    <w:rsid w:val="0E7476E7"/>
    <w:rsid w:val="0E7525BA"/>
    <w:rsid w:val="0E7616B1"/>
    <w:rsid w:val="0E76345F"/>
    <w:rsid w:val="0E76520D"/>
    <w:rsid w:val="0E7771D7"/>
    <w:rsid w:val="0E7B6CC7"/>
    <w:rsid w:val="0E7C659C"/>
    <w:rsid w:val="0E811E04"/>
    <w:rsid w:val="0E824BBE"/>
    <w:rsid w:val="0E8D2557"/>
    <w:rsid w:val="0E8F4521"/>
    <w:rsid w:val="0E903DF5"/>
    <w:rsid w:val="0E975183"/>
    <w:rsid w:val="0E981627"/>
    <w:rsid w:val="0E99714E"/>
    <w:rsid w:val="0E9B4C74"/>
    <w:rsid w:val="0E9C09EC"/>
    <w:rsid w:val="0E9E6512"/>
    <w:rsid w:val="0EA37FCC"/>
    <w:rsid w:val="0EA55AF2"/>
    <w:rsid w:val="0EA87391"/>
    <w:rsid w:val="0EAF071F"/>
    <w:rsid w:val="0EB2020F"/>
    <w:rsid w:val="0EB45D35"/>
    <w:rsid w:val="0EB65F51"/>
    <w:rsid w:val="0EB83A78"/>
    <w:rsid w:val="0EB9159E"/>
    <w:rsid w:val="0EB977F0"/>
    <w:rsid w:val="0EBB70C4"/>
    <w:rsid w:val="0EBC4BEA"/>
    <w:rsid w:val="0EBD2E3C"/>
    <w:rsid w:val="0EC00B7E"/>
    <w:rsid w:val="0EC046DA"/>
    <w:rsid w:val="0EC84782"/>
    <w:rsid w:val="0ECC12D1"/>
    <w:rsid w:val="0ECD6DF7"/>
    <w:rsid w:val="0ECE5049"/>
    <w:rsid w:val="0ED4462A"/>
    <w:rsid w:val="0ED63EFE"/>
    <w:rsid w:val="0ED91C40"/>
    <w:rsid w:val="0EDD7077"/>
    <w:rsid w:val="0EDE1004"/>
    <w:rsid w:val="0EE02FCE"/>
    <w:rsid w:val="0EED3B7D"/>
    <w:rsid w:val="0EEF6D6E"/>
    <w:rsid w:val="0EF67A1E"/>
    <w:rsid w:val="0EF820C6"/>
    <w:rsid w:val="0EFB3964"/>
    <w:rsid w:val="0EFD592E"/>
    <w:rsid w:val="0F026AA1"/>
    <w:rsid w:val="0F032819"/>
    <w:rsid w:val="0F040A6B"/>
    <w:rsid w:val="0F0740B7"/>
    <w:rsid w:val="0F0767AD"/>
    <w:rsid w:val="0F087E2F"/>
    <w:rsid w:val="0F0C3DC3"/>
    <w:rsid w:val="0F0C791F"/>
    <w:rsid w:val="0F0E18EA"/>
    <w:rsid w:val="0F130CAE"/>
    <w:rsid w:val="0F136F00"/>
    <w:rsid w:val="0F1F3AF7"/>
    <w:rsid w:val="0F205179"/>
    <w:rsid w:val="0F25392F"/>
    <w:rsid w:val="0F274759"/>
    <w:rsid w:val="0F29227F"/>
    <w:rsid w:val="0F2C1D70"/>
    <w:rsid w:val="0F2E2EAF"/>
    <w:rsid w:val="0F2E3D3A"/>
    <w:rsid w:val="0F3155D8"/>
    <w:rsid w:val="0F3330FE"/>
    <w:rsid w:val="0F337FF9"/>
    <w:rsid w:val="0F362BEE"/>
    <w:rsid w:val="0F380715"/>
    <w:rsid w:val="0F380CF4"/>
    <w:rsid w:val="0F3A26DF"/>
    <w:rsid w:val="0F3D5D2B"/>
    <w:rsid w:val="0F43513D"/>
    <w:rsid w:val="0F44530B"/>
    <w:rsid w:val="0F4470B9"/>
    <w:rsid w:val="0F492922"/>
    <w:rsid w:val="0F4F5A5E"/>
    <w:rsid w:val="0F503CB0"/>
    <w:rsid w:val="0F53554E"/>
    <w:rsid w:val="0F566DED"/>
    <w:rsid w:val="0F5A68DD"/>
    <w:rsid w:val="0F5B2655"/>
    <w:rsid w:val="0F5B4FA9"/>
    <w:rsid w:val="0F5D63CD"/>
    <w:rsid w:val="0F600249"/>
    <w:rsid w:val="0F607C6B"/>
    <w:rsid w:val="0F657030"/>
    <w:rsid w:val="0F6A2898"/>
    <w:rsid w:val="0F6C61B8"/>
    <w:rsid w:val="0F6C6610"/>
    <w:rsid w:val="0F6E4136"/>
    <w:rsid w:val="0F711E78"/>
    <w:rsid w:val="0F751969"/>
    <w:rsid w:val="0F7554C5"/>
    <w:rsid w:val="0F783207"/>
    <w:rsid w:val="0F7B4AA5"/>
    <w:rsid w:val="0F841BAC"/>
    <w:rsid w:val="0F8971C2"/>
    <w:rsid w:val="0F8C280E"/>
    <w:rsid w:val="0F900551"/>
    <w:rsid w:val="0F96368D"/>
    <w:rsid w:val="0F9811B3"/>
    <w:rsid w:val="0F987405"/>
    <w:rsid w:val="0F9A317D"/>
    <w:rsid w:val="0F9B0CA3"/>
    <w:rsid w:val="0F9B1521"/>
    <w:rsid w:val="0F9F69E6"/>
    <w:rsid w:val="0FA61B22"/>
    <w:rsid w:val="0FA638D0"/>
    <w:rsid w:val="0FA7589A"/>
    <w:rsid w:val="0FA77648"/>
    <w:rsid w:val="0FAB538A"/>
    <w:rsid w:val="0FAC5576"/>
    <w:rsid w:val="0FAE09D7"/>
    <w:rsid w:val="0FB35FED"/>
    <w:rsid w:val="0FB56209"/>
    <w:rsid w:val="0FB75ADD"/>
    <w:rsid w:val="0FB81855"/>
    <w:rsid w:val="0FBA737B"/>
    <w:rsid w:val="0FBC0859"/>
    <w:rsid w:val="0FBD6E6C"/>
    <w:rsid w:val="0FC1695C"/>
    <w:rsid w:val="0FC401FA"/>
    <w:rsid w:val="0FC41FA8"/>
    <w:rsid w:val="0FCD3553"/>
    <w:rsid w:val="0FCF7BC5"/>
    <w:rsid w:val="0FDF5034"/>
    <w:rsid w:val="0FE4089C"/>
    <w:rsid w:val="0FE73EE9"/>
    <w:rsid w:val="0FE97C61"/>
    <w:rsid w:val="0FEB1C2B"/>
    <w:rsid w:val="0FEB5787"/>
    <w:rsid w:val="0FF56606"/>
    <w:rsid w:val="0FF87EA4"/>
    <w:rsid w:val="0FFC7994"/>
    <w:rsid w:val="0FFD54BA"/>
    <w:rsid w:val="0FFE195E"/>
    <w:rsid w:val="0FFF7484"/>
    <w:rsid w:val="10046849"/>
    <w:rsid w:val="10065241"/>
    <w:rsid w:val="10090303"/>
    <w:rsid w:val="100E2CD2"/>
    <w:rsid w:val="10102A21"/>
    <w:rsid w:val="10152804"/>
    <w:rsid w:val="10190546"/>
    <w:rsid w:val="101C0036"/>
    <w:rsid w:val="101F18D4"/>
    <w:rsid w:val="102173FB"/>
    <w:rsid w:val="10260EB5"/>
    <w:rsid w:val="10282537"/>
    <w:rsid w:val="102869DB"/>
    <w:rsid w:val="102A2753"/>
    <w:rsid w:val="10303AE2"/>
    <w:rsid w:val="103435D2"/>
    <w:rsid w:val="103E61FE"/>
    <w:rsid w:val="103E7FAD"/>
    <w:rsid w:val="104355C3"/>
    <w:rsid w:val="1045758D"/>
    <w:rsid w:val="10463305"/>
    <w:rsid w:val="10482BD9"/>
    <w:rsid w:val="104906FF"/>
    <w:rsid w:val="104D4104"/>
    <w:rsid w:val="104F3F68"/>
    <w:rsid w:val="10521CAA"/>
    <w:rsid w:val="1054157E"/>
    <w:rsid w:val="10563548"/>
    <w:rsid w:val="1057106E"/>
    <w:rsid w:val="10572E1C"/>
    <w:rsid w:val="105A290D"/>
    <w:rsid w:val="105A46BB"/>
    <w:rsid w:val="10611EED"/>
    <w:rsid w:val="10615A49"/>
    <w:rsid w:val="1065378B"/>
    <w:rsid w:val="106B68C8"/>
    <w:rsid w:val="106C0B1D"/>
    <w:rsid w:val="106C2D6C"/>
    <w:rsid w:val="106D1FAD"/>
    <w:rsid w:val="106F0E5F"/>
    <w:rsid w:val="10765998"/>
    <w:rsid w:val="107B7182"/>
    <w:rsid w:val="107C5A41"/>
    <w:rsid w:val="107E2A9F"/>
    <w:rsid w:val="108005C5"/>
    <w:rsid w:val="108160EB"/>
    <w:rsid w:val="10853E2D"/>
    <w:rsid w:val="10855BDB"/>
    <w:rsid w:val="10857989"/>
    <w:rsid w:val="10881228"/>
    <w:rsid w:val="1088747A"/>
    <w:rsid w:val="108D683E"/>
    <w:rsid w:val="108F0808"/>
    <w:rsid w:val="1092654A"/>
    <w:rsid w:val="10945E1E"/>
    <w:rsid w:val="10953945"/>
    <w:rsid w:val="109951E3"/>
    <w:rsid w:val="10A047C3"/>
    <w:rsid w:val="10A122E9"/>
    <w:rsid w:val="10A36062"/>
    <w:rsid w:val="10A51DDA"/>
    <w:rsid w:val="10A87B1C"/>
    <w:rsid w:val="10AA5642"/>
    <w:rsid w:val="10B22749"/>
    <w:rsid w:val="10B4201D"/>
    <w:rsid w:val="10B65D95"/>
    <w:rsid w:val="10B6635D"/>
    <w:rsid w:val="10B95885"/>
    <w:rsid w:val="10C36704"/>
    <w:rsid w:val="10C5247C"/>
    <w:rsid w:val="10C81F6C"/>
    <w:rsid w:val="10C83D1A"/>
    <w:rsid w:val="10CC380A"/>
    <w:rsid w:val="10CF6E57"/>
    <w:rsid w:val="10D73F5D"/>
    <w:rsid w:val="10D80401"/>
    <w:rsid w:val="10D91A83"/>
    <w:rsid w:val="10DB3A4D"/>
    <w:rsid w:val="10E02E12"/>
    <w:rsid w:val="10E16B8A"/>
    <w:rsid w:val="10E2302E"/>
    <w:rsid w:val="10E2678A"/>
    <w:rsid w:val="10E70644"/>
    <w:rsid w:val="10E70A61"/>
    <w:rsid w:val="10E8616A"/>
    <w:rsid w:val="10EF12A7"/>
    <w:rsid w:val="10F16DCD"/>
    <w:rsid w:val="10F36FE9"/>
    <w:rsid w:val="11001706"/>
    <w:rsid w:val="11034D52"/>
    <w:rsid w:val="11036B00"/>
    <w:rsid w:val="110805BA"/>
    <w:rsid w:val="110A7E8F"/>
    <w:rsid w:val="11131439"/>
    <w:rsid w:val="11160F29"/>
    <w:rsid w:val="111807FE"/>
    <w:rsid w:val="111D4066"/>
    <w:rsid w:val="111D5E14"/>
    <w:rsid w:val="112A6783"/>
    <w:rsid w:val="11335637"/>
    <w:rsid w:val="113A4C18"/>
    <w:rsid w:val="114809B7"/>
    <w:rsid w:val="11494E5B"/>
    <w:rsid w:val="11496C09"/>
    <w:rsid w:val="114E06C3"/>
    <w:rsid w:val="1158509E"/>
    <w:rsid w:val="11592BC4"/>
    <w:rsid w:val="115A7068"/>
    <w:rsid w:val="115D0906"/>
    <w:rsid w:val="11603F53"/>
    <w:rsid w:val="116577BB"/>
    <w:rsid w:val="11671785"/>
    <w:rsid w:val="116972AB"/>
    <w:rsid w:val="116B3023"/>
    <w:rsid w:val="117143B2"/>
    <w:rsid w:val="1173012A"/>
    <w:rsid w:val="11785740"/>
    <w:rsid w:val="117D2D56"/>
    <w:rsid w:val="11800151"/>
    <w:rsid w:val="118440E5"/>
    <w:rsid w:val="11847C41"/>
    <w:rsid w:val="1186690F"/>
    <w:rsid w:val="118714DF"/>
    <w:rsid w:val="118A0FD0"/>
    <w:rsid w:val="118E6D12"/>
    <w:rsid w:val="119165F3"/>
    <w:rsid w:val="119A7465"/>
    <w:rsid w:val="119D6F55"/>
    <w:rsid w:val="119F0F1F"/>
    <w:rsid w:val="119F4A7B"/>
    <w:rsid w:val="11A16A45"/>
    <w:rsid w:val="11A30A08"/>
    <w:rsid w:val="11AB78C4"/>
    <w:rsid w:val="11B00A36"/>
    <w:rsid w:val="11B03C20"/>
    <w:rsid w:val="11B04EDA"/>
    <w:rsid w:val="11B30526"/>
    <w:rsid w:val="11B83D8F"/>
    <w:rsid w:val="11BF6AA0"/>
    <w:rsid w:val="11C42733"/>
    <w:rsid w:val="11C52008"/>
    <w:rsid w:val="11C72224"/>
    <w:rsid w:val="11C75D80"/>
    <w:rsid w:val="11C77E03"/>
    <w:rsid w:val="11CC783A"/>
    <w:rsid w:val="11CE710E"/>
    <w:rsid w:val="11CF6595"/>
    <w:rsid w:val="11D02E86"/>
    <w:rsid w:val="11D861DF"/>
    <w:rsid w:val="11DA3D05"/>
    <w:rsid w:val="11DC5CCF"/>
    <w:rsid w:val="11DC7A7D"/>
    <w:rsid w:val="11DF756D"/>
    <w:rsid w:val="11E06E41"/>
    <w:rsid w:val="11E64458"/>
    <w:rsid w:val="11EB5F12"/>
    <w:rsid w:val="11F528ED"/>
    <w:rsid w:val="11F72B09"/>
    <w:rsid w:val="11FE3E97"/>
    <w:rsid w:val="12040D82"/>
    <w:rsid w:val="120668A8"/>
    <w:rsid w:val="1209283C"/>
    <w:rsid w:val="1212349F"/>
    <w:rsid w:val="1218482D"/>
    <w:rsid w:val="121865DB"/>
    <w:rsid w:val="121F3E0E"/>
    <w:rsid w:val="1222745A"/>
    <w:rsid w:val="122338FE"/>
    <w:rsid w:val="12266F4A"/>
    <w:rsid w:val="122F22A3"/>
    <w:rsid w:val="12303925"/>
    <w:rsid w:val="12346AE2"/>
    <w:rsid w:val="12353631"/>
    <w:rsid w:val="1235718D"/>
    <w:rsid w:val="12372F05"/>
    <w:rsid w:val="12386C7D"/>
    <w:rsid w:val="12392C0C"/>
    <w:rsid w:val="123C676E"/>
    <w:rsid w:val="123E24E6"/>
    <w:rsid w:val="123E4294"/>
    <w:rsid w:val="123F625E"/>
    <w:rsid w:val="12435D4E"/>
    <w:rsid w:val="124D2729"/>
    <w:rsid w:val="125A6BF4"/>
    <w:rsid w:val="12612198"/>
    <w:rsid w:val="126161D4"/>
    <w:rsid w:val="12633CFA"/>
    <w:rsid w:val="12661A3D"/>
    <w:rsid w:val="126A32DB"/>
    <w:rsid w:val="126B0E01"/>
    <w:rsid w:val="126D4B79"/>
    <w:rsid w:val="126F4193"/>
    <w:rsid w:val="12753A2E"/>
    <w:rsid w:val="127557DC"/>
    <w:rsid w:val="127759F8"/>
    <w:rsid w:val="12791770"/>
    <w:rsid w:val="127A1044"/>
    <w:rsid w:val="127A7296"/>
    <w:rsid w:val="1283614B"/>
    <w:rsid w:val="12847686"/>
    <w:rsid w:val="12850115"/>
    <w:rsid w:val="12863E8D"/>
    <w:rsid w:val="128679E9"/>
    <w:rsid w:val="12891287"/>
    <w:rsid w:val="12922832"/>
    <w:rsid w:val="12955E7E"/>
    <w:rsid w:val="12AF5192"/>
    <w:rsid w:val="12B02CB8"/>
    <w:rsid w:val="12B24C82"/>
    <w:rsid w:val="12B409FA"/>
    <w:rsid w:val="12B66520"/>
    <w:rsid w:val="12BB3B36"/>
    <w:rsid w:val="12BE7183"/>
    <w:rsid w:val="12C30C3D"/>
    <w:rsid w:val="12C86253"/>
    <w:rsid w:val="12C94D9D"/>
    <w:rsid w:val="12CD73C6"/>
    <w:rsid w:val="12CF75E2"/>
    <w:rsid w:val="12D22B3E"/>
    <w:rsid w:val="12D60970"/>
    <w:rsid w:val="12D70244"/>
    <w:rsid w:val="12D9220E"/>
    <w:rsid w:val="12E0359D"/>
    <w:rsid w:val="12E0534B"/>
    <w:rsid w:val="12E36BE9"/>
    <w:rsid w:val="12E64FF5"/>
    <w:rsid w:val="12EC0194"/>
    <w:rsid w:val="12EF3EDA"/>
    <w:rsid w:val="12F368C9"/>
    <w:rsid w:val="12F40DF6"/>
    <w:rsid w:val="12FB03D7"/>
    <w:rsid w:val="12FE3A23"/>
    <w:rsid w:val="12FE7EC7"/>
    <w:rsid w:val="1300779B"/>
    <w:rsid w:val="13031039"/>
    <w:rsid w:val="130354DD"/>
    <w:rsid w:val="130A23C8"/>
    <w:rsid w:val="130C4392"/>
    <w:rsid w:val="130D3C66"/>
    <w:rsid w:val="13143247"/>
    <w:rsid w:val="13165211"/>
    <w:rsid w:val="13166FBF"/>
    <w:rsid w:val="131B45D5"/>
    <w:rsid w:val="131B6383"/>
    <w:rsid w:val="131C20FB"/>
    <w:rsid w:val="131E5E73"/>
    <w:rsid w:val="13203999"/>
    <w:rsid w:val="13207E3D"/>
    <w:rsid w:val="13211947"/>
    <w:rsid w:val="132316DC"/>
    <w:rsid w:val="1324792E"/>
    <w:rsid w:val="132711CC"/>
    <w:rsid w:val="13286CF2"/>
    <w:rsid w:val="132A4818"/>
    <w:rsid w:val="132C233E"/>
    <w:rsid w:val="132C67E2"/>
    <w:rsid w:val="132E255A"/>
    <w:rsid w:val="133236CD"/>
    <w:rsid w:val="13337B71"/>
    <w:rsid w:val="13345697"/>
    <w:rsid w:val="13347445"/>
    <w:rsid w:val="133E6515"/>
    <w:rsid w:val="1340403C"/>
    <w:rsid w:val="134A4EBA"/>
    <w:rsid w:val="134B1FE3"/>
    <w:rsid w:val="134C29E0"/>
    <w:rsid w:val="13517FF7"/>
    <w:rsid w:val="135875D7"/>
    <w:rsid w:val="13596EAB"/>
    <w:rsid w:val="135A334F"/>
    <w:rsid w:val="135B70C7"/>
    <w:rsid w:val="13623FB2"/>
    <w:rsid w:val="13737F6D"/>
    <w:rsid w:val="13767A5D"/>
    <w:rsid w:val="137837D5"/>
    <w:rsid w:val="137E4DB5"/>
    <w:rsid w:val="1384217A"/>
    <w:rsid w:val="13852398"/>
    <w:rsid w:val="13857CA0"/>
    <w:rsid w:val="138C102F"/>
    <w:rsid w:val="138E2FF9"/>
    <w:rsid w:val="13981A7A"/>
    <w:rsid w:val="1399374C"/>
    <w:rsid w:val="139B5716"/>
    <w:rsid w:val="139F5206"/>
    <w:rsid w:val="13A4281C"/>
    <w:rsid w:val="13AA5959"/>
    <w:rsid w:val="13B16CE7"/>
    <w:rsid w:val="13B30CB1"/>
    <w:rsid w:val="13B81E24"/>
    <w:rsid w:val="13BD38DE"/>
    <w:rsid w:val="13BF7656"/>
    <w:rsid w:val="13C377F2"/>
    <w:rsid w:val="13C44C6D"/>
    <w:rsid w:val="13C7650B"/>
    <w:rsid w:val="13C94031"/>
    <w:rsid w:val="13CE33F5"/>
    <w:rsid w:val="13D5058C"/>
    <w:rsid w:val="13D529D6"/>
    <w:rsid w:val="13D80718"/>
    <w:rsid w:val="13D824C6"/>
    <w:rsid w:val="13D84274"/>
    <w:rsid w:val="13E175CD"/>
    <w:rsid w:val="13E96481"/>
    <w:rsid w:val="13F54E26"/>
    <w:rsid w:val="13F76DF0"/>
    <w:rsid w:val="13F84916"/>
    <w:rsid w:val="13FC2057"/>
    <w:rsid w:val="13FE38DE"/>
    <w:rsid w:val="13FF5CA5"/>
    <w:rsid w:val="1404150D"/>
    <w:rsid w:val="14045069"/>
    <w:rsid w:val="14092680"/>
    <w:rsid w:val="14117786"/>
    <w:rsid w:val="141379A2"/>
    <w:rsid w:val="141A663B"/>
    <w:rsid w:val="141D437D"/>
    <w:rsid w:val="141D612B"/>
    <w:rsid w:val="14223741"/>
    <w:rsid w:val="14292D22"/>
    <w:rsid w:val="142C1007"/>
    <w:rsid w:val="14374B8B"/>
    <w:rsid w:val="143811B7"/>
    <w:rsid w:val="143A4F2F"/>
    <w:rsid w:val="143D057B"/>
    <w:rsid w:val="143D4C2A"/>
    <w:rsid w:val="143F42F3"/>
    <w:rsid w:val="14423DE3"/>
    <w:rsid w:val="144813FA"/>
    <w:rsid w:val="144E4536"/>
    <w:rsid w:val="14504752"/>
    <w:rsid w:val="14506500"/>
    <w:rsid w:val="14535FF1"/>
    <w:rsid w:val="14541A21"/>
    <w:rsid w:val="1457788F"/>
    <w:rsid w:val="145853B5"/>
    <w:rsid w:val="145A737F"/>
    <w:rsid w:val="145C4EA5"/>
    <w:rsid w:val="1461070D"/>
    <w:rsid w:val="1461426A"/>
    <w:rsid w:val="146855F8"/>
    <w:rsid w:val="147C10A3"/>
    <w:rsid w:val="14832432"/>
    <w:rsid w:val="14834D35"/>
    <w:rsid w:val="148368D6"/>
    <w:rsid w:val="14861F22"/>
    <w:rsid w:val="148A7C64"/>
    <w:rsid w:val="148D505F"/>
    <w:rsid w:val="14904B4F"/>
    <w:rsid w:val="149363ED"/>
    <w:rsid w:val="1495489A"/>
    <w:rsid w:val="149A3C1F"/>
    <w:rsid w:val="149D101A"/>
    <w:rsid w:val="14A01236"/>
    <w:rsid w:val="14A30D26"/>
    <w:rsid w:val="14A5684C"/>
    <w:rsid w:val="14AE3227"/>
    <w:rsid w:val="14B44CE1"/>
    <w:rsid w:val="14BF5434"/>
    <w:rsid w:val="14C50C9C"/>
    <w:rsid w:val="14C667C2"/>
    <w:rsid w:val="14CF1B1B"/>
    <w:rsid w:val="14D0319D"/>
    <w:rsid w:val="14D42C8D"/>
    <w:rsid w:val="14D47131"/>
    <w:rsid w:val="14D56A06"/>
    <w:rsid w:val="14D94748"/>
    <w:rsid w:val="14E426FB"/>
    <w:rsid w:val="14E8498B"/>
    <w:rsid w:val="14EC447B"/>
    <w:rsid w:val="14ED3D4F"/>
    <w:rsid w:val="14F055ED"/>
    <w:rsid w:val="15095086"/>
    <w:rsid w:val="150F3CC6"/>
    <w:rsid w:val="15107A3E"/>
    <w:rsid w:val="15113EE2"/>
    <w:rsid w:val="15170DCC"/>
    <w:rsid w:val="151B08BC"/>
    <w:rsid w:val="151C4634"/>
    <w:rsid w:val="151C63E2"/>
    <w:rsid w:val="151E215B"/>
    <w:rsid w:val="15211C4B"/>
    <w:rsid w:val="152139F9"/>
    <w:rsid w:val="152D05F0"/>
    <w:rsid w:val="152D6842"/>
    <w:rsid w:val="153320AA"/>
    <w:rsid w:val="153656F6"/>
    <w:rsid w:val="153674A4"/>
    <w:rsid w:val="153B0F5F"/>
    <w:rsid w:val="15406575"/>
    <w:rsid w:val="15431BC1"/>
    <w:rsid w:val="15451DDD"/>
    <w:rsid w:val="15455939"/>
    <w:rsid w:val="1546345F"/>
    <w:rsid w:val="154D0C92"/>
    <w:rsid w:val="15545B7C"/>
    <w:rsid w:val="15581B10"/>
    <w:rsid w:val="155B515D"/>
    <w:rsid w:val="155D0ED5"/>
    <w:rsid w:val="15604521"/>
    <w:rsid w:val="1563542E"/>
    <w:rsid w:val="15681628"/>
    <w:rsid w:val="1568787A"/>
    <w:rsid w:val="15712BD2"/>
    <w:rsid w:val="157224A6"/>
    <w:rsid w:val="15724254"/>
    <w:rsid w:val="1574566E"/>
    <w:rsid w:val="15763D45"/>
    <w:rsid w:val="157B75AD"/>
    <w:rsid w:val="157D50D3"/>
    <w:rsid w:val="15802E15"/>
    <w:rsid w:val="15836462"/>
    <w:rsid w:val="15842905"/>
    <w:rsid w:val="158A3C94"/>
    <w:rsid w:val="158C3C38"/>
    <w:rsid w:val="158F3058"/>
    <w:rsid w:val="158F4E06"/>
    <w:rsid w:val="15916DD0"/>
    <w:rsid w:val="159266A5"/>
    <w:rsid w:val="159B19FD"/>
    <w:rsid w:val="159E5049"/>
    <w:rsid w:val="159F5143"/>
    <w:rsid w:val="15A20FDE"/>
    <w:rsid w:val="15A5287C"/>
    <w:rsid w:val="15A66514"/>
    <w:rsid w:val="15AA1C40"/>
    <w:rsid w:val="15AA7E92"/>
    <w:rsid w:val="15AF7257"/>
    <w:rsid w:val="15B12FCF"/>
    <w:rsid w:val="15B34F99"/>
    <w:rsid w:val="15B91E83"/>
    <w:rsid w:val="15BB5BFB"/>
    <w:rsid w:val="15C40F54"/>
    <w:rsid w:val="15C72899"/>
    <w:rsid w:val="15D13671"/>
    <w:rsid w:val="15D1541F"/>
    <w:rsid w:val="15D171CD"/>
    <w:rsid w:val="15D32F45"/>
    <w:rsid w:val="15D54F0F"/>
    <w:rsid w:val="15D66ED9"/>
    <w:rsid w:val="15D867AD"/>
    <w:rsid w:val="15D942D4"/>
    <w:rsid w:val="15DA2525"/>
    <w:rsid w:val="15EB4733"/>
    <w:rsid w:val="15EC2259"/>
    <w:rsid w:val="15F5110D"/>
    <w:rsid w:val="16005D04"/>
    <w:rsid w:val="1606156C"/>
    <w:rsid w:val="16077093"/>
    <w:rsid w:val="160B0931"/>
    <w:rsid w:val="160C46A9"/>
    <w:rsid w:val="16113A6D"/>
    <w:rsid w:val="16133C89"/>
    <w:rsid w:val="16135A37"/>
    <w:rsid w:val="16175528"/>
    <w:rsid w:val="161812A0"/>
    <w:rsid w:val="16183265"/>
    <w:rsid w:val="162776F9"/>
    <w:rsid w:val="162B4B2F"/>
    <w:rsid w:val="162E2871"/>
    <w:rsid w:val="16331C36"/>
    <w:rsid w:val="16353C00"/>
    <w:rsid w:val="163A442E"/>
    <w:rsid w:val="163B0AEA"/>
    <w:rsid w:val="163C6D3C"/>
    <w:rsid w:val="163D191F"/>
    <w:rsid w:val="163F05DA"/>
    <w:rsid w:val="1642631D"/>
    <w:rsid w:val="16461969"/>
    <w:rsid w:val="164756E1"/>
    <w:rsid w:val="165247B2"/>
    <w:rsid w:val="16525286"/>
    <w:rsid w:val="16526560"/>
    <w:rsid w:val="1658169C"/>
    <w:rsid w:val="165A3666"/>
    <w:rsid w:val="165A5414"/>
    <w:rsid w:val="166167A3"/>
    <w:rsid w:val="16646293"/>
    <w:rsid w:val="166718DF"/>
    <w:rsid w:val="166B13D0"/>
    <w:rsid w:val="166D339A"/>
    <w:rsid w:val="16726C02"/>
    <w:rsid w:val="1675224E"/>
    <w:rsid w:val="16772F40"/>
    <w:rsid w:val="16783AEC"/>
    <w:rsid w:val="167D7355"/>
    <w:rsid w:val="168129A1"/>
    <w:rsid w:val="16816E45"/>
    <w:rsid w:val="16846935"/>
    <w:rsid w:val="16895CFA"/>
    <w:rsid w:val="168D7598"/>
    <w:rsid w:val="169101A8"/>
    <w:rsid w:val="16970417"/>
    <w:rsid w:val="1699418F"/>
    <w:rsid w:val="169E17A5"/>
    <w:rsid w:val="16A3500D"/>
    <w:rsid w:val="16AB3EC2"/>
    <w:rsid w:val="16AB5C70"/>
    <w:rsid w:val="16B81863"/>
    <w:rsid w:val="16BA0495"/>
    <w:rsid w:val="16BB3769"/>
    <w:rsid w:val="16BE1E47"/>
    <w:rsid w:val="16BF34C9"/>
    <w:rsid w:val="16BF796D"/>
    <w:rsid w:val="16C136E5"/>
    <w:rsid w:val="16C3120C"/>
    <w:rsid w:val="16CB4564"/>
    <w:rsid w:val="16D01B7A"/>
    <w:rsid w:val="16D056D6"/>
    <w:rsid w:val="16D50F3F"/>
    <w:rsid w:val="16D74CB7"/>
    <w:rsid w:val="16D76A65"/>
    <w:rsid w:val="16DA6555"/>
    <w:rsid w:val="16DC22CD"/>
    <w:rsid w:val="16E3540A"/>
    <w:rsid w:val="16E41182"/>
    <w:rsid w:val="16E55626"/>
    <w:rsid w:val="16E80C72"/>
    <w:rsid w:val="16EC427A"/>
    <w:rsid w:val="16EE5C44"/>
    <w:rsid w:val="16F05D79"/>
    <w:rsid w:val="16F07B27"/>
    <w:rsid w:val="16F45869"/>
    <w:rsid w:val="16F5513D"/>
    <w:rsid w:val="16F72C63"/>
    <w:rsid w:val="16FA09A5"/>
    <w:rsid w:val="17013AE2"/>
    <w:rsid w:val="1705788A"/>
    <w:rsid w:val="17081314"/>
    <w:rsid w:val="170B2BB3"/>
    <w:rsid w:val="17141A67"/>
    <w:rsid w:val="17237EFC"/>
    <w:rsid w:val="17263548"/>
    <w:rsid w:val="172872C1"/>
    <w:rsid w:val="172A128B"/>
    <w:rsid w:val="172A3039"/>
    <w:rsid w:val="172D2B29"/>
    <w:rsid w:val="172E0505"/>
    <w:rsid w:val="172F68A1"/>
    <w:rsid w:val="17316E86"/>
    <w:rsid w:val="1732013F"/>
    <w:rsid w:val="17377504"/>
    <w:rsid w:val="1740460A"/>
    <w:rsid w:val="17410382"/>
    <w:rsid w:val="17433E6C"/>
    <w:rsid w:val="174340FA"/>
    <w:rsid w:val="174D4F79"/>
    <w:rsid w:val="17575DF8"/>
    <w:rsid w:val="1759391E"/>
    <w:rsid w:val="175B7696"/>
    <w:rsid w:val="175D340E"/>
    <w:rsid w:val="175E0F34"/>
    <w:rsid w:val="17603394"/>
    <w:rsid w:val="17620A24"/>
    <w:rsid w:val="176A5B2B"/>
    <w:rsid w:val="17712A16"/>
    <w:rsid w:val="17742506"/>
    <w:rsid w:val="177C13BA"/>
    <w:rsid w:val="177E15D6"/>
    <w:rsid w:val="177F691D"/>
    <w:rsid w:val="1787048B"/>
    <w:rsid w:val="17884203"/>
    <w:rsid w:val="178A1D29"/>
    <w:rsid w:val="178C5AA1"/>
    <w:rsid w:val="178D35C8"/>
    <w:rsid w:val="178F5592"/>
    <w:rsid w:val="17914E66"/>
    <w:rsid w:val="17920BDE"/>
    <w:rsid w:val="17980C05"/>
    <w:rsid w:val="17992095"/>
    <w:rsid w:val="17A032FB"/>
    <w:rsid w:val="17A96653"/>
    <w:rsid w:val="17AC6144"/>
    <w:rsid w:val="17AD5A18"/>
    <w:rsid w:val="17AD77C6"/>
    <w:rsid w:val="17AF2403"/>
    <w:rsid w:val="17B15508"/>
    <w:rsid w:val="17B374D2"/>
    <w:rsid w:val="17B40B54"/>
    <w:rsid w:val="17B9260F"/>
    <w:rsid w:val="17BD3EAD"/>
    <w:rsid w:val="17C0574B"/>
    <w:rsid w:val="17C4348D"/>
    <w:rsid w:val="17C70888"/>
    <w:rsid w:val="17C76AD9"/>
    <w:rsid w:val="17CA481C"/>
    <w:rsid w:val="17CE60BA"/>
    <w:rsid w:val="17D17958"/>
    <w:rsid w:val="17D411F6"/>
    <w:rsid w:val="17D97B71"/>
    <w:rsid w:val="17DD00AB"/>
    <w:rsid w:val="17DD454F"/>
    <w:rsid w:val="17DF02C7"/>
    <w:rsid w:val="17E05DED"/>
    <w:rsid w:val="17E4768B"/>
    <w:rsid w:val="17E53404"/>
    <w:rsid w:val="17E94CA2"/>
    <w:rsid w:val="17EA27C8"/>
    <w:rsid w:val="17EC6540"/>
    <w:rsid w:val="17EE22B8"/>
    <w:rsid w:val="17EF174E"/>
    <w:rsid w:val="17F43647"/>
    <w:rsid w:val="18023FB5"/>
    <w:rsid w:val="180513B0"/>
    <w:rsid w:val="18055854"/>
    <w:rsid w:val="18057602"/>
    <w:rsid w:val="180715CC"/>
    <w:rsid w:val="18075128"/>
    <w:rsid w:val="180E4708"/>
    <w:rsid w:val="180E78A8"/>
    <w:rsid w:val="18115FA7"/>
    <w:rsid w:val="18155A97"/>
    <w:rsid w:val="181810E3"/>
    <w:rsid w:val="18187335"/>
    <w:rsid w:val="18194E5B"/>
    <w:rsid w:val="181A0A9B"/>
    <w:rsid w:val="181F6915"/>
    <w:rsid w:val="1824217E"/>
    <w:rsid w:val="182B350C"/>
    <w:rsid w:val="182C2DE0"/>
    <w:rsid w:val="18357EE7"/>
    <w:rsid w:val="18365A0D"/>
    <w:rsid w:val="18372DA6"/>
    <w:rsid w:val="183C74C7"/>
    <w:rsid w:val="183F0D66"/>
    <w:rsid w:val="1840688C"/>
    <w:rsid w:val="18420856"/>
    <w:rsid w:val="184719C8"/>
    <w:rsid w:val="18495740"/>
    <w:rsid w:val="184A3267"/>
    <w:rsid w:val="18581E27"/>
    <w:rsid w:val="18585984"/>
    <w:rsid w:val="185A5BA0"/>
    <w:rsid w:val="185F6D12"/>
    <w:rsid w:val="186B3909"/>
    <w:rsid w:val="186E472F"/>
    <w:rsid w:val="18730A0F"/>
    <w:rsid w:val="18754787"/>
    <w:rsid w:val="18761375"/>
    <w:rsid w:val="18784278"/>
    <w:rsid w:val="18787DD4"/>
    <w:rsid w:val="187D188E"/>
    <w:rsid w:val="187F1162"/>
    <w:rsid w:val="187F6D65"/>
    <w:rsid w:val="1881137E"/>
    <w:rsid w:val="188449CB"/>
    <w:rsid w:val="18876269"/>
    <w:rsid w:val="188B7B07"/>
    <w:rsid w:val="188E5849"/>
    <w:rsid w:val="18932E60"/>
    <w:rsid w:val="18934C0E"/>
    <w:rsid w:val="1896721E"/>
    <w:rsid w:val="18980476"/>
    <w:rsid w:val="189A5F9C"/>
    <w:rsid w:val="18A1557C"/>
    <w:rsid w:val="18A230A3"/>
    <w:rsid w:val="18A312F5"/>
    <w:rsid w:val="18A73A15"/>
    <w:rsid w:val="18A94431"/>
    <w:rsid w:val="18AE7C99"/>
    <w:rsid w:val="18B43502"/>
    <w:rsid w:val="18BA663E"/>
    <w:rsid w:val="18BC23B6"/>
    <w:rsid w:val="18BD7EDC"/>
    <w:rsid w:val="18C15C1F"/>
    <w:rsid w:val="18C272A1"/>
    <w:rsid w:val="18C748B7"/>
    <w:rsid w:val="18C82B09"/>
    <w:rsid w:val="18CB43A7"/>
    <w:rsid w:val="18CD45C3"/>
    <w:rsid w:val="18CE20EA"/>
    <w:rsid w:val="18D21BDA"/>
    <w:rsid w:val="18D67282"/>
    <w:rsid w:val="18D70F9E"/>
    <w:rsid w:val="18D72D4C"/>
    <w:rsid w:val="18D92F68"/>
    <w:rsid w:val="18DE232D"/>
    <w:rsid w:val="18E436BB"/>
    <w:rsid w:val="18E45469"/>
    <w:rsid w:val="18E5190D"/>
    <w:rsid w:val="18E611E1"/>
    <w:rsid w:val="18ED2570"/>
    <w:rsid w:val="18F03E0E"/>
    <w:rsid w:val="18F25DD8"/>
    <w:rsid w:val="18F41B50"/>
    <w:rsid w:val="18F733EE"/>
    <w:rsid w:val="18FC0A05"/>
    <w:rsid w:val="18FC6C57"/>
    <w:rsid w:val="18FE29CF"/>
    <w:rsid w:val="19037FE5"/>
    <w:rsid w:val="19045B0B"/>
    <w:rsid w:val="190478B9"/>
    <w:rsid w:val="190653E0"/>
    <w:rsid w:val="190873AA"/>
    <w:rsid w:val="190A3122"/>
    <w:rsid w:val="190D676E"/>
    <w:rsid w:val="19102702"/>
    <w:rsid w:val="1910625E"/>
    <w:rsid w:val="19112A3C"/>
    <w:rsid w:val="19120228"/>
    <w:rsid w:val="191775ED"/>
    <w:rsid w:val="191915B7"/>
    <w:rsid w:val="191B532F"/>
    <w:rsid w:val="191E097B"/>
    <w:rsid w:val="19212219"/>
    <w:rsid w:val="19232435"/>
    <w:rsid w:val="19257F5C"/>
    <w:rsid w:val="19263CD4"/>
    <w:rsid w:val="19267830"/>
    <w:rsid w:val="19306900"/>
    <w:rsid w:val="19353F17"/>
    <w:rsid w:val="19375EE1"/>
    <w:rsid w:val="193A32DB"/>
    <w:rsid w:val="193D3E2A"/>
    <w:rsid w:val="193F08F1"/>
    <w:rsid w:val="194A1770"/>
    <w:rsid w:val="194B7296"/>
    <w:rsid w:val="194D1260"/>
    <w:rsid w:val="19502AFF"/>
    <w:rsid w:val="19595E57"/>
    <w:rsid w:val="19597C05"/>
    <w:rsid w:val="195C5947"/>
    <w:rsid w:val="19600F94"/>
    <w:rsid w:val="196640D0"/>
    <w:rsid w:val="1968609A"/>
    <w:rsid w:val="19742C91"/>
    <w:rsid w:val="197D7D98"/>
    <w:rsid w:val="198509FA"/>
    <w:rsid w:val="198A7DBF"/>
    <w:rsid w:val="199155F1"/>
    <w:rsid w:val="19924EC5"/>
    <w:rsid w:val="19996254"/>
    <w:rsid w:val="199C7AF2"/>
    <w:rsid w:val="199E7D0E"/>
    <w:rsid w:val="19A05834"/>
    <w:rsid w:val="19A52E4A"/>
    <w:rsid w:val="19A76BC3"/>
    <w:rsid w:val="19A8293B"/>
    <w:rsid w:val="19A90B8D"/>
    <w:rsid w:val="19B1359D"/>
    <w:rsid w:val="19B412DF"/>
    <w:rsid w:val="19B479F3"/>
    <w:rsid w:val="19B52EF5"/>
    <w:rsid w:val="19B66E06"/>
    <w:rsid w:val="19B73C6E"/>
    <w:rsid w:val="19B74EE4"/>
    <w:rsid w:val="19D07AE4"/>
    <w:rsid w:val="19D379B8"/>
    <w:rsid w:val="19D61256"/>
    <w:rsid w:val="19D90D46"/>
    <w:rsid w:val="19DB686C"/>
    <w:rsid w:val="19DD0836"/>
    <w:rsid w:val="19DD25E4"/>
    <w:rsid w:val="19E00326"/>
    <w:rsid w:val="19E020D4"/>
    <w:rsid w:val="19E219A9"/>
    <w:rsid w:val="19E41BC5"/>
    <w:rsid w:val="19E971DB"/>
    <w:rsid w:val="19EE2A43"/>
    <w:rsid w:val="19EF2318"/>
    <w:rsid w:val="19FB0CBC"/>
    <w:rsid w:val="19FE07AD"/>
    <w:rsid w:val="1A023DF9"/>
    <w:rsid w:val="1A051B3B"/>
    <w:rsid w:val="1A05270E"/>
    <w:rsid w:val="1A0538E9"/>
    <w:rsid w:val="1A07140F"/>
    <w:rsid w:val="1A0A0EFF"/>
    <w:rsid w:val="1A0A7151"/>
    <w:rsid w:val="1A11228E"/>
    <w:rsid w:val="1A141D7E"/>
    <w:rsid w:val="1A197394"/>
    <w:rsid w:val="1A1F2BFD"/>
    <w:rsid w:val="1A226A73"/>
    <w:rsid w:val="1A271AB1"/>
    <w:rsid w:val="1A312930"/>
    <w:rsid w:val="1A3366A8"/>
    <w:rsid w:val="1A3835E8"/>
    <w:rsid w:val="1A3A17E5"/>
    <w:rsid w:val="1A3D7527"/>
    <w:rsid w:val="1A3F19DD"/>
    <w:rsid w:val="1A450189"/>
    <w:rsid w:val="1A46462D"/>
    <w:rsid w:val="1A473F02"/>
    <w:rsid w:val="1A475CB0"/>
    <w:rsid w:val="1A4A39F2"/>
    <w:rsid w:val="1A4A57A0"/>
    <w:rsid w:val="1A4B1C44"/>
    <w:rsid w:val="1A4C59BC"/>
    <w:rsid w:val="1A55661F"/>
    <w:rsid w:val="1A564145"/>
    <w:rsid w:val="1A566E38"/>
    <w:rsid w:val="1A587EBD"/>
    <w:rsid w:val="1A5A7E85"/>
    <w:rsid w:val="1A5F56EF"/>
    <w:rsid w:val="1A654388"/>
    <w:rsid w:val="1A676352"/>
    <w:rsid w:val="1A693E78"/>
    <w:rsid w:val="1A6B4094"/>
    <w:rsid w:val="1A6E76E0"/>
    <w:rsid w:val="1A756CC1"/>
    <w:rsid w:val="1A7A6085"/>
    <w:rsid w:val="1A7B3BAB"/>
    <w:rsid w:val="1A807414"/>
    <w:rsid w:val="1A815666"/>
    <w:rsid w:val="1A8213DE"/>
    <w:rsid w:val="1A840CB2"/>
    <w:rsid w:val="1A846F04"/>
    <w:rsid w:val="1A8707A2"/>
    <w:rsid w:val="1A89276C"/>
    <w:rsid w:val="1A8E38DF"/>
    <w:rsid w:val="1A935399"/>
    <w:rsid w:val="1A954C6D"/>
    <w:rsid w:val="1A98475D"/>
    <w:rsid w:val="1A9A04D5"/>
    <w:rsid w:val="1AA11864"/>
    <w:rsid w:val="1AA167C8"/>
    <w:rsid w:val="1AA475A6"/>
    <w:rsid w:val="1AB05F4B"/>
    <w:rsid w:val="1AB377E9"/>
    <w:rsid w:val="1AB5430A"/>
    <w:rsid w:val="1AB570BD"/>
    <w:rsid w:val="1ABA0B77"/>
    <w:rsid w:val="1ABD41C4"/>
    <w:rsid w:val="1AC11F06"/>
    <w:rsid w:val="1AC437A4"/>
    <w:rsid w:val="1AC75042"/>
    <w:rsid w:val="1AC83294"/>
    <w:rsid w:val="1AC94917"/>
    <w:rsid w:val="1ACC4407"/>
    <w:rsid w:val="1ACE017F"/>
    <w:rsid w:val="1AD11A1D"/>
    <w:rsid w:val="1AD27C6F"/>
    <w:rsid w:val="1AD339E7"/>
    <w:rsid w:val="1ADD03C2"/>
    <w:rsid w:val="1AE107F7"/>
    <w:rsid w:val="1AE17EB2"/>
    <w:rsid w:val="1AE300CE"/>
    <w:rsid w:val="1AE31E7C"/>
    <w:rsid w:val="1AE71241"/>
    <w:rsid w:val="1AF1038D"/>
    <w:rsid w:val="1AF23E6D"/>
    <w:rsid w:val="1AF44089"/>
    <w:rsid w:val="1AF776D6"/>
    <w:rsid w:val="1AF8344E"/>
    <w:rsid w:val="1AFA5418"/>
    <w:rsid w:val="1AFD0A64"/>
    <w:rsid w:val="1AFD2812"/>
    <w:rsid w:val="1B010554"/>
    <w:rsid w:val="1B03607B"/>
    <w:rsid w:val="1B065B6B"/>
    <w:rsid w:val="1B087B35"/>
    <w:rsid w:val="1B0911B7"/>
    <w:rsid w:val="1B09565B"/>
    <w:rsid w:val="1B097409"/>
    <w:rsid w:val="1B0B4F2F"/>
    <w:rsid w:val="1B1453A9"/>
    <w:rsid w:val="1B1464DA"/>
    <w:rsid w:val="1B154000"/>
    <w:rsid w:val="1B171B26"/>
    <w:rsid w:val="1B1942FF"/>
    <w:rsid w:val="1B1C713C"/>
    <w:rsid w:val="1B1D054C"/>
    <w:rsid w:val="1B1E2EB4"/>
    <w:rsid w:val="1B1E4E3E"/>
    <w:rsid w:val="1B2129A5"/>
    <w:rsid w:val="1B2304CB"/>
    <w:rsid w:val="1B245FF1"/>
    <w:rsid w:val="1B2B737F"/>
    <w:rsid w:val="1B32070E"/>
    <w:rsid w:val="1B334486"/>
    <w:rsid w:val="1B356450"/>
    <w:rsid w:val="1B375D24"/>
    <w:rsid w:val="1B3C158C"/>
    <w:rsid w:val="1B3D45B5"/>
    <w:rsid w:val="1B420427"/>
    <w:rsid w:val="1B527002"/>
    <w:rsid w:val="1B5508A0"/>
    <w:rsid w:val="1B5C39DD"/>
    <w:rsid w:val="1B60171F"/>
    <w:rsid w:val="1B6034CD"/>
    <w:rsid w:val="1B610FF3"/>
    <w:rsid w:val="1B6A434C"/>
    <w:rsid w:val="1B6B1E72"/>
    <w:rsid w:val="1B6B3C20"/>
    <w:rsid w:val="1B6D5BEA"/>
    <w:rsid w:val="1B6F1962"/>
    <w:rsid w:val="1B701236"/>
    <w:rsid w:val="1B7A20B5"/>
    <w:rsid w:val="1B7A3E63"/>
    <w:rsid w:val="1B80591D"/>
    <w:rsid w:val="1B813443"/>
    <w:rsid w:val="1B854CE1"/>
    <w:rsid w:val="1B8847D2"/>
    <w:rsid w:val="1B8B42C2"/>
    <w:rsid w:val="1B8F6A2D"/>
    <w:rsid w:val="1B9238A2"/>
    <w:rsid w:val="1B925650"/>
    <w:rsid w:val="1B9413C8"/>
    <w:rsid w:val="1B943177"/>
    <w:rsid w:val="1B963D2F"/>
    <w:rsid w:val="1BA07D6D"/>
    <w:rsid w:val="1BA62EAA"/>
    <w:rsid w:val="1BA84E74"/>
    <w:rsid w:val="1BAA299A"/>
    <w:rsid w:val="1BAA4748"/>
    <w:rsid w:val="1BAC6712"/>
    <w:rsid w:val="1BAF7FB0"/>
    <w:rsid w:val="1BB11F7A"/>
    <w:rsid w:val="1BB235FD"/>
    <w:rsid w:val="1BB43819"/>
    <w:rsid w:val="1BB866D8"/>
    <w:rsid w:val="1BB92BDD"/>
    <w:rsid w:val="1BBE01F3"/>
    <w:rsid w:val="1BBE4697"/>
    <w:rsid w:val="1BC05D1A"/>
    <w:rsid w:val="1BC3580A"/>
    <w:rsid w:val="1BC752FA"/>
    <w:rsid w:val="1BCF41AF"/>
    <w:rsid w:val="1BD21EF1"/>
    <w:rsid w:val="1BD47A17"/>
    <w:rsid w:val="1BD6553D"/>
    <w:rsid w:val="1BDB6FF7"/>
    <w:rsid w:val="1BDC68CC"/>
    <w:rsid w:val="1BE063BC"/>
    <w:rsid w:val="1BE22134"/>
    <w:rsid w:val="1BE539D2"/>
    <w:rsid w:val="1BE55780"/>
    <w:rsid w:val="1BE7599C"/>
    <w:rsid w:val="1BE7774A"/>
    <w:rsid w:val="1BEE6D2B"/>
    <w:rsid w:val="1BF14125"/>
    <w:rsid w:val="1BF34341"/>
    <w:rsid w:val="1BF41E67"/>
    <w:rsid w:val="1BFB1A4D"/>
    <w:rsid w:val="1BFB31F6"/>
    <w:rsid w:val="1BFC4D14"/>
    <w:rsid w:val="1BFD0D1C"/>
    <w:rsid w:val="1C00080C"/>
    <w:rsid w:val="1C0227D6"/>
    <w:rsid w:val="1C085913"/>
    <w:rsid w:val="1C0C71B1"/>
    <w:rsid w:val="1C0E2F29"/>
    <w:rsid w:val="1C1147C7"/>
    <w:rsid w:val="1C1222ED"/>
    <w:rsid w:val="1C183DA8"/>
    <w:rsid w:val="1C24274C"/>
    <w:rsid w:val="1C252021"/>
    <w:rsid w:val="1C26083E"/>
    <w:rsid w:val="1C264A09"/>
    <w:rsid w:val="1C2A5889"/>
    <w:rsid w:val="1C2E5379"/>
    <w:rsid w:val="1C2F10F1"/>
    <w:rsid w:val="1C2F2E9F"/>
    <w:rsid w:val="1C300D1C"/>
    <w:rsid w:val="1C3109C5"/>
    <w:rsid w:val="1C381D54"/>
    <w:rsid w:val="1C3D55BC"/>
    <w:rsid w:val="1C3D736A"/>
    <w:rsid w:val="1C3E1334"/>
    <w:rsid w:val="1C416AC4"/>
    <w:rsid w:val="1C420E24"/>
    <w:rsid w:val="1C422BD3"/>
    <w:rsid w:val="1C4526C3"/>
    <w:rsid w:val="1C4A5F2B"/>
    <w:rsid w:val="1C4D1232"/>
    <w:rsid w:val="1C5446B4"/>
    <w:rsid w:val="1C5D7A0C"/>
    <w:rsid w:val="1C5F3784"/>
    <w:rsid w:val="1C6012AB"/>
    <w:rsid w:val="1C694603"/>
    <w:rsid w:val="1C6A2129"/>
    <w:rsid w:val="1C6A3ED7"/>
    <w:rsid w:val="1C6C40F3"/>
    <w:rsid w:val="1C6C7C4F"/>
    <w:rsid w:val="1C6E1C1A"/>
    <w:rsid w:val="1C705992"/>
    <w:rsid w:val="1C7134B8"/>
    <w:rsid w:val="1C752FA8"/>
    <w:rsid w:val="1C760ACE"/>
    <w:rsid w:val="1C7B4336"/>
    <w:rsid w:val="1C7D00AF"/>
    <w:rsid w:val="1C8256C5"/>
    <w:rsid w:val="1C856F63"/>
    <w:rsid w:val="1C872CDB"/>
    <w:rsid w:val="1C8B2727"/>
    <w:rsid w:val="1C911643"/>
    <w:rsid w:val="1C961170"/>
    <w:rsid w:val="1C962F1E"/>
    <w:rsid w:val="1C986C96"/>
    <w:rsid w:val="1C9F1157"/>
    <w:rsid w:val="1CA4563B"/>
    <w:rsid w:val="1CA473E9"/>
    <w:rsid w:val="1CA70C88"/>
    <w:rsid w:val="1CB05D8E"/>
    <w:rsid w:val="1CB11B06"/>
    <w:rsid w:val="1CB17D58"/>
    <w:rsid w:val="1CBA09BB"/>
    <w:rsid w:val="1CC45CDD"/>
    <w:rsid w:val="1CD04682"/>
    <w:rsid w:val="1CD557F5"/>
    <w:rsid w:val="1CD75A11"/>
    <w:rsid w:val="1CDD1FCF"/>
    <w:rsid w:val="1CDD3710"/>
    <w:rsid w:val="1CE367E3"/>
    <w:rsid w:val="1CEB14BC"/>
    <w:rsid w:val="1CEB326A"/>
    <w:rsid w:val="1CEC0D90"/>
    <w:rsid w:val="1CF33ECD"/>
    <w:rsid w:val="1CF540E9"/>
    <w:rsid w:val="1CF71C0F"/>
    <w:rsid w:val="1CF85FB1"/>
    <w:rsid w:val="1CFC5477"/>
    <w:rsid w:val="1D022859"/>
    <w:rsid w:val="1D0A0FEB"/>
    <w:rsid w:val="1D0B1216"/>
    <w:rsid w:val="1D1502E7"/>
    <w:rsid w:val="1D156539"/>
    <w:rsid w:val="1D17405F"/>
    <w:rsid w:val="1D1A58FD"/>
    <w:rsid w:val="1D1C78C7"/>
    <w:rsid w:val="1D1E3640"/>
    <w:rsid w:val="1D2642A2"/>
    <w:rsid w:val="1D28001A"/>
    <w:rsid w:val="1D291FA4"/>
    <w:rsid w:val="1D293D92"/>
    <w:rsid w:val="1D320E99"/>
    <w:rsid w:val="1D37200B"/>
    <w:rsid w:val="1D3A1D30"/>
    <w:rsid w:val="1D4110DC"/>
    <w:rsid w:val="1D412E8A"/>
    <w:rsid w:val="1D41732E"/>
    <w:rsid w:val="1D44297A"/>
    <w:rsid w:val="1D464944"/>
    <w:rsid w:val="1D4B1F5B"/>
    <w:rsid w:val="1D5232E9"/>
    <w:rsid w:val="1D5801D4"/>
    <w:rsid w:val="1D583653"/>
    <w:rsid w:val="1D5C7CC4"/>
    <w:rsid w:val="1D5F274D"/>
    <w:rsid w:val="1D5F5A06"/>
    <w:rsid w:val="1D721295"/>
    <w:rsid w:val="1D7768AC"/>
    <w:rsid w:val="1D7C0366"/>
    <w:rsid w:val="1D7C3EC2"/>
    <w:rsid w:val="1D7E40DE"/>
    <w:rsid w:val="1D840FC9"/>
    <w:rsid w:val="1D880AB9"/>
    <w:rsid w:val="1D8B05A9"/>
    <w:rsid w:val="1D8D4321"/>
    <w:rsid w:val="1D8D60CF"/>
    <w:rsid w:val="1D8F0099"/>
    <w:rsid w:val="1D8F1E47"/>
    <w:rsid w:val="1D905BC0"/>
    <w:rsid w:val="1D9236E6"/>
    <w:rsid w:val="1D976F4E"/>
    <w:rsid w:val="1D990F18"/>
    <w:rsid w:val="1D992CC6"/>
    <w:rsid w:val="1DA11B7B"/>
    <w:rsid w:val="1DA5166B"/>
    <w:rsid w:val="1DA653E3"/>
    <w:rsid w:val="1DAA6C81"/>
    <w:rsid w:val="1DAE2D0C"/>
    <w:rsid w:val="1DB00010"/>
    <w:rsid w:val="1DB23D88"/>
    <w:rsid w:val="1DB4038D"/>
    <w:rsid w:val="1DB573D4"/>
    <w:rsid w:val="1DB7314C"/>
    <w:rsid w:val="1DBC69B5"/>
    <w:rsid w:val="1DBE272D"/>
    <w:rsid w:val="1DBE44DB"/>
    <w:rsid w:val="1DC13FCB"/>
    <w:rsid w:val="1DCA10D2"/>
    <w:rsid w:val="1DCC309C"/>
    <w:rsid w:val="1DD106B2"/>
    <w:rsid w:val="1DD12460"/>
    <w:rsid w:val="1DD71A40"/>
    <w:rsid w:val="1DD97567"/>
    <w:rsid w:val="1DDC7057"/>
    <w:rsid w:val="1DE1641B"/>
    <w:rsid w:val="1DE33F41"/>
    <w:rsid w:val="1DE81558"/>
    <w:rsid w:val="1DED4DC0"/>
    <w:rsid w:val="1DF13F4F"/>
    <w:rsid w:val="1DF15646"/>
    <w:rsid w:val="1DF20628"/>
    <w:rsid w:val="1DF4614E"/>
    <w:rsid w:val="1DF47EFC"/>
    <w:rsid w:val="1DF61EC7"/>
    <w:rsid w:val="1E036392"/>
    <w:rsid w:val="1E05035C"/>
    <w:rsid w:val="1E067C30"/>
    <w:rsid w:val="1E0740D4"/>
    <w:rsid w:val="1E0D0FBE"/>
    <w:rsid w:val="1E0F4D36"/>
    <w:rsid w:val="1E116D00"/>
    <w:rsid w:val="1E14059F"/>
    <w:rsid w:val="1E14234D"/>
    <w:rsid w:val="1E1B7B7F"/>
    <w:rsid w:val="1E1E31CB"/>
    <w:rsid w:val="1E220F0E"/>
    <w:rsid w:val="1E28404A"/>
    <w:rsid w:val="1E285DF8"/>
    <w:rsid w:val="1E2A40E0"/>
    <w:rsid w:val="1E2A6014"/>
    <w:rsid w:val="1E360515"/>
    <w:rsid w:val="1E3E73CA"/>
    <w:rsid w:val="1E4470D6"/>
    <w:rsid w:val="1E450758"/>
    <w:rsid w:val="1E463D59"/>
    <w:rsid w:val="1E4C1AE7"/>
    <w:rsid w:val="1E4F7829"/>
    <w:rsid w:val="1E57048B"/>
    <w:rsid w:val="1E5B7F7C"/>
    <w:rsid w:val="1E5E181A"/>
    <w:rsid w:val="1E635082"/>
    <w:rsid w:val="1E650DFA"/>
    <w:rsid w:val="1E6908EA"/>
    <w:rsid w:val="1E6A01BF"/>
    <w:rsid w:val="1E6A4663"/>
    <w:rsid w:val="1E6F1C79"/>
    <w:rsid w:val="1E7159F1"/>
    <w:rsid w:val="1E717738"/>
    <w:rsid w:val="1E71779F"/>
    <w:rsid w:val="1E7352C5"/>
    <w:rsid w:val="1E761259"/>
    <w:rsid w:val="1E7B23CC"/>
    <w:rsid w:val="1E7B24F7"/>
    <w:rsid w:val="1E804ED9"/>
    <w:rsid w:val="1E831280"/>
    <w:rsid w:val="1E85149C"/>
    <w:rsid w:val="1E8A260F"/>
    <w:rsid w:val="1E8C6387"/>
    <w:rsid w:val="1E8F5E77"/>
    <w:rsid w:val="1E982F7E"/>
    <w:rsid w:val="1E9E60BA"/>
    <w:rsid w:val="1E9F255E"/>
    <w:rsid w:val="1EA00084"/>
    <w:rsid w:val="1EA2204E"/>
    <w:rsid w:val="1EA26DE3"/>
    <w:rsid w:val="1EA27958"/>
    <w:rsid w:val="1EA57449"/>
    <w:rsid w:val="1EA96F39"/>
    <w:rsid w:val="1EAC07D7"/>
    <w:rsid w:val="1EAC6A29"/>
    <w:rsid w:val="1EAF02C7"/>
    <w:rsid w:val="1EB77B79"/>
    <w:rsid w:val="1EB853CE"/>
    <w:rsid w:val="1EBD29E4"/>
    <w:rsid w:val="1EC43D73"/>
    <w:rsid w:val="1EC475AC"/>
    <w:rsid w:val="1ECA6EAF"/>
    <w:rsid w:val="1ED1023E"/>
    <w:rsid w:val="1ED146E2"/>
    <w:rsid w:val="1ED16490"/>
    <w:rsid w:val="1ED63AA6"/>
    <w:rsid w:val="1ED85A70"/>
    <w:rsid w:val="1EDB10BC"/>
    <w:rsid w:val="1EDC0114"/>
    <w:rsid w:val="1EDD4E34"/>
    <w:rsid w:val="1EE241F9"/>
    <w:rsid w:val="1EE937D9"/>
    <w:rsid w:val="1EEB7551"/>
    <w:rsid w:val="1EF1268E"/>
    <w:rsid w:val="1EF34658"/>
    <w:rsid w:val="1EFD1033"/>
    <w:rsid w:val="1F114ADE"/>
    <w:rsid w:val="1F120F82"/>
    <w:rsid w:val="1F135C75"/>
    <w:rsid w:val="1F15637C"/>
    <w:rsid w:val="1F1A3993"/>
    <w:rsid w:val="1F212F73"/>
    <w:rsid w:val="1F2B2044"/>
    <w:rsid w:val="1F2B3DF2"/>
    <w:rsid w:val="1F2E743E"/>
    <w:rsid w:val="1F3031B6"/>
    <w:rsid w:val="1F3233D2"/>
    <w:rsid w:val="1F334A54"/>
    <w:rsid w:val="1F3709E9"/>
    <w:rsid w:val="1F372797"/>
    <w:rsid w:val="1F38206B"/>
    <w:rsid w:val="1F3C5FFF"/>
    <w:rsid w:val="1F3E1D77"/>
    <w:rsid w:val="1F413615"/>
    <w:rsid w:val="1F42113B"/>
    <w:rsid w:val="1F43738D"/>
    <w:rsid w:val="1F455F33"/>
    <w:rsid w:val="1F460C2C"/>
    <w:rsid w:val="1F4B6242"/>
    <w:rsid w:val="1F4E5D32"/>
    <w:rsid w:val="1F4E7AE0"/>
    <w:rsid w:val="1F536EA5"/>
    <w:rsid w:val="1F550E6F"/>
    <w:rsid w:val="1F5A35D2"/>
    <w:rsid w:val="1F5C21FD"/>
    <w:rsid w:val="1F5D7D23"/>
    <w:rsid w:val="1F617814"/>
    <w:rsid w:val="1F6410B2"/>
    <w:rsid w:val="1F69491A"/>
    <w:rsid w:val="1F6966C8"/>
    <w:rsid w:val="1F6B0692"/>
    <w:rsid w:val="1F6E3CDF"/>
    <w:rsid w:val="1F724F50"/>
    <w:rsid w:val="1F751511"/>
    <w:rsid w:val="1F770DE5"/>
    <w:rsid w:val="1F78690B"/>
    <w:rsid w:val="1F813A12"/>
    <w:rsid w:val="1F8359DC"/>
    <w:rsid w:val="1F8B663F"/>
    <w:rsid w:val="1F8F4381"/>
    <w:rsid w:val="1F9C084C"/>
    <w:rsid w:val="1F9E45C4"/>
    <w:rsid w:val="1FA94D17"/>
    <w:rsid w:val="1FAA11BB"/>
    <w:rsid w:val="1FAB0A8F"/>
    <w:rsid w:val="1FAB4F33"/>
    <w:rsid w:val="1FAB6CE1"/>
    <w:rsid w:val="1FAD4807"/>
    <w:rsid w:val="1FAE057F"/>
    <w:rsid w:val="1FB262C1"/>
    <w:rsid w:val="1FBE4C66"/>
    <w:rsid w:val="1FBF453A"/>
    <w:rsid w:val="1FC14756"/>
    <w:rsid w:val="1FC87893"/>
    <w:rsid w:val="1FCB7383"/>
    <w:rsid w:val="1FD224BF"/>
    <w:rsid w:val="1FD2426D"/>
    <w:rsid w:val="1FD46237"/>
    <w:rsid w:val="1FD75D28"/>
    <w:rsid w:val="1FDA1374"/>
    <w:rsid w:val="1FDC6E9A"/>
    <w:rsid w:val="1FE12702"/>
    <w:rsid w:val="1FFC12EA"/>
    <w:rsid w:val="2000702C"/>
    <w:rsid w:val="20016901"/>
    <w:rsid w:val="20054643"/>
    <w:rsid w:val="20085EE1"/>
    <w:rsid w:val="20087C8F"/>
    <w:rsid w:val="2011123A"/>
    <w:rsid w:val="20166850"/>
    <w:rsid w:val="20174376"/>
    <w:rsid w:val="201900EE"/>
    <w:rsid w:val="201B5C14"/>
    <w:rsid w:val="201C7BDE"/>
    <w:rsid w:val="201E5705"/>
    <w:rsid w:val="2020147D"/>
    <w:rsid w:val="20390790"/>
    <w:rsid w:val="203D65A0"/>
    <w:rsid w:val="204038CD"/>
    <w:rsid w:val="20457135"/>
    <w:rsid w:val="204A02A8"/>
    <w:rsid w:val="204C04C4"/>
    <w:rsid w:val="20515ADA"/>
    <w:rsid w:val="20541126"/>
    <w:rsid w:val="20564E9E"/>
    <w:rsid w:val="205B27D3"/>
    <w:rsid w:val="20670E5A"/>
    <w:rsid w:val="20686980"/>
    <w:rsid w:val="206A094A"/>
    <w:rsid w:val="20717F2A"/>
    <w:rsid w:val="207417C9"/>
    <w:rsid w:val="20743577"/>
    <w:rsid w:val="20784E15"/>
    <w:rsid w:val="207A33A1"/>
    <w:rsid w:val="207B66B3"/>
    <w:rsid w:val="207D4F96"/>
    <w:rsid w:val="207F634B"/>
    <w:rsid w:val="20855784"/>
    <w:rsid w:val="208732AA"/>
    <w:rsid w:val="20887022"/>
    <w:rsid w:val="208A0422"/>
    <w:rsid w:val="20915ED7"/>
    <w:rsid w:val="20926BCA"/>
    <w:rsid w:val="20937EA1"/>
    <w:rsid w:val="20941F7F"/>
    <w:rsid w:val="20977AE0"/>
    <w:rsid w:val="209D0D1F"/>
    <w:rsid w:val="20A83220"/>
    <w:rsid w:val="20A91472"/>
    <w:rsid w:val="20AA6F98"/>
    <w:rsid w:val="20C22534"/>
    <w:rsid w:val="20C4005A"/>
    <w:rsid w:val="20C77B4A"/>
    <w:rsid w:val="20CC6F0F"/>
    <w:rsid w:val="20CE09C7"/>
    <w:rsid w:val="20D14525"/>
    <w:rsid w:val="20D364EF"/>
    <w:rsid w:val="20DD55C0"/>
    <w:rsid w:val="20E24984"/>
    <w:rsid w:val="20EA3839"/>
    <w:rsid w:val="20EC75B1"/>
    <w:rsid w:val="20EE3329"/>
    <w:rsid w:val="20EF0E4F"/>
    <w:rsid w:val="20F16975"/>
    <w:rsid w:val="20FB77F4"/>
    <w:rsid w:val="20FD17BE"/>
    <w:rsid w:val="20FF1092"/>
    <w:rsid w:val="20FF72E4"/>
    <w:rsid w:val="21004E0A"/>
    <w:rsid w:val="21050673"/>
    <w:rsid w:val="21091F11"/>
    <w:rsid w:val="21093CBF"/>
    <w:rsid w:val="21096EBF"/>
    <w:rsid w:val="211014F1"/>
    <w:rsid w:val="2112296A"/>
    <w:rsid w:val="21134B3E"/>
    <w:rsid w:val="21156B08"/>
    <w:rsid w:val="211B1C44"/>
    <w:rsid w:val="211B756C"/>
    <w:rsid w:val="211D59BC"/>
    <w:rsid w:val="211F14A0"/>
    <w:rsid w:val="21221225"/>
    <w:rsid w:val="21234242"/>
    <w:rsid w:val="21247AE2"/>
    <w:rsid w:val="21294361"/>
    <w:rsid w:val="212E7BC9"/>
    <w:rsid w:val="21330813"/>
    <w:rsid w:val="21352D06"/>
    <w:rsid w:val="21374CD0"/>
    <w:rsid w:val="213827F6"/>
    <w:rsid w:val="21470119"/>
    <w:rsid w:val="21494A03"/>
    <w:rsid w:val="214B2529"/>
    <w:rsid w:val="214C004F"/>
    <w:rsid w:val="214E3DC8"/>
    <w:rsid w:val="21562C7C"/>
    <w:rsid w:val="21613AFB"/>
    <w:rsid w:val="2164183D"/>
    <w:rsid w:val="216830DB"/>
    <w:rsid w:val="216D06F2"/>
    <w:rsid w:val="216D57E7"/>
    <w:rsid w:val="216D6944"/>
    <w:rsid w:val="217750CC"/>
    <w:rsid w:val="21787096"/>
    <w:rsid w:val="217D645B"/>
    <w:rsid w:val="2181419D"/>
    <w:rsid w:val="21815F4B"/>
    <w:rsid w:val="21837F15"/>
    <w:rsid w:val="21863561"/>
    <w:rsid w:val="219043E0"/>
    <w:rsid w:val="2190618E"/>
    <w:rsid w:val="21981101"/>
    <w:rsid w:val="21983295"/>
    <w:rsid w:val="219914E7"/>
    <w:rsid w:val="219D08AB"/>
    <w:rsid w:val="219E4D4F"/>
    <w:rsid w:val="21AD0AEE"/>
    <w:rsid w:val="21B55BF5"/>
    <w:rsid w:val="21B856E5"/>
    <w:rsid w:val="21BE2CFB"/>
    <w:rsid w:val="21C5052E"/>
    <w:rsid w:val="21C61BB0"/>
    <w:rsid w:val="21CB5418"/>
    <w:rsid w:val="21CD4054"/>
    <w:rsid w:val="21CE6CB6"/>
    <w:rsid w:val="21CF4F08"/>
    <w:rsid w:val="21D00C81"/>
    <w:rsid w:val="21D267A7"/>
    <w:rsid w:val="21DA1AFF"/>
    <w:rsid w:val="21DA38AD"/>
    <w:rsid w:val="21DE15EF"/>
    <w:rsid w:val="21DE514B"/>
    <w:rsid w:val="21E12E8E"/>
    <w:rsid w:val="21E15504"/>
    <w:rsid w:val="21E5472C"/>
    <w:rsid w:val="21E93AF0"/>
    <w:rsid w:val="21ED1832"/>
    <w:rsid w:val="21FE57EE"/>
    <w:rsid w:val="21FF50C2"/>
    <w:rsid w:val="220A4192"/>
    <w:rsid w:val="22105521"/>
    <w:rsid w:val="22123047"/>
    <w:rsid w:val="22145011"/>
    <w:rsid w:val="221B014E"/>
    <w:rsid w:val="221C5C74"/>
    <w:rsid w:val="22386CFF"/>
    <w:rsid w:val="223B259E"/>
    <w:rsid w:val="223E3E3C"/>
    <w:rsid w:val="22401962"/>
    <w:rsid w:val="22421B7E"/>
    <w:rsid w:val="224D0523"/>
    <w:rsid w:val="22543660"/>
    <w:rsid w:val="22552F34"/>
    <w:rsid w:val="22562288"/>
    <w:rsid w:val="22573150"/>
    <w:rsid w:val="22590C76"/>
    <w:rsid w:val="22617B2B"/>
    <w:rsid w:val="22625D7D"/>
    <w:rsid w:val="22635651"/>
    <w:rsid w:val="2265586D"/>
    <w:rsid w:val="2265761B"/>
    <w:rsid w:val="22682C67"/>
    <w:rsid w:val="2268710B"/>
    <w:rsid w:val="226A2E83"/>
    <w:rsid w:val="226A4C31"/>
    <w:rsid w:val="22715FC0"/>
    <w:rsid w:val="22721D38"/>
    <w:rsid w:val="22794E74"/>
    <w:rsid w:val="227C4964"/>
    <w:rsid w:val="228201CD"/>
    <w:rsid w:val="22821F7B"/>
    <w:rsid w:val="22883309"/>
    <w:rsid w:val="228C3A98"/>
    <w:rsid w:val="228D0920"/>
    <w:rsid w:val="228D1C60"/>
    <w:rsid w:val="228D6B72"/>
    <w:rsid w:val="228F6446"/>
    <w:rsid w:val="229B128E"/>
    <w:rsid w:val="22A16179"/>
    <w:rsid w:val="22A53EBB"/>
    <w:rsid w:val="22AA3280"/>
    <w:rsid w:val="22AC1F65"/>
    <w:rsid w:val="22B440FE"/>
    <w:rsid w:val="22B61C24"/>
    <w:rsid w:val="22B92AB5"/>
    <w:rsid w:val="22BF31CF"/>
    <w:rsid w:val="22C24A6D"/>
    <w:rsid w:val="22C72083"/>
    <w:rsid w:val="22C93B78"/>
    <w:rsid w:val="22CC1448"/>
    <w:rsid w:val="22D4654E"/>
    <w:rsid w:val="22DE117B"/>
    <w:rsid w:val="22E36792"/>
    <w:rsid w:val="22E63BAE"/>
    <w:rsid w:val="22E91FFA"/>
    <w:rsid w:val="22EC1AEA"/>
    <w:rsid w:val="22EE13BE"/>
    <w:rsid w:val="22F17100"/>
    <w:rsid w:val="22F664C5"/>
    <w:rsid w:val="22FB7F7F"/>
    <w:rsid w:val="22FD5AA5"/>
    <w:rsid w:val="22FF181D"/>
    <w:rsid w:val="23040BE2"/>
    <w:rsid w:val="23056708"/>
    <w:rsid w:val="230706D2"/>
    <w:rsid w:val="231132FF"/>
    <w:rsid w:val="2312222F"/>
    <w:rsid w:val="23137077"/>
    <w:rsid w:val="231921B3"/>
    <w:rsid w:val="231B417D"/>
    <w:rsid w:val="231D7EF5"/>
    <w:rsid w:val="23270D74"/>
    <w:rsid w:val="232B0864"/>
    <w:rsid w:val="232E3EB1"/>
    <w:rsid w:val="23305E7B"/>
    <w:rsid w:val="23375474"/>
    <w:rsid w:val="23384D2F"/>
    <w:rsid w:val="233A4603"/>
    <w:rsid w:val="233B037C"/>
    <w:rsid w:val="233D2346"/>
    <w:rsid w:val="233F1C1A"/>
    <w:rsid w:val="233F60BE"/>
    <w:rsid w:val="234611FA"/>
    <w:rsid w:val="234E6301"/>
    <w:rsid w:val="23530B52"/>
    <w:rsid w:val="23531B69"/>
    <w:rsid w:val="23533917"/>
    <w:rsid w:val="235651B5"/>
    <w:rsid w:val="2358717F"/>
    <w:rsid w:val="235A2EF8"/>
    <w:rsid w:val="235D4796"/>
    <w:rsid w:val="23616034"/>
    <w:rsid w:val="23623B5A"/>
    <w:rsid w:val="23627FFE"/>
    <w:rsid w:val="2366364A"/>
    <w:rsid w:val="236773C3"/>
    <w:rsid w:val="2369138D"/>
    <w:rsid w:val="236B2A0F"/>
    <w:rsid w:val="236C49D9"/>
    <w:rsid w:val="236C6787"/>
    <w:rsid w:val="236E0751"/>
    <w:rsid w:val="236E69A3"/>
    <w:rsid w:val="237044C9"/>
    <w:rsid w:val="23713D9D"/>
    <w:rsid w:val="23733FB9"/>
    <w:rsid w:val="237613B4"/>
    <w:rsid w:val="23775858"/>
    <w:rsid w:val="237F470C"/>
    <w:rsid w:val="23810484"/>
    <w:rsid w:val="23827D58"/>
    <w:rsid w:val="2383244E"/>
    <w:rsid w:val="23841D23"/>
    <w:rsid w:val="23865A9B"/>
    <w:rsid w:val="238C6E29"/>
    <w:rsid w:val="23907664"/>
    <w:rsid w:val="239C706C"/>
    <w:rsid w:val="239D1C68"/>
    <w:rsid w:val="239D2DE4"/>
    <w:rsid w:val="239F4DAE"/>
    <w:rsid w:val="23A423C5"/>
    <w:rsid w:val="23A44173"/>
    <w:rsid w:val="23A66BD1"/>
    <w:rsid w:val="23A777BF"/>
    <w:rsid w:val="23B00D6A"/>
    <w:rsid w:val="23BE3486"/>
    <w:rsid w:val="23BF71FF"/>
    <w:rsid w:val="23BF7609"/>
    <w:rsid w:val="23C10881"/>
    <w:rsid w:val="23C71C0F"/>
    <w:rsid w:val="23D04F68"/>
    <w:rsid w:val="23D26F32"/>
    <w:rsid w:val="23D9513D"/>
    <w:rsid w:val="23DF164F"/>
    <w:rsid w:val="23E629DD"/>
    <w:rsid w:val="23EB7FF4"/>
    <w:rsid w:val="23F21382"/>
    <w:rsid w:val="23F549CE"/>
    <w:rsid w:val="23F944BF"/>
    <w:rsid w:val="23FA3D93"/>
    <w:rsid w:val="23FB7AB3"/>
    <w:rsid w:val="23FC5D5D"/>
    <w:rsid w:val="23FF584D"/>
    <w:rsid w:val="24082954"/>
    <w:rsid w:val="24084702"/>
    <w:rsid w:val="240B41F2"/>
    <w:rsid w:val="24101F8A"/>
    <w:rsid w:val="2412732E"/>
    <w:rsid w:val="24155071"/>
    <w:rsid w:val="24172B97"/>
    <w:rsid w:val="241A4435"/>
    <w:rsid w:val="241C01AD"/>
    <w:rsid w:val="241C63FF"/>
    <w:rsid w:val="241E2177"/>
    <w:rsid w:val="241F42DD"/>
    <w:rsid w:val="2426102C"/>
    <w:rsid w:val="24294678"/>
    <w:rsid w:val="242A0B1C"/>
    <w:rsid w:val="242D5F16"/>
    <w:rsid w:val="24374FE7"/>
    <w:rsid w:val="24390D5F"/>
    <w:rsid w:val="243D7865"/>
    <w:rsid w:val="24415E66"/>
    <w:rsid w:val="24431BDE"/>
    <w:rsid w:val="2446193D"/>
    <w:rsid w:val="244A6AC8"/>
    <w:rsid w:val="244B0A92"/>
    <w:rsid w:val="244B2840"/>
    <w:rsid w:val="244B45EE"/>
    <w:rsid w:val="244D0366"/>
    <w:rsid w:val="244D325D"/>
    <w:rsid w:val="245416F5"/>
    <w:rsid w:val="24561911"/>
    <w:rsid w:val="245E07C6"/>
    <w:rsid w:val="24605D27"/>
    <w:rsid w:val="2463402E"/>
    <w:rsid w:val="24637B8A"/>
    <w:rsid w:val="247022A7"/>
    <w:rsid w:val="24704055"/>
    <w:rsid w:val="24747FE9"/>
    <w:rsid w:val="247B3126"/>
    <w:rsid w:val="24816262"/>
    <w:rsid w:val="24831FDA"/>
    <w:rsid w:val="248F4E23"/>
    <w:rsid w:val="249661B1"/>
    <w:rsid w:val="24977834"/>
    <w:rsid w:val="2499278B"/>
    <w:rsid w:val="249A1C21"/>
    <w:rsid w:val="249D12EE"/>
    <w:rsid w:val="249F7859"/>
    <w:rsid w:val="24A26904"/>
    <w:rsid w:val="24A273CC"/>
    <w:rsid w:val="24A3442A"/>
    <w:rsid w:val="24A75360"/>
    <w:rsid w:val="24A813F5"/>
    <w:rsid w:val="24AD1948"/>
    <w:rsid w:val="24B16B47"/>
    <w:rsid w:val="24B228BF"/>
    <w:rsid w:val="24B46637"/>
    <w:rsid w:val="24C0322E"/>
    <w:rsid w:val="24C148B0"/>
    <w:rsid w:val="24C3687B"/>
    <w:rsid w:val="24C745BD"/>
    <w:rsid w:val="24C77A14"/>
    <w:rsid w:val="24C820E3"/>
    <w:rsid w:val="24C83E91"/>
    <w:rsid w:val="24CC07F0"/>
    <w:rsid w:val="24CC1BD3"/>
    <w:rsid w:val="24CE371A"/>
    <w:rsid w:val="24D12D46"/>
    <w:rsid w:val="24D42836"/>
    <w:rsid w:val="24D665AE"/>
    <w:rsid w:val="24DB5972"/>
    <w:rsid w:val="24E0742D"/>
    <w:rsid w:val="24E567F1"/>
    <w:rsid w:val="24E72569"/>
    <w:rsid w:val="24EA6EC3"/>
    <w:rsid w:val="24ED56A6"/>
    <w:rsid w:val="24F5112A"/>
    <w:rsid w:val="25034EC9"/>
    <w:rsid w:val="250824DF"/>
    <w:rsid w:val="250C0222"/>
    <w:rsid w:val="250D7AF6"/>
    <w:rsid w:val="25115838"/>
    <w:rsid w:val="251315B0"/>
    <w:rsid w:val="25140E84"/>
    <w:rsid w:val="251B0465"/>
    <w:rsid w:val="251F1BA7"/>
    <w:rsid w:val="252512E3"/>
    <w:rsid w:val="252E63EA"/>
    <w:rsid w:val="25302162"/>
    <w:rsid w:val="253357AE"/>
    <w:rsid w:val="25401C79"/>
    <w:rsid w:val="254479BB"/>
    <w:rsid w:val="25494FD2"/>
    <w:rsid w:val="25496D80"/>
    <w:rsid w:val="254A0D4A"/>
    <w:rsid w:val="254B6F9C"/>
    <w:rsid w:val="254C6870"/>
    <w:rsid w:val="254E25E8"/>
    <w:rsid w:val="25537BFE"/>
    <w:rsid w:val="25577CC0"/>
    <w:rsid w:val="255A571A"/>
    <w:rsid w:val="25641E0C"/>
    <w:rsid w:val="2567153B"/>
    <w:rsid w:val="25695674"/>
    <w:rsid w:val="256F255E"/>
    <w:rsid w:val="25787665"/>
    <w:rsid w:val="257B0F03"/>
    <w:rsid w:val="257D2ECD"/>
    <w:rsid w:val="2580476C"/>
    <w:rsid w:val="2580651A"/>
    <w:rsid w:val="258424AE"/>
    <w:rsid w:val="2584600A"/>
    <w:rsid w:val="25850643"/>
    <w:rsid w:val="25893620"/>
    <w:rsid w:val="258A442B"/>
    <w:rsid w:val="259124D5"/>
    <w:rsid w:val="259326F1"/>
    <w:rsid w:val="25983863"/>
    <w:rsid w:val="259B403D"/>
    <w:rsid w:val="259D531E"/>
    <w:rsid w:val="25A62424"/>
    <w:rsid w:val="25AE3087"/>
    <w:rsid w:val="25AE752B"/>
    <w:rsid w:val="25B05051"/>
    <w:rsid w:val="25B34B41"/>
    <w:rsid w:val="25BC1C48"/>
    <w:rsid w:val="25C40AFC"/>
    <w:rsid w:val="25C74149"/>
    <w:rsid w:val="25C96113"/>
    <w:rsid w:val="25CC175F"/>
    <w:rsid w:val="25CD6ECB"/>
    <w:rsid w:val="25D23219"/>
    <w:rsid w:val="25D6438C"/>
    <w:rsid w:val="25D80104"/>
    <w:rsid w:val="25DA0320"/>
    <w:rsid w:val="25DA20CE"/>
    <w:rsid w:val="25DF76E4"/>
    <w:rsid w:val="25E62821"/>
    <w:rsid w:val="25E76599"/>
    <w:rsid w:val="25E90563"/>
    <w:rsid w:val="25ED1E01"/>
    <w:rsid w:val="25F413E1"/>
    <w:rsid w:val="25F767DC"/>
    <w:rsid w:val="25FC3DF2"/>
    <w:rsid w:val="25FF7D86"/>
    <w:rsid w:val="26137238"/>
    <w:rsid w:val="26143832"/>
    <w:rsid w:val="261455E0"/>
    <w:rsid w:val="261D1FBA"/>
    <w:rsid w:val="261E020C"/>
    <w:rsid w:val="26235823"/>
    <w:rsid w:val="2624159B"/>
    <w:rsid w:val="262B2929"/>
    <w:rsid w:val="26307F40"/>
    <w:rsid w:val="26323CB8"/>
    <w:rsid w:val="26355556"/>
    <w:rsid w:val="26395046"/>
    <w:rsid w:val="26396DF4"/>
    <w:rsid w:val="263A0DBE"/>
    <w:rsid w:val="263C4B36"/>
    <w:rsid w:val="2640208A"/>
    <w:rsid w:val="264834DB"/>
    <w:rsid w:val="26492DAF"/>
    <w:rsid w:val="26555BF8"/>
    <w:rsid w:val="26597496"/>
    <w:rsid w:val="265A320F"/>
    <w:rsid w:val="265A4FBD"/>
    <w:rsid w:val="265A6D6B"/>
    <w:rsid w:val="26663961"/>
    <w:rsid w:val="26681488"/>
    <w:rsid w:val="266876DA"/>
    <w:rsid w:val="26783E77"/>
    <w:rsid w:val="26793695"/>
    <w:rsid w:val="267E514F"/>
    <w:rsid w:val="2683689D"/>
    <w:rsid w:val="268A306E"/>
    <w:rsid w:val="268F110A"/>
    <w:rsid w:val="26926505"/>
    <w:rsid w:val="269404CF"/>
    <w:rsid w:val="26964247"/>
    <w:rsid w:val="269D6AE5"/>
    <w:rsid w:val="26A83F7A"/>
    <w:rsid w:val="26AB5818"/>
    <w:rsid w:val="26AF744D"/>
    <w:rsid w:val="26B0201E"/>
    <w:rsid w:val="26B24DF9"/>
    <w:rsid w:val="26B446CD"/>
    <w:rsid w:val="26B648E9"/>
    <w:rsid w:val="26BC17D3"/>
    <w:rsid w:val="26BD5C77"/>
    <w:rsid w:val="26C30DB4"/>
    <w:rsid w:val="26C64400"/>
    <w:rsid w:val="26CA0394"/>
    <w:rsid w:val="26CD578F"/>
    <w:rsid w:val="26CF1507"/>
    <w:rsid w:val="26D20FF7"/>
    <w:rsid w:val="26D62895"/>
    <w:rsid w:val="26D66D39"/>
    <w:rsid w:val="26D70680"/>
    <w:rsid w:val="26DC3C24"/>
    <w:rsid w:val="26DE174A"/>
    <w:rsid w:val="26E50D2A"/>
    <w:rsid w:val="26F15921"/>
    <w:rsid w:val="26F31699"/>
    <w:rsid w:val="26F35E32"/>
    <w:rsid w:val="26F62D55"/>
    <w:rsid w:val="26FE1DEC"/>
    <w:rsid w:val="27003DB6"/>
    <w:rsid w:val="27007912"/>
    <w:rsid w:val="270F224B"/>
    <w:rsid w:val="270F5DA7"/>
    <w:rsid w:val="27117D71"/>
    <w:rsid w:val="271E5FEA"/>
    <w:rsid w:val="271F6B87"/>
    <w:rsid w:val="27225ADA"/>
    <w:rsid w:val="272555CB"/>
    <w:rsid w:val="27271343"/>
    <w:rsid w:val="272A498F"/>
    <w:rsid w:val="272D447F"/>
    <w:rsid w:val="273121C1"/>
    <w:rsid w:val="27351CB2"/>
    <w:rsid w:val="273870AC"/>
    <w:rsid w:val="273D0B66"/>
    <w:rsid w:val="274517C9"/>
    <w:rsid w:val="27483067"/>
    <w:rsid w:val="274912B9"/>
    <w:rsid w:val="274A5031"/>
    <w:rsid w:val="274A6DDF"/>
    <w:rsid w:val="274E6B65"/>
    <w:rsid w:val="274F2647"/>
    <w:rsid w:val="27541561"/>
    <w:rsid w:val="275F0ADD"/>
    <w:rsid w:val="27646BE7"/>
    <w:rsid w:val="27651E6B"/>
    <w:rsid w:val="27653C19"/>
    <w:rsid w:val="2769195B"/>
    <w:rsid w:val="276C144B"/>
    <w:rsid w:val="276F4A98"/>
    <w:rsid w:val="27705C9F"/>
    <w:rsid w:val="27724B77"/>
    <w:rsid w:val="27730607"/>
    <w:rsid w:val="277D5407"/>
    <w:rsid w:val="277F117F"/>
    <w:rsid w:val="27892AED"/>
    <w:rsid w:val="278A3680"/>
    <w:rsid w:val="278C564A"/>
    <w:rsid w:val="278C73F8"/>
    <w:rsid w:val="278E3170"/>
    <w:rsid w:val="27952750"/>
    <w:rsid w:val="279544FE"/>
    <w:rsid w:val="27962024"/>
    <w:rsid w:val="27982240"/>
    <w:rsid w:val="27983FEE"/>
    <w:rsid w:val="27985D9D"/>
    <w:rsid w:val="279B3ADF"/>
    <w:rsid w:val="279D1605"/>
    <w:rsid w:val="27A6495D"/>
    <w:rsid w:val="27AE3812"/>
    <w:rsid w:val="27B626C7"/>
    <w:rsid w:val="27BA5D13"/>
    <w:rsid w:val="27BB7CDD"/>
    <w:rsid w:val="27BF157B"/>
    <w:rsid w:val="27C44DE4"/>
    <w:rsid w:val="27C46B92"/>
    <w:rsid w:val="27C941A8"/>
    <w:rsid w:val="27CD6E6A"/>
    <w:rsid w:val="27D05536"/>
    <w:rsid w:val="27D50D9F"/>
    <w:rsid w:val="27D843EB"/>
    <w:rsid w:val="27DC212D"/>
    <w:rsid w:val="27E47234"/>
    <w:rsid w:val="27E56B08"/>
    <w:rsid w:val="27E64D5A"/>
    <w:rsid w:val="27E81C58"/>
    <w:rsid w:val="27EB411E"/>
    <w:rsid w:val="27EE00B2"/>
    <w:rsid w:val="27F05BD9"/>
    <w:rsid w:val="27F136FF"/>
    <w:rsid w:val="27F33E34"/>
    <w:rsid w:val="27F356C9"/>
    <w:rsid w:val="27F531EF"/>
    <w:rsid w:val="27F751B9"/>
    <w:rsid w:val="27FC457D"/>
    <w:rsid w:val="27FC632B"/>
    <w:rsid w:val="27FE6547"/>
    <w:rsid w:val="280653FC"/>
    <w:rsid w:val="280671AA"/>
    <w:rsid w:val="28090A48"/>
    <w:rsid w:val="280D0539"/>
    <w:rsid w:val="2815023D"/>
    <w:rsid w:val="281573ED"/>
    <w:rsid w:val="281F2A9C"/>
    <w:rsid w:val="281F64BE"/>
    <w:rsid w:val="2822558E"/>
    <w:rsid w:val="28281DA8"/>
    <w:rsid w:val="28285372"/>
    <w:rsid w:val="282910EA"/>
    <w:rsid w:val="28292E99"/>
    <w:rsid w:val="282B09BF"/>
    <w:rsid w:val="282B4E63"/>
    <w:rsid w:val="282C4737"/>
    <w:rsid w:val="283A32F8"/>
    <w:rsid w:val="283D3376"/>
    <w:rsid w:val="283D5FEB"/>
    <w:rsid w:val="28441A80"/>
    <w:rsid w:val="284952E9"/>
    <w:rsid w:val="284D4DD9"/>
    <w:rsid w:val="28506677"/>
    <w:rsid w:val="285443B9"/>
    <w:rsid w:val="28550131"/>
    <w:rsid w:val="285A5748"/>
    <w:rsid w:val="285A74F6"/>
    <w:rsid w:val="285E6FE6"/>
    <w:rsid w:val="286640ED"/>
    <w:rsid w:val="28681C13"/>
    <w:rsid w:val="28706D19"/>
    <w:rsid w:val="28723F14"/>
    <w:rsid w:val="28724840"/>
    <w:rsid w:val="287C56BE"/>
    <w:rsid w:val="287E1436"/>
    <w:rsid w:val="287E4F92"/>
    <w:rsid w:val="288602EB"/>
    <w:rsid w:val="28884063"/>
    <w:rsid w:val="28926C90"/>
    <w:rsid w:val="28940C5A"/>
    <w:rsid w:val="289447B6"/>
    <w:rsid w:val="289504BB"/>
    <w:rsid w:val="2895052E"/>
    <w:rsid w:val="289B3D96"/>
    <w:rsid w:val="289C18BC"/>
    <w:rsid w:val="289E5635"/>
    <w:rsid w:val="28AB7D51"/>
    <w:rsid w:val="28AD3ACA"/>
    <w:rsid w:val="28B46C06"/>
    <w:rsid w:val="28B9421C"/>
    <w:rsid w:val="28BA7F95"/>
    <w:rsid w:val="28BC1F5F"/>
    <w:rsid w:val="28BC3D0D"/>
    <w:rsid w:val="28BE1833"/>
    <w:rsid w:val="28BF50C6"/>
    <w:rsid w:val="28C52BC1"/>
    <w:rsid w:val="28C57065"/>
    <w:rsid w:val="28C72DDD"/>
    <w:rsid w:val="28CA642A"/>
    <w:rsid w:val="28CD5F1A"/>
    <w:rsid w:val="28CE2F37"/>
    <w:rsid w:val="28CE372B"/>
    <w:rsid w:val="28D177B8"/>
    <w:rsid w:val="28D21782"/>
    <w:rsid w:val="28D41056"/>
    <w:rsid w:val="28D9041B"/>
    <w:rsid w:val="28DE0127"/>
    <w:rsid w:val="28E374EB"/>
    <w:rsid w:val="28EA2628"/>
    <w:rsid w:val="28EC45F2"/>
    <w:rsid w:val="28ED036A"/>
    <w:rsid w:val="28F60FCD"/>
    <w:rsid w:val="29023E15"/>
    <w:rsid w:val="290556B4"/>
    <w:rsid w:val="290A0F1C"/>
    <w:rsid w:val="290D27BA"/>
    <w:rsid w:val="290E772E"/>
    <w:rsid w:val="290F02E0"/>
    <w:rsid w:val="29114058"/>
    <w:rsid w:val="291E0523"/>
    <w:rsid w:val="291E49C7"/>
    <w:rsid w:val="291E5AE2"/>
    <w:rsid w:val="2920429C"/>
    <w:rsid w:val="29226266"/>
    <w:rsid w:val="29254418"/>
    <w:rsid w:val="29283150"/>
    <w:rsid w:val="292A6EC8"/>
    <w:rsid w:val="29347D47"/>
    <w:rsid w:val="293D309F"/>
    <w:rsid w:val="293E4722"/>
    <w:rsid w:val="2940493E"/>
    <w:rsid w:val="294066EC"/>
    <w:rsid w:val="294361DC"/>
    <w:rsid w:val="2944442E"/>
    <w:rsid w:val="29491A44"/>
    <w:rsid w:val="294D2BB7"/>
    <w:rsid w:val="29543F45"/>
    <w:rsid w:val="295E3016"/>
    <w:rsid w:val="29626662"/>
    <w:rsid w:val="29634188"/>
    <w:rsid w:val="296A3769"/>
    <w:rsid w:val="296F6FD1"/>
    <w:rsid w:val="297168A5"/>
    <w:rsid w:val="2973086F"/>
    <w:rsid w:val="2973261D"/>
    <w:rsid w:val="29736AC1"/>
    <w:rsid w:val="29752839"/>
    <w:rsid w:val="29791BFE"/>
    <w:rsid w:val="297E255F"/>
    <w:rsid w:val="297F0E1D"/>
    <w:rsid w:val="29802F8C"/>
    <w:rsid w:val="298505A2"/>
    <w:rsid w:val="29852351"/>
    <w:rsid w:val="298E7B46"/>
    <w:rsid w:val="298F31CF"/>
    <w:rsid w:val="29916F47"/>
    <w:rsid w:val="29934A6D"/>
    <w:rsid w:val="2996455E"/>
    <w:rsid w:val="299802D6"/>
    <w:rsid w:val="29995DFC"/>
    <w:rsid w:val="299B7DC6"/>
    <w:rsid w:val="299D58EC"/>
    <w:rsid w:val="29A21406"/>
    <w:rsid w:val="29A5570A"/>
    <w:rsid w:val="29AA157C"/>
    <w:rsid w:val="29AC3D81"/>
    <w:rsid w:val="29B175E9"/>
    <w:rsid w:val="29B50E88"/>
    <w:rsid w:val="29B82726"/>
    <w:rsid w:val="29B83B80"/>
    <w:rsid w:val="29B9024C"/>
    <w:rsid w:val="29BA46F0"/>
    <w:rsid w:val="29BF1D06"/>
    <w:rsid w:val="29C410CB"/>
    <w:rsid w:val="29CC7F7F"/>
    <w:rsid w:val="29CE3CF8"/>
    <w:rsid w:val="29CE74E7"/>
    <w:rsid w:val="29D55086"/>
    <w:rsid w:val="29DB6414"/>
    <w:rsid w:val="29DF4157"/>
    <w:rsid w:val="29DF7CB3"/>
    <w:rsid w:val="29E90B31"/>
    <w:rsid w:val="29EC23D0"/>
    <w:rsid w:val="29F23E8A"/>
    <w:rsid w:val="29F574D6"/>
    <w:rsid w:val="29F86FC6"/>
    <w:rsid w:val="29FA2D3E"/>
    <w:rsid w:val="29FD45DD"/>
    <w:rsid w:val="29FF65A7"/>
    <w:rsid w:val="2A005ACD"/>
    <w:rsid w:val="2A005E7B"/>
    <w:rsid w:val="2A007C29"/>
    <w:rsid w:val="2A043BBD"/>
    <w:rsid w:val="2A0B6CFA"/>
    <w:rsid w:val="2A0C2A72"/>
    <w:rsid w:val="2A110088"/>
    <w:rsid w:val="2A111E36"/>
    <w:rsid w:val="2A1262DA"/>
    <w:rsid w:val="2A1831C5"/>
    <w:rsid w:val="2A1C0F07"/>
    <w:rsid w:val="2A1C40C0"/>
    <w:rsid w:val="2A1F27A5"/>
    <w:rsid w:val="2A1F41BD"/>
    <w:rsid w:val="2A21651D"/>
    <w:rsid w:val="2A26305E"/>
    <w:rsid w:val="2A2D4EC2"/>
    <w:rsid w:val="2A2D747B"/>
    <w:rsid w:val="2A3049B2"/>
    <w:rsid w:val="2A336250"/>
    <w:rsid w:val="2A355B25"/>
    <w:rsid w:val="2A36189D"/>
    <w:rsid w:val="2A377AEF"/>
    <w:rsid w:val="2A385615"/>
    <w:rsid w:val="2A391AB9"/>
    <w:rsid w:val="2A3A0DC5"/>
    <w:rsid w:val="2A3C5105"/>
    <w:rsid w:val="2A3F69A3"/>
    <w:rsid w:val="2A41271B"/>
    <w:rsid w:val="2A420242"/>
    <w:rsid w:val="2A4346E5"/>
    <w:rsid w:val="2A465F84"/>
    <w:rsid w:val="2A475858"/>
    <w:rsid w:val="2A4A387B"/>
    <w:rsid w:val="2A53244F"/>
    <w:rsid w:val="2A54259B"/>
    <w:rsid w:val="2A5E151F"/>
    <w:rsid w:val="2A61691A"/>
    <w:rsid w:val="2A662182"/>
    <w:rsid w:val="2A681556"/>
    <w:rsid w:val="2A6D1762"/>
    <w:rsid w:val="2A716218"/>
    <w:rsid w:val="2A7A79DB"/>
    <w:rsid w:val="2A7E571E"/>
    <w:rsid w:val="2A832D34"/>
    <w:rsid w:val="2A866380"/>
    <w:rsid w:val="2A8940C2"/>
    <w:rsid w:val="2A8F792B"/>
    <w:rsid w:val="2A994305"/>
    <w:rsid w:val="2A9D36CA"/>
    <w:rsid w:val="2A9E7B6E"/>
    <w:rsid w:val="2A9F38E6"/>
    <w:rsid w:val="2AA9206F"/>
    <w:rsid w:val="2AAB4039"/>
    <w:rsid w:val="2AAF1D7B"/>
    <w:rsid w:val="2AB0164F"/>
    <w:rsid w:val="2AB033FD"/>
    <w:rsid w:val="2AD0584D"/>
    <w:rsid w:val="2AD92954"/>
    <w:rsid w:val="2AE15CAC"/>
    <w:rsid w:val="2AE17A5A"/>
    <w:rsid w:val="2AE337D3"/>
    <w:rsid w:val="2AEF2177"/>
    <w:rsid w:val="2AF61758"/>
    <w:rsid w:val="2AF754D0"/>
    <w:rsid w:val="2AF91248"/>
    <w:rsid w:val="2AFA0B1C"/>
    <w:rsid w:val="2B006133"/>
    <w:rsid w:val="2B033E75"/>
    <w:rsid w:val="2B0B4AD7"/>
    <w:rsid w:val="2B12230A"/>
    <w:rsid w:val="2B1240B8"/>
    <w:rsid w:val="2B126E05"/>
    <w:rsid w:val="2B146082"/>
    <w:rsid w:val="2B1716CE"/>
    <w:rsid w:val="2B1C4F36"/>
    <w:rsid w:val="2B1E0CAF"/>
    <w:rsid w:val="2B203194"/>
    <w:rsid w:val="2B2362C5"/>
    <w:rsid w:val="2B261911"/>
    <w:rsid w:val="2B277B63"/>
    <w:rsid w:val="2B396C24"/>
    <w:rsid w:val="2B3D7387"/>
    <w:rsid w:val="2B400C25"/>
    <w:rsid w:val="2B4104F9"/>
    <w:rsid w:val="2B42499D"/>
    <w:rsid w:val="2B45623B"/>
    <w:rsid w:val="2B485D2C"/>
    <w:rsid w:val="2B4D3342"/>
    <w:rsid w:val="2B4F70BA"/>
    <w:rsid w:val="2B514BE0"/>
    <w:rsid w:val="2B5244B4"/>
    <w:rsid w:val="2B591CE7"/>
    <w:rsid w:val="2B595843"/>
    <w:rsid w:val="2B5C5333"/>
    <w:rsid w:val="2B5E540C"/>
    <w:rsid w:val="2B681F2A"/>
    <w:rsid w:val="2B6D7540"/>
    <w:rsid w:val="2B747632"/>
    <w:rsid w:val="2B786611"/>
    <w:rsid w:val="2B7B3A0B"/>
    <w:rsid w:val="2B7B7EAF"/>
    <w:rsid w:val="2B821C36"/>
    <w:rsid w:val="2B8E2DAA"/>
    <w:rsid w:val="2B8F5708"/>
    <w:rsid w:val="2B920D55"/>
    <w:rsid w:val="2B944ACD"/>
    <w:rsid w:val="2B990335"/>
    <w:rsid w:val="2BA03472"/>
    <w:rsid w:val="2BA411B4"/>
    <w:rsid w:val="2BA56CDA"/>
    <w:rsid w:val="2BA80578"/>
    <w:rsid w:val="2BA967CA"/>
    <w:rsid w:val="2BAC0068"/>
    <w:rsid w:val="2BAF1907"/>
    <w:rsid w:val="2BB46F1D"/>
    <w:rsid w:val="2BB60EE7"/>
    <w:rsid w:val="2BB92785"/>
    <w:rsid w:val="2BC43604"/>
    <w:rsid w:val="2BC52ED8"/>
    <w:rsid w:val="2BC82F3A"/>
    <w:rsid w:val="2BCC070B"/>
    <w:rsid w:val="2BCC24B9"/>
    <w:rsid w:val="2BD001FB"/>
    <w:rsid w:val="2BD355F5"/>
    <w:rsid w:val="2BD61589"/>
    <w:rsid w:val="2BD63337"/>
    <w:rsid w:val="2BDB26FC"/>
    <w:rsid w:val="2BDD46C6"/>
    <w:rsid w:val="2BDD6474"/>
    <w:rsid w:val="2BEC2B5B"/>
    <w:rsid w:val="2BEF61A7"/>
    <w:rsid w:val="2BF0264B"/>
    <w:rsid w:val="2BF33EE9"/>
    <w:rsid w:val="2BF35C97"/>
    <w:rsid w:val="2BF47386"/>
    <w:rsid w:val="2BFB4B4C"/>
    <w:rsid w:val="2BFD2672"/>
    <w:rsid w:val="2C002162"/>
    <w:rsid w:val="2C0026DB"/>
    <w:rsid w:val="2C0B1233"/>
    <w:rsid w:val="2C0B560D"/>
    <w:rsid w:val="2C0C0B07"/>
    <w:rsid w:val="2C0E487F"/>
    <w:rsid w:val="2C1752F1"/>
    <w:rsid w:val="2C194BB5"/>
    <w:rsid w:val="2C1A44DE"/>
    <w:rsid w:val="2C1B6F9C"/>
    <w:rsid w:val="2C1D2D14"/>
    <w:rsid w:val="2C1F083A"/>
    <w:rsid w:val="2C1F6A8C"/>
    <w:rsid w:val="2C2E20E8"/>
    <w:rsid w:val="2C324A12"/>
    <w:rsid w:val="2C3A38C6"/>
    <w:rsid w:val="2C3B13EC"/>
    <w:rsid w:val="2C3B319A"/>
    <w:rsid w:val="2C3C763E"/>
    <w:rsid w:val="2C3D33B6"/>
    <w:rsid w:val="2C3F712F"/>
    <w:rsid w:val="2C416A03"/>
    <w:rsid w:val="2C4202AD"/>
    <w:rsid w:val="2C424529"/>
    <w:rsid w:val="2C4604BD"/>
    <w:rsid w:val="2C4958B7"/>
    <w:rsid w:val="2C4C35F9"/>
    <w:rsid w:val="2C4E7372"/>
    <w:rsid w:val="2C526E62"/>
    <w:rsid w:val="2C5524AE"/>
    <w:rsid w:val="2C567FD4"/>
    <w:rsid w:val="2C5A5D16"/>
    <w:rsid w:val="2C5D5807"/>
    <w:rsid w:val="2C6108B0"/>
    <w:rsid w:val="2C6208C4"/>
    <w:rsid w:val="2C6721E1"/>
    <w:rsid w:val="2C673F8F"/>
    <w:rsid w:val="2C697D08"/>
    <w:rsid w:val="2C6B1CD2"/>
    <w:rsid w:val="2C6B3A80"/>
    <w:rsid w:val="2C704A6C"/>
    <w:rsid w:val="2C73502A"/>
    <w:rsid w:val="2C772424"/>
    <w:rsid w:val="2C78619D"/>
    <w:rsid w:val="2C7A06EF"/>
    <w:rsid w:val="2C815051"/>
    <w:rsid w:val="2C83526D"/>
    <w:rsid w:val="2C842D93"/>
    <w:rsid w:val="2C864D5D"/>
    <w:rsid w:val="2C866B0B"/>
    <w:rsid w:val="2C8815B2"/>
    <w:rsid w:val="2C923702"/>
    <w:rsid w:val="2C970D19"/>
    <w:rsid w:val="2C9805ED"/>
    <w:rsid w:val="2C9A25B7"/>
    <w:rsid w:val="2C9C00DD"/>
    <w:rsid w:val="2C9C632F"/>
    <w:rsid w:val="2C9E012D"/>
    <w:rsid w:val="2CA156F3"/>
    <w:rsid w:val="2CA86A82"/>
    <w:rsid w:val="2CAB47C4"/>
    <w:rsid w:val="2CAD22EA"/>
    <w:rsid w:val="2CAD5E46"/>
    <w:rsid w:val="2CB05500"/>
    <w:rsid w:val="2CB216AE"/>
    <w:rsid w:val="2CB27900"/>
    <w:rsid w:val="2CB4713F"/>
    <w:rsid w:val="2CBB4B82"/>
    <w:rsid w:val="2CBF3DCB"/>
    <w:rsid w:val="2CC338BC"/>
    <w:rsid w:val="2CC413E2"/>
    <w:rsid w:val="2CC47634"/>
    <w:rsid w:val="2CC9092A"/>
    <w:rsid w:val="2CCE400E"/>
    <w:rsid w:val="2CCF04B2"/>
    <w:rsid w:val="2CD0422B"/>
    <w:rsid w:val="2CD21D51"/>
    <w:rsid w:val="2CD23AFF"/>
    <w:rsid w:val="2CD979CA"/>
    <w:rsid w:val="2CDE24A4"/>
    <w:rsid w:val="2CE455E0"/>
    <w:rsid w:val="2CE61358"/>
    <w:rsid w:val="2CE675AA"/>
    <w:rsid w:val="2CED26E7"/>
    <w:rsid w:val="2CF241A1"/>
    <w:rsid w:val="2CF27CFD"/>
    <w:rsid w:val="2CF55A3F"/>
    <w:rsid w:val="2CF577ED"/>
    <w:rsid w:val="2CF73565"/>
    <w:rsid w:val="2CFF241A"/>
    <w:rsid w:val="2D0143E4"/>
    <w:rsid w:val="2D032CF2"/>
    <w:rsid w:val="2D11433C"/>
    <w:rsid w:val="2D151C3D"/>
    <w:rsid w:val="2D157E8F"/>
    <w:rsid w:val="2D1660E1"/>
    <w:rsid w:val="2D1C0C0C"/>
    <w:rsid w:val="2D2105E2"/>
    <w:rsid w:val="2D214A86"/>
    <w:rsid w:val="2D216834"/>
    <w:rsid w:val="2D236108"/>
    <w:rsid w:val="2D2500D2"/>
    <w:rsid w:val="2D287BC3"/>
    <w:rsid w:val="2D2A393B"/>
    <w:rsid w:val="2D2C21A8"/>
    <w:rsid w:val="2D2C76B3"/>
    <w:rsid w:val="2D2D51D9"/>
    <w:rsid w:val="2D326DAF"/>
    <w:rsid w:val="2D340315"/>
    <w:rsid w:val="2D3447B9"/>
    <w:rsid w:val="2D371BB4"/>
    <w:rsid w:val="2D3C541C"/>
    <w:rsid w:val="2D3E1194"/>
    <w:rsid w:val="2D4010AF"/>
    <w:rsid w:val="2D430559"/>
    <w:rsid w:val="2D4367AA"/>
    <w:rsid w:val="2D436988"/>
    <w:rsid w:val="2D482013"/>
    <w:rsid w:val="2D483DC1"/>
    <w:rsid w:val="2D485B6F"/>
    <w:rsid w:val="2D4D587B"/>
    <w:rsid w:val="2D4D7629"/>
    <w:rsid w:val="2D55028C"/>
    <w:rsid w:val="2D5704A8"/>
    <w:rsid w:val="2D574004"/>
    <w:rsid w:val="2D595FCE"/>
    <w:rsid w:val="2D5B1D46"/>
    <w:rsid w:val="2D5B6BC9"/>
    <w:rsid w:val="2D5E5392"/>
    <w:rsid w:val="2D6055AE"/>
    <w:rsid w:val="2D652BC5"/>
    <w:rsid w:val="2D687FBF"/>
    <w:rsid w:val="2D6B7AAF"/>
    <w:rsid w:val="2D6F134E"/>
    <w:rsid w:val="2D6F75A0"/>
    <w:rsid w:val="2D71156A"/>
    <w:rsid w:val="2D727090"/>
    <w:rsid w:val="2D744BB6"/>
    <w:rsid w:val="2D7626DC"/>
    <w:rsid w:val="2D7746A6"/>
    <w:rsid w:val="2D7B4196"/>
    <w:rsid w:val="2D8172D3"/>
    <w:rsid w:val="2D83304B"/>
    <w:rsid w:val="2D833E1B"/>
    <w:rsid w:val="2D8469EC"/>
    <w:rsid w:val="2D856DC3"/>
    <w:rsid w:val="2D86130C"/>
    <w:rsid w:val="2D872B3B"/>
    <w:rsid w:val="2D8A6187"/>
    <w:rsid w:val="2D8C0151"/>
    <w:rsid w:val="2D903C81"/>
    <w:rsid w:val="2D940467"/>
    <w:rsid w:val="2D960FD0"/>
    <w:rsid w:val="2D99461C"/>
    <w:rsid w:val="2D9B20A2"/>
    <w:rsid w:val="2D9B2143"/>
    <w:rsid w:val="2D9E7E85"/>
    <w:rsid w:val="2DAA4A7C"/>
    <w:rsid w:val="2DB41456"/>
    <w:rsid w:val="2DB87198"/>
    <w:rsid w:val="2DB96A6D"/>
    <w:rsid w:val="2DBB27E5"/>
    <w:rsid w:val="2DBD655D"/>
    <w:rsid w:val="2DBE68CC"/>
    <w:rsid w:val="2DBF0527"/>
    <w:rsid w:val="2DC6679F"/>
    <w:rsid w:val="2DC773DC"/>
    <w:rsid w:val="2DC83C90"/>
    <w:rsid w:val="2DDA60A5"/>
    <w:rsid w:val="2DDF7346"/>
    <w:rsid w:val="2DE03FF9"/>
    <w:rsid w:val="2DE05DD0"/>
    <w:rsid w:val="2DEA30CA"/>
    <w:rsid w:val="2DEE4968"/>
    <w:rsid w:val="2DEF06E0"/>
    <w:rsid w:val="2DF16206"/>
    <w:rsid w:val="2DF950BB"/>
    <w:rsid w:val="2DFB0E33"/>
    <w:rsid w:val="2DFD4BAB"/>
    <w:rsid w:val="2DFF3D5F"/>
    <w:rsid w:val="2DFF6B75"/>
    <w:rsid w:val="2E0E500A"/>
    <w:rsid w:val="2E132621"/>
    <w:rsid w:val="2E163EBF"/>
    <w:rsid w:val="2E1843DC"/>
    <w:rsid w:val="2E187C37"/>
    <w:rsid w:val="2E24482E"/>
    <w:rsid w:val="2E2B44BD"/>
    <w:rsid w:val="2E312AA7"/>
    <w:rsid w:val="2E3217BF"/>
    <w:rsid w:val="2E3569FF"/>
    <w:rsid w:val="2E3C1B78"/>
    <w:rsid w:val="2E4E18AB"/>
    <w:rsid w:val="2E4E5407"/>
    <w:rsid w:val="2E514EF7"/>
    <w:rsid w:val="2E5642BC"/>
    <w:rsid w:val="2E586286"/>
    <w:rsid w:val="2E5B7B24"/>
    <w:rsid w:val="2E5C5D76"/>
    <w:rsid w:val="2E620EB2"/>
    <w:rsid w:val="2E690493"/>
    <w:rsid w:val="2E6D7F83"/>
    <w:rsid w:val="2E7110F5"/>
    <w:rsid w:val="2E734E6D"/>
    <w:rsid w:val="2E756E38"/>
    <w:rsid w:val="2E7B1F74"/>
    <w:rsid w:val="2E7D7A9A"/>
    <w:rsid w:val="2E7F7CB6"/>
    <w:rsid w:val="2E807B15"/>
    <w:rsid w:val="2E823302"/>
    <w:rsid w:val="2E8452CD"/>
    <w:rsid w:val="2E89643F"/>
    <w:rsid w:val="2E8C5F2F"/>
    <w:rsid w:val="2E9077CD"/>
    <w:rsid w:val="2E9279E9"/>
    <w:rsid w:val="2E933762"/>
    <w:rsid w:val="2E9372BE"/>
    <w:rsid w:val="2E953036"/>
    <w:rsid w:val="2E9574DA"/>
    <w:rsid w:val="2E9C2616"/>
    <w:rsid w:val="2E9E309D"/>
    <w:rsid w:val="2E9F2106"/>
    <w:rsid w:val="2E9F3EB4"/>
    <w:rsid w:val="2EA119DB"/>
    <w:rsid w:val="2EA414CB"/>
    <w:rsid w:val="2EA74B17"/>
    <w:rsid w:val="2EA918F1"/>
    <w:rsid w:val="2EAB4607"/>
    <w:rsid w:val="2EB01C1E"/>
    <w:rsid w:val="2EB15996"/>
    <w:rsid w:val="2EB260DA"/>
    <w:rsid w:val="2EB57234"/>
    <w:rsid w:val="2EB72FAC"/>
    <w:rsid w:val="2EB73972"/>
    <w:rsid w:val="2EB931C8"/>
    <w:rsid w:val="2EB97CA5"/>
    <w:rsid w:val="2EC35DF5"/>
    <w:rsid w:val="2EC456C9"/>
    <w:rsid w:val="2ECE479A"/>
    <w:rsid w:val="2ED00512"/>
    <w:rsid w:val="2ED31DB0"/>
    <w:rsid w:val="2EDA32F0"/>
    <w:rsid w:val="2EDA6C9B"/>
    <w:rsid w:val="2EDC6EB7"/>
    <w:rsid w:val="2EDE49DD"/>
    <w:rsid w:val="2EDF69A7"/>
    <w:rsid w:val="2EE43FBD"/>
    <w:rsid w:val="2EE61AE3"/>
    <w:rsid w:val="2EEB0EA8"/>
    <w:rsid w:val="2EEB70FA"/>
    <w:rsid w:val="2EEE2746"/>
    <w:rsid w:val="2EEF6BEA"/>
    <w:rsid w:val="2EF22236"/>
    <w:rsid w:val="2EF709DE"/>
    <w:rsid w:val="2EF75A9F"/>
    <w:rsid w:val="2EF7784D"/>
    <w:rsid w:val="2F013C21"/>
    <w:rsid w:val="2F063F34"/>
    <w:rsid w:val="2F087CAC"/>
    <w:rsid w:val="2F097580"/>
    <w:rsid w:val="2F0B32F8"/>
    <w:rsid w:val="2F104DB2"/>
    <w:rsid w:val="2F183292"/>
    <w:rsid w:val="2F1C30A3"/>
    <w:rsid w:val="2F1D1B61"/>
    <w:rsid w:val="2F1E74CF"/>
    <w:rsid w:val="2F25260C"/>
    <w:rsid w:val="2F2C7CAE"/>
    <w:rsid w:val="2F2D14C0"/>
    <w:rsid w:val="2F2D7712"/>
    <w:rsid w:val="2F350375"/>
    <w:rsid w:val="2F3A10F9"/>
    <w:rsid w:val="2F3F11F4"/>
    <w:rsid w:val="2F3F2FA2"/>
    <w:rsid w:val="2F414F6C"/>
    <w:rsid w:val="2F4C0A41"/>
    <w:rsid w:val="2F566C69"/>
    <w:rsid w:val="2F57478F"/>
    <w:rsid w:val="2F5B427F"/>
    <w:rsid w:val="2F5B44D5"/>
    <w:rsid w:val="2F5B602D"/>
    <w:rsid w:val="2F601896"/>
    <w:rsid w:val="2F6649D2"/>
    <w:rsid w:val="2F6A2714"/>
    <w:rsid w:val="2F6B1FE9"/>
    <w:rsid w:val="2F7215C9"/>
    <w:rsid w:val="2F732410"/>
    <w:rsid w:val="2F792A4E"/>
    <w:rsid w:val="2F7B4DDE"/>
    <w:rsid w:val="2F8135BA"/>
    <w:rsid w:val="2F8310E0"/>
    <w:rsid w:val="2F837332"/>
    <w:rsid w:val="2F860BD0"/>
    <w:rsid w:val="2F89256B"/>
    <w:rsid w:val="2F8A246F"/>
    <w:rsid w:val="2F8B61E7"/>
    <w:rsid w:val="2F8D01B1"/>
    <w:rsid w:val="2F8F3F29"/>
    <w:rsid w:val="2F947791"/>
    <w:rsid w:val="2F9D4288"/>
    <w:rsid w:val="2F9E23BE"/>
    <w:rsid w:val="2FA01C92"/>
    <w:rsid w:val="2FA379D4"/>
    <w:rsid w:val="2FAD0853"/>
    <w:rsid w:val="2FAD43AF"/>
    <w:rsid w:val="2FAF1ED5"/>
    <w:rsid w:val="2FB35E69"/>
    <w:rsid w:val="2FB4573E"/>
    <w:rsid w:val="2FB77A00"/>
    <w:rsid w:val="2FB90FA6"/>
    <w:rsid w:val="2FBB4D1E"/>
    <w:rsid w:val="2FC11C09"/>
    <w:rsid w:val="2FC242FE"/>
    <w:rsid w:val="2FCF4325"/>
    <w:rsid w:val="2FD1009E"/>
    <w:rsid w:val="2FD162F0"/>
    <w:rsid w:val="2FD91648"/>
    <w:rsid w:val="2FE36023"/>
    <w:rsid w:val="2FE84D7B"/>
    <w:rsid w:val="2FE853E7"/>
    <w:rsid w:val="2FEE50F3"/>
    <w:rsid w:val="2FF26266"/>
    <w:rsid w:val="2FF71DDB"/>
    <w:rsid w:val="2FF975F4"/>
    <w:rsid w:val="30000983"/>
    <w:rsid w:val="300541EB"/>
    <w:rsid w:val="30055F99"/>
    <w:rsid w:val="30085A89"/>
    <w:rsid w:val="300D096E"/>
    <w:rsid w:val="301461DC"/>
    <w:rsid w:val="30161F54"/>
    <w:rsid w:val="30201025"/>
    <w:rsid w:val="302428C3"/>
    <w:rsid w:val="302A1EA4"/>
    <w:rsid w:val="302A5A00"/>
    <w:rsid w:val="302E3742"/>
    <w:rsid w:val="30314FE0"/>
    <w:rsid w:val="30336FAA"/>
    <w:rsid w:val="30360848"/>
    <w:rsid w:val="303845C1"/>
    <w:rsid w:val="303B5E5F"/>
    <w:rsid w:val="303D3985"/>
    <w:rsid w:val="303D5733"/>
    <w:rsid w:val="30426E88"/>
    <w:rsid w:val="30466CDD"/>
    <w:rsid w:val="304738A2"/>
    <w:rsid w:val="304E16EE"/>
    <w:rsid w:val="30534F57"/>
    <w:rsid w:val="30562C99"/>
    <w:rsid w:val="30586A11"/>
    <w:rsid w:val="305A4537"/>
    <w:rsid w:val="30612242"/>
    <w:rsid w:val="306233EC"/>
    <w:rsid w:val="30640F12"/>
    <w:rsid w:val="306453B6"/>
    <w:rsid w:val="30656A38"/>
    <w:rsid w:val="306B04F2"/>
    <w:rsid w:val="306E7B96"/>
    <w:rsid w:val="30717AD3"/>
    <w:rsid w:val="307A6987"/>
    <w:rsid w:val="307B625B"/>
    <w:rsid w:val="307D1FD3"/>
    <w:rsid w:val="307D6477"/>
    <w:rsid w:val="307F3F9D"/>
    <w:rsid w:val="30843362"/>
    <w:rsid w:val="308819B0"/>
    <w:rsid w:val="30896BCA"/>
    <w:rsid w:val="308C66BA"/>
    <w:rsid w:val="308F6ECF"/>
    <w:rsid w:val="30901D07"/>
    <w:rsid w:val="3095556F"/>
    <w:rsid w:val="30A12166"/>
    <w:rsid w:val="30A25EDE"/>
    <w:rsid w:val="30A9101A"/>
    <w:rsid w:val="30B654E5"/>
    <w:rsid w:val="30B8125D"/>
    <w:rsid w:val="30BA3228"/>
    <w:rsid w:val="30BC0D4E"/>
    <w:rsid w:val="30BD0622"/>
    <w:rsid w:val="30C0743E"/>
    <w:rsid w:val="30C220DC"/>
    <w:rsid w:val="30C916BD"/>
    <w:rsid w:val="30C9346B"/>
    <w:rsid w:val="30CB2D3F"/>
    <w:rsid w:val="30D36097"/>
    <w:rsid w:val="30DD02DC"/>
    <w:rsid w:val="30E3452C"/>
    <w:rsid w:val="30E365D5"/>
    <w:rsid w:val="30E402A4"/>
    <w:rsid w:val="30EA0F6A"/>
    <w:rsid w:val="30ED645B"/>
    <w:rsid w:val="30F1651D"/>
    <w:rsid w:val="30F304E8"/>
    <w:rsid w:val="30F93D50"/>
    <w:rsid w:val="31010E56"/>
    <w:rsid w:val="31093867"/>
    <w:rsid w:val="310D15A9"/>
    <w:rsid w:val="31124E12"/>
    <w:rsid w:val="31182B58"/>
    <w:rsid w:val="311F752F"/>
    <w:rsid w:val="312406A1"/>
    <w:rsid w:val="31304D80"/>
    <w:rsid w:val="31336B36"/>
    <w:rsid w:val="313B7382"/>
    <w:rsid w:val="313E79B5"/>
    <w:rsid w:val="31441B75"/>
    <w:rsid w:val="31462D0D"/>
    <w:rsid w:val="31466869"/>
    <w:rsid w:val="314B20D2"/>
    <w:rsid w:val="314F1BC2"/>
    <w:rsid w:val="314F3970"/>
    <w:rsid w:val="31521EF1"/>
    <w:rsid w:val="3159290B"/>
    <w:rsid w:val="315A40C3"/>
    <w:rsid w:val="31603DCF"/>
    <w:rsid w:val="31660CB9"/>
    <w:rsid w:val="316A07AA"/>
    <w:rsid w:val="316D029A"/>
    <w:rsid w:val="31717D8A"/>
    <w:rsid w:val="31736083"/>
    <w:rsid w:val="31772EC7"/>
    <w:rsid w:val="3179279B"/>
    <w:rsid w:val="317E4255"/>
    <w:rsid w:val="318178A1"/>
    <w:rsid w:val="31885988"/>
    <w:rsid w:val="318A0E4C"/>
    <w:rsid w:val="318D4498"/>
    <w:rsid w:val="318F0210"/>
    <w:rsid w:val="31943A79"/>
    <w:rsid w:val="319E0453"/>
    <w:rsid w:val="31A57A34"/>
    <w:rsid w:val="31A6555A"/>
    <w:rsid w:val="31AA329C"/>
    <w:rsid w:val="31B47C77"/>
    <w:rsid w:val="31B55E35"/>
    <w:rsid w:val="31BB2DB3"/>
    <w:rsid w:val="31C04EAC"/>
    <w:rsid w:val="31C0661C"/>
    <w:rsid w:val="31C12394"/>
    <w:rsid w:val="31C15DF3"/>
    <w:rsid w:val="31C61758"/>
    <w:rsid w:val="31C75BFC"/>
    <w:rsid w:val="31C97385"/>
    <w:rsid w:val="31CC3212"/>
    <w:rsid w:val="31CF4AB1"/>
    <w:rsid w:val="31D420C7"/>
    <w:rsid w:val="31DE4CF4"/>
    <w:rsid w:val="31E24E52"/>
    <w:rsid w:val="31E3230A"/>
    <w:rsid w:val="31EF5153"/>
    <w:rsid w:val="31FC33CC"/>
    <w:rsid w:val="31FE7144"/>
    <w:rsid w:val="32002EBC"/>
    <w:rsid w:val="32036508"/>
    <w:rsid w:val="32052280"/>
    <w:rsid w:val="32072EC9"/>
    <w:rsid w:val="3207424B"/>
    <w:rsid w:val="32081D71"/>
    <w:rsid w:val="32087FC3"/>
    <w:rsid w:val="320B1968"/>
    <w:rsid w:val="320F1351"/>
    <w:rsid w:val="320F30FF"/>
    <w:rsid w:val="321921D0"/>
    <w:rsid w:val="32193F7E"/>
    <w:rsid w:val="32195D2C"/>
    <w:rsid w:val="321B7CF6"/>
    <w:rsid w:val="3220355E"/>
    <w:rsid w:val="32222E32"/>
    <w:rsid w:val="3227669B"/>
    <w:rsid w:val="322C3397"/>
    <w:rsid w:val="322C3CB1"/>
    <w:rsid w:val="322F37A1"/>
    <w:rsid w:val="322F554F"/>
    <w:rsid w:val="32313075"/>
    <w:rsid w:val="3234700A"/>
    <w:rsid w:val="323D431C"/>
    <w:rsid w:val="323D5EBE"/>
    <w:rsid w:val="3240775C"/>
    <w:rsid w:val="32495490"/>
    <w:rsid w:val="324C4353"/>
    <w:rsid w:val="32537490"/>
    <w:rsid w:val="32566F80"/>
    <w:rsid w:val="32584AA6"/>
    <w:rsid w:val="32607DFF"/>
    <w:rsid w:val="32624BA7"/>
    <w:rsid w:val="32650F71"/>
    <w:rsid w:val="326A1AC9"/>
    <w:rsid w:val="326E42CA"/>
    <w:rsid w:val="326E7E26"/>
    <w:rsid w:val="327F2033"/>
    <w:rsid w:val="328238D1"/>
    <w:rsid w:val="32824681"/>
    <w:rsid w:val="32851613"/>
    <w:rsid w:val="3286126A"/>
    <w:rsid w:val="3287538B"/>
    <w:rsid w:val="328D12A4"/>
    <w:rsid w:val="328E671A"/>
    <w:rsid w:val="32990C1B"/>
    <w:rsid w:val="329A50BF"/>
    <w:rsid w:val="329A6E6D"/>
    <w:rsid w:val="329B0E37"/>
    <w:rsid w:val="32A41A99"/>
    <w:rsid w:val="32A7158A"/>
    <w:rsid w:val="32A970B0"/>
    <w:rsid w:val="32AC5CBD"/>
    <w:rsid w:val="32AE46C6"/>
    <w:rsid w:val="32B37F2E"/>
    <w:rsid w:val="32B51EF8"/>
    <w:rsid w:val="32B67A1F"/>
    <w:rsid w:val="32BA306B"/>
    <w:rsid w:val="32C22AB4"/>
    <w:rsid w:val="32C24615"/>
    <w:rsid w:val="32C43EEA"/>
    <w:rsid w:val="32C959A4"/>
    <w:rsid w:val="32D06D32"/>
    <w:rsid w:val="32D16607"/>
    <w:rsid w:val="32D54349"/>
    <w:rsid w:val="32D61E6F"/>
    <w:rsid w:val="32D700C1"/>
    <w:rsid w:val="32D81743"/>
    <w:rsid w:val="32DD31FD"/>
    <w:rsid w:val="32DF0D23"/>
    <w:rsid w:val="32DF6F75"/>
    <w:rsid w:val="32E427DE"/>
    <w:rsid w:val="32E7407C"/>
    <w:rsid w:val="32EB3B6C"/>
    <w:rsid w:val="32ED1692"/>
    <w:rsid w:val="32F11E1C"/>
    <w:rsid w:val="32F52933"/>
    <w:rsid w:val="32F72511"/>
    <w:rsid w:val="32F80037"/>
    <w:rsid w:val="32FD564D"/>
    <w:rsid w:val="32FF4F22"/>
    <w:rsid w:val="33010C9A"/>
    <w:rsid w:val="33062754"/>
    <w:rsid w:val="33064502"/>
    <w:rsid w:val="3316226B"/>
    <w:rsid w:val="331704BD"/>
    <w:rsid w:val="331C1F78"/>
    <w:rsid w:val="332130EA"/>
    <w:rsid w:val="33296443"/>
    <w:rsid w:val="332C1AEA"/>
    <w:rsid w:val="332D5F33"/>
    <w:rsid w:val="3330332D"/>
    <w:rsid w:val="333A23FE"/>
    <w:rsid w:val="333C7F24"/>
    <w:rsid w:val="334D2131"/>
    <w:rsid w:val="335132BB"/>
    <w:rsid w:val="33525999"/>
    <w:rsid w:val="33541711"/>
    <w:rsid w:val="33576B0C"/>
    <w:rsid w:val="33582884"/>
    <w:rsid w:val="335D7E9A"/>
    <w:rsid w:val="336D4581"/>
    <w:rsid w:val="336F02F9"/>
    <w:rsid w:val="33704071"/>
    <w:rsid w:val="33705E1F"/>
    <w:rsid w:val="33721B98"/>
    <w:rsid w:val="33743B62"/>
    <w:rsid w:val="337771AE"/>
    <w:rsid w:val="33784CD4"/>
    <w:rsid w:val="337A0A4C"/>
    <w:rsid w:val="337B4EF0"/>
    <w:rsid w:val="33811DDB"/>
    <w:rsid w:val="33813B89"/>
    <w:rsid w:val="33833DA5"/>
    <w:rsid w:val="33857B1D"/>
    <w:rsid w:val="33865643"/>
    <w:rsid w:val="33910F94"/>
    <w:rsid w:val="339A2E9C"/>
    <w:rsid w:val="339C6C14"/>
    <w:rsid w:val="339E298D"/>
    <w:rsid w:val="33A146B4"/>
    <w:rsid w:val="33A31D51"/>
    <w:rsid w:val="33A45AC9"/>
    <w:rsid w:val="33A53D1B"/>
    <w:rsid w:val="33AD0E22"/>
    <w:rsid w:val="33AF4B9A"/>
    <w:rsid w:val="33AF6948"/>
    <w:rsid w:val="33B026C0"/>
    <w:rsid w:val="33B26D7A"/>
    <w:rsid w:val="33BA52ED"/>
    <w:rsid w:val="33BA709B"/>
    <w:rsid w:val="33BE302F"/>
    <w:rsid w:val="33BF2903"/>
    <w:rsid w:val="33C06DA7"/>
    <w:rsid w:val="33CA19D4"/>
    <w:rsid w:val="33CD3272"/>
    <w:rsid w:val="33CF2B46"/>
    <w:rsid w:val="33CF6FEA"/>
    <w:rsid w:val="33D068BE"/>
    <w:rsid w:val="33D44600"/>
    <w:rsid w:val="33D740F0"/>
    <w:rsid w:val="33DB773D"/>
    <w:rsid w:val="33DE547F"/>
    <w:rsid w:val="33E04D53"/>
    <w:rsid w:val="33E41473"/>
    <w:rsid w:val="33EC194A"/>
    <w:rsid w:val="33EF31E8"/>
    <w:rsid w:val="33F16F60"/>
    <w:rsid w:val="33F26834"/>
    <w:rsid w:val="33F627C9"/>
    <w:rsid w:val="33F64577"/>
    <w:rsid w:val="33FF18B6"/>
    <w:rsid w:val="3402116D"/>
    <w:rsid w:val="34056568"/>
    <w:rsid w:val="340A0022"/>
    <w:rsid w:val="340B4DB4"/>
    <w:rsid w:val="340D366E"/>
    <w:rsid w:val="340F5638"/>
    <w:rsid w:val="34104FB2"/>
    <w:rsid w:val="34117602"/>
    <w:rsid w:val="341744ED"/>
    <w:rsid w:val="341E1D1F"/>
    <w:rsid w:val="341E587B"/>
    <w:rsid w:val="3421711A"/>
    <w:rsid w:val="3422536C"/>
    <w:rsid w:val="342F5CDB"/>
    <w:rsid w:val="343230D5"/>
    <w:rsid w:val="343432F1"/>
    <w:rsid w:val="34360E17"/>
    <w:rsid w:val="34362BC5"/>
    <w:rsid w:val="34433534"/>
    <w:rsid w:val="34473024"/>
    <w:rsid w:val="344828F8"/>
    <w:rsid w:val="344A041F"/>
    <w:rsid w:val="344C4197"/>
    <w:rsid w:val="344C604E"/>
    <w:rsid w:val="34502058"/>
    <w:rsid w:val="345117AD"/>
    <w:rsid w:val="34586FDF"/>
    <w:rsid w:val="34594B05"/>
    <w:rsid w:val="345D2848"/>
    <w:rsid w:val="345E211C"/>
    <w:rsid w:val="345E3ECA"/>
    <w:rsid w:val="345E6049"/>
    <w:rsid w:val="346040E6"/>
    <w:rsid w:val="34655258"/>
    <w:rsid w:val="346706AC"/>
    <w:rsid w:val="346829C0"/>
    <w:rsid w:val="34692F9B"/>
    <w:rsid w:val="346A286F"/>
    <w:rsid w:val="346E6803"/>
    <w:rsid w:val="346F4329"/>
    <w:rsid w:val="346F60D7"/>
    <w:rsid w:val="347A3B83"/>
    <w:rsid w:val="347D07F4"/>
    <w:rsid w:val="348002E4"/>
    <w:rsid w:val="3482441C"/>
    <w:rsid w:val="34825DD1"/>
    <w:rsid w:val="348E47AF"/>
    <w:rsid w:val="348F22D5"/>
    <w:rsid w:val="348F6779"/>
    <w:rsid w:val="349124F1"/>
    <w:rsid w:val="34931DC5"/>
    <w:rsid w:val="349A75F8"/>
    <w:rsid w:val="349B3370"/>
    <w:rsid w:val="349D49F2"/>
    <w:rsid w:val="34A044E2"/>
    <w:rsid w:val="34A254C1"/>
    <w:rsid w:val="34A55F9D"/>
    <w:rsid w:val="34AF4725"/>
    <w:rsid w:val="34B34216"/>
    <w:rsid w:val="34B61F58"/>
    <w:rsid w:val="34BF2BBB"/>
    <w:rsid w:val="34C208FD"/>
    <w:rsid w:val="34C5219B"/>
    <w:rsid w:val="34C77CC1"/>
    <w:rsid w:val="34CA155F"/>
    <w:rsid w:val="34CA77B1"/>
    <w:rsid w:val="34CE72A2"/>
    <w:rsid w:val="34CF6B76"/>
    <w:rsid w:val="34D50630"/>
    <w:rsid w:val="34D67F04"/>
    <w:rsid w:val="34D81ECE"/>
    <w:rsid w:val="34D8459F"/>
    <w:rsid w:val="34DA5C46"/>
    <w:rsid w:val="34DB551B"/>
    <w:rsid w:val="34E1639F"/>
    <w:rsid w:val="34E22D4D"/>
    <w:rsid w:val="34E24AFB"/>
    <w:rsid w:val="34E268A9"/>
    <w:rsid w:val="34E46AC5"/>
    <w:rsid w:val="34E95E89"/>
    <w:rsid w:val="34EA39B0"/>
    <w:rsid w:val="34EB0CD0"/>
    <w:rsid w:val="34F27D17"/>
    <w:rsid w:val="34F66698"/>
    <w:rsid w:val="34F8431E"/>
    <w:rsid w:val="34F860CC"/>
    <w:rsid w:val="34FB5BBD"/>
    <w:rsid w:val="35020CF9"/>
    <w:rsid w:val="350727B3"/>
    <w:rsid w:val="35076310"/>
    <w:rsid w:val="350C1B78"/>
    <w:rsid w:val="35101668"/>
    <w:rsid w:val="351153E0"/>
    <w:rsid w:val="35134CB4"/>
    <w:rsid w:val="351849C1"/>
    <w:rsid w:val="3522139B"/>
    <w:rsid w:val="352275ED"/>
    <w:rsid w:val="352313AB"/>
    <w:rsid w:val="35235501"/>
    <w:rsid w:val="35270097"/>
    <w:rsid w:val="352769B2"/>
    <w:rsid w:val="3529272A"/>
    <w:rsid w:val="352944D8"/>
    <w:rsid w:val="352A3E47"/>
    <w:rsid w:val="352C5D76"/>
    <w:rsid w:val="352E1AEE"/>
    <w:rsid w:val="353115DE"/>
    <w:rsid w:val="353251AA"/>
    <w:rsid w:val="35335357"/>
    <w:rsid w:val="35337105"/>
    <w:rsid w:val="353D7F83"/>
    <w:rsid w:val="353F29DC"/>
    <w:rsid w:val="354237EC"/>
    <w:rsid w:val="3542559A"/>
    <w:rsid w:val="35470E02"/>
    <w:rsid w:val="35496928"/>
    <w:rsid w:val="354B26A0"/>
    <w:rsid w:val="354C01C6"/>
    <w:rsid w:val="354D466A"/>
    <w:rsid w:val="355C2AFF"/>
    <w:rsid w:val="355F439E"/>
    <w:rsid w:val="356071AB"/>
    <w:rsid w:val="356279EA"/>
    <w:rsid w:val="35690D78"/>
    <w:rsid w:val="356A24DE"/>
    <w:rsid w:val="356D6ABA"/>
    <w:rsid w:val="35700359"/>
    <w:rsid w:val="357C4F4F"/>
    <w:rsid w:val="35814314"/>
    <w:rsid w:val="358401F5"/>
    <w:rsid w:val="358833D3"/>
    <w:rsid w:val="358D4A67"/>
    <w:rsid w:val="35906305"/>
    <w:rsid w:val="3599165E"/>
    <w:rsid w:val="359A3628"/>
    <w:rsid w:val="359E4EC6"/>
    <w:rsid w:val="35A16764"/>
    <w:rsid w:val="35A85D44"/>
    <w:rsid w:val="35AB1391"/>
    <w:rsid w:val="35AC27CE"/>
    <w:rsid w:val="35B5220F"/>
    <w:rsid w:val="35BB6AA8"/>
    <w:rsid w:val="35BC534C"/>
    <w:rsid w:val="35C30488"/>
    <w:rsid w:val="35C54DAD"/>
    <w:rsid w:val="35C66F06"/>
    <w:rsid w:val="35D07049"/>
    <w:rsid w:val="35D22DC1"/>
    <w:rsid w:val="35D95EFE"/>
    <w:rsid w:val="35DA1C76"/>
    <w:rsid w:val="35DE3514"/>
    <w:rsid w:val="35E0307F"/>
    <w:rsid w:val="35E328D9"/>
    <w:rsid w:val="35E86141"/>
    <w:rsid w:val="35EB5C31"/>
    <w:rsid w:val="35EF5721"/>
    <w:rsid w:val="35F23AD2"/>
    <w:rsid w:val="35FC1BEC"/>
    <w:rsid w:val="35FE2075"/>
    <w:rsid w:val="35FF4995"/>
    <w:rsid w:val="360016DD"/>
    <w:rsid w:val="36017203"/>
    <w:rsid w:val="36034D29"/>
    <w:rsid w:val="36062A6B"/>
    <w:rsid w:val="36097188"/>
    <w:rsid w:val="360B0081"/>
    <w:rsid w:val="360D204B"/>
    <w:rsid w:val="36154A5C"/>
    <w:rsid w:val="361707D4"/>
    <w:rsid w:val="361A2073"/>
    <w:rsid w:val="361B02C4"/>
    <w:rsid w:val="361B6516"/>
    <w:rsid w:val="361C403D"/>
    <w:rsid w:val="361E7DB5"/>
    <w:rsid w:val="361F3F7F"/>
    <w:rsid w:val="36252EF1"/>
    <w:rsid w:val="362A1092"/>
    <w:rsid w:val="363037C3"/>
    <w:rsid w:val="36315173"/>
    <w:rsid w:val="36341386"/>
    <w:rsid w:val="36356EAC"/>
    <w:rsid w:val="36370E76"/>
    <w:rsid w:val="36372C24"/>
    <w:rsid w:val="36394BEF"/>
    <w:rsid w:val="364041CF"/>
    <w:rsid w:val="36405F7D"/>
    <w:rsid w:val="364517E5"/>
    <w:rsid w:val="36525CB0"/>
    <w:rsid w:val="36545584"/>
    <w:rsid w:val="365E6403"/>
    <w:rsid w:val="366003CD"/>
    <w:rsid w:val="36653C36"/>
    <w:rsid w:val="36657792"/>
    <w:rsid w:val="3667350A"/>
    <w:rsid w:val="366854D4"/>
    <w:rsid w:val="36687282"/>
    <w:rsid w:val="36691271"/>
    <w:rsid w:val="366C4FC4"/>
    <w:rsid w:val="367125DA"/>
    <w:rsid w:val="36730100"/>
    <w:rsid w:val="367479D5"/>
    <w:rsid w:val="367774C5"/>
    <w:rsid w:val="367D2D2D"/>
    <w:rsid w:val="368F2A60"/>
    <w:rsid w:val="369156C4"/>
    <w:rsid w:val="369462C9"/>
    <w:rsid w:val="36946BC1"/>
    <w:rsid w:val="3699568D"/>
    <w:rsid w:val="369B1405"/>
    <w:rsid w:val="369D33CF"/>
    <w:rsid w:val="36A22794"/>
    <w:rsid w:val="36A302BA"/>
    <w:rsid w:val="36A52284"/>
    <w:rsid w:val="36A77DAA"/>
    <w:rsid w:val="36A91D74"/>
    <w:rsid w:val="36A93B22"/>
    <w:rsid w:val="36AA1648"/>
    <w:rsid w:val="36AA560A"/>
    <w:rsid w:val="36AA789A"/>
    <w:rsid w:val="36AF3103"/>
    <w:rsid w:val="36AF6C5F"/>
    <w:rsid w:val="36B349A1"/>
    <w:rsid w:val="36B424C7"/>
    <w:rsid w:val="36BB3856"/>
    <w:rsid w:val="36BD137C"/>
    <w:rsid w:val="36BD75CE"/>
    <w:rsid w:val="36C3270A"/>
    <w:rsid w:val="36CF724F"/>
    <w:rsid w:val="36D14E27"/>
    <w:rsid w:val="36D30B9F"/>
    <w:rsid w:val="36D3294D"/>
    <w:rsid w:val="36D466C5"/>
    <w:rsid w:val="36D52B69"/>
    <w:rsid w:val="36D87F64"/>
    <w:rsid w:val="36D93CDC"/>
    <w:rsid w:val="36DF7544"/>
    <w:rsid w:val="36E032BC"/>
    <w:rsid w:val="36E2640E"/>
    <w:rsid w:val="36E56B24"/>
    <w:rsid w:val="36E7289C"/>
    <w:rsid w:val="36E763F9"/>
    <w:rsid w:val="36E85F1D"/>
    <w:rsid w:val="36E87FE2"/>
    <w:rsid w:val="36E92171"/>
    <w:rsid w:val="36EC1C61"/>
    <w:rsid w:val="36F17277"/>
    <w:rsid w:val="36F56D67"/>
    <w:rsid w:val="36F62AE0"/>
    <w:rsid w:val="36F6663C"/>
    <w:rsid w:val="36F759BD"/>
    <w:rsid w:val="36FA25D0"/>
    <w:rsid w:val="36FF1994"/>
    <w:rsid w:val="3700570C"/>
    <w:rsid w:val="370074BA"/>
    <w:rsid w:val="3701395E"/>
    <w:rsid w:val="370945C1"/>
    <w:rsid w:val="370E1BD7"/>
    <w:rsid w:val="37117919"/>
    <w:rsid w:val="37136916"/>
    <w:rsid w:val="37184804"/>
    <w:rsid w:val="372238D5"/>
    <w:rsid w:val="3724764D"/>
    <w:rsid w:val="3727713D"/>
    <w:rsid w:val="372C02AF"/>
    <w:rsid w:val="373158C6"/>
    <w:rsid w:val="37343B7A"/>
    <w:rsid w:val="3736112E"/>
    <w:rsid w:val="37377380"/>
    <w:rsid w:val="373830F8"/>
    <w:rsid w:val="373D426B"/>
    <w:rsid w:val="373F7FE3"/>
    <w:rsid w:val="37405B09"/>
    <w:rsid w:val="37421881"/>
    <w:rsid w:val="37461371"/>
    <w:rsid w:val="374D6BA3"/>
    <w:rsid w:val="374E6478"/>
    <w:rsid w:val="37517D16"/>
    <w:rsid w:val="375241BA"/>
    <w:rsid w:val="37557806"/>
    <w:rsid w:val="376637C1"/>
    <w:rsid w:val="376822D6"/>
    <w:rsid w:val="376C68FE"/>
    <w:rsid w:val="376D0FF4"/>
    <w:rsid w:val="376D2DA2"/>
    <w:rsid w:val="376E2676"/>
    <w:rsid w:val="377203B8"/>
    <w:rsid w:val="3772660A"/>
    <w:rsid w:val="37751C56"/>
    <w:rsid w:val="37757EA8"/>
    <w:rsid w:val="37773C20"/>
    <w:rsid w:val="377759CE"/>
    <w:rsid w:val="37797999"/>
    <w:rsid w:val="377C4D93"/>
    <w:rsid w:val="377D0B0B"/>
    <w:rsid w:val="37824373"/>
    <w:rsid w:val="37865C12"/>
    <w:rsid w:val="37885702"/>
    <w:rsid w:val="378D51F2"/>
    <w:rsid w:val="37906A90"/>
    <w:rsid w:val="379245B6"/>
    <w:rsid w:val="37955E55"/>
    <w:rsid w:val="37971BCD"/>
    <w:rsid w:val="37977E1F"/>
    <w:rsid w:val="379A445E"/>
    <w:rsid w:val="379D2F5B"/>
    <w:rsid w:val="379F4F25"/>
    <w:rsid w:val="37A12A4B"/>
    <w:rsid w:val="37A60062"/>
    <w:rsid w:val="37A95DA4"/>
    <w:rsid w:val="37B00EE0"/>
    <w:rsid w:val="37B01EA4"/>
    <w:rsid w:val="37B522DC"/>
    <w:rsid w:val="37B87D95"/>
    <w:rsid w:val="37BA1D5F"/>
    <w:rsid w:val="37C130EE"/>
    <w:rsid w:val="37C4673A"/>
    <w:rsid w:val="37C64260"/>
    <w:rsid w:val="37C8447C"/>
    <w:rsid w:val="37C8622A"/>
    <w:rsid w:val="37CA7786"/>
    <w:rsid w:val="37CD3840"/>
    <w:rsid w:val="37CE2B85"/>
    <w:rsid w:val="37D526F5"/>
    <w:rsid w:val="37D72911"/>
    <w:rsid w:val="37D746BF"/>
    <w:rsid w:val="37D7646D"/>
    <w:rsid w:val="37D90437"/>
    <w:rsid w:val="37DC1CD5"/>
    <w:rsid w:val="37E1109A"/>
    <w:rsid w:val="37E34E12"/>
    <w:rsid w:val="37E87464"/>
    <w:rsid w:val="37EB3CC7"/>
    <w:rsid w:val="37ED7A3F"/>
    <w:rsid w:val="37EF1A09"/>
    <w:rsid w:val="37EF7C5B"/>
    <w:rsid w:val="37F232A7"/>
    <w:rsid w:val="37F57441"/>
    <w:rsid w:val="37FB65FF"/>
    <w:rsid w:val="37FC4126"/>
    <w:rsid w:val="37FE39FA"/>
    <w:rsid w:val="37FF7772"/>
    <w:rsid w:val="380056EB"/>
    <w:rsid w:val="38082ACA"/>
    <w:rsid w:val="380A05F1"/>
    <w:rsid w:val="380A2A7F"/>
    <w:rsid w:val="380A6843"/>
    <w:rsid w:val="380B6117"/>
    <w:rsid w:val="381226D1"/>
    <w:rsid w:val="3814321D"/>
    <w:rsid w:val="381476C1"/>
    <w:rsid w:val="38163439"/>
    <w:rsid w:val="38207E14"/>
    <w:rsid w:val="38262F51"/>
    <w:rsid w:val="382A0C93"/>
    <w:rsid w:val="382B67B9"/>
    <w:rsid w:val="38303DCF"/>
    <w:rsid w:val="383250E8"/>
    <w:rsid w:val="38367638"/>
    <w:rsid w:val="38390ED6"/>
    <w:rsid w:val="38397128"/>
    <w:rsid w:val="383C4522"/>
    <w:rsid w:val="383E029A"/>
    <w:rsid w:val="38481119"/>
    <w:rsid w:val="384A6C3F"/>
    <w:rsid w:val="384D672F"/>
    <w:rsid w:val="384F24A7"/>
    <w:rsid w:val="38530FF4"/>
    <w:rsid w:val="38547ABE"/>
    <w:rsid w:val="385E6B8E"/>
    <w:rsid w:val="38602906"/>
    <w:rsid w:val="38653A79"/>
    <w:rsid w:val="38657F1D"/>
    <w:rsid w:val="386677F1"/>
    <w:rsid w:val="386817BB"/>
    <w:rsid w:val="38683569"/>
    <w:rsid w:val="38685317"/>
    <w:rsid w:val="38686D8A"/>
    <w:rsid w:val="386C12AB"/>
    <w:rsid w:val="386D0B7F"/>
    <w:rsid w:val="3872263A"/>
    <w:rsid w:val="387243E8"/>
    <w:rsid w:val="38726196"/>
    <w:rsid w:val="387737AC"/>
    <w:rsid w:val="38795776"/>
    <w:rsid w:val="387C0DC3"/>
    <w:rsid w:val="387E0FDF"/>
    <w:rsid w:val="38832151"/>
    <w:rsid w:val="38855EC9"/>
    <w:rsid w:val="38883C0B"/>
    <w:rsid w:val="388A7983"/>
    <w:rsid w:val="388F4F9A"/>
    <w:rsid w:val="38995E18"/>
    <w:rsid w:val="389C3213"/>
    <w:rsid w:val="38A10829"/>
    <w:rsid w:val="38A65E3F"/>
    <w:rsid w:val="38AB2FCD"/>
    <w:rsid w:val="38AC5B4C"/>
    <w:rsid w:val="38AD1BFF"/>
    <w:rsid w:val="38AE3672"/>
    <w:rsid w:val="38B13162"/>
    <w:rsid w:val="38B16CBE"/>
    <w:rsid w:val="38B30C88"/>
    <w:rsid w:val="38B7004D"/>
    <w:rsid w:val="38B8629F"/>
    <w:rsid w:val="38B92017"/>
    <w:rsid w:val="38BB7B3D"/>
    <w:rsid w:val="38BD38B5"/>
    <w:rsid w:val="38BE7FB3"/>
    <w:rsid w:val="38C52E10"/>
    <w:rsid w:val="38CA5FD2"/>
    <w:rsid w:val="38CC1D4A"/>
    <w:rsid w:val="38CD7870"/>
    <w:rsid w:val="38CF183A"/>
    <w:rsid w:val="38D023C8"/>
    <w:rsid w:val="38D32489"/>
    <w:rsid w:val="38D330D8"/>
    <w:rsid w:val="38D60E0A"/>
    <w:rsid w:val="38D66725"/>
    <w:rsid w:val="38D806EF"/>
    <w:rsid w:val="38D9778B"/>
    <w:rsid w:val="38DD7AB3"/>
    <w:rsid w:val="38DE1A7D"/>
    <w:rsid w:val="38E1010B"/>
    <w:rsid w:val="38E2085E"/>
    <w:rsid w:val="38E2331B"/>
    <w:rsid w:val="38E54BBA"/>
    <w:rsid w:val="38EE1CC0"/>
    <w:rsid w:val="38F66DC7"/>
    <w:rsid w:val="38F80D91"/>
    <w:rsid w:val="38F82B3F"/>
    <w:rsid w:val="38FB43DD"/>
    <w:rsid w:val="3902751A"/>
    <w:rsid w:val="39033292"/>
    <w:rsid w:val="39047736"/>
    <w:rsid w:val="3905525C"/>
    <w:rsid w:val="39096AFA"/>
    <w:rsid w:val="390C65EA"/>
    <w:rsid w:val="390F7E89"/>
    <w:rsid w:val="39113C01"/>
    <w:rsid w:val="39131727"/>
    <w:rsid w:val="391D4354"/>
    <w:rsid w:val="391F631E"/>
    <w:rsid w:val="39202096"/>
    <w:rsid w:val="39243934"/>
    <w:rsid w:val="3925145A"/>
    <w:rsid w:val="392751D2"/>
    <w:rsid w:val="39294390"/>
    <w:rsid w:val="392B4CC2"/>
    <w:rsid w:val="392B58F2"/>
    <w:rsid w:val="392E030F"/>
    <w:rsid w:val="393002D4"/>
    <w:rsid w:val="39311BAD"/>
    <w:rsid w:val="39316051"/>
    <w:rsid w:val="39317DFF"/>
    <w:rsid w:val="39335925"/>
    <w:rsid w:val="393618B9"/>
    <w:rsid w:val="393671C3"/>
    <w:rsid w:val="393A3157"/>
    <w:rsid w:val="39406294"/>
    <w:rsid w:val="39445D84"/>
    <w:rsid w:val="39455658"/>
    <w:rsid w:val="39504729"/>
    <w:rsid w:val="3951224F"/>
    <w:rsid w:val="39513FFD"/>
    <w:rsid w:val="39557F91"/>
    <w:rsid w:val="39581830"/>
    <w:rsid w:val="395F496C"/>
    <w:rsid w:val="39610843"/>
    <w:rsid w:val="396226AE"/>
    <w:rsid w:val="39665CFB"/>
    <w:rsid w:val="396E2E01"/>
    <w:rsid w:val="397228F1"/>
    <w:rsid w:val="39777E98"/>
    <w:rsid w:val="397877DC"/>
    <w:rsid w:val="397A79F8"/>
    <w:rsid w:val="397F6DBC"/>
    <w:rsid w:val="398048E2"/>
    <w:rsid w:val="39882115"/>
    <w:rsid w:val="398E678A"/>
    <w:rsid w:val="39981C2C"/>
    <w:rsid w:val="39987E7E"/>
    <w:rsid w:val="39A30450"/>
    <w:rsid w:val="39A405D1"/>
    <w:rsid w:val="39A64349"/>
    <w:rsid w:val="39B0341A"/>
    <w:rsid w:val="39B15546"/>
    <w:rsid w:val="39B2192F"/>
    <w:rsid w:val="39BA1BA2"/>
    <w:rsid w:val="39BA6046"/>
    <w:rsid w:val="39BC1DBE"/>
    <w:rsid w:val="39BC3B6C"/>
    <w:rsid w:val="39D32C64"/>
    <w:rsid w:val="39D35F94"/>
    <w:rsid w:val="39D569DC"/>
    <w:rsid w:val="39D709A6"/>
    <w:rsid w:val="39D72754"/>
    <w:rsid w:val="39D864CC"/>
    <w:rsid w:val="39DC5FBD"/>
    <w:rsid w:val="39E210F9"/>
    <w:rsid w:val="39E6508D"/>
    <w:rsid w:val="39E84962"/>
    <w:rsid w:val="39EC56AB"/>
    <w:rsid w:val="39F50E2C"/>
    <w:rsid w:val="39F552D0"/>
    <w:rsid w:val="39F71049"/>
    <w:rsid w:val="39FE23D7"/>
    <w:rsid w:val="39FE4185"/>
    <w:rsid w:val="3A015A23"/>
    <w:rsid w:val="3A080B60"/>
    <w:rsid w:val="3A092B2A"/>
    <w:rsid w:val="3A0B4AF4"/>
    <w:rsid w:val="3A0D6176"/>
    <w:rsid w:val="3A103EB8"/>
    <w:rsid w:val="3A1219DE"/>
    <w:rsid w:val="3A1A4D37"/>
    <w:rsid w:val="3A1A6AE5"/>
    <w:rsid w:val="3A1C0AAF"/>
    <w:rsid w:val="3A217E73"/>
    <w:rsid w:val="3A2A4F7A"/>
    <w:rsid w:val="3A2B0CF2"/>
    <w:rsid w:val="3A2B2AA0"/>
    <w:rsid w:val="3A2E433E"/>
    <w:rsid w:val="3A2F2A82"/>
    <w:rsid w:val="3A306308"/>
    <w:rsid w:val="3A331943"/>
    <w:rsid w:val="3A3C6A5B"/>
    <w:rsid w:val="3A3E27D3"/>
    <w:rsid w:val="3A437DEA"/>
    <w:rsid w:val="3A4A60C7"/>
    <w:rsid w:val="3A4C09E6"/>
    <w:rsid w:val="3A4D0C68"/>
    <w:rsid w:val="3A5007F7"/>
    <w:rsid w:val="3A5C0EAC"/>
    <w:rsid w:val="3A5C534F"/>
    <w:rsid w:val="3A5C70FE"/>
    <w:rsid w:val="3A5E2E76"/>
    <w:rsid w:val="3A5E69D2"/>
    <w:rsid w:val="3A6366DE"/>
    <w:rsid w:val="3A655FB2"/>
    <w:rsid w:val="3A6A7A6C"/>
    <w:rsid w:val="3A6D130B"/>
    <w:rsid w:val="3A7206CF"/>
    <w:rsid w:val="3A744447"/>
    <w:rsid w:val="3A777A93"/>
    <w:rsid w:val="3A79380C"/>
    <w:rsid w:val="3A797CAF"/>
    <w:rsid w:val="3A7B3A28"/>
    <w:rsid w:val="3A7E0E22"/>
    <w:rsid w:val="3A810D66"/>
    <w:rsid w:val="3A824DB6"/>
    <w:rsid w:val="3A836438"/>
    <w:rsid w:val="3A8A77C7"/>
    <w:rsid w:val="3A8D5509"/>
    <w:rsid w:val="3A8F1281"/>
    <w:rsid w:val="3A916DA7"/>
    <w:rsid w:val="3A920D71"/>
    <w:rsid w:val="3A946897"/>
    <w:rsid w:val="3A993EAE"/>
    <w:rsid w:val="3A9B5E78"/>
    <w:rsid w:val="3A9B7C26"/>
    <w:rsid w:val="3AA0523C"/>
    <w:rsid w:val="3AA54601"/>
    <w:rsid w:val="3AAA1402"/>
    <w:rsid w:val="3AAC6B47"/>
    <w:rsid w:val="3AAD7959"/>
    <w:rsid w:val="3AAF36D1"/>
    <w:rsid w:val="3AB111F7"/>
    <w:rsid w:val="3AB53980"/>
    <w:rsid w:val="3AB72576"/>
    <w:rsid w:val="3AB962FE"/>
    <w:rsid w:val="3ABB2076"/>
    <w:rsid w:val="3ABE56C2"/>
    <w:rsid w:val="3AC151B3"/>
    <w:rsid w:val="3ACC7DDF"/>
    <w:rsid w:val="3ACD3B57"/>
    <w:rsid w:val="3AD13648"/>
    <w:rsid w:val="3AD153F6"/>
    <w:rsid w:val="3AD4138A"/>
    <w:rsid w:val="3AD82C28"/>
    <w:rsid w:val="3ADE7B13"/>
    <w:rsid w:val="3AEA64B7"/>
    <w:rsid w:val="3AEC0481"/>
    <w:rsid w:val="3AF85078"/>
    <w:rsid w:val="3AF92B9E"/>
    <w:rsid w:val="3AF9494C"/>
    <w:rsid w:val="3AFB6916"/>
    <w:rsid w:val="3AFD61EB"/>
    <w:rsid w:val="3B037579"/>
    <w:rsid w:val="3B0A4DAB"/>
    <w:rsid w:val="3B0A6B5A"/>
    <w:rsid w:val="3B0D21A6"/>
    <w:rsid w:val="3B0D7CC4"/>
    <w:rsid w:val="3B0F4170"/>
    <w:rsid w:val="3B1005B0"/>
    <w:rsid w:val="3B133C60"/>
    <w:rsid w:val="3B1503C1"/>
    <w:rsid w:val="3B183024"/>
    <w:rsid w:val="3B1D4ADF"/>
    <w:rsid w:val="3B1E43B3"/>
    <w:rsid w:val="3B20012B"/>
    <w:rsid w:val="3B286FE0"/>
    <w:rsid w:val="3B2E2848"/>
    <w:rsid w:val="3B2F036E"/>
    <w:rsid w:val="3B3D6F2F"/>
    <w:rsid w:val="3B3F4A55"/>
    <w:rsid w:val="3B40257B"/>
    <w:rsid w:val="3B40671F"/>
    <w:rsid w:val="3B44206B"/>
    <w:rsid w:val="3B4958D4"/>
    <w:rsid w:val="3B4A51A8"/>
    <w:rsid w:val="3B4B164C"/>
    <w:rsid w:val="3B4C2CCE"/>
    <w:rsid w:val="3B4C7172"/>
    <w:rsid w:val="3B4E6A46"/>
    <w:rsid w:val="3B554279"/>
    <w:rsid w:val="3B556027"/>
    <w:rsid w:val="3B561D9F"/>
    <w:rsid w:val="3B581673"/>
    <w:rsid w:val="3B6049CB"/>
    <w:rsid w:val="3B653D90"/>
    <w:rsid w:val="3B6C511E"/>
    <w:rsid w:val="3B6E0E96"/>
    <w:rsid w:val="3B710987"/>
    <w:rsid w:val="3B762441"/>
    <w:rsid w:val="3B787F67"/>
    <w:rsid w:val="3B81506E"/>
    <w:rsid w:val="3B822B94"/>
    <w:rsid w:val="3B8406BA"/>
    <w:rsid w:val="3B842468"/>
    <w:rsid w:val="3B844933"/>
    <w:rsid w:val="3B867253"/>
    <w:rsid w:val="3B8701AA"/>
    <w:rsid w:val="3B880085"/>
    <w:rsid w:val="3B893F22"/>
    <w:rsid w:val="3B8C57C0"/>
    <w:rsid w:val="3B8D500F"/>
    <w:rsid w:val="3B936B4F"/>
    <w:rsid w:val="3B9603ED"/>
    <w:rsid w:val="3B9B5A04"/>
    <w:rsid w:val="3B9D177C"/>
    <w:rsid w:val="3B9D5C20"/>
    <w:rsid w:val="3BA1126C"/>
    <w:rsid w:val="3BA40D5C"/>
    <w:rsid w:val="3BA53C6C"/>
    <w:rsid w:val="3BA90120"/>
    <w:rsid w:val="3BB014AF"/>
    <w:rsid w:val="3BB6283D"/>
    <w:rsid w:val="3BB645EB"/>
    <w:rsid w:val="3BB84807"/>
    <w:rsid w:val="3BB865B6"/>
    <w:rsid w:val="3BBA0580"/>
    <w:rsid w:val="3BBD1E1E"/>
    <w:rsid w:val="3BC1546A"/>
    <w:rsid w:val="3BC35686"/>
    <w:rsid w:val="3BC60CD2"/>
    <w:rsid w:val="3BCB453B"/>
    <w:rsid w:val="3BCE402B"/>
    <w:rsid w:val="3BD33BB4"/>
    <w:rsid w:val="3BD553B9"/>
    <w:rsid w:val="3BD74C8E"/>
    <w:rsid w:val="3BDC6748"/>
    <w:rsid w:val="3BDD426E"/>
    <w:rsid w:val="3BEB0739"/>
    <w:rsid w:val="3BED2703"/>
    <w:rsid w:val="3BF07AFD"/>
    <w:rsid w:val="3BF515B8"/>
    <w:rsid w:val="3BF770DE"/>
    <w:rsid w:val="3BFA6BCE"/>
    <w:rsid w:val="3C033CD5"/>
    <w:rsid w:val="3C057BFF"/>
    <w:rsid w:val="3C067321"/>
    <w:rsid w:val="3C081B15"/>
    <w:rsid w:val="3C0E61D6"/>
    <w:rsid w:val="3C1557B6"/>
    <w:rsid w:val="3C157564"/>
    <w:rsid w:val="3C1934F8"/>
    <w:rsid w:val="3C1D466B"/>
    <w:rsid w:val="3C1F6635"/>
    <w:rsid w:val="3C2B6D87"/>
    <w:rsid w:val="3C2E6878"/>
    <w:rsid w:val="3C335C3C"/>
    <w:rsid w:val="3C3420E0"/>
    <w:rsid w:val="3C371BD0"/>
    <w:rsid w:val="3C37397E"/>
    <w:rsid w:val="3C386717"/>
    <w:rsid w:val="3C3A6FCB"/>
    <w:rsid w:val="3C3C0F95"/>
    <w:rsid w:val="3C4165AB"/>
    <w:rsid w:val="3C4816E7"/>
    <w:rsid w:val="3C4A598C"/>
    <w:rsid w:val="3C4D4FA9"/>
    <w:rsid w:val="3C544530"/>
    <w:rsid w:val="3C552056"/>
    <w:rsid w:val="3C590B86"/>
    <w:rsid w:val="3C5A58BF"/>
    <w:rsid w:val="3C5E0F0B"/>
    <w:rsid w:val="3C643F15"/>
    <w:rsid w:val="3C664263"/>
    <w:rsid w:val="3C6A5B02"/>
    <w:rsid w:val="3C700C3E"/>
    <w:rsid w:val="3C7324DC"/>
    <w:rsid w:val="3C763FEA"/>
    <w:rsid w:val="3C795D45"/>
    <w:rsid w:val="3C7F0E81"/>
    <w:rsid w:val="3C8C1F1C"/>
    <w:rsid w:val="3C8D359E"/>
    <w:rsid w:val="3C8D7A42"/>
    <w:rsid w:val="3C934104"/>
    <w:rsid w:val="3C964B49"/>
    <w:rsid w:val="3C9708C1"/>
    <w:rsid w:val="3C990195"/>
    <w:rsid w:val="3C991F43"/>
    <w:rsid w:val="3C9C1A33"/>
    <w:rsid w:val="3C9E1C4F"/>
    <w:rsid w:val="3C9E39FD"/>
    <w:rsid w:val="3CA134EE"/>
    <w:rsid w:val="3CA339C6"/>
    <w:rsid w:val="3CA60B04"/>
    <w:rsid w:val="3CA628B2"/>
    <w:rsid w:val="3CAA05F4"/>
    <w:rsid w:val="3CB46D7D"/>
    <w:rsid w:val="3CB66F99"/>
    <w:rsid w:val="3CB925E5"/>
    <w:rsid w:val="3CBC3E83"/>
    <w:rsid w:val="3CC03974"/>
    <w:rsid w:val="3CC04337"/>
    <w:rsid w:val="3CC1149A"/>
    <w:rsid w:val="3CC33464"/>
    <w:rsid w:val="3CC3367C"/>
    <w:rsid w:val="3CC86CCC"/>
    <w:rsid w:val="3CCA65A0"/>
    <w:rsid w:val="3CD27ED4"/>
    <w:rsid w:val="3CD76F0F"/>
    <w:rsid w:val="3CDB07AE"/>
    <w:rsid w:val="3CE21B3C"/>
    <w:rsid w:val="3CEF4259"/>
    <w:rsid w:val="3CF03B2D"/>
    <w:rsid w:val="3CF11D7F"/>
    <w:rsid w:val="3CF74EBC"/>
    <w:rsid w:val="3CF8135F"/>
    <w:rsid w:val="3CF90C34"/>
    <w:rsid w:val="3CFB0E50"/>
    <w:rsid w:val="3CFE26EE"/>
    <w:rsid w:val="3CFE6072"/>
    <w:rsid w:val="3CFE624A"/>
    <w:rsid w:val="3D001FC2"/>
    <w:rsid w:val="3D08531B"/>
    <w:rsid w:val="3D0A2E41"/>
    <w:rsid w:val="3D0E0B83"/>
    <w:rsid w:val="3D0F2205"/>
    <w:rsid w:val="3D121CF5"/>
    <w:rsid w:val="3D136199"/>
    <w:rsid w:val="3D1617E6"/>
    <w:rsid w:val="3D1E68EC"/>
    <w:rsid w:val="3D2263DC"/>
    <w:rsid w:val="3D245DAE"/>
    <w:rsid w:val="3D255ECD"/>
    <w:rsid w:val="3D257C7B"/>
    <w:rsid w:val="3D2A5291"/>
    <w:rsid w:val="3D347EBE"/>
    <w:rsid w:val="3D363C36"/>
    <w:rsid w:val="3D3B124C"/>
    <w:rsid w:val="3D3B56F0"/>
    <w:rsid w:val="3D3D6D72"/>
    <w:rsid w:val="3D3E0D3C"/>
    <w:rsid w:val="3D402D06"/>
    <w:rsid w:val="3D406863"/>
    <w:rsid w:val="3D42082D"/>
    <w:rsid w:val="3D4225DB"/>
    <w:rsid w:val="3D492EA7"/>
    <w:rsid w:val="3D4C16AB"/>
    <w:rsid w:val="3D536596"/>
    <w:rsid w:val="3D540560"/>
    <w:rsid w:val="3D566086"/>
    <w:rsid w:val="3D583BAC"/>
    <w:rsid w:val="3D5A3DC8"/>
    <w:rsid w:val="3D5B544A"/>
    <w:rsid w:val="3D5F318D"/>
    <w:rsid w:val="3D5F3F78"/>
    <w:rsid w:val="3D606F05"/>
    <w:rsid w:val="3D6469F5"/>
    <w:rsid w:val="3D65451B"/>
    <w:rsid w:val="3D6A7D83"/>
    <w:rsid w:val="3D762284"/>
    <w:rsid w:val="3D78424E"/>
    <w:rsid w:val="3D7B789B"/>
    <w:rsid w:val="3D7D3613"/>
    <w:rsid w:val="3D7F382F"/>
    <w:rsid w:val="3D7F55DD"/>
    <w:rsid w:val="3D7F6C45"/>
    <w:rsid w:val="3D801355"/>
    <w:rsid w:val="3D840E45"/>
    <w:rsid w:val="3D8A5D30"/>
    <w:rsid w:val="3D95517D"/>
    <w:rsid w:val="3D98669F"/>
    <w:rsid w:val="3D9F17DB"/>
    <w:rsid w:val="3DA45043"/>
    <w:rsid w:val="3DA74B34"/>
    <w:rsid w:val="3DAB2819"/>
    <w:rsid w:val="3DAE1A1E"/>
    <w:rsid w:val="3DB1150E"/>
    <w:rsid w:val="3DB159B2"/>
    <w:rsid w:val="3DB80AEF"/>
    <w:rsid w:val="3DBA03C3"/>
    <w:rsid w:val="3DBB238D"/>
    <w:rsid w:val="3DBB413B"/>
    <w:rsid w:val="3DBC05DF"/>
    <w:rsid w:val="3DBF1E7D"/>
    <w:rsid w:val="3DC254CA"/>
    <w:rsid w:val="3DC456E6"/>
    <w:rsid w:val="3DC47494"/>
    <w:rsid w:val="3DC92CFC"/>
    <w:rsid w:val="3DCA3DBC"/>
    <w:rsid w:val="3DCD12AD"/>
    <w:rsid w:val="3DD12360"/>
    <w:rsid w:val="3DD551FD"/>
    <w:rsid w:val="3DD75419"/>
    <w:rsid w:val="3DDA0A65"/>
    <w:rsid w:val="3DDB4D41"/>
    <w:rsid w:val="3DDC1B5E"/>
    <w:rsid w:val="3DDC2A2F"/>
    <w:rsid w:val="3DDE61E2"/>
    <w:rsid w:val="3DDF42CD"/>
    <w:rsid w:val="3DE25B6C"/>
    <w:rsid w:val="3DE74F30"/>
    <w:rsid w:val="3DE96A8A"/>
    <w:rsid w:val="3DEB0EC4"/>
    <w:rsid w:val="3DEC2546"/>
    <w:rsid w:val="3DEE2762"/>
    <w:rsid w:val="3DF61949"/>
    <w:rsid w:val="3DF8713D"/>
    <w:rsid w:val="3DFC4E7F"/>
    <w:rsid w:val="3DFD29A6"/>
    <w:rsid w:val="3E015FF2"/>
    <w:rsid w:val="3E016501"/>
    <w:rsid w:val="3E021D6A"/>
    <w:rsid w:val="3E09759C"/>
    <w:rsid w:val="3E0B50C2"/>
    <w:rsid w:val="3E1321C9"/>
    <w:rsid w:val="3E1723C3"/>
    <w:rsid w:val="3E1A3557"/>
    <w:rsid w:val="3E1C72D0"/>
    <w:rsid w:val="3E1F46CA"/>
    <w:rsid w:val="3E2241BA"/>
    <w:rsid w:val="3E271B73"/>
    <w:rsid w:val="3E2B306F"/>
    <w:rsid w:val="3E2C3159"/>
    <w:rsid w:val="3E3418EB"/>
    <w:rsid w:val="3E375EB7"/>
    <w:rsid w:val="3E377C66"/>
    <w:rsid w:val="3E391C30"/>
    <w:rsid w:val="3E3C1720"/>
    <w:rsid w:val="3E3C527C"/>
    <w:rsid w:val="3E41662A"/>
    <w:rsid w:val="3E416D36"/>
    <w:rsid w:val="3E4203B8"/>
    <w:rsid w:val="3E444130"/>
    <w:rsid w:val="3E495BEB"/>
    <w:rsid w:val="3E4E4FAF"/>
    <w:rsid w:val="3E500D27"/>
    <w:rsid w:val="3E5325C6"/>
    <w:rsid w:val="3E570308"/>
    <w:rsid w:val="3E5E1696"/>
    <w:rsid w:val="3E5F71BC"/>
    <w:rsid w:val="3E6447D3"/>
    <w:rsid w:val="3E6622F9"/>
    <w:rsid w:val="3E67734B"/>
    <w:rsid w:val="3E691DE9"/>
    <w:rsid w:val="3E693B97"/>
    <w:rsid w:val="3E6A003B"/>
    <w:rsid w:val="3E6B5B61"/>
    <w:rsid w:val="3E6D18D9"/>
    <w:rsid w:val="3E6E73FF"/>
    <w:rsid w:val="3E7003FD"/>
    <w:rsid w:val="3E701D54"/>
    <w:rsid w:val="3E7521E6"/>
    <w:rsid w:val="3E80103B"/>
    <w:rsid w:val="3E815385"/>
    <w:rsid w:val="3E817133"/>
    <w:rsid w:val="3E895FE7"/>
    <w:rsid w:val="3E8B6203"/>
    <w:rsid w:val="3E8F1850"/>
    <w:rsid w:val="3E906080"/>
    <w:rsid w:val="3E95498C"/>
    <w:rsid w:val="3E970704"/>
    <w:rsid w:val="3E9A1FA2"/>
    <w:rsid w:val="3E9C21BE"/>
    <w:rsid w:val="3E9C3F6D"/>
    <w:rsid w:val="3E9E1A93"/>
    <w:rsid w:val="3E9F580B"/>
    <w:rsid w:val="3EA03A5D"/>
    <w:rsid w:val="3EA64DEB"/>
    <w:rsid w:val="3EAD6B7C"/>
    <w:rsid w:val="3EAD6F0F"/>
    <w:rsid w:val="3EAF1EF2"/>
    <w:rsid w:val="3EAF3CA0"/>
    <w:rsid w:val="3EB017C6"/>
    <w:rsid w:val="3EB219E2"/>
    <w:rsid w:val="3EB31640"/>
    <w:rsid w:val="3EB412B6"/>
    <w:rsid w:val="3EB43064"/>
    <w:rsid w:val="3EB56DDC"/>
    <w:rsid w:val="3EB94B1E"/>
    <w:rsid w:val="3EB96BF2"/>
    <w:rsid w:val="3ED71449"/>
    <w:rsid w:val="3EDB2CE7"/>
    <w:rsid w:val="3EDB4A95"/>
    <w:rsid w:val="3EE14075"/>
    <w:rsid w:val="3EE37DED"/>
    <w:rsid w:val="3EE6168C"/>
    <w:rsid w:val="3EE92E4F"/>
    <w:rsid w:val="3EEA2F2A"/>
    <w:rsid w:val="3EEA4CD8"/>
    <w:rsid w:val="3EEC4EF4"/>
    <w:rsid w:val="3EF20030"/>
    <w:rsid w:val="3EF5367D"/>
    <w:rsid w:val="3EF75647"/>
    <w:rsid w:val="3EF913BF"/>
    <w:rsid w:val="3EF94F1B"/>
    <w:rsid w:val="3EFE69D5"/>
    <w:rsid w:val="3F0044FB"/>
    <w:rsid w:val="3F057D64"/>
    <w:rsid w:val="3F0B2EA0"/>
    <w:rsid w:val="3F125FDD"/>
    <w:rsid w:val="3F161F71"/>
    <w:rsid w:val="3F1955BD"/>
    <w:rsid w:val="3F1B7587"/>
    <w:rsid w:val="3F1E2BD3"/>
    <w:rsid w:val="3F255D10"/>
    <w:rsid w:val="3F275F2C"/>
    <w:rsid w:val="3F283A52"/>
    <w:rsid w:val="3F2B709E"/>
    <w:rsid w:val="3F2C3542"/>
    <w:rsid w:val="3F310B59"/>
    <w:rsid w:val="3F402B4A"/>
    <w:rsid w:val="3F422D66"/>
    <w:rsid w:val="3F43263A"/>
    <w:rsid w:val="3F47037C"/>
    <w:rsid w:val="3F4A39C9"/>
    <w:rsid w:val="3F4F6699"/>
    <w:rsid w:val="3F4F7231"/>
    <w:rsid w:val="3F544847"/>
    <w:rsid w:val="3F584337"/>
    <w:rsid w:val="3F5860E5"/>
    <w:rsid w:val="3F593C0C"/>
    <w:rsid w:val="3F5B5BD6"/>
    <w:rsid w:val="3F5C54AA"/>
    <w:rsid w:val="3F5D7BA0"/>
    <w:rsid w:val="3F5E1222"/>
    <w:rsid w:val="3F60143E"/>
    <w:rsid w:val="3F6A7BC7"/>
    <w:rsid w:val="3F6C1B91"/>
    <w:rsid w:val="3F6C393F"/>
    <w:rsid w:val="3F777D79"/>
    <w:rsid w:val="3F786788"/>
    <w:rsid w:val="3F7B12CB"/>
    <w:rsid w:val="3F7C4E5A"/>
    <w:rsid w:val="3F836EDA"/>
    <w:rsid w:val="3F84512C"/>
    <w:rsid w:val="3F857253"/>
    <w:rsid w:val="3F8769CB"/>
    <w:rsid w:val="3F8844F1"/>
    <w:rsid w:val="3F8A61EF"/>
    <w:rsid w:val="3F8C2233"/>
    <w:rsid w:val="3F93536F"/>
    <w:rsid w:val="3F940158"/>
    <w:rsid w:val="3F964E60"/>
    <w:rsid w:val="3F982986"/>
    <w:rsid w:val="3F9B06C8"/>
    <w:rsid w:val="3F9F5C03"/>
    <w:rsid w:val="3FA07A8C"/>
    <w:rsid w:val="3FA255B3"/>
    <w:rsid w:val="3FAC6431"/>
    <w:rsid w:val="3FAF7CCF"/>
    <w:rsid w:val="3FB13A48"/>
    <w:rsid w:val="3FB157F6"/>
    <w:rsid w:val="3FB35A12"/>
    <w:rsid w:val="3FB56C6D"/>
    <w:rsid w:val="3FB62E0C"/>
    <w:rsid w:val="3FBD063E"/>
    <w:rsid w:val="3FBD23EC"/>
    <w:rsid w:val="3FC10C55"/>
    <w:rsid w:val="3FC27A03"/>
    <w:rsid w:val="3FC75019"/>
    <w:rsid w:val="3FCC0B73"/>
    <w:rsid w:val="3FCC6AD3"/>
    <w:rsid w:val="3FD6525C"/>
    <w:rsid w:val="3FD87226"/>
    <w:rsid w:val="3FDD483D"/>
    <w:rsid w:val="3FE71217"/>
    <w:rsid w:val="3FEA0D08"/>
    <w:rsid w:val="3FEC0F24"/>
    <w:rsid w:val="3FEC2CD2"/>
    <w:rsid w:val="3FEC4A80"/>
    <w:rsid w:val="3FF213FE"/>
    <w:rsid w:val="400925FB"/>
    <w:rsid w:val="40093884"/>
    <w:rsid w:val="400D04E5"/>
    <w:rsid w:val="400E49F6"/>
    <w:rsid w:val="40155D85"/>
    <w:rsid w:val="40175FA1"/>
    <w:rsid w:val="401A783F"/>
    <w:rsid w:val="401D732F"/>
    <w:rsid w:val="402204A1"/>
    <w:rsid w:val="402266F3"/>
    <w:rsid w:val="402416BC"/>
    <w:rsid w:val="40273D0A"/>
    <w:rsid w:val="402B158F"/>
    <w:rsid w:val="403A3A3D"/>
    <w:rsid w:val="403E222A"/>
    <w:rsid w:val="403F2E01"/>
    <w:rsid w:val="40414DCB"/>
    <w:rsid w:val="40416B7A"/>
    <w:rsid w:val="4044666A"/>
    <w:rsid w:val="4047615A"/>
    <w:rsid w:val="404E1296"/>
    <w:rsid w:val="40546FB4"/>
    <w:rsid w:val="4057639D"/>
    <w:rsid w:val="405A40DF"/>
    <w:rsid w:val="405D772B"/>
    <w:rsid w:val="406665E0"/>
    <w:rsid w:val="4069536D"/>
    <w:rsid w:val="406A1C12"/>
    <w:rsid w:val="406D5BC1"/>
    <w:rsid w:val="407056B1"/>
    <w:rsid w:val="407231D7"/>
    <w:rsid w:val="40750F19"/>
    <w:rsid w:val="407A02DD"/>
    <w:rsid w:val="407A3945"/>
    <w:rsid w:val="407D392A"/>
    <w:rsid w:val="40833636"/>
    <w:rsid w:val="40836CDA"/>
    <w:rsid w:val="4090580F"/>
    <w:rsid w:val="40956EC5"/>
    <w:rsid w:val="409C0254"/>
    <w:rsid w:val="409D6CDF"/>
    <w:rsid w:val="409E3FCC"/>
    <w:rsid w:val="40A43FE1"/>
    <w:rsid w:val="40A62E81"/>
    <w:rsid w:val="40A9471F"/>
    <w:rsid w:val="40AA0BC3"/>
    <w:rsid w:val="40B25CC9"/>
    <w:rsid w:val="40B7508E"/>
    <w:rsid w:val="40B90E06"/>
    <w:rsid w:val="40BC08F6"/>
    <w:rsid w:val="40BE641C"/>
    <w:rsid w:val="40BF2194"/>
    <w:rsid w:val="40C17CBA"/>
    <w:rsid w:val="40C357E1"/>
    <w:rsid w:val="40C41559"/>
    <w:rsid w:val="40C61775"/>
    <w:rsid w:val="40D52E0F"/>
    <w:rsid w:val="40D53766"/>
    <w:rsid w:val="40DC68A2"/>
    <w:rsid w:val="40E63BC5"/>
    <w:rsid w:val="40E85247"/>
    <w:rsid w:val="40EA7211"/>
    <w:rsid w:val="40EB4D37"/>
    <w:rsid w:val="40ED4F53"/>
    <w:rsid w:val="40ED6D01"/>
    <w:rsid w:val="40F0234E"/>
    <w:rsid w:val="40F24318"/>
    <w:rsid w:val="40F40090"/>
    <w:rsid w:val="40F938F8"/>
    <w:rsid w:val="40F956A6"/>
    <w:rsid w:val="40FC0CF2"/>
    <w:rsid w:val="40FC6F44"/>
    <w:rsid w:val="40FE2CBD"/>
    <w:rsid w:val="410127AD"/>
    <w:rsid w:val="41067DC3"/>
    <w:rsid w:val="41076015"/>
    <w:rsid w:val="410A78B3"/>
    <w:rsid w:val="410B437D"/>
    <w:rsid w:val="410F4ECA"/>
    <w:rsid w:val="411424E0"/>
    <w:rsid w:val="41166258"/>
    <w:rsid w:val="411B386E"/>
    <w:rsid w:val="411C1395"/>
    <w:rsid w:val="411E510D"/>
    <w:rsid w:val="411E79D5"/>
    <w:rsid w:val="41202C33"/>
    <w:rsid w:val="41210759"/>
    <w:rsid w:val="41230975"/>
    <w:rsid w:val="41281AE7"/>
    <w:rsid w:val="41287D39"/>
    <w:rsid w:val="412C782A"/>
    <w:rsid w:val="412F731A"/>
    <w:rsid w:val="41306BEE"/>
    <w:rsid w:val="41322966"/>
    <w:rsid w:val="41393CF5"/>
    <w:rsid w:val="41395AA3"/>
    <w:rsid w:val="41401527"/>
    <w:rsid w:val="41452699"/>
    <w:rsid w:val="41456B3D"/>
    <w:rsid w:val="414624D2"/>
    <w:rsid w:val="41466412"/>
    <w:rsid w:val="414D59F2"/>
    <w:rsid w:val="414F3518"/>
    <w:rsid w:val="4151103E"/>
    <w:rsid w:val="4153125A"/>
    <w:rsid w:val="415648A7"/>
    <w:rsid w:val="41586871"/>
    <w:rsid w:val="415B1EBD"/>
    <w:rsid w:val="41650F8E"/>
    <w:rsid w:val="41652D3C"/>
    <w:rsid w:val="416845DA"/>
    <w:rsid w:val="416C5E78"/>
    <w:rsid w:val="416D1BF0"/>
    <w:rsid w:val="416F3BBA"/>
    <w:rsid w:val="416F5968"/>
    <w:rsid w:val="417116E0"/>
    <w:rsid w:val="4171348E"/>
    <w:rsid w:val="417836A0"/>
    <w:rsid w:val="417D62D7"/>
    <w:rsid w:val="417E5BAB"/>
    <w:rsid w:val="41870F04"/>
    <w:rsid w:val="41943621"/>
    <w:rsid w:val="419B49AF"/>
    <w:rsid w:val="419D24D5"/>
    <w:rsid w:val="41A251CC"/>
    <w:rsid w:val="41A75102"/>
    <w:rsid w:val="41AA2E44"/>
    <w:rsid w:val="41AD023F"/>
    <w:rsid w:val="41AF045B"/>
    <w:rsid w:val="41B25855"/>
    <w:rsid w:val="41B3357F"/>
    <w:rsid w:val="41B617E9"/>
    <w:rsid w:val="41B65345"/>
    <w:rsid w:val="41B8730F"/>
    <w:rsid w:val="41BA3452"/>
    <w:rsid w:val="41BB295C"/>
    <w:rsid w:val="41BD66D4"/>
    <w:rsid w:val="41C23CEA"/>
    <w:rsid w:val="41CC2DBB"/>
    <w:rsid w:val="41CC4B69"/>
    <w:rsid w:val="41CD3F26"/>
    <w:rsid w:val="41D1217F"/>
    <w:rsid w:val="41D35EF7"/>
    <w:rsid w:val="41D81760"/>
    <w:rsid w:val="41DB2FFE"/>
    <w:rsid w:val="41DF2AEE"/>
    <w:rsid w:val="41E06866"/>
    <w:rsid w:val="41E100C7"/>
    <w:rsid w:val="41E55C2A"/>
    <w:rsid w:val="41E719A3"/>
    <w:rsid w:val="41EA1493"/>
    <w:rsid w:val="41EF2605"/>
    <w:rsid w:val="41F23423"/>
    <w:rsid w:val="41F44A73"/>
    <w:rsid w:val="41F67E38"/>
    <w:rsid w:val="41FD4D22"/>
    <w:rsid w:val="41FF4F3E"/>
    <w:rsid w:val="42004812"/>
    <w:rsid w:val="420267DC"/>
    <w:rsid w:val="420460B1"/>
    <w:rsid w:val="42097B6B"/>
    <w:rsid w:val="420E33D3"/>
    <w:rsid w:val="42160E91"/>
    <w:rsid w:val="42165DE4"/>
    <w:rsid w:val="421B164C"/>
    <w:rsid w:val="421D3616"/>
    <w:rsid w:val="42242411"/>
    <w:rsid w:val="42257AF2"/>
    <w:rsid w:val="422A188F"/>
    <w:rsid w:val="42334BE8"/>
    <w:rsid w:val="42336996"/>
    <w:rsid w:val="42350960"/>
    <w:rsid w:val="423D7815"/>
    <w:rsid w:val="42421F6B"/>
    <w:rsid w:val="42442951"/>
    <w:rsid w:val="42462B6D"/>
    <w:rsid w:val="42470693"/>
    <w:rsid w:val="42472441"/>
    <w:rsid w:val="424D4C8D"/>
    <w:rsid w:val="424E1E36"/>
    <w:rsid w:val="4251142E"/>
    <w:rsid w:val="42530DE6"/>
    <w:rsid w:val="4258464E"/>
    <w:rsid w:val="425B07E9"/>
    <w:rsid w:val="425C5EED"/>
    <w:rsid w:val="425F3C2F"/>
    <w:rsid w:val="42611755"/>
    <w:rsid w:val="426B25D4"/>
    <w:rsid w:val="426E79CE"/>
    <w:rsid w:val="427C033D"/>
    <w:rsid w:val="42904666"/>
    <w:rsid w:val="42905B96"/>
    <w:rsid w:val="429513FF"/>
    <w:rsid w:val="429531AD"/>
    <w:rsid w:val="429733C9"/>
    <w:rsid w:val="42980EEF"/>
    <w:rsid w:val="42982C9D"/>
    <w:rsid w:val="429E0EC5"/>
    <w:rsid w:val="429F227D"/>
    <w:rsid w:val="42A17DA3"/>
    <w:rsid w:val="42A31D6D"/>
    <w:rsid w:val="42A44D37"/>
    <w:rsid w:val="42A72EE0"/>
    <w:rsid w:val="42A94EAA"/>
    <w:rsid w:val="42AB29D0"/>
    <w:rsid w:val="42AC34C9"/>
    <w:rsid w:val="42AD6748"/>
    <w:rsid w:val="42AE0712"/>
    <w:rsid w:val="42B17DA4"/>
    <w:rsid w:val="42B45D29"/>
    <w:rsid w:val="42B51AA1"/>
    <w:rsid w:val="42B67CE3"/>
    <w:rsid w:val="42B9333F"/>
    <w:rsid w:val="42BA70B7"/>
    <w:rsid w:val="42BF193F"/>
    <w:rsid w:val="42C341BE"/>
    <w:rsid w:val="42C43A92"/>
    <w:rsid w:val="42C817D4"/>
    <w:rsid w:val="42C910A8"/>
    <w:rsid w:val="42D02437"/>
    <w:rsid w:val="42D426D5"/>
    <w:rsid w:val="42D77DA5"/>
    <w:rsid w:val="42DC527F"/>
    <w:rsid w:val="42E12896"/>
    <w:rsid w:val="42E303BC"/>
    <w:rsid w:val="42E3216A"/>
    <w:rsid w:val="42E45961"/>
    <w:rsid w:val="42ED123B"/>
    <w:rsid w:val="42ED2FE9"/>
    <w:rsid w:val="42EF6D61"/>
    <w:rsid w:val="42EF72DD"/>
    <w:rsid w:val="42F223AD"/>
    <w:rsid w:val="42F44377"/>
    <w:rsid w:val="42F56341"/>
    <w:rsid w:val="42F97BDF"/>
    <w:rsid w:val="43000F6E"/>
    <w:rsid w:val="43014CE6"/>
    <w:rsid w:val="430345BA"/>
    <w:rsid w:val="430A3B9B"/>
    <w:rsid w:val="430B609E"/>
    <w:rsid w:val="430F7403"/>
    <w:rsid w:val="43120CA1"/>
    <w:rsid w:val="431467C7"/>
    <w:rsid w:val="4315253F"/>
    <w:rsid w:val="431762B8"/>
    <w:rsid w:val="432664FB"/>
    <w:rsid w:val="432B3B11"/>
    <w:rsid w:val="432F53AF"/>
    <w:rsid w:val="43326C4D"/>
    <w:rsid w:val="43340C18"/>
    <w:rsid w:val="43346E69"/>
    <w:rsid w:val="4335673E"/>
    <w:rsid w:val="43364990"/>
    <w:rsid w:val="4340580E"/>
    <w:rsid w:val="43486FC5"/>
    <w:rsid w:val="434B7D0F"/>
    <w:rsid w:val="434D1CD9"/>
    <w:rsid w:val="4352109E"/>
    <w:rsid w:val="4355293C"/>
    <w:rsid w:val="43560B8E"/>
    <w:rsid w:val="43566DE0"/>
    <w:rsid w:val="43572B58"/>
    <w:rsid w:val="435B43F6"/>
    <w:rsid w:val="435E5C94"/>
    <w:rsid w:val="436112E1"/>
    <w:rsid w:val="43672D9B"/>
    <w:rsid w:val="436D4129"/>
    <w:rsid w:val="43762FDE"/>
    <w:rsid w:val="43764333"/>
    <w:rsid w:val="43770394"/>
    <w:rsid w:val="43790D20"/>
    <w:rsid w:val="438A0837"/>
    <w:rsid w:val="438F5E4E"/>
    <w:rsid w:val="43944A30"/>
    <w:rsid w:val="439B4BBE"/>
    <w:rsid w:val="439E0787"/>
    <w:rsid w:val="43A51B15"/>
    <w:rsid w:val="43A63197"/>
    <w:rsid w:val="43AF64F0"/>
    <w:rsid w:val="43AF7095"/>
    <w:rsid w:val="43B43B06"/>
    <w:rsid w:val="43B9736F"/>
    <w:rsid w:val="43BB41A8"/>
    <w:rsid w:val="43BD0C0D"/>
    <w:rsid w:val="43BD1ED3"/>
    <w:rsid w:val="43C755E8"/>
    <w:rsid w:val="43D16466"/>
    <w:rsid w:val="43D321DE"/>
    <w:rsid w:val="43D61CCF"/>
    <w:rsid w:val="43DD305D"/>
    <w:rsid w:val="43DE2931"/>
    <w:rsid w:val="43DE6DD5"/>
    <w:rsid w:val="43DF234D"/>
    <w:rsid w:val="43E268C5"/>
    <w:rsid w:val="43E71B8B"/>
    <w:rsid w:val="43E73EDC"/>
    <w:rsid w:val="43E91A02"/>
    <w:rsid w:val="43EA577A"/>
    <w:rsid w:val="43EF4B3E"/>
    <w:rsid w:val="43F51494"/>
    <w:rsid w:val="43F6182A"/>
    <w:rsid w:val="43FD36FF"/>
    <w:rsid w:val="43FD54AD"/>
    <w:rsid w:val="44056110"/>
    <w:rsid w:val="44110F59"/>
    <w:rsid w:val="44184095"/>
    <w:rsid w:val="441A19F9"/>
    <w:rsid w:val="441A605F"/>
    <w:rsid w:val="441B74E4"/>
    <w:rsid w:val="441D5B50"/>
    <w:rsid w:val="44202F4A"/>
    <w:rsid w:val="442247E6"/>
    <w:rsid w:val="44242A3A"/>
    <w:rsid w:val="442567B2"/>
    <w:rsid w:val="442742D8"/>
    <w:rsid w:val="44290050"/>
    <w:rsid w:val="442E38B9"/>
    <w:rsid w:val="443133A9"/>
    <w:rsid w:val="44355499"/>
    <w:rsid w:val="4439400C"/>
    <w:rsid w:val="443B7D84"/>
    <w:rsid w:val="443D1D4E"/>
    <w:rsid w:val="443D3AFC"/>
    <w:rsid w:val="444035EC"/>
    <w:rsid w:val="444366F0"/>
    <w:rsid w:val="44557097"/>
    <w:rsid w:val="44591CCB"/>
    <w:rsid w:val="445D419E"/>
    <w:rsid w:val="4464552C"/>
    <w:rsid w:val="446472DA"/>
    <w:rsid w:val="446B0669"/>
    <w:rsid w:val="446E63AB"/>
    <w:rsid w:val="447A4D50"/>
    <w:rsid w:val="448B4867"/>
    <w:rsid w:val="449000D0"/>
    <w:rsid w:val="449576D9"/>
    <w:rsid w:val="44972AB2"/>
    <w:rsid w:val="449A71A0"/>
    <w:rsid w:val="449D459A"/>
    <w:rsid w:val="449F47B6"/>
    <w:rsid w:val="44A27E03"/>
    <w:rsid w:val="44A92F3F"/>
    <w:rsid w:val="44AA1FA5"/>
    <w:rsid w:val="44AB6CB7"/>
    <w:rsid w:val="44AD6ED3"/>
    <w:rsid w:val="44B00772"/>
    <w:rsid w:val="44B813D4"/>
    <w:rsid w:val="44BC0A07"/>
    <w:rsid w:val="44BC7116"/>
    <w:rsid w:val="44BD4C3D"/>
    <w:rsid w:val="44C164DB"/>
    <w:rsid w:val="44C24001"/>
    <w:rsid w:val="44C77869"/>
    <w:rsid w:val="44C77996"/>
    <w:rsid w:val="44CB77A7"/>
    <w:rsid w:val="44CD4E80"/>
    <w:rsid w:val="44D02BC2"/>
    <w:rsid w:val="44D04970"/>
    <w:rsid w:val="44D501D8"/>
    <w:rsid w:val="44D73F50"/>
    <w:rsid w:val="44DF2E05"/>
    <w:rsid w:val="44E623E5"/>
    <w:rsid w:val="44E64193"/>
    <w:rsid w:val="44E81CBA"/>
    <w:rsid w:val="44E87F0C"/>
    <w:rsid w:val="44E95A32"/>
    <w:rsid w:val="44E977E0"/>
    <w:rsid w:val="44EB17AA"/>
    <w:rsid w:val="44F06DC0"/>
    <w:rsid w:val="44F20D8A"/>
    <w:rsid w:val="44FE14DD"/>
    <w:rsid w:val="44FE5207"/>
    <w:rsid w:val="44FE5E97"/>
    <w:rsid w:val="45010FCD"/>
    <w:rsid w:val="450665E4"/>
    <w:rsid w:val="45074E29"/>
    <w:rsid w:val="450A2511"/>
    <w:rsid w:val="450B59A8"/>
    <w:rsid w:val="4510761C"/>
    <w:rsid w:val="451505D5"/>
    <w:rsid w:val="4517259F"/>
    <w:rsid w:val="4517434D"/>
    <w:rsid w:val="451A3E3D"/>
    <w:rsid w:val="451C1963"/>
    <w:rsid w:val="451C5E07"/>
    <w:rsid w:val="451E0AF1"/>
    <w:rsid w:val="4521341D"/>
    <w:rsid w:val="45246A6A"/>
    <w:rsid w:val="45280308"/>
    <w:rsid w:val="452B429C"/>
    <w:rsid w:val="452F78E8"/>
    <w:rsid w:val="453273D9"/>
    <w:rsid w:val="45327C70"/>
    <w:rsid w:val="453C0257"/>
    <w:rsid w:val="454C1D45"/>
    <w:rsid w:val="454F1D39"/>
    <w:rsid w:val="454F3AE7"/>
    <w:rsid w:val="454F7F8B"/>
    <w:rsid w:val="455235D7"/>
    <w:rsid w:val="455530C7"/>
    <w:rsid w:val="456152A9"/>
    <w:rsid w:val="456357E4"/>
    <w:rsid w:val="4568104C"/>
    <w:rsid w:val="45682DFA"/>
    <w:rsid w:val="456A0921"/>
    <w:rsid w:val="45703A5D"/>
    <w:rsid w:val="45765517"/>
    <w:rsid w:val="457A0A19"/>
    <w:rsid w:val="457B0D80"/>
    <w:rsid w:val="457B2B2E"/>
    <w:rsid w:val="45813EBC"/>
    <w:rsid w:val="458319E2"/>
    <w:rsid w:val="4585575A"/>
    <w:rsid w:val="45857508"/>
    <w:rsid w:val="45877724"/>
    <w:rsid w:val="458A049C"/>
    <w:rsid w:val="458D0AB3"/>
    <w:rsid w:val="45921C25"/>
    <w:rsid w:val="4597548E"/>
    <w:rsid w:val="459A7498"/>
    <w:rsid w:val="459B6D2C"/>
    <w:rsid w:val="459C0CF6"/>
    <w:rsid w:val="45A33E32"/>
    <w:rsid w:val="45A656D1"/>
    <w:rsid w:val="45AD6A5F"/>
    <w:rsid w:val="45AF0A29"/>
    <w:rsid w:val="45B9436B"/>
    <w:rsid w:val="45BB5620"/>
    <w:rsid w:val="45C06792"/>
    <w:rsid w:val="45C5024D"/>
    <w:rsid w:val="45CD7101"/>
    <w:rsid w:val="45CF69D6"/>
    <w:rsid w:val="45D264C6"/>
    <w:rsid w:val="45D3296A"/>
    <w:rsid w:val="45D466E2"/>
    <w:rsid w:val="45D73ADC"/>
    <w:rsid w:val="45D95AA6"/>
    <w:rsid w:val="45DE4E6B"/>
    <w:rsid w:val="45E5444B"/>
    <w:rsid w:val="45EB289C"/>
    <w:rsid w:val="45EB69ED"/>
    <w:rsid w:val="45EC3A2B"/>
    <w:rsid w:val="45ED3300"/>
    <w:rsid w:val="45EF7078"/>
    <w:rsid w:val="45F11042"/>
    <w:rsid w:val="45F428E0"/>
    <w:rsid w:val="45FC3543"/>
    <w:rsid w:val="46004D73"/>
    <w:rsid w:val="460123B2"/>
    <w:rsid w:val="4609638B"/>
    <w:rsid w:val="460D74FE"/>
    <w:rsid w:val="460E39A2"/>
    <w:rsid w:val="460F3276"/>
    <w:rsid w:val="46115240"/>
    <w:rsid w:val="46144678"/>
    <w:rsid w:val="46146ADE"/>
    <w:rsid w:val="46192347"/>
    <w:rsid w:val="461D1E37"/>
    <w:rsid w:val="461E170B"/>
    <w:rsid w:val="4622744D"/>
    <w:rsid w:val="462A4554"/>
    <w:rsid w:val="462E5B03"/>
    <w:rsid w:val="46326F64"/>
    <w:rsid w:val="46333408"/>
    <w:rsid w:val="46345C9D"/>
    <w:rsid w:val="463827CD"/>
    <w:rsid w:val="463C0CB3"/>
    <w:rsid w:val="463F7FFF"/>
    <w:rsid w:val="46401681"/>
    <w:rsid w:val="46405B25"/>
    <w:rsid w:val="464C44CA"/>
    <w:rsid w:val="464E0242"/>
    <w:rsid w:val="464E1FF0"/>
    <w:rsid w:val="464F7B16"/>
    <w:rsid w:val="46511A49"/>
    <w:rsid w:val="46511AE0"/>
    <w:rsid w:val="465A0995"/>
    <w:rsid w:val="46607F75"/>
    <w:rsid w:val="4665558C"/>
    <w:rsid w:val="46686840"/>
    <w:rsid w:val="4669507C"/>
    <w:rsid w:val="466F1F67"/>
    <w:rsid w:val="46713F31"/>
    <w:rsid w:val="46731EB2"/>
    <w:rsid w:val="467622D4"/>
    <w:rsid w:val="46767799"/>
    <w:rsid w:val="467A1037"/>
    <w:rsid w:val="467D0B27"/>
    <w:rsid w:val="467F21AA"/>
    <w:rsid w:val="468974CC"/>
    <w:rsid w:val="468B4FF2"/>
    <w:rsid w:val="468C2B19"/>
    <w:rsid w:val="46933EA7"/>
    <w:rsid w:val="46963997"/>
    <w:rsid w:val="469D4D26"/>
    <w:rsid w:val="46A240EA"/>
    <w:rsid w:val="46A72843"/>
    <w:rsid w:val="46AC4F69"/>
    <w:rsid w:val="46B1432D"/>
    <w:rsid w:val="46B207D1"/>
    <w:rsid w:val="46B300A5"/>
    <w:rsid w:val="46BA60E8"/>
    <w:rsid w:val="46BA7686"/>
    <w:rsid w:val="46C01222"/>
    <w:rsid w:val="46C2478C"/>
    <w:rsid w:val="46C40504"/>
    <w:rsid w:val="46C422B2"/>
    <w:rsid w:val="46D00C57"/>
    <w:rsid w:val="46D52711"/>
    <w:rsid w:val="46D5626E"/>
    <w:rsid w:val="46D70238"/>
    <w:rsid w:val="46DC584E"/>
    <w:rsid w:val="46DF0E9A"/>
    <w:rsid w:val="46DF70EC"/>
    <w:rsid w:val="46E44703"/>
    <w:rsid w:val="46E841F3"/>
    <w:rsid w:val="46E93AC7"/>
    <w:rsid w:val="46EC0F77"/>
    <w:rsid w:val="46F30DEA"/>
    <w:rsid w:val="46F34946"/>
    <w:rsid w:val="4703102D"/>
    <w:rsid w:val="470E352E"/>
    <w:rsid w:val="47121270"/>
    <w:rsid w:val="4712301E"/>
    <w:rsid w:val="47170634"/>
    <w:rsid w:val="471825FE"/>
    <w:rsid w:val="471C5C4A"/>
    <w:rsid w:val="472450A7"/>
    <w:rsid w:val="47262F6D"/>
    <w:rsid w:val="472965B9"/>
    <w:rsid w:val="472F1E22"/>
    <w:rsid w:val="47307948"/>
    <w:rsid w:val="47347547"/>
    <w:rsid w:val="473A2575"/>
    <w:rsid w:val="473B1E9E"/>
    <w:rsid w:val="473C453F"/>
    <w:rsid w:val="47451645"/>
    <w:rsid w:val="474D22A8"/>
    <w:rsid w:val="475121B4"/>
    <w:rsid w:val="475A49C5"/>
    <w:rsid w:val="475F022D"/>
    <w:rsid w:val="47625049"/>
    <w:rsid w:val="476475F1"/>
    <w:rsid w:val="476870E2"/>
    <w:rsid w:val="476B4E24"/>
    <w:rsid w:val="476E221E"/>
    <w:rsid w:val="4770243A"/>
    <w:rsid w:val="47705F96"/>
    <w:rsid w:val="47737835"/>
    <w:rsid w:val="477465BC"/>
    <w:rsid w:val="477C2B8D"/>
    <w:rsid w:val="477C493B"/>
    <w:rsid w:val="47833F1C"/>
    <w:rsid w:val="47863A0C"/>
    <w:rsid w:val="4792415F"/>
    <w:rsid w:val="47925F0D"/>
    <w:rsid w:val="479954ED"/>
    <w:rsid w:val="479B691A"/>
    <w:rsid w:val="479E48B1"/>
    <w:rsid w:val="47A619B8"/>
    <w:rsid w:val="47A65E5C"/>
    <w:rsid w:val="47AA14A8"/>
    <w:rsid w:val="47AD0F98"/>
    <w:rsid w:val="47B24801"/>
    <w:rsid w:val="47B57E4D"/>
    <w:rsid w:val="47B95B8F"/>
    <w:rsid w:val="47C167F2"/>
    <w:rsid w:val="47C577F2"/>
    <w:rsid w:val="47CA38F8"/>
    <w:rsid w:val="47CA56A6"/>
    <w:rsid w:val="47CC58C3"/>
    <w:rsid w:val="47CD163B"/>
    <w:rsid w:val="47D06A35"/>
    <w:rsid w:val="47D14C87"/>
    <w:rsid w:val="47D46525"/>
    <w:rsid w:val="47E23A00"/>
    <w:rsid w:val="47E56984"/>
    <w:rsid w:val="47E81FD1"/>
    <w:rsid w:val="47EB01EC"/>
    <w:rsid w:val="47ED75E7"/>
    <w:rsid w:val="47EF15B1"/>
    <w:rsid w:val="47F00E85"/>
    <w:rsid w:val="47F170D7"/>
    <w:rsid w:val="47F72214"/>
    <w:rsid w:val="47F94765"/>
    <w:rsid w:val="4800556C"/>
    <w:rsid w:val="480212E4"/>
    <w:rsid w:val="480706A9"/>
    <w:rsid w:val="480F2E5A"/>
    <w:rsid w:val="480F3A01"/>
    <w:rsid w:val="481132D5"/>
    <w:rsid w:val="48142DC6"/>
    <w:rsid w:val="481728B6"/>
    <w:rsid w:val="481B23A6"/>
    <w:rsid w:val="481B3E57"/>
    <w:rsid w:val="481D7ECC"/>
    <w:rsid w:val="481F6480"/>
    <w:rsid w:val="48224E01"/>
    <w:rsid w:val="48253225"/>
    <w:rsid w:val="48284AC3"/>
    <w:rsid w:val="48286871"/>
    <w:rsid w:val="482D3E87"/>
    <w:rsid w:val="482F5E51"/>
    <w:rsid w:val="48315726"/>
    <w:rsid w:val="48382F58"/>
    <w:rsid w:val="48391BF8"/>
    <w:rsid w:val="4839282C"/>
    <w:rsid w:val="483B0352"/>
    <w:rsid w:val="483D056E"/>
    <w:rsid w:val="48457423"/>
    <w:rsid w:val="48474F49"/>
    <w:rsid w:val="484A2C8B"/>
    <w:rsid w:val="484C07B1"/>
    <w:rsid w:val="48537D92"/>
    <w:rsid w:val="48551120"/>
    <w:rsid w:val="485B27A2"/>
    <w:rsid w:val="485D29BF"/>
    <w:rsid w:val="485E2293"/>
    <w:rsid w:val="4860425D"/>
    <w:rsid w:val="48621D83"/>
    <w:rsid w:val="486C49B0"/>
    <w:rsid w:val="486E0728"/>
    <w:rsid w:val="487815A6"/>
    <w:rsid w:val="487877F8"/>
    <w:rsid w:val="48790E7B"/>
    <w:rsid w:val="487E2EFD"/>
    <w:rsid w:val="487F0B87"/>
    <w:rsid w:val="487F2935"/>
    <w:rsid w:val="4880045B"/>
    <w:rsid w:val="48847F4B"/>
    <w:rsid w:val="48895562"/>
    <w:rsid w:val="48904B42"/>
    <w:rsid w:val="48931F3C"/>
    <w:rsid w:val="48981C49"/>
    <w:rsid w:val="489A151D"/>
    <w:rsid w:val="489F6B33"/>
    <w:rsid w:val="48A405ED"/>
    <w:rsid w:val="48A4239B"/>
    <w:rsid w:val="48A534D7"/>
    <w:rsid w:val="48AB197C"/>
    <w:rsid w:val="48AC1250"/>
    <w:rsid w:val="48AF2AEE"/>
    <w:rsid w:val="48B06F92"/>
    <w:rsid w:val="48B325DE"/>
    <w:rsid w:val="48B3438D"/>
    <w:rsid w:val="48B56357"/>
    <w:rsid w:val="48BA1BBF"/>
    <w:rsid w:val="48BA396D"/>
    <w:rsid w:val="48BD345D"/>
    <w:rsid w:val="48BD5CAC"/>
    <w:rsid w:val="48BF5427"/>
    <w:rsid w:val="48C42A3E"/>
    <w:rsid w:val="48C7608A"/>
    <w:rsid w:val="48C90054"/>
    <w:rsid w:val="48CC18F2"/>
    <w:rsid w:val="48DA400F"/>
    <w:rsid w:val="48DB1B35"/>
    <w:rsid w:val="48F549A5"/>
    <w:rsid w:val="48FB5D34"/>
    <w:rsid w:val="490177EE"/>
    <w:rsid w:val="4904108C"/>
    <w:rsid w:val="490746D8"/>
    <w:rsid w:val="490E5A67"/>
    <w:rsid w:val="49156DF5"/>
    <w:rsid w:val="49174F39"/>
    <w:rsid w:val="49177011"/>
    <w:rsid w:val="491868E5"/>
    <w:rsid w:val="491C0184"/>
    <w:rsid w:val="49276B29"/>
    <w:rsid w:val="49282FCC"/>
    <w:rsid w:val="492C413F"/>
    <w:rsid w:val="493059DD"/>
    <w:rsid w:val="493C25D4"/>
    <w:rsid w:val="493D00FA"/>
    <w:rsid w:val="49423962"/>
    <w:rsid w:val="49441489"/>
    <w:rsid w:val="49470F79"/>
    <w:rsid w:val="494951F7"/>
    <w:rsid w:val="494B6CBB"/>
    <w:rsid w:val="4953791E"/>
    <w:rsid w:val="495C67D2"/>
    <w:rsid w:val="496B2EB9"/>
    <w:rsid w:val="496D2327"/>
    <w:rsid w:val="49731D6E"/>
    <w:rsid w:val="49755AE6"/>
    <w:rsid w:val="49793828"/>
    <w:rsid w:val="497A134E"/>
    <w:rsid w:val="497C50C6"/>
    <w:rsid w:val="497E0E3E"/>
    <w:rsid w:val="4981280D"/>
    <w:rsid w:val="498521CD"/>
    <w:rsid w:val="49861AA1"/>
    <w:rsid w:val="49865F45"/>
    <w:rsid w:val="49891591"/>
    <w:rsid w:val="498A77E3"/>
    <w:rsid w:val="49900B72"/>
    <w:rsid w:val="4995236E"/>
    <w:rsid w:val="49995C78"/>
    <w:rsid w:val="49A547F8"/>
    <w:rsid w:val="49A563CB"/>
    <w:rsid w:val="49A73042"/>
    <w:rsid w:val="49A85EBB"/>
    <w:rsid w:val="49A87C69"/>
    <w:rsid w:val="49AB1508"/>
    <w:rsid w:val="49AE2DA6"/>
    <w:rsid w:val="49B20AE8"/>
    <w:rsid w:val="49B4660E"/>
    <w:rsid w:val="49B52386"/>
    <w:rsid w:val="49B77EAC"/>
    <w:rsid w:val="49BA799D"/>
    <w:rsid w:val="49BB5BEF"/>
    <w:rsid w:val="49BC54C3"/>
    <w:rsid w:val="49BD7227"/>
    <w:rsid w:val="49BE56DF"/>
    <w:rsid w:val="49BE748D"/>
    <w:rsid w:val="49C2281B"/>
    <w:rsid w:val="49C229F0"/>
    <w:rsid w:val="49CB3958"/>
    <w:rsid w:val="49CD147E"/>
    <w:rsid w:val="49D40A5E"/>
    <w:rsid w:val="49D7054F"/>
    <w:rsid w:val="49D92519"/>
    <w:rsid w:val="49D96075"/>
    <w:rsid w:val="49E1317B"/>
    <w:rsid w:val="49E52C6C"/>
    <w:rsid w:val="49E62540"/>
    <w:rsid w:val="49E8450A"/>
    <w:rsid w:val="49E862B8"/>
    <w:rsid w:val="49EA0282"/>
    <w:rsid w:val="49EA64D4"/>
    <w:rsid w:val="49F44C5D"/>
    <w:rsid w:val="49F509D5"/>
    <w:rsid w:val="49F7299F"/>
    <w:rsid w:val="49F904C5"/>
    <w:rsid w:val="49FE5ADB"/>
    <w:rsid w:val="4A003601"/>
    <w:rsid w:val="4A01737A"/>
    <w:rsid w:val="4A0550BC"/>
    <w:rsid w:val="4A062BE2"/>
    <w:rsid w:val="4A0A26D2"/>
    <w:rsid w:val="4A0D21C2"/>
    <w:rsid w:val="4A111CB3"/>
    <w:rsid w:val="4A11580F"/>
    <w:rsid w:val="4A174DEF"/>
    <w:rsid w:val="4A176B9D"/>
    <w:rsid w:val="4A183041"/>
    <w:rsid w:val="4A192915"/>
    <w:rsid w:val="4A1C0D50"/>
    <w:rsid w:val="4A225C6E"/>
    <w:rsid w:val="4A227A1C"/>
    <w:rsid w:val="4A2512BA"/>
    <w:rsid w:val="4A275032"/>
    <w:rsid w:val="4A286FFC"/>
    <w:rsid w:val="4A2C2648"/>
    <w:rsid w:val="4A2D016F"/>
    <w:rsid w:val="4A2D19BE"/>
    <w:rsid w:val="4A2F2139"/>
    <w:rsid w:val="4A317C5F"/>
    <w:rsid w:val="4A3239D7"/>
    <w:rsid w:val="4A370FED"/>
    <w:rsid w:val="4A392FB7"/>
    <w:rsid w:val="4A3E237C"/>
    <w:rsid w:val="4A404346"/>
    <w:rsid w:val="4A435BE4"/>
    <w:rsid w:val="4A443E36"/>
    <w:rsid w:val="4A477482"/>
    <w:rsid w:val="4A49144C"/>
    <w:rsid w:val="4A4F4589"/>
    <w:rsid w:val="4A5120AF"/>
    <w:rsid w:val="4A5676C5"/>
    <w:rsid w:val="4A5B4858"/>
    <w:rsid w:val="4A5E47CC"/>
    <w:rsid w:val="4A6718D3"/>
    <w:rsid w:val="4A6873F9"/>
    <w:rsid w:val="4A6C0C97"/>
    <w:rsid w:val="4A7144FF"/>
    <w:rsid w:val="4A77518F"/>
    <w:rsid w:val="4A7A7858"/>
    <w:rsid w:val="4A7D10F6"/>
    <w:rsid w:val="4A7D4C52"/>
    <w:rsid w:val="4A7E6C1C"/>
    <w:rsid w:val="4A802994"/>
    <w:rsid w:val="4A873D23"/>
    <w:rsid w:val="4A8E6E5F"/>
    <w:rsid w:val="4A8F2BD7"/>
    <w:rsid w:val="4A930919"/>
    <w:rsid w:val="4A9621B8"/>
    <w:rsid w:val="4A965D14"/>
    <w:rsid w:val="4A970798"/>
    <w:rsid w:val="4A985F30"/>
    <w:rsid w:val="4A995804"/>
    <w:rsid w:val="4A9B332A"/>
    <w:rsid w:val="4A9D70A2"/>
    <w:rsid w:val="4A9F6F2A"/>
    <w:rsid w:val="4AA04DE4"/>
    <w:rsid w:val="4AA20B5D"/>
    <w:rsid w:val="4AA448D5"/>
    <w:rsid w:val="4AAA5C63"/>
    <w:rsid w:val="4AAE5753"/>
    <w:rsid w:val="4AB131AC"/>
    <w:rsid w:val="4AB16FF2"/>
    <w:rsid w:val="4AB80380"/>
    <w:rsid w:val="4ABB1C1E"/>
    <w:rsid w:val="4ACC3E2B"/>
    <w:rsid w:val="4ACC7988"/>
    <w:rsid w:val="4ACE3700"/>
    <w:rsid w:val="4AD11442"/>
    <w:rsid w:val="4ADD1B95"/>
    <w:rsid w:val="4ADF76BB"/>
    <w:rsid w:val="4AE03433"/>
    <w:rsid w:val="4AEA40A1"/>
    <w:rsid w:val="4AEB42B2"/>
    <w:rsid w:val="4AEE5B50"/>
    <w:rsid w:val="4AF018C8"/>
    <w:rsid w:val="4AF511B4"/>
    <w:rsid w:val="4AF8077D"/>
    <w:rsid w:val="4AF84C20"/>
    <w:rsid w:val="4AFA62A3"/>
    <w:rsid w:val="4AFB026D"/>
    <w:rsid w:val="4AFD3FE5"/>
    <w:rsid w:val="4B01400A"/>
    <w:rsid w:val="4B02784D"/>
    <w:rsid w:val="4B045373"/>
    <w:rsid w:val="4B054C48"/>
    <w:rsid w:val="4B0709C0"/>
    <w:rsid w:val="4B074E64"/>
    <w:rsid w:val="4B0E1D4E"/>
    <w:rsid w:val="4B1B446B"/>
    <w:rsid w:val="4B1D01E3"/>
    <w:rsid w:val="4B2257F9"/>
    <w:rsid w:val="4B272E10"/>
    <w:rsid w:val="4B2772B4"/>
    <w:rsid w:val="4B296C14"/>
    <w:rsid w:val="4B306168"/>
    <w:rsid w:val="4B35377F"/>
    <w:rsid w:val="4B38501D"/>
    <w:rsid w:val="4B3B68BB"/>
    <w:rsid w:val="4B3B78E8"/>
    <w:rsid w:val="4B3E33A3"/>
    <w:rsid w:val="4B3F63AB"/>
    <w:rsid w:val="4B427C4A"/>
    <w:rsid w:val="4B4B2FA2"/>
    <w:rsid w:val="4B4E0E03"/>
    <w:rsid w:val="4B50680B"/>
    <w:rsid w:val="4B58746D"/>
    <w:rsid w:val="4B5C51AF"/>
    <w:rsid w:val="4B5D2CD5"/>
    <w:rsid w:val="4B5F6CE3"/>
    <w:rsid w:val="4B6923BB"/>
    <w:rsid w:val="4B69742E"/>
    <w:rsid w:val="4B6978CC"/>
    <w:rsid w:val="4B6E0A3F"/>
    <w:rsid w:val="4B7122DD"/>
    <w:rsid w:val="4B7A3887"/>
    <w:rsid w:val="4B7D6ED4"/>
    <w:rsid w:val="4B7F2C4C"/>
    <w:rsid w:val="4B863FDA"/>
    <w:rsid w:val="4B864F83"/>
    <w:rsid w:val="4B893ACB"/>
    <w:rsid w:val="4B8D7117"/>
    <w:rsid w:val="4B904E59"/>
    <w:rsid w:val="4B985ABC"/>
    <w:rsid w:val="4B9E7576"/>
    <w:rsid w:val="4BA426B2"/>
    <w:rsid w:val="4BA83F51"/>
    <w:rsid w:val="4BA91A77"/>
    <w:rsid w:val="4BAB1C93"/>
    <w:rsid w:val="4BB010D1"/>
    <w:rsid w:val="4BB40B47"/>
    <w:rsid w:val="4BB57ADD"/>
    <w:rsid w:val="4BB723E6"/>
    <w:rsid w:val="4BBC17AA"/>
    <w:rsid w:val="4BC114B6"/>
    <w:rsid w:val="4BC31916"/>
    <w:rsid w:val="4BC6087B"/>
    <w:rsid w:val="4BC70343"/>
    <w:rsid w:val="4BCB7C3F"/>
    <w:rsid w:val="4BD27220"/>
    <w:rsid w:val="4BD5286C"/>
    <w:rsid w:val="4BD74836"/>
    <w:rsid w:val="4BE275E3"/>
    <w:rsid w:val="4BE5547B"/>
    <w:rsid w:val="4BE64A79"/>
    <w:rsid w:val="4BEA7E5D"/>
    <w:rsid w:val="4BEE392E"/>
    <w:rsid w:val="4BF2341E"/>
    <w:rsid w:val="4BF76C86"/>
    <w:rsid w:val="4C0118B3"/>
    <w:rsid w:val="4C0373D9"/>
    <w:rsid w:val="4C043151"/>
    <w:rsid w:val="4C0A0767"/>
    <w:rsid w:val="4C0C39E8"/>
    <w:rsid w:val="4C1710D6"/>
    <w:rsid w:val="4C1C493F"/>
    <w:rsid w:val="4C2537F3"/>
    <w:rsid w:val="4C2832E3"/>
    <w:rsid w:val="4C2C4B82"/>
    <w:rsid w:val="4C2F6420"/>
    <w:rsid w:val="4C327CBE"/>
    <w:rsid w:val="4C3457E4"/>
    <w:rsid w:val="4C4109A5"/>
    <w:rsid w:val="4C4243A5"/>
    <w:rsid w:val="4C424A06"/>
    <w:rsid w:val="4C4719BC"/>
    <w:rsid w:val="4C4A7F2C"/>
    <w:rsid w:val="4C4C5224"/>
    <w:rsid w:val="4C5145E8"/>
    <w:rsid w:val="4C516D59"/>
    <w:rsid w:val="4C59524B"/>
    <w:rsid w:val="4C6267F5"/>
    <w:rsid w:val="4C650094"/>
    <w:rsid w:val="4C681932"/>
    <w:rsid w:val="4C6A38FC"/>
    <w:rsid w:val="4C6D19C4"/>
    <w:rsid w:val="4C714C8A"/>
    <w:rsid w:val="4C7B78B7"/>
    <w:rsid w:val="4C7F4959"/>
    <w:rsid w:val="4C804ECE"/>
    <w:rsid w:val="4C8229F4"/>
    <w:rsid w:val="4C83676C"/>
    <w:rsid w:val="4C856040"/>
    <w:rsid w:val="4C8D1398"/>
    <w:rsid w:val="4C8F5111"/>
    <w:rsid w:val="4C932E1E"/>
    <w:rsid w:val="4C934C01"/>
    <w:rsid w:val="4C96024D"/>
    <w:rsid w:val="4C990696"/>
    <w:rsid w:val="4C9D15DC"/>
    <w:rsid w:val="4CA0731E"/>
    <w:rsid w:val="4CA24E44"/>
    <w:rsid w:val="4CA30BBC"/>
    <w:rsid w:val="4CA3296A"/>
    <w:rsid w:val="4CAA3CF8"/>
    <w:rsid w:val="4CB701C3"/>
    <w:rsid w:val="4CB84667"/>
    <w:rsid w:val="4CBE77A4"/>
    <w:rsid w:val="4CC34DBA"/>
    <w:rsid w:val="4CC4400D"/>
    <w:rsid w:val="4CC50B32"/>
    <w:rsid w:val="4CD3324F"/>
    <w:rsid w:val="4CD64AED"/>
    <w:rsid w:val="4CDD7C2A"/>
    <w:rsid w:val="4CDE39A2"/>
    <w:rsid w:val="4CE251D5"/>
    <w:rsid w:val="4CE4545C"/>
    <w:rsid w:val="4CE94821"/>
    <w:rsid w:val="4CEC2563"/>
    <w:rsid w:val="4CEE0089"/>
    <w:rsid w:val="4CEF795D"/>
    <w:rsid w:val="4CF5766A"/>
    <w:rsid w:val="4CFA6A2E"/>
    <w:rsid w:val="4CFD651E"/>
    <w:rsid w:val="4CFE5DF2"/>
    <w:rsid w:val="4D001B6A"/>
    <w:rsid w:val="4D023B34"/>
    <w:rsid w:val="4D0553D3"/>
    <w:rsid w:val="4D057181"/>
    <w:rsid w:val="4D072EF9"/>
    <w:rsid w:val="4D0C050F"/>
    <w:rsid w:val="4D113D78"/>
    <w:rsid w:val="4D13189E"/>
    <w:rsid w:val="4D135D42"/>
    <w:rsid w:val="4D16313C"/>
    <w:rsid w:val="4D1D096E"/>
    <w:rsid w:val="4D203FBB"/>
    <w:rsid w:val="4D267C28"/>
    <w:rsid w:val="4D2717ED"/>
    <w:rsid w:val="4D2910C1"/>
    <w:rsid w:val="4D2B308B"/>
    <w:rsid w:val="4D3637DE"/>
    <w:rsid w:val="4D3F6B37"/>
    <w:rsid w:val="4D4001B9"/>
    <w:rsid w:val="4D471547"/>
    <w:rsid w:val="4D493467"/>
    <w:rsid w:val="4D493511"/>
    <w:rsid w:val="4D4E6D7A"/>
    <w:rsid w:val="4D5123C6"/>
    <w:rsid w:val="4D5325E2"/>
    <w:rsid w:val="4D53613E"/>
    <w:rsid w:val="4D553C64"/>
    <w:rsid w:val="4D573E80"/>
    <w:rsid w:val="4D5A3970"/>
    <w:rsid w:val="4D5D520F"/>
    <w:rsid w:val="4D5E6457"/>
    <w:rsid w:val="4D616AAD"/>
    <w:rsid w:val="4D661307"/>
    <w:rsid w:val="4D6640C3"/>
    <w:rsid w:val="4D677E3B"/>
    <w:rsid w:val="4D695962"/>
    <w:rsid w:val="4D722A68"/>
    <w:rsid w:val="4D754306"/>
    <w:rsid w:val="4D7560B4"/>
    <w:rsid w:val="4D783DF7"/>
    <w:rsid w:val="4D7B7B53"/>
    <w:rsid w:val="4D7F33D7"/>
    <w:rsid w:val="4D810EFD"/>
    <w:rsid w:val="4D861753"/>
    <w:rsid w:val="4D862070"/>
    <w:rsid w:val="4D875DE8"/>
    <w:rsid w:val="4D891B60"/>
    <w:rsid w:val="4D897DB2"/>
    <w:rsid w:val="4D8D78A2"/>
    <w:rsid w:val="4D8E7176"/>
    <w:rsid w:val="4D907392"/>
    <w:rsid w:val="4D926C66"/>
    <w:rsid w:val="4D970721"/>
    <w:rsid w:val="4D986247"/>
    <w:rsid w:val="4D994499"/>
    <w:rsid w:val="4D9C5D37"/>
    <w:rsid w:val="4D9D385D"/>
    <w:rsid w:val="4DA16EA9"/>
    <w:rsid w:val="4DA42E3E"/>
    <w:rsid w:val="4DA90454"/>
    <w:rsid w:val="4DA93FB0"/>
    <w:rsid w:val="4DA976BE"/>
    <w:rsid w:val="4DAB5F7A"/>
    <w:rsid w:val="4DAC6A4E"/>
    <w:rsid w:val="4DAD3AA0"/>
    <w:rsid w:val="4DB12E65"/>
    <w:rsid w:val="4DB639B0"/>
    <w:rsid w:val="4DBA7F6B"/>
    <w:rsid w:val="4DBF1A26"/>
    <w:rsid w:val="4DBF37D4"/>
    <w:rsid w:val="4DC808DA"/>
    <w:rsid w:val="4DC94652"/>
    <w:rsid w:val="4DCE3A17"/>
    <w:rsid w:val="4DD059E1"/>
    <w:rsid w:val="4DD54DA5"/>
    <w:rsid w:val="4DD5524B"/>
    <w:rsid w:val="4DD55E8A"/>
    <w:rsid w:val="4DD728CB"/>
    <w:rsid w:val="4DD86643"/>
    <w:rsid w:val="4DDC25D7"/>
    <w:rsid w:val="4DDC453C"/>
    <w:rsid w:val="4DE1199C"/>
    <w:rsid w:val="4DEF230B"/>
    <w:rsid w:val="4DF74D1B"/>
    <w:rsid w:val="4DFA2A5E"/>
    <w:rsid w:val="4DFC0584"/>
    <w:rsid w:val="4DFF6D77"/>
    <w:rsid w:val="4E047438"/>
    <w:rsid w:val="4E0538DC"/>
    <w:rsid w:val="4E08517B"/>
    <w:rsid w:val="4E0B4C6B"/>
    <w:rsid w:val="4E0B6A19"/>
    <w:rsid w:val="4E0C2ABC"/>
    <w:rsid w:val="4E0D453F"/>
    <w:rsid w:val="4E0F02B7"/>
    <w:rsid w:val="4E0F6509"/>
    <w:rsid w:val="4E102281"/>
    <w:rsid w:val="4E192EE4"/>
    <w:rsid w:val="4E197388"/>
    <w:rsid w:val="4E1E04FA"/>
    <w:rsid w:val="4E231FB4"/>
    <w:rsid w:val="4E2D2E33"/>
    <w:rsid w:val="4E2D4BE1"/>
    <w:rsid w:val="4E3046D1"/>
    <w:rsid w:val="4E347D1E"/>
    <w:rsid w:val="4E355844"/>
    <w:rsid w:val="4E37780E"/>
    <w:rsid w:val="4E3A10AC"/>
    <w:rsid w:val="4E3B5550"/>
    <w:rsid w:val="4E41068C"/>
    <w:rsid w:val="4E4B537E"/>
    <w:rsid w:val="4E4C1E6E"/>
    <w:rsid w:val="4E4C7F4F"/>
    <w:rsid w:val="4E5008D0"/>
    <w:rsid w:val="4E555EE6"/>
    <w:rsid w:val="4E564138"/>
    <w:rsid w:val="4E5C450E"/>
    <w:rsid w:val="4E685C19"/>
    <w:rsid w:val="4E6A373F"/>
    <w:rsid w:val="4E6D1482"/>
    <w:rsid w:val="4E712D20"/>
    <w:rsid w:val="4E797E26"/>
    <w:rsid w:val="4E8011B5"/>
    <w:rsid w:val="4E830CA5"/>
    <w:rsid w:val="4E872543"/>
    <w:rsid w:val="4E895320"/>
    <w:rsid w:val="4E8A169B"/>
    <w:rsid w:val="4E8A5B90"/>
    <w:rsid w:val="4E8B1908"/>
    <w:rsid w:val="4E8D5131"/>
    <w:rsid w:val="4E8D742E"/>
    <w:rsid w:val="4E9764FE"/>
    <w:rsid w:val="4E9B5FEF"/>
    <w:rsid w:val="4E9B7D9D"/>
    <w:rsid w:val="4EA03605"/>
    <w:rsid w:val="4EA76741"/>
    <w:rsid w:val="4EAA6232"/>
    <w:rsid w:val="4EAC3D58"/>
    <w:rsid w:val="4EB15812"/>
    <w:rsid w:val="4EB8094F"/>
    <w:rsid w:val="4EB96475"/>
    <w:rsid w:val="4EC372F3"/>
    <w:rsid w:val="4EC70B92"/>
    <w:rsid w:val="4ECA2430"/>
    <w:rsid w:val="4ECD1F20"/>
    <w:rsid w:val="4ECE0172"/>
    <w:rsid w:val="4ECF7A46"/>
    <w:rsid w:val="4ED17C62"/>
    <w:rsid w:val="4ED212E5"/>
    <w:rsid w:val="4ED41501"/>
    <w:rsid w:val="4ED908C5"/>
    <w:rsid w:val="4ED92673"/>
    <w:rsid w:val="4EE01C53"/>
    <w:rsid w:val="4EE47996"/>
    <w:rsid w:val="4EEC05F8"/>
    <w:rsid w:val="4EEF633A"/>
    <w:rsid w:val="4EF31987"/>
    <w:rsid w:val="4EFD45B3"/>
    <w:rsid w:val="4F041DA9"/>
    <w:rsid w:val="4F0A6CD0"/>
    <w:rsid w:val="4F0C5136"/>
    <w:rsid w:val="4F0F42E7"/>
    <w:rsid w:val="4F132029"/>
    <w:rsid w:val="4F1D6A04"/>
    <w:rsid w:val="4F1E452A"/>
    <w:rsid w:val="4F204746"/>
    <w:rsid w:val="4F247D92"/>
    <w:rsid w:val="4F251D5C"/>
    <w:rsid w:val="4F2953A8"/>
    <w:rsid w:val="4F2E6991"/>
    <w:rsid w:val="4F2E6E63"/>
    <w:rsid w:val="4F337FD5"/>
    <w:rsid w:val="4F381A8F"/>
    <w:rsid w:val="4F3855EC"/>
    <w:rsid w:val="4F3A5808"/>
    <w:rsid w:val="4F3B50DC"/>
    <w:rsid w:val="4F42290E"/>
    <w:rsid w:val="4F430CF9"/>
    <w:rsid w:val="4F4421E2"/>
    <w:rsid w:val="4F4977F9"/>
    <w:rsid w:val="4F4F0B87"/>
    <w:rsid w:val="4F552641"/>
    <w:rsid w:val="4F5E5E6E"/>
    <w:rsid w:val="4F5F72FE"/>
    <w:rsid w:val="4F602D94"/>
    <w:rsid w:val="4F6665FD"/>
    <w:rsid w:val="4F672375"/>
    <w:rsid w:val="4F6C1739"/>
    <w:rsid w:val="4F6E3703"/>
    <w:rsid w:val="4F6E725F"/>
    <w:rsid w:val="4F6F4D85"/>
    <w:rsid w:val="4F716D4F"/>
    <w:rsid w:val="4F766114"/>
    <w:rsid w:val="4F7800DE"/>
    <w:rsid w:val="4F7C7BCE"/>
    <w:rsid w:val="4F7F76BE"/>
    <w:rsid w:val="4F840831"/>
    <w:rsid w:val="4F8545A9"/>
    <w:rsid w:val="4F8C3B89"/>
    <w:rsid w:val="4F8E7901"/>
    <w:rsid w:val="4F9273F2"/>
    <w:rsid w:val="4F934F18"/>
    <w:rsid w:val="4F9A0054"/>
    <w:rsid w:val="4F9A62A6"/>
    <w:rsid w:val="4F9C201E"/>
    <w:rsid w:val="4F9C298C"/>
    <w:rsid w:val="4F9F566B"/>
    <w:rsid w:val="4FA113E3"/>
    <w:rsid w:val="4FA26F09"/>
    <w:rsid w:val="4FA40ED3"/>
    <w:rsid w:val="4FA47125"/>
    <w:rsid w:val="4FA72771"/>
    <w:rsid w:val="4FA90414"/>
    <w:rsid w:val="4FB10B24"/>
    <w:rsid w:val="4FB1539E"/>
    <w:rsid w:val="4FB20233"/>
    <w:rsid w:val="4FB235F0"/>
    <w:rsid w:val="4FB37368"/>
    <w:rsid w:val="4FB530E0"/>
    <w:rsid w:val="4FB61588"/>
    <w:rsid w:val="4FBB7FCB"/>
    <w:rsid w:val="4FC13833"/>
    <w:rsid w:val="4FC357FD"/>
    <w:rsid w:val="4FC82E13"/>
    <w:rsid w:val="4FCE7A0A"/>
    <w:rsid w:val="4FCE7CFE"/>
    <w:rsid w:val="4FD33566"/>
    <w:rsid w:val="4FD42290"/>
    <w:rsid w:val="4FDC066D"/>
    <w:rsid w:val="4FF04118"/>
    <w:rsid w:val="4FF66A1B"/>
    <w:rsid w:val="4FFE4A87"/>
    <w:rsid w:val="50083210"/>
    <w:rsid w:val="500876B4"/>
    <w:rsid w:val="500D6A78"/>
    <w:rsid w:val="500F0A42"/>
    <w:rsid w:val="501E6ED7"/>
    <w:rsid w:val="501F67AB"/>
    <w:rsid w:val="5023004A"/>
    <w:rsid w:val="502D0EC8"/>
    <w:rsid w:val="50302767"/>
    <w:rsid w:val="50306C0B"/>
    <w:rsid w:val="50342257"/>
    <w:rsid w:val="5039786D"/>
    <w:rsid w:val="504601DC"/>
    <w:rsid w:val="504A7CCC"/>
    <w:rsid w:val="50504BB7"/>
    <w:rsid w:val="5052092F"/>
    <w:rsid w:val="50597F0F"/>
    <w:rsid w:val="505A5A36"/>
    <w:rsid w:val="5060304C"/>
    <w:rsid w:val="50632B3C"/>
    <w:rsid w:val="5066184B"/>
    <w:rsid w:val="50697A27"/>
    <w:rsid w:val="50715E7F"/>
    <w:rsid w:val="50724B2D"/>
    <w:rsid w:val="50770396"/>
    <w:rsid w:val="50772144"/>
    <w:rsid w:val="507C3BFE"/>
    <w:rsid w:val="507F0F62"/>
    <w:rsid w:val="50874A7C"/>
    <w:rsid w:val="508A631B"/>
    <w:rsid w:val="50926F7D"/>
    <w:rsid w:val="50940F47"/>
    <w:rsid w:val="5095081C"/>
    <w:rsid w:val="50962F12"/>
    <w:rsid w:val="509671E9"/>
    <w:rsid w:val="509727E6"/>
    <w:rsid w:val="509947B0"/>
    <w:rsid w:val="509C1BAA"/>
    <w:rsid w:val="509C604E"/>
    <w:rsid w:val="509E1DC6"/>
    <w:rsid w:val="50A53155"/>
    <w:rsid w:val="50A76ECD"/>
    <w:rsid w:val="50A849F3"/>
    <w:rsid w:val="50AA076B"/>
    <w:rsid w:val="50AD2009"/>
    <w:rsid w:val="50B213CE"/>
    <w:rsid w:val="50B60EBE"/>
    <w:rsid w:val="50BB64D4"/>
    <w:rsid w:val="50C25AB5"/>
    <w:rsid w:val="50C51101"/>
    <w:rsid w:val="50C57353"/>
    <w:rsid w:val="50C730CB"/>
    <w:rsid w:val="50C86E43"/>
    <w:rsid w:val="50CA4969"/>
    <w:rsid w:val="50CD6207"/>
    <w:rsid w:val="50CF01D2"/>
    <w:rsid w:val="50D650BC"/>
    <w:rsid w:val="50D70E34"/>
    <w:rsid w:val="50D77086"/>
    <w:rsid w:val="50D852D8"/>
    <w:rsid w:val="50DD4005"/>
    <w:rsid w:val="50E023DF"/>
    <w:rsid w:val="50E377D9"/>
    <w:rsid w:val="50E84DEF"/>
    <w:rsid w:val="50EA0B67"/>
    <w:rsid w:val="50EA6DB9"/>
    <w:rsid w:val="50EC48E0"/>
    <w:rsid w:val="50ED2406"/>
    <w:rsid w:val="50F43794"/>
    <w:rsid w:val="50F9524E"/>
    <w:rsid w:val="50FD4D3F"/>
    <w:rsid w:val="50FE4613"/>
    <w:rsid w:val="510A2FB8"/>
    <w:rsid w:val="51114346"/>
    <w:rsid w:val="51145BE4"/>
    <w:rsid w:val="51165E00"/>
    <w:rsid w:val="511B6F73"/>
    <w:rsid w:val="512247A5"/>
    <w:rsid w:val="512401D7"/>
    <w:rsid w:val="51253B27"/>
    <w:rsid w:val="512A18AC"/>
    <w:rsid w:val="512C2F2E"/>
    <w:rsid w:val="512C73D2"/>
    <w:rsid w:val="513424C7"/>
    <w:rsid w:val="51383A19"/>
    <w:rsid w:val="513B13C3"/>
    <w:rsid w:val="514364CA"/>
    <w:rsid w:val="51450494"/>
    <w:rsid w:val="51475FBA"/>
    <w:rsid w:val="51477D68"/>
    <w:rsid w:val="514E10F6"/>
    <w:rsid w:val="51510BE7"/>
    <w:rsid w:val="5151508A"/>
    <w:rsid w:val="51544C79"/>
    <w:rsid w:val="515D57DD"/>
    <w:rsid w:val="51694182"/>
    <w:rsid w:val="516A3A56"/>
    <w:rsid w:val="516E1798"/>
    <w:rsid w:val="51736DAF"/>
    <w:rsid w:val="517C60EC"/>
    <w:rsid w:val="517D7C2E"/>
    <w:rsid w:val="517F61AE"/>
    <w:rsid w:val="51840539"/>
    <w:rsid w:val="51850890"/>
    <w:rsid w:val="51864D34"/>
    <w:rsid w:val="5187285A"/>
    <w:rsid w:val="51890380"/>
    <w:rsid w:val="51894111"/>
    <w:rsid w:val="518965D2"/>
    <w:rsid w:val="518979CC"/>
    <w:rsid w:val="518A40F8"/>
    <w:rsid w:val="519136D9"/>
    <w:rsid w:val="51915487"/>
    <w:rsid w:val="51956D25"/>
    <w:rsid w:val="51986815"/>
    <w:rsid w:val="519B6306"/>
    <w:rsid w:val="519D207E"/>
    <w:rsid w:val="519E14F8"/>
    <w:rsid w:val="51A46F68"/>
    <w:rsid w:val="51A74CAA"/>
    <w:rsid w:val="51B01DB1"/>
    <w:rsid w:val="51B2358A"/>
    <w:rsid w:val="51B573C7"/>
    <w:rsid w:val="51B6560A"/>
    <w:rsid w:val="51B82A14"/>
    <w:rsid w:val="51B9766F"/>
    <w:rsid w:val="51BA678C"/>
    <w:rsid w:val="51BB2504"/>
    <w:rsid w:val="51BF1F00"/>
    <w:rsid w:val="51BF1FF4"/>
    <w:rsid w:val="51C13FBE"/>
    <w:rsid w:val="51C21AE4"/>
    <w:rsid w:val="51C23892"/>
    <w:rsid w:val="51C25640"/>
    <w:rsid w:val="51C4760A"/>
    <w:rsid w:val="51C94C21"/>
    <w:rsid w:val="51CC64BF"/>
    <w:rsid w:val="51D04201"/>
    <w:rsid w:val="51D33CF1"/>
    <w:rsid w:val="51D51818"/>
    <w:rsid w:val="51DD06CC"/>
    <w:rsid w:val="51E657D3"/>
    <w:rsid w:val="51E97071"/>
    <w:rsid w:val="51EB103B"/>
    <w:rsid w:val="51F003FF"/>
    <w:rsid w:val="51F021AD"/>
    <w:rsid w:val="51F36142"/>
    <w:rsid w:val="51FA127E"/>
    <w:rsid w:val="51FD2B1C"/>
    <w:rsid w:val="520308E4"/>
    <w:rsid w:val="52036385"/>
    <w:rsid w:val="520B348B"/>
    <w:rsid w:val="520D3786"/>
    <w:rsid w:val="521265C8"/>
    <w:rsid w:val="52140592"/>
    <w:rsid w:val="52173BDE"/>
    <w:rsid w:val="52187956"/>
    <w:rsid w:val="521B6B6B"/>
    <w:rsid w:val="52257019"/>
    <w:rsid w:val="52262073"/>
    <w:rsid w:val="522D3402"/>
    <w:rsid w:val="52304CA0"/>
    <w:rsid w:val="523522B6"/>
    <w:rsid w:val="523957BE"/>
    <w:rsid w:val="523A167B"/>
    <w:rsid w:val="523C53F3"/>
    <w:rsid w:val="523E560F"/>
    <w:rsid w:val="523F1387"/>
    <w:rsid w:val="524349D3"/>
    <w:rsid w:val="52481FEA"/>
    <w:rsid w:val="524A3FB4"/>
    <w:rsid w:val="524D13AE"/>
    <w:rsid w:val="525C4C3F"/>
    <w:rsid w:val="525C5A95"/>
    <w:rsid w:val="52627BBF"/>
    <w:rsid w:val="52636E23"/>
    <w:rsid w:val="5268268C"/>
    <w:rsid w:val="5272350A"/>
    <w:rsid w:val="527463AF"/>
    <w:rsid w:val="52796647"/>
    <w:rsid w:val="527C6137"/>
    <w:rsid w:val="527D5F08"/>
    <w:rsid w:val="527E0828"/>
    <w:rsid w:val="527E5A0B"/>
    <w:rsid w:val="52833022"/>
    <w:rsid w:val="528B0128"/>
    <w:rsid w:val="52941849"/>
    <w:rsid w:val="52943481"/>
    <w:rsid w:val="52952D55"/>
    <w:rsid w:val="52A15B9E"/>
    <w:rsid w:val="52A35472"/>
    <w:rsid w:val="52AA6800"/>
    <w:rsid w:val="52AB07CA"/>
    <w:rsid w:val="52B15DE1"/>
    <w:rsid w:val="52B7716F"/>
    <w:rsid w:val="52BB0A0D"/>
    <w:rsid w:val="52BF7DD2"/>
    <w:rsid w:val="52C06024"/>
    <w:rsid w:val="52CB49C9"/>
    <w:rsid w:val="52CF44B9"/>
    <w:rsid w:val="52D03D8D"/>
    <w:rsid w:val="52D65847"/>
    <w:rsid w:val="52D970E6"/>
    <w:rsid w:val="52DB10B0"/>
    <w:rsid w:val="52DC0984"/>
    <w:rsid w:val="52E14244"/>
    <w:rsid w:val="52E15F9A"/>
    <w:rsid w:val="52E46546"/>
    <w:rsid w:val="52EF06B7"/>
    <w:rsid w:val="52F12681"/>
    <w:rsid w:val="52F1442F"/>
    <w:rsid w:val="52F42171"/>
    <w:rsid w:val="52F537F4"/>
    <w:rsid w:val="52F60BC6"/>
    <w:rsid w:val="52FB3500"/>
    <w:rsid w:val="52FC2DD4"/>
    <w:rsid w:val="52FE057D"/>
    <w:rsid w:val="52FE4D9E"/>
    <w:rsid w:val="530028C4"/>
    <w:rsid w:val="53062BA0"/>
    <w:rsid w:val="53084200"/>
    <w:rsid w:val="53167C94"/>
    <w:rsid w:val="53183CF5"/>
    <w:rsid w:val="53193986"/>
    <w:rsid w:val="531C6FD2"/>
    <w:rsid w:val="531E0F9C"/>
    <w:rsid w:val="532D11DF"/>
    <w:rsid w:val="532E7431"/>
    <w:rsid w:val="532F2EC1"/>
    <w:rsid w:val="53312A7E"/>
    <w:rsid w:val="533267F6"/>
    <w:rsid w:val="533E33EC"/>
    <w:rsid w:val="5345477B"/>
    <w:rsid w:val="534722A1"/>
    <w:rsid w:val="53484A8D"/>
    <w:rsid w:val="5349426B"/>
    <w:rsid w:val="53496C6B"/>
    <w:rsid w:val="534F73A8"/>
    <w:rsid w:val="53511372"/>
    <w:rsid w:val="535844AE"/>
    <w:rsid w:val="5364772A"/>
    <w:rsid w:val="53672943"/>
    <w:rsid w:val="536A41E2"/>
    <w:rsid w:val="536A5F90"/>
    <w:rsid w:val="537137C2"/>
    <w:rsid w:val="53715570"/>
    <w:rsid w:val="53722A75"/>
    <w:rsid w:val="53755060"/>
    <w:rsid w:val="53762B86"/>
    <w:rsid w:val="537868FE"/>
    <w:rsid w:val="53794425"/>
    <w:rsid w:val="537961D3"/>
    <w:rsid w:val="537D3F15"/>
    <w:rsid w:val="537D5CC3"/>
    <w:rsid w:val="537F5A73"/>
    <w:rsid w:val="53807561"/>
    <w:rsid w:val="538232D9"/>
    <w:rsid w:val="538434F5"/>
    <w:rsid w:val="5386726D"/>
    <w:rsid w:val="53890B0C"/>
    <w:rsid w:val="538B4884"/>
    <w:rsid w:val="538B63C7"/>
    <w:rsid w:val="5391176E"/>
    <w:rsid w:val="53915C12"/>
    <w:rsid w:val="539D0113"/>
    <w:rsid w:val="539D45B7"/>
    <w:rsid w:val="53A1623C"/>
    <w:rsid w:val="53A2397B"/>
    <w:rsid w:val="53A45945"/>
    <w:rsid w:val="53A476F3"/>
    <w:rsid w:val="53A72D40"/>
    <w:rsid w:val="53AA2830"/>
    <w:rsid w:val="53B84F4D"/>
    <w:rsid w:val="53BD2563"/>
    <w:rsid w:val="53BF17C5"/>
    <w:rsid w:val="53C102A5"/>
    <w:rsid w:val="53C953AC"/>
    <w:rsid w:val="53CD3DC9"/>
    <w:rsid w:val="53CE23FF"/>
    <w:rsid w:val="53D1600F"/>
    <w:rsid w:val="53D224B3"/>
    <w:rsid w:val="53DB6E8D"/>
    <w:rsid w:val="53DD2C05"/>
    <w:rsid w:val="53DE61DE"/>
    <w:rsid w:val="53E67D0C"/>
    <w:rsid w:val="53E915AA"/>
    <w:rsid w:val="53EB5322"/>
    <w:rsid w:val="53EC4BF7"/>
    <w:rsid w:val="53F65A75"/>
    <w:rsid w:val="53F817ED"/>
    <w:rsid w:val="53FD0BB2"/>
    <w:rsid w:val="53FF2B7C"/>
    <w:rsid w:val="540C7047"/>
    <w:rsid w:val="540E2DBF"/>
    <w:rsid w:val="541127AE"/>
    <w:rsid w:val="541303D5"/>
    <w:rsid w:val="541505F1"/>
    <w:rsid w:val="54177EC5"/>
    <w:rsid w:val="541F321E"/>
    <w:rsid w:val="541F6D7A"/>
    <w:rsid w:val="54224ABC"/>
    <w:rsid w:val="542645AC"/>
    <w:rsid w:val="543021C7"/>
    <w:rsid w:val="54316AAD"/>
    <w:rsid w:val="54324CFF"/>
    <w:rsid w:val="543842E0"/>
    <w:rsid w:val="543A1E06"/>
    <w:rsid w:val="54420CBA"/>
    <w:rsid w:val="54442C85"/>
    <w:rsid w:val="544607AB"/>
    <w:rsid w:val="544D38E7"/>
    <w:rsid w:val="54532EC8"/>
    <w:rsid w:val="545A6004"/>
    <w:rsid w:val="545C1D7C"/>
    <w:rsid w:val="545D78A2"/>
    <w:rsid w:val="545F186C"/>
    <w:rsid w:val="546155E5"/>
    <w:rsid w:val="54640C31"/>
    <w:rsid w:val="54660E4D"/>
    <w:rsid w:val="54684BC5"/>
    <w:rsid w:val="54703A7A"/>
    <w:rsid w:val="54754BEC"/>
    <w:rsid w:val="547F1F0F"/>
    <w:rsid w:val="54880DC3"/>
    <w:rsid w:val="54890697"/>
    <w:rsid w:val="5492579E"/>
    <w:rsid w:val="549332C4"/>
    <w:rsid w:val="549A4653"/>
    <w:rsid w:val="549C03CB"/>
    <w:rsid w:val="54A379AB"/>
    <w:rsid w:val="54A84FC1"/>
    <w:rsid w:val="54B75204"/>
    <w:rsid w:val="54BC0A6D"/>
    <w:rsid w:val="54C17E31"/>
    <w:rsid w:val="54C618EB"/>
    <w:rsid w:val="54CA13DC"/>
    <w:rsid w:val="54CD2C7A"/>
    <w:rsid w:val="54D20290"/>
    <w:rsid w:val="54D23DEC"/>
    <w:rsid w:val="54DC110F"/>
    <w:rsid w:val="54DC2EBD"/>
    <w:rsid w:val="54DF48B9"/>
    <w:rsid w:val="54E51D72"/>
    <w:rsid w:val="54E56216"/>
    <w:rsid w:val="54EB3100"/>
    <w:rsid w:val="54EF0E42"/>
    <w:rsid w:val="54F14BBA"/>
    <w:rsid w:val="54FC355F"/>
    <w:rsid w:val="54FE1085"/>
    <w:rsid w:val="550348EE"/>
    <w:rsid w:val="55052414"/>
    <w:rsid w:val="550D3076"/>
    <w:rsid w:val="550D751A"/>
    <w:rsid w:val="550F3292"/>
    <w:rsid w:val="5516017D"/>
    <w:rsid w:val="551663CF"/>
    <w:rsid w:val="55173EF5"/>
    <w:rsid w:val="55197C6D"/>
    <w:rsid w:val="551E5CEB"/>
    <w:rsid w:val="55200FFC"/>
    <w:rsid w:val="55202DAA"/>
    <w:rsid w:val="55236D3E"/>
    <w:rsid w:val="55256612"/>
    <w:rsid w:val="5527238A"/>
    <w:rsid w:val="55284354"/>
    <w:rsid w:val="55287EB0"/>
    <w:rsid w:val="552C5BF2"/>
    <w:rsid w:val="55346855"/>
    <w:rsid w:val="55366A71"/>
    <w:rsid w:val="553D1BAE"/>
    <w:rsid w:val="553D7E00"/>
    <w:rsid w:val="553E5926"/>
    <w:rsid w:val="55450A62"/>
    <w:rsid w:val="55456CB4"/>
    <w:rsid w:val="554F18E1"/>
    <w:rsid w:val="554F368F"/>
    <w:rsid w:val="5551200A"/>
    <w:rsid w:val="5551374B"/>
    <w:rsid w:val="555420CC"/>
    <w:rsid w:val="55545149"/>
    <w:rsid w:val="55570796"/>
    <w:rsid w:val="55572544"/>
    <w:rsid w:val="555B0286"/>
    <w:rsid w:val="5560764A"/>
    <w:rsid w:val="55621614"/>
    <w:rsid w:val="5563538C"/>
    <w:rsid w:val="5563713A"/>
    <w:rsid w:val="55650480"/>
    <w:rsid w:val="556A04C9"/>
    <w:rsid w:val="556C2493"/>
    <w:rsid w:val="556F3D31"/>
    <w:rsid w:val="556F5ADF"/>
    <w:rsid w:val="5579695E"/>
    <w:rsid w:val="557C1FAA"/>
    <w:rsid w:val="557D644E"/>
    <w:rsid w:val="557E5D22"/>
    <w:rsid w:val="557F21C6"/>
    <w:rsid w:val="55807C59"/>
    <w:rsid w:val="558477DD"/>
    <w:rsid w:val="558570B1"/>
    <w:rsid w:val="558772CD"/>
    <w:rsid w:val="55886BA1"/>
    <w:rsid w:val="558A0B6B"/>
    <w:rsid w:val="558C6691"/>
    <w:rsid w:val="558E065B"/>
    <w:rsid w:val="558E2409"/>
    <w:rsid w:val="558F7F2F"/>
    <w:rsid w:val="55913CA7"/>
    <w:rsid w:val="55935C72"/>
    <w:rsid w:val="55972452"/>
    <w:rsid w:val="55986DE4"/>
    <w:rsid w:val="55A35789"/>
    <w:rsid w:val="55A4666A"/>
    <w:rsid w:val="55A559A5"/>
    <w:rsid w:val="55A75279"/>
    <w:rsid w:val="55AF2380"/>
    <w:rsid w:val="55B13DFC"/>
    <w:rsid w:val="55B17EA6"/>
    <w:rsid w:val="55B31E70"/>
    <w:rsid w:val="55B61960"/>
    <w:rsid w:val="55B6370E"/>
    <w:rsid w:val="55B95219"/>
    <w:rsid w:val="55BB0D24"/>
    <w:rsid w:val="55BB2AD2"/>
    <w:rsid w:val="55BD2CEE"/>
    <w:rsid w:val="55C53951"/>
    <w:rsid w:val="55C776C9"/>
    <w:rsid w:val="55C93441"/>
    <w:rsid w:val="55CA71B9"/>
    <w:rsid w:val="55CC0ABE"/>
    <w:rsid w:val="55D02A22"/>
    <w:rsid w:val="55D10548"/>
    <w:rsid w:val="55D3606E"/>
    <w:rsid w:val="55D50038"/>
    <w:rsid w:val="55D63DB0"/>
    <w:rsid w:val="55D87B28"/>
    <w:rsid w:val="55E0078B"/>
    <w:rsid w:val="55E262B1"/>
    <w:rsid w:val="55E4027B"/>
    <w:rsid w:val="55E42029"/>
    <w:rsid w:val="55E464CD"/>
    <w:rsid w:val="55E52DA6"/>
    <w:rsid w:val="55E738C7"/>
    <w:rsid w:val="55E97640"/>
    <w:rsid w:val="55EA33B8"/>
    <w:rsid w:val="55EC5382"/>
    <w:rsid w:val="55EC7130"/>
    <w:rsid w:val="55F14746"/>
    <w:rsid w:val="55F67FAE"/>
    <w:rsid w:val="55F935FB"/>
    <w:rsid w:val="56024BA5"/>
    <w:rsid w:val="560B1CAC"/>
    <w:rsid w:val="56116B96"/>
    <w:rsid w:val="56150435"/>
    <w:rsid w:val="561641AD"/>
    <w:rsid w:val="561A3C9D"/>
    <w:rsid w:val="561A5A4B"/>
    <w:rsid w:val="561F12B3"/>
    <w:rsid w:val="561F3061"/>
    <w:rsid w:val="562B40FC"/>
    <w:rsid w:val="56301712"/>
    <w:rsid w:val="563F54B2"/>
    <w:rsid w:val="564B20A8"/>
    <w:rsid w:val="564B3E56"/>
    <w:rsid w:val="564C7BCE"/>
    <w:rsid w:val="56554CD5"/>
    <w:rsid w:val="56561C37"/>
    <w:rsid w:val="56574EF1"/>
    <w:rsid w:val="565C0F05"/>
    <w:rsid w:val="565D1DDC"/>
    <w:rsid w:val="56633896"/>
    <w:rsid w:val="56665134"/>
    <w:rsid w:val="56674A08"/>
    <w:rsid w:val="56690780"/>
    <w:rsid w:val="566E5D97"/>
    <w:rsid w:val="56757125"/>
    <w:rsid w:val="567C4958"/>
    <w:rsid w:val="56813D1C"/>
    <w:rsid w:val="568850AA"/>
    <w:rsid w:val="568B6949"/>
    <w:rsid w:val="569357FD"/>
    <w:rsid w:val="56951575"/>
    <w:rsid w:val="569577C7"/>
    <w:rsid w:val="56981066"/>
    <w:rsid w:val="569E48CE"/>
    <w:rsid w:val="569E667C"/>
    <w:rsid w:val="569F0646"/>
    <w:rsid w:val="569F41A2"/>
    <w:rsid w:val="56A83DD4"/>
    <w:rsid w:val="56AD2D63"/>
    <w:rsid w:val="56B51C18"/>
    <w:rsid w:val="56B75990"/>
    <w:rsid w:val="56BB4D84"/>
    <w:rsid w:val="56BE3705"/>
    <w:rsid w:val="56C854A7"/>
    <w:rsid w:val="56CB31E9"/>
    <w:rsid w:val="56CD0D0F"/>
    <w:rsid w:val="56CF293C"/>
    <w:rsid w:val="56D54068"/>
    <w:rsid w:val="56DA179D"/>
    <w:rsid w:val="56E12A0D"/>
    <w:rsid w:val="56E147BB"/>
    <w:rsid w:val="56E322E1"/>
    <w:rsid w:val="56E45420"/>
    <w:rsid w:val="56E60023"/>
    <w:rsid w:val="56E61DD1"/>
    <w:rsid w:val="56E85B49"/>
    <w:rsid w:val="56EB388B"/>
    <w:rsid w:val="56F75D8C"/>
    <w:rsid w:val="56F95FA8"/>
    <w:rsid w:val="56FE35BF"/>
    <w:rsid w:val="570109B9"/>
    <w:rsid w:val="570404A9"/>
    <w:rsid w:val="570861EB"/>
    <w:rsid w:val="571050A0"/>
    <w:rsid w:val="571444FF"/>
    <w:rsid w:val="57144B90"/>
    <w:rsid w:val="5714693E"/>
    <w:rsid w:val="57212E09"/>
    <w:rsid w:val="57266671"/>
    <w:rsid w:val="572823EA"/>
    <w:rsid w:val="572A43B4"/>
    <w:rsid w:val="572F5526"/>
    <w:rsid w:val="573174F0"/>
    <w:rsid w:val="5737087F"/>
    <w:rsid w:val="57390153"/>
    <w:rsid w:val="57407733"/>
    <w:rsid w:val="57446072"/>
    <w:rsid w:val="57497CEB"/>
    <w:rsid w:val="574A2360"/>
    <w:rsid w:val="574C432A"/>
    <w:rsid w:val="574D00A2"/>
    <w:rsid w:val="5753390A"/>
    <w:rsid w:val="575651A9"/>
    <w:rsid w:val="57574A7D"/>
    <w:rsid w:val="57575742"/>
    <w:rsid w:val="57581193"/>
    <w:rsid w:val="575925A3"/>
    <w:rsid w:val="575B631B"/>
    <w:rsid w:val="575E5E0B"/>
    <w:rsid w:val="57601B83"/>
    <w:rsid w:val="57607DD5"/>
    <w:rsid w:val="576553EC"/>
    <w:rsid w:val="57672F12"/>
    <w:rsid w:val="57692DBE"/>
    <w:rsid w:val="576A47B0"/>
    <w:rsid w:val="57770C7B"/>
    <w:rsid w:val="577B076B"/>
    <w:rsid w:val="577D0987"/>
    <w:rsid w:val="577E64AD"/>
    <w:rsid w:val="57803FD4"/>
    <w:rsid w:val="57805D82"/>
    <w:rsid w:val="578A30A4"/>
    <w:rsid w:val="57925AB5"/>
    <w:rsid w:val="57947A7F"/>
    <w:rsid w:val="57996E43"/>
    <w:rsid w:val="579D2DD8"/>
    <w:rsid w:val="579F72F0"/>
    <w:rsid w:val="57A001D2"/>
    <w:rsid w:val="57A35F14"/>
    <w:rsid w:val="57A51C8C"/>
    <w:rsid w:val="57A71560"/>
    <w:rsid w:val="57AB24DB"/>
    <w:rsid w:val="57B43C7D"/>
    <w:rsid w:val="57B819BF"/>
    <w:rsid w:val="57BB14B0"/>
    <w:rsid w:val="57BB4980"/>
    <w:rsid w:val="57C02622"/>
    <w:rsid w:val="57CB07E8"/>
    <w:rsid w:val="57CF2865"/>
    <w:rsid w:val="57D52571"/>
    <w:rsid w:val="57D956A8"/>
    <w:rsid w:val="57DB3900"/>
    <w:rsid w:val="57DD31D4"/>
    <w:rsid w:val="57DF519E"/>
    <w:rsid w:val="57E2517A"/>
    <w:rsid w:val="57E44562"/>
    <w:rsid w:val="57E52089"/>
    <w:rsid w:val="57E722A5"/>
    <w:rsid w:val="57EF4CB5"/>
    <w:rsid w:val="57FB5D50"/>
    <w:rsid w:val="58022C3B"/>
    <w:rsid w:val="580B5F93"/>
    <w:rsid w:val="58164938"/>
    <w:rsid w:val="581B1F4E"/>
    <w:rsid w:val="581B3CFC"/>
    <w:rsid w:val="581C6ABA"/>
    <w:rsid w:val="581D5CC6"/>
    <w:rsid w:val="581F685D"/>
    <w:rsid w:val="58207565"/>
    <w:rsid w:val="582153E0"/>
    <w:rsid w:val="582232DD"/>
    <w:rsid w:val="5822508B"/>
    <w:rsid w:val="58244F2D"/>
    <w:rsid w:val="582708F3"/>
    <w:rsid w:val="583077A8"/>
    <w:rsid w:val="58322F61"/>
    <w:rsid w:val="58354DBE"/>
    <w:rsid w:val="583D1EC5"/>
    <w:rsid w:val="583F79EB"/>
    <w:rsid w:val="584274DB"/>
    <w:rsid w:val="58450578"/>
    <w:rsid w:val="58466FCB"/>
    <w:rsid w:val="5847689F"/>
    <w:rsid w:val="58496ABB"/>
    <w:rsid w:val="584E40D2"/>
    <w:rsid w:val="585316E8"/>
    <w:rsid w:val="5856692C"/>
    <w:rsid w:val="585711D8"/>
    <w:rsid w:val="58584F50"/>
    <w:rsid w:val="58647451"/>
    <w:rsid w:val="5866141B"/>
    <w:rsid w:val="58680CEE"/>
    <w:rsid w:val="58692CBA"/>
    <w:rsid w:val="586B07E0"/>
    <w:rsid w:val="586B6A32"/>
    <w:rsid w:val="586C0B52"/>
    <w:rsid w:val="58704048"/>
    <w:rsid w:val="587249CB"/>
    <w:rsid w:val="58737694"/>
    <w:rsid w:val="58770836"/>
    <w:rsid w:val="5878114F"/>
    <w:rsid w:val="587D1AD7"/>
    <w:rsid w:val="587D49B7"/>
    <w:rsid w:val="587D6765"/>
    <w:rsid w:val="58825B29"/>
    <w:rsid w:val="5886561A"/>
    <w:rsid w:val="5887032B"/>
    <w:rsid w:val="58873140"/>
    <w:rsid w:val="5889510A"/>
    <w:rsid w:val="58906498"/>
    <w:rsid w:val="5895585D"/>
    <w:rsid w:val="589E6E07"/>
    <w:rsid w:val="58A12453"/>
    <w:rsid w:val="58A40F94"/>
    <w:rsid w:val="58A41F44"/>
    <w:rsid w:val="58A91308"/>
    <w:rsid w:val="58AA36C5"/>
    <w:rsid w:val="58AC2BA6"/>
    <w:rsid w:val="58B55EFF"/>
    <w:rsid w:val="58BA3515"/>
    <w:rsid w:val="58BC728D"/>
    <w:rsid w:val="58BE3005"/>
    <w:rsid w:val="58C1194C"/>
    <w:rsid w:val="58C44394"/>
    <w:rsid w:val="58C46142"/>
    <w:rsid w:val="58C6010C"/>
    <w:rsid w:val="58C86C4E"/>
    <w:rsid w:val="58CB74D0"/>
    <w:rsid w:val="58CD149A"/>
    <w:rsid w:val="58D004CB"/>
    <w:rsid w:val="58D36385"/>
    <w:rsid w:val="58D520FD"/>
    <w:rsid w:val="58D72319"/>
    <w:rsid w:val="58D740C7"/>
    <w:rsid w:val="58DB3C34"/>
    <w:rsid w:val="58DC7930"/>
    <w:rsid w:val="58DE5456"/>
    <w:rsid w:val="58E6255C"/>
    <w:rsid w:val="58E81E30"/>
    <w:rsid w:val="58EF7663"/>
    <w:rsid w:val="58F5279F"/>
    <w:rsid w:val="58F72073"/>
    <w:rsid w:val="58FA6008"/>
    <w:rsid w:val="58FF1E58"/>
    <w:rsid w:val="59012EF2"/>
    <w:rsid w:val="59091DA7"/>
    <w:rsid w:val="590D7AE9"/>
    <w:rsid w:val="590E560F"/>
    <w:rsid w:val="590E7F53"/>
    <w:rsid w:val="59123351"/>
    <w:rsid w:val="591250FF"/>
    <w:rsid w:val="59126EAD"/>
    <w:rsid w:val="591946E0"/>
    <w:rsid w:val="591C1ADA"/>
    <w:rsid w:val="592230B8"/>
    <w:rsid w:val="59254D4A"/>
    <w:rsid w:val="59266DFD"/>
    <w:rsid w:val="592762E1"/>
    <w:rsid w:val="59282B75"/>
    <w:rsid w:val="592D3CE7"/>
    <w:rsid w:val="59335275"/>
    <w:rsid w:val="593A6404"/>
    <w:rsid w:val="593B4656"/>
    <w:rsid w:val="593E7CA2"/>
    <w:rsid w:val="593F3A1A"/>
    <w:rsid w:val="59413C36"/>
    <w:rsid w:val="594A4899"/>
    <w:rsid w:val="594D4389"/>
    <w:rsid w:val="594F3C5E"/>
    <w:rsid w:val="59505C28"/>
    <w:rsid w:val="595219A0"/>
    <w:rsid w:val="5954396A"/>
    <w:rsid w:val="59545718"/>
    <w:rsid w:val="59592D2E"/>
    <w:rsid w:val="5960230F"/>
    <w:rsid w:val="59617E35"/>
    <w:rsid w:val="59682F71"/>
    <w:rsid w:val="596D2336"/>
    <w:rsid w:val="596D4A2C"/>
    <w:rsid w:val="5975743C"/>
    <w:rsid w:val="5979517E"/>
    <w:rsid w:val="597C6A1D"/>
    <w:rsid w:val="59853B23"/>
    <w:rsid w:val="598D671F"/>
    <w:rsid w:val="5996188C"/>
    <w:rsid w:val="5999137D"/>
    <w:rsid w:val="599B22AB"/>
    <w:rsid w:val="599E6993"/>
    <w:rsid w:val="59A3044D"/>
    <w:rsid w:val="59A55F73"/>
    <w:rsid w:val="59A87812"/>
    <w:rsid w:val="59A95D3F"/>
    <w:rsid w:val="59AC10B0"/>
    <w:rsid w:val="59AF0BA0"/>
    <w:rsid w:val="59B14918"/>
    <w:rsid w:val="59B166C6"/>
    <w:rsid w:val="59B461B6"/>
    <w:rsid w:val="59B61F2F"/>
    <w:rsid w:val="59B63CDD"/>
    <w:rsid w:val="59BB7545"/>
    <w:rsid w:val="59BE0DE3"/>
    <w:rsid w:val="59BE5287"/>
    <w:rsid w:val="59C04B5B"/>
    <w:rsid w:val="59C13FC6"/>
    <w:rsid w:val="59C81391"/>
    <w:rsid w:val="59C97EB4"/>
    <w:rsid w:val="59CE54CA"/>
    <w:rsid w:val="59D10B16"/>
    <w:rsid w:val="59D16D68"/>
    <w:rsid w:val="59D979CB"/>
    <w:rsid w:val="59DB7BE7"/>
    <w:rsid w:val="59DD570D"/>
    <w:rsid w:val="59DF0C90"/>
    <w:rsid w:val="59E44CEE"/>
    <w:rsid w:val="59E720E8"/>
    <w:rsid w:val="59F20A8D"/>
    <w:rsid w:val="59F36CDF"/>
    <w:rsid w:val="59F42A57"/>
    <w:rsid w:val="59F842F5"/>
    <w:rsid w:val="59FB3DE5"/>
    <w:rsid w:val="5A033C5F"/>
    <w:rsid w:val="5A040EEC"/>
    <w:rsid w:val="5A054C64"/>
    <w:rsid w:val="5A074538"/>
    <w:rsid w:val="5A105AE3"/>
    <w:rsid w:val="5A132EDD"/>
    <w:rsid w:val="5A1F5D26"/>
    <w:rsid w:val="5A24333C"/>
    <w:rsid w:val="5A250E62"/>
    <w:rsid w:val="5A252C10"/>
    <w:rsid w:val="5A274BDA"/>
    <w:rsid w:val="5A2A46CB"/>
    <w:rsid w:val="5A2C21F1"/>
    <w:rsid w:val="5A330E6F"/>
    <w:rsid w:val="5A3676B9"/>
    <w:rsid w:val="5A386DE8"/>
    <w:rsid w:val="5A3E2CFD"/>
    <w:rsid w:val="5A4B6B1B"/>
    <w:rsid w:val="5A517EA9"/>
    <w:rsid w:val="5A533C21"/>
    <w:rsid w:val="5A582FE6"/>
    <w:rsid w:val="5A5B2AD6"/>
    <w:rsid w:val="5A5F4374"/>
    <w:rsid w:val="5A61633E"/>
    <w:rsid w:val="5A623E64"/>
    <w:rsid w:val="5A655703"/>
    <w:rsid w:val="5A6B2D19"/>
    <w:rsid w:val="5A6C083F"/>
    <w:rsid w:val="5A6E45B7"/>
    <w:rsid w:val="5A70032F"/>
    <w:rsid w:val="5A7122F9"/>
    <w:rsid w:val="5A731BCE"/>
    <w:rsid w:val="5A737E20"/>
    <w:rsid w:val="5A76346C"/>
    <w:rsid w:val="5A767910"/>
    <w:rsid w:val="5A7A2F5C"/>
    <w:rsid w:val="5A7D47FA"/>
    <w:rsid w:val="5A7F4A16"/>
    <w:rsid w:val="5A843DDB"/>
    <w:rsid w:val="5A8738CB"/>
    <w:rsid w:val="5A940217"/>
    <w:rsid w:val="5A9F29C3"/>
    <w:rsid w:val="5AA24261"/>
    <w:rsid w:val="5AA601F5"/>
    <w:rsid w:val="5AA91A93"/>
    <w:rsid w:val="5AA93841"/>
    <w:rsid w:val="5AAB580B"/>
    <w:rsid w:val="5AAD1584"/>
    <w:rsid w:val="5AAD5092"/>
    <w:rsid w:val="5AB0028C"/>
    <w:rsid w:val="5AC02939"/>
    <w:rsid w:val="5AC24903"/>
    <w:rsid w:val="5AC71F19"/>
    <w:rsid w:val="5AC95C92"/>
    <w:rsid w:val="5ACE2385"/>
    <w:rsid w:val="5AD20FEA"/>
    <w:rsid w:val="5AD308BE"/>
    <w:rsid w:val="5AD84127"/>
    <w:rsid w:val="5AE42ACB"/>
    <w:rsid w:val="5AE623A0"/>
    <w:rsid w:val="5AE76118"/>
    <w:rsid w:val="5AE825BC"/>
    <w:rsid w:val="5AED7BD2"/>
    <w:rsid w:val="5AF2343A"/>
    <w:rsid w:val="5AFD593B"/>
    <w:rsid w:val="5AFF3461"/>
    <w:rsid w:val="5B0171D9"/>
    <w:rsid w:val="5B044F1C"/>
    <w:rsid w:val="5B070568"/>
    <w:rsid w:val="5B070DD5"/>
    <w:rsid w:val="5B0824F2"/>
    <w:rsid w:val="5B0B1E06"/>
    <w:rsid w:val="5B0B44FC"/>
    <w:rsid w:val="5B0D4C47"/>
    <w:rsid w:val="5B0E18F6"/>
    <w:rsid w:val="5B0F7567"/>
    <w:rsid w:val="5B130E01"/>
    <w:rsid w:val="5B13515F"/>
    <w:rsid w:val="5B184523"/>
    <w:rsid w:val="5B1A029B"/>
    <w:rsid w:val="5B1C2265"/>
    <w:rsid w:val="5B215ACE"/>
    <w:rsid w:val="5B2E3D47"/>
    <w:rsid w:val="5B321A89"/>
    <w:rsid w:val="5B321FF5"/>
    <w:rsid w:val="5B323837"/>
    <w:rsid w:val="5B3A26EB"/>
    <w:rsid w:val="5B48305A"/>
    <w:rsid w:val="5B4A6DD2"/>
    <w:rsid w:val="5B4D241F"/>
    <w:rsid w:val="5B500161"/>
    <w:rsid w:val="5B5075CB"/>
    <w:rsid w:val="5B5163B3"/>
    <w:rsid w:val="5B525C87"/>
    <w:rsid w:val="5B547C51"/>
    <w:rsid w:val="5B595267"/>
    <w:rsid w:val="5B5B0FE0"/>
    <w:rsid w:val="5B5E462C"/>
    <w:rsid w:val="5B6360E6"/>
    <w:rsid w:val="5B661732"/>
    <w:rsid w:val="5B6854AA"/>
    <w:rsid w:val="5B696CBD"/>
    <w:rsid w:val="5B793214"/>
    <w:rsid w:val="5B7C71A8"/>
    <w:rsid w:val="5B7E082A"/>
    <w:rsid w:val="5B835E40"/>
    <w:rsid w:val="5B871DD5"/>
    <w:rsid w:val="5B885B4D"/>
    <w:rsid w:val="5B8D4F11"/>
    <w:rsid w:val="5B8F6EDB"/>
    <w:rsid w:val="5B962018"/>
    <w:rsid w:val="5B9758FD"/>
    <w:rsid w:val="5B975D90"/>
    <w:rsid w:val="5B9B13DC"/>
    <w:rsid w:val="5B9B5880"/>
    <w:rsid w:val="5BA109BC"/>
    <w:rsid w:val="5BA5225B"/>
    <w:rsid w:val="5BA81D4B"/>
    <w:rsid w:val="5BB16E51"/>
    <w:rsid w:val="5BB57FC4"/>
    <w:rsid w:val="5BB66216"/>
    <w:rsid w:val="5BB71F8E"/>
    <w:rsid w:val="5BBD57F6"/>
    <w:rsid w:val="5BBE62DB"/>
    <w:rsid w:val="5BC22E0D"/>
    <w:rsid w:val="5BC30933"/>
    <w:rsid w:val="5BC56459"/>
    <w:rsid w:val="5BD42B40"/>
    <w:rsid w:val="5BD448EE"/>
    <w:rsid w:val="5BD60666"/>
    <w:rsid w:val="5BD668B8"/>
    <w:rsid w:val="5BD743DE"/>
    <w:rsid w:val="5BD82630"/>
    <w:rsid w:val="5BD8704E"/>
    <w:rsid w:val="5BD91F04"/>
    <w:rsid w:val="5BDC19F5"/>
    <w:rsid w:val="5BDC37A3"/>
    <w:rsid w:val="5BE24306"/>
    <w:rsid w:val="5BE34B31"/>
    <w:rsid w:val="5BE54D4D"/>
    <w:rsid w:val="5BE54EAE"/>
    <w:rsid w:val="5BE865EB"/>
    <w:rsid w:val="5BEC60DC"/>
    <w:rsid w:val="5BF22FC6"/>
    <w:rsid w:val="5BF5277C"/>
    <w:rsid w:val="5BF62AB6"/>
    <w:rsid w:val="5BF94355"/>
    <w:rsid w:val="5BFE7BBD"/>
    <w:rsid w:val="5BFF1022"/>
    <w:rsid w:val="5C02145B"/>
    <w:rsid w:val="5C05719D"/>
    <w:rsid w:val="5C07081F"/>
    <w:rsid w:val="5C076A71"/>
    <w:rsid w:val="5C08720C"/>
    <w:rsid w:val="5C0C22DA"/>
    <w:rsid w:val="5C164F06"/>
    <w:rsid w:val="5C190553"/>
    <w:rsid w:val="5C1C4E26"/>
    <w:rsid w:val="5C1D5175"/>
    <w:rsid w:val="5C2238AB"/>
    <w:rsid w:val="5C2313D1"/>
    <w:rsid w:val="5C25339C"/>
    <w:rsid w:val="5C294C3A"/>
    <w:rsid w:val="5C2A2760"/>
    <w:rsid w:val="5C2F421A"/>
    <w:rsid w:val="5C2F5FC8"/>
    <w:rsid w:val="5C313AEE"/>
    <w:rsid w:val="5C317F92"/>
    <w:rsid w:val="5C3435DF"/>
    <w:rsid w:val="5C3830CF"/>
    <w:rsid w:val="5C3929A3"/>
    <w:rsid w:val="5C3E1F2C"/>
    <w:rsid w:val="5C427AAA"/>
    <w:rsid w:val="5C4557EC"/>
    <w:rsid w:val="5C473312"/>
    <w:rsid w:val="5C4E28F2"/>
    <w:rsid w:val="5C4F0418"/>
    <w:rsid w:val="5C50666A"/>
    <w:rsid w:val="5C5123E2"/>
    <w:rsid w:val="5C533A65"/>
    <w:rsid w:val="5C554CAC"/>
    <w:rsid w:val="5C58551F"/>
    <w:rsid w:val="5C5872CD"/>
    <w:rsid w:val="5C5B500F"/>
    <w:rsid w:val="5C62014C"/>
    <w:rsid w:val="5C621EFA"/>
    <w:rsid w:val="5C6519EA"/>
    <w:rsid w:val="5C69772C"/>
    <w:rsid w:val="5C6C0FCA"/>
    <w:rsid w:val="5C6C296C"/>
    <w:rsid w:val="5C6C2D78"/>
    <w:rsid w:val="5C6E6AF1"/>
    <w:rsid w:val="5C700ABB"/>
    <w:rsid w:val="5C763BF7"/>
    <w:rsid w:val="5C7659A5"/>
    <w:rsid w:val="5C7774D3"/>
    <w:rsid w:val="5C7D31D8"/>
    <w:rsid w:val="5C82434A"/>
    <w:rsid w:val="5C877BB2"/>
    <w:rsid w:val="5C8E2CEF"/>
    <w:rsid w:val="5C931B49"/>
    <w:rsid w:val="5C9522CF"/>
    <w:rsid w:val="5C967DF5"/>
    <w:rsid w:val="5C9D2F32"/>
    <w:rsid w:val="5C9F314E"/>
    <w:rsid w:val="5CA50038"/>
    <w:rsid w:val="5CA95D7B"/>
    <w:rsid w:val="5CA97B29"/>
    <w:rsid w:val="5CAB38A1"/>
    <w:rsid w:val="5CAE15E3"/>
    <w:rsid w:val="5CAE75C8"/>
    <w:rsid w:val="5CAF2C65"/>
    <w:rsid w:val="5CB84210"/>
    <w:rsid w:val="5CB85FBE"/>
    <w:rsid w:val="5CBC3D00"/>
    <w:rsid w:val="5CBD35D4"/>
    <w:rsid w:val="5CC901CB"/>
    <w:rsid w:val="5CCA2F37"/>
    <w:rsid w:val="5CCB5CF1"/>
    <w:rsid w:val="5CD1707F"/>
    <w:rsid w:val="5CD252D1"/>
    <w:rsid w:val="5CD31049"/>
    <w:rsid w:val="5CD56326"/>
    <w:rsid w:val="5CD821BC"/>
    <w:rsid w:val="5CD9503E"/>
    <w:rsid w:val="5CDA4186"/>
    <w:rsid w:val="5CDC7EFE"/>
    <w:rsid w:val="5CDD6B6F"/>
    <w:rsid w:val="5CE2128D"/>
    <w:rsid w:val="5CE2303B"/>
    <w:rsid w:val="5CE70651"/>
    <w:rsid w:val="5CE943C9"/>
    <w:rsid w:val="5CEB1EEF"/>
    <w:rsid w:val="5CEB6393"/>
    <w:rsid w:val="5CED210B"/>
    <w:rsid w:val="5CEE5E83"/>
    <w:rsid w:val="5CEF3B55"/>
    <w:rsid w:val="5CF214D0"/>
    <w:rsid w:val="5CF83777"/>
    <w:rsid w:val="5CFA0384"/>
    <w:rsid w:val="5CFD1C22"/>
    <w:rsid w:val="5CFE60C6"/>
    <w:rsid w:val="5D015BB7"/>
    <w:rsid w:val="5D041203"/>
    <w:rsid w:val="5D04498B"/>
    <w:rsid w:val="5D094A6B"/>
    <w:rsid w:val="5D0C00B7"/>
    <w:rsid w:val="5D0D6309"/>
    <w:rsid w:val="5D0E056E"/>
    <w:rsid w:val="5D106E3A"/>
    <w:rsid w:val="5D1257AE"/>
    <w:rsid w:val="5D156F6C"/>
    <w:rsid w:val="5D170F36"/>
    <w:rsid w:val="5D177188"/>
    <w:rsid w:val="5D1804BF"/>
    <w:rsid w:val="5D186A5C"/>
    <w:rsid w:val="5D215911"/>
    <w:rsid w:val="5D2D075A"/>
    <w:rsid w:val="5D2E002E"/>
    <w:rsid w:val="5D2E44D2"/>
    <w:rsid w:val="5D2E4F87"/>
    <w:rsid w:val="5D323FC2"/>
    <w:rsid w:val="5D332FD7"/>
    <w:rsid w:val="5D3C099D"/>
    <w:rsid w:val="5D3D58D3"/>
    <w:rsid w:val="5D3F048D"/>
    <w:rsid w:val="5D414205"/>
    <w:rsid w:val="5D415FB3"/>
    <w:rsid w:val="5D4635C9"/>
    <w:rsid w:val="5D467A6D"/>
    <w:rsid w:val="5D4B0BE0"/>
    <w:rsid w:val="5D4B5084"/>
    <w:rsid w:val="5D535CE6"/>
    <w:rsid w:val="5D5757D7"/>
    <w:rsid w:val="5D577585"/>
    <w:rsid w:val="5D5977A1"/>
    <w:rsid w:val="5D5F468B"/>
    <w:rsid w:val="5D5F6439"/>
    <w:rsid w:val="5D635F29"/>
    <w:rsid w:val="5D69550A"/>
    <w:rsid w:val="5D6B1282"/>
    <w:rsid w:val="5D6F2B20"/>
    <w:rsid w:val="5D774C0D"/>
    <w:rsid w:val="5D79399F"/>
    <w:rsid w:val="5D7A3273"/>
    <w:rsid w:val="5D7C348F"/>
    <w:rsid w:val="5D7E2D63"/>
    <w:rsid w:val="5D8660BC"/>
    <w:rsid w:val="5D885990"/>
    <w:rsid w:val="5D8A5BAC"/>
    <w:rsid w:val="5D8A795A"/>
    <w:rsid w:val="5D9407D9"/>
    <w:rsid w:val="5D9500AD"/>
    <w:rsid w:val="5D995DEF"/>
    <w:rsid w:val="5D9A3915"/>
    <w:rsid w:val="5D9C58DF"/>
    <w:rsid w:val="5D9C768D"/>
    <w:rsid w:val="5D9E6F62"/>
    <w:rsid w:val="5D9E7966"/>
    <w:rsid w:val="5DA402F0"/>
    <w:rsid w:val="5DA45C25"/>
    <w:rsid w:val="5DA6050C"/>
    <w:rsid w:val="5DA622BA"/>
    <w:rsid w:val="5DA82C29"/>
    <w:rsid w:val="5DAF116F"/>
    <w:rsid w:val="5DAF5613"/>
    <w:rsid w:val="5DB06C95"/>
    <w:rsid w:val="5DB26EB1"/>
    <w:rsid w:val="5DB76275"/>
    <w:rsid w:val="5DBC7D30"/>
    <w:rsid w:val="5DBE13B2"/>
    <w:rsid w:val="5DBE7604"/>
    <w:rsid w:val="5DC00F00"/>
    <w:rsid w:val="5DC15346"/>
    <w:rsid w:val="5DC42740"/>
    <w:rsid w:val="5DD60DF1"/>
    <w:rsid w:val="5DD961EC"/>
    <w:rsid w:val="5DE07B6A"/>
    <w:rsid w:val="5DE52DE2"/>
    <w:rsid w:val="5DE60909"/>
    <w:rsid w:val="5DEA21A7"/>
    <w:rsid w:val="5DED7EE9"/>
    <w:rsid w:val="5DF04D4E"/>
    <w:rsid w:val="5DF94AE0"/>
    <w:rsid w:val="5DFE3EA4"/>
    <w:rsid w:val="5E015742"/>
    <w:rsid w:val="5E0920D8"/>
    <w:rsid w:val="5E0B036F"/>
    <w:rsid w:val="5E0F7E5F"/>
    <w:rsid w:val="5E113BD7"/>
    <w:rsid w:val="5E17280A"/>
    <w:rsid w:val="5E1E00A2"/>
    <w:rsid w:val="5E207C55"/>
    <w:rsid w:val="5E2211CE"/>
    <w:rsid w:val="5E23390B"/>
    <w:rsid w:val="5E27164D"/>
    <w:rsid w:val="5E2A2EEB"/>
    <w:rsid w:val="5E2A6A47"/>
    <w:rsid w:val="5E3478C6"/>
    <w:rsid w:val="5E3A7529"/>
    <w:rsid w:val="5E3D70F6"/>
    <w:rsid w:val="5E420235"/>
    <w:rsid w:val="5E451AD3"/>
    <w:rsid w:val="5E4775F9"/>
    <w:rsid w:val="5E4A0E97"/>
    <w:rsid w:val="5E4A70E9"/>
    <w:rsid w:val="5E4D0988"/>
    <w:rsid w:val="5E4F2952"/>
    <w:rsid w:val="5E4F64AE"/>
    <w:rsid w:val="5E510478"/>
    <w:rsid w:val="5E541514"/>
    <w:rsid w:val="5E56680D"/>
    <w:rsid w:val="5E5D6E1D"/>
    <w:rsid w:val="5E6301AB"/>
    <w:rsid w:val="5E653F23"/>
    <w:rsid w:val="5E6957C1"/>
    <w:rsid w:val="5E6A32E8"/>
    <w:rsid w:val="5E6A778C"/>
    <w:rsid w:val="5E6C3504"/>
    <w:rsid w:val="5E6F08FE"/>
    <w:rsid w:val="5E6F4DA2"/>
    <w:rsid w:val="5E744166"/>
    <w:rsid w:val="5E79177D"/>
    <w:rsid w:val="5E79352B"/>
    <w:rsid w:val="5E7B72A3"/>
    <w:rsid w:val="5E7D19B8"/>
    <w:rsid w:val="5E873E9A"/>
    <w:rsid w:val="5E893AC1"/>
    <w:rsid w:val="5E8A5738"/>
    <w:rsid w:val="5E916AC6"/>
    <w:rsid w:val="5E96232F"/>
    <w:rsid w:val="5E9640DD"/>
    <w:rsid w:val="5E9860A7"/>
    <w:rsid w:val="5E9B7945"/>
    <w:rsid w:val="5E9C63D1"/>
    <w:rsid w:val="5E9F7435"/>
    <w:rsid w:val="5EA20CD3"/>
    <w:rsid w:val="5EA26F25"/>
    <w:rsid w:val="5EA52572"/>
    <w:rsid w:val="5EA762EA"/>
    <w:rsid w:val="5EA93E10"/>
    <w:rsid w:val="5EB34C8F"/>
    <w:rsid w:val="5EB629D1"/>
    <w:rsid w:val="5EB6477F"/>
    <w:rsid w:val="5EB96775"/>
    <w:rsid w:val="5EC073AC"/>
    <w:rsid w:val="5EC62C14"/>
    <w:rsid w:val="5EC7698C"/>
    <w:rsid w:val="5ECB647C"/>
    <w:rsid w:val="5ECC322D"/>
    <w:rsid w:val="5ECE1AC8"/>
    <w:rsid w:val="5ECE3876"/>
    <w:rsid w:val="5ECE7D1A"/>
    <w:rsid w:val="5ED6097D"/>
    <w:rsid w:val="5ED64C3B"/>
    <w:rsid w:val="5ED846F5"/>
    <w:rsid w:val="5EDA221B"/>
    <w:rsid w:val="5EE25574"/>
    <w:rsid w:val="5EE66E12"/>
    <w:rsid w:val="5EE673AD"/>
    <w:rsid w:val="5EE72B8A"/>
    <w:rsid w:val="5EF13A09"/>
    <w:rsid w:val="5EF332DD"/>
    <w:rsid w:val="5EF534F9"/>
    <w:rsid w:val="5EF57055"/>
    <w:rsid w:val="5EFC4888"/>
    <w:rsid w:val="5EFD5F0A"/>
    <w:rsid w:val="5F025C16"/>
    <w:rsid w:val="5F0454EA"/>
    <w:rsid w:val="5F0674B4"/>
    <w:rsid w:val="5F096FA4"/>
    <w:rsid w:val="5F1119B5"/>
    <w:rsid w:val="5F117C07"/>
    <w:rsid w:val="5F125E59"/>
    <w:rsid w:val="5F1C0A86"/>
    <w:rsid w:val="5F2416E8"/>
    <w:rsid w:val="5F265461"/>
    <w:rsid w:val="5F296CFF"/>
    <w:rsid w:val="5F2D4A41"/>
    <w:rsid w:val="5F2E07B9"/>
    <w:rsid w:val="5F3202A9"/>
    <w:rsid w:val="5F334021"/>
    <w:rsid w:val="5F357D99"/>
    <w:rsid w:val="5F37766E"/>
    <w:rsid w:val="5F3B6A32"/>
    <w:rsid w:val="5F3F29C6"/>
    <w:rsid w:val="5F443B39"/>
    <w:rsid w:val="5F473629"/>
    <w:rsid w:val="5F4973A1"/>
    <w:rsid w:val="5F4B4EC7"/>
    <w:rsid w:val="5F4E2C09"/>
    <w:rsid w:val="5F533996"/>
    <w:rsid w:val="5F546472"/>
    <w:rsid w:val="5F553F98"/>
    <w:rsid w:val="5F5A15AE"/>
    <w:rsid w:val="5F5A335C"/>
    <w:rsid w:val="5F5E109E"/>
    <w:rsid w:val="5F622211"/>
    <w:rsid w:val="5F6661A5"/>
    <w:rsid w:val="5F6917F1"/>
    <w:rsid w:val="5F693096"/>
    <w:rsid w:val="5F693D64"/>
    <w:rsid w:val="5F6D308F"/>
    <w:rsid w:val="5F7268F8"/>
    <w:rsid w:val="5F7C7776"/>
    <w:rsid w:val="5F816B3B"/>
    <w:rsid w:val="5F830B05"/>
    <w:rsid w:val="5F8403D9"/>
    <w:rsid w:val="5F877425"/>
    <w:rsid w:val="5F88611B"/>
    <w:rsid w:val="5F8B1768"/>
    <w:rsid w:val="5F8D54E0"/>
    <w:rsid w:val="5F932746"/>
    <w:rsid w:val="5F93686E"/>
    <w:rsid w:val="5F97635E"/>
    <w:rsid w:val="5F9A7BFD"/>
    <w:rsid w:val="5F9F5213"/>
    <w:rsid w:val="5FA34D03"/>
    <w:rsid w:val="5FA36AB1"/>
    <w:rsid w:val="5FA56CCD"/>
    <w:rsid w:val="5FA647F3"/>
    <w:rsid w:val="5FA8056B"/>
    <w:rsid w:val="5FAA42E4"/>
    <w:rsid w:val="5FAC4B13"/>
    <w:rsid w:val="5FB07420"/>
    <w:rsid w:val="5FB46F10"/>
    <w:rsid w:val="5FB94527"/>
    <w:rsid w:val="5FBE7D8F"/>
    <w:rsid w:val="5FC1162D"/>
    <w:rsid w:val="5FC15189"/>
    <w:rsid w:val="5FC30F01"/>
    <w:rsid w:val="5FC5111D"/>
    <w:rsid w:val="5FC609F2"/>
    <w:rsid w:val="5FCE38DA"/>
    <w:rsid w:val="5FCE4022"/>
    <w:rsid w:val="5FCF5AF8"/>
    <w:rsid w:val="5FD01870"/>
    <w:rsid w:val="5FD4310E"/>
    <w:rsid w:val="5FD90725"/>
    <w:rsid w:val="5FD924D3"/>
    <w:rsid w:val="5FD96977"/>
    <w:rsid w:val="5FDA449D"/>
    <w:rsid w:val="5FDA624B"/>
    <w:rsid w:val="5FDF3861"/>
    <w:rsid w:val="5FEB2206"/>
    <w:rsid w:val="5FED2422"/>
    <w:rsid w:val="5FF23595"/>
    <w:rsid w:val="5FF76DFD"/>
    <w:rsid w:val="5FF84F72"/>
    <w:rsid w:val="5FF90DC7"/>
    <w:rsid w:val="5FFC08B7"/>
    <w:rsid w:val="5FFF5CB2"/>
    <w:rsid w:val="600532C8"/>
    <w:rsid w:val="600F2399"/>
    <w:rsid w:val="601654D5"/>
    <w:rsid w:val="601B0D3D"/>
    <w:rsid w:val="601D2D07"/>
    <w:rsid w:val="60213E7A"/>
    <w:rsid w:val="60235E44"/>
    <w:rsid w:val="60251BBC"/>
    <w:rsid w:val="60285208"/>
    <w:rsid w:val="602F2A3B"/>
    <w:rsid w:val="603040BD"/>
    <w:rsid w:val="60365B77"/>
    <w:rsid w:val="6037544B"/>
    <w:rsid w:val="60402552"/>
    <w:rsid w:val="6045400C"/>
    <w:rsid w:val="60471B32"/>
    <w:rsid w:val="604D4C6F"/>
    <w:rsid w:val="60522285"/>
    <w:rsid w:val="60545FFD"/>
    <w:rsid w:val="60575AEE"/>
    <w:rsid w:val="6057789C"/>
    <w:rsid w:val="60593614"/>
    <w:rsid w:val="605D3104"/>
    <w:rsid w:val="606C1599"/>
    <w:rsid w:val="606D70BF"/>
    <w:rsid w:val="60732927"/>
    <w:rsid w:val="6074044E"/>
    <w:rsid w:val="60805044"/>
    <w:rsid w:val="60883EF9"/>
    <w:rsid w:val="608A1A1F"/>
    <w:rsid w:val="608C5797"/>
    <w:rsid w:val="60911000"/>
    <w:rsid w:val="609603C4"/>
    <w:rsid w:val="609B59DA"/>
    <w:rsid w:val="609E371C"/>
    <w:rsid w:val="609F196E"/>
    <w:rsid w:val="60A07495"/>
    <w:rsid w:val="60A54AAB"/>
    <w:rsid w:val="60A6142B"/>
    <w:rsid w:val="60A70823"/>
    <w:rsid w:val="60A76A75"/>
    <w:rsid w:val="60A9459B"/>
    <w:rsid w:val="60B116A2"/>
    <w:rsid w:val="60B67DBC"/>
    <w:rsid w:val="60BA67A8"/>
    <w:rsid w:val="60BD3BA3"/>
    <w:rsid w:val="60BF3DBF"/>
    <w:rsid w:val="60C457D9"/>
    <w:rsid w:val="60C90799"/>
    <w:rsid w:val="60CF1B28"/>
    <w:rsid w:val="60D13AF2"/>
    <w:rsid w:val="60D158A0"/>
    <w:rsid w:val="60D4713E"/>
    <w:rsid w:val="60D61108"/>
    <w:rsid w:val="60D86C2E"/>
    <w:rsid w:val="60DF620F"/>
    <w:rsid w:val="60E92BEA"/>
    <w:rsid w:val="60F577E0"/>
    <w:rsid w:val="60F65306"/>
    <w:rsid w:val="60F872D1"/>
    <w:rsid w:val="61007F33"/>
    <w:rsid w:val="610417D1"/>
    <w:rsid w:val="6106379C"/>
    <w:rsid w:val="61073070"/>
    <w:rsid w:val="6109503A"/>
    <w:rsid w:val="610B0DB2"/>
    <w:rsid w:val="61112140"/>
    <w:rsid w:val="61113EEE"/>
    <w:rsid w:val="61131A15"/>
    <w:rsid w:val="6118702B"/>
    <w:rsid w:val="611930CB"/>
    <w:rsid w:val="611A0FF5"/>
    <w:rsid w:val="611D6D37"/>
    <w:rsid w:val="611F2AAF"/>
    <w:rsid w:val="61204131"/>
    <w:rsid w:val="612C6F7A"/>
    <w:rsid w:val="61354081"/>
    <w:rsid w:val="61355E2F"/>
    <w:rsid w:val="61371BA7"/>
    <w:rsid w:val="61461DEA"/>
    <w:rsid w:val="61475B62"/>
    <w:rsid w:val="61532759"/>
    <w:rsid w:val="61534507"/>
    <w:rsid w:val="61573FF7"/>
    <w:rsid w:val="615A7643"/>
    <w:rsid w:val="615F4C5A"/>
    <w:rsid w:val="616109D2"/>
    <w:rsid w:val="61616C24"/>
    <w:rsid w:val="6166423A"/>
    <w:rsid w:val="6166544F"/>
    <w:rsid w:val="61671D60"/>
    <w:rsid w:val="6170330B"/>
    <w:rsid w:val="61705355"/>
    <w:rsid w:val="61722BDF"/>
    <w:rsid w:val="617701F5"/>
    <w:rsid w:val="61783F6D"/>
    <w:rsid w:val="617C580C"/>
    <w:rsid w:val="617F354E"/>
    <w:rsid w:val="61834DEC"/>
    <w:rsid w:val="61842912"/>
    <w:rsid w:val="618A738C"/>
    <w:rsid w:val="618B5A4F"/>
    <w:rsid w:val="619012B7"/>
    <w:rsid w:val="61903065"/>
    <w:rsid w:val="61907509"/>
    <w:rsid w:val="619C7C5C"/>
    <w:rsid w:val="619D5782"/>
    <w:rsid w:val="619F599E"/>
    <w:rsid w:val="61A134C4"/>
    <w:rsid w:val="61A46B11"/>
    <w:rsid w:val="61AB60F1"/>
    <w:rsid w:val="61AB7E9F"/>
    <w:rsid w:val="61AD00BB"/>
    <w:rsid w:val="61B56F70"/>
    <w:rsid w:val="61B72CE8"/>
    <w:rsid w:val="61BA4586"/>
    <w:rsid w:val="61C13B66"/>
    <w:rsid w:val="61C80A51"/>
    <w:rsid w:val="61C86CA3"/>
    <w:rsid w:val="61C96577"/>
    <w:rsid w:val="61CA1B71"/>
    <w:rsid w:val="61CE1DDF"/>
    <w:rsid w:val="61D45648"/>
    <w:rsid w:val="61D5316E"/>
    <w:rsid w:val="61D54F1C"/>
    <w:rsid w:val="61D76EE6"/>
    <w:rsid w:val="61DA69D6"/>
    <w:rsid w:val="61DE64C6"/>
    <w:rsid w:val="61DF3FED"/>
    <w:rsid w:val="61DF6CF6"/>
    <w:rsid w:val="61E11B13"/>
    <w:rsid w:val="61E15FB7"/>
    <w:rsid w:val="61E67129"/>
    <w:rsid w:val="61E82EA1"/>
    <w:rsid w:val="61F25ACE"/>
    <w:rsid w:val="61F566E9"/>
    <w:rsid w:val="61F5736C"/>
    <w:rsid w:val="61F71336"/>
    <w:rsid w:val="61FB0E26"/>
    <w:rsid w:val="61FF01EB"/>
    <w:rsid w:val="62022DBF"/>
    <w:rsid w:val="62065A1D"/>
    <w:rsid w:val="620A72BB"/>
    <w:rsid w:val="620D0B5A"/>
    <w:rsid w:val="621041A6"/>
    <w:rsid w:val="621719D8"/>
    <w:rsid w:val="621A5025"/>
    <w:rsid w:val="621E2D67"/>
    <w:rsid w:val="6220088D"/>
    <w:rsid w:val="622163B3"/>
    <w:rsid w:val="62233ED9"/>
    <w:rsid w:val="62265778"/>
    <w:rsid w:val="62283DAA"/>
    <w:rsid w:val="623205C0"/>
    <w:rsid w:val="623936FD"/>
    <w:rsid w:val="623C31ED"/>
    <w:rsid w:val="623F6839"/>
    <w:rsid w:val="62404A8B"/>
    <w:rsid w:val="62404C02"/>
    <w:rsid w:val="624502F4"/>
    <w:rsid w:val="624520A2"/>
    <w:rsid w:val="62455EA3"/>
    <w:rsid w:val="624C78D4"/>
    <w:rsid w:val="624E3304"/>
    <w:rsid w:val="6251055B"/>
    <w:rsid w:val="625B18C5"/>
    <w:rsid w:val="625C563D"/>
    <w:rsid w:val="625C73EB"/>
    <w:rsid w:val="625D388F"/>
    <w:rsid w:val="625E13B5"/>
    <w:rsid w:val="6263077A"/>
    <w:rsid w:val="626369CC"/>
    <w:rsid w:val="62674B57"/>
    <w:rsid w:val="626764BC"/>
    <w:rsid w:val="62685D90"/>
    <w:rsid w:val="626D33A6"/>
    <w:rsid w:val="62774225"/>
    <w:rsid w:val="627B3D15"/>
    <w:rsid w:val="628A03FC"/>
    <w:rsid w:val="628F77C1"/>
    <w:rsid w:val="62946B85"/>
    <w:rsid w:val="62966DA1"/>
    <w:rsid w:val="6299063F"/>
    <w:rsid w:val="6299419B"/>
    <w:rsid w:val="629D6CD6"/>
    <w:rsid w:val="62A56FE4"/>
    <w:rsid w:val="62A96D4B"/>
    <w:rsid w:val="62AA63A9"/>
    <w:rsid w:val="62AC3ECF"/>
    <w:rsid w:val="62AE0E01"/>
    <w:rsid w:val="62B154A9"/>
    <w:rsid w:val="62B86D17"/>
    <w:rsid w:val="62B965EC"/>
    <w:rsid w:val="62BB05B6"/>
    <w:rsid w:val="62C21944"/>
    <w:rsid w:val="62C3746A"/>
    <w:rsid w:val="62CA25A7"/>
    <w:rsid w:val="62CF4061"/>
    <w:rsid w:val="62D022B3"/>
    <w:rsid w:val="62D358FF"/>
    <w:rsid w:val="62D60F4C"/>
    <w:rsid w:val="62D81168"/>
    <w:rsid w:val="62DB47B4"/>
    <w:rsid w:val="62DF3F41"/>
    <w:rsid w:val="62E2282A"/>
    <w:rsid w:val="62E25B42"/>
    <w:rsid w:val="62E96ED1"/>
    <w:rsid w:val="62EA49F7"/>
    <w:rsid w:val="62EE44E7"/>
    <w:rsid w:val="62EF64B1"/>
    <w:rsid w:val="62F360A5"/>
    <w:rsid w:val="62FD0BCE"/>
    <w:rsid w:val="62FF4946"/>
    <w:rsid w:val="62FF66F4"/>
    <w:rsid w:val="6300421A"/>
    <w:rsid w:val="63035970"/>
    <w:rsid w:val="63041F5D"/>
    <w:rsid w:val="63071A4D"/>
    <w:rsid w:val="630F445E"/>
    <w:rsid w:val="630F58FA"/>
    <w:rsid w:val="63100901"/>
    <w:rsid w:val="631141FF"/>
    <w:rsid w:val="63163A3E"/>
    <w:rsid w:val="632717A7"/>
    <w:rsid w:val="63293771"/>
    <w:rsid w:val="632B74E9"/>
    <w:rsid w:val="63350368"/>
    <w:rsid w:val="633A772C"/>
    <w:rsid w:val="633B489B"/>
    <w:rsid w:val="63414F5F"/>
    <w:rsid w:val="63424833"/>
    <w:rsid w:val="63464323"/>
    <w:rsid w:val="63473BF7"/>
    <w:rsid w:val="634A36E8"/>
    <w:rsid w:val="635307EE"/>
    <w:rsid w:val="635A1B7D"/>
    <w:rsid w:val="635F53E5"/>
    <w:rsid w:val="63624ED5"/>
    <w:rsid w:val="6372336A"/>
    <w:rsid w:val="637309CB"/>
    <w:rsid w:val="63730E90"/>
    <w:rsid w:val="637349EC"/>
    <w:rsid w:val="63780255"/>
    <w:rsid w:val="637D1D0F"/>
    <w:rsid w:val="637F5A87"/>
    <w:rsid w:val="63811DBA"/>
    <w:rsid w:val="63822E81"/>
    <w:rsid w:val="6384309D"/>
    <w:rsid w:val="63844E4C"/>
    <w:rsid w:val="63871E73"/>
    <w:rsid w:val="638E1826"/>
    <w:rsid w:val="63966DA4"/>
    <w:rsid w:val="639808F7"/>
    <w:rsid w:val="63984453"/>
    <w:rsid w:val="639D5F0D"/>
    <w:rsid w:val="63A1155A"/>
    <w:rsid w:val="63A23524"/>
    <w:rsid w:val="63A70B3A"/>
    <w:rsid w:val="63A92B04"/>
    <w:rsid w:val="63AD43A2"/>
    <w:rsid w:val="63B079EF"/>
    <w:rsid w:val="63B3128D"/>
    <w:rsid w:val="63B35731"/>
    <w:rsid w:val="63B70D7D"/>
    <w:rsid w:val="63B82D47"/>
    <w:rsid w:val="63B84AF5"/>
    <w:rsid w:val="63BC2837"/>
    <w:rsid w:val="63BC6393"/>
    <w:rsid w:val="63C17E4E"/>
    <w:rsid w:val="63C96D02"/>
    <w:rsid w:val="63D01E3F"/>
    <w:rsid w:val="63D23E09"/>
    <w:rsid w:val="63D77671"/>
    <w:rsid w:val="63DA0F0F"/>
    <w:rsid w:val="63DD630A"/>
    <w:rsid w:val="63DF6526"/>
    <w:rsid w:val="63E36016"/>
    <w:rsid w:val="63E63410"/>
    <w:rsid w:val="63E678B4"/>
    <w:rsid w:val="63E8362C"/>
    <w:rsid w:val="63E853DA"/>
    <w:rsid w:val="63F20007"/>
    <w:rsid w:val="63F36DE7"/>
    <w:rsid w:val="63FF44D2"/>
    <w:rsid w:val="64021955"/>
    <w:rsid w:val="64065861"/>
    <w:rsid w:val="6408782B"/>
    <w:rsid w:val="640D3093"/>
    <w:rsid w:val="640D4E41"/>
    <w:rsid w:val="641461CF"/>
    <w:rsid w:val="64153CF6"/>
    <w:rsid w:val="64175CC0"/>
    <w:rsid w:val="64191A38"/>
    <w:rsid w:val="64195594"/>
    <w:rsid w:val="641A130C"/>
    <w:rsid w:val="6421269A"/>
    <w:rsid w:val="64234664"/>
    <w:rsid w:val="6424211E"/>
    <w:rsid w:val="642F1E02"/>
    <w:rsid w:val="64300B2F"/>
    <w:rsid w:val="64322AF9"/>
    <w:rsid w:val="64356146"/>
    <w:rsid w:val="64370110"/>
    <w:rsid w:val="643A375C"/>
    <w:rsid w:val="643B19AE"/>
    <w:rsid w:val="643C5726"/>
    <w:rsid w:val="643C74D4"/>
    <w:rsid w:val="643D4406"/>
    <w:rsid w:val="643E324C"/>
    <w:rsid w:val="64430863"/>
    <w:rsid w:val="64487C27"/>
    <w:rsid w:val="644A4F68"/>
    <w:rsid w:val="6457430E"/>
    <w:rsid w:val="645E38EF"/>
    <w:rsid w:val="645E569D"/>
    <w:rsid w:val="64656A2B"/>
    <w:rsid w:val="646627A3"/>
    <w:rsid w:val="646D3B32"/>
    <w:rsid w:val="646D768E"/>
    <w:rsid w:val="646F1658"/>
    <w:rsid w:val="64740A1C"/>
    <w:rsid w:val="64754794"/>
    <w:rsid w:val="64760C38"/>
    <w:rsid w:val="64763CBE"/>
    <w:rsid w:val="64790728"/>
    <w:rsid w:val="647C1FC7"/>
    <w:rsid w:val="64813139"/>
    <w:rsid w:val="648570CD"/>
    <w:rsid w:val="648844C8"/>
    <w:rsid w:val="648A6492"/>
    <w:rsid w:val="648F5856"/>
    <w:rsid w:val="649015CE"/>
    <w:rsid w:val="64917820"/>
    <w:rsid w:val="64964E36"/>
    <w:rsid w:val="64AA2690"/>
    <w:rsid w:val="64AC6408"/>
    <w:rsid w:val="64B33C3A"/>
    <w:rsid w:val="64B4350F"/>
    <w:rsid w:val="64B559C9"/>
    <w:rsid w:val="64B67287"/>
    <w:rsid w:val="64B74DAD"/>
    <w:rsid w:val="64B81251"/>
    <w:rsid w:val="64BB664B"/>
    <w:rsid w:val="64BC23C3"/>
    <w:rsid w:val="64BE613B"/>
    <w:rsid w:val="64C00105"/>
    <w:rsid w:val="64C179D9"/>
    <w:rsid w:val="64C319A4"/>
    <w:rsid w:val="64C51278"/>
    <w:rsid w:val="64C574CA"/>
    <w:rsid w:val="64C73242"/>
    <w:rsid w:val="64CC2606"/>
    <w:rsid w:val="64CF1141"/>
    <w:rsid w:val="64D13A61"/>
    <w:rsid w:val="64D21BE7"/>
    <w:rsid w:val="64D911C7"/>
    <w:rsid w:val="64DD0CB7"/>
    <w:rsid w:val="64DE058B"/>
    <w:rsid w:val="64DE2339"/>
    <w:rsid w:val="64E060B2"/>
    <w:rsid w:val="64E2007C"/>
    <w:rsid w:val="64E536C8"/>
    <w:rsid w:val="64E57B6C"/>
    <w:rsid w:val="64E77440"/>
    <w:rsid w:val="64E8140A"/>
    <w:rsid w:val="64E9765C"/>
    <w:rsid w:val="64EA5182"/>
    <w:rsid w:val="64F46001"/>
    <w:rsid w:val="64F953C5"/>
    <w:rsid w:val="64FD6C64"/>
    <w:rsid w:val="64FF0C2E"/>
    <w:rsid w:val="650049A6"/>
    <w:rsid w:val="6502545F"/>
    <w:rsid w:val="650A312E"/>
    <w:rsid w:val="65110961"/>
    <w:rsid w:val="65130235"/>
    <w:rsid w:val="65136487"/>
    <w:rsid w:val="651421FF"/>
    <w:rsid w:val="6518584B"/>
    <w:rsid w:val="651E4E2C"/>
    <w:rsid w:val="65206DF6"/>
    <w:rsid w:val="65211E78"/>
    <w:rsid w:val="6522491C"/>
    <w:rsid w:val="652341F0"/>
    <w:rsid w:val="65273CE0"/>
    <w:rsid w:val="652A1A23"/>
    <w:rsid w:val="652E1513"/>
    <w:rsid w:val="65311F7E"/>
    <w:rsid w:val="6531690D"/>
    <w:rsid w:val="65336B29"/>
    <w:rsid w:val="65362175"/>
    <w:rsid w:val="653B778C"/>
    <w:rsid w:val="653D1756"/>
    <w:rsid w:val="653F727C"/>
    <w:rsid w:val="65446953"/>
    <w:rsid w:val="6545060B"/>
    <w:rsid w:val="654A79CF"/>
    <w:rsid w:val="654C1999"/>
    <w:rsid w:val="65532D27"/>
    <w:rsid w:val="655E1A15"/>
    <w:rsid w:val="65652A5B"/>
    <w:rsid w:val="656960A7"/>
    <w:rsid w:val="656C5B97"/>
    <w:rsid w:val="656E5DB3"/>
    <w:rsid w:val="656F7435"/>
    <w:rsid w:val="65711400"/>
    <w:rsid w:val="65766A16"/>
    <w:rsid w:val="65772C72"/>
    <w:rsid w:val="657F3B1C"/>
    <w:rsid w:val="65802241"/>
    <w:rsid w:val="65827169"/>
    <w:rsid w:val="658B24C1"/>
    <w:rsid w:val="658C6239"/>
    <w:rsid w:val="658D6460"/>
    <w:rsid w:val="65907AD8"/>
    <w:rsid w:val="65913850"/>
    <w:rsid w:val="65921AA2"/>
    <w:rsid w:val="6598698C"/>
    <w:rsid w:val="659D0447"/>
    <w:rsid w:val="659D21F5"/>
    <w:rsid w:val="659F7D1B"/>
    <w:rsid w:val="65A13A93"/>
    <w:rsid w:val="65A25A5D"/>
    <w:rsid w:val="65A74E21"/>
    <w:rsid w:val="65A96DEB"/>
    <w:rsid w:val="65AC2FF2"/>
    <w:rsid w:val="65AD68DC"/>
    <w:rsid w:val="65AE4402"/>
    <w:rsid w:val="65B03CD6"/>
    <w:rsid w:val="65BC08CD"/>
    <w:rsid w:val="65BF03BD"/>
    <w:rsid w:val="65BF660F"/>
    <w:rsid w:val="65C43C25"/>
    <w:rsid w:val="65C459D3"/>
    <w:rsid w:val="65C47781"/>
    <w:rsid w:val="65C77271"/>
    <w:rsid w:val="65CC4888"/>
    <w:rsid w:val="65D26342"/>
    <w:rsid w:val="65D73958"/>
    <w:rsid w:val="65D75707"/>
    <w:rsid w:val="65DF0A5F"/>
    <w:rsid w:val="65E322FD"/>
    <w:rsid w:val="65E676F8"/>
    <w:rsid w:val="65E816C2"/>
    <w:rsid w:val="65E971E8"/>
    <w:rsid w:val="65EB2F60"/>
    <w:rsid w:val="65EB7404"/>
    <w:rsid w:val="65ED4F2A"/>
    <w:rsid w:val="65F30067"/>
    <w:rsid w:val="65F31E15"/>
    <w:rsid w:val="66003776"/>
    <w:rsid w:val="660202AA"/>
    <w:rsid w:val="66065FEC"/>
    <w:rsid w:val="66081D64"/>
    <w:rsid w:val="6608394C"/>
    <w:rsid w:val="660B1854"/>
    <w:rsid w:val="660B3602"/>
    <w:rsid w:val="660B53B0"/>
    <w:rsid w:val="660E6C4E"/>
    <w:rsid w:val="660F30F2"/>
    <w:rsid w:val="6618187B"/>
    <w:rsid w:val="661A55F3"/>
    <w:rsid w:val="661C75BD"/>
    <w:rsid w:val="66233125"/>
    <w:rsid w:val="662621EA"/>
    <w:rsid w:val="662841B4"/>
    <w:rsid w:val="66293A88"/>
    <w:rsid w:val="662B5A52"/>
    <w:rsid w:val="662F72F1"/>
    <w:rsid w:val="6635242D"/>
    <w:rsid w:val="66372649"/>
    <w:rsid w:val="663743F7"/>
    <w:rsid w:val="66377F53"/>
    <w:rsid w:val="663C7C5F"/>
    <w:rsid w:val="663D12E2"/>
    <w:rsid w:val="663E5786"/>
    <w:rsid w:val="663F14FE"/>
    <w:rsid w:val="664663E8"/>
    <w:rsid w:val="664B1C51"/>
    <w:rsid w:val="664B7EA3"/>
    <w:rsid w:val="664E3FB4"/>
    <w:rsid w:val="66544FA9"/>
    <w:rsid w:val="66546D57"/>
    <w:rsid w:val="66560D21"/>
    <w:rsid w:val="665A00E6"/>
    <w:rsid w:val="66650F64"/>
    <w:rsid w:val="666B40A1"/>
    <w:rsid w:val="666D7E19"/>
    <w:rsid w:val="6686712D"/>
    <w:rsid w:val="66882EA5"/>
    <w:rsid w:val="66925AD1"/>
    <w:rsid w:val="669B46E7"/>
    <w:rsid w:val="669B4986"/>
    <w:rsid w:val="669C24AC"/>
    <w:rsid w:val="669E6224"/>
    <w:rsid w:val="66A00B1A"/>
    <w:rsid w:val="66A15D14"/>
    <w:rsid w:val="66A23F66"/>
    <w:rsid w:val="66A31A8D"/>
    <w:rsid w:val="66A51361"/>
    <w:rsid w:val="66A86CEB"/>
    <w:rsid w:val="66AA2E1B"/>
    <w:rsid w:val="66AB0941"/>
    <w:rsid w:val="66AF75AE"/>
    <w:rsid w:val="66B15F58"/>
    <w:rsid w:val="66B21CD0"/>
    <w:rsid w:val="66B617C0"/>
    <w:rsid w:val="66B912B0"/>
    <w:rsid w:val="66B96B1F"/>
    <w:rsid w:val="66BE68C6"/>
    <w:rsid w:val="66C16402"/>
    <w:rsid w:val="66C33EDD"/>
    <w:rsid w:val="66C37A39"/>
    <w:rsid w:val="66CB4B3F"/>
    <w:rsid w:val="66CF2882"/>
    <w:rsid w:val="66D103A8"/>
    <w:rsid w:val="66D659BE"/>
    <w:rsid w:val="66DD449A"/>
    <w:rsid w:val="66E3632D"/>
    <w:rsid w:val="66E7011D"/>
    <w:rsid w:val="66E71979"/>
    <w:rsid w:val="66EA3218"/>
    <w:rsid w:val="66EB0348"/>
    <w:rsid w:val="66ED11F3"/>
    <w:rsid w:val="66ED4AB6"/>
    <w:rsid w:val="66F61BBC"/>
    <w:rsid w:val="66F916AD"/>
    <w:rsid w:val="67000C8D"/>
    <w:rsid w:val="67010561"/>
    <w:rsid w:val="670342D9"/>
    <w:rsid w:val="670A673E"/>
    <w:rsid w:val="670F5E99"/>
    <w:rsid w:val="6716225F"/>
    <w:rsid w:val="6716400D"/>
    <w:rsid w:val="67191D4F"/>
    <w:rsid w:val="67193AFD"/>
    <w:rsid w:val="671958AB"/>
    <w:rsid w:val="671F424D"/>
    <w:rsid w:val="67204E8B"/>
    <w:rsid w:val="67206C39"/>
    <w:rsid w:val="672506F4"/>
    <w:rsid w:val="6727446C"/>
    <w:rsid w:val="67277FC8"/>
    <w:rsid w:val="672A5D0A"/>
    <w:rsid w:val="672F3320"/>
    <w:rsid w:val="67317098"/>
    <w:rsid w:val="6732696D"/>
    <w:rsid w:val="674212A6"/>
    <w:rsid w:val="674C3ED2"/>
    <w:rsid w:val="675114E9"/>
    <w:rsid w:val="67535261"/>
    <w:rsid w:val="67542D87"/>
    <w:rsid w:val="67550FD9"/>
    <w:rsid w:val="675608AD"/>
    <w:rsid w:val="6759039D"/>
    <w:rsid w:val="675B5EC3"/>
    <w:rsid w:val="675E59B4"/>
    <w:rsid w:val="67674868"/>
    <w:rsid w:val="676905E0"/>
    <w:rsid w:val="676C6322"/>
    <w:rsid w:val="6771764C"/>
    <w:rsid w:val="67746F85"/>
    <w:rsid w:val="67753429"/>
    <w:rsid w:val="6779459B"/>
    <w:rsid w:val="677E1BB2"/>
    <w:rsid w:val="677F7E04"/>
    <w:rsid w:val="67851192"/>
    <w:rsid w:val="6785255D"/>
    <w:rsid w:val="678673E4"/>
    <w:rsid w:val="67876CB8"/>
    <w:rsid w:val="678B49FB"/>
    <w:rsid w:val="678E0047"/>
    <w:rsid w:val="6796339F"/>
    <w:rsid w:val="67980EC5"/>
    <w:rsid w:val="67987117"/>
    <w:rsid w:val="679D4253"/>
    <w:rsid w:val="67A23AF2"/>
    <w:rsid w:val="67A254F4"/>
    <w:rsid w:val="67A27F96"/>
    <w:rsid w:val="67A41618"/>
    <w:rsid w:val="67A91325"/>
    <w:rsid w:val="67AE2497"/>
    <w:rsid w:val="67B4104A"/>
    <w:rsid w:val="67B53825"/>
    <w:rsid w:val="67B57CC9"/>
    <w:rsid w:val="67B6134C"/>
    <w:rsid w:val="67B7628A"/>
    <w:rsid w:val="67B81568"/>
    <w:rsid w:val="67BC1058"/>
    <w:rsid w:val="67BC2E06"/>
    <w:rsid w:val="67BD26DA"/>
    <w:rsid w:val="67BF6452"/>
    <w:rsid w:val="67C3769D"/>
    <w:rsid w:val="67C41CBB"/>
    <w:rsid w:val="67CB129B"/>
    <w:rsid w:val="67CC7965"/>
    <w:rsid w:val="67D04DBA"/>
    <w:rsid w:val="67D30150"/>
    <w:rsid w:val="67D53EC8"/>
    <w:rsid w:val="67D61813"/>
    <w:rsid w:val="67D824D0"/>
    <w:rsid w:val="67DA7730"/>
    <w:rsid w:val="67E22141"/>
    <w:rsid w:val="67E265E5"/>
    <w:rsid w:val="67E4410B"/>
    <w:rsid w:val="67E61C31"/>
    <w:rsid w:val="67EE6D37"/>
    <w:rsid w:val="67F307F2"/>
    <w:rsid w:val="67F56318"/>
    <w:rsid w:val="67F81964"/>
    <w:rsid w:val="68077DF9"/>
    <w:rsid w:val="680C5410"/>
    <w:rsid w:val="680E1188"/>
    <w:rsid w:val="68112A26"/>
    <w:rsid w:val="68126ECA"/>
    <w:rsid w:val="6817003C"/>
    <w:rsid w:val="681D761D"/>
    <w:rsid w:val="68262975"/>
    <w:rsid w:val="68307350"/>
    <w:rsid w:val="6832131A"/>
    <w:rsid w:val="68352BB8"/>
    <w:rsid w:val="6837248C"/>
    <w:rsid w:val="68394C10"/>
    <w:rsid w:val="683C09C0"/>
    <w:rsid w:val="683C7AA3"/>
    <w:rsid w:val="68437083"/>
    <w:rsid w:val="68481B34"/>
    <w:rsid w:val="684F3C7A"/>
    <w:rsid w:val="6850354E"/>
    <w:rsid w:val="68550B65"/>
    <w:rsid w:val="686134C7"/>
    <w:rsid w:val="686A0AB4"/>
    <w:rsid w:val="686B0388"/>
    <w:rsid w:val="686D5EAE"/>
    <w:rsid w:val="686E1C26"/>
    <w:rsid w:val="68701E42"/>
    <w:rsid w:val="68721717"/>
    <w:rsid w:val="68751207"/>
    <w:rsid w:val="68752292"/>
    <w:rsid w:val="687731D1"/>
    <w:rsid w:val="68792AA5"/>
    <w:rsid w:val="687C07E7"/>
    <w:rsid w:val="687C2595"/>
    <w:rsid w:val="687F5BE1"/>
    <w:rsid w:val="687F5F15"/>
    <w:rsid w:val="6885769C"/>
    <w:rsid w:val="68872F66"/>
    <w:rsid w:val="68892AEE"/>
    <w:rsid w:val="688F051A"/>
    <w:rsid w:val="688F22C8"/>
    <w:rsid w:val="68925915"/>
    <w:rsid w:val="68972A5B"/>
    <w:rsid w:val="68996CA3"/>
    <w:rsid w:val="689E42BA"/>
    <w:rsid w:val="68A1024E"/>
    <w:rsid w:val="68A11FFC"/>
    <w:rsid w:val="68A35D74"/>
    <w:rsid w:val="68A37B22"/>
    <w:rsid w:val="68A65864"/>
    <w:rsid w:val="68B41D2F"/>
    <w:rsid w:val="68B65AA7"/>
    <w:rsid w:val="68B95597"/>
    <w:rsid w:val="68B97345"/>
    <w:rsid w:val="68C1269E"/>
    <w:rsid w:val="68C33D20"/>
    <w:rsid w:val="68CC52CB"/>
    <w:rsid w:val="68CF0917"/>
    <w:rsid w:val="68D20407"/>
    <w:rsid w:val="68D423D1"/>
    <w:rsid w:val="68D777CC"/>
    <w:rsid w:val="68D93544"/>
    <w:rsid w:val="68DB3760"/>
    <w:rsid w:val="68E72104"/>
    <w:rsid w:val="68F44821"/>
    <w:rsid w:val="68F640F6"/>
    <w:rsid w:val="68F80968"/>
    <w:rsid w:val="68F93BE6"/>
    <w:rsid w:val="69012A9A"/>
    <w:rsid w:val="69025709"/>
    <w:rsid w:val="69054339"/>
    <w:rsid w:val="69074555"/>
    <w:rsid w:val="690802CD"/>
    <w:rsid w:val="690A5DF3"/>
    <w:rsid w:val="690F51B7"/>
    <w:rsid w:val="69117181"/>
    <w:rsid w:val="691427CE"/>
    <w:rsid w:val="691602F4"/>
    <w:rsid w:val="691E2A2E"/>
    <w:rsid w:val="692073C4"/>
    <w:rsid w:val="6922313D"/>
    <w:rsid w:val="692549DB"/>
    <w:rsid w:val="692A1FF1"/>
    <w:rsid w:val="692C3FBB"/>
    <w:rsid w:val="693115D2"/>
    <w:rsid w:val="693370F8"/>
    <w:rsid w:val="69366BE8"/>
    <w:rsid w:val="693764BC"/>
    <w:rsid w:val="693B41FE"/>
    <w:rsid w:val="693B5FAC"/>
    <w:rsid w:val="6942558D"/>
    <w:rsid w:val="69431305"/>
    <w:rsid w:val="694330B3"/>
    <w:rsid w:val="69456E2B"/>
    <w:rsid w:val="6949691B"/>
    <w:rsid w:val="694E2184"/>
    <w:rsid w:val="694F7CAA"/>
    <w:rsid w:val="695232F6"/>
    <w:rsid w:val="6953779A"/>
    <w:rsid w:val="69545323"/>
    <w:rsid w:val="695D4175"/>
    <w:rsid w:val="69653029"/>
    <w:rsid w:val="69670B4F"/>
    <w:rsid w:val="696848C8"/>
    <w:rsid w:val="696A6892"/>
    <w:rsid w:val="696C43B8"/>
    <w:rsid w:val="696E5EC9"/>
    <w:rsid w:val="697119CE"/>
    <w:rsid w:val="69733998"/>
    <w:rsid w:val="69766FE4"/>
    <w:rsid w:val="69790883"/>
    <w:rsid w:val="697B04CD"/>
    <w:rsid w:val="69801C11"/>
    <w:rsid w:val="698536CB"/>
    <w:rsid w:val="69877444"/>
    <w:rsid w:val="698C6808"/>
    <w:rsid w:val="698F00A6"/>
    <w:rsid w:val="69931944"/>
    <w:rsid w:val="69937B96"/>
    <w:rsid w:val="69961435"/>
    <w:rsid w:val="69981651"/>
    <w:rsid w:val="699851AD"/>
    <w:rsid w:val="699B4C9D"/>
    <w:rsid w:val="699D6C67"/>
    <w:rsid w:val="69A04061"/>
    <w:rsid w:val="69A2602B"/>
    <w:rsid w:val="69A41DA4"/>
    <w:rsid w:val="69A47FF6"/>
    <w:rsid w:val="69B5322F"/>
    <w:rsid w:val="69B83AA1"/>
    <w:rsid w:val="69B8584F"/>
    <w:rsid w:val="69BB0E9B"/>
    <w:rsid w:val="69BD10B7"/>
    <w:rsid w:val="69C02956"/>
    <w:rsid w:val="69C73CE4"/>
    <w:rsid w:val="69CC68E5"/>
    <w:rsid w:val="69D1246D"/>
    <w:rsid w:val="69D501AF"/>
    <w:rsid w:val="69DA3A17"/>
    <w:rsid w:val="69DA7573"/>
    <w:rsid w:val="69DD3507"/>
    <w:rsid w:val="69DF4B8A"/>
    <w:rsid w:val="69E20B1E"/>
    <w:rsid w:val="69EE301F"/>
    <w:rsid w:val="69F10D61"/>
    <w:rsid w:val="69F20600"/>
    <w:rsid w:val="69F80FAC"/>
    <w:rsid w:val="69FB573C"/>
    <w:rsid w:val="69FC1BE0"/>
    <w:rsid w:val="69FD7706"/>
    <w:rsid w:val="6A002D52"/>
    <w:rsid w:val="6A042842"/>
    <w:rsid w:val="6A0E36C1"/>
    <w:rsid w:val="6A130CD7"/>
    <w:rsid w:val="6A1B2991"/>
    <w:rsid w:val="6A1D56B2"/>
    <w:rsid w:val="6A1F142A"/>
    <w:rsid w:val="6A242EE4"/>
    <w:rsid w:val="6A246A40"/>
    <w:rsid w:val="6A2627B9"/>
    <w:rsid w:val="6A276531"/>
    <w:rsid w:val="6A2829D5"/>
    <w:rsid w:val="6A2B1ED2"/>
    <w:rsid w:val="6A333127"/>
    <w:rsid w:val="6A350C4E"/>
    <w:rsid w:val="6A3B3D8A"/>
    <w:rsid w:val="6A3F387A"/>
    <w:rsid w:val="6A42336B"/>
    <w:rsid w:val="6A435FF0"/>
    <w:rsid w:val="6A484E25"/>
    <w:rsid w:val="6A486BD3"/>
    <w:rsid w:val="6A49294B"/>
    <w:rsid w:val="6A4D243B"/>
    <w:rsid w:val="6A50275D"/>
    <w:rsid w:val="6A5437CA"/>
    <w:rsid w:val="6A576E16"/>
    <w:rsid w:val="6A5A6906"/>
    <w:rsid w:val="6A6257BB"/>
    <w:rsid w:val="6A6D03E7"/>
    <w:rsid w:val="6A6E4160"/>
    <w:rsid w:val="6A6E6B49"/>
    <w:rsid w:val="6A70612A"/>
    <w:rsid w:val="6A723C50"/>
    <w:rsid w:val="6A753740"/>
    <w:rsid w:val="6A7A6FA8"/>
    <w:rsid w:val="6A7E0847"/>
    <w:rsid w:val="6A7F011B"/>
    <w:rsid w:val="6A835AC7"/>
    <w:rsid w:val="6A845731"/>
    <w:rsid w:val="6A892D47"/>
    <w:rsid w:val="6A933C89"/>
    <w:rsid w:val="6A935974"/>
    <w:rsid w:val="6A99742E"/>
    <w:rsid w:val="6A9C6F1F"/>
    <w:rsid w:val="6AA81420"/>
    <w:rsid w:val="6AA95198"/>
    <w:rsid w:val="6AAB53B4"/>
    <w:rsid w:val="6AAD6A36"/>
    <w:rsid w:val="6AB75B07"/>
    <w:rsid w:val="6ABB171C"/>
    <w:rsid w:val="6ABE6E95"/>
    <w:rsid w:val="6AC72890"/>
    <w:rsid w:val="6ACB15B2"/>
    <w:rsid w:val="6AD06BC8"/>
    <w:rsid w:val="6AD14E1A"/>
    <w:rsid w:val="6AD22940"/>
    <w:rsid w:val="6AD77F57"/>
    <w:rsid w:val="6ADF0BB9"/>
    <w:rsid w:val="6AE213F9"/>
    <w:rsid w:val="6AE54422"/>
    <w:rsid w:val="6AE85CC0"/>
    <w:rsid w:val="6AEB57B0"/>
    <w:rsid w:val="6AEB755E"/>
    <w:rsid w:val="6AF02DC7"/>
    <w:rsid w:val="6AF1726A"/>
    <w:rsid w:val="6AF44665"/>
    <w:rsid w:val="6B030D4C"/>
    <w:rsid w:val="6B032AFA"/>
    <w:rsid w:val="6B036F9E"/>
    <w:rsid w:val="6B0A032C"/>
    <w:rsid w:val="6B0B2A54"/>
    <w:rsid w:val="6B105217"/>
    <w:rsid w:val="6B19056F"/>
    <w:rsid w:val="6B1B6095"/>
    <w:rsid w:val="6B1D005F"/>
    <w:rsid w:val="6B1E5B86"/>
    <w:rsid w:val="6B2036AC"/>
    <w:rsid w:val="6B2506DA"/>
    <w:rsid w:val="6B252A70"/>
    <w:rsid w:val="6B2A452A"/>
    <w:rsid w:val="6B2B3DFF"/>
    <w:rsid w:val="6B2F7D93"/>
    <w:rsid w:val="6B376C47"/>
    <w:rsid w:val="6B3B04E6"/>
    <w:rsid w:val="6B3B2294"/>
    <w:rsid w:val="6B3D425E"/>
    <w:rsid w:val="6B3E1D84"/>
    <w:rsid w:val="6B3E3B32"/>
    <w:rsid w:val="6B4355EC"/>
    <w:rsid w:val="6B453112"/>
    <w:rsid w:val="6B511AB7"/>
    <w:rsid w:val="6B513865"/>
    <w:rsid w:val="6B5B2936"/>
    <w:rsid w:val="6B5B46E4"/>
    <w:rsid w:val="6B5C045C"/>
    <w:rsid w:val="6B6A6E0E"/>
    <w:rsid w:val="6B737C7F"/>
    <w:rsid w:val="6B7632CC"/>
    <w:rsid w:val="6B7834E8"/>
    <w:rsid w:val="6B79100E"/>
    <w:rsid w:val="6B792DBC"/>
    <w:rsid w:val="6B7F0B6C"/>
    <w:rsid w:val="6B80239C"/>
    <w:rsid w:val="6B80414A"/>
    <w:rsid w:val="6B882FFF"/>
    <w:rsid w:val="6B8974A3"/>
    <w:rsid w:val="6B945E48"/>
    <w:rsid w:val="6B9B71D6"/>
    <w:rsid w:val="6B9E2823"/>
    <w:rsid w:val="6BA240C1"/>
    <w:rsid w:val="6BA442DD"/>
    <w:rsid w:val="6BA51E03"/>
    <w:rsid w:val="6BA77929"/>
    <w:rsid w:val="6BAD4363"/>
    <w:rsid w:val="6BAF2C82"/>
    <w:rsid w:val="6BB00113"/>
    <w:rsid w:val="6BB115A3"/>
    <w:rsid w:val="6BBA6682"/>
    <w:rsid w:val="6BBD714D"/>
    <w:rsid w:val="6BC26511"/>
    <w:rsid w:val="6BC32289"/>
    <w:rsid w:val="6BC54253"/>
    <w:rsid w:val="6BC95AF1"/>
    <w:rsid w:val="6BCE3108"/>
    <w:rsid w:val="6BD149A6"/>
    <w:rsid w:val="6BD72DB0"/>
    <w:rsid w:val="6BD85D34"/>
    <w:rsid w:val="6BD914DC"/>
    <w:rsid w:val="6BDA5F51"/>
    <w:rsid w:val="6BDC3FD7"/>
    <w:rsid w:val="6BDF5315"/>
    <w:rsid w:val="6BE04BE9"/>
    <w:rsid w:val="6BE26BB3"/>
    <w:rsid w:val="6BE35B73"/>
    <w:rsid w:val="6BE96194"/>
    <w:rsid w:val="6BE97F42"/>
    <w:rsid w:val="6BF012D0"/>
    <w:rsid w:val="6BF1329A"/>
    <w:rsid w:val="6BFD579B"/>
    <w:rsid w:val="6BFF1513"/>
    <w:rsid w:val="6BFF6FA0"/>
    <w:rsid w:val="6C07661A"/>
    <w:rsid w:val="6C092392"/>
    <w:rsid w:val="6C0E5BFA"/>
    <w:rsid w:val="6C0E79A8"/>
    <w:rsid w:val="6C133210"/>
    <w:rsid w:val="6C134FBF"/>
    <w:rsid w:val="6C164AAF"/>
    <w:rsid w:val="6C16685D"/>
    <w:rsid w:val="6C1D7BEB"/>
    <w:rsid w:val="6C1F27D0"/>
    <w:rsid w:val="6C270A6A"/>
    <w:rsid w:val="6C2B67AC"/>
    <w:rsid w:val="6C33740F"/>
    <w:rsid w:val="6C3A69EF"/>
    <w:rsid w:val="6C3C4515"/>
    <w:rsid w:val="6C3D028D"/>
    <w:rsid w:val="6C3D203B"/>
    <w:rsid w:val="6C3F4006"/>
    <w:rsid w:val="6C411B2C"/>
    <w:rsid w:val="6C423AF6"/>
    <w:rsid w:val="6C4258A4"/>
    <w:rsid w:val="6C427652"/>
    <w:rsid w:val="6C44161C"/>
    <w:rsid w:val="6C472EBA"/>
    <w:rsid w:val="6C4B4758"/>
    <w:rsid w:val="6C4D36A2"/>
    <w:rsid w:val="6C4D6722"/>
    <w:rsid w:val="6C515AE7"/>
    <w:rsid w:val="6C53185F"/>
    <w:rsid w:val="6C532E82"/>
    <w:rsid w:val="6C5C4BB7"/>
    <w:rsid w:val="6C5C6966"/>
    <w:rsid w:val="6C611866"/>
    <w:rsid w:val="6C615D2A"/>
    <w:rsid w:val="6C6B0957"/>
    <w:rsid w:val="6C6E6699"/>
    <w:rsid w:val="6C700663"/>
    <w:rsid w:val="6C7041BF"/>
    <w:rsid w:val="6C711CE5"/>
    <w:rsid w:val="6C733CAF"/>
    <w:rsid w:val="6C7C2B64"/>
    <w:rsid w:val="6C7F4402"/>
    <w:rsid w:val="6C81017A"/>
    <w:rsid w:val="6C8163CC"/>
    <w:rsid w:val="6C832144"/>
    <w:rsid w:val="6C841A18"/>
    <w:rsid w:val="6C922387"/>
    <w:rsid w:val="6C9854C4"/>
    <w:rsid w:val="6C9A56E0"/>
    <w:rsid w:val="6C9C4FB4"/>
    <w:rsid w:val="6CA36342"/>
    <w:rsid w:val="6CA65E33"/>
    <w:rsid w:val="6CA95923"/>
    <w:rsid w:val="6CAB51F7"/>
    <w:rsid w:val="6CAE6A95"/>
    <w:rsid w:val="6CB247D7"/>
    <w:rsid w:val="6CB70040"/>
    <w:rsid w:val="6CBC7404"/>
    <w:rsid w:val="6CC10EBE"/>
    <w:rsid w:val="6CC30793"/>
    <w:rsid w:val="6CC85DA9"/>
    <w:rsid w:val="6CCB3AEB"/>
    <w:rsid w:val="6CDA788A"/>
    <w:rsid w:val="6CDE55CC"/>
    <w:rsid w:val="6CE81FA7"/>
    <w:rsid w:val="6CF05300"/>
    <w:rsid w:val="6CF52916"/>
    <w:rsid w:val="6CF748E0"/>
    <w:rsid w:val="6CFA617E"/>
    <w:rsid w:val="6CFC1EF7"/>
    <w:rsid w:val="6D0B3EE8"/>
    <w:rsid w:val="6D0D7C60"/>
    <w:rsid w:val="6D125276"/>
    <w:rsid w:val="6D154D66"/>
    <w:rsid w:val="6D1B05CF"/>
    <w:rsid w:val="6D1B7028"/>
    <w:rsid w:val="6D1C4347"/>
    <w:rsid w:val="6D1C60F5"/>
    <w:rsid w:val="6D20018F"/>
    <w:rsid w:val="6D21370B"/>
    <w:rsid w:val="6D2B6338"/>
    <w:rsid w:val="6D325918"/>
    <w:rsid w:val="6D346605"/>
    <w:rsid w:val="6D374CDD"/>
    <w:rsid w:val="6D3A657B"/>
    <w:rsid w:val="6D3C0545"/>
    <w:rsid w:val="6D3C6797"/>
    <w:rsid w:val="6D3E606B"/>
    <w:rsid w:val="6D3F3B91"/>
    <w:rsid w:val="6D4517B6"/>
    <w:rsid w:val="6D464F20"/>
    <w:rsid w:val="6D480C98"/>
    <w:rsid w:val="6D4B2536"/>
    <w:rsid w:val="6D4D4500"/>
    <w:rsid w:val="6D5419EC"/>
    <w:rsid w:val="6D617FAC"/>
    <w:rsid w:val="6D635AD2"/>
    <w:rsid w:val="6D65184A"/>
    <w:rsid w:val="6D655CEE"/>
    <w:rsid w:val="6D667370"/>
    <w:rsid w:val="6D695244"/>
    <w:rsid w:val="6D6F26C8"/>
    <w:rsid w:val="6D71073C"/>
    <w:rsid w:val="6D725D15"/>
    <w:rsid w:val="6D741A8D"/>
    <w:rsid w:val="6D745F31"/>
    <w:rsid w:val="6D77332B"/>
    <w:rsid w:val="6D7777CF"/>
    <w:rsid w:val="6D7B2E1B"/>
    <w:rsid w:val="6D7D4DE5"/>
    <w:rsid w:val="6D837F22"/>
    <w:rsid w:val="6D855A48"/>
    <w:rsid w:val="6D9263B7"/>
    <w:rsid w:val="6D940381"/>
    <w:rsid w:val="6D9739CD"/>
    <w:rsid w:val="6D981C1F"/>
    <w:rsid w:val="6D9914F3"/>
    <w:rsid w:val="6D9C0FE4"/>
    <w:rsid w:val="6DA265FA"/>
    <w:rsid w:val="6DA41436"/>
    <w:rsid w:val="6DAF51BB"/>
    <w:rsid w:val="6DB63E53"/>
    <w:rsid w:val="6DB97DE8"/>
    <w:rsid w:val="6DBC51E2"/>
    <w:rsid w:val="6DBE53FE"/>
    <w:rsid w:val="6DCA3150"/>
    <w:rsid w:val="6DCC18C9"/>
    <w:rsid w:val="6DCC7B1B"/>
    <w:rsid w:val="6DD644F6"/>
    <w:rsid w:val="6DD864C0"/>
    <w:rsid w:val="6DDF784E"/>
    <w:rsid w:val="6DE11C2D"/>
    <w:rsid w:val="6DE2733E"/>
    <w:rsid w:val="6DE36C13"/>
    <w:rsid w:val="6DE5298B"/>
    <w:rsid w:val="6DE611E8"/>
    <w:rsid w:val="6DEA61F3"/>
    <w:rsid w:val="6DEA7FA1"/>
    <w:rsid w:val="6DEF3809"/>
    <w:rsid w:val="6DF350A8"/>
    <w:rsid w:val="6DF606F4"/>
    <w:rsid w:val="6DFA4688"/>
    <w:rsid w:val="6DFB3F5C"/>
    <w:rsid w:val="6DFF1C9E"/>
    <w:rsid w:val="6E0077C5"/>
    <w:rsid w:val="6E02353D"/>
    <w:rsid w:val="6E05302D"/>
    <w:rsid w:val="6E072901"/>
    <w:rsid w:val="6E0B0643"/>
    <w:rsid w:val="6E0C6169"/>
    <w:rsid w:val="6E0C7F17"/>
    <w:rsid w:val="6E0E3C8F"/>
    <w:rsid w:val="6E0F7A08"/>
    <w:rsid w:val="6E101C9B"/>
    <w:rsid w:val="6E130205"/>
    <w:rsid w:val="6E166FE8"/>
    <w:rsid w:val="6E1B63AC"/>
    <w:rsid w:val="6E1E4550"/>
    <w:rsid w:val="6E1F7C4B"/>
    <w:rsid w:val="6E2E7E8E"/>
    <w:rsid w:val="6E3336F6"/>
    <w:rsid w:val="6E3556C0"/>
    <w:rsid w:val="6E361438"/>
    <w:rsid w:val="6E380D0C"/>
    <w:rsid w:val="6E3B07FD"/>
    <w:rsid w:val="6E3F02ED"/>
    <w:rsid w:val="6E3F653F"/>
    <w:rsid w:val="6E4753F3"/>
    <w:rsid w:val="6E4A0A40"/>
    <w:rsid w:val="6E4A4335"/>
    <w:rsid w:val="6E4B4EE4"/>
    <w:rsid w:val="6E4C2A0A"/>
    <w:rsid w:val="6E4E6782"/>
    <w:rsid w:val="6E5622DA"/>
    <w:rsid w:val="6E58315D"/>
    <w:rsid w:val="6E587601"/>
    <w:rsid w:val="6E5972AD"/>
    <w:rsid w:val="6E5C674A"/>
    <w:rsid w:val="6E5E27AB"/>
    <w:rsid w:val="6E657628"/>
    <w:rsid w:val="6E6715F2"/>
    <w:rsid w:val="6E6A0D4E"/>
    <w:rsid w:val="6E6B7334"/>
    <w:rsid w:val="6E761835"/>
    <w:rsid w:val="6E775CD9"/>
    <w:rsid w:val="6E7837FF"/>
    <w:rsid w:val="6E7A30D3"/>
    <w:rsid w:val="6E7A7577"/>
    <w:rsid w:val="6E7F4B8D"/>
    <w:rsid w:val="6E8C2E06"/>
    <w:rsid w:val="6E8D72AA"/>
    <w:rsid w:val="6E91020B"/>
    <w:rsid w:val="6E922B12"/>
    <w:rsid w:val="6E9248C1"/>
    <w:rsid w:val="6E9A19C7"/>
    <w:rsid w:val="6E9C6F69"/>
    <w:rsid w:val="6E9C74ED"/>
    <w:rsid w:val="6EA36ACE"/>
    <w:rsid w:val="6EA91C0A"/>
    <w:rsid w:val="6EAB3BD4"/>
    <w:rsid w:val="6EAD34A8"/>
    <w:rsid w:val="6EAE5472"/>
    <w:rsid w:val="6EB011EB"/>
    <w:rsid w:val="6EB26D11"/>
    <w:rsid w:val="6EBC36EB"/>
    <w:rsid w:val="6EBE3907"/>
    <w:rsid w:val="6EBE56B6"/>
    <w:rsid w:val="6EC151A6"/>
    <w:rsid w:val="6EC802E2"/>
    <w:rsid w:val="6ED053E9"/>
    <w:rsid w:val="6ED07197"/>
    <w:rsid w:val="6ED22F0F"/>
    <w:rsid w:val="6ED722D3"/>
    <w:rsid w:val="6EDC5B3C"/>
    <w:rsid w:val="6EDF387E"/>
    <w:rsid w:val="6EE113A4"/>
    <w:rsid w:val="6EEA46FD"/>
    <w:rsid w:val="6EFC61DE"/>
    <w:rsid w:val="6EFF182A"/>
    <w:rsid w:val="6F045092"/>
    <w:rsid w:val="6F062BB9"/>
    <w:rsid w:val="6F0B4673"/>
    <w:rsid w:val="6F0F5F11"/>
    <w:rsid w:val="6F12155D"/>
    <w:rsid w:val="6F213E96"/>
    <w:rsid w:val="6F233805"/>
    <w:rsid w:val="6F2474E3"/>
    <w:rsid w:val="6F262186"/>
    <w:rsid w:val="6F280D81"/>
    <w:rsid w:val="6F282B2F"/>
    <w:rsid w:val="6F2D6397"/>
    <w:rsid w:val="6F2E62F2"/>
    <w:rsid w:val="6F305E87"/>
    <w:rsid w:val="6F3B4F58"/>
    <w:rsid w:val="6F3C2A7E"/>
    <w:rsid w:val="6F410095"/>
    <w:rsid w:val="6F433E0D"/>
    <w:rsid w:val="6F437969"/>
    <w:rsid w:val="6F457B85"/>
    <w:rsid w:val="6F4638FD"/>
    <w:rsid w:val="6F4656AB"/>
    <w:rsid w:val="6F484F7F"/>
    <w:rsid w:val="6F4F630E"/>
    <w:rsid w:val="6F5002D8"/>
    <w:rsid w:val="6F502086"/>
    <w:rsid w:val="6F524050"/>
    <w:rsid w:val="6F525DFE"/>
    <w:rsid w:val="6F573414"/>
    <w:rsid w:val="6F593630"/>
    <w:rsid w:val="6F59718C"/>
    <w:rsid w:val="6F5B73A8"/>
    <w:rsid w:val="6F5C4ECE"/>
    <w:rsid w:val="6F631DB9"/>
    <w:rsid w:val="6F655B31"/>
    <w:rsid w:val="6F6618A9"/>
    <w:rsid w:val="6F6721E9"/>
    <w:rsid w:val="6F6F69B0"/>
    <w:rsid w:val="6F7044D6"/>
    <w:rsid w:val="6F742218"/>
    <w:rsid w:val="6F743FC6"/>
    <w:rsid w:val="6F745D74"/>
    <w:rsid w:val="6F7B35A7"/>
    <w:rsid w:val="6F7B5355"/>
    <w:rsid w:val="6F7C183E"/>
    <w:rsid w:val="6F7C731F"/>
    <w:rsid w:val="6F7E4E45"/>
    <w:rsid w:val="6F806E0F"/>
    <w:rsid w:val="6F8268E6"/>
    <w:rsid w:val="6F8A37EA"/>
    <w:rsid w:val="6F912DCA"/>
    <w:rsid w:val="6F944668"/>
    <w:rsid w:val="6F9E54E7"/>
    <w:rsid w:val="6FA348AB"/>
    <w:rsid w:val="6FAC7C04"/>
    <w:rsid w:val="6FAD74D8"/>
    <w:rsid w:val="6FAF14A2"/>
    <w:rsid w:val="6FB1072E"/>
    <w:rsid w:val="6FB72105"/>
    <w:rsid w:val="6FBD596D"/>
    <w:rsid w:val="6FBE7937"/>
    <w:rsid w:val="6FC0545D"/>
    <w:rsid w:val="6FC30AAA"/>
    <w:rsid w:val="6FC62348"/>
    <w:rsid w:val="6FC7059A"/>
    <w:rsid w:val="6FCE7B7A"/>
    <w:rsid w:val="6FD864AA"/>
    <w:rsid w:val="6FD9207B"/>
    <w:rsid w:val="6FE078AE"/>
    <w:rsid w:val="6FE3114C"/>
    <w:rsid w:val="6FE4739E"/>
    <w:rsid w:val="6FE70C3C"/>
    <w:rsid w:val="6FE86762"/>
    <w:rsid w:val="6FED3D79"/>
    <w:rsid w:val="6FEF189F"/>
    <w:rsid w:val="6FF13869"/>
    <w:rsid w:val="6FF40A52"/>
    <w:rsid w:val="6FF60E7F"/>
    <w:rsid w:val="6FF62C2D"/>
    <w:rsid w:val="6FF70753"/>
    <w:rsid w:val="6FFB46E7"/>
    <w:rsid w:val="70025A76"/>
    <w:rsid w:val="700B74D8"/>
    <w:rsid w:val="70147557"/>
    <w:rsid w:val="70182BA3"/>
    <w:rsid w:val="701A2DBF"/>
    <w:rsid w:val="701E606E"/>
    <w:rsid w:val="701F03D6"/>
    <w:rsid w:val="70205EFC"/>
    <w:rsid w:val="70207CAA"/>
    <w:rsid w:val="70221F38"/>
    <w:rsid w:val="70231548"/>
    <w:rsid w:val="702C0672"/>
    <w:rsid w:val="702C664F"/>
    <w:rsid w:val="702E23C7"/>
    <w:rsid w:val="702F4391"/>
    <w:rsid w:val="702F613F"/>
    <w:rsid w:val="70311EB7"/>
    <w:rsid w:val="703419A7"/>
    <w:rsid w:val="703A3E0C"/>
    <w:rsid w:val="703A6FBE"/>
    <w:rsid w:val="703B2D36"/>
    <w:rsid w:val="703D15F7"/>
    <w:rsid w:val="70425E72"/>
    <w:rsid w:val="704679F6"/>
    <w:rsid w:val="7047792D"/>
    <w:rsid w:val="704F233D"/>
    <w:rsid w:val="70512559"/>
    <w:rsid w:val="705A7660"/>
    <w:rsid w:val="705D2CAC"/>
    <w:rsid w:val="70622071"/>
    <w:rsid w:val="70651B61"/>
    <w:rsid w:val="706F478E"/>
    <w:rsid w:val="70716758"/>
    <w:rsid w:val="70730722"/>
    <w:rsid w:val="70732E07"/>
    <w:rsid w:val="70787AE6"/>
    <w:rsid w:val="707D334E"/>
    <w:rsid w:val="707F2C23"/>
    <w:rsid w:val="707F70C6"/>
    <w:rsid w:val="7084648B"/>
    <w:rsid w:val="70860455"/>
    <w:rsid w:val="70893AA1"/>
    <w:rsid w:val="708A15C7"/>
    <w:rsid w:val="708B7819"/>
    <w:rsid w:val="708C17E3"/>
    <w:rsid w:val="70903082"/>
    <w:rsid w:val="709366CE"/>
    <w:rsid w:val="70980188"/>
    <w:rsid w:val="70983CE4"/>
    <w:rsid w:val="709D12FB"/>
    <w:rsid w:val="709F32C5"/>
    <w:rsid w:val="70A05304"/>
    <w:rsid w:val="70A215D0"/>
    <w:rsid w:val="70A408DB"/>
    <w:rsid w:val="70A46B2D"/>
    <w:rsid w:val="70AC59E2"/>
    <w:rsid w:val="70B2124A"/>
    <w:rsid w:val="70C20D61"/>
    <w:rsid w:val="70C62A07"/>
    <w:rsid w:val="70CB230C"/>
    <w:rsid w:val="70CE3BAA"/>
    <w:rsid w:val="70CE7706"/>
    <w:rsid w:val="70D867D7"/>
    <w:rsid w:val="70E1568B"/>
    <w:rsid w:val="70E433CD"/>
    <w:rsid w:val="70F21646"/>
    <w:rsid w:val="70F353BF"/>
    <w:rsid w:val="70F57389"/>
    <w:rsid w:val="70FC0717"/>
    <w:rsid w:val="70FC24C5"/>
    <w:rsid w:val="70FE448F"/>
    <w:rsid w:val="710475CC"/>
    <w:rsid w:val="71072C18"/>
    <w:rsid w:val="71092E34"/>
    <w:rsid w:val="710B095A"/>
    <w:rsid w:val="710E5D1A"/>
    <w:rsid w:val="71107D1F"/>
    <w:rsid w:val="711517D9"/>
    <w:rsid w:val="71155335"/>
    <w:rsid w:val="71186BD3"/>
    <w:rsid w:val="711B4938"/>
    <w:rsid w:val="711C66C3"/>
    <w:rsid w:val="71211F2C"/>
    <w:rsid w:val="712612F0"/>
    <w:rsid w:val="712832BA"/>
    <w:rsid w:val="712A5284"/>
    <w:rsid w:val="712B4B58"/>
    <w:rsid w:val="712E4649"/>
    <w:rsid w:val="71324139"/>
    <w:rsid w:val="713734FD"/>
    <w:rsid w:val="713954C7"/>
    <w:rsid w:val="71397275"/>
    <w:rsid w:val="713A123F"/>
    <w:rsid w:val="713A4D9B"/>
    <w:rsid w:val="713C4FB8"/>
    <w:rsid w:val="714479C8"/>
    <w:rsid w:val="71543B26"/>
    <w:rsid w:val="715E0A8A"/>
    <w:rsid w:val="71663DE2"/>
    <w:rsid w:val="71704C61"/>
    <w:rsid w:val="71771B4C"/>
    <w:rsid w:val="717958C4"/>
    <w:rsid w:val="717B788E"/>
    <w:rsid w:val="717E112C"/>
    <w:rsid w:val="71813AE6"/>
    <w:rsid w:val="71866233"/>
    <w:rsid w:val="718801FD"/>
    <w:rsid w:val="718B3849"/>
    <w:rsid w:val="718B55F7"/>
    <w:rsid w:val="7190757A"/>
    <w:rsid w:val="71973F9C"/>
    <w:rsid w:val="719941B8"/>
    <w:rsid w:val="71A843FB"/>
    <w:rsid w:val="71A861A9"/>
    <w:rsid w:val="71B132B0"/>
    <w:rsid w:val="71B7463E"/>
    <w:rsid w:val="71BE3C1E"/>
    <w:rsid w:val="71C034F3"/>
    <w:rsid w:val="71C8684B"/>
    <w:rsid w:val="71CD5C10"/>
    <w:rsid w:val="71D21478"/>
    <w:rsid w:val="71D473EF"/>
    <w:rsid w:val="71D62D16"/>
    <w:rsid w:val="71D7083C"/>
    <w:rsid w:val="71D90A58"/>
    <w:rsid w:val="71DC5E53"/>
    <w:rsid w:val="71DD7011"/>
    <w:rsid w:val="71E116BB"/>
    <w:rsid w:val="71E2790D"/>
    <w:rsid w:val="71E35433"/>
    <w:rsid w:val="71E573FD"/>
    <w:rsid w:val="71EA67C2"/>
    <w:rsid w:val="71EC253A"/>
    <w:rsid w:val="71F87130"/>
    <w:rsid w:val="71F96A05"/>
    <w:rsid w:val="72097D64"/>
    <w:rsid w:val="720E0702"/>
    <w:rsid w:val="720F447A"/>
    <w:rsid w:val="72133F6A"/>
    <w:rsid w:val="7218332F"/>
    <w:rsid w:val="721B2E1F"/>
    <w:rsid w:val="72247F25"/>
    <w:rsid w:val="7229553C"/>
    <w:rsid w:val="722F0678"/>
    <w:rsid w:val="72330169"/>
    <w:rsid w:val="72343EE1"/>
    <w:rsid w:val="72367C59"/>
    <w:rsid w:val="723932A5"/>
    <w:rsid w:val="723B0DCB"/>
    <w:rsid w:val="723B701D"/>
    <w:rsid w:val="723D3A8D"/>
    <w:rsid w:val="723E08BB"/>
    <w:rsid w:val="72402885"/>
    <w:rsid w:val="724759C2"/>
    <w:rsid w:val="72482389"/>
    <w:rsid w:val="724C4D86"/>
    <w:rsid w:val="724E4FA2"/>
    <w:rsid w:val="72513F19"/>
    <w:rsid w:val="72516841"/>
    <w:rsid w:val="72541E8D"/>
    <w:rsid w:val="7258372B"/>
    <w:rsid w:val="725974A3"/>
    <w:rsid w:val="725D1936"/>
    <w:rsid w:val="72600832"/>
    <w:rsid w:val="7265409A"/>
    <w:rsid w:val="726A16B0"/>
    <w:rsid w:val="7270316B"/>
    <w:rsid w:val="727644F9"/>
    <w:rsid w:val="727B4EBF"/>
    <w:rsid w:val="727C377E"/>
    <w:rsid w:val="72804CD0"/>
    <w:rsid w:val="72816160"/>
    <w:rsid w:val="72842772"/>
    <w:rsid w:val="728C74A3"/>
    <w:rsid w:val="728C7879"/>
    <w:rsid w:val="729A1F96"/>
    <w:rsid w:val="72A72905"/>
    <w:rsid w:val="72AA7CFF"/>
    <w:rsid w:val="72AB5F51"/>
    <w:rsid w:val="72AC7F1B"/>
    <w:rsid w:val="72AE5A41"/>
    <w:rsid w:val="72B15531"/>
    <w:rsid w:val="72B33057"/>
    <w:rsid w:val="72B50B7E"/>
    <w:rsid w:val="72B666A4"/>
    <w:rsid w:val="72BB015E"/>
    <w:rsid w:val="72C07522"/>
    <w:rsid w:val="72C708B1"/>
    <w:rsid w:val="72C94629"/>
    <w:rsid w:val="72CC236B"/>
    <w:rsid w:val="72D035A6"/>
    <w:rsid w:val="72D52FCE"/>
    <w:rsid w:val="72D82ABE"/>
    <w:rsid w:val="72D8486C"/>
    <w:rsid w:val="72DD00D4"/>
    <w:rsid w:val="72DD6326"/>
    <w:rsid w:val="72E01973"/>
    <w:rsid w:val="72E15E16"/>
    <w:rsid w:val="72E66F89"/>
    <w:rsid w:val="72E707EF"/>
    <w:rsid w:val="72E74AAF"/>
    <w:rsid w:val="72E871A5"/>
    <w:rsid w:val="72EB27F1"/>
    <w:rsid w:val="72EE408F"/>
    <w:rsid w:val="72F03074"/>
    <w:rsid w:val="72F0605A"/>
    <w:rsid w:val="72F21DD2"/>
    <w:rsid w:val="72F71196"/>
    <w:rsid w:val="72F83160"/>
    <w:rsid w:val="72FC67AC"/>
    <w:rsid w:val="72FD2525"/>
    <w:rsid w:val="72FF629D"/>
    <w:rsid w:val="730613D9"/>
    <w:rsid w:val="7306587D"/>
    <w:rsid w:val="730B4C41"/>
    <w:rsid w:val="730C2768"/>
    <w:rsid w:val="730E64E0"/>
    <w:rsid w:val="73102258"/>
    <w:rsid w:val="73104006"/>
    <w:rsid w:val="73117A99"/>
    <w:rsid w:val="73131D48"/>
    <w:rsid w:val="7315161C"/>
    <w:rsid w:val="7318735E"/>
    <w:rsid w:val="731A1328"/>
    <w:rsid w:val="731B2ABD"/>
    <w:rsid w:val="73246DDB"/>
    <w:rsid w:val="73247AB1"/>
    <w:rsid w:val="73261A7B"/>
    <w:rsid w:val="733028FA"/>
    <w:rsid w:val="73326672"/>
    <w:rsid w:val="73351CBE"/>
    <w:rsid w:val="73357F10"/>
    <w:rsid w:val="734463A5"/>
    <w:rsid w:val="7346211D"/>
    <w:rsid w:val="73465C7A"/>
    <w:rsid w:val="734737A0"/>
    <w:rsid w:val="734B3290"/>
    <w:rsid w:val="734D7008"/>
    <w:rsid w:val="73515A0E"/>
    <w:rsid w:val="73530396"/>
    <w:rsid w:val="735859AD"/>
    <w:rsid w:val="735B05CC"/>
    <w:rsid w:val="73610D05"/>
    <w:rsid w:val="73612AB3"/>
    <w:rsid w:val="736600CA"/>
    <w:rsid w:val="7366631C"/>
    <w:rsid w:val="73685BF0"/>
    <w:rsid w:val="736A5E0C"/>
    <w:rsid w:val="736B748E"/>
    <w:rsid w:val="736F3422"/>
    <w:rsid w:val="7375655F"/>
    <w:rsid w:val="737C169B"/>
    <w:rsid w:val="738A025C"/>
    <w:rsid w:val="738A445E"/>
    <w:rsid w:val="739764D5"/>
    <w:rsid w:val="739C7F8F"/>
    <w:rsid w:val="739F538A"/>
    <w:rsid w:val="73A56E44"/>
    <w:rsid w:val="73B47087"/>
    <w:rsid w:val="73B74BBB"/>
    <w:rsid w:val="73BC5F3C"/>
    <w:rsid w:val="73C13552"/>
    <w:rsid w:val="73C179F6"/>
    <w:rsid w:val="73C44DF0"/>
    <w:rsid w:val="73D72D3E"/>
    <w:rsid w:val="73D95029"/>
    <w:rsid w:val="73D96AC5"/>
    <w:rsid w:val="73DA4BFF"/>
    <w:rsid w:val="73DC213A"/>
    <w:rsid w:val="73DD68D6"/>
    <w:rsid w:val="73DE2356"/>
    <w:rsid w:val="73DE4104"/>
    <w:rsid w:val="73E536E4"/>
    <w:rsid w:val="73EC4A73"/>
    <w:rsid w:val="73ED4347"/>
    <w:rsid w:val="73F06D47"/>
    <w:rsid w:val="73F13E37"/>
    <w:rsid w:val="73F531FC"/>
    <w:rsid w:val="73F92CEC"/>
    <w:rsid w:val="73FB6A64"/>
    <w:rsid w:val="740A314B"/>
    <w:rsid w:val="740F0761"/>
    <w:rsid w:val="740F42BD"/>
    <w:rsid w:val="74143FCA"/>
    <w:rsid w:val="741E09A4"/>
    <w:rsid w:val="742064CB"/>
    <w:rsid w:val="74235FBB"/>
    <w:rsid w:val="74273CFD"/>
    <w:rsid w:val="742A7349"/>
    <w:rsid w:val="742D0BE7"/>
    <w:rsid w:val="742F4960"/>
    <w:rsid w:val="743326A2"/>
    <w:rsid w:val="74341F76"/>
    <w:rsid w:val="74367A9C"/>
    <w:rsid w:val="74387CB8"/>
    <w:rsid w:val="743E1047"/>
    <w:rsid w:val="74424693"/>
    <w:rsid w:val="74471CA9"/>
    <w:rsid w:val="74477EFB"/>
    <w:rsid w:val="744C3764"/>
    <w:rsid w:val="745148D6"/>
    <w:rsid w:val="745D771F"/>
    <w:rsid w:val="74604B19"/>
    <w:rsid w:val="74675EA7"/>
    <w:rsid w:val="746C1710"/>
    <w:rsid w:val="746D7236"/>
    <w:rsid w:val="746E5488"/>
    <w:rsid w:val="74704AA1"/>
    <w:rsid w:val="74746816"/>
    <w:rsid w:val="74793E2D"/>
    <w:rsid w:val="747B7BA5"/>
    <w:rsid w:val="747D391D"/>
    <w:rsid w:val="747F58E7"/>
    <w:rsid w:val="748527D2"/>
    <w:rsid w:val="7487654A"/>
    <w:rsid w:val="748C0004"/>
    <w:rsid w:val="748E78D8"/>
    <w:rsid w:val="74936C9D"/>
    <w:rsid w:val="749649DF"/>
    <w:rsid w:val="749668CA"/>
    <w:rsid w:val="74982505"/>
    <w:rsid w:val="749E3893"/>
    <w:rsid w:val="74A013B9"/>
    <w:rsid w:val="74A0585D"/>
    <w:rsid w:val="74A30DC0"/>
    <w:rsid w:val="74A42250"/>
    <w:rsid w:val="74A54C22"/>
    <w:rsid w:val="74A7099A"/>
    <w:rsid w:val="74A964C0"/>
    <w:rsid w:val="74B51309"/>
    <w:rsid w:val="74B84955"/>
    <w:rsid w:val="74BA06CD"/>
    <w:rsid w:val="74C0380A"/>
    <w:rsid w:val="74C94DB4"/>
    <w:rsid w:val="74C96B62"/>
    <w:rsid w:val="74CA3F6B"/>
    <w:rsid w:val="74CA4688"/>
    <w:rsid w:val="74D6127F"/>
    <w:rsid w:val="74D750DF"/>
    <w:rsid w:val="74D86DA5"/>
    <w:rsid w:val="74DD43BC"/>
    <w:rsid w:val="74E03EAC"/>
    <w:rsid w:val="74E0413E"/>
    <w:rsid w:val="74E05C5A"/>
    <w:rsid w:val="74E97204"/>
    <w:rsid w:val="74EB6AD9"/>
    <w:rsid w:val="74EC45FF"/>
    <w:rsid w:val="74F160B9"/>
    <w:rsid w:val="74F33BDF"/>
    <w:rsid w:val="74F6547D"/>
    <w:rsid w:val="74F900F2"/>
    <w:rsid w:val="74FD05BA"/>
    <w:rsid w:val="74FF2584"/>
    <w:rsid w:val="750202C6"/>
    <w:rsid w:val="75023E22"/>
    <w:rsid w:val="75061B64"/>
    <w:rsid w:val="750656C7"/>
    <w:rsid w:val="750B0F29"/>
    <w:rsid w:val="751002ED"/>
    <w:rsid w:val="751029E3"/>
    <w:rsid w:val="75134281"/>
    <w:rsid w:val="751F2C26"/>
    <w:rsid w:val="752124FA"/>
    <w:rsid w:val="752244C4"/>
    <w:rsid w:val="75287D2D"/>
    <w:rsid w:val="75297256"/>
    <w:rsid w:val="752B15CB"/>
    <w:rsid w:val="752B3379"/>
    <w:rsid w:val="752C0E9F"/>
    <w:rsid w:val="752C70F1"/>
    <w:rsid w:val="752E10BB"/>
    <w:rsid w:val="75383CE8"/>
    <w:rsid w:val="753B10E2"/>
    <w:rsid w:val="753D30AC"/>
    <w:rsid w:val="75412B9C"/>
    <w:rsid w:val="7544443B"/>
    <w:rsid w:val="75510906"/>
    <w:rsid w:val="75556648"/>
    <w:rsid w:val="75592324"/>
    <w:rsid w:val="75596138"/>
    <w:rsid w:val="755E374E"/>
    <w:rsid w:val="75680129"/>
    <w:rsid w:val="756D1BE3"/>
    <w:rsid w:val="75734D20"/>
    <w:rsid w:val="75740EEC"/>
    <w:rsid w:val="757545F4"/>
    <w:rsid w:val="75774810"/>
    <w:rsid w:val="757840E4"/>
    <w:rsid w:val="75824101"/>
    <w:rsid w:val="75845C32"/>
    <w:rsid w:val="75852A82"/>
    <w:rsid w:val="758807CB"/>
    <w:rsid w:val="758B206A"/>
    <w:rsid w:val="759251A6"/>
    <w:rsid w:val="75970A0E"/>
    <w:rsid w:val="75994786"/>
    <w:rsid w:val="75A24B7B"/>
    <w:rsid w:val="75A849CA"/>
    <w:rsid w:val="75AD0232"/>
    <w:rsid w:val="75B01AD0"/>
    <w:rsid w:val="75B23A9A"/>
    <w:rsid w:val="75B415C0"/>
    <w:rsid w:val="75BB5EC9"/>
    <w:rsid w:val="75C15A8B"/>
    <w:rsid w:val="75C64E50"/>
    <w:rsid w:val="75CA2B92"/>
    <w:rsid w:val="75CB06B8"/>
    <w:rsid w:val="75CB107C"/>
    <w:rsid w:val="75CB690A"/>
    <w:rsid w:val="75CD2682"/>
    <w:rsid w:val="75CE1F56"/>
    <w:rsid w:val="75CF01A8"/>
    <w:rsid w:val="75D02172"/>
    <w:rsid w:val="75D21A46"/>
    <w:rsid w:val="75DF733A"/>
    <w:rsid w:val="75E1612D"/>
    <w:rsid w:val="75E31EA6"/>
    <w:rsid w:val="75E35A02"/>
    <w:rsid w:val="75E8126A"/>
    <w:rsid w:val="75EF084A"/>
    <w:rsid w:val="75EF25F8"/>
    <w:rsid w:val="75F324D7"/>
    <w:rsid w:val="75FA2D4B"/>
    <w:rsid w:val="75FC6AC3"/>
    <w:rsid w:val="75FE283B"/>
    <w:rsid w:val="760252E6"/>
    <w:rsid w:val="76085468"/>
    <w:rsid w:val="760D0CD1"/>
    <w:rsid w:val="7610431D"/>
    <w:rsid w:val="761107C1"/>
    <w:rsid w:val="76124539"/>
    <w:rsid w:val="761402B1"/>
    <w:rsid w:val="761756AB"/>
    <w:rsid w:val="7621477C"/>
    <w:rsid w:val="762304F4"/>
    <w:rsid w:val="76277FE4"/>
    <w:rsid w:val="76285B0A"/>
    <w:rsid w:val="762A1882"/>
    <w:rsid w:val="762D4ECF"/>
    <w:rsid w:val="76312C11"/>
    <w:rsid w:val="763224E5"/>
    <w:rsid w:val="7634625D"/>
    <w:rsid w:val="76346CE5"/>
    <w:rsid w:val="763C3364"/>
    <w:rsid w:val="7641097A"/>
    <w:rsid w:val="764346F2"/>
    <w:rsid w:val="764364A0"/>
    <w:rsid w:val="7647515B"/>
    <w:rsid w:val="764A782F"/>
    <w:rsid w:val="764F3097"/>
    <w:rsid w:val="76522B87"/>
    <w:rsid w:val="76592168"/>
    <w:rsid w:val="765C68D8"/>
    <w:rsid w:val="76610B37"/>
    <w:rsid w:val="76650B0D"/>
    <w:rsid w:val="76667385"/>
    <w:rsid w:val="766905FD"/>
    <w:rsid w:val="766A6123"/>
    <w:rsid w:val="766A7ED1"/>
    <w:rsid w:val="766F4367"/>
    <w:rsid w:val="76724FD8"/>
    <w:rsid w:val="76766876"/>
    <w:rsid w:val="767D7C04"/>
    <w:rsid w:val="76805946"/>
    <w:rsid w:val="76816FC9"/>
    <w:rsid w:val="7682521B"/>
    <w:rsid w:val="76856AB9"/>
    <w:rsid w:val="76870A83"/>
    <w:rsid w:val="76962A74"/>
    <w:rsid w:val="76982C90"/>
    <w:rsid w:val="769D3E02"/>
    <w:rsid w:val="769E5DCD"/>
    <w:rsid w:val="76AC2297"/>
    <w:rsid w:val="76BA0E58"/>
    <w:rsid w:val="76BB24DB"/>
    <w:rsid w:val="76BB697E"/>
    <w:rsid w:val="76C03F95"/>
    <w:rsid w:val="76C92E49"/>
    <w:rsid w:val="76CA4E14"/>
    <w:rsid w:val="76D31F1A"/>
    <w:rsid w:val="76D417EE"/>
    <w:rsid w:val="76DB1963"/>
    <w:rsid w:val="76DD4B47"/>
    <w:rsid w:val="76E23F0B"/>
    <w:rsid w:val="76E539FB"/>
    <w:rsid w:val="76E77774"/>
    <w:rsid w:val="76EA1012"/>
    <w:rsid w:val="76EE465E"/>
    <w:rsid w:val="76EF6628"/>
    <w:rsid w:val="76EF6C8C"/>
    <w:rsid w:val="76F0011C"/>
    <w:rsid w:val="76F31C74"/>
    <w:rsid w:val="76FD0D45"/>
    <w:rsid w:val="77040325"/>
    <w:rsid w:val="77046592"/>
    <w:rsid w:val="770C0F88"/>
    <w:rsid w:val="770E6AAE"/>
    <w:rsid w:val="77156AC5"/>
    <w:rsid w:val="77161E07"/>
    <w:rsid w:val="771B11CB"/>
    <w:rsid w:val="77291B3A"/>
    <w:rsid w:val="772E53A2"/>
    <w:rsid w:val="77334767"/>
    <w:rsid w:val="77356731"/>
    <w:rsid w:val="77381D7D"/>
    <w:rsid w:val="77383B2B"/>
    <w:rsid w:val="773A5AF5"/>
    <w:rsid w:val="773C186D"/>
    <w:rsid w:val="7741229E"/>
    <w:rsid w:val="774C5829"/>
    <w:rsid w:val="774E334F"/>
    <w:rsid w:val="7758262A"/>
    <w:rsid w:val="775A6197"/>
    <w:rsid w:val="775C3CBE"/>
    <w:rsid w:val="77660698"/>
    <w:rsid w:val="7769462C"/>
    <w:rsid w:val="776C14F0"/>
    <w:rsid w:val="77707357"/>
    <w:rsid w:val="77756B2D"/>
    <w:rsid w:val="77770AF7"/>
    <w:rsid w:val="777728A5"/>
    <w:rsid w:val="777803CC"/>
    <w:rsid w:val="7778661E"/>
    <w:rsid w:val="777A05E8"/>
    <w:rsid w:val="777C4360"/>
    <w:rsid w:val="777C7EBC"/>
    <w:rsid w:val="777F5AA5"/>
    <w:rsid w:val="77871F3C"/>
    <w:rsid w:val="77882D05"/>
    <w:rsid w:val="778B00FF"/>
    <w:rsid w:val="778B45A3"/>
    <w:rsid w:val="778D3C3A"/>
    <w:rsid w:val="778E4093"/>
    <w:rsid w:val="77935205"/>
    <w:rsid w:val="779416A9"/>
    <w:rsid w:val="779571D0"/>
    <w:rsid w:val="779807BE"/>
    <w:rsid w:val="779A2A38"/>
    <w:rsid w:val="779F1DFC"/>
    <w:rsid w:val="77A0580F"/>
    <w:rsid w:val="77A2369A"/>
    <w:rsid w:val="77A46D61"/>
    <w:rsid w:val="77A86F03"/>
    <w:rsid w:val="77A967D7"/>
    <w:rsid w:val="77AD276B"/>
    <w:rsid w:val="77AD62C7"/>
    <w:rsid w:val="77AE0291"/>
    <w:rsid w:val="77AF64E3"/>
    <w:rsid w:val="77B04009"/>
    <w:rsid w:val="77B122C2"/>
    <w:rsid w:val="77B27D81"/>
    <w:rsid w:val="77B42785"/>
    <w:rsid w:val="77B83A96"/>
    <w:rsid w:val="77B84C6C"/>
    <w:rsid w:val="77BC650A"/>
    <w:rsid w:val="77BD2282"/>
    <w:rsid w:val="77C10E5A"/>
    <w:rsid w:val="77C655DB"/>
    <w:rsid w:val="77C96E79"/>
    <w:rsid w:val="77CB0E43"/>
    <w:rsid w:val="77D2720E"/>
    <w:rsid w:val="77DA2E34"/>
    <w:rsid w:val="77DC095A"/>
    <w:rsid w:val="77E048EF"/>
    <w:rsid w:val="77E12415"/>
    <w:rsid w:val="77E31CE9"/>
    <w:rsid w:val="77E37F3B"/>
    <w:rsid w:val="77E617D9"/>
    <w:rsid w:val="77E872FF"/>
    <w:rsid w:val="77EB6DF0"/>
    <w:rsid w:val="77F42148"/>
    <w:rsid w:val="77F71C38"/>
    <w:rsid w:val="77F73E31"/>
    <w:rsid w:val="77FC0FFD"/>
    <w:rsid w:val="7808174F"/>
    <w:rsid w:val="78085BF3"/>
    <w:rsid w:val="780930FB"/>
    <w:rsid w:val="780954C8"/>
    <w:rsid w:val="780E2ADE"/>
    <w:rsid w:val="781520BE"/>
    <w:rsid w:val="78174088"/>
    <w:rsid w:val="781B5927"/>
    <w:rsid w:val="781F4CEB"/>
    <w:rsid w:val="78202F3D"/>
    <w:rsid w:val="78216CB5"/>
    <w:rsid w:val="782A0E50"/>
    <w:rsid w:val="782D11B6"/>
    <w:rsid w:val="782D7408"/>
    <w:rsid w:val="782E7F69"/>
    <w:rsid w:val="78306EF8"/>
    <w:rsid w:val="783469E8"/>
    <w:rsid w:val="78362761"/>
    <w:rsid w:val="78374F2B"/>
    <w:rsid w:val="7840713B"/>
    <w:rsid w:val="78414C61"/>
    <w:rsid w:val="784309DA"/>
    <w:rsid w:val="78482931"/>
    <w:rsid w:val="784F55D0"/>
    <w:rsid w:val="785250C1"/>
    <w:rsid w:val="78542BE7"/>
    <w:rsid w:val="78544995"/>
    <w:rsid w:val="78570929"/>
    <w:rsid w:val="78574485"/>
    <w:rsid w:val="785C7CED"/>
    <w:rsid w:val="78615304"/>
    <w:rsid w:val="78632E2A"/>
    <w:rsid w:val="786334C3"/>
    <w:rsid w:val="786F7A21"/>
    <w:rsid w:val="787119EB"/>
    <w:rsid w:val="78760DAF"/>
    <w:rsid w:val="78774B27"/>
    <w:rsid w:val="787B63C5"/>
    <w:rsid w:val="7880578A"/>
    <w:rsid w:val="78872FBC"/>
    <w:rsid w:val="788A6608"/>
    <w:rsid w:val="788B412F"/>
    <w:rsid w:val="788B766C"/>
    <w:rsid w:val="788D434B"/>
    <w:rsid w:val="788E5A74"/>
    <w:rsid w:val="788F3C1F"/>
    <w:rsid w:val="789B0078"/>
    <w:rsid w:val="789D27E0"/>
    <w:rsid w:val="789E20B4"/>
    <w:rsid w:val="78A82F32"/>
    <w:rsid w:val="78AA0A59"/>
    <w:rsid w:val="78AD22F7"/>
    <w:rsid w:val="78B10039"/>
    <w:rsid w:val="78B6564F"/>
    <w:rsid w:val="78B96EEE"/>
    <w:rsid w:val="78BC253A"/>
    <w:rsid w:val="78BC6FED"/>
    <w:rsid w:val="78BE4504"/>
    <w:rsid w:val="78C25DA2"/>
    <w:rsid w:val="78C57641"/>
    <w:rsid w:val="78CA2EA9"/>
    <w:rsid w:val="78CC4E73"/>
    <w:rsid w:val="78D14237"/>
    <w:rsid w:val="78D17EA5"/>
    <w:rsid w:val="78DA7590"/>
    <w:rsid w:val="78DB6E64"/>
    <w:rsid w:val="78DE6954"/>
    <w:rsid w:val="78EC1071"/>
    <w:rsid w:val="78F16688"/>
    <w:rsid w:val="78F543CA"/>
    <w:rsid w:val="790243F1"/>
    <w:rsid w:val="79053EE1"/>
    <w:rsid w:val="79075EAB"/>
    <w:rsid w:val="79132AA2"/>
    <w:rsid w:val="791505C8"/>
    <w:rsid w:val="791A3E30"/>
    <w:rsid w:val="791B3704"/>
    <w:rsid w:val="79206F6D"/>
    <w:rsid w:val="79224A93"/>
    <w:rsid w:val="792425B9"/>
    <w:rsid w:val="792720A9"/>
    <w:rsid w:val="79287371"/>
    <w:rsid w:val="792B7DEB"/>
    <w:rsid w:val="792F0F5E"/>
    <w:rsid w:val="79334EF2"/>
    <w:rsid w:val="79346574"/>
    <w:rsid w:val="793F1D99"/>
    <w:rsid w:val="79404F19"/>
    <w:rsid w:val="79426EE3"/>
    <w:rsid w:val="79464C25"/>
    <w:rsid w:val="794B223C"/>
    <w:rsid w:val="79515378"/>
    <w:rsid w:val="79532E9E"/>
    <w:rsid w:val="795409C4"/>
    <w:rsid w:val="79556C16"/>
    <w:rsid w:val="79570BE0"/>
    <w:rsid w:val="795B1D53"/>
    <w:rsid w:val="796450AB"/>
    <w:rsid w:val="79654980"/>
    <w:rsid w:val="79695006"/>
    <w:rsid w:val="796E1A86"/>
    <w:rsid w:val="79711576"/>
    <w:rsid w:val="797177C8"/>
    <w:rsid w:val="797572B9"/>
    <w:rsid w:val="79773031"/>
    <w:rsid w:val="79783AD9"/>
    <w:rsid w:val="79786DA9"/>
    <w:rsid w:val="797A042B"/>
    <w:rsid w:val="797D7F1B"/>
    <w:rsid w:val="79817A0B"/>
    <w:rsid w:val="798759BE"/>
    <w:rsid w:val="798D4602"/>
    <w:rsid w:val="798F6D20"/>
    <w:rsid w:val="79975481"/>
    <w:rsid w:val="79984D55"/>
    <w:rsid w:val="799F60E4"/>
    <w:rsid w:val="79A11E5C"/>
    <w:rsid w:val="79A47B9E"/>
    <w:rsid w:val="79A731EA"/>
    <w:rsid w:val="79A90D10"/>
    <w:rsid w:val="79AB4A88"/>
    <w:rsid w:val="79AD76D8"/>
    <w:rsid w:val="79B0209F"/>
    <w:rsid w:val="79B847EB"/>
    <w:rsid w:val="79B871A5"/>
    <w:rsid w:val="79BA116F"/>
    <w:rsid w:val="79BF0534"/>
    <w:rsid w:val="79BF22E2"/>
    <w:rsid w:val="79BF6786"/>
    <w:rsid w:val="79C142AC"/>
    <w:rsid w:val="79C21DD2"/>
    <w:rsid w:val="79C30024"/>
    <w:rsid w:val="79C43D9C"/>
    <w:rsid w:val="79C45B4A"/>
    <w:rsid w:val="79C72E50"/>
    <w:rsid w:val="79C913B2"/>
    <w:rsid w:val="79CB6ED9"/>
    <w:rsid w:val="79D00993"/>
    <w:rsid w:val="79D20267"/>
    <w:rsid w:val="79D21914"/>
    <w:rsid w:val="79D51B05"/>
    <w:rsid w:val="79D55FA9"/>
    <w:rsid w:val="79D81204"/>
    <w:rsid w:val="79DA711C"/>
    <w:rsid w:val="79DC2E94"/>
    <w:rsid w:val="79DF4732"/>
    <w:rsid w:val="79E87A8A"/>
    <w:rsid w:val="79E93803"/>
    <w:rsid w:val="79ED6E4F"/>
    <w:rsid w:val="79EF706B"/>
    <w:rsid w:val="79F3642F"/>
    <w:rsid w:val="79F521A7"/>
    <w:rsid w:val="79FE72AE"/>
    <w:rsid w:val="79FF6B82"/>
    <w:rsid w:val="7A010B4C"/>
    <w:rsid w:val="7A106FE1"/>
    <w:rsid w:val="7A17211E"/>
    <w:rsid w:val="7A1C5986"/>
    <w:rsid w:val="7A1C7BE9"/>
    <w:rsid w:val="7A1E16FE"/>
    <w:rsid w:val="7A1F03DF"/>
    <w:rsid w:val="7A2B7977"/>
    <w:rsid w:val="7A2D1941"/>
    <w:rsid w:val="7A2E1215"/>
    <w:rsid w:val="7A3251AA"/>
    <w:rsid w:val="7A326F58"/>
    <w:rsid w:val="7A396538"/>
    <w:rsid w:val="7A3A405E"/>
    <w:rsid w:val="7A3C5C7C"/>
    <w:rsid w:val="7A4153ED"/>
    <w:rsid w:val="7A421904"/>
    <w:rsid w:val="7A431165"/>
    <w:rsid w:val="7A432F13"/>
    <w:rsid w:val="7A456C8B"/>
    <w:rsid w:val="7A4647B1"/>
    <w:rsid w:val="7A4A42A1"/>
    <w:rsid w:val="7A4B0019"/>
    <w:rsid w:val="7A4B1DC7"/>
    <w:rsid w:val="7A4F18B8"/>
    <w:rsid w:val="7A5951D2"/>
    <w:rsid w:val="7A5A025C"/>
    <w:rsid w:val="7A5B64AE"/>
    <w:rsid w:val="7A6510DB"/>
    <w:rsid w:val="7A652E89"/>
    <w:rsid w:val="7A664E53"/>
    <w:rsid w:val="7A680BCB"/>
    <w:rsid w:val="7A6D4434"/>
    <w:rsid w:val="7A6F3D08"/>
    <w:rsid w:val="7A715CD2"/>
    <w:rsid w:val="7A7255A6"/>
    <w:rsid w:val="7A7430CC"/>
    <w:rsid w:val="7A747570"/>
    <w:rsid w:val="7A750139"/>
    <w:rsid w:val="7A7632E8"/>
    <w:rsid w:val="7A765096"/>
    <w:rsid w:val="7A772BBC"/>
    <w:rsid w:val="7A792DD8"/>
    <w:rsid w:val="7A823A40"/>
    <w:rsid w:val="7A844288"/>
    <w:rsid w:val="7A8552D9"/>
    <w:rsid w:val="7A8C48BA"/>
    <w:rsid w:val="7A925C48"/>
    <w:rsid w:val="7A92650D"/>
    <w:rsid w:val="7AA240DD"/>
    <w:rsid w:val="7AAA11E4"/>
    <w:rsid w:val="7AAF05A8"/>
    <w:rsid w:val="7AB43E11"/>
    <w:rsid w:val="7AB45BBF"/>
    <w:rsid w:val="7AB64546"/>
    <w:rsid w:val="7AB756AF"/>
    <w:rsid w:val="7AB7745D"/>
    <w:rsid w:val="7ABA3C6D"/>
    <w:rsid w:val="7ABD0F17"/>
    <w:rsid w:val="7ABE4C8F"/>
    <w:rsid w:val="7AD87AFF"/>
    <w:rsid w:val="7ADB139D"/>
    <w:rsid w:val="7ADC6261"/>
    <w:rsid w:val="7ADC6EC3"/>
    <w:rsid w:val="7ADD519D"/>
    <w:rsid w:val="7ADE2C3C"/>
    <w:rsid w:val="7AE75F94"/>
    <w:rsid w:val="7AEC7106"/>
    <w:rsid w:val="7AEF4E49"/>
    <w:rsid w:val="7AF542EE"/>
    <w:rsid w:val="7AF67F85"/>
    <w:rsid w:val="7AFD57B8"/>
    <w:rsid w:val="7B000E04"/>
    <w:rsid w:val="7B017E0B"/>
    <w:rsid w:val="7B03675F"/>
    <w:rsid w:val="7B0501C8"/>
    <w:rsid w:val="7B05641A"/>
    <w:rsid w:val="7B087CB8"/>
    <w:rsid w:val="7B0A3A31"/>
    <w:rsid w:val="7B0C1557"/>
    <w:rsid w:val="7B0D52CF"/>
    <w:rsid w:val="7B0F54EB"/>
    <w:rsid w:val="7B114DBF"/>
    <w:rsid w:val="7B116B6D"/>
    <w:rsid w:val="7B160627"/>
    <w:rsid w:val="7B18614D"/>
    <w:rsid w:val="7B1B5C3E"/>
    <w:rsid w:val="7B1D19B6"/>
    <w:rsid w:val="7B1D7C08"/>
    <w:rsid w:val="7B242D44"/>
    <w:rsid w:val="7B2745E3"/>
    <w:rsid w:val="7B2E5971"/>
    <w:rsid w:val="7B3867F0"/>
    <w:rsid w:val="7B4038F6"/>
    <w:rsid w:val="7B4707E1"/>
    <w:rsid w:val="7B4A207F"/>
    <w:rsid w:val="7B4F7695"/>
    <w:rsid w:val="7B533629"/>
    <w:rsid w:val="7B537186"/>
    <w:rsid w:val="7B5573A2"/>
    <w:rsid w:val="7B615D46"/>
    <w:rsid w:val="7B6A44CF"/>
    <w:rsid w:val="7B6E3FBF"/>
    <w:rsid w:val="7B6E5D6D"/>
    <w:rsid w:val="7B7535A0"/>
    <w:rsid w:val="7B75534E"/>
    <w:rsid w:val="7B784E3E"/>
    <w:rsid w:val="7B7A2964"/>
    <w:rsid w:val="7B7A6E08"/>
    <w:rsid w:val="7B7F441F"/>
    <w:rsid w:val="7B7F7F7B"/>
    <w:rsid w:val="7B851309"/>
    <w:rsid w:val="7B86755B"/>
    <w:rsid w:val="7B892BA7"/>
    <w:rsid w:val="7B89704B"/>
    <w:rsid w:val="7B8A691F"/>
    <w:rsid w:val="7B98490E"/>
    <w:rsid w:val="7BA2010D"/>
    <w:rsid w:val="7BB21980"/>
    <w:rsid w:val="7BB61791"/>
    <w:rsid w:val="7BB73BB8"/>
    <w:rsid w:val="7BB8348D"/>
    <w:rsid w:val="7BB95541"/>
    <w:rsid w:val="7BBA0FB3"/>
    <w:rsid w:val="7BBD0AA3"/>
    <w:rsid w:val="7BC97448"/>
    <w:rsid w:val="7BCC6F38"/>
    <w:rsid w:val="7BCE2CB0"/>
    <w:rsid w:val="7BD209F2"/>
    <w:rsid w:val="7BD52290"/>
    <w:rsid w:val="7BD5403F"/>
    <w:rsid w:val="7BD55DED"/>
    <w:rsid w:val="7BDA3403"/>
    <w:rsid w:val="7BDD2EF3"/>
    <w:rsid w:val="7BE424D4"/>
    <w:rsid w:val="7BE44282"/>
    <w:rsid w:val="7BE6712F"/>
    <w:rsid w:val="7BF02C26"/>
    <w:rsid w:val="7BF22E42"/>
    <w:rsid w:val="7BF32717"/>
    <w:rsid w:val="7BF700B4"/>
    <w:rsid w:val="7BF70459"/>
    <w:rsid w:val="7BF73FB5"/>
    <w:rsid w:val="7BF81ADB"/>
    <w:rsid w:val="7C0251C7"/>
    <w:rsid w:val="7C036DFE"/>
    <w:rsid w:val="7C044924"/>
    <w:rsid w:val="7C06069C"/>
    <w:rsid w:val="7C0861C2"/>
    <w:rsid w:val="7C09018C"/>
    <w:rsid w:val="7C0B180E"/>
    <w:rsid w:val="7C0B3F04"/>
    <w:rsid w:val="7C0D37D8"/>
    <w:rsid w:val="7C10151B"/>
    <w:rsid w:val="7C1032C9"/>
    <w:rsid w:val="7C122B9D"/>
    <w:rsid w:val="7C1728A9"/>
    <w:rsid w:val="7C183F2B"/>
    <w:rsid w:val="7C1F175E"/>
    <w:rsid w:val="7C240B22"/>
    <w:rsid w:val="7C246D74"/>
    <w:rsid w:val="7C2D5C29"/>
    <w:rsid w:val="7C305719"/>
    <w:rsid w:val="7C3074C7"/>
    <w:rsid w:val="7C327425"/>
    <w:rsid w:val="7C354ADD"/>
    <w:rsid w:val="7C370855"/>
    <w:rsid w:val="7C3A0345"/>
    <w:rsid w:val="7C4371FA"/>
    <w:rsid w:val="7C466CEA"/>
    <w:rsid w:val="7C4B4301"/>
    <w:rsid w:val="7C4D62CB"/>
    <w:rsid w:val="7C4E5B9F"/>
    <w:rsid w:val="7C4F585D"/>
    <w:rsid w:val="7C541407"/>
    <w:rsid w:val="7C5533D1"/>
    <w:rsid w:val="7C596A1E"/>
    <w:rsid w:val="7C6158D2"/>
    <w:rsid w:val="7C694787"/>
    <w:rsid w:val="7C6B04FF"/>
    <w:rsid w:val="7C6B6751"/>
    <w:rsid w:val="7C6D071B"/>
    <w:rsid w:val="7C744684"/>
    <w:rsid w:val="7C75137E"/>
    <w:rsid w:val="7C773348"/>
    <w:rsid w:val="7C790E6E"/>
    <w:rsid w:val="7C8021FC"/>
    <w:rsid w:val="7C833A9B"/>
    <w:rsid w:val="7C887453"/>
    <w:rsid w:val="7C8A307B"/>
    <w:rsid w:val="7C8B6DF3"/>
    <w:rsid w:val="7C8C4D0F"/>
    <w:rsid w:val="7C95557C"/>
    <w:rsid w:val="7C977546"/>
    <w:rsid w:val="7C9931A2"/>
    <w:rsid w:val="7C9B7036"/>
    <w:rsid w:val="7CA103C5"/>
    <w:rsid w:val="7CA13F21"/>
    <w:rsid w:val="7CA51C63"/>
    <w:rsid w:val="7CAA1027"/>
    <w:rsid w:val="7CAA54CB"/>
    <w:rsid w:val="7CAB1522"/>
    <w:rsid w:val="7CAD0B17"/>
    <w:rsid w:val="7CB24380"/>
    <w:rsid w:val="7CB63E70"/>
    <w:rsid w:val="7CB77BE8"/>
    <w:rsid w:val="7CB9570E"/>
    <w:rsid w:val="7CBA4FE2"/>
    <w:rsid w:val="7CC145C3"/>
    <w:rsid w:val="7CC85951"/>
    <w:rsid w:val="7CCA3477"/>
    <w:rsid w:val="7CCD37F8"/>
    <w:rsid w:val="7CCF6CE0"/>
    <w:rsid w:val="7CD24A22"/>
    <w:rsid w:val="7CD662C0"/>
    <w:rsid w:val="7CD9190C"/>
    <w:rsid w:val="7CDB7433"/>
    <w:rsid w:val="7CDC31AB"/>
    <w:rsid w:val="7CE00EED"/>
    <w:rsid w:val="7CE7227B"/>
    <w:rsid w:val="7CEF1130"/>
    <w:rsid w:val="7CEF2EDE"/>
    <w:rsid w:val="7CF107A6"/>
    <w:rsid w:val="7CF404F4"/>
    <w:rsid w:val="7CF44998"/>
    <w:rsid w:val="7CF624BE"/>
    <w:rsid w:val="7CF77FE5"/>
    <w:rsid w:val="7CFB5D27"/>
    <w:rsid w:val="7D0050EB"/>
    <w:rsid w:val="7D07647A"/>
    <w:rsid w:val="7D0821F2"/>
    <w:rsid w:val="7D1110A6"/>
    <w:rsid w:val="7D1604F2"/>
    <w:rsid w:val="7D172435"/>
    <w:rsid w:val="7D201013"/>
    <w:rsid w:val="7D2232B3"/>
    <w:rsid w:val="7D24527D"/>
    <w:rsid w:val="7D3134F6"/>
    <w:rsid w:val="7D33726F"/>
    <w:rsid w:val="7D364FB1"/>
    <w:rsid w:val="7D3B25C7"/>
    <w:rsid w:val="7D3B6123"/>
    <w:rsid w:val="7D3E79C1"/>
    <w:rsid w:val="7D423956"/>
    <w:rsid w:val="7D43322A"/>
    <w:rsid w:val="7D4A280A"/>
    <w:rsid w:val="7D4C6582"/>
    <w:rsid w:val="7D4F1BCF"/>
    <w:rsid w:val="7D4F6073"/>
    <w:rsid w:val="7D5771AB"/>
    <w:rsid w:val="7D5F41FC"/>
    <w:rsid w:val="7D621902"/>
    <w:rsid w:val="7D6869EF"/>
    <w:rsid w:val="7D692C90"/>
    <w:rsid w:val="7D6A4C5A"/>
    <w:rsid w:val="7D6E6B72"/>
    <w:rsid w:val="7D781125"/>
    <w:rsid w:val="7D7A39D5"/>
    <w:rsid w:val="7D7A4E9D"/>
    <w:rsid w:val="7D80622C"/>
    <w:rsid w:val="7D845D1C"/>
    <w:rsid w:val="7D8B70AB"/>
    <w:rsid w:val="7D902913"/>
    <w:rsid w:val="7D910439"/>
    <w:rsid w:val="7D984CBE"/>
    <w:rsid w:val="7D9854CF"/>
    <w:rsid w:val="7D9F2B56"/>
    <w:rsid w:val="7D9F7D20"/>
    <w:rsid w:val="7DA27C62"/>
    <w:rsid w:val="7DA57A41"/>
    <w:rsid w:val="7DAE2D99"/>
    <w:rsid w:val="7DB163E5"/>
    <w:rsid w:val="7DB859C6"/>
    <w:rsid w:val="7DB979D8"/>
    <w:rsid w:val="7DC205F3"/>
    <w:rsid w:val="7DC73E5B"/>
    <w:rsid w:val="7DD02D0F"/>
    <w:rsid w:val="7DD0308E"/>
    <w:rsid w:val="7DD547CA"/>
    <w:rsid w:val="7DD86068"/>
    <w:rsid w:val="7DDF2F52"/>
    <w:rsid w:val="7DDF73F6"/>
    <w:rsid w:val="7DE30074"/>
    <w:rsid w:val="7DE60785"/>
    <w:rsid w:val="7DE62533"/>
    <w:rsid w:val="7DE762AB"/>
    <w:rsid w:val="7DEA3FC2"/>
    <w:rsid w:val="7DEC566F"/>
    <w:rsid w:val="7DEE13E8"/>
    <w:rsid w:val="7DF05160"/>
    <w:rsid w:val="7DF12C86"/>
    <w:rsid w:val="7DF2712A"/>
    <w:rsid w:val="7DF32EA2"/>
    <w:rsid w:val="7DF86670"/>
    <w:rsid w:val="7DFA4230"/>
    <w:rsid w:val="7E0B01EB"/>
    <w:rsid w:val="7E0B46AE"/>
    <w:rsid w:val="7E10135E"/>
    <w:rsid w:val="7E1075B0"/>
    <w:rsid w:val="7E152E18"/>
    <w:rsid w:val="7E1C41A7"/>
    <w:rsid w:val="7E1E2B24"/>
    <w:rsid w:val="7E215319"/>
    <w:rsid w:val="7E2B43EA"/>
    <w:rsid w:val="7E2E7A36"/>
    <w:rsid w:val="7E301A00"/>
    <w:rsid w:val="7E386B07"/>
    <w:rsid w:val="7E3C03A5"/>
    <w:rsid w:val="7E3D5ECB"/>
    <w:rsid w:val="7E3E236F"/>
    <w:rsid w:val="7E490D14"/>
    <w:rsid w:val="7E4B05E8"/>
    <w:rsid w:val="7E5143EC"/>
    <w:rsid w:val="7E521976"/>
    <w:rsid w:val="7E5576B9"/>
    <w:rsid w:val="7E5A4CCF"/>
    <w:rsid w:val="7E5C0A47"/>
    <w:rsid w:val="7E5F1447"/>
    <w:rsid w:val="7E723DC7"/>
    <w:rsid w:val="7E755665"/>
    <w:rsid w:val="7E7A711F"/>
    <w:rsid w:val="7E7C69F3"/>
    <w:rsid w:val="7E7E276B"/>
    <w:rsid w:val="7E834226"/>
    <w:rsid w:val="7E861620"/>
    <w:rsid w:val="7E891110"/>
    <w:rsid w:val="7E8B4E88"/>
    <w:rsid w:val="7E906943"/>
    <w:rsid w:val="7E926217"/>
    <w:rsid w:val="7E927FC5"/>
    <w:rsid w:val="7E9401E1"/>
    <w:rsid w:val="7E9A50CB"/>
    <w:rsid w:val="7E9F0934"/>
    <w:rsid w:val="7EA30424"/>
    <w:rsid w:val="7EA45F4A"/>
    <w:rsid w:val="7EA63A70"/>
    <w:rsid w:val="7EA85A3A"/>
    <w:rsid w:val="7EAD3051"/>
    <w:rsid w:val="7EB663A9"/>
    <w:rsid w:val="7EB73ECF"/>
    <w:rsid w:val="7EB919F5"/>
    <w:rsid w:val="7EB937A4"/>
    <w:rsid w:val="7EBC3294"/>
    <w:rsid w:val="7EBE0DBA"/>
    <w:rsid w:val="7EC108AA"/>
    <w:rsid w:val="7EC62364"/>
    <w:rsid w:val="7ECB797B"/>
    <w:rsid w:val="7ECD724F"/>
    <w:rsid w:val="7ECF746B"/>
    <w:rsid w:val="7ED14F91"/>
    <w:rsid w:val="7ED405DD"/>
    <w:rsid w:val="7ED607F9"/>
    <w:rsid w:val="7ED71E7C"/>
    <w:rsid w:val="7ED73A2D"/>
    <w:rsid w:val="7ED97EFB"/>
    <w:rsid w:val="7EDB7BBE"/>
    <w:rsid w:val="7EDE145C"/>
    <w:rsid w:val="7EDE76AE"/>
    <w:rsid w:val="7EEB3B79"/>
    <w:rsid w:val="7EEF71C5"/>
    <w:rsid w:val="7EF0118F"/>
    <w:rsid w:val="7EF02F3D"/>
    <w:rsid w:val="7EF26CB5"/>
    <w:rsid w:val="7F0013D2"/>
    <w:rsid w:val="7F01514B"/>
    <w:rsid w:val="7F016EF9"/>
    <w:rsid w:val="7F0B1A98"/>
    <w:rsid w:val="7F111831"/>
    <w:rsid w:val="7F1135E0"/>
    <w:rsid w:val="7F121106"/>
    <w:rsid w:val="7F127358"/>
    <w:rsid w:val="7F141322"/>
    <w:rsid w:val="7F1430D0"/>
    <w:rsid w:val="7F144E7E"/>
    <w:rsid w:val="7F182BC0"/>
    <w:rsid w:val="7F1C3D32"/>
    <w:rsid w:val="7F211349"/>
    <w:rsid w:val="7F2257ED"/>
    <w:rsid w:val="7F2A644F"/>
    <w:rsid w:val="7F2F3A66"/>
    <w:rsid w:val="7F34107C"/>
    <w:rsid w:val="7F385010"/>
    <w:rsid w:val="7F3948E4"/>
    <w:rsid w:val="7F413799"/>
    <w:rsid w:val="7F427C3D"/>
    <w:rsid w:val="7F4F5EB6"/>
    <w:rsid w:val="7F5160D2"/>
    <w:rsid w:val="7F58120E"/>
    <w:rsid w:val="7F590AE3"/>
    <w:rsid w:val="7F5931D8"/>
    <w:rsid w:val="7F5B2AAD"/>
    <w:rsid w:val="7F5D3D73"/>
    <w:rsid w:val="7F623E3B"/>
    <w:rsid w:val="7F625BE9"/>
    <w:rsid w:val="7F673200"/>
    <w:rsid w:val="7F6C2F0C"/>
    <w:rsid w:val="7F6C4CBA"/>
    <w:rsid w:val="7F6D27E0"/>
    <w:rsid w:val="7F72303A"/>
    <w:rsid w:val="7F743B6E"/>
    <w:rsid w:val="7F7973D7"/>
    <w:rsid w:val="7F7D2A23"/>
    <w:rsid w:val="7F855D7C"/>
    <w:rsid w:val="7F875650"/>
    <w:rsid w:val="7F8813C8"/>
    <w:rsid w:val="7F930498"/>
    <w:rsid w:val="7F947D6D"/>
    <w:rsid w:val="7F961D37"/>
    <w:rsid w:val="7F995383"/>
    <w:rsid w:val="7F9B559F"/>
    <w:rsid w:val="7F9F508F"/>
    <w:rsid w:val="7FA206DC"/>
    <w:rsid w:val="7FA501CC"/>
    <w:rsid w:val="7FAB3A34"/>
    <w:rsid w:val="7FB36445"/>
    <w:rsid w:val="7FB56661"/>
    <w:rsid w:val="7FBF4F7F"/>
    <w:rsid w:val="7FC468A4"/>
    <w:rsid w:val="7FC71EF0"/>
    <w:rsid w:val="7FC93EBA"/>
    <w:rsid w:val="7FD10FC1"/>
    <w:rsid w:val="7FD12D6F"/>
    <w:rsid w:val="7FD14B1D"/>
    <w:rsid w:val="7FD840FD"/>
    <w:rsid w:val="7FDF548C"/>
    <w:rsid w:val="7FE17456"/>
    <w:rsid w:val="7FE40CF4"/>
    <w:rsid w:val="7FE44850"/>
    <w:rsid w:val="7FE900B8"/>
    <w:rsid w:val="7FE9455C"/>
    <w:rsid w:val="7FEA5394"/>
    <w:rsid w:val="7FEA5BDF"/>
    <w:rsid w:val="7FF41D4E"/>
    <w:rsid w:val="7FFA4074"/>
    <w:rsid w:val="7FFD237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iPriority="99" w:semiHidden="0" w:name="Message Header"/>
    <w:lsdException w:qFormat="1" w:unhideWhenUsed="0" w:uiPriority="0" w:semiHidden="0" w:name="Subtitle"/>
    <w:lsdException w:uiPriority="99" w:name="Salutation"/>
    <w:lsdException w:qFormat="1" w:unhideWhenUsed="0" w:uiPriority="0" w:semiHidden="0" w:name="Date"/>
    <w:lsdException w:qFormat="1" w:unhideWhenUsed="0" w:uiPriority="99" w:semiHidden="0" w:name="Body Text First Indent"/>
    <w:lsdException w:qFormat="1" w:unhideWhenUsed="0" w:uiPriority="99"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0"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99"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65"/>
    <w:qFormat/>
    <w:uiPriority w:val="0"/>
    <w:pPr>
      <w:keepNext/>
      <w:keepLines/>
      <w:spacing w:line="360" w:lineRule="auto"/>
      <w:outlineLvl w:val="0"/>
    </w:pPr>
    <w:rPr>
      <w:b/>
      <w:kern w:val="44"/>
      <w:sz w:val="32"/>
      <w:szCs w:val="44"/>
    </w:rPr>
  </w:style>
  <w:style w:type="paragraph" w:styleId="4">
    <w:name w:val="heading 2"/>
    <w:basedOn w:val="1"/>
    <w:next w:val="1"/>
    <w:link w:val="66"/>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link w:val="67"/>
    <w:qFormat/>
    <w:uiPriority w:val="0"/>
    <w:pPr>
      <w:keepNext/>
      <w:keepLines/>
      <w:spacing w:line="360" w:lineRule="auto"/>
      <w:outlineLvl w:val="2"/>
    </w:pPr>
    <w:rPr>
      <w:rFonts w:ascii="Calibri" w:hAnsi="Calibri"/>
      <w:b/>
      <w:sz w:val="24"/>
      <w:szCs w:val="32"/>
    </w:rPr>
  </w:style>
  <w:style w:type="paragraph" w:styleId="6">
    <w:name w:val="heading 4"/>
    <w:basedOn w:val="1"/>
    <w:next w:val="1"/>
    <w:link w:val="68"/>
    <w:qFormat/>
    <w:uiPriority w:val="0"/>
    <w:pPr>
      <w:keepNext/>
      <w:keepLines/>
      <w:spacing w:line="360" w:lineRule="auto"/>
      <w:outlineLvl w:val="3"/>
    </w:pPr>
    <w:rPr>
      <w:rFonts w:ascii="Arial" w:hAnsi="Arial"/>
      <w:b/>
      <w:szCs w:val="28"/>
    </w:rPr>
  </w:style>
  <w:style w:type="paragraph" w:styleId="7">
    <w:name w:val="heading 5"/>
    <w:basedOn w:val="1"/>
    <w:next w:val="1"/>
    <w:link w:val="69"/>
    <w:qFormat/>
    <w:uiPriority w:val="0"/>
    <w:pPr>
      <w:keepNext/>
      <w:keepLines/>
      <w:spacing w:before="280" w:after="290" w:line="372" w:lineRule="auto"/>
      <w:outlineLvl w:val="4"/>
    </w:pPr>
    <w:rPr>
      <w:b/>
      <w:bCs/>
      <w:sz w:val="28"/>
      <w:szCs w:val="28"/>
    </w:rPr>
  </w:style>
  <w:style w:type="paragraph" w:styleId="8">
    <w:name w:val="heading 6"/>
    <w:basedOn w:val="1"/>
    <w:next w:val="1"/>
    <w:link w:val="70"/>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link w:val="71"/>
    <w:qFormat/>
    <w:uiPriority w:val="0"/>
    <w:pPr>
      <w:keepNext/>
      <w:keepLines/>
      <w:spacing w:before="240" w:after="64" w:line="317" w:lineRule="auto"/>
      <w:outlineLvl w:val="6"/>
    </w:pPr>
    <w:rPr>
      <w:b/>
      <w:sz w:val="24"/>
    </w:rPr>
  </w:style>
  <w:style w:type="paragraph" w:styleId="10">
    <w:name w:val="heading 8"/>
    <w:basedOn w:val="1"/>
    <w:next w:val="1"/>
    <w:link w:val="72"/>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link w:val="73"/>
    <w:qFormat/>
    <w:uiPriority w:val="0"/>
    <w:pPr>
      <w:keepNext/>
      <w:keepLines/>
      <w:spacing w:before="240" w:after="64" w:line="317" w:lineRule="auto"/>
      <w:outlineLvl w:val="8"/>
    </w:pPr>
    <w:rPr>
      <w:rFonts w:ascii="Arial" w:hAnsi="Arial" w:eastAsia="黑体"/>
    </w:rPr>
  </w:style>
  <w:style w:type="character" w:default="1" w:styleId="45">
    <w:name w:val="Default Paragraph Font"/>
    <w:semiHidden/>
    <w:unhideWhenUsed/>
    <w:qFormat/>
    <w:uiPriority w:val="1"/>
  </w:style>
  <w:style w:type="table" w:default="1" w:styleId="4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84"/>
    <w:qFormat/>
    <w:uiPriority w:val="0"/>
    <w:pPr>
      <w:spacing w:after="120"/>
    </w:pPr>
  </w:style>
  <w:style w:type="paragraph" w:styleId="12">
    <w:name w:val="Normal Indent"/>
    <w:basedOn w:val="1"/>
    <w:qFormat/>
    <w:uiPriority w:val="0"/>
    <w:pPr>
      <w:ind w:firstLine="560" w:firstLineChars="200"/>
    </w:pPr>
    <w:rPr>
      <w:sz w:val="28"/>
      <w:szCs w:val="20"/>
    </w:rPr>
  </w:style>
  <w:style w:type="paragraph" w:styleId="13">
    <w:name w:val="Document Map"/>
    <w:basedOn w:val="1"/>
    <w:link w:val="78"/>
    <w:qFormat/>
    <w:uiPriority w:val="0"/>
    <w:pPr>
      <w:shd w:val="clear" w:color="auto" w:fill="000080"/>
    </w:pPr>
  </w:style>
  <w:style w:type="paragraph" w:styleId="14">
    <w:name w:val="annotation text"/>
    <w:basedOn w:val="1"/>
    <w:link w:val="80"/>
    <w:qFormat/>
    <w:uiPriority w:val="0"/>
    <w:pPr>
      <w:jc w:val="left"/>
    </w:pPr>
    <w:rPr>
      <w:rFonts w:ascii="Calibri" w:hAnsi="Calibri"/>
    </w:rPr>
  </w:style>
  <w:style w:type="paragraph" w:styleId="15">
    <w:name w:val="Body Text 3"/>
    <w:basedOn w:val="1"/>
    <w:link w:val="82"/>
    <w:qFormat/>
    <w:uiPriority w:val="0"/>
    <w:pPr>
      <w:spacing w:after="120"/>
    </w:pPr>
    <w:rPr>
      <w:sz w:val="16"/>
    </w:rPr>
  </w:style>
  <w:style w:type="paragraph" w:styleId="16">
    <w:name w:val="Body Text Indent"/>
    <w:basedOn w:val="1"/>
    <w:next w:val="17"/>
    <w:link w:val="74"/>
    <w:unhideWhenUsed/>
    <w:qFormat/>
    <w:uiPriority w:val="99"/>
    <w:pPr>
      <w:spacing w:after="120"/>
      <w:ind w:left="420" w:leftChars="200"/>
    </w:pPr>
  </w:style>
  <w:style w:type="paragraph" w:styleId="17">
    <w:name w:val="envelope return"/>
    <w:basedOn w:val="1"/>
    <w:qFormat/>
    <w:uiPriority w:val="0"/>
    <w:pPr>
      <w:snapToGrid w:val="0"/>
    </w:pPr>
    <w:rPr>
      <w:rFonts w:ascii="Arial" w:hAnsi="Arial"/>
    </w:rPr>
  </w:style>
  <w:style w:type="paragraph" w:styleId="18">
    <w:name w:val="List 2"/>
    <w:basedOn w:val="1"/>
    <w:qFormat/>
    <w:uiPriority w:val="0"/>
    <w:pPr>
      <w:ind w:left="100" w:leftChars="200" w:hanging="200" w:hangingChars="200"/>
    </w:pPr>
  </w:style>
  <w:style w:type="paragraph" w:styleId="19">
    <w:name w:val="index 4"/>
    <w:basedOn w:val="1"/>
    <w:next w:val="1"/>
    <w:qFormat/>
    <w:uiPriority w:val="0"/>
    <w:pPr>
      <w:ind w:left="600" w:leftChars="600"/>
    </w:pPr>
  </w:style>
  <w:style w:type="paragraph" w:styleId="20">
    <w:name w:val="toc 5"/>
    <w:basedOn w:val="1"/>
    <w:next w:val="1"/>
    <w:qFormat/>
    <w:uiPriority w:val="0"/>
    <w:pPr>
      <w:tabs>
        <w:tab w:val="right" w:leader="dot" w:pos="8296"/>
      </w:tabs>
      <w:ind w:left="1050" w:leftChars="500"/>
    </w:pPr>
    <w:rPr>
      <w:szCs w:val="22"/>
    </w:rPr>
  </w:style>
  <w:style w:type="paragraph" w:styleId="21">
    <w:name w:val="toc 3"/>
    <w:basedOn w:val="1"/>
    <w:next w:val="1"/>
    <w:qFormat/>
    <w:uiPriority w:val="0"/>
    <w:pPr>
      <w:ind w:left="840" w:leftChars="400"/>
    </w:pPr>
    <w:rPr>
      <w:szCs w:val="22"/>
    </w:rPr>
  </w:style>
  <w:style w:type="paragraph" w:styleId="22">
    <w:name w:val="Plain Text"/>
    <w:basedOn w:val="1"/>
    <w:next w:val="1"/>
    <w:link w:val="86"/>
    <w:qFormat/>
    <w:uiPriority w:val="0"/>
    <w:rPr>
      <w:rFonts w:ascii="宋体" w:hAnsi="Courier New"/>
      <w:szCs w:val="21"/>
    </w:rPr>
  </w:style>
  <w:style w:type="paragraph" w:styleId="23">
    <w:name w:val="Date"/>
    <w:basedOn w:val="1"/>
    <w:next w:val="1"/>
    <w:link w:val="88"/>
    <w:qFormat/>
    <w:uiPriority w:val="0"/>
    <w:pPr>
      <w:widowControl/>
      <w:spacing w:line="357" w:lineRule="atLeast"/>
      <w:ind w:left="100" w:leftChars="2500"/>
      <w:textAlignment w:val="baseline"/>
    </w:pPr>
    <w:rPr>
      <w:rFonts w:ascii="Calibri" w:hAnsi="Calibri"/>
      <w:color w:val="000000"/>
      <w:szCs w:val="22"/>
      <w:u w:color="000000"/>
    </w:rPr>
  </w:style>
  <w:style w:type="paragraph" w:styleId="24">
    <w:name w:val="Body Text Indent 2"/>
    <w:basedOn w:val="1"/>
    <w:link w:val="90"/>
    <w:qFormat/>
    <w:uiPriority w:val="0"/>
    <w:pPr>
      <w:spacing w:after="120" w:line="480" w:lineRule="auto"/>
      <w:ind w:left="420" w:leftChars="200"/>
    </w:pPr>
  </w:style>
  <w:style w:type="paragraph" w:styleId="25">
    <w:name w:val="endnote text"/>
    <w:basedOn w:val="1"/>
    <w:link w:val="92"/>
    <w:qFormat/>
    <w:uiPriority w:val="0"/>
    <w:pPr>
      <w:snapToGrid w:val="0"/>
      <w:jc w:val="left"/>
    </w:pPr>
  </w:style>
  <w:style w:type="paragraph" w:styleId="26">
    <w:name w:val="Balloon Text"/>
    <w:basedOn w:val="1"/>
    <w:link w:val="94"/>
    <w:qFormat/>
    <w:uiPriority w:val="0"/>
    <w:rPr>
      <w:sz w:val="18"/>
    </w:rPr>
  </w:style>
  <w:style w:type="paragraph" w:styleId="27">
    <w:name w:val="footer"/>
    <w:basedOn w:val="1"/>
    <w:link w:val="64"/>
    <w:unhideWhenUsed/>
    <w:qFormat/>
    <w:uiPriority w:val="99"/>
    <w:pPr>
      <w:tabs>
        <w:tab w:val="center" w:pos="4153"/>
        <w:tab w:val="right" w:pos="8306"/>
      </w:tabs>
      <w:snapToGrid w:val="0"/>
      <w:jc w:val="left"/>
    </w:pPr>
    <w:rPr>
      <w:sz w:val="18"/>
      <w:szCs w:val="18"/>
    </w:rPr>
  </w:style>
  <w:style w:type="paragraph" w:styleId="28">
    <w:name w:val="header"/>
    <w:basedOn w:val="1"/>
    <w:link w:val="63"/>
    <w:unhideWhenUsed/>
    <w:qFormat/>
    <w:uiPriority w:val="99"/>
    <w:pPr>
      <w:pBdr>
        <w:bottom w:val="single" w:color="auto" w:sz="6" w:space="1"/>
      </w:pBdr>
      <w:tabs>
        <w:tab w:val="center" w:pos="4153"/>
        <w:tab w:val="right" w:pos="8306"/>
      </w:tabs>
      <w:snapToGrid w:val="0"/>
      <w:jc w:val="center"/>
    </w:pPr>
    <w:rPr>
      <w:sz w:val="18"/>
      <w:szCs w:val="18"/>
    </w:rPr>
  </w:style>
  <w:style w:type="paragraph" w:styleId="29">
    <w:name w:val="toc 1"/>
    <w:basedOn w:val="1"/>
    <w:next w:val="1"/>
    <w:qFormat/>
    <w:uiPriority w:val="39"/>
    <w:pPr>
      <w:tabs>
        <w:tab w:val="right" w:leader="dot" w:pos="9628"/>
      </w:tabs>
      <w:ind w:firstLine="90" w:firstLineChars="50"/>
    </w:pPr>
    <w:rPr>
      <w:rFonts w:hint="eastAsia" w:ascii="宋体" w:hAnsi="宋体"/>
      <w:sz w:val="18"/>
      <w:szCs w:val="18"/>
    </w:rPr>
  </w:style>
  <w:style w:type="paragraph" w:styleId="30">
    <w:name w:val="toc 4"/>
    <w:basedOn w:val="1"/>
    <w:next w:val="1"/>
    <w:qFormat/>
    <w:uiPriority w:val="0"/>
    <w:pPr>
      <w:tabs>
        <w:tab w:val="left" w:pos="1890"/>
        <w:tab w:val="right" w:leader="dot" w:pos="8296"/>
      </w:tabs>
      <w:ind w:left="630" w:leftChars="300"/>
    </w:pPr>
    <w:rPr>
      <w:szCs w:val="22"/>
    </w:rPr>
  </w:style>
  <w:style w:type="paragraph" w:styleId="31">
    <w:name w:val="Subtitle"/>
    <w:basedOn w:val="1"/>
    <w:next w:val="1"/>
    <w:link w:val="96"/>
    <w:qFormat/>
    <w:uiPriority w:val="0"/>
    <w:pPr>
      <w:spacing w:before="240" w:after="60" w:line="312" w:lineRule="auto"/>
      <w:jc w:val="center"/>
      <w:outlineLvl w:val="1"/>
    </w:pPr>
    <w:rPr>
      <w:rFonts w:ascii="Cambria" w:hAnsi="Cambria"/>
      <w:b/>
      <w:bCs/>
      <w:kern w:val="28"/>
      <w:sz w:val="32"/>
      <w:szCs w:val="32"/>
    </w:rPr>
  </w:style>
  <w:style w:type="paragraph" w:styleId="32">
    <w:name w:val="footnote text"/>
    <w:basedOn w:val="1"/>
    <w:link w:val="98"/>
    <w:qFormat/>
    <w:uiPriority w:val="0"/>
    <w:pPr>
      <w:snapToGrid w:val="0"/>
      <w:jc w:val="left"/>
    </w:pPr>
    <w:rPr>
      <w:sz w:val="18"/>
    </w:rPr>
  </w:style>
  <w:style w:type="paragraph" w:styleId="33">
    <w:name w:val="Body Text Indent 3"/>
    <w:basedOn w:val="1"/>
    <w:link w:val="99"/>
    <w:qFormat/>
    <w:uiPriority w:val="0"/>
    <w:pPr>
      <w:spacing w:after="120"/>
      <w:ind w:left="420" w:leftChars="200"/>
    </w:pPr>
    <w:rPr>
      <w:sz w:val="16"/>
    </w:rPr>
  </w:style>
  <w:style w:type="paragraph" w:styleId="34">
    <w:name w:val="toc 2"/>
    <w:basedOn w:val="1"/>
    <w:next w:val="1"/>
    <w:unhideWhenUsed/>
    <w:qFormat/>
    <w:uiPriority w:val="39"/>
    <w:pPr>
      <w:ind w:left="420" w:leftChars="200"/>
    </w:pPr>
  </w:style>
  <w:style w:type="paragraph" w:styleId="35">
    <w:name w:val="Body Text 2"/>
    <w:basedOn w:val="1"/>
    <w:next w:val="22"/>
    <w:link w:val="101"/>
    <w:qFormat/>
    <w:uiPriority w:val="0"/>
    <w:pPr>
      <w:spacing w:after="120" w:line="480" w:lineRule="auto"/>
    </w:pPr>
  </w:style>
  <w:style w:type="paragraph" w:styleId="36">
    <w:name w:val="Message Header"/>
    <w:basedOn w:val="1"/>
    <w:link w:val="102"/>
    <w:unhideWhenUsed/>
    <w:qFormat/>
    <w:uiPriority w:val="99"/>
    <w:pPr>
      <w:pBdr>
        <w:top w:val="single" w:color="auto" w:sz="6" w:space="1"/>
        <w:left w:val="single" w:color="auto" w:sz="6" w:space="1"/>
        <w:bottom w:val="single" w:color="auto" w:sz="6" w:space="1"/>
        <w:right w:val="single" w:color="auto" w:sz="6" w:space="1"/>
      </w:pBdr>
      <w:shd w:val="clear" w:color="auto" w:fill="7F7F7F"/>
      <w:spacing w:before="100" w:beforeAutospacing="1" w:after="100" w:afterAutospacing="1"/>
      <w:ind w:left="1080" w:leftChars="500" w:hanging="1080" w:hangingChars="500"/>
    </w:pPr>
    <w:rPr>
      <w:rFonts w:ascii="Cambria" w:hAnsi="Cambria"/>
      <w:sz w:val="24"/>
      <w:szCs w:val="22"/>
    </w:rPr>
  </w:style>
  <w:style w:type="paragraph" w:styleId="37">
    <w:name w:val="HTML Preformatted"/>
    <w:basedOn w:val="1"/>
    <w:link w:val="10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sz w:val="24"/>
    </w:rPr>
  </w:style>
  <w:style w:type="paragraph" w:styleId="3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styleId="39">
    <w:name w:val="Title"/>
    <w:basedOn w:val="1"/>
    <w:link w:val="106"/>
    <w:qFormat/>
    <w:uiPriority w:val="0"/>
    <w:pPr>
      <w:spacing w:before="240" w:after="60"/>
      <w:jc w:val="center"/>
      <w:outlineLvl w:val="0"/>
    </w:pPr>
    <w:rPr>
      <w:rFonts w:ascii="Arial" w:hAnsi="Arial"/>
      <w:b/>
      <w:sz w:val="32"/>
    </w:rPr>
  </w:style>
  <w:style w:type="paragraph" w:styleId="40">
    <w:name w:val="annotation subject"/>
    <w:basedOn w:val="14"/>
    <w:next w:val="14"/>
    <w:link w:val="108"/>
    <w:qFormat/>
    <w:uiPriority w:val="0"/>
    <w:rPr>
      <w:rFonts w:ascii="宋体"/>
      <w:b/>
      <w:bCs/>
      <w:sz w:val="28"/>
      <w:szCs w:val="22"/>
    </w:rPr>
  </w:style>
  <w:style w:type="paragraph" w:styleId="41">
    <w:name w:val="Body Text First Indent"/>
    <w:basedOn w:val="2"/>
    <w:next w:val="42"/>
    <w:link w:val="109"/>
    <w:qFormat/>
    <w:uiPriority w:val="99"/>
    <w:pPr>
      <w:ind w:firstLine="420" w:firstLineChars="100"/>
    </w:pPr>
  </w:style>
  <w:style w:type="paragraph" w:styleId="42">
    <w:name w:val="Body Text First Indent 2"/>
    <w:basedOn w:val="16"/>
    <w:next w:val="1"/>
    <w:link w:val="75"/>
    <w:qFormat/>
    <w:uiPriority w:val="99"/>
    <w:pPr>
      <w:ind w:firstLine="420" w:firstLineChars="200"/>
    </w:pPr>
    <w:rPr>
      <w:rFonts w:hAnsi="Calibri"/>
    </w:rPr>
  </w:style>
  <w:style w:type="table" w:styleId="44">
    <w:name w:val="Table Grid"/>
    <w:basedOn w:val="43"/>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6">
    <w:name w:val="Strong"/>
    <w:qFormat/>
    <w:uiPriority w:val="22"/>
    <w:rPr>
      <w:b/>
      <w:bCs/>
    </w:rPr>
  </w:style>
  <w:style w:type="character" w:styleId="47">
    <w:name w:val="page number"/>
    <w:qFormat/>
    <w:uiPriority w:val="0"/>
  </w:style>
  <w:style w:type="character" w:styleId="48">
    <w:name w:val="FollowedHyperlink"/>
    <w:qFormat/>
    <w:uiPriority w:val="0"/>
    <w:rPr>
      <w:color w:val="666666"/>
      <w:u w:val="none"/>
    </w:rPr>
  </w:style>
  <w:style w:type="character" w:styleId="49">
    <w:name w:val="Emphasis"/>
    <w:qFormat/>
    <w:uiPriority w:val="0"/>
  </w:style>
  <w:style w:type="character" w:styleId="50">
    <w:name w:val="HTML Definition"/>
    <w:qFormat/>
    <w:uiPriority w:val="0"/>
    <w:rPr>
      <w:bdr w:val="dashed" w:color="auto" w:sz="24" w:space="0"/>
    </w:rPr>
  </w:style>
  <w:style w:type="character" w:styleId="51">
    <w:name w:val="HTML Typewriter"/>
    <w:qFormat/>
    <w:uiPriority w:val="0"/>
    <w:rPr>
      <w:rFonts w:hint="default" w:ascii="monospace" w:hAnsi="monospace" w:eastAsia="monospace" w:cs="monospace"/>
      <w:sz w:val="20"/>
    </w:rPr>
  </w:style>
  <w:style w:type="character" w:styleId="52">
    <w:name w:val="HTML Acronym"/>
    <w:qFormat/>
    <w:uiPriority w:val="0"/>
  </w:style>
  <w:style w:type="character" w:styleId="53">
    <w:name w:val="HTML Variable"/>
    <w:qFormat/>
    <w:uiPriority w:val="0"/>
  </w:style>
  <w:style w:type="character" w:styleId="54">
    <w:name w:val="Hyperlink"/>
    <w:qFormat/>
    <w:uiPriority w:val="99"/>
    <w:rPr>
      <w:rFonts w:hint="default" w:ascii="Times New Roman" w:hAnsi="Times New Roman" w:cs="Times New Roman"/>
      <w:color w:val="0000FF"/>
      <w:u w:val="single"/>
    </w:rPr>
  </w:style>
  <w:style w:type="character" w:styleId="55">
    <w:name w:val="HTML Code"/>
    <w:qFormat/>
    <w:uiPriority w:val="0"/>
    <w:rPr>
      <w:rFonts w:ascii="Courier New" w:hAnsi="Courier New"/>
      <w:sz w:val="20"/>
    </w:rPr>
  </w:style>
  <w:style w:type="character" w:styleId="56">
    <w:name w:val="annotation reference"/>
    <w:qFormat/>
    <w:uiPriority w:val="99"/>
    <w:rPr>
      <w:sz w:val="21"/>
      <w:szCs w:val="21"/>
    </w:rPr>
  </w:style>
  <w:style w:type="character" w:styleId="57">
    <w:name w:val="HTML Cite"/>
    <w:qFormat/>
    <w:uiPriority w:val="0"/>
  </w:style>
  <w:style w:type="character" w:styleId="58">
    <w:name w:val="HTML Keyboard"/>
    <w:qFormat/>
    <w:uiPriority w:val="99"/>
    <w:rPr>
      <w:rFonts w:ascii="monospace" w:hAnsi="monospace" w:eastAsia="monospace" w:cs="monospace"/>
      <w:sz w:val="20"/>
    </w:rPr>
  </w:style>
  <w:style w:type="character" w:styleId="59">
    <w:name w:val="HTML Sample"/>
    <w:qFormat/>
    <w:uiPriority w:val="0"/>
    <w:rPr>
      <w:rFonts w:hint="default" w:ascii="monospace" w:hAnsi="monospace" w:eastAsia="monospace" w:cs="monospace"/>
    </w:rPr>
  </w:style>
  <w:style w:type="paragraph" w:customStyle="1" w:styleId="60">
    <w:name w:val="文档正文5"/>
    <w:basedOn w:val="12"/>
    <w:qFormat/>
    <w:uiPriority w:val="0"/>
    <w:pPr>
      <w:snapToGrid w:val="0"/>
      <w:spacing w:line="440" w:lineRule="exact"/>
      <w:ind w:firstLine="505"/>
    </w:pPr>
    <w:rPr>
      <w:spacing w:val="4"/>
      <w:sz w:val="24"/>
    </w:rPr>
  </w:style>
  <w:style w:type="paragraph" w:customStyle="1" w:styleId="61">
    <w:name w:val="Default"/>
    <w:basedOn w:val="1"/>
    <w:qFormat/>
    <w:uiPriority w:val="0"/>
    <w:pPr>
      <w:autoSpaceDE w:val="0"/>
      <w:autoSpaceDN w:val="0"/>
      <w:adjustRightInd w:val="0"/>
      <w:jc w:val="left"/>
    </w:pPr>
    <w:rPr>
      <w:rFonts w:hint="eastAsia" w:ascii="宋体"/>
      <w:color w:val="000000"/>
      <w:kern w:val="0"/>
      <w:sz w:val="24"/>
    </w:rPr>
  </w:style>
  <w:style w:type="paragraph" w:customStyle="1" w:styleId="62">
    <w:name w:val="大标题"/>
    <w:basedOn w:val="1"/>
    <w:next w:val="42"/>
    <w:qFormat/>
    <w:uiPriority w:val="0"/>
    <w:pPr>
      <w:pageBreakBefore/>
      <w:spacing w:after="200" w:line="720" w:lineRule="auto"/>
      <w:jc w:val="center"/>
      <w:outlineLvl w:val="0"/>
    </w:pPr>
    <w:rPr>
      <w:rFonts w:ascii="黑体" w:hAnsi="Calibri" w:eastAsia="黑体"/>
      <w:sz w:val="32"/>
      <w:szCs w:val="30"/>
      <w:lang w:eastAsia="en-US" w:bidi="en-US"/>
    </w:rPr>
  </w:style>
  <w:style w:type="character" w:customStyle="1" w:styleId="63">
    <w:name w:val="页眉 Char"/>
    <w:basedOn w:val="45"/>
    <w:link w:val="28"/>
    <w:qFormat/>
    <w:uiPriority w:val="99"/>
    <w:rPr>
      <w:sz w:val="18"/>
      <w:szCs w:val="18"/>
    </w:rPr>
  </w:style>
  <w:style w:type="character" w:customStyle="1" w:styleId="64">
    <w:name w:val="页脚 Char"/>
    <w:basedOn w:val="45"/>
    <w:link w:val="27"/>
    <w:qFormat/>
    <w:uiPriority w:val="99"/>
    <w:rPr>
      <w:sz w:val="18"/>
      <w:szCs w:val="18"/>
    </w:rPr>
  </w:style>
  <w:style w:type="character" w:customStyle="1" w:styleId="65">
    <w:name w:val="标题 1 Char"/>
    <w:basedOn w:val="45"/>
    <w:link w:val="3"/>
    <w:qFormat/>
    <w:uiPriority w:val="0"/>
    <w:rPr>
      <w:rFonts w:ascii="Times New Roman" w:hAnsi="Times New Roman" w:eastAsia="宋体" w:cs="Times New Roman"/>
      <w:b/>
      <w:kern w:val="44"/>
      <w:sz w:val="32"/>
      <w:szCs w:val="44"/>
    </w:rPr>
  </w:style>
  <w:style w:type="character" w:customStyle="1" w:styleId="66">
    <w:name w:val="标题 2 Char"/>
    <w:basedOn w:val="45"/>
    <w:link w:val="4"/>
    <w:qFormat/>
    <w:uiPriority w:val="0"/>
    <w:rPr>
      <w:rFonts w:ascii="Arial" w:hAnsi="Arial" w:eastAsia="黑体" w:cs="Times New Roman"/>
      <w:b/>
      <w:sz w:val="32"/>
      <w:szCs w:val="24"/>
    </w:rPr>
  </w:style>
  <w:style w:type="character" w:customStyle="1" w:styleId="67">
    <w:name w:val="标题 3 Char"/>
    <w:basedOn w:val="45"/>
    <w:link w:val="5"/>
    <w:qFormat/>
    <w:uiPriority w:val="0"/>
    <w:rPr>
      <w:rFonts w:ascii="Calibri" w:hAnsi="Calibri" w:eastAsia="宋体" w:cs="Times New Roman"/>
      <w:b/>
      <w:sz w:val="24"/>
      <w:szCs w:val="32"/>
    </w:rPr>
  </w:style>
  <w:style w:type="character" w:customStyle="1" w:styleId="68">
    <w:name w:val="标题 4 Char"/>
    <w:basedOn w:val="45"/>
    <w:link w:val="6"/>
    <w:qFormat/>
    <w:uiPriority w:val="0"/>
    <w:rPr>
      <w:rFonts w:ascii="Arial" w:hAnsi="Arial" w:eastAsia="宋体" w:cs="Times New Roman"/>
      <w:b/>
      <w:szCs w:val="28"/>
    </w:rPr>
  </w:style>
  <w:style w:type="character" w:customStyle="1" w:styleId="69">
    <w:name w:val="标题 5 Char"/>
    <w:basedOn w:val="45"/>
    <w:link w:val="7"/>
    <w:qFormat/>
    <w:uiPriority w:val="0"/>
    <w:rPr>
      <w:rFonts w:ascii="Times New Roman" w:hAnsi="Times New Roman" w:eastAsia="宋体" w:cs="Times New Roman"/>
      <w:b/>
      <w:bCs/>
      <w:sz w:val="28"/>
      <w:szCs w:val="28"/>
    </w:rPr>
  </w:style>
  <w:style w:type="character" w:customStyle="1" w:styleId="70">
    <w:name w:val="标题 6 Char"/>
    <w:basedOn w:val="45"/>
    <w:link w:val="8"/>
    <w:qFormat/>
    <w:uiPriority w:val="0"/>
    <w:rPr>
      <w:rFonts w:ascii="Arial" w:hAnsi="Arial" w:eastAsia="黑体" w:cs="Times New Roman"/>
      <w:b/>
      <w:sz w:val="24"/>
      <w:szCs w:val="24"/>
    </w:rPr>
  </w:style>
  <w:style w:type="character" w:customStyle="1" w:styleId="71">
    <w:name w:val="标题 7 Char"/>
    <w:basedOn w:val="45"/>
    <w:link w:val="9"/>
    <w:qFormat/>
    <w:uiPriority w:val="0"/>
    <w:rPr>
      <w:rFonts w:ascii="Times New Roman" w:hAnsi="Times New Roman" w:eastAsia="宋体" w:cs="Times New Roman"/>
      <w:b/>
      <w:sz w:val="24"/>
      <w:szCs w:val="24"/>
    </w:rPr>
  </w:style>
  <w:style w:type="character" w:customStyle="1" w:styleId="72">
    <w:name w:val="标题 8 Char"/>
    <w:basedOn w:val="45"/>
    <w:link w:val="10"/>
    <w:qFormat/>
    <w:uiPriority w:val="0"/>
    <w:rPr>
      <w:rFonts w:ascii="Arial" w:hAnsi="Arial" w:eastAsia="黑体" w:cs="Times New Roman"/>
      <w:sz w:val="24"/>
      <w:szCs w:val="24"/>
    </w:rPr>
  </w:style>
  <w:style w:type="character" w:customStyle="1" w:styleId="73">
    <w:name w:val="标题 9 Char"/>
    <w:basedOn w:val="45"/>
    <w:link w:val="11"/>
    <w:qFormat/>
    <w:uiPriority w:val="0"/>
    <w:rPr>
      <w:rFonts w:ascii="Arial" w:hAnsi="Arial" w:eastAsia="黑体" w:cs="Times New Roman"/>
      <w:szCs w:val="24"/>
    </w:rPr>
  </w:style>
  <w:style w:type="character" w:customStyle="1" w:styleId="74">
    <w:name w:val="正文文本缩进 Char"/>
    <w:basedOn w:val="45"/>
    <w:link w:val="16"/>
    <w:qFormat/>
    <w:uiPriority w:val="0"/>
    <w:rPr>
      <w:rFonts w:ascii="Times New Roman" w:hAnsi="Times New Roman" w:eastAsia="宋体" w:cs="Times New Roman"/>
      <w:szCs w:val="24"/>
    </w:rPr>
  </w:style>
  <w:style w:type="character" w:customStyle="1" w:styleId="75">
    <w:name w:val="正文首行缩进 2 Char"/>
    <w:basedOn w:val="74"/>
    <w:link w:val="42"/>
    <w:qFormat/>
    <w:uiPriority w:val="99"/>
    <w:rPr>
      <w:rFonts w:ascii="Times New Roman" w:hAnsi="Calibri" w:eastAsia="宋体" w:cs="Times New Roman"/>
      <w:szCs w:val="24"/>
    </w:rPr>
  </w:style>
  <w:style w:type="character" w:customStyle="1" w:styleId="76">
    <w:name w:val="正文文本缩进 Char1"/>
    <w:qFormat/>
    <w:uiPriority w:val="0"/>
    <w:rPr>
      <w:rFonts w:hint="default" w:ascii="Times New Roman" w:hAnsi="Times New Roman" w:cs="Times New Roman"/>
      <w:kern w:val="2"/>
      <w:sz w:val="21"/>
      <w:szCs w:val="24"/>
    </w:rPr>
  </w:style>
  <w:style w:type="character" w:customStyle="1" w:styleId="77">
    <w:name w:val="文档结构图 Char"/>
    <w:basedOn w:val="45"/>
    <w:qFormat/>
    <w:uiPriority w:val="0"/>
    <w:rPr>
      <w:rFonts w:ascii="宋体" w:hAnsi="Times New Roman" w:eastAsia="宋体" w:cs="Times New Roman"/>
      <w:sz w:val="18"/>
      <w:szCs w:val="18"/>
    </w:rPr>
  </w:style>
  <w:style w:type="character" w:customStyle="1" w:styleId="78">
    <w:name w:val="文档结构图 Char1"/>
    <w:link w:val="13"/>
    <w:qFormat/>
    <w:uiPriority w:val="0"/>
    <w:rPr>
      <w:rFonts w:ascii="Times New Roman" w:hAnsi="Times New Roman" w:eastAsia="宋体" w:cs="Times New Roman"/>
      <w:szCs w:val="24"/>
      <w:shd w:val="clear" w:color="auto" w:fill="000080"/>
    </w:rPr>
  </w:style>
  <w:style w:type="character" w:customStyle="1" w:styleId="79">
    <w:name w:val="批注文字 Char"/>
    <w:basedOn w:val="45"/>
    <w:qFormat/>
    <w:uiPriority w:val="0"/>
    <w:rPr>
      <w:rFonts w:ascii="Times New Roman" w:hAnsi="Times New Roman" w:eastAsia="宋体" w:cs="Times New Roman"/>
      <w:szCs w:val="24"/>
    </w:rPr>
  </w:style>
  <w:style w:type="character" w:customStyle="1" w:styleId="80">
    <w:name w:val="批注文字 Char1"/>
    <w:link w:val="14"/>
    <w:qFormat/>
    <w:uiPriority w:val="0"/>
    <w:rPr>
      <w:rFonts w:ascii="Calibri" w:hAnsi="Calibri" w:eastAsia="宋体" w:cs="Times New Roman"/>
      <w:szCs w:val="24"/>
    </w:rPr>
  </w:style>
  <w:style w:type="character" w:customStyle="1" w:styleId="81">
    <w:name w:val="正文文本 3 Char"/>
    <w:basedOn w:val="45"/>
    <w:qFormat/>
    <w:uiPriority w:val="0"/>
    <w:rPr>
      <w:rFonts w:ascii="Times New Roman" w:hAnsi="Times New Roman" w:eastAsia="宋体" w:cs="Times New Roman"/>
      <w:sz w:val="16"/>
      <w:szCs w:val="16"/>
    </w:rPr>
  </w:style>
  <w:style w:type="character" w:customStyle="1" w:styleId="82">
    <w:name w:val="正文文本 3 Char1"/>
    <w:link w:val="15"/>
    <w:qFormat/>
    <w:uiPriority w:val="0"/>
    <w:rPr>
      <w:rFonts w:ascii="Times New Roman" w:hAnsi="Times New Roman" w:eastAsia="宋体" w:cs="Times New Roman"/>
      <w:sz w:val="16"/>
      <w:szCs w:val="24"/>
    </w:rPr>
  </w:style>
  <w:style w:type="character" w:customStyle="1" w:styleId="83">
    <w:name w:val="正文文本 Char"/>
    <w:basedOn w:val="45"/>
    <w:qFormat/>
    <w:uiPriority w:val="0"/>
    <w:rPr>
      <w:rFonts w:ascii="Times New Roman" w:hAnsi="Times New Roman" w:eastAsia="宋体" w:cs="Times New Roman"/>
      <w:szCs w:val="24"/>
    </w:rPr>
  </w:style>
  <w:style w:type="character" w:customStyle="1" w:styleId="84">
    <w:name w:val="正文文本 Char1"/>
    <w:link w:val="2"/>
    <w:qFormat/>
    <w:uiPriority w:val="0"/>
    <w:rPr>
      <w:rFonts w:ascii="Times New Roman" w:hAnsi="Times New Roman" w:eastAsia="宋体" w:cs="Times New Roman"/>
      <w:szCs w:val="24"/>
    </w:rPr>
  </w:style>
  <w:style w:type="character" w:customStyle="1" w:styleId="85">
    <w:name w:val="纯文本 Char"/>
    <w:basedOn w:val="45"/>
    <w:qFormat/>
    <w:uiPriority w:val="0"/>
    <w:rPr>
      <w:rFonts w:ascii="宋体" w:hAnsi="Courier New" w:eastAsia="宋体" w:cs="Courier New"/>
      <w:szCs w:val="21"/>
    </w:rPr>
  </w:style>
  <w:style w:type="character" w:customStyle="1" w:styleId="86">
    <w:name w:val="纯文本 Char1"/>
    <w:link w:val="22"/>
    <w:qFormat/>
    <w:uiPriority w:val="0"/>
    <w:rPr>
      <w:rFonts w:ascii="宋体" w:hAnsi="Courier New" w:eastAsia="宋体" w:cs="Times New Roman"/>
      <w:szCs w:val="21"/>
    </w:rPr>
  </w:style>
  <w:style w:type="character" w:customStyle="1" w:styleId="87">
    <w:name w:val="日期 Char"/>
    <w:basedOn w:val="45"/>
    <w:qFormat/>
    <w:uiPriority w:val="0"/>
    <w:rPr>
      <w:rFonts w:ascii="Times New Roman" w:hAnsi="Times New Roman" w:eastAsia="宋体" w:cs="Times New Roman"/>
      <w:szCs w:val="24"/>
    </w:rPr>
  </w:style>
  <w:style w:type="character" w:customStyle="1" w:styleId="88">
    <w:name w:val="日期 Char1"/>
    <w:link w:val="23"/>
    <w:qFormat/>
    <w:uiPriority w:val="0"/>
    <w:rPr>
      <w:rFonts w:ascii="Calibri" w:hAnsi="Calibri" w:eastAsia="宋体" w:cs="Times New Roman"/>
      <w:color w:val="000000"/>
      <w:u w:color="000000"/>
    </w:rPr>
  </w:style>
  <w:style w:type="character" w:customStyle="1" w:styleId="89">
    <w:name w:val="正文文本缩进 2 Char"/>
    <w:basedOn w:val="45"/>
    <w:qFormat/>
    <w:uiPriority w:val="0"/>
    <w:rPr>
      <w:rFonts w:ascii="Times New Roman" w:hAnsi="Times New Roman" w:eastAsia="宋体" w:cs="Times New Roman"/>
      <w:szCs w:val="24"/>
    </w:rPr>
  </w:style>
  <w:style w:type="character" w:customStyle="1" w:styleId="90">
    <w:name w:val="正文文本缩进 2 Char1"/>
    <w:link w:val="24"/>
    <w:qFormat/>
    <w:uiPriority w:val="0"/>
    <w:rPr>
      <w:rFonts w:ascii="Times New Roman" w:hAnsi="Times New Roman" w:eastAsia="宋体" w:cs="Times New Roman"/>
      <w:szCs w:val="24"/>
    </w:rPr>
  </w:style>
  <w:style w:type="character" w:customStyle="1" w:styleId="91">
    <w:name w:val="尾注文本 Char"/>
    <w:basedOn w:val="45"/>
    <w:qFormat/>
    <w:uiPriority w:val="0"/>
    <w:rPr>
      <w:rFonts w:ascii="Times New Roman" w:hAnsi="Times New Roman" w:eastAsia="宋体" w:cs="Times New Roman"/>
      <w:szCs w:val="24"/>
    </w:rPr>
  </w:style>
  <w:style w:type="character" w:customStyle="1" w:styleId="92">
    <w:name w:val="尾注文本 Char1"/>
    <w:link w:val="25"/>
    <w:qFormat/>
    <w:uiPriority w:val="0"/>
    <w:rPr>
      <w:rFonts w:ascii="Times New Roman" w:hAnsi="Times New Roman" w:eastAsia="宋体" w:cs="Times New Roman"/>
      <w:szCs w:val="24"/>
    </w:rPr>
  </w:style>
  <w:style w:type="character" w:customStyle="1" w:styleId="93">
    <w:name w:val="批注框文本 Char"/>
    <w:basedOn w:val="45"/>
    <w:qFormat/>
    <w:uiPriority w:val="0"/>
    <w:rPr>
      <w:rFonts w:ascii="Times New Roman" w:hAnsi="Times New Roman" w:eastAsia="宋体" w:cs="Times New Roman"/>
      <w:sz w:val="18"/>
      <w:szCs w:val="18"/>
    </w:rPr>
  </w:style>
  <w:style w:type="character" w:customStyle="1" w:styleId="94">
    <w:name w:val="批注框文本 Char1"/>
    <w:link w:val="26"/>
    <w:qFormat/>
    <w:uiPriority w:val="0"/>
    <w:rPr>
      <w:rFonts w:ascii="Times New Roman" w:hAnsi="Times New Roman" w:eastAsia="宋体" w:cs="Times New Roman"/>
      <w:sz w:val="18"/>
      <w:szCs w:val="24"/>
    </w:rPr>
  </w:style>
  <w:style w:type="character" w:customStyle="1" w:styleId="95">
    <w:name w:val="副标题 Char"/>
    <w:basedOn w:val="45"/>
    <w:qFormat/>
    <w:uiPriority w:val="0"/>
    <w:rPr>
      <w:rFonts w:eastAsia="宋体" w:asciiTheme="majorHAnsi" w:hAnsiTheme="majorHAnsi" w:cstheme="majorBidi"/>
      <w:b/>
      <w:bCs/>
      <w:kern w:val="28"/>
      <w:sz w:val="32"/>
      <w:szCs w:val="32"/>
    </w:rPr>
  </w:style>
  <w:style w:type="character" w:customStyle="1" w:styleId="96">
    <w:name w:val="副标题 Char2"/>
    <w:link w:val="31"/>
    <w:qFormat/>
    <w:uiPriority w:val="0"/>
    <w:rPr>
      <w:rFonts w:ascii="Cambria" w:hAnsi="Cambria" w:eastAsia="宋体" w:cs="Times New Roman"/>
      <w:b/>
      <w:bCs/>
      <w:kern w:val="28"/>
      <w:sz w:val="32"/>
      <w:szCs w:val="32"/>
    </w:rPr>
  </w:style>
  <w:style w:type="character" w:customStyle="1" w:styleId="97">
    <w:name w:val="脚注文本 Char"/>
    <w:basedOn w:val="45"/>
    <w:qFormat/>
    <w:uiPriority w:val="0"/>
    <w:rPr>
      <w:rFonts w:ascii="Times New Roman" w:hAnsi="Times New Roman" w:eastAsia="宋体" w:cs="Times New Roman"/>
      <w:sz w:val="18"/>
      <w:szCs w:val="18"/>
    </w:rPr>
  </w:style>
  <w:style w:type="character" w:customStyle="1" w:styleId="98">
    <w:name w:val="脚注文本 Char1"/>
    <w:link w:val="32"/>
    <w:qFormat/>
    <w:uiPriority w:val="0"/>
    <w:rPr>
      <w:rFonts w:ascii="Times New Roman" w:hAnsi="Times New Roman" w:eastAsia="宋体" w:cs="Times New Roman"/>
      <w:sz w:val="18"/>
      <w:szCs w:val="24"/>
    </w:rPr>
  </w:style>
  <w:style w:type="character" w:customStyle="1" w:styleId="99">
    <w:name w:val="正文文本缩进 3 Char"/>
    <w:basedOn w:val="45"/>
    <w:link w:val="33"/>
    <w:qFormat/>
    <w:uiPriority w:val="0"/>
    <w:rPr>
      <w:rFonts w:ascii="Times New Roman" w:hAnsi="Times New Roman" w:eastAsia="宋体" w:cs="Times New Roman"/>
      <w:sz w:val="16"/>
      <w:szCs w:val="24"/>
    </w:rPr>
  </w:style>
  <w:style w:type="character" w:customStyle="1" w:styleId="100">
    <w:name w:val="正文文本 2 Char"/>
    <w:basedOn w:val="45"/>
    <w:qFormat/>
    <w:uiPriority w:val="0"/>
    <w:rPr>
      <w:rFonts w:ascii="Times New Roman" w:hAnsi="Times New Roman" w:eastAsia="宋体" w:cs="Times New Roman"/>
      <w:szCs w:val="24"/>
    </w:rPr>
  </w:style>
  <w:style w:type="character" w:customStyle="1" w:styleId="101">
    <w:name w:val="正文文本 2 Char1"/>
    <w:link w:val="35"/>
    <w:qFormat/>
    <w:uiPriority w:val="0"/>
    <w:rPr>
      <w:rFonts w:ascii="Times New Roman" w:hAnsi="Times New Roman" w:eastAsia="宋体" w:cs="Times New Roman"/>
      <w:szCs w:val="24"/>
    </w:rPr>
  </w:style>
  <w:style w:type="character" w:customStyle="1" w:styleId="102">
    <w:name w:val="信息标题 Char"/>
    <w:basedOn w:val="45"/>
    <w:link w:val="36"/>
    <w:qFormat/>
    <w:uiPriority w:val="99"/>
    <w:rPr>
      <w:rFonts w:ascii="Cambria" w:hAnsi="Cambria" w:eastAsia="宋体" w:cs="Times New Roman"/>
      <w:sz w:val="24"/>
      <w:shd w:val="clear" w:color="auto" w:fill="7F7F7F"/>
    </w:rPr>
  </w:style>
  <w:style w:type="character" w:customStyle="1" w:styleId="103">
    <w:name w:val="HTML 预设格式 Char"/>
    <w:basedOn w:val="45"/>
    <w:qFormat/>
    <w:uiPriority w:val="0"/>
    <w:rPr>
      <w:rFonts w:ascii="Courier New" w:hAnsi="Courier New" w:eastAsia="宋体" w:cs="Courier New"/>
      <w:sz w:val="20"/>
      <w:szCs w:val="20"/>
    </w:rPr>
  </w:style>
  <w:style w:type="character" w:customStyle="1" w:styleId="104">
    <w:name w:val="HTML 预设格式 Char1"/>
    <w:link w:val="37"/>
    <w:qFormat/>
    <w:uiPriority w:val="0"/>
    <w:rPr>
      <w:rFonts w:ascii="宋体" w:hAnsi="宋体" w:eastAsia="宋体" w:cs="宋体"/>
      <w:sz w:val="24"/>
      <w:szCs w:val="24"/>
    </w:rPr>
  </w:style>
  <w:style w:type="character" w:customStyle="1" w:styleId="105">
    <w:name w:val="标题 Char"/>
    <w:basedOn w:val="45"/>
    <w:qFormat/>
    <w:uiPriority w:val="0"/>
    <w:rPr>
      <w:rFonts w:eastAsia="宋体" w:asciiTheme="majorHAnsi" w:hAnsiTheme="majorHAnsi" w:cstheme="majorBidi"/>
      <w:b/>
      <w:bCs/>
      <w:sz w:val="32"/>
      <w:szCs w:val="32"/>
    </w:rPr>
  </w:style>
  <w:style w:type="character" w:customStyle="1" w:styleId="106">
    <w:name w:val="标题 Char1"/>
    <w:link w:val="39"/>
    <w:qFormat/>
    <w:uiPriority w:val="0"/>
    <w:rPr>
      <w:rFonts w:ascii="Arial" w:hAnsi="Arial" w:eastAsia="宋体" w:cs="Times New Roman"/>
      <w:b/>
      <w:sz w:val="32"/>
      <w:szCs w:val="24"/>
    </w:rPr>
  </w:style>
  <w:style w:type="character" w:customStyle="1" w:styleId="107">
    <w:name w:val="批注主题 Char"/>
    <w:basedOn w:val="79"/>
    <w:qFormat/>
    <w:uiPriority w:val="0"/>
    <w:rPr>
      <w:rFonts w:ascii="Times New Roman" w:hAnsi="Times New Roman" w:eastAsia="宋体" w:cs="Times New Roman"/>
      <w:b/>
      <w:bCs/>
      <w:szCs w:val="24"/>
    </w:rPr>
  </w:style>
  <w:style w:type="character" w:customStyle="1" w:styleId="108">
    <w:name w:val="批注主题 Char1"/>
    <w:link w:val="40"/>
    <w:qFormat/>
    <w:uiPriority w:val="0"/>
    <w:rPr>
      <w:rFonts w:ascii="宋体" w:hAnsi="Calibri" w:eastAsia="宋体" w:cs="Times New Roman"/>
      <w:b/>
      <w:bCs/>
      <w:sz w:val="28"/>
    </w:rPr>
  </w:style>
  <w:style w:type="character" w:customStyle="1" w:styleId="109">
    <w:name w:val="正文首行缩进 Char"/>
    <w:basedOn w:val="83"/>
    <w:link w:val="41"/>
    <w:qFormat/>
    <w:uiPriority w:val="99"/>
    <w:rPr>
      <w:rFonts w:ascii="Times New Roman" w:hAnsi="Times New Roman" w:eastAsia="宋体" w:cs="Times New Roman"/>
      <w:szCs w:val="24"/>
    </w:rPr>
  </w:style>
  <w:style w:type="character" w:customStyle="1" w:styleId="110">
    <w:name w:val="Char Char18"/>
    <w:qFormat/>
    <w:uiPriority w:val="0"/>
    <w:rPr>
      <w:rFonts w:ascii="Cambria" w:hAnsi="Cambria" w:eastAsia="宋体" w:cs="Times New Roman"/>
      <w:b/>
      <w:bCs/>
      <w:sz w:val="32"/>
      <w:szCs w:val="32"/>
    </w:rPr>
  </w:style>
  <w:style w:type="character" w:customStyle="1" w:styleId="111">
    <w:name w:val="Char Char8"/>
    <w:qFormat/>
    <w:uiPriority w:val="0"/>
    <w:rPr>
      <w:rFonts w:ascii="Times New Roman" w:hAnsi="Times New Roman" w:eastAsia="宋体" w:cs="Times New Roman"/>
      <w:color w:val="000000"/>
      <w:kern w:val="0"/>
      <w:szCs w:val="20"/>
      <w:u w:color="000000"/>
    </w:rPr>
  </w:style>
  <w:style w:type="character" w:customStyle="1" w:styleId="112">
    <w:name w:val="Char Char"/>
    <w:qFormat/>
    <w:uiPriority w:val="0"/>
    <w:rPr>
      <w:rFonts w:ascii="宋体"/>
      <w:sz w:val="18"/>
      <w:szCs w:val="18"/>
    </w:rPr>
  </w:style>
  <w:style w:type="character" w:customStyle="1" w:styleId="113">
    <w:name w:val="Char Char3"/>
    <w:qFormat/>
    <w:uiPriority w:val="0"/>
  </w:style>
  <w:style w:type="character" w:customStyle="1" w:styleId="114">
    <w:name w:val="Char Char4"/>
    <w:qFormat/>
    <w:uiPriority w:val="0"/>
    <w:rPr>
      <w:rFonts w:ascii="宋体"/>
      <w:b/>
      <w:bCs/>
      <w:sz w:val="28"/>
    </w:rPr>
  </w:style>
  <w:style w:type="character" w:customStyle="1" w:styleId="115">
    <w:name w:val="标题 Char2"/>
    <w:qFormat/>
    <w:uiPriority w:val="10"/>
    <w:rPr>
      <w:rFonts w:ascii="Cambria" w:hAnsi="Cambria" w:eastAsia="宋体" w:cs="Times New Roman"/>
      <w:b/>
      <w:bCs/>
      <w:sz w:val="32"/>
      <w:szCs w:val="32"/>
    </w:rPr>
  </w:style>
  <w:style w:type="character" w:customStyle="1" w:styleId="116">
    <w:name w:val="引用 Char"/>
    <w:qFormat/>
    <w:uiPriority w:val="0"/>
    <w:rPr>
      <w:i/>
      <w:iCs/>
      <w:color w:val="000000"/>
    </w:rPr>
  </w:style>
  <w:style w:type="character" w:customStyle="1" w:styleId="117">
    <w:name w:val="Char Char16"/>
    <w:qFormat/>
    <w:uiPriority w:val="0"/>
    <w:rPr>
      <w:rFonts w:ascii="Cambria" w:hAnsi="Cambria" w:eastAsia="宋体" w:cs="Times New Roman"/>
      <w:b/>
      <w:bCs/>
      <w:sz w:val="28"/>
      <w:szCs w:val="28"/>
    </w:rPr>
  </w:style>
  <w:style w:type="character" w:customStyle="1" w:styleId="118">
    <w:name w:val="引用 Char2"/>
    <w:link w:val="119"/>
    <w:qFormat/>
    <w:uiPriority w:val="29"/>
    <w:rPr>
      <w:rFonts w:ascii="Calibri" w:hAnsi="Calibri" w:eastAsia="宋体" w:cs="Times New Roman"/>
      <w:i/>
      <w:iCs/>
      <w:color w:val="000000"/>
    </w:rPr>
  </w:style>
  <w:style w:type="paragraph" w:styleId="119">
    <w:name w:val="Quote"/>
    <w:basedOn w:val="1"/>
    <w:next w:val="1"/>
    <w:link w:val="118"/>
    <w:qFormat/>
    <w:uiPriority w:val="29"/>
    <w:rPr>
      <w:rFonts w:ascii="Calibri" w:hAnsi="Calibri"/>
      <w:i/>
      <w:iCs/>
      <w:color w:val="000000"/>
      <w:szCs w:val="22"/>
    </w:rPr>
  </w:style>
  <w:style w:type="character" w:customStyle="1" w:styleId="120">
    <w:name w:val="引用 Char1"/>
    <w:basedOn w:val="45"/>
    <w:qFormat/>
    <w:uiPriority w:val="29"/>
    <w:rPr>
      <w:rFonts w:ascii="Times New Roman" w:hAnsi="Times New Roman" w:eastAsia="宋体" w:cs="Times New Roman"/>
      <w:i/>
      <w:iCs/>
      <w:color w:val="000000" w:themeColor="text1"/>
      <w:szCs w:val="24"/>
      <w14:textFill>
        <w14:solidFill>
          <w14:schemeClr w14:val="tx1"/>
        </w14:solidFill>
      </w14:textFill>
    </w:rPr>
  </w:style>
  <w:style w:type="character" w:customStyle="1" w:styleId="121">
    <w:name w:val="明显引用 Char2"/>
    <w:link w:val="122"/>
    <w:qFormat/>
    <w:uiPriority w:val="30"/>
    <w:rPr>
      <w:rFonts w:ascii="Calibri" w:hAnsi="Calibri" w:eastAsia="宋体" w:cs="Times New Roman"/>
      <w:b/>
      <w:bCs/>
      <w:i/>
      <w:iCs/>
      <w:color w:val="4F81BD"/>
    </w:rPr>
  </w:style>
  <w:style w:type="paragraph" w:styleId="122">
    <w:name w:val="Intense Quote"/>
    <w:basedOn w:val="1"/>
    <w:next w:val="1"/>
    <w:link w:val="121"/>
    <w:qFormat/>
    <w:uiPriority w:val="30"/>
    <w:pPr>
      <w:pBdr>
        <w:bottom w:val="single" w:color="4F81BD" w:sz="4" w:space="4"/>
      </w:pBdr>
      <w:spacing w:before="200" w:after="280"/>
      <w:ind w:left="936" w:right="936"/>
    </w:pPr>
    <w:rPr>
      <w:rFonts w:ascii="Calibri" w:hAnsi="Calibri"/>
      <w:b/>
      <w:bCs/>
      <w:i/>
      <w:iCs/>
      <w:color w:val="4F81BD"/>
      <w:szCs w:val="22"/>
    </w:rPr>
  </w:style>
  <w:style w:type="character" w:customStyle="1" w:styleId="123">
    <w:name w:val="明显引用 Char"/>
    <w:basedOn w:val="45"/>
    <w:qFormat/>
    <w:uiPriority w:val="0"/>
    <w:rPr>
      <w:rFonts w:ascii="Times New Roman" w:hAnsi="Times New Roman" w:eastAsia="宋体" w:cs="Times New Roman"/>
      <w:b/>
      <w:bCs/>
      <w:i/>
      <w:iCs/>
      <w:color w:val="4F81BD" w:themeColor="accent1"/>
      <w:szCs w:val="24"/>
      <w14:textFill>
        <w14:solidFill>
          <w14:schemeClr w14:val="accent1"/>
        </w14:solidFill>
      </w14:textFill>
    </w:rPr>
  </w:style>
  <w:style w:type="character" w:customStyle="1" w:styleId="124">
    <w:name w:val="Char Char1"/>
    <w:qFormat/>
    <w:uiPriority w:val="0"/>
    <w:rPr>
      <w:rFonts w:ascii="Cambria" w:hAnsi="Cambria"/>
      <w:b/>
      <w:bCs/>
      <w:kern w:val="28"/>
      <w:sz w:val="32"/>
      <w:szCs w:val="32"/>
    </w:rPr>
  </w:style>
  <w:style w:type="character" w:customStyle="1" w:styleId="125">
    <w:name w:val="apple-converted-space"/>
    <w:qFormat/>
    <w:uiPriority w:val="0"/>
  </w:style>
  <w:style w:type="character" w:customStyle="1" w:styleId="126">
    <w:name w:val="Char Char17"/>
    <w:qFormat/>
    <w:uiPriority w:val="0"/>
    <w:rPr>
      <w:rFonts w:ascii="Calibri" w:hAnsi="Calibri" w:eastAsia="宋体" w:cs="Times New Roman"/>
      <w:b/>
      <w:bCs/>
      <w:sz w:val="32"/>
      <w:szCs w:val="32"/>
    </w:rPr>
  </w:style>
  <w:style w:type="character" w:customStyle="1" w:styleId="127">
    <w:name w:val="16"/>
    <w:qFormat/>
    <w:uiPriority w:val="0"/>
    <w:rPr>
      <w:rFonts w:hint="default" w:ascii="Calibri" w:hAnsi="Calibri" w:cs="Calibri"/>
    </w:rPr>
  </w:style>
  <w:style w:type="character" w:customStyle="1" w:styleId="128">
    <w:name w:val="Char Char7"/>
    <w:qFormat/>
    <w:uiPriority w:val="0"/>
    <w:rPr>
      <w:rFonts w:ascii="Cambria" w:hAnsi="Cambria"/>
      <w:b/>
      <w:bCs/>
      <w:sz w:val="32"/>
      <w:szCs w:val="32"/>
    </w:rPr>
  </w:style>
  <w:style w:type="character" w:customStyle="1" w:styleId="129">
    <w:name w:val="html_txt1"/>
    <w:qFormat/>
    <w:uiPriority w:val="0"/>
    <w:rPr>
      <w:color w:val="000000"/>
    </w:rPr>
  </w:style>
  <w:style w:type="character" w:customStyle="1" w:styleId="130">
    <w:name w:val="Char Char12"/>
    <w:qFormat/>
    <w:uiPriority w:val="0"/>
    <w:rPr>
      <w:rFonts w:ascii="Cambria" w:hAnsi="Cambria" w:eastAsia="宋体" w:cs="Times New Roman"/>
      <w:sz w:val="24"/>
      <w:szCs w:val="24"/>
    </w:rPr>
  </w:style>
  <w:style w:type="character" w:customStyle="1" w:styleId="131">
    <w:name w:val="副标题 Char1"/>
    <w:qFormat/>
    <w:uiPriority w:val="11"/>
    <w:rPr>
      <w:rFonts w:ascii="Cambria" w:hAnsi="Cambria" w:eastAsia="宋体" w:cs="Times New Roman"/>
      <w:b/>
      <w:bCs/>
      <w:color w:val="000000"/>
      <w:kern w:val="28"/>
      <w:sz w:val="32"/>
      <w:szCs w:val="32"/>
      <w:u w:color="000000"/>
    </w:rPr>
  </w:style>
  <w:style w:type="character" w:customStyle="1" w:styleId="132">
    <w:name w:val="Char Char14"/>
    <w:qFormat/>
    <w:uiPriority w:val="0"/>
    <w:rPr>
      <w:rFonts w:ascii="Cambria" w:hAnsi="Cambria" w:eastAsia="宋体" w:cs="Times New Roman"/>
      <w:b/>
      <w:bCs/>
      <w:sz w:val="24"/>
      <w:szCs w:val="24"/>
    </w:rPr>
  </w:style>
  <w:style w:type="character" w:customStyle="1" w:styleId="133">
    <w:name w:val="明显引用 Char1"/>
    <w:qFormat/>
    <w:uiPriority w:val="30"/>
    <w:rPr>
      <w:b/>
      <w:bCs/>
      <w:i/>
      <w:iCs/>
      <w:color w:val="4F81BD"/>
      <w:kern w:val="2"/>
      <w:sz w:val="21"/>
      <w:szCs w:val="24"/>
    </w:rPr>
  </w:style>
  <w:style w:type="character" w:customStyle="1" w:styleId="134">
    <w:name w:val="链接"/>
    <w:qFormat/>
    <w:uiPriority w:val="0"/>
    <w:rPr>
      <w:rFonts w:ascii="Times New Roman" w:eastAsia="宋体"/>
      <w:color w:val="0000FF"/>
      <w:sz w:val="21"/>
      <w:u w:val="single" w:color="0000FF"/>
      <w:vertAlign w:val="baseline"/>
      <w:lang w:val="en-US" w:eastAsia="zh-CN"/>
    </w:rPr>
  </w:style>
  <w:style w:type="character" w:customStyle="1" w:styleId="135">
    <w:name w:val="10"/>
    <w:qFormat/>
    <w:uiPriority w:val="0"/>
    <w:rPr>
      <w:rFonts w:hint="default" w:ascii="Calibri" w:hAnsi="Calibri" w:cs="Calibri"/>
    </w:rPr>
  </w:style>
  <w:style w:type="character" w:customStyle="1" w:styleId="136">
    <w:name w:val="Char Char2"/>
    <w:qFormat/>
    <w:uiPriority w:val="0"/>
    <w:rPr>
      <w:szCs w:val="24"/>
      <w:shd w:val="clear" w:color="auto" w:fill="000080"/>
    </w:rPr>
  </w:style>
  <w:style w:type="character" w:customStyle="1" w:styleId="137">
    <w:name w:val="Char Char13"/>
    <w:qFormat/>
    <w:uiPriority w:val="0"/>
    <w:rPr>
      <w:rFonts w:ascii="Calibri" w:hAnsi="Calibri" w:eastAsia="宋体" w:cs="Times New Roman"/>
      <w:b/>
      <w:bCs/>
      <w:sz w:val="24"/>
      <w:szCs w:val="24"/>
    </w:rPr>
  </w:style>
  <w:style w:type="character" w:customStyle="1" w:styleId="138">
    <w:name w:val="Char Char11"/>
    <w:qFormat/>
    <w:uiPriority w:val="0"/>
    <w:rPr>
      <w:rFonts w:ascii="Cambria" w:hAnsi="Cambria" w:eastAsia="宋体" w:cs="Times New Roman"/>
      <w:szCs w:val="21"/>
    </w:rPr>
  </w:style>
  <w:style w:type="character" w:customStyle="1" w:styleId="139">
    <w:name w:val="Char Char19"/>
    <w:qFormat/>
    <w:uiPriority w:val="0"/>
    <w:rPr>
      <w:rFonts w:ascii="Calibri" w:hAnsi="Calibri" w:eastAsia="宋体" w:cs="Times New Roman"/>
      <w:b/>
      <w:bCs/>
      <w:kern w:val="44"/>
      <w:sz w:val="44"/>
      <w:szCs w:val="44"/>
    </w:rPr>
  </w:style>
  <w:style w:type="character" w:customStyle="1" w:styleId="140">
    <w:name w:val="15"/>
    <w:qFormat/>
    <w:uiPriority w:val="0"/>
    <w:rPr>
      <w:rFonts w:hint="default" w:ascii="Calibri" w:hAnsi="Calibri" w:cs="Calibri"/>
      <w:color w:val="000000"/>
    </w:rPr>
  </w:style>
  <w:style w:type="character" w:customStyle="1" w:styleId="141">
    <w:name w:val="Char Char9"/>
    <w:qFormat/>
    <w:uiPriority w:val="0"/>
    <w:rPr>
      <w:rFonts w:ascii="Times New Roman" w:hAnsi="Times New Roman" w:eastAsia="宋体" w:cs="Times New Roman"/>
      <w:color w:val="000000"/>
      <w:kern w:val="0"/>
      <w:sz w:val="18"/>
      <w:szCs w:val="18"/>
      <w:u w:color="000000"/>
    </w:rPr>
  </w:style>
  <w:style w:type="character" w:customStyle="1" w:styleId="142">
    <w:name w:val="Char Char10"/>
    <w:qFormat/>
    <w:uiPriority w:val="0"/>
    <w:rPr>
      <w:rFonts w:ascii="Times New Roman" w:hAnsi="Times New Roman" w:eastAsia="宋体" w:cs="Times New Roman"/>
      <w:color w:val="000000"/>
      <w:kern w:val="0"/>
      <w:sz w:val="18"/>
      <w:szCs w:val="18"/>
      <w:u w:color="000000"/>
    </w:rPr>
  </w:style>
  <w:style w:type="character" w:customStyle="1" w:styleId="143">
    <w:name w:val="普通文字 Char Char1"/>
    <w:qFormat/>
    <w:locked/>
    <w:uiPriority w:val="0"/>
    <w:rPr>
      <w:rFonts w:ascii="宋体" w:hAnsi="Courier New" w:eastAsia="仿宋_GB2312"/>
      <w:sz w:val="30"/>
    </w:rPr>
  </w:style>
  <w:style w:type="character" w:customStyle="1" w:styleId="144">
    <w:name w:val="标题4 Char Char"/>
    <w:link w:val="145"/>
    <w:qFormat/>
    <w:uiPriority w:val="0"/>
    <w:rPr>
      <w:rFonts w:ascii="Arial" w:hAnsi="Arial"/>
      <w:b/>
      <w:bCs/>
      <w:sz w:val="24"/>
      <w:szCs w:val="32"/>
    </w:rPr>
  </w:style>
  <w:style w:type="paragraph" w:customStyle="1" w:styleId="145">
    <w:name w:val="标题4"/>
    <w:basedOn w:val="4"/>
    <w:next w:val="1"/>
    <w:link w:val="144"/>
    <w:qFormat/>
    <w:uiPriority w:val="0"/>
    <w:rPr>
      <w:rFonts w:eastAsiaTheme="minorEastAsia" w:cstheme="minorBidi"/>
      <w:bCs/>
      <w:sz w:val="24"/>
      <w:szCs w:val="32"/>
    </w:rPr>
  </w:style>
  <w:style w:type="character" w:customStyle="1" w:styleId="146">
    <w:name w:val="标题5 Char Char"/>
    <w:link w:val="147"/>
    <w:qFormat/>
    <w:uiPriority w:val="0"/>
    <w:rPr>
      <w:rFonts w:ascii="Arial" w:hAnsi="Arial"/>
      <w:b/>
      <w:bCs/>
      <w:sz w:val="24"/>
      <w:szCs w:val="32"/>
    </w:rPr>
  </w:style>
  <w:style w:type="paragraph" w:customStyle="1" w:styleId="147">
    <w:name w:val="标题5"/>
    <w:basedOn w:val="5"/>
    <w:link w:val="146"/>
    <w:qFormat/>
    <w:uiPriority w:val="0"/>
    <w:pPr>
      <w:spacing w:before="260" w:after="260" w:line="413" w:lineRule="auto"/>
    </w:pPr>
    <w:rPr>
      <w:rFonts w:ascii="Arial" w:hAnsi="Arial" w:eastAsiaTheme="minorEastAsia" w:cstheme="minorBidi"/>
      <w:bCs/>
    </w:rPr>
  </w:style>
  <w:style w:type="character" w:customStyle="1" w:styleId="148">
    <w:name w:val="Char Char15"/>
    <w:qFormat/>
    <w:uiPriority w:val="0"/>
    <w:rPr>
      <w:rFonts w:ascii="Calibri" w:hAnsi="Calibri" w:eastAsia="宋体" w:cs="Times New Roman"/>
      <w:b/>
      <w:bCs/>
      <w:sz w:val="28"/>
      <w:szCs w:val="28"/>
    </w:rPr>
  </w:style>
  <w:style w:type="character" w:customStyle="1" w:styleId="149">
    <w:name w:val="正文文本缩进 3 Char1"/>
    <w:qFormat/>
    <w:uiPriority w:val="0"/>
    <w:rPr>
      <w:rFonts w:hint="default" w:ascii="Times New Roman" w:hAnsi="Times New Roman" w:cs="Times New Roman"/>
      <w:kern w:val="2"/>
      <w:sz w:val="16"/>
      <w:szCs w:val="16"/>
    </w:rPr>
  </w:style>
  <w:style w:type="character" w:customStyle="1" w:styleId="150">
    <w:name w:val="17"/>
    <w:qFormat/>
    <w:uiPriority w:val="0"/>
    <w:rPr>
      <w:rFonts w:hint="default" w:ascii="Calibri" w:hAnsi="Calibri" w:cs="Calibri"/>
      <w:color w:val="0000FF"/>
      <w:u w:val="single"/>
    </w:rPr>
  </w:style>
  <w:style w:type="character" w:customStyle="1" w:styleId="151">
    <w:name w:val="layui-laypage-curr"/>
    <w:qFormat/>
    <w:uiPriority w:val="0"/>
  </w:style>
  <w:style w:type="character" w:customStyle="1" w:styleId="152">
    <w:name w:val="mail-contents"/>
    <w:qFormat/>
    <w:uiPriority w:val="0"/>
  </w:style>
  <w:style w:type="character" w:customStyle="1" w:styleId="153">
    <w:name w:val="s5"/>
    <w:qFormat/>
    <w:uiPriority w:val="0"/>
    <w:rPr>
      <w:spacing w:val="100"/>
    </w:rPr>
  </w:style>
  <w:style w:type="character" w:customStyle="1" w:styleId="154">
    <w:name w:val="hover33"/>
    <w:qFormat/>
    <w:uiPriority w:val="0"/>
    <w:rPr>
      <w:color w:val="5FB878"/>
    </w:rPr>
  </w:style>
  <w:style w:type="character" w:customStyle="1" w:styleId="155">
    <w:name w:val="hover34"/>
    <w:qFormat/>
    <w:uiPriority w:val="0"/>
    <w:rPr>
      <w:color w:val="5FB878"/>
    </w:rPr>
  </w:style>
  <w:style w:type="character" w:customStyle="1" w:styleId="156">
    <w:name w:val="hover35"/>
    <w:qFormat/>
    <w:uiPriority w:val="0"/>
    <w:rPr>
      <w:color w:val="FFFFFF"/>
    </w:rPr>
  </w:style>
  <w:style w:type="character" w:customStyle="1" w:styleId="157">
    <w:name w:val="layui-this4"/>
    <w:qFormat/>
    <w:uiPriority w:val="0"/>
    <w:rPr>
      <w:bdr w:val="single" w:color="EEEEEE" w:sz="4" w:space="0"/>
      <w:shd w:val="clear" w:color="auto" w:fill="FFFFFF"/>
    </w:rPr>
  </w:style>
  <w:style w:type="character" w:customStyle="1" w:styleId="158">
    <w:name w:val="first-child"/>
    <w:qFormat/>
    <w:uiPriority w:val="0"/>
  </w:style>
  <w:style w:type="paragraph" w:customStyle="1" w:styleId="159">
    <w:name w:val="目录2"/>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60">
    <w:name w:val="目录4"/>
    <w:basedOn w:val="1"/>
    <w:next w:val="1"/>
    <w:qFormat/>
    <w:uiPriority w:val="0"/>
    <w:pPr>
      <w:widowControl/>
      <w:tabs>
        <w:tab w:val="left" w:leader="dot" w:pos="8503"/>
      </w:tabs>
      <w:spacing w:line="317" w:lineRule="atLeast"/>
      <w:ind w:left="419" w:firstLine="629"/>
      <w:textAlignment w:val="baseline"/>
    </w:pPr>
    <w:rPr>
      <w:color w:val="000000"/>
      <w:kern w:val="0"/>
      <w:szCs w:val="20"/>
      <w:u w:color="000000"/>
    </w:rPr>
  </w:style>
  <w:style w:type="paragraph" w:customStyle="1" w:styleId="161">
    <w:name w:val="TOC 标题1"/>
    <w:basedOn w:val="3"/>
    <w:next w:val="1"/>
    <w:qFormat/>
    <w:uiPriority w:val="0"/>
    <w:pPr>
      <w:spacing w:before="340" w:after="330" w:line="576" w:lineRule="auto"/>
      <w:outlineLvl w:val="9"/>
    </w:pPr>
    <w:rPr>
      <w:rFonts w:ascii="Calibri" w:hAnsi="Calibri"/>
      <w:bCs/>
      <w:sz w:val="44"/>
    </w:rPr>
  </w:style>
  <w:style w:type="paragraph" w:customStyle="1" w:styleId="162">
    <w:name w:val="目录1"/>
    <w:basedOn w:val="1"/>
    <w:next w:val="1"/>
    <w:qFormat/>
    <w:uiPriority w:val="0"/>
    <w:pPr>
      <w:widowControl/>
      <w:tabs>
        <w:tab w:val="left" w:leader="dot" w:pos="8503"/>
      </w:tabs>
      <w:spacing w:after="102" w:line="215" w:lineRule="atLeast"/>
      <w:ind w:firstLine="419"/>
      <w:jc w:val="left"/>
      <w:textAlignment w:val="baseline"/>
    </w:pPr>
    <w:rPr>
      <w:color w:val="000000"/>
      <w:kern w:val="0"/>
      <w:szCs w:val="20"/>
      <w:u w:color="000000"/>
    </w:rPr>
  </w:style>
  <w:style w:type="paragraph" w:customStyle="1" w:styleId="163">
    <w:name w:val="cjk"/>
    <w:basedOn w:val="1"/>
    <w:qFormat/>
    <w:uiPriority w:val="0"/>
    <w:pPr>
      <w:widowControl/>
      <w:spacing w:before="100" w:beforeAutospacing="1" w:after="100" w:afterAutospacing="1"/>
      <w:jc w:val="left"/>
    </w:pPr>
    <w:rPr>
      <w:rFonts w:ascii="宋体" w:hAnsi="宋体" w:cs="宋体"/>
      <w:kern w:val="0"/>
      <w:sz w:val="24"/>
    </w:rPr>
  </w:style>
  <w:style w:type="paragraph" w:customStyle="1" w:styleId="164">
    <w:name w:val="样式 标题 3 + (中文) 黑体 小四 非加粗 段前: 7.8 磅 段后: 0 磅 行距: 固定值 20 磅"/>
    <w:basedOn w:val="5"/>
    <w:qFormat/>
    <w:uiPriority w:val="0"/>
    <w:pPr>
      <w:spacing w:line="400" w:lineRule="exact"/>
    </w:pPr>
    <w:rPr>
      <w:rFonts w:eastAsia="黑体"/>
      <w:szCs w:val="20"/>
    </w:rPr>
  </w:style>
  <w:style w:type="paragraph" w:customStyle="1" w:styleId="165">
    <w:name w:val="zw"/>
    <w:basedOn w:val="1"/>
    <w:qFormat/>
    <w:uiPriority w:val="0"/>
    <w:pPr>
      <w:widowControl/>
      <w:spacing w:before="100" w:beforeAutospacing="1" w:after="100" w:afterAutospacing="1"/>
      <w:jc w:val="left"/>
    </w:pPr>
    <w:rPr>
      <w:rFonts w:hint="eastAsia" w:ascii="宋体" w:hAnsi="宋体"/>
      <w:color w:val="000000"/>
      <w:kern w:val="0"/>
      <w:sz w:val="24"/>
    </w:rPr>
  </w:style>
  <w:style w:type="paragraph" w:customStyle="1" w:styleId="166">
    <w:name w:val="样式 标题 2 + Times New Roman 四号 非加粗 段前: 5 磅 段后: 0 磅 行距: 固定值 20..."/>
    <w:basedOn w:val="4"/>
    <w:qFormat/>
    <w:uiPriority w:val="0"/>
    <w:pPr>
      <w:spacing w:before="100" w:after="0" w:line="400" w:lineRule="exact"/>
    </w:pPr>
    <w:rPr>
      <w:rFonts w:ascii="Times New Roman" w:hAnsi="Times New Roman"/>
      <w:sz w:val="28"/>
      <w:szCs w:val="20"/>
    </w:rPr>
  </w:style>
  <w:style w:type="paragraph" w:customStyle="1" w:styleId="167">
    <w:name w:val="_Style 28"/>
    <w:basedOn w:val="1"/>
    <w:qFormat/>
    <w:uiPriority w:val="0"/>
    <w:pPr>
      <w:widowControl/>
      <w:spacing w:line="357" w:lineRule="atLeast"/>
      <w:textAlignment w:val="baseline"/>
    </w:pPr>
    <w:rPr>
      <w:color w:val="000000"/>
      <w:kern w:val="0"/>
      <w:szCs w:val="20"/>
      <w:u w:color="000000"/>
    </w:rPr>
  </w:style>
  <w:style w:type="paragraph" w:customStyle="1" w:styleId="168">
    <w:name w:val="p0"/>
    <w:basedOn w:val="1"/>
    <w:qFormat/>
    <w:uiPriority w:val="0"/>
    <w:pPr>
      <w:widowControl/>
    </w:pPr>
    <w:rPr>
      <w:kern w:val="0"/>
      <w:szCs w:val="21"/>
    </w:rPr>
  </w:style>
  <w:style w:type="paragraph" w:customStyle="1" w:styleId="169">
    <w:name w:val="列出段落1"/>
    <w:basedOn w:val="1"/>
    <w:qFormat/>
    <w:uiPriority w:val="34"/>
    <w:pPr>
      <w:ind w:firstLine="420" w:firstLineChars="200"/>
    </w:pPr>
    <w:rPr>
      <w:rFonts w:ascii="Calibri" w:hAnsi="Calibri"/>
      <w:szCs w:val="22"/>
    </w:rPr>
  </w:style>
  <w:style w:type="paragraph" w:styleId="170">
    <w:name w:val="List Paragraph"/>
    <w:basedOn w:val="1"/>
    <w:qFormat/>
    <w:uiPriority w:val="34"/>
    <w:pPr>
      <w:ind w:firstLine="420" w:firstLineChars="200"/>
    </w:pPr>
    <w:rPr>
      <w:szCs w:val="22"/>
    </w:rPr>
  </w:style>
  <w:style w:type="paragraph" w:customStyle="1" w:styleId="171">
    <w:name w:val="Message Header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cs="黑体"/>
      <w:szCs w:val="22"/>
      <w:shd w:val="pct20" w:color="auto" w:fill="auto"/>
    </w:rPr>
  </w:style>
  <w:style w:type="paragraph" w:customStyle="1" w:styleId="172">
    <w:name w:val="目录3"/>
    <w:basedOn w:val="1"/>
    <w:next w:val="1"/>
    <w:qFormat/>
    <w:uiPriority w:val="0"/>
    <w:pPr>
      <w:widowControl/>
      <w:tabs>
        <w:tab w:val="left" w:leader="dot" w:pos="8503"/>
      </w:tabs>
      <w:spacing w:line="317" w:lineRule="atLeast"/>
      <w:ind w:left="419" w:firstLine="419"/>
      <w:textAlignment w:val="baseline"/>
    </w:pPr>
    <w:rPr>
      <w:color w:val="000000"/>
      <w:kern w:val="0"/>
      <w:szCs w:val="20"/>
      <w:u w:color="000000"/>
    </w:rPr>
  </w:style>
  <w:style w:type="paragraph" w:customStyle="1" w:styleId="173">
    <w:name w:val="节标题"/>
    <w:basedOn w:val="1"/>
    <w:next w:val="174"/>
    <w:qFormat/>
    <w:uiPriority w:val="0"/>
    <w:pPr>
      <w:widowControl/>
      <w:spacing w:line="289" w:lineRule="atLeast"/>
      <w:jc w:val="center"/>
      <w:textAlignment w:val="baseline"/>
    </w:pPr>
    <w:rPr>
      <w:color w:val="000000"/>
      <w:kern w:val="0"/>
      <w:sz w:val="28"/>
      <w:szCs w:val="20"/>
      <w:u w:color="000000"/>
    </w:rPr>
  </w:style>
  <w:style w:type="paragraph" w:customStyle="1" w:styleId="174">
    <w:name w:val="小节标题"/>
    <w:basedOn w:val="1"/>
    <w:next w:val="1"/>
    <w:qFormat/>
    <w:uiPriority w:val="0"/>
    <w:pPr>
      <w:widowControl/>
      <w:spacing w:before="175" w:after="102" w:line="351" w:lineRule="atLeast"/>
      <w:textAlignment w:val="baseline"/>
    </w:pPr>
    <w:rPr>
      <w:rFonts w:eastAsia="黑体"/>
      <w:color w:val="000000"/>
      <w:kern w:val="0"/>
      <w:szCs w:val="20"/>
      <w:u w:color="000000"/>
    </w:rPr>
  </w:style>
  <w:style w:type="paragraph" w:customStyle="1" w:styleId="175">
    <w:name w:val="Char"/>
    <w:basedOn w:val="1"/>
    <w:qFormat/>
    <w:uiPriority w:val="0"/>
  </w:style>
  <w:style w:type="paragraph" w:customStyle="1" w:styleId="176">
    <w:name w:val="文章总标题"/>
    <w:basedOn w:val="1"/>
    <w:next w:val="177"/>
    <w:qFormat/>
    <w:uiPriority w:val="0"/>
    <w:pPr>
      <w:widowControl/>
      <w:spacing w:before="566" w:after="544" w:line="566" w:lineRule="atLeast"/>
      <w:jc w:val="center"/>
      <w:textAlignment w:val="baseline"/>
    </w:pPr>
    <w:rPr>
      <w:rFonts w:ascii="Arial" w:eastAsia="黑体"/>
      <w:color w:val="000000"/>
      <w:kern w:val="0"/>
      <w:sz w:val="54"/>
      <w:szCs w:val="20"/>
      <w:u w:color="000000"/>
    </w:rPr>
  </w:style>
  <w:style w:type="paragraph" w:customStyle="1" w:styleId="177">
    <w:name w:val="文章副标题"/>
    <w:basedOn w:val="1"/>
    <w:next w:val="178"/>
    <w:qFormat/>
    <w:uiPriority w:val="0"/>
    <w:pPr>
      <w:widowControl/>
      <w:spacing w:before="187" w:after="175" w:line="374" w:lineRule="atLeast"/>
      <w:jc w:val="center"/>
      <w:textAlignment w:val="baseline"/>
    </w:pPr>
    <w:rPr>
      <w:color w:val="000000"/>
      <w:kern w:val="0"/>
      <w:sz w:val="36"/>
      <w:szCs w:val="20"/>
      <w:u w:color="000000"/>
    </w:rPr>
  </w:style>
  <w:style w:type="paragraph" w:customStyle="1" w:styleId="178">
    <w:name w:val="章标题"/>
    <w:basedOn w:val="1"/>
    <w:next w:val="173"/>
    <w:qFormat/>
    <w:uiPriority w:val="0"/>
    <w:pPr>
      <w:widowControl/>
      <w:spacing w:before="158" w:after="153" w:line="323" w:lineRule="atLeast"/>
      <w:jc w:val="center"/>
      <w:textAlignment w:val="baseline"/>
    </w:pPr>
    <w:rPr>
      <w:rFonts w:ascii="Arial" w:eastAsia="黑体"/>
      <w:color w:val="000000"/>
      <w:kern w:val="0"/>
      <w:sz w:val="31"/>
      <w:szCs w:val="20"/>
      <w:u w:color="000000"/>
    </w:rPr>
  </w:style>
  <w:style w:type="paragraph" w:customStyle="1" w:styleId="179">
    <w:name w:val="目录标题"/>
    <w:basedOn w:val="1"/>
    <w:next w:val="1"/>
    <w:qFormat/>
    <w:uiPriority w:val="0"/>
    <w:pPr>
      <w:widowControl/>
      <w:spacing w:before="215" w:after="419" w:line="436" w:lineRule="atLeast"/>
      <w:ind w:firstLine="419"/>
      <w:jc w:val="center"/>
      <w:textAlignment w:val="baseline"/>
    </w:pPr>
    <w:rPr>
      <w:rFonts w:ascii="Arial" w:eastAsia="黑体"/>
      <w:color w:val="000000"/>
      <w:spacing w:val="283"/>
      <w:kern w:val="0"/>
      <w:sz w:val="42"/>
      <w:szCs w:val="20"/>
      <w:u w:color="000000"/>
    </w:rPr>
  </w:style>
  <w:style w:type="character" w:customStyle="1" w:styleId="180">
    <w:name w:val="hover36"/>
    <w:qFormat/>
    <w:uiPriority w:val="0"/>
    <w:rPr>
      <w:color w:val="FFFFFF"/>
    </w:rPr>
  </w:style>
  <w:style w:type="character" w:customStyle="1" w:styleId="181">
    <w:name w:val="layui-this"/>
    <w:qFormat/>
    <w:uiPriority w:val="0"/>
    <w:rPr>
      <w:bdr w:val="single" w:color="EEEEEE" w:sz="6" w:space="0"/>
      <w:shd w:val="clear" w:color="auto" w:fill="FFFFFF"/>
    </w:rPr>
  </w:style>
  <w:style w:type="character" w:customStyle="1" w:styleId="182">
    <w:name w:val="layui-this3"/>
    <w:qFormat/>
    <w:uiPriority w:val="0"/>
    <w:rPr>
      <w:bdr w:val="single" w:color="EEEEEE" w:sz="6" w:space="0"/>
      <w:shd w:val="clear" w:color="auto" w:fill="FFFFFF"/>
    </w:rPr>
  </w:style>
  <w:style w:type="character" w:customStyle="1" w:styleId="183">
    <w:name w:val="hover"/>
    <w:qFormat/>
    <w:uiPriority w:val="0"/>
    <w:rPr>
      <w:color w:val="2590EB"/>
    </w:rPr>
  </w:style>
  <w:style w:type="character" w:customStyle="1" w:styleId="184">
    <w:name w:val="hover1"/>
    <w:qFormat/>
    <w:uiPriority w:val="0"/>
    <w:rPr>
      <w:color w:val="2590EB"/>
    </w:rPr>
  </w:style>
  <w:style w:type="character" w:customStyle="1" w:styleId="185">
    <w:name w:val="hover2"/>
    <w:qFormat/>
    <w:uiPriority w:val="0"/>
  </w:style>
  <w:style w:type="character" w:customStyle="1" w:styleId="186">
    <w:name w:val="mini-outputtext1"/>
    <w:qFormat/>
    <w:uiPriority w:val="0"/>
  </w:style>
  <w:style w:type="character" w:customStyle="1" w:styleId="187">
    <w:name w:val="hover3"/>
    <w:qFormat/>
    <w:uiPriority w:val="0"/>
  </w:style>
  <w:style w:type="character" w:customStyle="1" w:styleId="188">
    <w:name w:val="样式 标书正文 + 下划线 Char"/>
    <w:qFormat/>
    <w:uiPriority w:val="0"/>
    <w:rPr>
      <w:rFonts w:eastAsia="Times New Roman" w:cs="Times New Roman"/>
      <w:kern w:val="2"/>
      <w:sz w:val="28"/>
      <w:szCs w:val="28"/>
      <w:u w:val="single"/>
      <w:lang w:val="en-US" w:eastAsia="zh-CN" w:bidi="ar-SA"/>
    </w:rPr>
  </w:style>
  <w:style w:type="paragraph" w:customStyle="1" w:styleId="189">
    <w:name w:val="WPSOffice手动目录 1"/>
    <w:qFormat/>
    <w:uiPriority w:val="0"/>
    <w:rPr>
      <w:rFonts w:ascii="Times New Roman" w:hAnsi="Times New Roman" w:eastAsia="宋体" w:cs="Times New Roman"/>
      <w:lang w:val="en-US" w:eastAsia="zh-CN" w:bidi="ar-SA"/>
    </w:rPr>
  </w:style>
  <w:style w:type="character" w:customStyle="1" w:styleId="190">
    <w:name w:val="fontstyle01"/>
    <w:basedOn w:val="45"/>
    <w:qFormat/>
    <w:uiPriority w:val="0"/>
    <w:rPr>
      <w:rFonts w:hint="eastAsia" w:ascii="宋体" w:hAnsi="宋体" w:eastAsia="宋体"/>
      <w:color w:val="0D0D0D"/>
      <w:sz w:val="24"/>
      <w:szCs w:val="24"/>
    </w:rPr>
  </w:style>
  <w:style w:type="character" w:customStyle="1" w:styleId="191">
    <w:name w:val="NormalCharacter"/>
    <w:qFormat/>
    <w:uiPriority w:val="0"/>
  </w:style>
  <w:style w:type="table" w:customStyle="1" w:styleId="192">
    <w:name w:val="Table Normal"/>
    <w:unhideWhenUsed/>
    <w:qFormat/>
    <w:uiPriority w:val="2"/>
    <w:tblPr>
      <w:tblCellMar>
        <w:top w:w="0" w:type="dxa"/>
        <w:left w:w="0" w:type="dxa"/>
        <w:bottom w:w="0" w:type="dxa"/>
        <w:right w:w="0" w:type="dxa"/>
      </w:tblCellMar>
    </w:tblPr>
  </w:style>
  <w:style w:type="character" w:customStyle="1" w:styleId="193">
    <w:name w:val="s135"/>
    <w:qFormat/>
    <w:uiPriority w:val="0"/>
  </w:style>
  <w:style w:type="character" w:customStyle="1" w:styleId="194">
    <w:name w:val="s152"/>
    <w:qFormat/>
    <w:uiPriority w:val="0"/>
  </w:style>
  <w:style w:type="paragraph" w:customStyle="1" w:styleId="195">
    <w:name w:val="标题3-1"/>
    <w:basedOn w:val="5"/>
    <w:qFormat/>
    <w:uiPriority w:val="0"/>
    <w:pPr>
      <w:tabs>
        <w:tab w:val="left" w:pos="425"/>
      </w:tabs>
      <w:spacing w:before="260" w:after="260" w:line="413" w:lineRule="auto"/>
    </w:pPr>
    <w:rPr>
      <w:rFonts w:ascii="Times New Roman" w:hAnsi="Times New Roman"/>
      <w:kern w:val="0"/>
      <w:szCs w:val="20"/>
    </w:rPr>
  </w:style>
  <w:style w:type="paragraph" w:customStyle="1" w:styleId="196">
    <w:name w:val="Body text|1"/>
    <w:basedOn w:val="1"/>
    <w:qFormat/>
    <w:uiPriority w:val="0"/>
    <w:pPr>
      <w:spacing w:line="410" w:lineRule="auto"/>
      <w:ind w:firstLine="400"/>
    </w:pPr>
    <w:rPr>
      <w:rFonts w:ascii="宋体" w:hAnsi="宋体" w:cs="宋体"/>
      <w:lang w:val="zh-TW" w:eastAsia="zh-TW" w:bidi="zh-TW"/>
    </w:rPr>
  </w:style>
  <w:style w:type="paragraph" w:customStyle="1" w:styleId="197">
    <w:name w:val="TOC 标题2"/>
    <w:basedOn w:val="3"/>
    <w:next w:val="1"/>
    <w:qFormat/>
    <w:uiPriority w:val="0"/>
    <w:pPr>
      <w:spacing w:before="260" w:after="260" w:line="413" w:lineRule="auto"/>
    </w:pPr>
    <w:rPr>
      <w:rFonts w:ascii="宋体" w:hAnsi="宋体"/>
      <w:bCs/>
      <w:sz w:val="36"/>
      <w:lang w:val="zh-CN"/>
    </w:rPr>
  </w:style>
  <w:style w:type="paragraph" w:customStyle="1" w:styleId="198">
    <w:name w:val="Header or footer|2"/>
    <w:basedOn w:val="1"/>
    <w:qFormat/>
    <w:uiPriority w:val="0"/>
    <w:rPr>
      <w:sz w:val="20"/>
      <w:szCs w:val="20"/>
      <w:lang w:val="zh-TW" w:eastAsia="zh-TW" w:bidi="zh-TW"/>
    </w:rPr>
  </w:style>
  <w:style w:type="paragraph" w:customStyle="1" w:styleId="199">
    <w:name w:val="Body text|2"/>
    <w:basedOn w:val="1"/>
    <w:qFormat/>
    <w:uiPriority w:val="0"/>
    <w:rPr>
      <w:sz w:val="22"/>
      <w:szCs w:val="22"/>
      <w:lang w:val="zh-TW" w:eastAsia="zh-TW" w:bidi="zh-TW"/>
    </w:rPr>
  </w:style>
  <w:style w:type="paragraph" w:customStyle="1" w:styleId="200">
    <w:name w:val="Other|1"/>
    <w:basedOn w:val="1"/>
    <w:qFormat/>
    <w:uiPriority w:val="0"/>
    <w:pPr>
      <w:spacing w:after="600" w:line="384" w:lineRule="auto"/>
      <w:jc w:val="center"/>
    </w:pPr>
    <w:rPr>
      <w:rFonts w:ascii="宋体" w:hAnsi="宋体" w:cs="宋体"/>
      <w:sz w:val="52"/>
      <w:szCs w:val="52"/>
      <w:lang w:val="zh-TW" w:eastAsia="zh-TW" w:bidi="zh-TW"/>
    </w:rPr>
  </w:style>
  <w:style w:type="paragraph" w:customStyle="1" w:styleId="201">
    <w:name w:val="Body text|6"/>
    <w:basedOn w:val="1"/>
    <w:qFormat/>
    <w:uiPriority w:val="0"/>
    <w:rPr>
      <w:sz w:val="28"/>
      <w:szCs w:val="28"/>
    </w:rPr>
  </w:style>
  <w:style w:type="paragraph" w:customStyle="1" w:styleId="202">
    <w:name w:val="Main Title"/>
    <w:next w:val="1"/>
    <w:qFormat/>
    <w:uiPriority w:val="0"/>
    <w:pPr>
      <w:adjustRightInd w:val="0"/>
      <w:snapToGrid w:val="0"/>
      <w:spacing w:afterLines="50" w:line="360" w:lineRule="auto"/>
      <w:jc w:val="center"/>
    </w:pPr>
    <w:rPr>
      <w:rFonts w:ascii="黑体" w:hAnsi="黑体" w:eastAsia="黑体" w:cs="Times New Roman"/>
      <w:b/>
      <w:kern w:val="2"/>
      <w:sz w:val="36"/>
      <w:szCs w:val="22"/>
      <w:lang w:val="zh-CN" w:eastAsia="zh-CN" w:bidi="ar-SA"/>
    </w:rPr>
  </w:style>
  <w:style w:type="paragraph" w:customStyle="1" w:styleId="203">
    <w:name w:val="s142"/>
    <w:basedOn w:val="1"/>
    <w:qFormat/>
    <w:uiPriority w:val="0"/>
    <w:pPr>
      <w:widowControl/>
      <w:spacing w:before="100" w:beforeAutospacing="1" w:after="100" w:afterAutospacing="1"/>
      <w:jc w:val="left"/>
    </w:pPr>
    <w:rPr>
      <w:rFonts w:ascii="宋体" w:hAnsi="宋体" w:cs="宋体"/>
      <w:kern w:val="0"/>
      <w:sz w:val="24"/>
    </w:rPr>
  </w:style>
  <w:style w:type="paragraph" w:customStyle="1" w:styleId="204">
    <w:name w:val="Table caption|1"/>
    <w:basedOn w:val="1"/>
    <w:qFormat/>
    <w:uiPriority w:val="0"/>
    <w:rPr>
      <w:rFonts w:ascii="宋体" w:hAnsi="宋体" w:cs="宋体"/>
      <w:lang w:val="zh-TW" w:eastAsia="zh-TW" w:bidi="zh-TW"/>
    </w:rPr>
  </w:style>
  <w:style w:type="paragraph" w:customStyle="1" w:styleId="205">
    <w:name w:val="Table Paragraph"/>
    <w:basedOn w:val="1"/>
    <w:qFormat/>
    <w:uiPriority w:val="1"/>
    <w:rPr>
      <w:rFonts w:ascii="宋体" w:hAnsi="宋体" w:cs="宋体"/>
      <w:lang w:val="zh-CN" w:bidi="zh-CN"/>
    </w:rPr>
  </w:style>
  <w:style w:type="character" w:customStyle="1" w:styleId="206">
    <w:name w:val="layui-layer-tabnow"/>
    <w:qFormat/>
    <w:uiPriority w:val="0"/>
    <w:rPr>
      <w:bdr w:val="single" w:color="CCCCCC" w:sz="6" w:space="0"/>
      <w:shd w:val="clear" w:color="auto" w:fill="FFFFFF"/>
    </w:rPr>
  </w:style>
  <w:style w:type="paragraph" w:customStyle="1" w:styleId="207">
    <w:name w:val="专用标题2"/>
    <w:basedOn w:val="4"/>
    <w:next w:val="1"/>
    <w:qFormat/>
    <w:uiPriority w:val="0"/>
    <w:pPr>
      <w:keepNext w:val="0"/>
      <w:keepLines w:val="0"/>
      <w:widowControl/>
      <w:tabs>
        <w:tab w:val="left" w:pos="993"/>
      </w:tabs>
      <w:adjustRightInd w:val="0"/>
      <w:snapToGrid w:val="0"/>
      <w:spacing w:before="0" w:afterLines="50" w:line="360" w:lineRule="auto"/>
    </w:pPr>
    <w:rPr>
      <w:rFonts w:ascii="宋体" w:hAnsi="宋体" w:eastAsia="宋体" w:cs="Times"/>
      <w:bCs/>
      <w:kern w:val="0"/>
      <w:sz w:val="28"/>
      <w:szCs w:val="20"/>
    </w:rPr>
  </w:style>
  <w:style w:type="character" w:customStyle="1" w:styleId="208">
    <w:name w:val="font01"/>
    <w:qFormat/>
    <w:uiPriority w:val="0"/>
    <w:rPr>
      <w:rFonts w:hint="eastAsia" w:ascii="宋体" w:hAnsi="宋体" w:eastAsia="宋体" w:cs="宋体"/>
      <w:color w:val="000000"/>
      <w:sz w:val="22"/>
      <w:szCs w:val="22"/>
      <w:u w:val="none"/>
    </w:rPr>
  </w:style>
  <w:style w:type="character" w:customStyle="1" w:styleId="209">
    <w:name w:val="font61"/>
    <w:qFormat/>
    <w:uiPriority w:val="0"/>
    <w:rPr>
      <w:rFonts w:hint="eastAsia" w:ascii="宋体" w:hAnsi="宋体" w:eastAsia="宋体" w:cs="宋体"/>
      <w:color w:val="000000"/>
      <w:sz w:val="22"/>
      <w:szCs w:val="22"/>
      <w:u w:val="none"/>
    </w:rPr>
  </w:style>
  <w:style w:type="character" w:customStyle="1" w:styleId="210">
    <w:name w:val="font71"/>
    <w:qFormat/>
    <w:uiPriority w:val="0"/>
    <w:rPr>
      <w:rFonts w:hint="eastAsia" w:ascii="宋体" w:hAnsi="宋体" w:eastAsia="宋体" w:cs="宋体"/>
      <w:b/>
      <w:color w:val="000000"/>
      <w:sz w:val="22"/>
      <w:szCs w:val="22"/>
      <w:u w:val="none"/>
    </w:rPr>
  </w:style>
  <w:style w:type="character" w:customStyle="1" w:styleId="211">
    <w:name w:val="font81"/>
    <w:qFormat/>
    <w:uiPriority w:val="0"/>
    <w:rPr>
      <w:rFonts w:hint="eastAsia" w:ascii="宋体" w:hAnsi="宋体" w:eastAsia="宋体" w:cs="宋体"/>
      <w:b/>
      <w:color w:val="000000"/>
      <w:sz w:val="22"/>
      <w:szCs w:val="22"/>
      <w:u w:val="none"/>
    </w:rPr>
  </w:style>
  <w:style w:type="paragraph" w:customStyle="1" w:styleId="212">
    <w:name w:val="标题 11"/>
    <w:basedOn w:val="1"/>
    <w:qFormat/>
    <w:uiPriority w:val="0"/>
    <w:pPr>
      <w:ind w:left="3"/>
      <w:outlineLvl w:val="1"/>
    </w:pPr>
    <w:rPr>
      <w:rFonts w:ascii="Microsoft JhengHei" w:hAnsi="Microsoft JhengHei" w:eastAsia="Microsoft JhengHei"/>
      <w:b/>
      <w:bCs/>
      <w:sz w:val="44"/>
      <w:szCs w:val="44"/>
    </w:rPr>
  </w:style>
  <w:style w:type="paragraph" w:customStyle="1" w:styleId="213">
    <w:name w:val="样式 正  文 + 首行缩进:  2 字符1"/>
    <w:basedOn w:val="1"/>
    <w:qFormat/>
    <w:uiPriority w:val="0"/>
    <w:pPr>
      <w:spacing w:line="360" w:lineRule="auto"/>
      <w:ind w:firstLine="496" w:firstLineChars="200"/>
    </w:pPr>
    <w:rPr>
      <w:rFonts w:ascii="宋体"/>
      <w:spacing w:val="2"/>
      <w:sz w:val="24"/>
    </w:rPr>
  </w:style>
  <w:style w:type="paragraph" w:customStyle="1" w:styleId="214">
    <w:name w:val="标书首行缩进"/>
    <w:basedOn w:val="2"/>
    <w:qFormat/>
    <w:uiPriority w:val="0"/>
    <w:pPr>
      <w:spacing w:beforeLines="50" w:after="0" w:line="288" w:lineRule="auto"/>
      <w:ind w:firstLine="539" w:firstLineChars="198"/>
    </w:pPr>
    <w:rPr>
      <w:rFonts w:ascii="宋体"/>
      <w:spacing w:val="16"/>
      <w:kern w:val="16"/>
      <w:sz w:val="24"/>
      <w:lang w:bidi="he-IL"/>
    </w:rPr>
  </w:style>
  <w:style w:type="paragraph" w:customStyle="1" w:styleId="215">
    <w:name w:val="正文1"/>
    <w:basedOn w:val="1"/>
    <w:qFormat/>
    <w:uiPriority w:val="0"/>
    <w:pPr>
      <w:spacing w:line="300" w:lineRule="auto"/>
      <w:ind w:firstLine="200" w:firstLineChars="200"/>
    </w:pPr>
    <w:rPr>
      <w:rFonts w:ascii="宋体"/>
      <w:sz w:val="24"/>
    </w:rPr>
  </w:style>
  <w:style w:type="paragraph" w:customStyle="1" w:styleId="216">
    <w:name w:val="Char Char Char Char Char Char Char Char Char Char Char Char Char Char Char Char Char Char Char Char Char Char Char Char Char Char Char Char Char Char Char Char Char Char Char Char Char"/>
    <w:basedOn w:val="1"/>
    <w:qFormat/>
    <w:uiPriority w:val="0"/>
    <w:pPr>
      <w:spacing w:line="360" w:lineRule="auto"/>
      <w:ind w:firstLine="200"/>
    </w:pPr>
    <w:rPr>
      <w:rFonts w:ascii="宋体" w:hAnsi="宋体" w:cs="宋体"/>
      <w:sz w:val="24"/>
    </w:rPr>
  </w:style>
  <w:style w:type="paragraph" w:customStyle="1" w:styleId="217">
    <w:name w:val="表格文字"/>
    <w:basedOn w:val="1"/>
    <w:next w:val="2"/>
    <w:qFormat/>
    <w:uiPriority w:val="0"/>
    <w:pPr>
      <w:adjustRightInd w:val="0"/>
      <w:spacing w:line="420" w:lineRule="atLeast"/>
      <w:jc w:val="left"/>
      <w:textAlignment w:val="baseline"/>
    </w:pPr>
    <w:rPr>
      <w:kern w:val="0"/>
      <w:szCs w:val="20"/>
    </w:rPr>
  </w:style>
  <w:style w:type="table" w:customStyle="1" w:styleId="218">
    <w:name w:val="网格型1"/>
    <w:basedOn w:val="4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219">
    <w:name w:val="Table Normal1"/>
    <w:unhideWhenUsed/>
    <w:qFormat/>
    <w:uiPriority w:val="2"/>
    <w:tblPr>
      <w:tblCellMar>
        <w:top w:w="0" w:type="dxa"/>
        <w:left w:w="0" w:type="dxa"/>
        <w:bottom w:w="0" w:type="dxa"/>
        <w:right w:w="0" w:type="dxa"/>
      </w:tblCellMar>
    </w:tblPr>
  </w:style>
  <w:style w:type="paragraph" w:customStyle="1" w:styleId="220">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221">
    <w:name w:val="Table Text"/>
    <w:basedOn w:val="1"/>
    <w:semiHidden/>
    <w:qFormat/>
    <w:uiPriority w:val="0"/>
    <w:rPr>
      <w:rFonts w:ascii="宋体" w:hAnsi="宋体" w:cs="宋体"/>
      <w:sz w:val="24"/>
      <w:lang w:eastAsia="en-US"/>
    </w:rPr>
  </w:style>
  <w:style w:type="paragraph" w:customStyle="1" w:styleId="222">
    <w:name w:val="正文_1"/>
    <w:basedOn w:val="1"/>
    <w:qFormat/>
    <w:uiPriority w:val="0"/>
    <w:rPr>
      <w:rFonts w:ascii="Calibri" w:hAnsi="Calibri" w:cs="Calibri"/>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3D70393-0040-4BCA-B803-D73C6190FF59}">
  <ds:schemaRefs/>
</ds:datastoreItem>
</file>

<file path=docProps/app.xml><?xml version="1.0" encoding="utf-8"?>
<Properties xmlns="http://schemas.openxmlformats.org/officeDocument/2006/extended-properties" xmlns:vt="http://schemas.openxmlformats.org/officeDocument/2006/docPropsVTypes">
  <Template>Normal</Template>
  <Pages>68</Pages>
  <Words>7726</Words>
  <Characters>8609</Characters>
  <Lines>450</Lines>
  <Paragraphs>126</Paragraphs>
  <TotalTime>45</TotalTime>
  <ScaleCrop>false</ScaleCrop>
  <LinksUpToDate>false</LinksUpToDate>
  <CharactersWithSpaces>8717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2023-09-05T07:10:00Z</dcterms:created>
  <dc:creator>Administrator</dc:creator>
  <cp:lastModifiedBy>Administrator</cp:lastModifiedBy>
  <cp:lastPrinted>2023-08-14T08:53:00Z</cp:lastPrinted>
  <dcterms:modified xsi:type="dcterms:W3CDTF">2025-06-10T08:17:34Z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330C700ED40B47639A56353675092C72_13</vt:lpwstr>
  </property>
  <property fmtid="{D5CDD505-2E9C-101B-9397-08002B2CF9AE}" pid="4" name="KSOTemplateDocerSaveRecord">
    <vt:lpwstr>eyJoZGlkIjoiZDdjMGY4MDY0MzkzMzU2OWNmYWM5MzY4ZDk3YWU1NDMifQ==</vt:lpwstr>
  </property>
</Properties>
</file>