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C8F052">
      <w:pPr>
        <w:jc w:val="center"/>
        <w:rPr>
          <w:rFonts w:ascii="宋体" w:hAnsi="宋体"/>
          <w:b/>
          <w:bCs/>
          <w:color w:val="auto"/>
          <w:sz w:val="44"/>
          <w:szCs w:val="36"/>
          <w:highlight w:val="none"/>
        </w:rPr>
      </w:pPr>
    </w:p>
    <w:p w14:paraId="3405FAFA">
      <w:pPr>
        <w:widowControl/>
        <w:jc w:val="center"/>
        <w:rPr>
          <w:rFonts w:hint="eastAsia" w:ascii="宋体" w:hAnsi="宋体"/>
          <w:b/>
          <w:bCs/>
          <w:color w:val="auto"/>
          <w:sz w:val="40"/>
          <w:szCs w:val="40"/>
          <w:highlight w:val="none"/>
          <w:lang w:eastAsia="zh-CN"/>
        </w:rPr>
      </w:pPr>
      <w:r>
        <w:rPr>
          <w:rFonts w:hint="eastAsia" w:ascii="宋体" w:hAnsi="宋体"/>
          <w:b/>
          <w:bCs/>
          <w:color w:val="auto"/>
          <w:sz w:val="40"/>
          <w:szCs w:val="40"/>
          <w:highlight w:val="none"/>
          <w:lang w:eastAsia="zh-CN"/>
        </w:rPr>
        <w:t>渑池县先进制造业开发区及绿色建材产业园供</w:t>
      </w:r>
    </w:p>
    <w:p w14:paraId="56C0AC67">
      <w:pPr>
        <w:widowControl/>
        <w:jc w:val="center"/>
        <w:rPr>
          <w:rFonts w:hint="eastAsia" w:ascii="宋体" w:hAnsi="宋体"/>
          <w:b/>
          <w:bCs/>
          <w:color w:val="auto"/>
          <w:sz w:val="40"/>
          <w:szCs w:val="40"/>
          <w:highlight w:val="none"/>
          <w:lang w:eastAsia="zh-CN"/>
        </w:rPr>
      </w:pPr>
    </w:p>
    <w:p w14:paraId="62BE1D18">
      <w:pPr>
        <w:widowControl/>
        <w:jc w:val="center"/>
        <w:rPr>
          <w:rFonts w:ascii="宋体" w:hAnsi="宋体"/>
          <w:color w:val="auto"/>
          <w:kern w:val="0"/>
          <w:sz w:val="36"/>
          <w:szCs w:val="36"/>
          <w:highlight w:val="none"/>
        </w:rPr>
      </w:pPr>
      <w:r>
        <w:rPr>
          <w:rFonts w:hint="eastAsia" w:ascii="宋体" w:hAnsi="宋体"/>
          <w:b/>
          <w:bCs/>
          <w:color w:val="auto"/>
          <w:sz w:val="40"/>
          <w:szCs w:val="40"/>
          <w:highlight w:val="none"/>
          <w:lang w:eastAsia="zh-CN"/>
        </w:rPr>
        <w:t>水项目检测服务项目</w:t>
      </w:r>
      <w:r>
        <w:rPr>
          <w:rFonts w:hint="eastAsia" w:ascii="宋体" w:hAnsi="宋体"/>
          <w:color w:val="auto"/>
          <w:kern w:val="0"/>
          <w:sz w:val="36"/>
          <w:szCs w:val="36"/>
          <w:highlight w:val="none"/>
        </w:rPr>
        <w:t xml:space="preserve"> </w:t>
      </w:r>
    </w:p>
    <w:p w14:paraId="0018B20F">
      <w:pPr>
        <w:widowControl/>
        <w:jc w:val="center"/>
        <w:rPr>
          <w:rFonts w:ascii="宋体" w:hAnsi="宋体"/>
          <w:b/>
          <w:bCs/>
          <w:color w:val="auto"/>
          <w:kern w:val="0"/>
          <w:sz w:val="72"/>
          <w:szCs w:val="72"/>
          <w:highlight w:val="none"/>
        </w:rPr>
      </w:pPr>
      <w:r>
        <w:rPr>
          <w:rFonts w:hint="eastAsia" w:ascii="宋体" w:hAnsi="宋体"/>
          <w:color w:val="auto"/>
          <w:kern w:val="0"/>
          <w:sz w:val="44"/>
          <w:szCs w:val="44"/>
          <w:highlight w:val="none"/>
        </w:rPr>
        <w:t xml:space="preserve"> </w:t>
      </w:r>
    </w:p>
    <w:p w14:paraId="49F1F475">
      <w:pPr>
        <w:widowControl/>
        <w:spacing w:line="360" w:lineRule="auto"/>
        <w:jc w:val="center"/>
        <w:rPr>
          <w:rFonts w:ascii="宋体" w:hAnsi="宋体"/>
          <w:b/>
          <w:bCs/>
          <w:color w:val="auto"/>
          <w:kern w:val="0"/>
          <w:sz w:val="60"/>
          <w:szCs w:val="60"/>
          <w:highlight w:val="none"/>
        </w:rPr>
      </w:pPr>
      <w:r>
        <w:rPr>
          <w:rFonts w:hint="eastAsia" w:ascii="宋体" w:hAnsi="宋体"/>
          <w:b/>
          <w:bCs/>
          <w:color w:val="auto"/>
          <w:kern w:val="0"/>
          <w:sz w:val="60"/>
          <w:szCs w:val="60"/>
          <w:highlight w:val="none"/>
        </w:rPr>
        <w:t>招 标 文 件</w:t>
      </w:r>
    </w:p>
    <w:p w14:paraId="55A0F969">
      <w:pPr>
        <w:widowControl/>
        <w:shd w:val="clear" w:color="auto" w:fill="FFFFFF"/>
        <w:spacing w:line="390" w:lineRule="atLeast"/>
        <w:jc w:val="center"/>
        <w:rPr>
          <w:rFonts w:hint="eastAsia" w:ascii="宋体" w:hAnsi="宋体"/>
          <w:b/>
          <w:bCs/>
          <w:color w:val="auto"/>
          <w:kern w:val="0"/>
          <w:sz w:val="32"/>
          <w:szCs w:val="32"/>
          <w:highlight w:val="none"/>
        </w:rPr>
      </w:pPr>
    </w:p>
    <w:p w14:paraId="593BA12B">
      <w:pPr>
        <w:widowControl/>
        <w:shd w:val="clear" w:color="auto" w:fill="FFFFFF"/>
        <w:spacing w:line="390" w:lineRule="atLeast"/>
        <w:jc w:val="center"/>
        <w:rPr>
          <w:rFonts w:hint="eastAsia" w:ascii="宋体" w:hAnsi="宋体"/>
          <w:b/>
          <w:bCs/>
          <w:color w:val="auto"/>
          <w:kern w:val="0"/>
          <w:sz w:val="32"/>
          <w:szCs w:val="32"/>
          <w:highlight w:val="none"/>
        </w:rPr>
      </w:pPr>
      <w:r>
        <w:rPr>
          <w:rFonts w:hint="eastAsia" w:ascii="宋体" w:hAnsi="宋体" w:eastAsia="宋体" w:cs="宋体"/>
          <w:color w:val="auto"/>
          <w:kern w:val="2"/>
          <w:sz w:val="22"/>
          <w:szCs w:val="22"/>
          <w:highlight w:val="none"/>
          <w:shd w:val="clear" w:color="auto" w:fill="FFFFFF"/>
          <w:lang w:eastAsia="zh-CN"/>
        </w:rPr>
        <w:drawing>
          <wp:anchor distT="0" distB="0" distL="114300" distR="114300" simplePos="0" relativeHeight="251660288" behindDoc="1" locked="0" layoutInCell="1" allowOverlap="1">
            <wp:simplePos x="0" y="0"/>
            <wp:positionH relativeFrom="column">
              <wp:posOffset>1514475</wp:posOffset>
            </wp:positionH>
            <wp:positionV relativeFrom="paragraph">
              <wp:posOffset>1178560</wp:posOffset>
            </wp:positionV>
            <wp:extent cx="2630170" cy="2836545"/>
            <wp:effectExtent l="0" t="0" r="17780" b="1905"/>
            <wp:wrapTight wrapText="bothSides">
              <wp:wrapPolygon>
                <wp:start x="0" y="0"/>
                <wp:lineTo x="0" y="21469"/>
                <wp:lineTo x="21433" y="21469"/>
                <wp:lineTo x="21433" y="0"/>
                <wp:lineTo x="0" y="0"/>
              </wp:wrapPolygon>
            </wp:wrapTight>
            <wp:docPr id="2" name="图片 2" descr="992f9bfd8c261eee5121feb4fbd4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92f9bfd8c261eee5121feb4fbd4518"/>
                    <pic:cNvPicPr>
                      <a:picLocks noChangeAspect="1"/>
                    </pic:cNvPicPr>
                  </pic:nvPicPr>
                  <pic:blipFill>
                    <a:blip r:embed="rId5"/>
                    <a:stretch>
                      <a:fillRect/>
                    </a:stretch>
                  </pic:blipFill>
                  <pic:spPr>
                    <a:xfrm>
                      <a:off x="0" y="0"/>
                      <a:ext cx="2630170" cy="2836545"/>
                    </a:xfrm>
                    <a:prstGeom prst="rect">
                      <a:avLst/>
                    </a:prstGeom>
                    <a:noFill/>
                    <a:ln>
                      <a:noFill/>
                    </a:ln>
                  </pic:spPr>
                </pic:pic>
              </a:graphicData>
            </a:graphic>
          </wp:anchor>
        </w:drawing>
      </w:r>
      <w:r>
        <w:rPr>
          <w:rFonts w:hint="eastAsia" w:ascii="宋体" w:hAnsi="宋体"/>
          <w:b/>
          <w:bCs/>
          <w:color w:val="auto"/>
          <w:kern w:val="0"/>
          <w:sz w:val="32"/>
          <w:szCs w:val="32"/>
          <w:highlight w:val="none"/>
        </w:rPr>
        <w:t>项目编号：</w:t>
      </w:r>
      <w:r>
        <w:rPr>
          <w:rFonts w:hint="eastAsia" w:ascii="宋体" w:hAnsi="宋体"/>
          <w:b/>
          <w:bCs/>
          <w:color w:val="auto"/>
          <w:kern w:val="0"/>
          <w:sz w:val="32"/>
          <w:szCs w:val="32"/>
          <w:highlight w:val="none"/>
          <w:lang w:val="en-US" w:eastAsia="zh-CN"/>
        </w:rPr>
        <w:t>MCGZ[2025]100-ZC073</w:t>
      </w:r>
    </w:p>
    <w:p w14:paraId="32FBE052">
      <w:pPr>
        <w:widowControl/>
        <w:shd w:val="clear" w:color="auto" w:fill="FFFFFF"/>
        <w:spacing w:line="390" w:lineRule="atLeast"/>
        <w:jc w:val="center"/>
        <w:rPr>
          <w:rFonts w:hint="eastAsia" w:ascii="宋体" w:hAnsi="宋体"/>
          <w:b/>
          <w:bCs/>
          <w:color w:val="auto"/>
          <w:kern w:val="0"/>
          <w:sz w:val="32"/>
          <w:szCs w:val="32"/>
          <w:highlight w:val="none"/>
        </w:rPr>
      </w:pPr>
    </w:p>
    <w:p w14:paraId="6DB999A8">
      <w:pPr>
        <w:widowControl/>
        <w:shd w:val="clear" w:color="auto" w:fill="FFFFFF"/>
        <w:spacing w:line="390" w:lineRule="atLeast"/>
        <w:jc w:val="center"/>
        <w:rPr>
          <w:rFonts w:hint="default" w:ascii="宋体" w:hAnsi="宋体" w:eastAsia="宋体"/>
          <w:b/>
          <w:bCs/>
          <w:color w:val="auto"/>
          <w:kern w:val="0"/>
          <w:sz w:val="32"/>
          <w:szCs w:val="32"/>
          <w:highlight w:val="none"/>
          <w:u w:val="single"/>
          <w:lang w:val="en-US" w:eastAsia="zh-CN"/>
        </w:rPr>
      </w:pPr>
      <w:r>
        <w:rPr>
          <w:rFonts w:hint="eastAsia" w:ascii="宋体" w:hAnsi="宋体"/>
          <w:b/>
          <w:bCs/>
          <w:color w:val="auto"/>
          <w:kern w:val="0"/>
          <w:sz w:val="32"/>
          <w:szCs w:val="32"/>
          <w:highlight w:val="none"/>
          <w:lang w:val="en-US" w:eastAsia="zh-CN"/>
        </w:rPr>
        <w:t xml:space="preserve">      </w:t>
      </w:r>
      <w:r>
        <w:rPr>
          <w:rFonts w:hint="eastAsia" w:ascii="宋体" w:hAnsi="宋体"/>
          <w:b/>
          <w:bCs/>
          <w:color w:val="auto"/>
          <w:kern w:val="0"/>
          <w:sz w:val="32"/>
          <w:szCs w:val="32"/>
          <w:highlight w:val="none"/>
        </w:rPr>
        <w:t>渑池公开采购-2025-</w:t>
      </w:r>
      <w:r>
        <w:rPr>
          <w:rFonts w:hint="eastAsia" w:ascii="宋体" w:hAnsi="宋体"/>
          <w:b/>
          <w:bCs/>
          <w:color w:val="auto"/>
          <w:kern w:val="0"/>
          <w:sz w:val="32"/>
          <w:szCs w:val="32"/>
          <w:highlight w:val="none"/>
          <w:lang w:val="en-US" w:eastAsia="zh-CN"/>
        </w:rPr>
        <w:t>21</w:t>
      </w:r>
    </w:p>
    <w:p w14:paraId="537C18B9">
      <w:pPr>
        <w:widowControl/>
        <w:ind w:left="628" w:leftChars="299"/>
        <w:jc w:val="left"/>
        <w:rPr>
          <w:rFonts w:ascii="宋体" w:hAnsi="宋体"/>
          <w:b/>
          <w:bCs/>
          <w:color w:val="auto"/>
          <w:kern w:val="0"/>
          <w:sz w:val="28"/>
          <w:szCs w:val="28"/>
          <w:highlight w:val="none"/>
        </w:rPr>
      </w:pPr>
    </w:p>
    <w:p w14:paraId="7403E3A9">
      <w:pPr>
        <w:widowControl/>
        <w:rPr>
          <w:rFonts w:ascii="宋体" w:hAnsi="宋体"/>
          <w:b/>
          <w:bCs/>
          <w:color w:val="auto"/>
          <w:kern w:val="0"/>
          <w:sz w:val="28"/>
          <w:szCs w:val="28"/>
          <w:highlight w:val="none"/>
        </w:rPr>
      </w:pPr>
    </w:p>
    <w:p w14:paraId="1B8A660E">
      <w:pPr>
        <w:widowControl/>
        <w:jc w:val="center"/>
        <w:rPr>
          <w:rFonts w:ascii="宋体" w:hAnsi="宋体"/>
          <w:b/>
          <w:bCs/>
          <w:color w:val="auto"/>
          <w:kern w:val="0"/>
          <w:sz w:val="28"/>
          <w:szCs w:val="28"/>
          <w:highlight w:val="none"/>
        </w:rPr>
      </w:pPr>
    </w:p>
    <w:p w14:paraId="29EB3F5B">
      <w:pPr>
        <w:widowControl/>
        <w:ind w:left="628" w:leftChars="299"/>
        <w:jc w:val="center"/>
        <w:rPr>
          <w:rFonts w:ascii="宋体" w:hAnsi="宋体"/>
          <w:b/>
          <w:bCs/>
          <w:color w:val="auto"/>
          <w:kern w:val="0"/>
          <w:sz w:val="28"/>
          <w:szCs w:val="28"/>
          <w:highlight w:val="none"/>
        </w:rPr>
      </w:pPr>
    </w:p>
    <w:p w14:paraId="4750C4BB">
      <w:pPr>
        <w:widowControl/>
        <w:ind w:left="628" w:leftChars="299"/>
        <w:jc w:val="center"/>
        <w:rPr>
          <w:rFonts w:ascii="宋体" w:hAnsi="宋体"/>
          <w:b/>
          <w:bCs/>
          <w:color w:val="auto"/>
          <w:kern w:val="0"/>
          <w:sz w:val="28"/>
          <w:szCs w:val="28"/>
          <w:highlight w:val="none"/>
        </w:rPr>
      </w:pPr>
    </w:p>
    <w:p w14:paraId="69350980">
      <w:pPr>
        <w:widowControl/>
        <w:ind w:left="628" w:leftChars="299"/>
        <w:jc w:val="center"/>
        <w:rPr>
          <w:rFonts w:ascii="宋体" w:hAnsi="宋体"/>
          <w:b/>
          <w:bCs/>
          <w:color w:val="auto"/>
          <w:kern w:val="0"/>
          <w:sz w:val="36"/>
          <w:szCs w:val="36"/>
          <w:highlight w:val="none"/>
        </w:rPr>
      </w:pPr>
    </w:p>
    <w:p w14:paraId="1CE67AA5">
      <w:pPr>
        <w:widowControl/>
        <w:spacing w:line="360" w:lineRule="auto"/>
        <w:ind w:left="628" w:leftChars="299"/>
        <w:jc w:val="center"/>
        <w:rPr>
          <w:rFonts w:hint="eastAsia" w:ascii="宋体" w:hAnsi="宋体"/>
          <w:b/>
          <w:bCs/>
          <w:color w:val="auto"/>
          <w:kern w:val="0"/>
          <w:sz w:val="36"/>
          <w:szCs w:val="36"/>
          <w:highlight w:val="none"/>
        </w:rPr>
      </w:pPr>
    </w:p>
    <w:p w14:paraId="27BD9C5B">
      <w:pPr>
        <w:widowControl/>
        <w:spacing w:line="360" w:lineRule="auto"/>
        <w:ind w:left="628" w:leftChars="299"/>
        <w:jc w:val="center"/>
        <w:rPr>
          <w:rFonts w:hint="eastAsia" w:ascii="宋体" w:hAnsi="宋体"/>
          <w:b/>
          <w:bCs/>
          <w:color w:val="auto"/>
          <w:kern w:val="0"/>
          <w:sz w:val="36"/>
          <w:szCs w:val="36"/>
          <w:highlight w:val="none"/>
        </w:rPr>
      </w:pPr>
    </w:p>
    <w:p w14:paraId="77379402">
      <w:pPr>
        <w:widowControl/>
        <w:spacing w:line="360" w:lineRule="auto"/>
        <w:ind w:left="628" w:leftChars="299"/>
        <w:jc w:val="center"/>
        <w:rPr>
          <w:rFonts w:hint="eastAsia" w:ascii="宋体" w:hAnsi="宋体"/>
          <w:b/>
          <w:bCs/>
          <w:color w:val="auto"/>
          <w:kern w:val="0"/>
          <w:sz w:val="36"/>
          <w:szCs w:val="36"/>
          <w:highlight w:val="none"/>
        </w:rPr>
      </w:pPr>
    </w:p>
    <w:p w14:paraId="764C0EC2">
      <w:pPr>
        <w:widowControl/>
        <w:spacing w:line="360" w:lineRule="auto"/>
        <w:ind w:left="628" w:leftChars="299"/>
        <w:jc w:val="center"/>
        <w:rPr>
          <w:rFonts w:hint="eastAsia" w:ascii="宋体" w:hAnsi="宋体"/>
          <w:b/>
          <w:bCs/>
          <w:color w:val="auto"/>
          <w:kern w:val="0"/>
          <w:sz w:val="36"/>
          <w:szCs w:val="36"/>
          <w:highlight w:val="none"/>
        </w:rPr>
      </w:pPr>
    </w:p>
    <w:p w14:paraId="61EE5D08">
      <w:pPr>
        <w:widowControl/>
        <w:spacing w:line="360" w:lineRule="auto"/>
        <w:ind w:left="628" w:leftChars="299"/>
        <w:jc w:val="center"/>
        <w:rPr>
          <w:rFonts w:hint="eastAsia" w:ascii="宋体" w:hAnsi="宋体"/>
          <w:b/>
          <w:bCs/>
          <w:color w:val="auto"/>
          <w:kern w:val="0"/>
          <w:sz w:val="36"/>
          <w:szCs w:val="36"/>
          <w:highlight w:val="none"/>
        </w:rPr>
      </w:pPr>
    </w:p>
    <w:p w14:paraId="67D7A4AA">
      <w:pPr>
        <w:widowControl/>
        <w:spacing w:line="360" w:lineRule="auto"/>
        <w:ind w:firstLine="2108" w:firstLineChars="700"/>
        <w:jc w:val="both"/>
        <w:rPr>
          <w:rFonts w:hint="eastAsia" w:ascii="宋体" w:hAnsi="宋体" w:eastAsia="宋体"/>
          <w:b/>
          <w:bCs/>
          <w:color w:val="auto"/>
          <w:kern w:val="0"/>
          <w:sz w:val="30"/>
          <w:szCs w:val="30"/>
          <w:highlight w:val="none"/>
          <w:lang w:eastAsia="zh-CN"/>
        </w:rPr>
      </w:pPr>
      <w:r>
        <w:rPr>
          <w:rFonts w:hint="eastAsia" w:ascii="宋体" w:hAnsi="宋体"/>
          <w:b/>
          <w:bCs/>
          <w:color w:val="auto"/>
          <w:kern w:val="0"/>
          <w:sz w:val="30"/>
          <w:szCs w:val="30"/>
          <w:highlight w:val="none"/>
        </w:rPr>
        <w:t>采</w:t>
      </w:r>
      <w:r>
        <w:rPr>
          <w:rFonts w:hint="eastAsia" w:ascii="宋体" w:hAnsi="宋体"/>
          <w:b/>
          <w:bCs/>
          <w:color w:val="auto"/>
          <w:kern w:val="0"/>
          <w:sz w:val="30"/>
          <w:szCs w:val="30"/>
          <w:highlight w:val="none"/>
          <w:lang w:val="en-US" w:eastAsia="zh-CN"/>
        </w:rPr>
        <w:t xml:space="preserve">   </w:t>
      </w:r>
      <w:r>
        <w:rPr>
          <w:rFonts w:hint="eastAsia" w:ascii="宋体" w:hAnsi="宋体"/>
          <w:b/>
          <w:bCs/>
          <w:color w:val="auto"/>
          <w:kern w:val="0"/>
          <w:sz w:val="30"/>
          <w:szCs w:val="30"/>
          <w:highlight w:val="none"/>
        </w:rPr>
        <w:t>购</w:t>
      </w:r>
      <w:r>
        <w:rPr>
          <w:rFonts w:hint="eastAsia" w:ascii="宋体" w:hAnsi="宋体"/>
          <w:b/>
          <w:bCs/>
          <w:color w:val="auto"/>
          <w:kern w:val="0"/>
          <w:sz w:val="30"/>
          <w:szCs w:val="30"/>
          <w:highlight w:val="none"/>
          <w:lang w:val="en-US" w:eastAsia="zh-CN"/>
        </w:rPr>
        <w:t xml:space="preserve">   </w:t>
      </w:r>
      <w:r>
        <w:rPr>
          <w:rFonts w:hint="eastAsia" w:ascii="宋体" w:hAnsi="宋体"/>
          <w:b/>
          <w:bCs/>
          <w:color w:val="auto"/>
          <w:kern w:val="0"/>
          <w:sz w:val="30"/>
          <w:szCs w:val="30"/>
          <w:highlight w:val="none"/>
        </w:rPr>
        <w:t>人：</w:t>
      </w:r>
      <w:r>
        <w:rPr>
          <w:rFonts w:hint="eastAsia" w:ascii="宋体" w:hAnsi="宋体"/>
          <w:b/>
          <w:bCs/>
          <w:color w:val="auto"/>
          <w:kern w:val="0"/>
          <w:sz w:val="30"/>
          <w:szCs w:val="30"/>
          <w:highlight w:val="none"/>
          <w:lang w:eastAsia="zh-CN"/>
        </w:rPr>
        <w:t>渑池县水利局</w:t>
      </w:r>
    </w:p>
    <w:p w14:paraId="4A298190">
      <w:pPr>
        <w:widowControl/>
        <w:spacing w:line="360" w:lineRule="auto"/>
        <w:ind w:firstLine="590" w:firstLineChars="196"/>
        <w:jc w:val="center"/>
        <w:rPr>
          <w:rFonts w:hint="eastAsia" w:ascii="宋体" w:hAnsi="宋体" w:eastAsia="宋体"/>
          <w:b/>
          <w:bCs/>
          <w:color w:val="auto"/>
          <w:kern w:val="0"/>
          <w:sz w:val="30"/>
          <w:szCs w:val="30"/>
          <w:highlight w:val="none"/>
          <w:lang w:eastAsia="zh-CN"/>
        </w:rPr>
      </w:pPr>
      <w:r>
        <w:rPr>
          <w:rFonts w:hint="eastAsia" w:ascii="宋体" w:hAnsi="宋体"/>
          <w:b/>
          <w:bCs/>
          <w:color w:val="auto"/>
          <w:kern w:val="0"/>
          <w:sz w:val="30"/>
          <w:szCs w:val="30"/>
          <w:highlight w:val="none"/>
          <w:lang w:val="en-US" w:eastAsia="zh-CN"/>
        </w:rPr>
        <w:t xml:space="preserve">       </w:t>
      </w:r>
      <w:r>
        <w:rPr>
          <w:rFonts w:hint="eastAsia" w:ascii="宋体" w:hAnsi="宋体"/>
          <w:b/>
          <w:bCs/>
          <w:color w:val="auto"/>
          <w:kern w:val="0"/>
          <w:sz w:val="30"/>
          <w:szCs w:val="30"/>
          <w:highlight w:val="none"/>
        </w:rPr>
        <w:t>采购代理机构：</w:t>
      </w:r>
      <w:r>
        <w:rPr>
          <w:rFonts w:hint="eastAsia" w:ascii="宋体" w:hAnsi="宋体"/>
          <w:b/>
          <w:bCs/>
          <w:color w:val="auto"/>
          <w:kern w:val="0"/>
          <w:sz w:val="30"/>
          <w:szCs w:val="30"/>
          <w:highlight w:val="none"/>
          <w:lang w:eastAsia="zh-CN"/>
        </w:rPr>
        <w:t>河南省中塍建设管理有限公司</w:t>
      </w:r>
    </w:p>
    <w:p w14:paraId="06F00034">
      <w:pPr>
        <w:widowControl/>
        <w:spacing w:line="360" w:lineRule="auto"/>
        <w:ind w:firstLine="2096" w:firstLineChars="696"/>
        <w:jc w:val="both"/>
        <w:rPr>
          <w:rFonts w:ascii="宋体" w:hAnsi="宋体"/>
          <w:b/>
          <w:bCs/>
          <w:color w:val="auto"/>
          <w:kern w:val="0"/>
          <w:sz w:val="30"/>
          <w:szCs w:val="30"/>
          <w:highlight w:val="none"/>
        </w:rPr>
      </w:pPr>
      <w:r>
        <w:rPr>
          <w:rFonts w:hint="eastAsia" w:ascii="宋体" w:hAnsi="宋体"/>
          <w:b/>
          <w:bCs/>
          <w:color w:val="auto"/>
          <w:kern w:val="0"/>
          <w:sz w:val="30"/>
          <w:szCs w:val="30"/>
          <w:highlight w:val="none"/>
        </w:rPr>
        <w:t>日</w:t>
      </w:r>
      <w:r>
        <w:rPr>
          <w:rFonts w:hint="eastAsia" w:ascii="宋体" w:hAnsi="宋体"/>
          <w:b/>
          <w:bCs/>
          <w:color w:val="auto"/>
          <w:kern w:val="0"/>
          <w:sz w:val="30"/>
          <w:szCs w:val="30"/>
          <w:highlight w:val="none"/>
          <w:lang w:val="en-US" w:eastAsia="zh-CN"/>
        </w:rPr>
        <w:t xml:space="preserve">       </w:t>
      </w:r>
      <w:r>
        <w:rPr>
          <w:rFonts w:hint="eastAsia" w:ascii="宋体" w:hAnsi="宋体"/>
          <w:b/>
          <w:bCs/>
          <w:color w:val="auto"/>
          <w:kern w:val="0"/>
          <w:sz w:val="30"/>
          <w:szCs w:val="30"/>
          <w:highlight w:val="none"/>
        </w:rPr>
        <w:t>期：二零二五年</w:t>
      </w:r>
      <w:r>
        <w:rPr>
          <w:rFonts w:hint="eastAsia" w:ascii="宋体" w:hAnsi="宋体"/>
          <w:b/>
          <w:bCs/>
          <w:color w:val="auto"/>
          <w:kern w:val="0"/>
          <w:sz w:val="30"/>
          <w:szCs w:val="30"/>
          <w:highlight w:val="none"/>
          <w:lang w:val="en-US" w:eastAsia="zh-CN"/>
        </w:rPr>
        <w:t>五</w:t>
      </w:r>
      <w:r>
        <w:rPr>
          <w:rFonts w:hint="eastAsia" w:ascii="宋体" w:hAnsi="宋体"/>
          <w:b/>
          <w:bCs/>
          <w:color w:val="auto"/>
          <w:kern w:val="0"/>
          <w:sz w:val="30"/>
          <w:szCs w:val="30"/>
          <w:highlight w:val="none"/>
        </w:rPr>
        <w:t>月</w:t>
      </w:r>
    </w:p>
    <w:p w14:paraId="7A6C5D9A">
      <w:pPr>
        <w:rPr>
          <w:rFonts w:ascii="宋体" w:hAnsi="宋体" w:cs="宋体"/>
          <w:color w:val="auto"/>
          <w:sz w:val="36"/>
          <w:szCs w:val="36"/>
          <w:highlight w:val="none"/>
        </w:rPr>
      </w:pPr>
      <w:r>
        <w:rPr>
          <w:rFonts w:hint="eastAsia" w:ascii="宋体" w:hAnsi="宋体" w:cs="宋体"/>
          <w:color w:val="auto"/>
          <w:sz w:val="36"/>
          <w:szCs w:val="36"/>
          <w:highlight w:val="none"/>
        </w:rPr>
        <w:br w:type="page"/>
      </w:r>
    </w:p>
    <w:p w14:paraId="70A7ACD6">
      <w:pPr>
        <w:widowControl/>
        <w:spacing w:line="600" w:lineRule="auto"/>
        <w:jc w:val="center"/>
        <w:rPr>
          <w:rFonts w:ascii="宋体" w:hAnsi="宋体" w:cs="宋体"/>
          <w:color w:val="auto"/>
          <w:sz w:val="36"/>
          <w:szCs w:val="36"/>
          <w:highlight w:val="none"/>
        </w:rPr>
      </w:pPr>
      <w:r>
        <w:rPr>
          <w:rFonts w:hint="eastAsia" w:ascii="宋体" w:hAnsi="宋体" w:cs="宋体"/>
          <w:color w:val="auto"/>
          <w:sz w:val="36"/>
          <w:szCs w:val="36"/>
          <w:highlight w:val="none"/>
        </w:rPr>
        <w:t>目  录</w:t>
      </w:r>
    </w:p>
    <w:p w14:paraId="39E9437F">
      <w:pPr>
        <w:pStyle w:val="9"/>
        <w:tabs>
          <w:tab w:val="right" w:leader="dot" w:pos="8302"/>
        </w:tabs>
        <w:spacing w:line="480" w:lineRule="auto"/>
        <w:rPr>
          <w:rFonts w:ascii="宋体" w:hAnsi="宋体" w:cstheme="minorBidi"/>
          <w:color w:val="auto"/>
          <w:sz w:val="28"/>
          <w:szCs w:val="28"/>
          <w:highlight w:val="none"/>
        </w:rPr>
      </w:pPr>
      <w:r>
        <w:rPr>
          <w:rFonts w:hint="eastAsia"/>
          <w:color w:val="auto"/>
          <w:highlight w:val="none"/>
        </w:rPr>
        <w:fldChar w:fldCharType="begin"/>
      </w:r>
      <w:r>
        <w:rPr>
          <w:rFonts w:hint="eastAsia"/>
          <w:color w:val="auto"/>
          <w:highlight w:val="none"/>
        </w:rPr>
        <w:instrText xml:space="preserve">TOC \o "1-1" \h \u </w:instrText>
      </w:r>
      <w:r>
        <w:rPr>
          <w:rFonts w:hint="eastAsia"/>
          <w:color w:val="auto"/>
          <w:highlight w:val="none"/>
        </w:rPr>
        <w:fldChar w:fldCharType="separate"/>
      </w:r>
      <w:r>
        <w:rPr>
          <w:color w:val="auto"/>
          <w:highlight w:val="none"/>
        </w:rPr>
        <w:fldChar w:fldCharType="begin"/>
      </w:r>
      <w:r>
        <w:rPr>
          <w:color w:val="auto"/>
          <w:highlight w:val="none"/>
        </w:rPr>
        <w:instrText xml:space="preserve"> HYPERLINK \l "_Toc192493784" </w:instrText>
      </w:r>
      <w:r>
        <w:rPr>
          <w:color w:val="auto"/>
          <w:highlight w:val="none"/>
        </w:rPr>
        <w:fldChar w:fldCharType="separate"/>
      </w:r>
      <w:r>
        <w:rPr>
          <w:rStyle w:val="23"/>
          <w:rFonts w:hint="eastAsia" w:ascii="宋体" w:hAnsi="宋体"/>
          <w:bCs/>
          <w:color w:val="auto"/>
          <w:kern w:val="0"/>
          <w:sz w:val="28"/>
          <w:szCs w:val="28"/>
          <w:highlight w:val="none"/>
        </w:rPr>
        <w:t>第一章</w:t>
      </w:r>
      <w:r>
        <w:rPr>
          <w:rStyle w:val="23"/>
          <w:rFonts w:ascii="宋体" w:hAnsi="宋体"/>
          <w:bCs/>
          <w:color w:val="auto"/>
          <w:kern w:val="0"/>
          <w:sz w:val="28"/>
          <w:szCs w:val="28"/>
          <w:highlight w:val="none"/>
        </w:rPr>
        <w:t xml:space="preserve"> </w:t>
      </w:r>
      <w:r>
        <w:rPr>
          <w:rStyle w:val="23"/>
          <w:rFonts w:hint="eastAsia" w:ascii="宋体" w:hAnsi="宋体"/>
          <w:bCs/>
          <w:color w:val="auto"/>
          <w:kern w:val="0"/>
          <w:sz w:val="28"/>
          <w:szCs w:val="28"/>
          <w:highlight w:val="none"/>
        </w:rPr>
        <w:t>招标公告</w:t>
      </w:r>
      <w:r>
        <w:rPr>
          <w:rFonts w:ascii="宋体" w:hAns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_Toc192493784 \h </w:instrText>
      </w:r>
      <w:r>
        <w:rPr>
          <w:rFonts w:ascii="宋体" w:hAnsi="宋体"/>
          <w:color w:val="auto"/>
          <w:sz w:val="28"/>
          <w:szCs w:val="28"/>
          <w:highlight w:val="none"/>
        </w:rPr>
        <w:fldChar w:fldCharType="separate"/>
      </w:r>
      <w:r>
        <w:rPr>
          <w:rFonts w:ascii="宋体" w:hAnsi="宋体"/>
          <w:color w:val="auto"/>
          <w:sz w:val="28"/>
          <w:szCs w:val="28"/>
          <w:highlight w:val="none"/>
        </w:rPr>
        <w:t>1</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14:paraId="346D28F7">
      <w:pPr>
        <w:pStyle w:val="9"/>
        <w:tabs>
          <w:tab w:val="right" w:leader="dot" w:pos="8302"/>
        </w:tabs>
        <w:spacing w:line="480" w:lineRule="auto"/>
        <w:rPr>
          <w:rFonts w:ascii="宋体" w:hAnsi="宋体" w:cstheme="minorBidi"/>
          <w:color w:val="auto"/>
          <w:sz w:val="28"/>
          <w:szCs w:val="28"/>
          <w:highlight w:val="none"/>
        </w:rPr>
      </w:pPr>
      <w:r>
        <w:rPr>
          <w:color w:val="auto"/>
          <w:highlight w:val="none"/>
        </w:rPr>
        <w:fldChar w:fldCharType="begin"/>
      </w:r>
      <w:r>
        <w:rPr>
          <w:color w:val="auto"/>
          <w:highlight w:val="none"/>
        </w:rPr>
        <w:instrText xml:space="preserve"> HYPERLINK \l "_Toc192493785" </w:instrText>
      </w:r>
      <w:r>
        <w:rPr>
          <w:color w:val="auto"/>
          <w:highlight w:val="none"/>
        </w:rPr>
        <w:fldChar w:fldCharType="separate"/>
      </w:r>
      <w:r>
        <w:rPr>
          <w:rStyle w:val="23"/>
          <w:rFonts w:hint="eastAsia" w:ascii="宋体" w:hAnsi="宋体"/>
          <w:bCs/>
          <w:color w:val="auto"/>
          <w:kern w:val="0"/>
          <w:sz w:val="28"/>
          <w:szCs w:val="28"/>
          <w:highlight w:val="none"/>
        </w:rPr>
        <w:t>第二章</w:t>
      </w:r>
      <w:r>
        <w:rPr>
          <w:rStyle w:val="23"/>
          <w:rFonts w:ascii="宋体" w:hAnsi="宋体"/>
          <w:bCs/>
          <w:color w:val="auto"/>
          <w:kern w:val="0"/>
          <w:sz w:val="28"/>
          <w:szCs w:val="28"/>
          <w:highlight w:val="none"/>
        </w:rPr>
        <w:t xml:space="preserve"> </w:t>
      </w:r>
      <w:r>
        <w:rPr>
          <w:rStyle w:val="23"/>
          <w:rFonts w:hint="eastAsia" w:ascii="宋体" w:hAnsi="宋体"/>
          <w:bCs/>
          <w:color w:val="auto"/>
          <w:kern w:val="0"/>
          <w:sz w:val="28"/>
          <w:szCs w:val="28"/>
          <w:highlight w:val="none"/>
        </w:rPr>
        <w:t>投标供应商须知</w:t>
      </w:r>
      <w:r>
        <w:rPr>
          <w:rFonts w:ascii="宋体" w:hAns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_Toc192493785 \h </w:instrText>
      </w:r>
      <w:r>
        <w:rPr>
          <w:rFonts w:ascii="宋体" w:hAnsi="宋体"/>
          <w:color w:val="auto"/>
          <w:sz w:val="28"/>
          <w:szCs w:val="28"/>
          <w:highlight w:val="none"/>
        </w:rPr>
        <w:fldChar w:fldCharType="separate"/>
      </w:r>
      <w:r>
        <w:rPr>
          <w:rFonts w:ascii="宋体" w:hAnsi="宋体"/>
          <w:color w:val="auto"/>
          <w:sz w:val="28"/>
          <w:szCs w:val="28"/>
          <w:highlight w:val="none"/>
        </w:rPr>
        <w:t>5</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14:paraId="6F91A4D9">
      <w:pPr>
        <w:pStyle w:val="9"/>
        <w:tabs>
          <w:tab w:val="right" w:leader="dot" w:pos="8302"/>
        </w:tabs>
        <w:spacing w:line="480" w:lineRule="auto"/>
        <w:rPr>
          <w:rFonts w:ascii="宋体" w:hAnsi="宋体" w:cstheme="minorBidi"/>
          <w:color w:val="auto"/>
          <w:sz w:val="28"/>
          <w:szCs w:val="28"/>
          <w:highlight w:val="none"/>
        </w:rPr>
      </w:pPr>
      <w:r>
        <w:rPr>
          <w:color w:val="auto"/>
          <w:highlight w:val="none"/>
        </w:rPr>
        <w:fldChar w:fldCharType="begin"/>
      </w:r>
      <w:r>
        <w:rPr>
          <w:color w:val="auto"/>
          <w:highlight w:val="none"/>
        </w:rPr>
        <w:instrText xml:space="preserve"> HYPERLINK \l "_Toc192493786" </w:instrText>
      </w:r>
      <w:r>
        <w:rPr>
          <w:color w:val="auto"/>
          <w:highlight w:val="none"/>
        </w:rPr>
        <w:fldChar w:fldCharType="separate"/>
      </w:r>
      <w:r>
        <w:rPr>
          <w:rStyle w:val="23"/>
          <w:rFonts w:hint="eastAsia" w:ascii="宋体" w:hAnsi="宋体"/>
          <w:bCs/>
          <w:color w:val="auto"/>
          <w:kern w:val="0"/>
          <w:sz w:val="28"/>
          <w:szCs w:val="28"/>
          <w:highlight w:val="none"/>
        </w:rPr>
        <w:t>第三章</w:t>
      </w:r>
      <w:r>
        <w:rPr>
          <w:rStyle w:val="23"/>
          <w:rFonts w:ascii="宋体" w:hAnsi="宋体"/>
          <w:bCs/>
          <w:color w:val="auto"/>
          <w:kern w:val="0"/>
          <w:sz w:val="28"/>
          <w:szCs w:val="28"/>
          <w:highlight w:val="none"/>
        </w:rPr>
        <w:t xml:space="preserve"> </w:t>
      </w:r>
      <w:r>
        <w:rPr>
          <w:rStyle w:val="23"/>
          <w:rFonts w:hint="eastAsia" w:ascii="宋体" w:hAnsi="宋体"/>
          <w:bCs/>
          <w:color w:val="auto"/>
          <w:kern w:val="0"/>
          <w:sz w:val="28"/>
          <w:szCs w:val="28"/>
          <w:highlight w:val="none"/>
        </w:rPr>
        <w:t>服务内容及要求</w:t>
      </w:r>
      <w:r>
        <w:rPr>
          <w:rFonts w:ascii="宋体" w:hAns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_Toc192493786 \h </w:instrText>
      </w:r>
      <w:r>
        <w:rPr>
          <w:rFonts w:ascii="宋体" w:hAnsi="宋体"/>
          <w:color w:val="auto"/>
          <w:sz w:val="28"/>
          <w:szCs w:val="28"/>
          <w:highlight w:val="none"/>
        </w:rPr>
        <w:fldChar w:fldCharType="separate"/>
      </w:r>
      <w:r>
        <w:rPr>
          <w:rFonts w:ascii="宋体" w:hAnsi="宋体"/>
          <w:color w:val="auto"/>
          <w:sz w:val="28"/>
          <w:szCs w:val="28"/>
          <w:highlight w:val="none"/>
        </w:rPr>
        <w:t>24</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14:paraId="01E5E46B">
      <w:pPr>
        <w:pStyle w:val="9"/>
        <w:tabs>
          <w:tab w:val="right" w:leader="dot" w:pos="8302"/>
        </w:tabs>
        <w:spacing w:line="480" w:lineRule="auto"/>
        <w:rPr>
          <w:rFonts w:ascii="宋体" w:hAnsi="宋体" w:cstheme="minorBidi"/>
          <w:color w:val="auto"/>
          <w:sz w:val="28"/>
          <w:szCs w:val="28"/>
          <w:highlight w:val="none"/>
        </w:rPr>
      </w:pPr>
      <w:r>
        <w:rPr>
          <w:color w:val="auto"/>
          <w:highlight w:val="none"/>
        </w:rPr>
        <w:fldChar w:fldCharType="begin"/>
      </w:r>
      <w:r>
        <w:rPr>
          <w:color w:val="auto"/>
          <w:highlight w:val="none"/>
        </w:rPr>
        <w:instrText xml:space="preserve"> HYPERLINK \l "_Toc192493787" </w:instrText>
      </w:r>
      <w:r>
        <w:rPr>
          <w:color w:val="auto"/>
          <w:highlight w:val="none"/>
        </w:rPr>
        <w:fldChar w:fldCharType="separate"/>
      </w:r>
      <w:r>
        <w:rPr>
          <w:rStyle w:val="23"/>
          <w:rFonts w:hint="eastAsia" w:ascii="宋体" w:hAnsi="宋体"/>
          <w:bCs/>
          <w:color w:val="auto"/>
          <w:kern w:val="0"/>
          <w:sz w:val="28"/>
          <w:szCs w:val="28"/>
          <w:highlight w:val="none"/>
        </w:rPr>
        <w:t>第四章</w:t>
      </w:r>
      <w:r>
        <w:rPr>
          <w:rStyle w:val="23"/>
          <w:rFonts w:ascii="宋体" w:hAnsi="宋体"/>
          <w:bCs/>
          <w:color w:val="auto"/>
          <w:kern w:val="0"/>
          <w:sz w:val="28"/>
          <w:szCs w:val="28"/>
          <w:highlight w:val="none"/>
        </w:rPr>
        <w:t xml:space="preserve"> </w:t>
      </w:r>
      <w:r>
        <w:rPr>
          <w:rStyle w:val="23"/>
          <w:rFonts w:hint="eastAsia" w:ascii="宋体" w:hAnsi="宋体"/>
          <w:bCs/>
          <w:color w:val="auto"/>
          <w:kern w:val="0"/>
          <w:sz w:val="28"/>
          <w:szCs w:val="28"/>
          <w:highlight w:val="none"/>
        </w:rPr>
        <w:t>评标办法</w:t>
      </w:r>
      <w:r>
        <w:rPr>
          <w:rFonts w:ascii="宋体" w:hAns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_Toc192493787 \h </w:instrText>
      </w:r>
      <w:r>
        <w:rPr>
          <w:rFonts w:ascii="宋体" w:hAnsi="宋体"/>
          <w:color w:val="auto"/>
          <w:sz w:val="28"/>
          <w:szCs w:val="28"/>
          <w:highlight w:val="none"/>
        </w:rPr>
        <w:fldChar w:fldCharType="separate"/>
      </w:r>
      <w:r>
        <w:rPr>
          <w:rFonts w:ascii="宋体" w:hAnsi="宋体"/>
          <w:color w:val="auto"/>
          <w:sz w:val="28"/>
          <w:szCs w:val="28"/>
          <w:highlight w:val="none"/>
        </w:rPr>
        <w:t>26</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14:paraId="65463A98">
      <w:pPr>
        <w:pStyle w:val="9"/>
        <w:tabs>
          <w:tab w:val="right" w:leader="dot" w:pos="8302"/>
        </w:tabs>
        <w:spacing w:line="480" w:lineRule="auto"/>
        <w:rPr>
          <w:rFonts w:ascii="宋体" w:hAnsi="宋体" w:cstheme="minorBidi"/>
          <w:color w:val="auto"/>
          <w:sz w:val="28"/>
          <w:szCs w:val="28"/>
          <w:highlight w:val="none"/>
        </w:rPr>
      </w:pPr>
      <w:r>
        <w:rPr>
          <w:color w:val="auto"/>
          <w:highlight w:val="none"/>
        </w:rPr>
        <w:fldChar w:fldCharType="begin"/>
      </w:r>
      <w:r>
        <w:rPr>
          <w:color w:val="auto"/>
          <w:highlight w:val="none"/>
        </w:rPr>
        <w:instrText xml:space="preserve"> HYPERLINK \l "_Toc192493788" </w:instrText>
      </w:r>
      <w:r>
        <w:rPr>
          <w:color w:val="auto"/>
          <w:highlight w:val="none"/>
        </w:rPr>
        <w:fldChar w:fldCharType="separate"/>
      </w:r>
      <w:r>
        <w:rPr>
          <w:rStyle w:val="23"/>
          <w:rFonts w:hint="eastAsia" w:ascii="宋体" w:hAnsi="宋体"/>
          <w:bCs/>
          <w:color w:val="auto"/>
          <w:kern w:val="0"/>
          <w:sz w:val="28"/>
          <w:szCs w:val="28"/>
          <w:highlight w:val="none"/>
        </w:rPr>
        <w:t>第五章</w:t>
      </w:r>
      <w:r>
        <w:rPr>
          <w:rStyle w:val="23"/>
          <w:rFonts w:ascii="宋体" w:hAnsi="宋体"/>
          <w:bCs/>
          <w:color w:val="auto"/>
          <w:kern w:val="0"/>
          <w:sz w:val="28"/>
          <w:szCs w:val="28"/>
          <w:highlight w:val="none"/>
        </w:rPr>
        <w:t xml:space="preserve"> </w:t>
      </w:r>
      <w:r>
        <w:rPr>
          <w:rStyle w:val="23"/>
          <w:rFonts w:hint="eastAsia" w:ascii="宋体" w:hAnsi="宋体"/>
          <w:bCs/>
          <w:color w:val="auto"/>
          <w:kern w:val="0"/>
          <w:sz w:val="28"/>
          <w:szCs w:val="28"/>
          <w:highlight w:val="none"/>
        </w:rPr>
        <w:t>合同条款及格式</w:t>
      </w:r>
      <w:r>
        <w:rPr>
          <w:rFonts w:ascii="宋体" w:hAns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_Toc192493788 \h </w:instrText>
      </w:r>
      <w:r>
        <w:rPr>
          <w:rFonts w:ascii="宋体" w:hAnsi="宋体"/>
          <w:color w:val="auto"/>
          <w:sz w:val="28"/>
          <w:szCs w:val="28"/>
          <w:highlight w:val="none"/>
        </w:rPr>
        <w:fldChar w:fldCharType="separate"/>
      </w:r>
      <w:r>
        <w:rPr>
          <w:rFonts w:ascii="宋体" w:hAnsi="宋体"/>
          <w:color w:val="auto"/>
          <w:sz w:val="28"/>
          <w:szCs w:val="28"/>
          <w:highlight w:val="none"/>
        </w:rPr>
        <w:t>31</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14:paraId="0BECFE7F">
      <w:pPr>
        <w:pStyle w:val="9"/>
        <w:tabs>
          <w:tab w:val="right" w:leader="dot" w:pos="8302"/>
        </w:tabs>
        <w:spacing w:line="480" w:lineRule="auto"/>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"_Toc192493789" </w:instrText>
      </w:r>
      <w:r>
        <w:rPr>
          <w:color w:val="auto"/>
          <w:highlight w:val="none"/>
        </w:rPr>
        <w:fldChar w:fldCharType="separate"/>
      </w:r>
      <w:r>
        <w:rPr>
          <w:rStyle w:val="23"/>
          <w:rFonts w:hint="eastAsia" w:ascii="宋体" w:hAnsi="宋体"/>
          <w:bCs/>
          <w:color w:val="auto"/>
          <w:kern w:val="0"/>
          <w:sz w:val="28"/>
          <w:szCs w:val="28"/>
          <w:highlight w:val="none"/>
        </w:rPr>
        <w:t>第六章</w:t>
      </w:r>
      <w:r>
        <w:rPr>
          <w:rStyle w:val="23"/>
          <w:rFonts w:ascii="宋体" w:hAnsi="宋体"/>
          <w:bCs/>
          <w:color w:val="auto"/>
          <w:kern w:val="0"/>
          <w:sz w:val="28"/>
          <w:szCs w:val="28"/>
          <w:highlight w:val="none"/>
        </w:rPr>
        <w:t xml:space="preserve"> </w:t>
      </w:r>
      <w:r>
        <w:rPr>
          <w:rStyle w:val="23"/>
          <w:rFonts w:hint="eastAsia" w:ascii="宋体" w:hAnsi="宋体"/>
          <w:bCs/>
          <w:color w:val="auto"/>
          <w:kern w:val="0"/>
          <w:sz w:val="28"/>
          <w:szCs w:val="28"/>
          <w:highlight w:val="none"/>
        </w:rPr>
        <w:t>投标文件格式</w:t>
      </w:r>
      <w:r>
        <w:rPr>
          <w:rFonts w:ascii="宋体" w:hAns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_Toc192493789 \h </w:instrText>
      </w:r>
      <w:r>
        <w:rPr>
          <w:rFonts w:ascii="宋体" w:hAnsi="宋体"/>
          <w:color w:val="auto"/>
          <w:sz w:val="28"/>
          <w:szCs w:val="28"/>
          <w:highlight w:val="none"/>
        </w:rPr>
        <w:fldChar w:fldCharType="separate"/>
      </w:r>
      <w:r>
        <w:rPr>
          <w:rFonts w:ascii="宋体" w:hAnsi="宋体"/>
          <w:color w:val="auto"/>
          <w:sz w:val="28"/>
          <w:szCs w:val="28"/>
          <w:highlight w:val="none"/>
        </w:rPr>
        <w:t>32</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14:paraId="7478E866">
      <w:pPr>
        <w:pStyle w:val="13"/>
        <w:ind w:left="420" w:firstLine="600"/>
        <w:rPr>
          <w:color w:val="auto"/>
          <w:highlight w:val="none"/>
        </w:rPr>
      </w:pPr>
      <w:r>
        <w:rPr>
          <w:rFonts w:hint="eastAsia"/>
          <w:color w:val="auto"/>
          <w:highlight w:val="none"/>
        </w:rPr>
        <w:fldChar w:fldCharType="end"/>
      </w:r>
    </w:p>
    <w:p w14:paraId="1EFA3148">
      <w:pPr>
        <w:widowControl/>
        <w:spacing w:line="620" w:lineRule="exact"/>
        <w:ind w:firstLine="2619"/>
        <w:outlineLvl w:val="0"/>
        <w:rPr>
          <w:rFonts w:hint="eastAsia" w:ascii="宋体" w:hAnsi="宋体"/>
          <w:b/>
          <w:bCs/>
          <w:color w:val="auto"/>
          <w:kern w:val="0"/>
          <w:sz w:val="32"/>
          <w:szCs w:val="32"/>
          <w:highlight w:val="none"/>
        </w:rPr>
        <w:sectPr>
          <w:pgSz w:w="11906" w:h="16838"/>
          <w:pgMar w:top="1440" w:right="1797" w:bottom="1440" w:left="1797" w:header="851" w:footer="992" w:gutter="0"/>
          <w:cols w:space="720" w:num="1"/>
          <w:docGrid w:linePitch="312" w:charSpace="0"/>
        </w:sectPr>
      </w:pPr>
      <w:bookmarkStart w:id="0" w:name="_Toc192493784"/>
      <w:bookmarkStart w:id="1" w:name="_Toc1141"/>
    </w:p>
    <w:p w14:paraId="04AF09DD">
      <w:pPr>
        <w:widowControl/>
        <w:spacing w:line="620" w:lineRule="exact"/>
        <w:ind w:firstLine="2619"/>
        <w:outlineLvl w:val="0"/>
        <w:rPr>
          <w:rFonts w:ascii="宋体" w:hAnsi="宋体"/>
          <w:color w:val="auto"/>
          <w:kern w:val="0"/>
          <w:sz w:val="20"/>
          <w:highlight w:val="none"/>
        </w:rPr>
      </w:pPr>
      <w:r>
        <w:rPr>
          <w:rFonts w:hint="eastAsia" w:ascii="宋体" w:hAnsi="宋体"/>
          <w:b/>
          <w:bCs/>
          <w:color w:val="auto"/>
          <w:kern w:val="0"/>
          <w:sz w:val="32"/>
          <w:szCs w:val="32"/>
          <w:highlight w:val="none"/>
        </w:rPr>
        <w:t xml:space="preserve">第一章 </w:t>
      </w:r>
      <w:bookmarkStart w:id="2" w:name="招标公告"/>
      <w:r>
        <w:rPr>
          <w:rFonts w:hint="eastAsia" w:ascii="宋体" w:hAnsi="宋体"/>
          <w:b/>
          <w:bCs/>
          <w:color w:val="auto"/>
          <w:kern w:val="0"/>
          <w:sz w:val="32"/>
          <w:szCs w:val="32"/>
          <w:highlight w:val="none"/>
        </w:rPr>
        <w:t>招标公告</w:t>
      </w:r>
      <w:bookmarkEnd w:id="0"/>
      <w:bookmarkEnd w:id="1"/>
      <w:bookmarkEnd w:id="2"/>
    </w:p>
    <w:p w14:paraId="0F8C683A">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宋体" w:hAnsi="宋体"/>
          <w:color w:val="auto"/>
          <w:sz w:val="24"/>
          <w:szCs w:val="24"/>
          <w:highlight w:val="none"/>
          <w:lang w:eastAsia="zh-CN"/>
        </w:rPr>
        <w:t>河南省中塍建设管理有限公司</w:t>
      </w:r>
      <w:r>
        <w:rPr>
          <w:rFonts w:hint="eastAsia" w:ascii="宋体" w:hAnsi="宋体"/>
          <w:color w:val="auto"/>
          <w:sz w:val="24"/>
          <w:szCs w:val="24"/>
          <w:highlight w:val="none"/>
        </w:rPr>
        <w:t>受</w:t>
      </w:r>
      <w:r>
        <w:rPr>
          <w:rFonts w:hint="eastAsia" w:ascii="宋体" w:hAnsi="宋体"/>
          <w:color w:val="auto"/>
          <w:sz w:val="24"/>
          <w:szCs w:val="24"/>
          <w:highlight w:val="none"/>
          <w:lang w:eastAsia="zh-CN"/>
        </w:rPr>
        <w:t>渑池县水利局</w:t>
      </w:r>
      <w:r>
        <w:rPr>
          <w:rFonts w:hint="eastAsia" w:ascii="宋体" w:hAnsi="宋体"/>
          <w:color w:val="auto"/>
          <w:sz w:val="24"/>
          <w:szCs w:val="24"/>
          <w:highlight w:val="none"/>
        </w:rPr>
        <w:t>的委托，就</w:t>
      </w:r>
      <w:r>
        <w:rPr>
          <w:rFonts w:hint="eastAsia" w:ascii="宋体" w:hAnsi="宋体"/>
          <w:color w:val="auto"/>
          <w:sz w:val="24"/>
          <w:szCs w:val="24"/>
          <w:highlight w:val="none"/>
          <w:lang w:eastAsia="zh-CN"/>
        </w:rPr>
        <w:t>渑池县先进制造业开发区及绿色建材产业园供水项目检测服务项目</w:t>
      </w:r>
      <w:r>
        <w:rPr>
          <w:rFonts w:hint="eastAsia" w:asciiTheme="minorEastAsia" w:hAnsiTheme="minorEastAsia" w:eastAsiaTheme="minorEastAsia" w:cstheme="minorEastAsia"/>
          <w:color w:val="auto"/>
          <w:sz w:val="24"/>
          <w:szCs w:val="24"/>
          <w:highlight w:val="none"/>
        </w:rPr>
        <w:t>进行公开招标，现欢迎符合资格条件的供应商参加投标。</w:t>
      </w:r>
    </w:p>
    <w:p w14:paraId="34423446">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一、项目概况与服务范围：</w:t>
      </w:r>
    </w:p>
    <w:p w14:paraId="72B86F88">
      <w:pPr>
        <w:adjustRightInd w:val="0"/>
        <w:snapToGrid w:val="0"/>
        <w:spacing w:line="360" w:lineRule="auto"/>
        <w:ind w:firstLine="480" w:firstLineChars="200"/>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1、项目编号：</w:t>
      </w:r>
      <w:r>
        <w:rPr>
          <w:rFonts w:hint="eastAsia" w:asciiTheme="minorEastAsia" w:hAnsiTheme="minorEastAsia" w:eastAsiaTheme="minorEastAsia" w:cstheme="minorEastAsia"/>
          <w:color w:val="auto"/>
          <w:kern w:val="0"/>
          <w:sz w:val="24"/>
          <w:szCs w:val="24"/>
          <w:highlight w:val="none"/>
          <w:lang w:eastAsia="zh-CN"/>
        </w:rPr>
        <w:t>MCGZ[2025]100-ZC073</w:t>
      </w:r>
      <w:r>
        <w:rPr>
          <w:rFonts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rPr>
        <w:t>渑池公开采购-2025-</w:t>
      </w:r>
      <w:r>
        <w:rPr>
          <w:rFonts w:hint="eastAsia" w:asciiTheme="minorEastAsia" w:hAnsiTheme="minorEastAsia" w:eastAsiaTheme="minorEastAsia" w:cstheme="minorEastAsia"/>
          <w:color w:val="auto"/>
          <w:kern w:val="0"/>
          <w:sz w:val="24"/>
          <w:szCs w:val="24"/>
          <w:highlight w:val="none"/>
          <w:lang w:val="en-US" w:eastAsia="zh-CN"/>
        </w:rPr>
        <w:t>21</w:t>
      </w:r>
    </w:p>
    <w:p w14:paraId="33A3CB57">
      <w:pPr>
        <w:adjustRightInd w:val="0"/>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2、项目名称：</w:t>
      </w:r>
      <w:r>
        <w:rPr>
          <w:rFonts w:hint="eastAsia" w:asciiTheme="minorEastAsia" w:hAnsiTheme="minorEastAsia" w:eastAsiaTheme="minorEastAsia" w:cstheme="minorEastAsia"/>
          <w:color w:val="auto"/>
          <w:kern w:val="0"/>
          <w:sz w:val="24"/>
          <w:szCs w:val="24"/>
          <w:highlight w:val="none"/>
          <w:lang w:eastAsia="zh-CN"/>
        </w:rPr>
        <w:t>渑池县先进制造业开发区及绿色建材产业园供水项目检测服务项目</w:t>
      </w:r>
    </w:p>
    <w:p w14:paraId="2DFDE1C5">
      <w:pPr>
        <w:adjustRightInd w:val="0"/>
        <w:snapToGrid w:val="0"/>
        <w:spacing w:line="360" w:lineRule="auto"/>
        <w:ind w:firstLine="480"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3、采购方式：公开招标</w:t>
      </w:r>
    </w:p>
    <w:p w14:paraId="17AF480D">
      <w:pPr>
        <w:adjustRightInd w:val="0"/>
        <w:snapToGrid w:val="0"/>
        <w:spacing w:line="360" w:lineRule="auto"/>
        <w:ind w:firstLine="480"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4、预算金额：</w:t>
      </w:r>
      <w:r>
        <w:rPr>
          <w:rFonts w:hint="eastAsia" w:asciiTheme="minorEastAsia" w:hAnsiTheme="minorEastAsia" w:eastAsiaTheme="minorEastAsia" w:cstheme="minorEastAsia"/>
          <w:color w:val="auto"/>
          <w:kern w:val="0"/>
          <w:sz w:val="24"/>
          <w:szCs w:val="24"/>
          <w:highlight w:val="none"/>
          <w:lang w:val="en-US" w:eastAsia="zh-CN"/>
        </w:rPr>
        <w:t>约136万元（以工程竣工审计结算金额*0.8%为招标控制价）</w:t>
      </w:r>
    </w:p>
    <w:tbl>
      <w:tblPr>
        <w:tblStyle w:val="14"/>
        <w:tblW w:w="9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620"/>
        <w:gridCol w:w="2381"/>
        <w:gridCol w:w="1819"/>
        <w:gridCol w:w="2118"/>
      </w:tblGrid>
      <w:tr w14:paraId="16042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59" w:type="dxa"/>
            <w:noWrap/>
            <w:vAlign w:val="center"/>
          </w:tcPr>
          <w:p w14:paraId="4DE3AF9E">
            <w:pPr>
              <w:adjustRightInd w:val="0"/>
              <w:snapToGrid w:val="0"/>
              <w:spacing w:line="360" w:lineRule="auto"/>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序号</w:t>
            </w:r>
          </w:p>
        </w:tc>
        <w:tc>
          <w:tcPr>
            <w:tcW w:w="2620" w:type="dxa"/>
            <w:noWrap/>
            <w:vAlign w:val="center"/>
          </w:tcPr>
          <w:p w14:paraId="0C09DC68">
            <w:pPr>
              <w:adjustRightInd w:val="0"/>
              <w:snapToGrid w:val="0"/>
              <w:spacing w:line="360" w:lineRule="auto"/>
              <w:ind w:firstLine="480" w:firstLineChars="200"/>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包号</w:t>
            </w:r>
          </w:p>
        </w:tc>
        <w:tc>
          <w:tcPr>
            <w:tcW w:w="2381" w:type="dxa"/>
            <w:noWrap/>
            <w:vAlign w:val="center"/>
          </w:tcPr>
          <w:p w14:paraId="4DCFCB14">
            <w:pPr>
              <w:adjustRightInd w:val="0"/>
              <w:snapToGrid w:val="0"/>
              <w:spacing w:line="360" w:lineRule="auto"/>
              <w:ind w:firstLine="480" w:firstLineChars="200"/>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包名称</w:t>
            </w:r>
          </w:p>
        </w:tc>
        <w:tc>
          <w:tcPr>
            <w:tcW w:w="1819" w:type="dxa"/>
            <w:noWrap/>
            <w:vAlign w:val="center"/>
          </w:tcPr>
          <w:p w14:paraId="4401B01A">
            <w:pPr>
              <w:adjustRightInd w:val="0"/>
              <w:snapToGrid w:val="0"/>
              <w:spacing w:line="360" w:lineRule="auto"/>
              <w:jc w:val="both"/>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包预算（元）</w:t>
            </w:r>
          </w:p>
        </w:tc>
        <w:tc>
          <w:tcPr>
            <w:tcW w:w="2118" w:type="dxa"/>
            <w:noWrap/>
            <w:vAlign w:val="center"/>
          </w:tcPr>
          <w:p w14:paraId="524FD092">
            <w:pPr>
              <w:adjustRightInd w:val="0"/>
              <w:snapToGrid w:val="0"/>
              <w:spacing w:line="360" w:lineRule="auto"/>
              <w:jc w:val="both"/>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包最高限价（元）</w:t>
            </w:r>
          </w:p>
        </w:tc>
      </w:tr>
      <w:tr w14:paraId="7E4F2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jc w:val="center"/>
        </w:trPr>
        <w:tc>
          <w:tcPr>
            <w:tcW w:w="959" w:type="dxa"/>
            <w:noWrap/>
            <w:vAlign w:val="center"/>
          </w:tcPr>
          <w:p w14:paraId="7F6588C0">
            <w:pPr>
              <w:adjustRightInd w:val="0"/>
              <w:snapToGrid w:val="0"/>
              <w:spacing w:line="360" w:lineRule="auto"/>
              <w:ind w:firstLine="480" w:firstLineChars="200"/>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w:t>
            </w:r>
          </w:p>
        </w:tc>
        <w:tc>
          <w:tcPr>
            <w:tcW w:w="2620" w:type="dxa"/>
            <w:noWrap/>
            <w:vAlign w:val="center"/>
          </w:tcPr>
          <w:p w14:paraId="107C0862">
            <w:pPr>
              <w:adjustRightInd w:val="0"/>
              <w:snapToGrid w:val="0"/>
              <w:spacing w:line="360" w:lineRule="auto"/>
              <w:jc w:val="both"/>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eastAsia="zh-CN"/>
              </w:rPr>
              <w:t>MCGZ[2025]100-ZC073</w:t>
            </w:r>
            <w:r>
              <w:rPr>
                <w:rFonts w:hint="eastAsia" w:asciiTheme="minorEastAsia" w:hAnsiTheme="minorEastAsia" w:eastAsiaTheme="minorEastAsia" w:cstheme="minorEastAsia"/>
                <w:color w:val="auto"/>
                <w:kern w:val="0"/>
                <w:sz w:val="24"/>
                <w:szCs w:val="24"/>
                <w:highlight w:val="none"/>
              </w:rPr>
              <w:t xml:space="preserve"> </w:t>
            </w:r>
          </w:p>
        </w:tc>
        <w:tc>
          <w:tcPr>
            <w:tcW w:w="2381" w:type="dxa"/>
            <w:noWrap/>
            <w:vAlign w:val="center"/>
          </w:tcPr>
          <w:p w14:paraId="277C57B0">
            <w:pPr>
              <w:adjustRightInd w:val="0"/>
              <w:snapToGrid w:val="0"/>
              <w:spacing w:line="360" w:lineRule="auto"/>
              <w:jc w:val="both"/>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eastAsia="zh-CN"/>
              </w:rPr>
              <w:t>渑池县先进制造业开发区及绿色建材产业园供水项目检测服务项目</w:t>
            </w:r>
          </w:p>
        </w:tc>
        <w:tc>
          <w:tcPr>
            <w:tcW w:w="1819" w:type="dxa"/>
            <w:noWrap/>
            <w:vAlign w:val="center"/>
          </w:tcPr>
          <w:p w14:paraId="4FBF7076">
            <w:pPr>
              <w:adjustRightInd w:val="0"/>
              <w:snapToGrid w:val="0"/>
              <w:spacing w:line="360" w:lineRule="auto"/>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1360000.00</w:t>
            </w:r>
            <w:r>
              <w:rPr>
                <w:rFonts w:hint="eastAsia" w:asciiTheme="minorEastAsia" w:hAnsiTheme="minorEastAsia" w:eastAsiaTheme="minorEastAsia" w:cstheme="minorEastAsia"/>
                <w:color w:val="auto"/>
                <w:kern w:val="0"/>
                <w:sz w:val="24"/>
                <w:szCs w:val="24"/>
                <w:highlight w:val="none"/>
              </w:rPr>
              <w:t>元</w:t>
            </w:r>
          </w:p>
        </w:tc>
        <w:tc>
          <w:tcPr>
            <w:tcW w:w="2118" w:type="dxa"/>
            <w:noWrap/>
            <w:vAlign w:val="center"/>
          </w:tcPr>
          <w:p w14:paraId="5B55AF07">
            <w:pPr>
              <w:adjustRightInd w:val="0"/>
              <w:snapToGrid w:val="0"/>
              <w:spacing w:line="360" w:lineRule="auto"/>
              <w:ind w:firstLine="240" w:firstLineChars="1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1360000</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en-US" w:eastAsia="zh-CN"/>
              </w:rPr>
              <w:t>0</w:t>
            </w:r>
            <w:r>
              <w:rPr>
                <w:rFonts w:hint="eastAsia" w:asciiTheme="minorEastAsia" w:hAnsiTheme="minorEastAsia" w:eastAsiaTheme="minorEastAsia" w:cstheme="minorEastAsia"/>
                <w:color w:val="auto"/>
                <w:kern w:val="0"/>
                <w:sz w:val="24"/>
                <w:szCs w:val="24"/>
                <w:highlight w:val="none"/>
              </w:rPr>
              <w:t>0元</w:t>
            </w:r>
          </w:p>
        </w:tc>
      </w:tr>
    </w:tbl>
    <w:p w14:paraId="32F88E6E">
      <w:pPr>
        <w:adjustRightInd w:val="0"/>
        <w:snapToGrid w:val="0"/>
        <w:spacing w:line="360" w:lineRule="auto"/>
        <w:ind w:firstLine="480"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5、采购需求（包括但不限于标的的名称、数量、简要技术需求或服务要求等）：</w:t>
      </w:r>
    </w:p>
    <w:p w14:paraId="75899487">
      <w:pPr>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5.1、服务内容：</w:t>
      </w:r>
      <w:r>
        <w:rPr>
          <w:rFonts w:hint="eastAsia" w:asciiTheme="minorEastAsia" w:hAnsiTheme="minorEastAsia" w:eastAsiaTheme="minorEastAsia" w:cstheme="minorEastAsia"/>
          <w:color w:val="auto"/>
          <w:kern w:val="0"/>
          <w:sz w:val="24"/>
          <w:szCs w:val="24"/>
          <w:highlight w:val="none"/>
          <w:lang w:val="en-US" w:eastAsia="zh-CN"/>
        </w:rPr>
        <w:t>主要服务内容包括外观质量检测、实体质量检测、中间产品及工序检测及业主委托的其他内容，并出具相应的质量检测报告</w:t>
      </w:r>
      <w:r>
        <w:rPr>
          <w:rFonts w:hint="eastAsia" w:asciiTheme="minorEastAsia" w:hAnsiTheme="minorEastAsia" w:eastAsiaTheme="minorEastAsia" w:cstheme="minorEastAsia"/>
          <w:color w:val="auto"/>
          <w:kern w:val="0"/>
          <w:sz w:val="24"/>
          <w:szCs w:val="24"/>
          <w:highlight w:val="none"/>
        </w:rPr>
        <w:t>；（具体详见招标文件第五章）</w:t>
      </w:r>
      <w:r>
        <w:rPr>
          <w:rFonts w:hint="eastAsia" w:asciiTheme="minorEastAsia" w:hAnsiTheme="minorEastAsia" w:eastAsiaTheme="minorEastAsia" w:cstheme="minorEastAsia"/>
          <w:color w:val="auto"/>
          <w:sz w:val="24"/>
          <w:szCs w:val="24"/>
          <w:highlight w:val="none"/>
        </w:rPr>
        <w:t>。</w:t>
      </w:r>
    </w:p>
    <w:p w14:paraId="6B87322B">
      <w:pPr>
        <w:adjustRightInd w:val="0"/>
        <w:snapToGrid w:val="0"/>
        <w:spacing w:line="360" w:lineRule="auto"/>
        <w:ind w:firstLine="480"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5.2、资金来源：财政资金，已落实</w:t>
      </w:r>
    </w:p>
    <w:p w14:paraId="52D6D6D5">
      <w:pPr>
        <w:adjustRightInd w:val="0"/>
        <w:snapToGrid w:val="0"/>
        <w:spacing w:line="360" w:lineRule="auto"/>
        <w:ind w:firstLine="480"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5.3、项目地点：渑池县 </w:t>
      </w:r>
    </w:p>
    <w:p w14:paraId="03B40ADC">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5.4、服务期限：</w:t>
      </w:r>
      <w:r>
        <w:rPr>
          <w:rFonts w:hint="eastAsia" w:asciiTheme="minorEastAsia" w:hAnsiTheme="minorEastAsia" w:eastAsiaTheme="minorEastAsia" w:cstheme="minorEastAsia"/>
          <w:color w:val="auto"/>
          <w:sz w:val="24"/>
          <w:szCs w:val="24"/>
          <w:highlight w:val="none"/>
          <w:lang w:eastAsia="zh-CN"/>
        </w:rPr>
        <w:t>服务至工程竣工</w:t>
      </w:r>
    </w:p>
    <w:p w14:paraId="29650540">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5.5、服务要求：</w:t>
      </w:r>
      <w:r>
        <w:rPr>
          <w:rFonts w:hint="eastAsia" w:asciiTheme="minorEastAsia" w:hAnsiTheme="minorEastAsia" w:eastAsiaTheme="minorEastAsia" w:cstheme="minorEastAsia"/>
          <w:color w:val="auto"/>
          <w:sz w:val="24"/>
          <w:szCs w:val="24"/>
          <w:highlight w:val="none"/>
          <w:lang w:eastAsia="zh-CN"/>
        </w:rPr>
        <w:t>符合国家</w:t>
      </w:r>
      <w:r>
        <w:rPr>
          <w:rFonts w:hint="eastAsia" w:asciiTheme="minorEastAsia" w:hAnsiTheme="minorEastAsia" w:eastAsiaTheme="minorEastAsia" w:cstheme="minorEastAsia"/>
          <w:color w:val="auto"/>
          <w:sz w:val="24"/>
          <w:szCs w:val="24"/>
          <w:highlight w:val="none"/>
          <w:lang w:val="en-US" w:eastAsia="zh-CN"/>
        </w:rPr>
        <w:t>及行业</w:t>
      </w:r>
      <w:r>
        <w:rPr>
          <w:rFonts w:hint="eastAsia" w:asciiTheme="minorEastAsia" w:hAnsiTheme="minorEastAsia" w:eastAsiaTheme="minorEastAsia" w:cstheme="minorEastAsia"/>
          <w:color w:val="auto"/>
          <w:sz w:val="24"/>
          <w:szCs w:val="24"/>
          <w:highlight w:val="none"/>
          <w:lang w:eastAsia="zh-CN"/>
        </w:rPr>
        <w:t>相关规范标准</w:t>
      </w:r>
    </w:p>
    <w:p w14:paraId="7FBA08DB">
      <w:pPr>
        <w:adjustRightInd w:val="0"/>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6、合同履约期限：</w:t>
      </w:r>
      <w:r>
        <w:rPr>
          <w:rFonts w:hint="eastAsia" w:asciiTheme="minorEastAsia" w:hAnsiTheme="minorEastAsia" w:eastAsiaTheme="minorEastAsia" w:cstheme="minorEastAsia"/>
          <w:color w:val="auto"/>
          <w:kern w:val="0"/>
          <w:sz w:val="24"/>
          <w:szCs w:val="24"/>
          <w:highlight w:val="none"/>
          <w:lang w:eastAsia="zh-CN"/>
        </w:rPr>
        <w:t>服务至工程竣工</w:t>
      </w:r>
    </w:p>
    <w:p w14:paraId="0AD75D7C">
      <w:pPr>
        <w:adjustRightInd w:val="0"/>
        <w:snapToGrid w:val="0"/>
        <w:spacing w:line="360" w:lineRule="auto"/>
        <w:ind w:firstLine="480"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7、本项目是否接受联合体投标：否</w:t>
      </w:r>
    </w:p>
    <w:p w14:paraId="4C063E93">
      <w:pPr>
        <w:adjustRightInd w:val="0"/>
        <w:snapToGrid w:val="0"/>
        <w:spacing w:line="360" w:lineRule="auto"/>
        <w:ind w:firstLine="480"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8、是否接受进口产品：否</w:t>
      </w:r>
    </w:p>
    <w:p w14:paraId="211518E3">
      <w:pPr>
        <w:adjustRightInd w:val="0"/>
        <w:snapToGrid w:val="0"/>
        <w:spacing w:line="360" w:lineRule="auto"/>
        <w:ind w:firstLine="480"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9、是否专门面向中小企业：</w:t>
      </w:r>
      <w:r>
        <w:rPr>
          <w:rFonts w:hint="eastAsia" w:asciiTheme="minorEastAsia" w:hAnsiTheme="minorEastAsia" w:eastAsiaTheme="minorEastAsia" w:cstheme="minorEastAsia"/>
          <w:color w:val="auto"/>
          <w:kern w:val="0"/>
          <w:sz w:val="24"/>
          <w:szCs w:val="24"/>
          <w:highlight w:val="none"/>
          <w:lang w:val="en-US" w:eastAsia="zh-CN"/>
        </w:rPr>
        <w:t>是</w:t>
      </w:r>
      <w:r>
        <w:rPr>
          <w:rFonts w:hint="eastAsia" w:asciiTheme="minorEastAsia" w:hAnsiTheme="minorEastAsia" w:eastAsiaTheme="minorEastAsia" w:cstheme="minorEastAsia"/>
          <w:color w:val="auto"/>
          <w:kern w:val="0"/>
          <w:sz w:val="24"/>
          <w:szCs w:val="24"/>
          <w:highlight w:val="none"/>
        </w:rPr>
        <w:t>。</w:t>
      </w:r>
    </w:p>
    <w:p w14:paraId="22E10A53">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二、投标供应商资格要求： </w:t>
      </w:r>
    </w:p>
    <w:p w14:paraId="5AF7118F">
      <w:pPr>
        <w:adjustRightInd w:val="0"/>
        <w:snapToGrid w:val="0"/>
        <w:spacing w:line="360" w:lineRule="auto"/>
        <w:ind w:firstLine="480"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1、满足《中华人民共和国政府采购法》第二十二条规定；</w:t>
      </w:r>
    </w:p>
    <w:p w14:paraId="00B5A565">
      <w:pPr>
        <w:adjustRightInd w:val="0"/>
        <w:snapToGrid w:val="0"/>
        <w:spacing w:line="360" w:lineRule="auto"/>
        <w:ind w:firstLine="480"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2、落实政府采购政策满足的资格要求：</w:t>
      </w:r>
    </w:p>
    <w:p w14:paraId="1A4D0D4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asciiTheme="minorEastAsia" w:hAnsiTheme="minorEastAsia" w:eastAsiaTheme="minorEastAsia" w:cstheme="minorEastAsia"/>
          <w:color w:val="auto"/>
          <w:kern w:val="0"/>
          <w:sz w:val="24"/>
          <w:szCs w:val="24"/>
          <w:highlight w:val="none"/>
        </w:rPr>
      </w:pPr>
      <w:r>
        <w:rPr>
          <w:rFonts w:hint="eastAsia" w:ascii="宋体" w:hAnsi="宋体" w:cs="宋体"/>
          <w:color w:val="auto"/>
          <w:kern w:val="0"/>
          <w:sz w:val="24"/>
          <w:szCs w:val="24"/>
          <w:highlight w:val="none"/>
          <w:lang w:eastAsia="zh-CN"/>
        </w:rPr>
        <w:t>根据《政府采购促进中小企业发展管理办法》（财库〔2020〕46号）规定，本项目专门面向中小企业采购,同时供应商须提供《中小企业声明函》</w:t>
      </w:r>
      <w:r>
        <w:rPr>
          <w:rFonts w:hint="eastAsia" w:asciiTheme="minorEastAsia" w:hAnsiTheme="minorEastAsia" w:eastAsiaTheme="minorEastAsia" w:cstheme="minorEastAsia"/>
          <w:color w:val="auto"/>
          <w:kern w:val="0"/>
          <w:sz w:val="24"/>
          <w:szCs w:val="24"/>
          <w:highlight w:val="none"/>
        </w:rPr>
        <w:t>；</w:t>
      </w:r>
    </w:p>
    <w:p w14:paraId="27A1EA56">
      <w:pPr>
        <w:adjustRightInd w:val="0"/>
        <w:snapToGrid w:val="0"/>
        <w:spacing w:line="360" w:lineRule="auto"/>
        <w:ind w:firstLine="480"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3、本项目的特定资格要求</w:t>
      </w:r>
    </w:p>
    <w:p w14:paraId="541C647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lang w:eastAsia="zh-CN"/>
        </w:rPr>
        <w:t>1</w:t>
      </w:r>
      <w:r>
        <w:rPr>
          <w:rFonts w:hint="eastAsia" w:ascii="宋体" w:hAnsi="宋体" w:cs="宋体"/>
          <w:color w:val="auto"/>
          <w:kern w:val="0"/>
          <w:sz w:val="24"/>
          <w:szCs w:val="24"/>
          <w:highlight w:val="none"/>
          <w:lang w:val="en-US" w:eastAsia="zh-CN"/>
        </w:rPr>
        <w:t>供应商具有有效的营业执照</w:t>
      </w:r>
      <w:r>
        <w:rPr>
          <w:rFonts w:hint="eastAsia" w:ascii="宋体" w:hAnsi="宋体" w:cs="宋体"/>
          <w:color w:val="auto"/>
          <w:kern w:val="0"/>
          <w:sz w:val="24"/>
          <w:szCs w:val="24"/>
          <w:highlight w:val="none"/>
          <w:lang w:eastAsia="zh-CN"/>
        </w:rPr>
        <w:t>；</w:t>
      </w:r>
    </w:p>
    <w:p w14:paraId="36175C1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3.2</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lang w:val="en-US" w:eastAsia="zh-CN"/>
        </w:rPr>
        <w:t>具有</w:t>
      </w:r>
      <w:r>
        <w:rPr>
          <w:rFonts w:hint="eastAsia" w:ascii="宋体" w:hAnsi="宋体" w:cs="宋体"/>
          <w:color w:val="auto"/>
          <w:kern w:val="0"/>
          <w:sz w:val="24"/>
          <w:szCs w:val="24"/>
          <w:highlight w:val="none"/>
          <w:lang w:eastAsia="zh-CN"/>
        </w:rPr>
        <w:t>主管部门颁发</w:t>
      </w:r>
      <w:r>
        <w:rPr>
          <w:rFonts w:hint="eastAsia" w:ascii="宋体" w:hAnsi="宋体" w:cs="宋体"/>
          <w:color w:val="auto"/>
          <w:kern w:val="0"/>
          <w:sz w:val="24"/>
          <w:szCs w:val="24"/>
          <w:highlight w:val="none"/>
          <w:lang w:val="en-US" w:eastAsia="zh-CN"/>
        </w:rPr>
        <w:t>建设</w:t>
      </w:r>
      <w:bookmarkStart w:id="44" w:name="_GoBack"/>
      <w:bookmarkEnd w:id="44"/>
      <w:r>
        <w:rPr>
          <w:rFonts w:hint="eastAsia" w:ascii="宋体" w:hAnsi="宋体" w:cs="宋体"/>
          <w:color w:val="auto"/>
          <w:kern w:val="0"/>
          <w:sz w:val="24"/>
          <w:szCs w:val="24"/>
          <w:highlight w:val="none"/>
          <w:lang w:val="en-US" w:eastAsia="zh-CN"/>
        </w:rPr>
        <w:t>工程质量检测机构资质证书</w:t>
      </w:r>
      <w:r>
        <w:rPr>
          <w:rFonts w:hint="eastAsia" w:ascii="宋体" w:hAnsi="宋体" w:cs="宋体"/>
          <w:color w:val="auto"/>
          <w:kern w:val="0"/>
          <w:sz w:val="24"/>
          <w:szCs w:val="24"/>
          <w:highlight w:val="none"/>
          <w:lang w:eastAsia="zh-CN"/>
        </w:rPr>
        <w:t>和市场监督管理局颁发的检验检测机构资质认定证书（CMA）；拟派项目负责人应具备相关专业中级及以上职称；</w:t>
      </w:r>
    </w:p>
    <w:p w14:paraId="2AF06A6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3.3供应商</w:t>
      </w:r>
      <w:r>
        <w:rPr>
          <w:rFonts w:hint="eastAsia" w:ascii="宋体" w:hAnsi="宋体" w:cs="宋体"/>
          <w:color w:val="auto"/>
          <w:kern w:val="0"/>
          <w:sz w:val="24"/>
          <w:szCs w:val="24"/>
          <w:highlight w:val="none"/>
          <w:lang w:eastAsia="zh-CN"/>
        </w:rPr>
        <w:t>自行出具本单位无商业贿赂及无不正当竞争行为的承诺书；</w:t>
      </w:r>
    </w:p>
    <w:p w14:paraId="0C3176B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3.4未列入“中国执行信息公开网”http://zxgk.court.gov.cn/shixin网站的“失信被执行人”名单、“信用中国”www.creditchina.gov.cn网站的“重大税收违法失信主体”及“中国政府采购网”www.ccgp.gov.cn网站的“政府采购严重违法失信行为记录名单”；（提供“中国执行信息公开网”、“信用中国”和“中国政府采购网”网站的查询信息截图，加盖单位公章，截图需显示查询时间，查询时间：自公告发布之日起至投标截止时间前）；</w:t>
      </w:r>
    </w:p>
    <w:p w14:paraId="24949DD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3.5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止））；</w:t>
      </w:r>
    </w:p>
    <w:p w14:paraId="49DF608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3.6本项目不接受联合体投标，提供非联合体投标承诺，格式自拟。</w:t>
      </w:r>
    </w:p>
    <w:p w14:paraId="35EDC7C6">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注：本项目实行资格后审，资格审查的具体要求见招标文件。</w:t>
      </w:r>
    </w:p>
    <w:p w14:paraId="4E38FBF9">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三、招标文件获取方式：</w:t>
      </w:r>
    </w:p>
    <w:p w14:paraId="4C3B1339">
      <w:pPr>
        <w:adjustRightInd w:val="0"/>
        <w:snapToGrid w:val="0"/>
        <w:spacing w:line="360" w:lineRule="auto"/>
        <w:ind w:firstLine="480"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1、时间：2025年</w:t>
      </w: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月</w:t>
      </w:r>
      <w:r>
        <w:rPr>
          <w:rFonts w:hint="eastAsia" w:asciiTheme="minorEastAsia" w:hAnsiTheme="minorEastAsia" w:eastAsiaTheme="minorEastAsia" w:cstheme="minorEastAsia"/>
          <w:color w:val="auto"/>
          <w:kern w:val="0"/>
          <w:sz w:val="24"/>
          <w:szCs w:val="24"/>
          <w:highlight w:val="none"/>
          <w:lang w:val="en-US" w:eastAsia="zh-CN"/>
        </w:rPr>
        <w:t>15</w:t>
      </w:r>
      <w:r>
        <w:rPr>
          <w:rFonts w:hint="eastAsia" w:asciiTheme="minorEastAsia" w:hAnsiTheme="minorEastAsia" w:eastAsiaTheme="minorEastAsia" w:cstheme="minorEastAsia"/>
          <w:color w:val="auto"/>
          <w:kern w:val="0"/>
          <w:sz w:val="24"/>
          <w:szCs w:val="24"/>
          <w:highlight w:val="none"/>
        </w:rPr>
        <w:t>日至</w:t>
      </w:r>
      <w:r>
        <w:rPr>
          <w:rFonts w:hint="eastAsia" w:asciiTheme="minorEastAsia" w:hAnsiTheme="minorEastAsia" w:eastAsiaTheme="minorEastAsia" w:cstheme="minorEastAsia"/>
          <w:color w:val="auto"/>
          <w:kern w:val="0"/>
          <w:sz w:val="24"/>
          <w:szCs w:val="24"/>
          <w:highlight w:val="none"/>
          <w:lang w:val="en-US" w:eastAsia="zh-CN"/>
        </w:rPr>
        <w:t>6</w:t>
      </w:r>
      <w:r>
        <w:rPr>
          <w:rFonts w:hint="eastAsia" w:asciiTheme="minorEastAsia" w:hAnsiTheme="minorEastAsia" w:eastAsiaTheme="minorEastAsia" w:cstheme="minorEastAsia"/>
          <w:color w:val="auto"/>
          <w:kern w:val="0"/>
          <w:sz w:val="24"/>
          <w:szCs w:val="24"/>
          <w:highlight w:val="none"/>
        </w:rPr>
        <w:t>月</w:t>
      </w:r>
      <w:r>
        <w:rPr>
          <w:rFonts w:hint="eastAsia" w:asciiTheme="minorEastAsia" w:hAnsiTheme="minorEastAsia" w:eastAsiaTheme="minorEastAsia" w:cstheme="minorEastAsia"/>
          <w:color w:val="auto"/>
          <w:kern w:val="0"/>
          <w:sz w:val="24"/>
          <w:szCs w:val="24"/>
          <w:highlight w:val="none"/>
          <w:lang w:val="en-US" w:eastAsia="zh-CN"/>
        </w:rPr>
        <w:t>4</w:t>
      </w:r>
      <w:r>
        <w:rPr>
          <w:rFonts w:hint="eastAsia" w:asciiTheme="minorEastAsia" w:hAnsiTheme="minorEastAsia" w:eastAsiaTheme="minorEastAsia" w:cstheme="minorEastAsia"/>
          <w:color w:val="auto"/>
          <w:kern w:val="0"/>
          <w:sz w:val="24"/>
          <w:szCs w:val="24"/>
          <w:highlight w:val="none"/>
        </w:rPr>
        <w:t>日，每天上午00:00至12:00，下午12:00至23:59（北京时间，法定节假日除外。）</w:t>
      </w:r>
    </w:p>
    <w:p w14:paraId="5A243248">
      <w:pPr>
        <w:adjustRightInd w:val="0"/>
        <w:snapToGrid w:val="0"/>
        <w:spacing w:line="360" w:lineRule="auto"/>
        <w:ind w:firstLine="480"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2、地点：三门峡市公共资源交易中心网（网址：http://gzjy.smx.gov.cn/）</w:t>
      </w:r>
    </w:p>
    <w:p w14:paraId="35C3DA23">
      <w:pPr>
        <w:adjustRightInd w:val="0"/>
        <w:snapToGrid w:val="0"/>
        <w:spacing w:line="360" w:lineRule="auto"/>
        <w:ind w:firstLine="480"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方式：本项目没有报名环节，投标供应商凭CA数字证书通过三门峡市公共资源交易中心网（网址：http://gzjy.smx.gov.cn/），点击公共资源交易平台选择“交易主体登录”，在所参与项目右侧点击参与投标，即可直接下载本项目招标文件。</w:t>
      </w:r>
    </w:p>
    <w:p w14:paraId="4D564DCA">
      <w:pPr>
        <w:adjustRightInd w:val="0"/>
        <w:snapToGrid w:val="0"/>
        <w:spacing w:line="360" w:lineRule="auto"/>
        <w:ind w:firstLine="480"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注：根据《关于进一步加强公共资源交易管理持续优化营商环境的通知》（三公管办〔2020〕2号）文件的要求,招标（磋商）文件费用不再收取。</w:t>
      </w:r>
    </w:p>
    <w:p w14:paraId="730ADEA8">
      <w:pPr>
        <w:wordWrap w:val="0"/>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4、售价：0元。</w:t>
      </w:r>
    </w:p>
    <w:p w14:paraId="36C166B8">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四、投标保证金：</w:t>
      </w:r>
    </w:p>
    <w:p w14:paraId="715F4C3B">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按照《河南省财政厅关于优化政府采购营商环境有关问题的通知》（豫财购[2019]4号文）的要求本项目不再收取投标保证金。</w:t>
      </w:r>
    </w:p>
    <w:p w14:paraId="0A3B3A5E">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五、投标文件的提交：</w:t>
      </w:r>
    </w:p>
    <w:p w14:paraId="42569A8D">
      <w:pPr>
        <w:adjustRightInd w:val="0"/>
        <w:snapToGrid w:val="0"/>
        <w:spacing w:line="360" w:lineRule="auto"/>
        <w:ind w:firstLine="480"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1、截止时间：2025年</w:t>
      </w:r>
      <w:r>
        <w:rPr>
          <w:rFonts w:hint="eastAsia" w:asciiTheme="minorEastAsia" w:hAnsiTheme="minorEastAsia" w:eastAsiaTheme="minorEastAsia" w:cstheme="minorEastAsia"/>
          <w:color w:val="auto"/>
          <w:kern w:val="0"/>
          <w:sz w:val="24"/>
          <w:szCs w:val="24"/>
          <w:highlight w:val="none"/>
          <w:lang w:val="en-US" w:eastAsia="zh-CN"/>
        </w:rPr>
        <w:t>6</w:t>
      </w:r>
      <w:r>
        <w:rPr>
          <w:rFonts w:hint="eastAsia" w:asciiTheme="minorEastAsia" w:hAnsiTheme="minorEastAsia" w:eastAsiaTheme="minorEastAsia" w:cstheme="minorEastAsia"/>
          <w:color w:val="auto"/>
          <w:kern w:val="0"/>
          <w:sz w:val="24"/>
          <w:szCs w:val="24"/>
          <w:highlight w:val="none"/>
        </w:rPr>
        <w:t>月</w:t>
      </w:r>
      <w:r>
        <w:rPr>
          <w:rFonts w:hint="eastAsia" w:asciiTheme="minorEastAsia" w:hAnsiTheme="minorEastAsia" w:eastAsiaTheme="minorEastAsia" w:cstheme="minorEastAsia"/>
          <w:color w:val="auto"/>
          <w:kern w:val="0"/>
          <w:sz w:val="24"/>
          <w:szCs w:val="24"/>
          <w:highlight w:val="none"/>
          <w:lang w:val="en-US" w:eastAsia="zh-CN"/>
        </w:rPr>
        <w:t>4</w:t>
      </w:r>
      <w:r>
        <w:rPr>
          <w:rFonts w:hint="eastAsia" w:asciiTheme="minorEastAsia" w:hAnsiTheme="minorEastAsia" w:eastAsiaTheme="minorEastAsia" w:cstheme="minorEastAsia"/>
          <w:color w:val="auto"/>
          <w:kern w:val="0"/>
          <w:sz w:val="24"/>
          <w:szCs w:val="24"/>
          <w:highlight w:val="none"/>
        </w:rPr>
        <w:t>日08时20分（北京时间）</w:t>
      </w:r>
    </w:p>
    <w:p w14:paraId="7CC79CD2">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2、地点：三门峡市公共资源交易中心网（网址：http://gzjy.smx.gov.cn/）</w:t>
      </w:r>
    </w:p>
    <w:p w14:paraId="408515B8">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六、投标文件的开启：</w:t>
      </w:r>
    </w:p>
    <w:p w14:paraId="44517BCA">
      <w:pPr>
        <w:adjustRightInd w:val="0"/>
        <w:snapToGrid w:val="0"/>
        <w:spacing w:line="360" w:lineRule="auto"/>
        <w:ind w:firstLine="480"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1、时间：2025年</w:t>
      </w:r>
      <w:r>
        <w:rPr>
          <w:rFonts w:hint="eastAsia" w:asciiTheme="minorEastAsia" w:hAnsiTheme="minorEastAsia" w:eastAsiaTheme="minorEastAsia" w:cstheme="minorEastAsia"/>
          <w:color w:val="auto"/>
          <w:kern w:val="0"/>
          <w:sz w:val="24"/>
          <w:szCs w:val="24"/>
          <w:highlight w:val="none"/>
          <w:lang w:val="en-US" w:eastAsia="zh-CN"/>
        </w:rPr>
        <w:t>6</w:t>
      </w:r>
      <w:r>
        <w:rPr>
          <w:rFonts w:hint="eastAsia" w:asciiTheme="minorEastAsia" w:hAnsiTheme="minorEastAsia" w:eastAsiaTheme="minorEastAsia" w:cstheme="minorEastAsia"/>
          <w:color w:val="auto"/>
          <w:kern w:val="0"/>
          <w:sz w:val="24"/>
          <w:szCs w:val="24"/>
          <w:highlight w:val="none"/>
        </w:rPr>
        <w:t>月</w:t>
      </w:r>
      <w:r>
        <w:rPr>
          <w:rFonts w:hint="eastAsia" w:asciiTheme="minorEastAsia" w:hAnsiTheme="minorEastAsia" w:eastAsiaTheme="minorEastAsia" w:cstheme="minorEastAsia"/>
          <w:color w:val="auto"/>
          <w:kern w:val="0"/>
          <w:sz w:val="24"/>
          <w:szCs w:val="24"/>
          <w:highlight w:val="none"/>
          <w:lang w:val="en-US" w:eastAsia="zh-CN"/>
        </w:rPr>
        <w:t>4</w:t>
      </w:r>
      <w:r>
        <w:rPr>
          <w:rFonts w:hint="eastAsia" w:asciiTheme="minorEastAsia" w:hAnsiTheme="minorEastAsia" w:eastAsiaTheme="minorEastAsia" w:cstheme="minorEastAsia"/>
          <w:color w:val="auto"/>
          <w:kern w:val="0"/>
          <w:sz w:val="24"/>
          <w:szCs w:val="24"/>
          <w:highlight w:val="none"/>
        </w:rPr>
        <w:t>日08时20分（北京时间）</w:t>
      </w:r>
    </w:p>
    <w:p w14:paraId="0D69FB0F">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2、地点：渑池县公共资源交易中心开标二室（网址：http://gzjy.smx.gov.cn/）</w:t>
      </w:r>
    </w:p>
    <w:p w14:paraId="2262D211">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七、发布公告的媒介：</w:t>
      </w:r>
    </w:p>
    <w:p w14:paraId="14240EC3">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本次招标公告同时在《河南省政府采购网》、《</w:t>
      </w:r>
      <w:r>
        <w:rPr>
          <w:rFonts w:hint="eastAsia" w:asciiTheme="minorEastAsia" w:hAnsiTheme="minorEastAsia" w:eastAsiaTheme="minorEastAsia" w:cstheme="minorEastAsia"/>
          <w:color w:val="auto"/>
          <w:kern w:val="0"/>
          <w:sz w:val="24"/>
          <w:szCs w:val="24"/>
          <w:highlight w:val="none"/>
          <w:lang w:eastAsia="zh-CN"/>
        </w:rPr>
        <w:t>中国招标投标公共服务平台</w:t>
      </w:r>
      <w:r>
        <w:rPr>
          <w:rFonts w:hint="eastAsia" w:asciiTheme="minorEastAsia" w:hAnsiTheme="minorEastAsia" w:eastAsiaTheme="minorEastAsia" w:cstheme="minorEastAsia"/>
          <w:color w:val="auto"/>
          <w:kern w:val="0"/>
          <w:sz w:val="24"/>
          <w:szCs w:val="24"/>
          <w:highlight w:val="none"/>
        </w:rPr>
        <w:t>》、《三门峡市公共资源交易中心网》上发布，公告期限为三个工作日。</w:t>
      </w:r>
    </w:p>
    <w:p w14:paraId="5DBF986E">
      <w:pPr>
        <w:adjustRightInd w:val="0"/>
        <w:snapToGrid w:val="0"/>
        <w:spacing w:line="360" w:lineRule="auto"/>
        <w:ind w:firstLine="480"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八、</w:t>
      </w:r>
      <w:r>
        <w:rPr>
          <w:rFonts w:hint="eastAsia" w:asciiTheme="minorEastAsia" w:hAnsiTheme="minorEastAsia" w:eastAsiaTheme="minorEastAsia" w:cstheme="minorEastAsia"/>
          <w:color w:val="auto"/>
          <w:kern w:val="0"/>
          <w:sz w:val="24"/>
          <w:szCs w:val="24"/>
          <w:highlight w:val="none"/>
        </w:rPr>
        <w:t>其他补充事宜</w:t>
      </w:r>
    </w:p>
    <w:p w14:paraId="3168E2B1">
      <w:pPr>
        <w:adjustRightInd w:val="0"/>
        <w:snapToGrid w:val="0"/>
        <w:spacing w:line="360" w:lineRule="auto"/>
        <w:ind w:firstLine="480"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1、投标供应商应仔细阅读操作手册，在本公告中要求的截止时间前完成投标文件的上传工作，并充分考虑人为操作等因素，因投标供应商操作不当造成的无法投标等一切后果，由投标供应商自行承担。</w:t>
      </w:r>
    </w:p>
    <w:p w14:paraId="172032C9">
      <w:pPr>
        <w:adjustRightInd w:val="0"/>
        <w:snapToGrid w:val="0"/>
        <w:spacing w:line="360" w:lineRule="auto"/>
        <w:ind w:firstLine="480"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2、投标所发生一切费用由各投标供应商自行承担，并承担相应的风险和责任。</w:t>
      </w:r>
    </w:p>
    <w:p w14:paraId="36B8DDEA">
      <w:pPr>
        <w:adjustRightInd w:val="0"/>
        <w:snapToGrid w:val="0"/>
        <w:spacing w:line="360" w:lineRule="auto"/>
        <w:ind w:firstLine="480"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3、本项目不组织投标供应商踏勘现场。</w:t>
      </w:r>
    </w:p>
    <w:p w14:paraId="176B54ED">
      <w:pPr>
        <w:adjustRightInd w:val="0"/>
        <w:snapToGrid w:val="0"/>
        <w:spacing w:line="360" w:lineRule="auto"/>
        <w:ind w:firstLine="480"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4、本项目无论中标与否，均不退还响应文件。</w:t>
      </w:r>
    </w:p>
    <w:p w14:paraId="2DC76F8C">
      <w:pPr>
        <w:adjustRightInd w:val="0"/>
        <w:snapToGrid w:val="0"/>
        <w:spacing w:line="360" w:lineRule="auto"/>
        <w:ind w:firstLine="480"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5、本项目资格评审和业绩以响应文件为准，响应人可使用电子营业执照。</w:t>
      </w:r>
    </w:p>
    <w:p w14:paraId="35DFDAC2">
      <w:pPr>
        <w:adjustRightInd w:val="0"/>
        <w:snapToGrid w:val="0"/>
        <w:spacing w:line="360" w:lineRule="auto"/>
        <w:ind w:firstLine="480"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（1）资格评（预）审部分：资格评（预）审以响应文件为准，其上传资料真实性由响应人自行承担，同时，响应人要完善主体库。</w:t>
      </w:r>
    </w:p>
    <w:p w14:paraId="30127FB1">
      <w:pPr>
        <w:adjustRightInd w:val="0"/>
        <w:snapToGrid w:val="0"/>
        <w:spacing w:line="360" w:lineRule="auto"/>
        <w:ind w:firstLine="480"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（2）评标打分部分：评标打分部分仍按照100分制原则进行，涉及到资格审查、企业荣誉、人员业绩、企业业绩等计分部分时，以投标单位自行上传到响应文件中的相应内容为准。</w:t>
      </w:r>
    </w:p>
    <w:p w14:paraId="125D6A0F">
      <w:pPr>
        <w:adjustRightInd w:val="0"/>
        <w:snapToGrid w:val="0"/>
        <w:spacing w:line="360" w:lineRule="auto"/>
        <w:ind w:firstLine="480"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响应文件编制部分：在招标文件中要求响应人按照响应文件格式进行响应文件编制，在响应文件编制时，应明确将投标单位企业基本情况、资质人员情况、财务情况、业绩情况编入响应文件，便于进行资格审查及评标打分。</w:t>
      </w:r>
    </w:p>
    <w:p w14:paraId="253B0359">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温馨提示：本项目为电子化、无纸化交易项目，开标时不再接受任何纸质资料，为保证您能投标成功，请需仔细阅读招标文件和三门峡市公共资源交易中心官网业务办理指南。</w:t>
      </w:r>
    </w:p>
    <w:p w14:paraId="1D72F7FD">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九、联系方式：</w:t>
      </w:r>
    </w:p>
    <w:p w14:paraId="121C384E">
      <w:pPr>
        <w:adjustRightInd w:val="0"/>
        <w:snapToGrid w:val="0"/>
        <w:spacing w:line="360" w:lineRule="auto"/>
        <w:ind w:firstLine="480"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1、采购人信息：</w:t>
      </w:r>
    </w:p>
    <w:p w14:paraId="7AE8054C">
      <w:pPr>
        <w:adjustRightInd w:val="0"/>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名称：</w:t>
      </w:r>
      <w:r>
        <w:rPr>
          <w:rFonts w:hint="eastAsia" w:asciiTheme="minorEastAsia" w:hAnsiTheme="minorEastAsia" w:eastAsiaTheme="minorEastAsia" w:cstheme="minorEastAsia"/>
          <w:color w:val="auto"/>
          <w:kern w:val="0"/>
          <w:sz w:val="24"/>
          <w:szCs w:val="24"/>
          <w:highlight w:val="none"/>
          <w:lang w:eastAsia="zh-CN"/>
        </w:rPr>
        <w:t>渑池县水利局</w:t>
      </w:r>
    </w:p>
    <w:p w14:paraId="100C386D">
      <w:pPr>
        <w:adjustRightInd w:val="0"/>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 xml:space="preserve">地址：渑池县会盟路1号 </w:t>
      </w:r>
    </w:p>
    <w:p w14:paraId="5F7F38E9">
      <w:pPr>
        <w:adjustRightInd w:val="0"/>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联系人：李先生</w:t>
      </w:r>
    </w:p>
    <w:p w14:paraId="1E3F9DAF">
      <w:pPr>
        <w:adjustRightInd w:val="0"/>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电话：18603981918</w:t>
      </w:r>
    </w:p>
    <w:p w14:paraId="04FD6A7D">
      <w:pPr>
        <w:adjustRightInd w:val="0"/>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2、采购代理机构：</w:t>
      </w:r>
      <w:r>
        <w:rPr>
          <w:rFonts w:hint="eastAsia" w:asciiTheme="minorEastAsia" w:hAnsiTheme="minorEastAsia" w:eastAsiaTheme="minorEastAsia" w:cstheme="minorEastAsia"/>
          <w:color w:val="auto"/>
          <w:kern w:val="0"/>
          <w:sz w:val="24"/>
          <w:szCs w:val="24"/>
          <w:highlight w:val="none"/>
          <w:lang w:eastAsia="zh-CN"/>
        </w:rPr>
        <w:t>河南省中塍建设管理有限公司</w:t>
      </w:r>
    </w:p>
    <w:p w14:paraId="4ECC83EC">
      <w:pPr>
        <w:adjustRightInd w:val="0"/>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地址：河南自贸试验区郑州片区（郑东）心怡路319号易元国际B座1623室</w:t>
      </w:r>
    </w:p>
    <w:p w14:paraId="524BF847">
      <w:pPr>
        <w:adjustRightInd w:val="0"/>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联系人：高先生</w:t>
      </w:r>
    </w:p>
    <w:p w14:paraId="2FD6F96E">
      <w:pPr>
        <w:adjustRightInd w:val="0"/>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联系电话：13253627962</w:t>
      </w:r>
    </w:p>
    <w:p w14:paraId="1801CFE9">
      <w:pPr>
        <w:adjustRightInd w:val="0"/>
        <w:snapToGrid w:val="0"/>
        <w:spacing w:line="360" w:lineRule="auto"/>
        <w:ind w:firstLine="480"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3、监督单位信息：</w:t>
      </w:r>
    </w:p>
    <w:p w14:paraId="5E80DD5C">
      <w:pPr>
        <w:adjustRightInd w:val="0"/>
        <w:snapToGrid w:val="0"/>
        <w:spacing w:line="360" w:lineRule="auto"/>
        <w:ind w:firstLine="480"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名称：渑池县政府采购办公室</w:t>
      </w:r>
    </w:p>
    <w:p w14:paraId="09684280">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联系方式：0398-4818677</w:t>
      </w:r>
    </w:p>
    <w:p w14:paraId="1B5DE604">
      <w:pPr>
        <w:rPr>
          <w:rFonts w:ascii="宋体" w:hAnsi="宋体"/>
          <w:b/>
          <w:bCs/>
          <w:color w:val="auto"/>
          <w:kern w:val="0"/>
          <w:sz w:val="44"/>
          <w:szCs w:val="44"/>
          <w:highlight w:val="none"/>
        </w:rPr>
      </w:pPr>
      <w:bookmarkStart w:id="3" w:name="_Toc18822"/>
      <w:r>
        <w:rPr>
          <w:rFonts w:hint="eastAsia" w:ascii="宋体" w:hAnsi="宋体"/>
          <w:b/>
          <w:bCs/>
          <w:color w:val="auto"/>
          <w:kern w:val="0"/>
          <w:sz w:val="44"/>
          <w:szCs w:val="44"/>
          <w:highlight w:val="none"/>
        </w:rPr>
        <w:br w:type="page"/>
      </w:r>
    </w:p>
    <w:p w14:paraId="388C690E">
      <w:pPr>
        <w:widowControl/>
        <w:spacing w:line="620" w:lineRule="exact"/>
        <w:ind w:firstLine="2619"/>
        <w:outlineLvl w:val="0"/>
        <w:rPr>
          <w:rFonts w:ascii="宋体" w:hAnsi="宋体"/>
          <w:color w:val="auto"/>
          <w:szCs w:val="21"/>
          <w:highlight w:val="none"/>
        </w:rPr>
      </w:pPr>
      <w:bookmarkStart w:id="4" w:name="_Toc192493785"/>
      <w:r>
        <w:rPr>
          <w:rFonts w:hint="eastAsia" w:ascii="宋体" w:hAnsi="宋体"/>
          <w:b/>
          <w:bCs/>
          <w:color w:val="auto"/>
          <w:kern w:val="0"/>
          <w:sz w:val="32"/>
          <w:szCs w:val="32"/>
          <w:highlight w:val="none"/>
        </w:rPr>
        <w:t xml:space="preserve">第二章 </w:t>
      </w:r>
      <w:bookmarkStart w:id="5" w:name="投标供应商须知"/>
      <w:r>
        <w:rPr>
          <w:rFonts w:hint="eastAsia" w:ascii="宋体" w:hAnsi="宋体"/>
          <w:b/>
          <w:bCs/>
          <w:color w:val="auto"/>
          <w:kern w:val="0"/>
          <w:sz w:val="32"/>
          <w:szCs w:val="32"/>
          <w:highlight w:val="none"/>
        </w:rPr>
        <w:t>投标供应商须知</w:t>
      </w:r>
      <w:bookmarkEnd w:id="3"/>
      <w:bookmarkEnd w:id="4"/>
      <w:bookmarkEnd w:id="5"/>
    </w:p>
    <w:p w14:paraId="3051035F">
      <w:pPr>
        <w:widowControl/>
        <w:jc w:val="center"/>
        <w:rPr>
          <w:rFonts w:ascii="宋体" w:hAnsi="宋体"/>
          <w:color w:val="auto"/>
          <w:kern w:val="0"/>
          <w:sz w:val="28"/>
          <w:szCs w:val="28"/>
          <w:highlight w:val="none"/>
        </w:rPr>
      </w:pPr>
      <w:r>
        <w:rPr>
          <w:rFonts w:hint="eastAsia" w:ascii="宋体" w:hAnsi="宋体"/>
          <w:b/>
          <w:bCs/>
          <w:color w:val="auto"/>
          <w:kern w:val="0"/>
          <w:sz w:val="28"/>
          <w:szCs w:val="28"/>
          <w:highlight w:val="none"/>
        </w:rPr>
        <w:t>投标供应商须知前附表</w:t>
      </w:r>
    </w:p>
    <w:tbl>
      <w:tblPr>
        <w:tblStyle w:val="14"/>
        <w:tblW w:w="8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255"/>
        <w:gridCol w:w="6651"/>
      </w:tblGrid>
      <w:tr w14:paraId="4A6E9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913" w:type="dxa"/>
            <w:vAlign w:val="center"/>
          </w:tcPr>
          <w:p w14:paraId="1A4C1B8C">
            <w:pPr>
              <w:widowControl/>
              <w:spacing w:line="360" w:lineRule="auto"/>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条款号</w:t>
            </w:r>
          </w:p>
        </w:tc>
        <w:tc>
          <w:tcPr>
            <w:tcW w:w="1255" w:type="dxa"/>
            <w:vAlign w:val="center"/>
          </w:tcPr>
          <w:p w14:paraId="5134088E">
            <w:pPr>
              <w:widowControl/>
              <w:spacing w:line="360" w:lineRule="auto"/>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条款</w:t>
            </w:r>
          </w:p>
          <w:p w14:paraId="0237F35A">
            <w:pPr>
              <w:widowControl/>
              <w:spacing w:line="360" w:lineRule="auto"/>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名称</w:t>
            </w:r>
          </w:p>
        </w:tc>
        <w:tc>
          <w:tcPr>
            <w:tcW w:w="6651" w:type="dxa"/>
            <w:vAlign w:val="center"/>
          </w:tcPr>
          <w:p w14:paraId="6A725620">
            <w:pPr>
              <w:widowControl/>
              <w:spacing w:line="360" w:lineRule="auto"/>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编列内容</w:t>
            </w:r>
          </w:p>
        </w:tc>
      </w:tr>
      <w:tr w14:paraId="110CF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7" w:hRule="atLeast"/>
          <w:jc w:val="center"/>
        </w:trPr>
        <w:tc>
          <w:tcPr>
            <w:tcW w:w="913" w:type="dxa"/>
            <w:vAlign w:val="center"/>
          </w:tcPr>
          <w:p w14:paraId="7CE5B90F">
            <w:pPr>
              <w:widowControl/>
              <w:spacing w:line="360" w:lineRule="auto"/>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1.1</w:t>
            </w:r>
          </w:p>
        </w:tc>
        <w:tc>
          <w:tcPr>
            <w:tcW w:w="1255" w:type="dxa"/>
            <w:vAlign w:val="center"/>
          </w:tcPr>
          <w:p w14:paraId="68632BA2">
            <w:pPr>
              <w:widowControl/>
              <w:spacing w:line="360" w:lineRule="auto"/>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采购人</w:t>
            </w:r>
          </w:p>
        </w:tc>
        <w:tc>
          <w:tcPr>
            <w:tcW w:w="6651" w:type="dxa"/>
            <w:vAlign w:val="center"/>
          </w:tcPr>
          <w:p w14:paraId="6C0A342F">
            <w:pPr>
              <w:spacing w:line="360" w:lineRule="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采购人：</w:t>
            </w:r>
            <w:r>
              <w:rPr>
                <w:rFonts w:hint="eastAsia" w:asciiTheme="minorEastAsia" w:hAnsiTheme="minorEastAsia" w:eastAsiaTheme="minorEastAsia" w:cstheme="minorEastAsia"/>
                <w:color w:val="auto"/>
                <w:sz w:val="24"/>
                <w:szCs w:val="24"/>
                <w:highlight w:val="none"/>
                <w:lang w:eastAsia="zh-CN"/>
              </w:rPr>
              <w:t>渑池县水利局</w:t>
            </w:r>
          </w:p>
          <w:p w14:paraId="39F4C06D">
            <w:pPr>
              <w:spacing w:line="360" w:lineRule="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 xml:space="preserve">地址：渑池县会盟路1号 </w:t>
            </w:r>
          </w:p>
          <w:p w14:paraId="35151EAE">
            <w:pPr>
              <w:spacing w:line="360" w:lineRule="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联系人：李先生</w:t>
            </w:r>
          </w:p>
          <w:p w14:paraId="28F8EDDE">
            <w:pPr>
              <w:spacing w:line="360" w:lineRule="auto"/>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电话：18603981918</w:t>
            </w:r>
          </w:p>
        </w:tc>
      </w:tr>
      <w:tr w14:paraId="76CC5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4" w:hRule="atLeast"/>
          <w:jc w:val="center"/>
        </w:trPr>
        <w:tc>
          <w:tcPr>
            <w:tcW w:w="913" w:type="dxa"/>
            <w:vAlign w:val="center"/>
          </w:tcPr>
          <w:p w14:paraId="67CB3BB2">
            <w:pPr>
              <w:widowControl/>
              <w:spacing w:line="360" w:lineRule="auto"/>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1.2</w:t>
            </w:r>
          </w:p>
        </w:tc>
        <w:tc>
          <w:tcPr>
            <w:tcW w:w="1255" w:type="dxa"/>
            <w:vAlign w:val="center"/>
          </w:tcPr>
          <w:p w14:paraId="0E232925">
            <w:pPr>
              <w:widowControl/>
              <w:spacing w:line="360" w:lineRule="auto"/>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采购代理机构</w:t>
            </w:r>
          </w:p>
        </w:tc>
        <w:tc>
          <w:tcPr>
            <w:tcW w:w="6651" w:type="dxa"/>
            <w:vAlign w:val="center"/>
          </w:tcPr>
          <w:p w14:paraId="726AAE80">
            <w:pPr>
              <w:spacing w:line="360" w:lineRule="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采购代理机构：</w:t>
            </w:r>
            <w:r>
              <w:rPr>
                <w:rFonts w:hint="eastAsia" w:asciiTheme="minorEastAsia" w:hAnsiTheme="minorEastAsia" w:eastAsiaTheme="minorEastAsia" w:cstheme="minorEastAsia"/>
                <w:color w:val="auto"/>
                <w:sz w:val="24"/>
                <w:szCs w:val="24"/>
                <w:highlight w:val="none"/>
                <w:lang w:eastAsia="zh-CN"/>
              </w:rPr>
              <w:t>河南省中塍建设管理有限公司</w:t>
            </w:r>
          </w:p>
          <w:p w14:paraId="2639C791">
            <w:pPr>
              <w:spacing w:line="360" w:lineRule="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地址：河南自贸试验区郑州片区（郑东）心怡路319号易元国际B座1623室</w:t>
            </w:r>
          </w:p>
          <w:p w14:paraId="75E623EE">
            <w:pPr>
              <w:spacing w:line="360" w:lineRule="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联系人：高先生</w:t>
            </w:r>
          </w:p>
          <w:p w14:paraId="70C8B543">
            <w:pPr>
              <w:spacing w:line="360" w:lineRule="auto"/>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联系电话：13253627962</w:t>
            </w:r>
          </w:p>
        </w:tc>
      </w:tr>
      <w:tr w14:paraId="540AB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13" w:type="dxa"/>
            <w:vAlign w:val="center"/>
          </w:tcPr>
          <w:p w14:paraId="21AA2B8C">
            <w:pPr>
              <w:widowControl/>
              <w:spacing w:line="360" w:lineRule="auto"/>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1.3</w:t>
            </w:r>
          </w:p>
        </w:tc>
        <w:tc>
          <w:tcPr>
            <w:tcW w:w="1255" w:type="dxa"/>
            <w:vAlign w:val="center"/>
          </w:tcPr>
          <w:p w14:paraId="0C10E804">
            <w:pPr>
              <w:widowControl/>
              <w:spacing w:line="360" w:lineRule="auto"/>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项目名称</w:t>
            </w:r>
          </w:p>
        </w:tc>
        <w:tc>
          <w:tcPr>
            <w:tcW w:w="6651" w:type="dxa"/>
            <w:vAlign w:val="center"/>
          </w:tcPr>
          <w:p w14:paraId="1103E22A">
            <w:pPr>
              <w:widowControl/>
              <w:spacing w:line="360" w:lineRule="auto"/>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渑池县先进制造业开发区及绿色建材产业园供水项目检测服务项目</w:t>
            </w:r>
          </w:p>
        </w:tc>
      </w:tr>
      <w:tr w14:paraId="1B5D0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3" w:type="dxa"/>
            <w:vAlign w:val="center"/>
          </w:tcPr>
          <w:p w14:paraId="6C58D325">
            <w:pPr>
              <w:widowControl/>
              <w:spacing w:line="360" w:lineRule="auto"/>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1.4</w:t>
            </w:r>
          </w:p>
        </w:tc>
        <w:tc>
          <w:tcPr>
            <w:tcW w:w="1255" w:type="dxa"/>
            <w:vAlign w:val="center"/>
          </w:tcPr>
          <w:p w14:paraId="624AACF2">
            <w:pPr>
              <w:spacing w:line="360" w:lineRule="auto"/>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预算金额</w:t>
            </w:r>
          </w:p>
        </w:tc>
        <w:tc>
          <w:tcPr>
            <w:tcW w:w="6651" w:type="dxa"/>
            <w:vAlign w:val="center"/>
          </w:tcPr>
          <w:p w14:paraId="384B0768">
            <w:pPr>
              <w:widowControl/>
              <w:spacing w:line="360" w:lineRule="auto"/>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约136万元（以工程竣工审计结算金额*0.8%为招标控制价）</w:t>
            </w:r>
            <w:r>
              <w:rPr>
                <w:rFonts w:hint="eastAsia" w:asciiTheme="minorEastAsia" w:hAnsiTheme="minorEastAsia" w:eastAsiaTheme="minorEastAsia" w:cstheme="minorEastAsia"/>
                <w:color w:val="auto"/>
                <w:kern w:val="0"/>
                <w:sz w:val="24"/>
                <w:szCs w:val="24"/>
                <w:highlight w:val="none"/>
              </w:rPr>
              <w:t>投标供应商投标报价超出“预算金额”的，该投标供应商的投标按无效处理。</w:t>
            </w:r>
          </w:p>
        </w:tc>
      </w:tr>
      <w:tr w14:paraId="25DBF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913" w:type="dxa"/>
            <w:vAlign w:val="center"/>
          </w:tcPr>
          <w:p w14:paraId="6F0879E2">
            <w:pPr>
              <w:widowControl/>
              <w:spacing w:line="360" w:lineRule="auto"/>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1.5</w:t>
            </w:r>
          </w:p>
        </w:tc>
        <w:tc>
          <w:tcPr>
            <w:tcW w:w="1255" w:type="dxa"/>
            <w:vAlign w:val="center"/>
          </w:tcPr>
          <w:p w14:paraId="1E83AE1A">
            <w:pPr>
              <w:widowControl/>
              <w:spacing w:line="360" w:lineRule="auto"/>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资金来源</w:t>
            </w:r>
          </w:p>
        </w:tc>
        <w:tc>
          <w:tcPr>
            <w:tcW w:w="6651" w:type="dxa"/>
            <w:vAlign w:val="center"/>
          </w:tcPr>
          <w:p w14:paraId="678579C4">
            <w:pPr>
              <w:widowControl/>
              <w:spacing w:line="360" w:lineRule="auto"/>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财政资金，已落实</w:t>
            </w:r>
          </w:p>
        </w:tc>
      </w:tr>
      <w:tr w14:paraId="6322D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jc w:val="center"/>
        </w:trPr>
        <w:tc>
          <w:tcPr>
            <w:tcW w:w="913" w:type="dxa"/>
            <w:vAlign w:val="center"/>
          </w:tcPr>
          <w:p w14:paraId="65C9F623">
            <w:pPr>
              <w:widowControl/>
              <w:spacing w:line="360" w:lineRule="auto"/>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1.6</w:t>
            </w:r>
          </w:p>
        </w:tc>
        <w:tc>
          <w:tcPr>
            <w:tcW w:w="1255" w:type="dxa"/>
            <w:vAlign w:val="center"/>
          </w:tcPr>
          <w:p w14:paraId="24302A49">
            <w:pPr>
              <w:widowControl/>
              <w:spacing w:line="360" w:lineRule="auto"/>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服务内容</w:t>
            </w:r>
          </w:p>
        </w:tc>
        <w:tc>
          <w:tcPr>
            <w:tcW w:w="6651" w:type="dxa"/>
            <w:vAlign w:val="center"/>
          </w:tcPr>
          <w:p w14:paraId="69A578B4">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主要服务内容包括外观质量检测、实体质量检测、中间产品及工序检测及业主委托的其他内容，并出具相应的质量检测报告</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sz w:val="24"/>
                <w:szCs w:val="24"/>
                <w:highlight w:val="none"/>
              </w:rPr>
              <w:t>（具体详见招标文件第五章）</w:t>
            </w:r>
          </w:p>
        </w:tc>
      </w:tr>
      <w:tr w14:paraId="69271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913" w:type="dxa"/>
            <w:vAlign w:val="center"/>
          </w:tcPr>
          <w:p w14:paraId="11D28C70">
            <w:pPr>
              <w:widowControl/>
              <w:spacing w:line="360" w:lineRule="auto"/>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1.7</w:t>
            </w:r>
          </w:p>
        </w:tc>
        <w:tc>
          <w:tcPr>
            <w:tcW w:w="1255" w:type="dxa"/>
            <w:vAlign w:val="center"/>
          </w:tcPr>
          <w:p w14:paraId="3263C1B0">
            <w:pPr>
              <w:widowControl/>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服务期限</w:t>
            </w:r>
          </w:p>
        </w:tc>
        <w:tc>
          <w:tcPr>
            <w:tcW w:w="6651" w:type="dxa"/>
            <w:vAlign w:val="center"/>
          </w:tcPr>
          <w:p w14:paraId="751242E7">
            <w:pPr>
              <w:widowControl/>
              <w:spacing w:line="360" w:lineRule="auto"/>
              <w:jc w:val="left"/>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服务至工程竣工</w:t>
            </w:r>
          </w:p>
        </w:tc>
      </w:tr>
      <w:tr w14:paraId="1EA6D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913" w:type="dxa"/>
            <w:vAlign w:val="center"/>
          </w:tcPr>
          <w:p w14:paraId="0DB65421">
            <w:pPr>
              <w:widowControl/>
              <w:spacing w:line="360" w:lineRule="auto"/>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1.8</w:t>
            </w:r>
          </w:p>
        </w:tc>
        <w:tc>
          <w:tcPr>
            <w:tcW w:w="1255" w:type="dxa"/>
            <w:vAlign w:val="center"/>
          </w:tcPr>
          <w:p w14:paraId="73F002C6">
            <w:pPr>
              <w:widowControl/>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项目地点</w:t>
            </w:r>
          </w:p>
        </w:tc>
        <w:tc>
          <w:tcPr>
            <w:tcW w:w="6651" w:type="dxa"/>
            <w:vAlign w:val="center"/>
          </w:tcPr>
          <w:p w14:paraId="7AAFDC6E">
            <w:pPr>
              <w:widowControl/>
              <w:spacing w:line="360" w:lineRule="auto"/>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渑池县</w:t>
            </w:r>
          </w:p>
        </w:tc>
      </w:tr>
      <w:tr w14:paraId="6F7E4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913" w:type="dxa"/>
            <w:vAlign w:val="center"/>
          </w:tcPr>
          <w:p w14:paraId="79D74656">
            <w:pPr>
              <w:widowControl/>
              <w:spacing w:line="360" w:lineRule="auto"/>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1.9</w:t>
            </w:r>
          </w:p>
        </w:tc>
        <w:tc>
          <w:tcPr>
            <w:tcW w:w="1255" w:type="dxa"/>
            <w:vAlign w:val="center"/>
          </w:tcPr>
          <w:p w14:paraId="39007C7E">
            <w:pPr>
              <w:widowControl/>
              <w:spacing w:line="360" w:lineRule="auto"/>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服务要求</w:t>
            </w:r>
          </w:p>
        </w:tc>
        <w:tc>
          <w:tcPr>
            <w:tcW w:w="6651" w:type="dxa"/>
            <w:vAlign w:val="center"/>
          </w:tcPr>
          <w:p w14:paraId="2B2F5662">
            <w:pPr>
              <w:widowControl/>
              <w:spacing w:line="360" w:lineRule="auto"/>
              <w:jc w:val="left"/>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符合国家</w:t>
            </w:r>
            <w:r>
              <w:rPr>
                <w:rFonts w:hint="eastAsia" w:asciiTheme="minorEastAsia" w:hAnsiTheme="minorEastAsia" w:eastAsiaTheme="minorEastAsia" w:cstheme="minorEastAsia"/>
                <w:color w:val="auto"/>
                <w:sz w:val="24"/>
                <w:szCs w:val="24"/>
                <w:highlight w:val="none"/>
                <w:lang w:val="en-US" w:eastAsia="zh-CN"/>
              </w:rPr>
              <w:t>及行业</w:t>
            </w:r>
            <w:r>
              <w:rPr>
                <w:rFonts w:hint="eastAsia" w:asciiTheme="minorEastAsia" w:hAnsiTheme="minorEastAsia" w:eastAsiaTheme="minorEastAsia" w:cstheme="minorEastAsia"/>
                <w:color w:val="auto"/>
                <w:sz w:val="24"/>
                <w:szCs w:val="24"/>
                <w:highlight w:val="none"/>
                <w:lang w:eastAsia="zh-CN"/>
              </w:rPr>
              <w:t>相关规范标准</w:t>
            </w:r>
          </w:p>
        </w:tc>
      </w:tr>
      <w:tr w14:paraId="079CF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913" w:type="dxa"/>
            <w:vAlign w:val="center"/>
          </w:tcPr>
          <w:p w14:paraId="66BD26C8">
            <w:pPr>
              <w:widowControl/>
              <w:spacing w:line="360" w:lineRule="auto"/>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1.10</w:t>
            </w:r>
          </w:p>
        </w:tc>
        <w:tc>
          <w:tcPr>
            <w:tcW w:w="1255" w:type="dxa"/>
            <w:vAlign w:val="center"/>
          </w:tcPr>
          <w:p w14:paraId="3CDEF2D6">
            <w:pPr>
              <w:widowControl/>
              <w:spacing w:line="360" w:lineRule="auto"/>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标段划分</w:t>
            </w:r>
          </w:p>
        </w:tc>
        <w:tc>
          <w:tcPr>
            <w:tcW w:w="6651" w:type="dxa"/>
            <w:vAlign w:val="center"/>
          </w:tcPr>
          <w:p w14:paraId="4F7B8611">
            <w:pPr>
              <w:widowControl/>
              <w:spacing w:line="360" w:lineRule="auto"/>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共1个标段</w:t>
            </w:r>
          </w:p>
        </w:tc>
      </w:tr>
      <w:tr w14:paraId="6A3F7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913" w:type="dxa"/>
            <w:vAlign w:val="center"/>
          </w:tcPr>
          <w:p w14:paraId="4A46CAC7">
            <w:pPr>
              <w:widowControl/>
              <w:spacing w:line="360" w:lineRule="auto"/>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1.11</w:t>
            </w:r>
          </w:p>
        </w:tc>
        <w:tc>
          <w:tcPr>
            <w:tcW w:w="1255" w:type="dxa"/>
            <w:vAlign w:val="center"/>
          </w:tcPr>
          <w:p w14:paraId="00C78B98">
            <w:pPr>
              <w:widowControl/>
              <w:spacing w:line="360" w:lineRule="auto"/>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采购项目需要落实的政府采购政策</w:t>
            </w:r>
          </w:p>
        </w:tc>
        <w:tc>
          <w:tcPr>
            <w:tcW w:w="6651" w:type="dxa"/>
            <w:vAlign w:val="center"/>
          </w:tcPr>
          <w:p w14:paraId="01BB959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asciiTheme="minorEastAsia" w:hAnsiTheme="minorEastAsia" w:eastAsiaTheme="minorEastAsia" w:cstheme="minorEastAsia"/>
                <w:color w:val="auto"/>
                <w:kern w:val="0"/>
                <w:sz w:val="24"/>
                <w:szCs w:val="24"/>
                <w:highlight w:val="none"/>
              </w:rPr>
            </w:pPr>
            <w:r>
              <w:rPr>
                <w:rFonts w:hint="eastAsia" w:ascii="宋体" w:hAnsi="宋体" w:cs="宋体"/>
                <w:color w:val="auto"/>
                <w:kern w:val="0"/>
                <w:sz w:val="24"/>
                <w:szCs w:val="24"/>
                <w:highlight w:val="none"/>
                <w:lang w:eastAsia="zh-CN"/>
              </w:rPr>
              <w:t>根据《政府采购促进中小企业发展管理办法》（财库〔2020〕46号）规定，本项目专门面向中小企业采购,同时供应商须提供《中小企业声明函》；</w:t>
            </w:r>
          </w:p>
        </w:tc>
      </w:tr>
      <w:tr w14:paraId="5B248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jc w:val="center"/>
        </w:trPr>
        <w:tc>
          <w:tcPr>
            <w:tcW w:w="913" w:type="dxa"/>
            <w:vAlign w:val="center"/>
          </w:tcPr>
          <w:p w14:paraId="3CDA9E75">
            <w:pPr>
              <w:widowControl/>
              <w:spacing w:line="360" w:lineRule="auto"/>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2.0</w:t>
            </w:r>
          </w:p>
        </w:tc>
        <w:tc>
          <w:tcPr>
            <w:tcW w:w="1255" w:type="dxa"/>
            <w:vAlign w:val="center"/>
          </w:tcPr>
          <w:p w14:paraId="41AB076A">
            <w:pPr>
              <w:widowControl/>
              <w:spacing w:line="360" w:lineRule="auto"/>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投标供应商资格要求</w:t>
            </w:r>
          </w:p>
        </w:tc>
        <w:tc>
          <w:tcPr>
            <w:tcW w:w="6651" w:type="dxa"/>
            <w:vAlign w:val="center"/>
          </w:tcPr>
          <w:p w14:paraId="3390D4F0">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1、满足《中华人民共和国政府采购法》第二十二条规定；</w:t>
            </w:r>
          </w:p>
          <w:p w14:paraId="3D665BBE">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2、落实政府采购政策满足的资格要求：</w:t>
            </w:r>
          </w:p>
          <w:p w14:paraId="537485C8">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根据《政府采购促进中小企业发展管理办法》（财库〔2020〕46号）规定，本项目专门面向中小企业采购,同时供应商须提供《中小企业声明函》</w:t>
            </w:r>
            <w:r>
              <w:rPr>
                <w:rFonts w:hint="eastAsia" w:asciiTheme="minorEastAsia" w:hAnsiTheme="minorEastAsia" w:eastAsiaTheme="minorEastAsia" w:cstheme="minorEastAsia"/>
                <w:color w:val="auto"/>
                <w:sz w:val="24"/>
                <w:szCs w:val="24"/>
                <w:highlight w:val="none"/>
              </w:rPr>
              <w:t>；</w:t>
            </w:r>
          </w:p>
          <w:p w14:paraId="69FBC33C">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3、本项目的特定资格要求</w:t>
            </w:r>
          </w:p>
          <w:p w14:paraId="0C8F2D61">
            <w:pPr>
              <w:spacing w:line="360" w:lineRule="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1</w:t>
            </w:r>
            <w:r>
              <w:rPr>
                <w:rFonts w:hint="eastAsia" w:asciiTheme="minorEastAsia" w:hAnsiTheme="minorEastAsia" w:eastAsiaTheme="minorEastAsia" w:cstheme="minorEastAsia"/>
                <w:color w:val="auto"/>
                <w:sz w:val="24"/>
                <w:szCs w:val="24"/>
                <w:highlight w:val="none"/>
                <w:lang w:val="en-US" w:eastAsia="zh-CN"/>
              </w:rPr>
              <w:t>供应商具有有效的营业执照</w:t>
            </w:r>
            <w:r>
              <w:rPr>
                <w:rFonts w:hint="eastAsia" w:asciiTheme="minorEastAsia" w:hAnsiTheme="minorEastAsia" w:eastAsiaTheme="minorEastAsia" w:cstheme="minorEastAsia"/>
                <w:color w:val="auto"/>
                <w:sz w:val="24"/>
                <w:szCs w:val="24"/>
                <w:highlight w:val="none"/>
                <w:lang w:eastAsia="zh-CN"/>
              </w:rPr>
              <w:t>；</w:t>
            </w:r>
          </w:p>
          <w:p w14:paraId="7EA5B48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3.2</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lang w:val="en-US" w:eastAsia="zh-CN"/>
              </w:rPr>
              <w:t>具有</w:t>
            </w:r>
            <w:r>
              <w:rPr>
                <w:rFonts w:hint="eastAsia" w:ascii="宋体" w:hAnsi="宋体" w:cs="宋体"/>
                <w:color w:val="auto"/>
                <w:kern w:val="0"/>
                <w:sz w:val="24"/>
                <w:szCs w:val="24"/>
                <w:highlight w:val="none"/>
                <w:lang w:eastAsia="zh-CN"/>
              </w:rPr>
              <w:t>主管部门颁发</w:t>
            </w:r>
            <w:r>
              <w:rPr>
                <w:rFonts w:hint="eastAsia" w:ascii="宋体" w:hAnsi="宋体" w:cs="宋体"/>
                <w:color w:val="auto"/>
                <w:kern w:val="0"/>
                <w:sz w:val="24"/>
                <w:szCs w:val="24"/>
                <w:highlight w:val="none"/>
                <w:lang w:val="en-US" w:eastAsia="zh-CN"/>
              </w:rPr>
              <w:t>建设工程质量检测机构资质证书</w:t>
            </w:r>
            <w:r>
              <w:rPr>
                <w:rFonts w:hint="eastAsia" w:ascii="宋体" w:hAnsi="宋体" w:cs="宋体"/>
                <w:color w:val="auto"/>
                <w:kern w:val="0"/>
                <w:sz w:val="24"/>
                <w:szCs w:val="24"/>
                <w:highlight w:val="none"/>
                <w:lang w:eastAsia="zh-CN"/>
              </w:rPr>
              <w:t>和市场监督管理局颁发的检验检测机构资质认定证书（CMA）；拟派项目负责人应具备相关专业中级及以上职称；</w:t>
            </w:r>
          </w:p>
          <w:p w14:paraId="66E3473E">
            <w:pPr>
              <w:spacing w:line="360" w:lineRule="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3.3供应商</w:t>
            </w:r>
            <w:r>
              <w:rPr>
                <w:rFonts w:hint="eastAsia" w:asciiTheme="minorEastAsia" w:hAnsiTheme="minorEastAsia" w:eastAsiaTheme="minorEastAsia" w:cstheme="minorEastAsia"/>
                <w:color w:val="auto"/>
                <w:sz w:val="24"/>
                <w:szCs w:val="24"/>
                <w:highlight w:val="none"/>
                <w:lang w:eastAsia="zh-CN"/>
              </w:rPr>
              <w:t>自行出具本单位无商业贿赂及无不正当竞争行为的承诺书；</w:t>
            </w:r>
          </w:p>
          <w:p w14:paraId="71F84349">
            <w:pP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3.4未列入“中国执行信息公开网”http://zxgk.court.gov.cn/shixin网站的“失信被执行人”名单、“信用中国”www.creditchina.gov.cn网站的“重大税收违法失信主体”及“中国政府采购网”www.ccgp.gov.cn网站的“政府采购严重违法失信行为记录名单”；（提供“中国执行信息公开网”、“信用中国”和“中国政府采购网”网站的查询信息截图，加盖单位公章，截图需显示查询时间，查询时间：自公告发布之日起至投标截止时间前）；</w:t>
            </w:r>
          </w:p>
          <w:p w14:paraId="648E92CA">
            <w:pP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3.5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止））；</w:t>
            </w:r>
          </w:p>
          <w:p w14:paraId="50D5D43F">
            <w:pP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3.6本项目不接受联合体投标，提供非联合体投标承诺，格式自拟。</w:t>
            </w:r>
          </w:p>
          <w:p w14:paraId="057342F9">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注：本项目实行资格后审，资格审查的具体要求见招标文件。</w:t>
            </w:r>
          </w:p>
        </w:tc>
      </w:tr>
      <w:tr w14:paraId="64033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913" w:type="dxa"/>
            <w:vAlign w:val="center"/>
          </w:tcPr>
          <w:p w14:paraId="486168E1">
            <w:pPr>
              <w:widowControl/>
              <w:spacing w:line="360" w:lineRule="auto"/>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2.1</w:t>
            </w:r>
          </w:p>
        </w:tc>
        <w:tc>
          <w:tcPr>
            <w:tcW w:w="1255" w:type="dxa"/>
            <w:vAlign w:val="center"/>
          </w:tcPr>
          <w:p w14:paraId="2D192CF7">
            <w:pPr>
              <w:widowControl/>
              <w:spacing w:line="360" w:lineRule="auto"/>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投标供应商提出问题的截止时间</w:t>
            </w:r>
          </w:p>
        </w:tc>
        <w:tc>
          <w:tcPr>
            <w:tcW w:w="6651" w:type="dxa"/>
            <w:vAlign w:val="center"/>
          </w:tcPr>
          <w:p w14:paraId="35F26466">
            <w:pPr>
              <w:widowControl/>
              <w:spacing w:line="360" w:lineRule="auto"/>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投标截止时间10日前</w:t>
            </w:r>
          </w:p>
        </w:tc>
      </w:tr>
      <w:tr w14:paraId="3F214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913" w:type="dxa"/>
            <w:vAlign w:val="center"/>
          </w:tcPr>
          <w:p w14:paraId="107203BC">
            <w:pPr>
              <w:widowControl/>
              <w:spacing w:line="360" w:lineRule="auto"/>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2.2</w:t>
            </w:r>
          </w:p>
        </w:tc>
        <w:tc>
          <w:tcPr>
            <w:tcW w:w="1255" w:type="dxa"/>
            <w:vAlign w:val="center"/>
          </w:tcPr>
          <w:p w14:paraId="0E70B276">
            <w:pPr>
              <w:widowControl/>
              <w:spacing w:line="360" w:lineRule="auto"/>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采购人澄清的时间</w:t>
            </w:r>
          </w:p>
        </w:tc>
        <w:tc>
          <w:tcPr>
            <w:tcW w:w="6651" w:type="dxa"/>
            <w:vAlign w:val="center"/>
          </w:tcPr>
          <w:p w14:paraId="4C600BB0">
            <w:pPr>
              <w:widowControl/>
              <w:spacing w:line="360" w:lineRule="auto"/>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投标截止时间15日前</w:t>
            </w:r>
          </w:p>
        </w:tc>
      </w:tr>
      <w:tr w14:paraId="0F07E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913" w:type="dxa"/>
            <w:vAlign w:val="center"/>
          </w:tcPr>
          <w:p w14:paraId="71158404">
            <w:pPr>
              <w:widowControl/>
              <w:spacing w:line="360" w:lineRule="auto"/>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2.3</w:t>
            </w:r>
          </w:p>
        </w:tc>
        <w:tc>
          <w:tcPr>
            <w:tcW w:w="1255" w:type="dxa"/>
            <w:vAlign w:val="center"/>
          </w:tcPr>
          <w:p w14:paraId="4E86BC3F">
            <w:pPr>
              <w:widowControl/>
              <w:spacing w:line="360" w:lineRule="auto"/>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偏离</w:t>
            </w:r>
          </w:p>
        </w:tc>
        <w:tc>
          <w:tcPr>
            <w:tcW w:w="6651" w:type="dxa"/>
            <w:vAlign w:val="center"/>
          </w:tcPr>
          <w:p w14:paraId="3577A80B">
            <w:pPr>
              <w:widowControl/>
              <w:spacing w:line="360" w:lineRule="auto"/>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不允许偏离</w:t>
            </w:r>
          </w:p>
        </w:tc>
      </w:tr>
      <w:tr w14:paraId="46E47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913" w:type="dxa"/>
            <w:vAlign w:val="center"/>
          </w:tcPr>
          <w:p w14:paraId="488ADCDD">
            <w:pPr>
              <w:widowControl/>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2.4</w:t>
            </w:r>
          </w:p>
        </w:tc>
        <w:tc>
          <w:tcPr>
            <w:tcW w:w="1255" w:type="dxa"/>
            <w:vAlign w:val="center"/>
          </w:tcPr>
          <w:p w14:paraId="0DD76C41">
            <w:pPr>
              <w:widowControl/>
              <w:spacing w:line="360" w:lineRule="auto"/>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投标截止时间</w:t>
            </w:r>
          </w:p>
        </w:tc>
        <w:tc>
          <w:tcPr>
            <w:tcW w:w="6651" w:type="dxa"/>
            <w:vAlign w:val="center"/>
          </w:tcPr>
          <w:p w14:paraId="7A550B35">
            <w:pPr>
              <w:widowControl/>
              <w:spacing w:line="360" w:lineRule="auto"/>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2025年</w:t>
            </w:r>
            <w:r>
              <w:rPr>
                <w:rFonts w:hint="eastAsia" w:asciiTheme="minorEastAsia" w:hAnsiTheme="minorEastAsia" w:eastAsiaTheme="minorEastAsia" w:cstheme="minorEastAsia"/>
                <w:color w:val="auto"/>
                <w:kern w:val="0"/>
                <w:sz w:val="24"/>
                <w:szCs w:val="24"/>
                <w:highlight w:val="none"/>
                <w:lang w:val="en-US" w:eastAsia="zh-CN"/>
              </w:rPr>
              <w:t>6</w:t>
            </w:r>
            <w:r>
              <w:rPr>
                <w:rFonts w:hint="eastAsia" w:asciiTheme="minorEastAsia" w:hAnsiTheme="minorEastAsia" w:eastAsiaTheme="minorEastAsia" w:cstheme="minorEastAsia"/>
                <w:color w:val="auto"/>
                <w:kern w:val="0"/>
                <w:sz w:val="24"/>
                <w:szCs w:val="24"/>
                <w:highlight w:val="none"/>
              </w:rPr>
              <w:t>月</w:t>
            </w:r>
            <w:r>
              <w:rPr>
                <w:rFonts w:hint="eastAsia" w:asciiTheme="minorEastAsia" w:hAnsiTheme="minorEastAsia" w:eastAsiaTheme="minorEastAsia" w:cstheme="minorEastAsia"/>
                <w:color w:val="auto"/>
                <w:kern w:val="0"/>
                <w:sz w:val="24"/>
                <w:szCs w:val="24"/>
                <w:highlight w:val="none"/>
                <w:lang w:val="en-US" w:eastAsia="zh-CN"/>
              </w:rPr>
              <w:t>4</w:t>
            </w:r>
            <w:r>
              <w:rPr>
                <w:rFonts w:hint="eastAsia" w:asciiTheme="minorEastAsia" w:hAnsiTheme="minorEastAsia" w:eastAsiaTheme="minorEastAsia" w:cstheme="minorEastAsia"/>
                <w:color w:val="auto"/>
                <w:kern w:val="0"/>
                <w:sz w:val="24"/>
                <w:szCs w:val="24"/>
                <w:highlight w:val="none"/>
              </w:rPr>
              <w:t>日08时20分</w:t>
            </w:r>
          </w:p>
        </w:tc>
      </w:tr>
      <w:tr w14:paraId="6EAC6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913" w:type="dxa"/>
            <w:vAlign w:val="center"/>
          </w:tcPr>
          <w:p w14:paraId="0396F1E2">
            <w:pPr>
              <w:widowControl/>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w:t>
            </w:r>
          </w:p>
        </w:tc>
        <w:tc>
          <w:tcPr>
            <w:tcW w:w="1255" w:type="dxa"/>
            <w:vAlign w:val="center"/>
          </w:tcPr>
          <w:p w14:paraId="06A11AC2">
            <w:pPr>
              <w:widowControl/>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投标有效期</w:t>
            </w:r>
          </w:p>
        </w:tc>
        <w:tc>
          <w:tcPr>
            <w:tcW w:w="6651" w:type="dxa"/>
            <w:vAlign w:val="center"/>
          </w:tcPr>
          <w:p w14:paraId="5465FA60">
            <w:pPr>
              <w:widowControl/>
              <w:spacing w:line="360" w:lineRule="auto"/>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60日历天（自投标截止之日起）</w:t>
            </w:r>
          </w:p>
        </w:tc>
      </w:tr>
      <w:tr w14:paraId="5941E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913" w:type="dxa"/>
            <w:vAlign w:val="center"/>
          </w:tcPr>
          <w:p w14:paraId="6A9607A9">
            <w:pPr>
              <w:widowControl/>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2.6</w:t>
            </w:r>
          </w:p>
        </w:tc>
        <w:tc>
          <w:tcPr>
            <w:tcW w:w="1255" w:type="dxa"/>
            <w:vAlign w:val="center"/>
          </w:tcPr>
          <w:p w14:paraId="7E633330">
            <w:pPr>
              <w:widowControl/>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投标保证金</w:t>
            </w:r>
          </w:p>
        </w:tc>
        <w:tc>
          <w:tcPr>
            <w:tcW w:w="6651" w:type="dxa"/>
          </w:tcPr>
          <w:p w14:paraId="0BAB9F02">
            <w:pPr>
              <w:widowControl/>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按照《河南省财政厅关于优化政府采购营商环境有关问题的通知》（豫财购[2019]4号文）的要求本项目不再收取投标保证金</w:t>
            </w:r>
            <w:r>
              <w:rPr>
                <w:rFonts w:hint="eastAsia" w:asciiTheme="minorEastAsia" w:hAnsiTheme="minorEastAsia" w:eastAsiaTheme="minorEastAsia" w:cstheme="minorEastAsia"/>
                <w:bCs/>
                <w:color w:val="auto"/>
                <w:sz w:val="24"/>
                <w:szCs w:val="24"/>
                <w:highlight w:val="none"/>
              </w:rPr>
              <w:t>，投标供应商须提供投标承诺函（详见招标文件 第六章“投标文件格式”）</w:t>
            </w:r>
          </w:p>
        </w:tc>
      </w:tr>
      <w:tr w14:paraId="04D00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913" w:type="dxa"/>
            <w:vAlign w:val="center"/>
          </w:tcPr>
          <w:p w14:paraId="797D4BD3">
            <w:pPr>
              <w:widowControl/>
              <w:spacing w:line="360" w:lineRule="auto"/>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2.7</w:t>
            </w:r>
          </w:p>
        </w:tc>
        <w:tc>
          <w:tcPr>
            <w:tcW w:w="1255" w:type="dxa"/>
            <w:vAlign w:val="center"/>
          </w:tcPr>
          <w:p w14:paraId="6270558C">
            <w:pPr>
              <w:widowControl/>
              <w:spacing w:line="360" w:lineRule="auto"/>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递交投标文件地点</w:t>
            </w:r>
          </w:p>
        </w:tc>
        <w:tc>
          <w:tcPr>
            <w:tcW w:w="6651" w:type="dxa"/>
            <w:vAlign w:val="center"/>
          </w:tcPr>
          <w:p w14:paraId="11FF7E11">
            <w:pPr>
              <w:widowControl/>
              <w:spacing w:line="360" w:lineRule="auto"/>
              <w:jc w:val="left"/>
              <w:rPr>
                <w:rFonts w:asciiTheme="minorEastAsia" w:hAnsiTheme="minorEastAsia" w:eastAsiaTheme="minorEastAsia" w:cstheme="minorEastAsia"/>
                <w:color w:val="auto"/>
                <w:kern w:val="0"/>
                <w:sz w:val="24"/>
                <w:szCs w:val="24"/>
                <w:highlight w:val="none"/>
                <w:shd w:val="clear" w:color="auto" w:fill="FFFFFF"/>
              </w:rPr>
            </w:pPr>
            <w:r>
              <w:rPr>
                <w:rFonts w:hint="eastAsia" w:asciiTheme="minorEastAsia" w:hAnsiTheme="minorEastAsia" w:eastAsiaTheme="minorEastAsia" w:cstheme="minorEastAsia"/>
                <w:color w:val="auto"/>
                <w:kern w:val="0"/>
                <w:sz w:val="24"/>
                <w:szCs w:val="24"/>
                <w:highlight w:val="none"/>
                <w:shd w:val="clear" w:color="auto" w:fill="FFFFFF"/>
              </w:rPr>
              <w:t>1、电子投标文件的电子版用企业和法人CA数字证书在开标截止时间前上传至“三门峡市公共资源交易中心网站”</w:t>
            </w:r>
          </w:p>
        </w:tc>
      </w:tr>
      <w:tr w14:paraId="5E2B4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913" w:type="dxa"/>
            <w:vAlign w:val="center"/>
          </w:tcPr>
          <w:p w14:paraId="3810326A">
            <w:pPr>
              <w:widowControl/>
              <w:spacing w:line="360" w:lineRule="auto"/>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2.8</w:t>
            </w:r>
          </w:p>
        </w:tc>
        <w:tc>
          <w:tcPr>
            <w:tcW w:w="1255" w:type="dxa"/>
            <w:vAlign w:val="center"/>
          </w:tcPr>
          <w:p w14:paraId="752C703F">
            <w:pPr>
              <w:widowControl/>
              <w:spacing w:line="360" w:lineRule="auto"/>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投标报价及费用</w:t>
            </w:r>
          </w:p>
        </w:tc>
        <w:tc>
          <w:tcPr>
            <w:tcW w:w="6651" w:type="dxa"/>
            <w:vAlign w:val="center"/>
          </w:tcPr>
          <w:p w14:paraId="6AA3C9BC">
            <w:pPr>
              <w:widowControl/>
              <w:spacing w:line="360" w:lineRule="auto"/>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投标报价：</w:t>
            </w:r>
          </w:p>
          <w:p w14:paraId="215A8A16">
            <w:pPr>
              <w:widowControl/>
              <w:spacing w:line="360" w:lineRule="auto"/>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1）投标报价应完全包括招标文件规定的服务范围，不得任意分割或合并所规定的分项；</w:t>
            </w:r>
          </w:p>
          <w:p w14:paraId="5BA1624F">
            <w:pPr>
              <w:widowControl/>
              <w:spacing w:line="360" w:lineRule="auto"/>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2）投标供应商对每项服务只允许有一个报价，采购人和采购代理机构不接受有任何选择报价的投标。（注：单价的合计须等于各项价格之和，本项目不允许提交备选方案）；</w:t>
            </w:r>
          </w:p>
          <w:p w14:paraId="2354BF71">
            <w:pPr>
              <w:widowControl/>
              <w:spacing w:line="360" w:lineRule="auto"/>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3）投标供应商不得以任何理由在开标后对投标报价予以修改，报价在投标有效期内是固定的，不因任何原因而改变。任何包含价格调整要求和条件的投标，将被视为非实质性响应投标而予以拒绝；</w:t>
            </w:r>
          </w:p>
          <w:p w14:paraId="17893980">
            <w:pPr>
              <w:widowControl/>
              <w:spacing w:line="360" w:lineRule="auto"/>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4）本项目应以人民币报价；</w:t>
            </w:r>
          </w:p>
        </w:tc>
      </w:tr>
      <w:tr w14:paraId="5BEEF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13" w:type="dxa"/>
            <w:vAlign w:val="center"/>
          </w:tcPr>
          <w:p w14:paraId="0129E822">
            <w:pPr>
              <w:widowControl/>
              <w:spacing w:line="360" w:lineRule="auto"/>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2.9</w:t>
            </w:r>
          </w:p>
        </w:tc>
        <w:tc>
          <w:tcPr>
            <w:tcW w:w="1255" w:type="dxa"/>
            <w:vAlign w:val="center"/>
          </w:tcPr>
          <w:p w14:paraId="2AB8353C">
            <w:pPr>
              <w:widowControl/>
              <w:spacing w:line="360" w:lineRule="auto"/>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开标时间和地点</w:t>
            </w:r>
          </w:p>
        </w:tc>
        <w:tc>
          <w:tcPr>
            <w:tcW w:w="6651" w:type="dxa"/>
            <w:vAlign w:val="center"/>
          </w:tcPr>
          <w:p w14:paraId="2A60D2F6">
            <w:pPr>
              <w:widowControl/>
              <w:spacing w:line="360" w:lineRule="auto"/>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时间：2025年</w:t>
            </w:r>
            <w:r>
              <w:rPr>
                <w:rFonts w:hint="eastAsia" w:asciiTheme="minorEastAsia" w:hAnsiTheme="minorEastAsia" w:eastAsiaTheme="minorEastAsia" w:cstheme="minorEastAsia"/>
                <w:color w:val="auto"/>
                <w:kern w:val="0"/>
                <w:sz w:val="24"/>
                <w:szCs w:val="24"/>
                <w:highlight w:val="none"/>
                <w:lang w:val="en-US" w:eastAsia="zh-CN"/>
              </w:rPr>
              <w:t>6</w:t>
            </w:r>
            <w:r>
              <w:rPr>
                <w:rFonts w:hint="eastAsia" w:asciiTheme="minorEastAsia" w:hAnsiTheme="minorEastAsia" w:eastAsiaTheme="minorEastAsia" w:cstheme="minorEastAsia"/>
                <w:color w:val="auto"/>
                <w:kern w:val="0"/>
                <w:sz w:val="24"/>
                <w:szCs w:val="24"/>
                <w:highlight w:val="none"/>
              </w:rPr>
              <w:t>月</w:t>
            </w:r>
            <w:r>
              <w:rPr>
                <w:rFonts w:hint="eastAsia" w:asciiTheme="minorEastAsia" w:hAnsiTheme="minorEastAsia" w:eastAsiaTheme="minorEastAsia" w:cstheme="minorEastAsia"/>
                <w:color w:val="auto"/>
                <w:kern w:val="0"/>
                <w:sz w:val="24"/>
                <w:szCs w:val="24"/>
                <w:highlight w:val="none"/>
                <w:lang w:val="en-US" w:eastAsia="zh-CN"/>
              </w:rPr>
              <w:t>4</w:t>
            </w:r>
            <w:r>
              <w:rPr>
                <w:rFonts w:hint="eastAsia" w:asciiTheme="minorEastAsia" w:hAnsiTheme="minorEastAsia" w:eastAsiaTheme="minorEastAsia" w:cstheme="minorEastAsia"/>
                <w:color w:val="auto"/>
                <w:kern w:val="0"/>
                <w:sz w:val="24"/>
                <w:szCs w:val="24"/>
                <w:highlight w:val="none"/>
              </w:rPr>
              <w:t>日08时20分</w:t>
            </w:r>
          </w:p>
          <w:p w14:paraId="726A056C">
            <w:pPr>
              <w:widowControl/>
              <w:spacing w:line="360" w:lineRule="auto"/>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地点：渑池县公共资源交易中心开标二室</w:t>
            </w:r>
          </w:p>
        </w:tc>
      </w:tr>
      <w:tr w14:paraId="4CD2F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8" w:hRule="atLeast"/>
          <w:jc w:val="center"/>
        </w:trPr>
        <w:tc>
          <w:tcPr>
            <w:tcW w:w="913" w:type="dxa"/>
            <w:vAlign w:val="center"/>
          </w:tcPr>
          <w:p w14:paraId="4F542553">
            <w:pPr>
              <w:widowControl/>
              <w:spacing w:line="360" w:lineRule="auto"/>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3.0</w:t>
            </w:r>
          </w:p>
        </w:tc>
        <w:tc>
          <w:tcPr>
            <w:tcW w:w="1255" w:type="dxa"/>
            <w:vAlign w:val="center"/>
          </w:tcPr>
          <w:p w14:paraId="4F8988E6">
            <w:pPr>
              <w:widowControl/>
              <w:spacing w:line="360" w:lineRule="auto"/>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开标</w:t>
            </w:r>
          </w:p>
          <w:p w14:paraId="4C197ED7">
            <w:pPr>
              <w:widowControl/>
              <w:spacing w:line="360" w:lineRule="auto"/>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程序</w:t>
            </w:r>
          </w:p>
        </w:tc>
        <w:tc>
          <w:tcPr>
            <w:tcW w:w="6651" w:type="dxa"/>
            <w:vAlign w:val="center"/>
          </w:tcPr>
          <w:p w14:paraId="660FC058">
            <w:pPr>
              <w:widowControl/>
              <w:wordWrap w:val="0"/>
              <w:spacing w:line="360" w:lineRule="auto"/>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本项目采用电子化、无纸化进行招标，开标当日，投标供应商无需到开标现场参加开标会议，投标供应商应当在投标截止时间前，登陆不见面开标大厅选择登陆三门峡市公共资源电子招投标系统进行登陆（网址为http://120.194.249.36:10094/BidOpening/bidopeninghallaction/hall/login）,在线准时参加开标活动并进行投标文件解密等。</w:t>
            </w:r>
          </w:p>
          <w:p w14:paraId="5ED88682">
            <w:pPr>
              <w:widowControl/>
              <w:spacing w:line="360" w:lineRule="auto"/>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2、电子化投标文件采用一次加密方式。开标时，由投标供应商使用CA 证书，在规定时间内对其电子化投标文件进行解密。每位投标供应商的解密时间为开标时间起30 分钟内，如在规定时间内未完成解密的，其投标文件不予开标、唱标。每位投标供应商的解密时间为开标时间起30分钟内完成。</w:t>
            </w:r>
          </w:p>
          <w:p w14:paraId="151794FD">
            <w:pPr>
              <w:widowControl/>
              <w:spacing w:line="360" w:lineRule="auto"/>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3、电子化投标文件解密异常的处理</w:t>
            </w:r>
          </w:p>
          <w:p w14:paraId="215DEF9D">
            <w:pPr>
              <w:widowControl/>
              <w:spacing w:line="360" w:lineRule="auto"/>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如出现投标供应商的电子投标文件无法解密等异常情况，投标供应商应及时致电中介服务机构说明。投标文件异常，按以下步骤进行处理：</w:t>
            </w:r>
          </w:p>
          <w:p w14:paraId="00970C55">
            <w:pPr>
              <w:widowControl/>
              <w:spacing w:line="360" w:lineRule="auto"/>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（1）首先由技术人员进行问题排查。</w:t>
            </w:r>
          </w:p>
          <w:p w14:paraId="0221B534">
            <w:pPr>
              <w:widowControl/>
              <w:spacing w:line="360" w:lineRule="auto"/>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（2）经技术人员排查后，是投标供应商文件自身问题导致投标文件无法解密的，该投标文件将不予接收、解密和唱标。开标会议继续进行。</w:t>
            </w:r>
          </w:p>
          <w:p w14:paraId="7F0869E1">
            <w:pPr>
              <w:widowControl/>
              <w:spacing w:line="360" w:lineRule="auto"/>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7B2E0274">
            <w:pPr>
              <w:widowControl/>
              <w:spacing w:line="360" w:lineRule="auto"/>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4、待所有投标供应商投标文件解密完成后，由中介服务机构操作，对所有已解密投标文件进行唱标。</w:t>
            </w:r>
          </w:p>
          <w:p w14:paraId="0A537810">
            <w:pPr>
              <w:widowControl/>
              <w:spacing w:line="360" w:lineRule="auto"/>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投标供应商应保证在开标期间电话、电脑、网络能够正常工作，投标人因停电、电脑病毒、网络堵塞等原因，未在规定的解密时间内对投标文件进行解密的，其投标文件不予接收、唱标。</w:t>
            </w:r>
          </w:p>
          <w:p w14:paraId="353249DA">
            <w:pPr>
              <w:widowControl/>
              <w:spacing w:line="360" w:lineRule="auto"/>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5、开标时投标人可登录到交易系统中在开标大厅中点击开标一览表查看自己的投标报价。如对自己的唱标内容有异议的，</w:t>
            </w:r>
            <w:r>
              <w:rPr>
                <w:rFonts w:hint="eastAsia" w:asciiTheme="minorEastAsia" w:hAnsiTheme="minorEastAsia" w:eastAsiaTheme="minorEastAsia" w:cstheme="minorEastAsia"/>
                <w:color w:val="auto"/>
                <w:sz w:val="24"/>
                <w:szCs w:val="24"/>
                <w:highlight w:val="none"/>
              </w:rPr>
              <w:t>应在投标人解密成功后10分钟内向中服务机构通过开标大厅对话框提出质疑</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sz w:val="24"/>
                <w:szCs w:val="24"/>
                <w:highlight w:val="none"/>
              </w:rPr>
              <w:t>中介服务机构做好书面记录。投标人未在规定时间内提出质疑的，视为认可唱标内容。</w:t>
            </w:r>
          </w:p>
        </w:tc>
      </w:tr>
      <w:tr w14:paraId="43D14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913" w:type="dxa"/>
            <w:vAlign w:val="center"/>
          </w:tcPr>
          <w:p w14:paraId="0A743553">
            <w:pPr>
              <w:widowControl/>
              <w:spacing w:line="360" w:lineRule="auto"/>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3.1</w:t>
            </w:r>
          </w:p>
        </w:tc>
        <w:tc>
          <w:tcPr>
            <w:tcW w:w="1255" w:type="dxa"/>
            <w:vAlign w:val="center"/>
          </w:tcPr>
          <w:p w14:paraId="496C0E9D">
            <w:pPr>
              <w:widowControl/>
              <w:spacing w:line="360" w:lineRule="auto"/>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评标委员会的组建</w:t>
            </w:r>
          </w:p>
        </w:tc>
        <w:tc>
          <w:tcPr>
            <w:tcW w:w="6651" w:type="dxa"/>
            <w:vAlign w:val="center"/>
          </w:tcPr>
          <w:p w14:paraId="10696DB0">
            <w:pPr>
              <w:widowControl/>
              <w:spacing w:line="360" w:lineRule="auto"/>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评标委员会成员为5人，采购人代表1人，其余专家4人，</w:t>
            </w:r>
            <w:r>
              <w:rPr>
                <w:rFonts w:hint="eastAsia" w:asciiTheme="minorEastAsia" w:hAnsiTheme="minorEastAsia" w:eastAsiaTheme="minorEastAsia" w:cstheme="minorEastAsia"/>
                <w:color w:val="auto"/>
                <w:sz w:val="24"/>
                <w:szCs w:val="24"/>
                <w:highlight w:val="none"/>
              </w:rPr>
              <w:t>从河南省政府采购网评审专家库中随机抽取。</w:t>
            </w:r>
          </w:p>
        </w:tc>
      </w:tr>
      <w:tr w14:paraId="472F9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13" w:type="dxa"/>
            <w:vAlign w:val="center"/>
          </w:tcPr>
          <w:p w14:paraId="15002993">
            <w:pPr>
              <w:widowControl/>
              <w:spacing w:line="360" w:lineRule="auto"/>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3.2</w:t>
            </w:r>
          </w:p>
        </w:tc>
        <w:tc>
          <w:tcPr>
            <w:tcW w:w="1255" w:type="dxa"/>
            <w:vAlign w:val="center"/>
          </w:tcPr>
          <w:p w14:paraId="39D68E88">
            <w:pPr>
              <w:widowControl/>
              <w:spacing w:line="360" w:lineRule="auto"/>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是否授权评标委员会确定中标投标供应商</w:t>
            </w:r>
          </w:p>
        </w:tc>
        <w:tc>
          <w:tcPr>
            <w:tcW w:w="6651" w:type="dxa"/>
            <w:vAlign w:val="center"/>
          </w:tcPr>
          <w:p w14:paraId="56442F88">
            <w:pPr>
              <w:widowControl/>
              <w:spacing w:line="360" w:lineRule="auto"/>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否，推荐3名投标候选供应商。</w:t>
            </w:r>
          </w:p>
        </w:tc>
      </w:tr>
      <w:tr w14:paraId="08E2C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913" w:type="dxa"/>
            <w:vAlign w:val="center"/>
          </w:tcPr>
          <w:p w14:paraId="75769117">
            <w:pPr>
              <w:widowControl/>
              <w:spacing w:line="360" w:lineRule="auto"/>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3.3</w:t>
            </w:r>
          </w:p>
        </w:tc>
        <w:tc>
          <w:tcPr>
            <w:tcW w:w="1255" w:type="dxa"/>
            <w:vAlign w:val="center"/>
          </w:tcPr>
          <w:p w14:paraId="753A6EF3">
            <w:pPr>
              <w:widowControl/>
              <w:spacing w:line="360" w:lineRule="auto"/>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履约保证金</w:t>
            </w:r>
          </w:p>
        </w:tc>
        <w:tc>
          <w:tcPr>
            <w:tcW w:w="6651" w:type="dxa"/>
            <w:vAlign w:val="center"/>
          </w:tcPr>
          <w:p w14:paraId="515214D1">
            <w:pPr>
              <w:widowControl/>
              <w:spacing w:line="360" w:lineRule="auto"/>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无。</w:t>
            </w:r>
          </w:p>
        </w:tc>
      </w:tr>
      <w:tr w14:paraId="5FDD2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913" w:type="dxa"/>
            <w:vAlign w:val="center"/>
          </w:tcPr>
          <w:p w14:paraId="2B318E50">
            <w:pPr>
              <w:widowControl/>
              <w:spacing w:line="360" w:lineRule="auto"/>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3.4</w:t>
            </w:r>
          </w:p>
        </w:tc>
        <w:tc>
          <w:tcPr>
            <w:tcW w:w="1255" w:type="dxa"/>
            <w:vAlign w:val="center"/>
          </w:tcPr>
          <w:p w14:paraId="2C2A8525">
            <w:pPr>
              <w:widowControl/>
              <w:spacing w:line="360" w:lineRule="auto"/>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招标代理费</w:t>
            </w:r>
          </w:p>
        </w:tc>
        <w:tc>
          <w:tcPr>
            <w:tcW w:w="6651" w:type="dxa"/>
            <w:vAlign w:val="center"/>
          </w:tcPr>
          <w:p w14:paraId="5EF87167">
            <w:pPr>
              <w:widowControl/>
              <w:spacing w:line="360" w:lineRule="auto"/>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招标代理服务收费参照豫招协[2023]002号河南省招标投标协会关于印发《河南省招标代理服务收费指导意见》规定的收费标准收取成交服务费，领取成交通知书时一次性支付。</w:t>
            </w:r>
          </w:p>
        </w:tc>
      </w:tr>
      <w:tr w14:paraId="5FCED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913" w:type="dxa"/>
            <w:vAlign w:val="center"/>
          </w:tcPr>
          <w:p w14:paraId="182F7CDC">
            <w:pPr>
              <w:widowControl/>
              <w:spacing w:line="360" w:lineRule="auto"/>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3.5</w:t>
            </w:r>
          </w:p>
        </w:tc>
        <w:tc>
          <w:tcPr>
            <w:tcW w:w="1255" w:type="dxa"/>
            <w:vAlign w:val="center"/>
          </w:tcPr>
          <w:p w14:paraId="273E5634">
            <w:pPr>
              <w:widowControl/>
              <w:spacing w:line="360" w:lineRule="auto"/>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重新招标的其他形式</w:t>
            </w:r>
          </w:p>
        </w:tc>
        <w:tc>
          <w:tcPr>
            <w:tcW w:w="6651" w:type="dxa"/>
            <w:vAlign w:val="center"/>
          </w:tcPr>
          <w:p w14:paraId="2C60AD11">
            <w:pPr>
              <w:widowControl/>
              <w:spacing w:line="360" w:lineRule="auto"/>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kern w:val="0"/>
                <w:sz w:val="24"/>
                <w:szCs w:val="24"/>
                <w:highlight w:val="none"/>
              </w:rPr>
              <w:t>有效投标人少于3个的，招标人应当依法重新招标；</w:t>
            </w:r>
          </w:p>
        </w:tc>
      </w:tr>
      <w:tr w14:paraId="13A6B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9" w:hRule="atLeast"/>
          <w:jc w:val="center"/>
        </w:trPr>
        <w:tc>
          <w:tcPr>
            <w:tcW w:w="913" w:type="dxa"/>
            <w:vAlign w:val="center"/>
          </w:tcPr>
          <w:p w14:paraId="5E9ECBEE">
            <w:pPr>
              <w:widowControl/>
              <w:spacing w:line="360" w:lineRule="auto"/>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3.6</w:t>
            </w:r>
          </w:p>
        </w:tc>
        <w:tc>
          <w:tcPr>
            <w:tcW w:w="1255" w:type="dxa"/>
            <w:vAlign w:val="center"/>
          </w:tcPr>
          <w:p w14:paraId="73CF826B">
            <w:pPr>
              <w:widowControl/>
              <w:spacing w:line="360" w:lineRule="auto"/>
              <w:jc w:val="center"/>
              <w:rPr>
                <w:rFonts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电子化注意事项</w:t>
            </w:r>
          </w:p>
        </w:tc>
        <w:tc>
          <w:tcPr>
            <w:tcW w:w="6651" w:type="dxa"/>
            <w:vAlign w:val="center"/>
          </w:tcPr>
          <w:p w14:paraId="15A8F31F">
            <w:pPr>
              <w:widowControl/>
              <w:spacing w:line="360" w:lineRule="auto"/>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本项目为电子化交易项目，投标文件是投标人、投标供应商（以下简称“投标人”）通过中心投标文件制作系统制作，并经过电子签章和加密后生成的电子版投标文件。投标人投标时，不须提交纸质文件资料。</w:t>
            </w:r>
          </w:p>
          <w:p w14:paraId="6F186E38">
            <w:pPr>
              <w:widowControl/>
              <w:spacing w:line="360" w:lineRule="auto"/>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电子化投标文件具体制作教材请投标人通过CA证书登录三门峡市公共资源电子化交易系统在 “交易智库”中下载操作流程</w:t>
            </w:r>
          </w:p>
          <w:p w14:paraId="35E644F0">
            <w:pPr>
              <w:widowControl/>
              <w:spacing w:line="360" w:lineRule="auto"/>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温馨提示：本项目为电子化、无纸化交易项目，投标时不接受任何纸质资料，为保证您能投标成功，请需仔细阅读以下条款。</w:t>
            </w:r>
          </w:p>
          <w:p w14:paraId="48F5FFA9">
            <w:pPr>
              <w:widowControl/>
              <w:spacing w:line="360" w:lineRule="auto"/>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一、电子化投标</w:t>
            </w:r>
          </w:p>
          <w:p w14:paraId="7DEC6945">
            <w:pPr>
              <w:widowControl/>
              <w:spacing w:line="360" w:lineRule="auto"/>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（一）电子化投标文件的签章</w:t>
            </w:r>
          </w:p>
          <w:p w14:paraId="2389BD28">
            <w:pPr>
              <w:widowControl/>
              <w:spacing w:line="360" w:lineRule="auto"/>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1、投标人在生成电子化投标文件后，应对投标文件每页加盖投标供应商单位公章和法定代表人签章，未进行签章的视为无效投标。</w:t>
            </w:r>
          </w:p>
          <w:p w14:paraId="51AA5891">
            <w:pPr>
              <w:widowControl/>
              <w:spacing w:line="360" w:lineRule="auto"/>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招标文件中要求法定代表人或授权委托人签字或盖章的，投标人在进行电子化投标文件签章时，以法定代表人签章为准。电子化投标文件具体制作教材请投标人通过CA证书登录三门峡市公共资源电子化交易系统在右上角“帮助中心”中查看。电子化投标文件工具请点击https://download.bqpoint.com/download/downloaddetailfree.html?SourceFrom=Ztb&amp;ZtbSoftXiaQuCode=1506&amp;ZtbSoftType=tballinclusive 进行下载。</w:t>
            </w:r>
          </w:p>
          <w:p w14:paraId="42A04493">
            <w:pPr>
              <w:widowControl/>
              <w:spacing w:line="360" w:lineRule="auto"/>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（二）电子化投标文件的格式及上传投标</w:t>
            </w:r>
          </w:p>
          <w:p w14:paraId="3658B01F">
            <w:pPr>
              <w:widowControl/>
              <w:spacing w:line="360" w:lineRule="auto"/>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投标人所上传的电子化投标文件，应是通过中心投标文件制作系统制作的（投标文件制作工具下载地址：https://download.bqpoint.com/download/downloaddetailfree.html?SourceFrom=Ztb&amp;ZtbSoftXiaQuCode=1506&amp;ZtbSoftType=tballinclusive），经过签章和加密后生成的电子版投标文件。其中包含用于投标文件上传的主文件（后缀为.smxtf）和用于应急补救的投标文件备份文件（后缀为.nsmxtf）。备份文件主要用于电子化开标出现技术问题后的补救，请投标人随身携带。</w:t>
            </w:r>
          </w:p>
          <w:p w14:paraId="17CAF3C0">
            <w:pPr>
              <w:widowControl/>
              <w:spacing w:line="360" w:lineRule="auto"/>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注：投标人投报多个标段的，需要每个标段单独制作电子投标文件。</w:t>
            </w:r>
          </w:p>
          <w:p w14:paraId="4E9F63B9">
            <w:pPr>
              <w:widowControl/>
              <w:spacing w:line="360" w:lineRule="auto"/>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2、电子化投标文件应在投标截止时间前成功上传至三门峡市公共资源电子化交易系统。至投标截止时间止，仍未上传成功的电子化投标文件将不予接收。</w:t>
            </w:r>
          </w:p>
          <w:p w14:paraId="4BE201D5">
            <w:pPr>
              <w:widowControl/>
              <w:spacing w:line="360" w:lineRule="auto"/>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注：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w:t>
            </w:r>
          </w:p>
          <w:p w14:paraId="28982142">
            <w:pPr>
              <w:widowControl/>
              <w:spacing w:line="360" w:lineRule="auto"/>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技术联系电话：400-998-0000</w:t>
            </w:r>
          </w:p>
          <w:p w14:paraId="6EE095E5">
            <w:pPr>
              <w:widowControl/>
              <w:spacing w:line="360" w:lineRule="auto"/>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（三）电子化项目开标、解密、唱标、评标</w:t>
            </w:r>
          </w:p>
          <w:p w14:paraId="672A8969">
            <w:pPr>
              <w:widowControl/>
              <w:spacing w:line="360" w:lineRule="auto"/>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本项目采用电子化、无纸化进行招标，开标当日，投标人无需到开标现场参加开标会议，投标人应当在投标截止时间前，登陆不见面开标大厅选择登陆三门峡市公共资源电子招投标系统进行登陆,在线准时参加开标活动并进行投标文件解密等。</w:t>
            </w:r>
          </w:p>
          <w:p w14:paraId="637130C6">
            <w:pPr>
              <w:widowControl/>
              <w:spacing w:line="360" w:lineRule="auto"/>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2、电子化投标文件采用一次加密方式。开标时，由投标人使用CA 证书，在规定时间内对其电子化投标文件进行解密。每位投标人的解密时间为开标时间起30分钟内，如在规定时间内未完成解密的，其投标文件不予开标、唱标。</w:t>
            </w:r>
          </w:p>
          <w:p w14:paraId="1494C98F">
            <w:pPr>
              <w:widowControl/>
              <w:spacing w:line="360" w:lineRule="auto"/>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3、电子化投标文件解密异常的处理</w:t>
            </w:r>
          </w:p>
          <w:p w14:paraId="76950BCB">
            <w:pPr>
              <w:widowControl/>
              <w:spacing w:line="360" w:lineRule="auto"/>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如出现投标人的电子投标文件无法解密等异常情况，投标人应及时致电技术人员说明。投标文件异常，按以下步骤进行处理：</w:t>
            </w:r>
          </w:p>
          <w:p w14:paraId="13A471DC">
            <w:pPr>
              <w:widowControl/>
              <w:spacing w:line="360" w:lineRule="auto"/>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技术咨询服务窗口：0398-3117871 </w:t>
            </w:r>
          </w:p>
          <w:p w14:paraId="73441CEA">
            <w:pPr>
              <w:widowControl/>
              <w:spacing w:line="360" w:lineRule="auto"/>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（1）首先由技术人员进行问题排查。</w:t>
            </w:r>
          </w:p>
          <w:p w14:paraId="3C1377A3">
            <w:pPr>
              <w:widowControl/>
              <w:spacing w:line="360" w:lineRule="auto"/>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（2）经技术人员排查后，是投标人文件自身问题导致投标文件无法解密的，该投标文件将不予接收、解密和唱标。开标会议继续进行。</w:t>
            </w:r>
          </w:p>
          <w:p w14:paraId="0403565D">
            <w:pPr>
              <w:widowControl/>
              <w:spacing w:line="360" w:lineRule="auto"/>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7D2894B7">
            <w:pPr>
              <w:widowControl/>
              <w:spacing w:line="360" w:lineRule="auto"/>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4、待所有投标人投标文件解密完成后，由中介服务机构操作，对所有已解密投标文件进行唱标。</w:t>
            </w:r>
          </w:p>
          <w:p w14:paraId="35EB69AD">
            <w:pPr>
              <w:widowControl/>
              <w:spacing w:line="360" w:lineRule="auto"/>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投标人应保证在开标期间电话、电脑、网络能够正常工作，投标人因停电、电脑病毒、网络堵塞等原因，未在规定的解密时间内对投标文件进行解密的，其投标文件不予接收、唱标。</w:t>
            </w:r>
          </w:p>
          <w:p w14:paraId="2BF02B72">
            <w:pPr>
              <w:widowControl/>
              <w:spacing w:line="360" w:lineRule="auto"/>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5、开标时投标人可登录到交易系统中在开标大厅中点击开标一览表查看自己的投标报价。如对自己的唱标内容有异议的，</w:t>
            </w:r>
            <w:r>
              <w:rPr>
                <w:rFonts w:hint="eastAsia" w:asciiTheme="minorEastAsia" w:hAnsiTheme="minorEastAsia" w:eastAsiaTheme="minorEastAsia" w:cstheme="minorEastAsia"/>
                <w:color w:val="auto"/>
                <w:sz w:val="24"/>
                <w:szCs w:val="24"/>
                <w:highlight w:val="none"/>
              </w:rPr>
              <w:t>应在投标人解密成功后10分钟内向中服务机构通过开标大厅对话框提出质疑</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sz w:val="24"/>
                <w:szCs w:val="24"/>
                <w:highlight w:val="none"/>
              </w:rPr>
              <w:t>中介服务机构做好书面记录。投标人未在规定时间内提出质疑的，视为认可唱标内容。</w:t>
            </w:r>
          </w:p>
          <w:p w14:paraId="08C99E68">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6、</w:t>
            </w:r>
            <w:r>
              <w:rPr>
                <w:rFonts w:hint="eastAsia" w:asciiTheme="minorEastAsia" w:hAnsiTheme="minorEastAsia" w:eastAsiaTheme="minorEastAsia" w:cstheme="minorEastAsia"/>
                <w:color w:val="auto"/>
                <w:sz w:val="24"/>
                <w:szCs w:val="24"/>
                <w:highlight w:val="none"/>
              </w:rPr>
              <w:t>评标时，评标委员会对电子化投标文件有质疑的，将通过电子化交易系统对投标人发起质疑。投标人的回复文件必须以经过投标人和其法定代表人签章的PDF式文件为准，并通过电子化交易系统提交至评标委员会。</w:t>
            </w:r>
          </w:p>
          <w:p w14:paraId="0AE15983">
            <w:pPr>
              <w:spacing w:line="360" w:lineRule="auto"/>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7、如评标委员会对需要回复的投标人在规定时间内通过电子化交易系统未收到回复的，视为投标人放弃回复，评标委员会将自行对需要回复的内容进行认定。</w:t>
            </w:r>
          </w:p>
          <w:p w14:paraId="1A9344AB">
            <w:pPr>
              <w:widowControl/>
              <w:spacing w:line="360" w:lineRule="auto"/>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二、相关证书原件的提交</w:t>
            </w:r>
          </w:p>
          <w:p w14:paraId="5A00AF5B">
            <w:pPr>
              <w:widowControl/>
              <w:spacing w:line="360" w:lineRule="auto"/>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本项目实行资格后审，招标文件中要求投标人提交资质、业绩、荣誉及单位人员等相关资料原件的，投标人需将原件扫描件制作到电子投标文件中。</w:t>
            </w:r>
          </w:p>
        </w:tc>
      </w:tr>
    </w:tbl>
    <w:p w14:paraId="23254499">
      <w:pPr>
        <w:rPr>
          <w:rFonts w:ascii="宋体" w:hAnsi="宋体"/>
          <w:b/>
          <w:bCs/>
          <w:color w:val="auto"/>
          <w:kern w:val="0"/>
          <w:sz w:val="36"/>
          <w:szCs w:val="36"/>
          <w:highlight w:val="none"/>
        </w:rPr>
      </w:pPr>
      <w:r>
        <w:rPr>
          <w:rFonts w:hint="eastAsia" w:ascii="宋体" w:hAnsi="宋体"/>
          <w:b/>
          <w:bCs/>
          <w:color w:val="auto"/>
          <w:kern w:val="0"/>
          <w:sz w:val="36"/>
          <w:szCs w:val="36"/>
          <w:highlight w:val="none"/>
        </w:rPr>
        <w:br w:type="page"/>
      </w:r>
    </w:p>
    <w:p w14:paraId="2C4A4627">
      <w:pPr>
        <w:widowControl/>
        <w:spacing w:line="360" w:lineRule="auto"/>
        <w:ind w:firstLine="482" w:firstLineChars="200"/>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一、总则</w:t>
      </w:r>
      <w:r>
        <w:rPr>
          <w:rFonts w:hint="eastAsia" w:asciiTheme="minorEastAsia" w:hAnsiTheme="minorEastAsia" w:eastAsiaTheme="minorEastAsia" w:cstheme="minorEastAsia"/>
          <w:color w:val="auto"/>
          <w:kern w:val="0"/>
          <w:sz w:val="24"/>
          <w:szCs w:val="24"/>
          <w:highlight w:val="none"/>
        </w:rPr>
        <w:t xml:space="preserve"> </w:t>
      </w:r>
    </w:p>
    <w:p w14:paraId="3D34AEB8">
      <w:pPr>
        <w:widowControl/>
        <w:spacing w:line="360" w:lineRule="auto"/>
        <w:ind w:firstLine="482"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1、项目概况</w:t>
      </w:r>
    </w:p>
    <w:p w14:paraId="3E490A5A">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eastAsia="zh-CN"/>
        </w:rPr>
        <w:t>河南省中塍建设管理有限公司</w:t>
      </w:r>
      <w:r>
        <w:rPr>
          <w:rFonts w:hint="eastAsia" w:asciiTheme="minorEastAsia" w:hAnsiTheme="minorEastAsia" w:eastAsiaTheme="minorEastAsia" w:cstheme="minorEastAsia"/>
          <w:color w:val="auto"/>
          <w:kern w:val="0"/>
          <w:sz w:val="24"/>
          <w:szCs w:val="24"/>
          <w:highlight w:val="none"/>
        </w:rPr>
        <w:t>受</w:t>
      </w:r>
      <w:r>
        <w:rPr>
          <w:rFonts w:hint="eastAsia" w:asciiTheme="minorEastAsia" w:hAnsiTheme="minorEastAsia" w:eastAsiaTheme="minorEastAsia" w:cstheme="minorEastAsia"/>
          <w:bCs/>
          <w:color w:val="auto"/>
          <w:sz w:val="24"/>
          <w:szCs w:val="24"/>
          <w:highlight w:val="none"/>
          <w:lang w:eastAsia="zh-CN"/>
        </w:rPr>
        <w:t>渑池县水利局</w:t>
      </w:r>
      <w:r>
        <w:rPr>
          <w:rFonts w:hint="eastAsia" w:asciiTheme="minorEastAsia" w:hAnsiTheme="minorEastAsia" w:eastAsiaTheme="minorEastAsia" w:cstheme="minorEastAsia"/>
          <w:color w:val="auto"/>
          <w:kern w:val="0"/>
          <w:sz w:val="24"/>
          <w:szCs w:val="24"/>
          <w:highlight w:val="none"/>
        </w:rPr>
        <w:t>委托，就</w:t>
      </w:r>
      <w:r>
        <w:rPr>
          <w:rFonts w:hint="eastAsia" w:asciiTheme="minorEastAsia" w:hAnsiTheme="minorEastAsia" w:eastAsiaTheme="minorEastAsia" w:cstheme="minorEastAsia"/>
          <w:color w:val="auto"/>
          <w:sz w:val="24"/>
          <w:szCs w:val="24"/>
          <w:highlight w:val="none"/>
          <w:lang w:eastAsia="zh-CN"/>
        </w:rPr>
        <w:t>渑池县先进制造业开发区及绿色建材产业园供水项目检测服务项目</w:t>
      </w:r>
      <w:r>
        <w:rPr>
          <w:rFonts w:hint="eastAsia" w:asciiTheme="minorEastAsia" w:hAnsiTheme="minorEastAsia" w:eastAsiaTheme="minorEastAsia" w:cstheme="minorEastAsia"/>
          <w:color w:val="auto"/>
          <w:kern w:val="0"/>
          <w:sz w:val="24"/>
          <w:szCs w:val="24"/>
          <w:highlight w:val="none"/>
          <w:shd w:val="clear" w:color="auto" w:fill="FFFFFF"/>
        </w:rPr>
        <w:t>进行公开招标，现欢迎符合资格条件的投标供应商参加投标。</w:t>
      </w:r>
    </w:p>
    <w:p w14:paraId="4C9D3BD0">
      <w:pPr>
        <w:widowControl/>
        <w:spacing w:line="360" w:lineRule="auto"/>
        <w:ind w:firstLine="482"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2、投标费用</w:t>
      </w:r>
    </w:p>
    <w:p w14:paraId="7356972D">
      <w:pPr>
        <w:widowControl/>
        <w:spacing w:line="360" w:lineRule="auto"/>
        <w:ind w:firstLine="480"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投标供应商承担其投标文件编制与递交所涉及的一切费用。在任何情况下采购人和采购代理机构对上述费用均不承担任何责任。</w:t>
      </w:r>
    </w:p>
    <w:p w14:paraId="10484F54">
      <w:pPr>
        <w:widowControl/>
        <w:spacing w:line="360" w:lineRule="auto"/>
        <w:ind w:firstLine="482"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3、定义及解释</w:t>
      </w:r>
    </w:p>
    <w:p w14:paraId="0FAEB5C1">
      <w:pPr>
        <w:widowControl/>
        <w:spacing w:line="360" w:lineRule="auto"/>
        <w:ind w:firstLine="482"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3.1</w:t>
      </w:r>
      <w:r>
        <w:rPr>
          <w:rFonts w:hint="eastAsia" w:asciiTheme="minorEastAsia" w:hAnsiTheme="minorEastAsia" w:eastAsiaTheme="minorEastAsia" w:cstheme="minorEastAsia"/>
          <w:color w:val="auto"/>
          <w:kern w:val="0"/>
          <w:sz w:val="24"/>
          <w:szCs w:val="24"/>
          <w:highlight w:val="none"/>
        </w:rPr>
        <w:t>货物：系指投标供应商按招标文件规定而提供的设备、机械、仪器仪表、备品备件、工具、手册及其它有关技术资料和材料。</w:t>
      </w:r>
    </w:p>
    <w:p w14:paraId="27EC5FC7">
      <w:pPr>
        <w:widowControl/>
        <w:spacing w:line="360" w:lineRule="auto"/>
        <w:ind w:firstLine="482"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3.2</w:t>
      </w:r>
      <w:r>
        <w:rPr>
          <w:rFonts w:hint="eastAsia" w:asciiTheme="minorEastAsia" w:hAnsiTheme="minorEastAsia" w:eastAsiaTheme="minorEastAsia" w:cstheme="minorEastAsia"/>
          <w:color w:val="auto"/>
          <w:kern w:val="0"/>
          <w:sz w:val="24"/>
          <w:szCs w:val="24"/>
          <w:highlight w:val="none"/>
        </w:rPr>
        <w:t xml:space="preserve"> 服务：系指投标供应商提供的安装、调试、验收、培训、保修期服务、与货物有关的运输和保险及其他伴随服务。</w:t>
      </w:r>
    </w:p>
    <w:p w14:paraId="38F6DC45">
      <w:pPr>
        <w:widowControl/>
        <w:spacing w:line="360" w:lineRule="auto"/>
        <w:ind w:right="-480" w:firstLine="482" w:firstLineChars="200"/>
        <w:jc w:val="left"/>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b/>
          <w:bCs/>
          <w:color w:val="auto"/>
          <w:kern w:val="0"/>
          <w:sz w:val="24"/>
          <w:szCs w:val="24"/>
          <w:highlight w:val="none"/>
        </w:rPr>
        <w:t xml:space="preserve">3.3 </w:t>
      </w:r>
      <w:r>
        <w:rPr>
          <w:rFonts w:hint="eastAsia" w:asciiTheme="minorEastAsia" w:hAnsiTheme="minorEastAsia" w:eastAsiaTheme="minorEastAsia" w:cstheme="minorEastAsia"/>
          <w:color w:val="auto"/>
          <w:kern w:val="0"/>
          <w:sz w:val="24"/>
          <w:szCs w:val="24"/>
          <w:highlight w:val="none"/>
        </w:rPr>
        <w:t>采购人：</w:t>
      </w:r>
      <w:r>
        <w:rPr>
          <w:rFonts w:hint="eastAsia" w:asciiTheme="minorEastAsia" w:hAnsiTheme="minorEastAsia" w:eastAsiaTheme="minorEastAsia" w:cstheme="minorEastAsia"/>
          <w:bCs/>
          <w:color w:val="auto"/>
          <w:sz w:val="24"/>
          <w:szCs w:val="24"/>
          <w:highlight w:val="none"/>
          <w:lang w:eastAsia="zh-CN"/>
        </w:rPr>
        <w:t>渑池县水利局</w:t>
      </w:r>
    </w:p>
    <w:p w14:paraId="19A2EB94">
      <w:pPr>
        <w:widowControl/>
        <w:spacing w:line="360" w:lineRule="auto"/>
        <w:ind w:firstLine="482"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3.4</w:t>
      </w:r>
      <w:r>
        <w:rPr>
          <w:rFonts w:hint="eastAsia" w:asciiTheme="minorEastAsia" w:hAnsiTheme="minorEastAsia" w:eastAsiaTheme="minorEastAsia" w:cstheme="minorEastAsia"/>
          <w:color w:val="auto"/>
          <w:kern w:val="0"/>
          <w:sz w:val="24"/>
          <w:szCs w:val="24"/>
          <w:highlight w:val="none"/>
        </w:rPr>
        <w:t xml:space="preserve"> 投标供应商：是指响应招标、参加投标竞争的法人或者其他组织。</w:t>
      </w:r>
    </w:p>
    <w:p w14:paraId="7E49C354">
      <w:pPr>
        <w:widowControl/>
        <w:spacing w:line="360" w:lineRule="auto"/>
        <w:ind w:firstLine="482"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xml:space="preserve">3.5 </w:t>
      </w:r>
      <w:r>
        <w:rPr>
          <w:rFonts w:hint="eastAsia" w:asciiTheme="minorEastAsia" w:hAnsiTheme="minorEastAsia" w:eastAsiaTheme="minorEastAsia" w:cstheme="minorEastAsia"/>
          <w:color w:val="auto"/>
          <w:kern w:val="0"/>
          <w:sz w:val="24"/>
          <w:szCs w:val="24"/>
          <w:highlight w:val="none"/>
        </w:rPr>
        <w:t>采购代理机构：</w:t>
      </w:r>
      <w:r>
        <w:rPr>
          <w:rFonts w:hint="eastAsia" w:asciiTheme="minorEastAsia" w:hAnsiTheme="minorEastAsia" w:eastAsiaTheme="minorEastAsia" w:cstheme="minorEastAsia"/>
          <w:color w:val="auto"/>
          <w:kern w:val="0"/>
          <w:sz w:val="24"/>
          <w:szCs w:val="24"/>
          <w:highlight w:val="none"/>
          <w:lang w:eastAsia="zh-CN"/>
        </w:rPr>
        <w:t>河南省中塍建设管理有限公司</w:t>
      </w:r>
      <w:r>
        <w:rPr>
          <w:rFonts w:hint="eastAsia" w:asciiTheme="minorEastAsia" w:hAnsiTheme="minorEastAsia" w:eastAsiaTheme="minorEastAsia" w:cstheme="minorEastAsia"/>
          <w:color w:val="auto"/>
          <w:kern w:val="0"/>
          <w:sz w:val="24"/>
          <w:szCs w:val="24"/>
          <w:highlight w:val="none"/>
        </w:rPr>
        <w:t>。</w:t>
      </w:r>
    </w:p>
    <w:p w14:paraId="36653D83">
      <w:pPr>
        <w:widowControl/>
        <w:spacing w:line="360" w:lineRule="auto"/>
        <w:ind w:firstLine="482"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3.6</w:t>
      </w:r>
      <w:r>
        <w:rPr>
          <w:rFonts w:hint="eastAsia" w:asciiTheme="minorEastAsia" w:hAnsiTheme="minorEastAsia" w:eastAsiaTheme="minorEastAsia" w:cstheme="minorEastAsia"/>
          <w:color w:val="auto"/>
          <w:kern w:val="0"/>
          <w:sz w:val="24"/>
          <w:szCs w:val="24"/>
          <w:highlight w:val="none"/>
        </w:rPr>
        <w:t xml:space="preserve"> 评标委员会：是指按照《中华人民共和国政府采购法》和《评标委员会和评标方法暂行规定》的规定组建的专门负责本次招标的评标工作的临时机构。</w:t>
      </w:r>
    </w:p>
    <w:p w14:paraId="5B9013A0">
      <w:pPr>
        <w:widowControl/>
        <w:spacing w:line="360" w:lineRule="auto"/>
        <w:ind w:firstLine="482"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xml:space="preserve">3.7 </w:t>
      </w:r>
      <w:r>
        <w:rPr>
          <w:rFonts w:hint="eastAsia" w:asciiTheme="minorEastAsia" w:hAnsiTheme="minorEastAsia" w:eastAsiaTheme="minorEastAsia" w:cstheme="minorEastAsia"/>
          <w:color w:val="auto"/>
          <w:kern w:val="0"/>
          <w:sz w:val="24"/>
          <w:szCs w:val="24"/>
          <w:highlight w:val="none"/>
        </w:rPr>
        <w:t>日期：指公历日。</w:t>
      </w:r>
    </w:p>
    <w:p w14:paraId="454A2B1A">
      <w:pPr>
        <w:widowControl/>
        <w:spacing w:line="360" w:lineRule="auto"/>
        <w:ind w:firstLine="482"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4、合格的投标供应商（详见投标供应商须知前附表2.0）</w:t>
      </w:r>
    </w:p>
    <w:p w14:paraId="5245E467">
      <w:pPr>
        <w:widowControl/>
        <w:spacing w:line="360" w:lineRule="auto"/>
        <w:ind w:firstLine="482"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5、保证</w:t>
      </w:r>
    </w:p>
    <w:p w14:paraId="448FF9D3">
      <w:pPr>
        <w:widowControl/>
        <w:spacing w:line="360" w:lineRule="auto"/>
        <w:ind w:firstLine="480"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投标供应商应保证在投标文件中所提交的资料和数据是真实的。</w:t>
      </w:r>
    </w:p>
    <w:p w14:paraId="28D22B37">
      <w:pPr>
        <w:widowControl/>
        <w:spacing w:line="360" w:lineRule="auto"/>
        <w:ind w:firstLine="482" w:firstLineChars="200"/>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二、招 标 文 件</w:t>
      </w:r>
    </w:p>
    <w:p w14:paraId="5B07E8A8">
      <w:pPr>
        <w:widowControl/>
        <w:spacing w:line="360" w:lineRule="auto"/>
        <w:ind w:firstLine="482"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6、招标文件的组成</w:t>
      </w:r>
    </w:p>
    <w:p w14:paraId="0C46F072">
      <w:pPr>
        <w:widowControl/>
        <w:spacing w:line="360" w:lineRule="auto"/>
        <w:ind w:firstLine="482"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xml:space="preserve">6.1 </w:t>
      </w:r>
      <w:r>
        <w:rPr>
          <w:rFonts w:hint="eastAsia" w:asciiTheme="minorEastAsia" w:hAnsiTheme="minorEastAsia" w:eastAsiaTheme="minorEastAsia" w:cstheme="minorEastAsia"/>
          <w:color w:val="auto"/>
          <w:kern w:val="0"/>
          <w:sz w:val="24"/>
          <w:szCs w:val="24"/>
          <w:highlight w:val="none"/>
        </w:rPr>
        <w:t>招标文件包括下列内容及按投标供应商须知第2.1条款内容发出的答疑文件和第2.2条款内容发出的补充文件。</w:t>
      </w:r>
    </w:p>
    <w:p w14:paraId="4AEB008B">
      <w:pPr>
        <w:widowControl/>
        <w:spacing w:line="360" w:lineRule="auto"/>
        <w:ind w:firstLine="480"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第一章 招标公告 </w:t>
      </w:r>
    </w:p>
    <w:p w14:paraId="026D85C4">
      <w:pPr>
        <w:widowControl/>
        <w:spacing w:line="360" w:lineRule="auto"/>
        <w:ind w:firstLine="480"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第二章 投标供应商须知</w:t>
      </w:r>
    </w:p>
    <w:p w14:paraId="0904AFD0">
      <w:pPr>
        <w:widowControl/>
        <w:spacing w:line="360" w:lineRule="auto"/>
        <w:ind w:firstLine="480"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第三章 服务内容及要求</w:t>
      </w:r>
    </w:p>
    <w:p w14:paraId="28C3E1C1">
      <w:pPr>
        <w:widowControl/>
        <w:spacing w:line="360" w:lineRule="auto"/>
        <w:ind w:firstLine="480"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第四章 评标办法</w:t>
      </w:r>
    </w:p>
    <w:p w14:paraId="3F029D9E">
      <w:pPr>
        <w:widowControl/>
        <w:spacing w:line="360" w:lineRule="auto"/>
        <w:ind w:firstLine="480"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第五章 合同条款及格式</w:t>
      </w:r>
    </w:p>
    <w:p w14:paraId="50ADB98C">
      <w:pPr>
        <w:widowControl/>
        <w:spacing w:line="360" w:lineRule="auto"/>
        <w:ind w:firstLine="480"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第六章 投标文件格式</w:t>
      </w:r>
    </w:p>
    <w:p w14:paraId="3E64123A">
      <w:pPr>
        <w:widowControl/>
        <w:spacing w:line="360" w:lineRule="auto"/>
        <w:ind w:firstLine="482"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6.2</w:t>
      </w:r>
      <w:r>
        <w:rPr>
          <w:rFonts w:hint="eastAsia" w:asciiTheme="minorEastAsia" w:hAnsiTheme="minorEastAsia" w:eastAsiaTheme="minorEastAsia" w:cstheme="minorEastAsia"/>
          <w:color w:val="auto"/>
          <w:kern w:val="0"/>
          <w:sz w:val="24"/>
          <w:szCs w:val="24"/>
          <w:highlight w:val="none"/>
        </w:rPr>
        <w:t>投标供应商应详细阅读招标文件中的所有条款内容、格式、表格和所涉及的相关规范。如果投标供应商不按招标文件的要求提交投标文件和资料的，或者投标文件没有对招标文件提出的实质性要求和条件作出响应，将导致投标文件不被接受，其后果由投标供应商自己负责。</w:t>
      </w:r>
    </w:p>
    <w:p w14:paraId="4005E637">
      <w:pPr>
        <w:widowControl/>
        <w:spacing w:line="360" w:lineRule="auto"/>
        <w:ind w:firstLine="482"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7、招标文件的澄清</w:t>
      </w:r>
    </w:p>
    <w:p w14:paraId="1A24D82E">
      <w:pPr>
        <w:widowControl/>
        <w:spacing w:line="360" w:lineRule="auto"/>
        <w:ind w:firstLine="482"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7.1</w:t>
      </w:r>
      <w:r>
        <w:rPr>
          <w:rFonts w:hint="eastAsia" w:asciiTheme="minorEastAsia" w:hAnsiTheme="minorEastAsia" w:eastAsiaTheme="minorEastAsia" w:cstheme="minorEastAsia"/>
          <w:color w:val="auto"/>
          <w:kern w:val="0"/>
          <w:sz w:val="24"/>
          <w:szCs w:val="24"/>
          <w:highlight w:val="none"/>
        </w:rPr>
        <w:t>投标供应商应仔细阅读和检查招标文件的全部内容。如发现缺页或附件不全，应及时向采购人提出，以便补齐。如有疑问，应在投标供应商须知前附表规定的时间前要求采购人对招标文件予以澄清。</w:t>
      </w:r>
    </w:p>
    <w:p w14:paraId="4B740B93">
      <w:pPr>
        <w:widowControl/>
        <w:spacing w:line="360" w:lineRule="auto"/>
        <w:ind w:firstLine="482"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7.2</w:t>
      </w:r>
      <w:r>
        <w:rPr>
          <w:rFonts w:hint="eastAsia" w:asciiTheme="minorEastAsia" w:hAnsiTheme="minorEastAsia" w:eastAsiaTheme="minorEastAsia" w:cstheme="minorEastAsia"/>
          <w:color w:val="auto"/>
          <w:kern w:val="0"/>
          <w:sz w:val="24"/>
          <w:szCs w:val="24"/>
          <w:highlight w:val="none"/>
        </w:rPr>
        <w:t>招标文件的澄清将在投标供应商须知前附表规定的时间前发给所有购买招标文件的投标供应商，但不指明澄清问题的来源。如果澄清发出的时间距投标截止时间不足15天，相应延长投标截止时间。</w:t>
      </w:r>
    </w:p>
    <w:p w14:paraId="3331E047">
      <w:pPr>
        <w:widowControl/>
        <w:spacing w:line="360" w:lineRule="auto"/>
        <w:ind w:firstLine="482"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7.3</w:t>
      </w:r>
      <w:r>
        <w:rPr>
          <w:rFonts w:hint="eastAsia" w:asciiTheme="minorEastAsia" w:hAnsiTheme="minorEastAsia" w:eastAsiaTheme="minorEastAsia" w:cstheme="minorEastAsia"/>
          <w:color w:val="auto"/>
          <w:kern w:val="0"/>
          <w:sz w:val="24"/>
          <w:szCs w:val="24"/>
          <w:highlight w:val="none"/>
        </w:rPr>
        <w:t xml:space="preserve"> 投标供应商在收到澄清后，应在24小时内通知采购人，确认已收到该澄清。</w:t>
      </w:r>
    </w:p>
    <w:p w14:paraId="7316E2EC">
      <w:pPr>
        <w:widowControl/>
        <w:spacing w:line="360" w:lineRule="auto"/>
        <w:ind w:firstLine="482" w:firstLineChars="200"/>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8、招标文件的修改</w:t>
      </w:r>
    </w:p>
    <w:p w14:paraId="61A406A4">
      <w:pPr>
        <w:widowControl/>
        <w:spacing w:line="360" w:lineRule="auto"/>
        <w:ind w:firstLine="482"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8.1</w:t>
      </w:r>
      <w:r>
        <w:rPr>
          <w:rFonts w:hint="eastAsia" w:asciiTheme="minorEastAsia" w:hAnsiTheme="minorEastAsia" w:eastAsiaTheme="minorEastAsia" w:cstheme="minorEastAsia"/>
          <w:color w:val="auto"/>
          <w:kern w:val="0"/>
          <w:sz w:val="24"/>
          <w:szCs w:val="24"/>
          <w:highlight w:val="none"/>
        </w:rPr>
        <w:t xml:space="preserve">在投标截止时间15天前，采购人可修改招标文件，各潜在投标供应商自行关注三门峡市公共资源交易中心发布的变更公告。如果修改招标文件的时间距投标截止时间不足15天，相应延长投标截止时间。 </w:t>
      </w:r>
    </w:p>
    <w:p w14:paraId="5F7EEDC4">
      <w:pPr>
        <w:widowControl/>
        <w:spacing w:line="360" w:lineRule="auto"/>
        <w:ind w:firstLine="482" w:firstLineChars="200"/>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三、投标文件的编制</w:t>
      </w:r>
    </w:p>
    <w:p w14:paraId="17A44456">
      <w:pPr>
        <w:pStyle w:val="29"/>
        <w:widowControl/>
        <w:snapToGrid w:val="0"/>
        <w:spacing w:line="360" w:lineRule="auto"/>
        <w:ind w:firstLine="482" w:firstLineChars="200"/>
        <w:jc w:val="left"/>
        <w:rPr>
          <w:rFonts w:hint="default" w:asciiTheme="minorEastAsia" w:hAnsiTheme="minorEastAsia" w:eastAsiaTheme="minorEastAsia" w:cstheme="minorEastAsia"/>
          <w:b/>
          <w:bCs/>
          <w:color w:val="auto"/>
          <w:kern w:val="0"/>
          <w:sz w:val="24"/>
          <w:szCs w:val="24"/>
          <w:highlight w:val="none"/>
        </w:rPr>
      </w:pPr>
      <w:r>
        <w:rPr>
          <w:rFonts w:asciiTheme="minorEastAsia" w:hAnsiTheme="minorEastAsia" w:eastAsiaTheme="minorEastAsia" w:cstheme="minorEastAsia"/>
          <w:b/>
          <w:bCs/>
          <w:color w:val="auto"/>
          <w:kern w:val="0"/>
          <w:sz w:val="24"/>
          <w:szCs w:val="24"/>
          <w:highlight w:val="none"/>
        </w:rPr>
        <w:t>9.1投标文件的组成</w:t>
      </w:r>
    </w:p>
    <w:p w14:paraId="2A624264">
      <w:pPr>
        <w:pStyle w:val="29"/>
        <w:widowControl/>
        <w:snapToGrid w:val="0"/>
        <w:spacing w:line="360" w:lineRule="auto"/>
        <w:ind w:firstLine="480" w:firstLineChars="200"/>
        <w:jc w:val="left"/>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详见招标文件第六章投标文件格式</w:t>
      </w:r>
    </w:p>
    <w:p w14:paraId="74A48E5D">
      <w:pPr>
        <w:pStyle w:val="29"/>
        <w:widowControl/>
        <w:snapToGrid w:val="0"/>
        <w:spacing w:line="360" w:lineRule="auto"/>
        <w:ind w:firstLine="482" w:firstLineChars="200"/>
        <w:jc w:val="left"/>
        <w:rPr>
          <w:rFonts w:hint="default" w:asciiTheme="minorEastAsia" w:hAnsiTheme="minorEastAsia" w:eastAsiaTheme="minorEastAsia" w:cstheme="minorEastAsia"/>
          <w:b/>
          <w:bCs/>
          <w:color w:val="auto"/>
          <w:kern w:val="0"/>
          <w:sz w:val="24"/>
          <w:szCs w:val="24"/>
          <w:highlight w:val="none"/>
        </w:rPr>
      </w:pPr>
      <w:r>
        <w:rPr>
          <w:rFonts w:asciiTheme="minorEastAsia" w:hAnsiTheme="minorEastAsia" w:eastAsiaTheme="minorEastAsia" w:cstheme="minorEastAsia"/>
          <w:b/>
          <w:bCs/>
          <w:color w:val="auto"/>
          <w:kern w:val="0"/>
          <w:sz w:val="24"/>
          <w:szCs w:val="24"/>
          <w:highlight w:val="none"/>
        </w:rPr>
        <w:t>9.2投标文件格式</w:t>
      </w:r>
    </w:p>
    <w:p w14:paraId="3813DA31">
      <w:pPr>
        <w:pStyle w:val="29"/>
        <w:widowControl/>
        <w:snapToGrid w:val="0"/>
        <w:spacing w:line="360" w:lineRule="auto"/>
        <w:ind w:firstLine="480" w:firstLineChars="200"/>
        <w:jc w:val="left"/>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投标供应商所上传的电子化投标文件，应是通过中心投标文件制作系统制作的，经过签章和加密后生成的电子版投标文件。其中包含用于投标文件上传的主文件（后缀为.smxtf）和用于应急补救的投标文件备份文件（后缀为.nsmxtf）。</w:t>
      </w:r>
    </w:p>
    <w:p w14:paraId="105FD94C">
      <w:pPr>
        <w:pStyle w:val="29"/>
        <w:widowControl/>
        <w:snapToGrid w:val="0"/>
        <w:spacing w:line="360" w:lineRule="auto"/>
        <w:ind w:firstLine="482" w:firstLineChars="200"/>
        <w:jc w:val="left"/>
        <w:rPr>
          <w:rFonts w:hint="default" w:asciiTheme="minorEastAsia" w:hAnsiTheme="minorEastAsia" w:eastAsiaTheme="minorEastAsia" w:cstheme="minorEastAsia"/>
          <w:b/>
          <w:bCs/>
          <w:color w:val="auto"/>
          <w:kern w:val="0"/>
          <w:sz w:val="24"/>
          <w:szCs w:val="24"/>
          <w:highlight w:val="none"/>
        </w:rPr>
      </w:pPr>
      <w:r>
        <w:rPr>
          <w:rFonts w:asciiTheme="minorEastAsia" w:hAnsiTheme="minorEastAsia" w:eastAsiaTheme="minorEastAsia" w:cstheme="minorEastAsia"/>
          <w:b/>
          <w:bCs/>
          <w:color w:val="auto"/>
          <w:kern w:val="0"/>
          <w:sz w:val="24"/>
          <w:szCs w:val="24"/>
          <w:highlight w:val="none"/>
        </w:rPr>
        <w:t>9.3特别说明</w:t>
      </w:r>
    </w:p>
    <w:p w14:paraId="4D8574FE">
      <w:pPr>
        <w:pStyle w:val="29"/>
        <w:widowControl/>
        <w:snapToGrid w:val="0"/>
        <w:spacing w:line="360" w:lineRule="auto"/>
        <w:ind w:firstLine="480" w:firstLineChars="200"/>
        <w:jc w:val="left"/>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9.3.1投标语言</w:t>
      </w:r>
    </w:p>
    <w:p w14:paraId="3B751717">
      <w:pPr>
        <w:pStyle w:val="29"/>
        <w:widowControl/>
        <w:snapToGrid w:val="0"/>
        <w:spacing w:line="360" w:lineRule="auto"/>
        <w:ind w:firstLine="480" w:firstLineChars="200"/>
        <w:jc w:val="left"/>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投标供应商提交的投标文件以及投标供应商与采购代理机构就有关投标的所有往来函电均应使用中文。投标供应商提供的文件可以用英文，但相应内容应附有中文翻译本，在解释时以中文翻译本为准。</w:t>
      </w:r>
    </w:p>
    <w:p w14:paraId="10B80C5B">
      <w:pPr>
        <w:pStyle w:val="29"/>
        <w:widowControl/>
        <w:snapToGrid w:val="0"/>
        <w:spacing w:line="360" w:lineRule="auto"/>
        <w:ind w:firstLine="480" w:firstLineChars="200"/>
        <w:jc w:val="left"/>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9.3.2计量</w:t>
      </w:r>
    </w:p>
    <w:p w14:paraId="70156B8C">
      <w:pPr>
        <w:pStyle w:val="29"/>
        <w:widowControl/>
        <w:snapToGrid w:val="0"/>
        <w:spacing w:line="360" w:lineRule="auto"/>
        <w:ind w:firstLine="480" w:firstLineChars="200"/>
        <w:jc w:val="left"/>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在投标文件所有计量单位均采用中华人民共和国法定计量单位。</w:t>
      </w:r>
    </w:p>
    <w:p w14:paraId="75DC071C">
      <w:pPr>
        <w:pStyle w:val="29"/>
        <w:widowControl/>
        <w:snapToGrid w:val="0"/>
        <w:spacing w:line="360" w:lineRule="auto"/>
        <w:ind w:firstLine="480" w:firstLineChars="200"/>
        <w:jc w:val="left"/>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投标供应商在投标文件中所提交的所有资料和文件均应是真实的和有效的，如有作假，则将该投标供应商的投标作无效标处理，若成交后被发现有上述行为的，则采购人有权取消其成交资格，并且该投标供应商应承担由此而造成的一切损失（包括经济损失和法律责任）。</w:t>
      </w:r>
    </w:p>
    <w:p w14:paraId="1F1D181C">
      <w:pPr>
        <w:pStyle w:val="29"/>
        <w:widowControl/>
        <w:snapToGrid w:val="0"/>
        <w:spacing w:line="360" w:lineRule="auto"/>
        <w:ind w:firstLine="482" w:firstLineChars="200"/>
        <w:jc w:val="left"/>
        <w:rPr>
          <w:rFonts w:hint="default" w:asciiTheme="minorEastAsia" w:hAnsiTheme="minorEastAsia" w:eastAsiaTheme="minorEastAsia" w:cstheme="minorEastAsia"/>
          <w:b/>
          <w:bCs/>
          <w:color w:val="auto"/>
          <w:kern w:val="0"/>
          <w:sz w:val="24"/>
          <w:szCs w:val="24"/>
          <w:highlight w:val="none"/>
        </w:rPr>
      </w:pPr>
      <w:r>
        <w:rPr>
          <w:rFonts w:asciiTheme="minorEastAsia" w:hAnsiTheme="minorEastAsia" w:eastAsiaTheme="minorEastAsia" w:cstheme="minorEastAsia"/>
          <w:b/>
          <w:bCs/>
          <w:color w:val="auto"/>
          <w:kern w:val="0"/>
          <w:sz w:val="24"/>
          <w:szCs w:val="24"/>
          <w:highlight w:val="none"/>
        </w:rPr>
        <w:t>9.4投标货物和服务的报价</w:t>
      </w:r>
    </w:p>
    <w:p w14:paraId="0AF314BC">
      <w:pPr>
        <w:pStyle w:val="29"/>
        <w:widowControl/>
        <w:snapToGrid w:val="0"/>
        <w:spacing w:line="360" w:lineRule="auto"/>
        <w:ind w:firstLine="480" w:firstLineChars="200"/>
        <w:jc w:val="left"/>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9.4.1 投标报价中应包含货物、服务、装卸费、运输费、税金（含关税、增值税）等各项费用。</w:t>
      </w:r>
    </w:p>
    <w:p w14:paraId="241548F3">
      <w:pPr>
        <w:pStyle w:val="29"/>
        <w:widowControl/>
        <w:snapToGrid w:val="0"/>
        <w:spacing w:line="360" w:lineRule="auto"/>
        <w:ind w:firstLine="480" w:firstLineChars="200"/>
        <w:jc w:val="left"/>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9.4.2投标供应商的投标报价应包含验收合格正式交付使用前所发生的一切费用，且投标供应商只能提出一个不变价格，采购人不接受任何选择报价。</w:t>
      </w:r>
    </w:p>
    <w:p w14:paraId="52C726BD">
      <w:pPr>
        <w:pStyle w:val="29"/>
        <w:widowControl/>
        <w:snapToGrid w:val="0"/>
        <w:spacing w:line="360" w:lineRule="auto"/>
        <w:ind w:firstLine="480" w:firstLineChars="200"/>
        <w:jc w:val="left"/>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9.4.3该项目类别及取费标准按照国家相关规定执行。</w:t>
      </w:r>
    </w:p>
    <w:p w14:paraId="2F69A6E8">
      <w:pPr>
        <w:pStyle w:val="29"/>
        <w:widowControl/>
        <w:snapToGrid w:val="0"/>
        <w:spacing w:line="360" w:lineRule="auto"/>
        <w:ind w:firstLine="480" w:firstLineChars="200"/>
        <w:jc w:val="left"/>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9.4.4投标文件的投标报价，应是完成本文件所列招标范围的全部内容。投标供应商应认真阅读招标文件，如果投标供应商对预算中任何子目和报价遗漏或未计，均被认为已包含在其他子目中，采购人不另行支付。</w:t>
      </w:r>
    </w:p>
    <w:p w14:paraId="12423E01">
      <w:pPr>
        <w:pStyle w:val="29"/>
        <w:widowControl/>
        <w:snapToGrid w:val="0"/>
        <w:spacing w:line="360" w:lineRule="auto"/>
        <w:ind w:firstLine="480" w:firstLineChars="200"/>
        <w:jc w:val="left"/>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9.4.5如投标报价表中的大写金额和小写金额不一致的，以大写金额为准；总价金额与单价金额不一致的，以单价金额为准，但单价金额小数点有明显错误的除外；对不同文字文本投标文件的解释发生异议的，以中文文本为准。</w:t>
      </w:r>
    </w:p>
    <w:p w14:paraId="4B5DE193">
      <w:pPr>
        <w:pStyle w:val="29"/>
        <w:widowControl/>
        <w:snapToGrid w:val="0"/>
        <w:spacing w:line="360" w:lineRule="auto"/>
        <w:ind w:firstLine="480" w:firstLineChars="200"/>
        <w:jc w:val="left"/>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9.4.6全部报价均应以人民币为计量币种，并以人民币进行结算。</w:t>
      </w:r>
    </w:p>
    <w:p w14:paraId="4D066453">
      <w:pPr>
        <w:widowControl/>
        <w:spacing w:line="360" w:lineRule="auto"/>
        <w:ind w:firstLine="482"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10投标保证金</w:t>
      </w:r>
    </w:p>
    <w:p w14:paraId="117D2DDB">
      <w:pPr>
        <w:spacing w:line="360" w:lineRule="auto"/>
        <w:ind w:firstLine="482" w:firstLineChars="200"/>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10.1</w:t>
      </w:r>
      <w:r>
        <w:rPr>
          <w:rFonts w:hint="eastAsia" w:asciiTheme="minorEastAsia" w:hAnsiTheme="minorEastAsia" w:eastAsiaTheme="minorEastAsia" w:cstheme="minorEastAsia"/>
          <w:bCs/>
          <w:color w:val="auto"/>
          <w:kern w:val="0"/>
          <w:sz w:val="24"/>
          <w:szCs w:val="24"/>
          <w:highlight w:val="none"/>
        </w:rPr>
        <w:t>按照《河南省财政厅关于优化政府采购营商环境有关问题的通知》（豫财购[2019]4号文）的要求本项目不再收取投标保证金，投标供应商须提供投标承诺函（详见招标文件 第六章“投标文件格式”），作为投标文件的组成部分。</w:t>
      </w:r>
    </w:p>
    <w:p w14:paraId="34B1453A">
      <w:pPr>
        <w:widowControl/>
        <w:spacing w:line="360" w:lineRule="auto"/>
        <w:ind w:firstLine="482"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xml:space="preserve">10.2 </w:t>
      </w:r>
      <w:r>
        <w:rPr>
          <w:rFonts w:hint="eastAsia" w:asciiTheme="minorEastAsia" w:hAnsiTheme="minorEastAsia" w:eastAsiaTheme="minorEastAsia" w:cstheme="minorEastAsia"/>
          <w:color w:val="auto"/>
          <w:kern w:val="0"/>
          <w:sz w:val="24"/>
          <w:szCs w:val="24"/>
          <w:highlight w:val="none"/>
        </w:rPr>
        <w:t>未按招标文件规定提供</w:t>
      </w:r>
      <w:r>
        <w:rPr>
          <w:rFonts w:hint="eastAsia" w:asciiTheme="minorEastAsia" w:hAnsiTheme="minorEastAsia" w:eastAsiaTheme="minorEastAsia" w:cstheme="minorEastAsia"/>
          <w:bCs/>
          <w:color w:val="auto"/>
          <w:kern w:val="0"/>
          <w:sz w:val="24"/>
          <w:szCs w:val="24"/>
          <w:highlight w:val="none"/>
        </w:rPr>
        <w:t>投标承诺函</w:t>
      </w:r>
      <w:r>
        <w:rPr>
          <w:rFonts w:hint="eastAsia" w:asciiTheme="minorEastAsia" w:hAnsiTheme="minorEastAsia" w:eastAsiaTheme="minorEastAsia" w:cstheme="minorEastAsia"/>
          <w:color w:val="auto"/>
          <w:kern w:val="0"/>
          <w:sz w:val="24"/>
          <w:szCs w:val="24"/>
          <w:highlight w:val="none"/>
        </w:rPr>
        <w:t>的投标文件，其投标无效。</w:t>
      </w:r>
    </w:p>
    <w:p w14:paraId="0681F7C0">
      <w:pPr>
        <w:widowControl/>
        <w:spacing w:line="360" w:lineRule="auto"/>
        <w:ind w:firstLine="482"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11、投标有效期</w:t>
      </w:r>
    </w:p>
    <w:p w14:paraId="66D8431A">
      <w:pPr>
        <w:widowControl/>
        <w:spacing w:line="360" w:lineRule="auto"/>
        <w:ind w:firstLine="482"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11.1</w:t>
      </w:r>
      <w:r>
        <w:rPr>
          <w:rFonts w:hint="eastAsia" w:asciiTheme="minorEastAsia" w:hAnsiTheme="minorEastAsia" w:eastAsiaTheme="minorEastAsia" w:cstheme="minorEastAsia"/>
          <w:color w:val="auto"/>
          <w:kern w:val="0"/>
          <w:sz w:val="24"/>
          <w:szCs w:val="24"/>
          <w:highlight w:val="none"/>
        </w:rPr>
        <w:t>投标文件从开标之时起开始生效，投标有效期为60日历天（自投标截止之日起）。</w:t>
      </w:r>
    </w:p>
    <w:p w14:paraId="0F079A5F">
      <w:pPr>
        <w:widowControl/>
        <w:spacing w:line="360" w:lineRule="auto"/>
        <w:ind w:firstLine="482"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11.2</w:t>
      </w:r>
      <w:r>
        <w:rPr>
          <w:rFonts w:hint="eastAsia" w:asciiTheme="minorEastAsia" w:hAnsiTheme="minorEastAsia" w:eastAsiaTheme="minorEastAsia" w:cstheme="minorEastAsia"/>
          <w:color w:val="auto"/>
          <w:kern w:val="0"/>
          <w:sz w:val="24"/>
          <w:szCs w:val="24"/>
          <w:highlight w:val="none"/>
        </w:rPr>
        <w:t>在特殊情况下，采购人可征求投标供应商同意延长投标有效期，这种要求和答复均应以信函、传真等形式提交。投标供应商可以拒绝采购人的这种要求。同意延长投标有效期的投标供应商不需要也不允许修改其投标文件。</w:t>
      </w:r>
    </w:p>
    <w:p w14:paraId="559B3952">
      <w:pPr>
        <w:widowControl/>
        <w:spacing w:line="360" w:lineRule="auto"/>
        <w:ind w:firstLine="482"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12、投标文件的组成</w:t>
      </w:r>
    </w:p>
    <w:p w14:paraId="0B7F46BA">
      <w:pPr>
        <w:spacing w:line="360" w:lineRule="auto"/>
        <w:ind w:firstLine="480"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（1）投标函及投标函附表</w:t>
      </w:r>
    </w:p>
    <w:p w14:paraId="167D34A4">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（2）法定代表人身份证明及授权委托书</w:t>
      </w:r>
    </w:p>
    <w:p w14:paraId="5F468732">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（3）投标承诺函</w:t>
      </w:r>
    </w:p>
    <w:p w14:paraId="529EB9DC">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bCs/>
          <w:color w:val="auto"/>
          <w:sz w:val="24"/>
          <w:szCs w:val="24"/>
          <w:highlight w:val="none"/>
        </w:rPr>
        <w:t>投标供应商情况</w:t>
      </w:r>
    </w:p>
    <w:p w14:paraId="78F37A49">
      <w:pPr>
        <w:widowControl/>
        <w:spacing w:line="360" w:lineRule="auto"/>
        <w:ind w:firstLine="480"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（5）技术标</w:t>
      </w:r>
    </w:p>
    <w:p w14:paraId="06ADB482">
      <w:pPr>
        <w:widowControl/>
        <w:spacing w:line="360" w:lineRule="auto"/>
        <w:ind w:firstLine="480" w:firstLineChars="200"/>
        <w:rPr>
          <w:rFonts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（6）</w:t>
      </w:r>
      <w:r>
        <w:rPr>
          <w:rFonts w:hint="eastAsia" w:asciiTheme="minorEastAsia" w:hAnsiTheme="minorEastAsia" w:eastAsiaTheme="minorEastAsia" w:cstheme="minorEastAsia"/>
          <w:bCs/>
          <w:color w:val="auto"/>
          <w:sz w:val="24"/>
          <w:szCs w:val="24"/>
          <w:highlight w:val="none"/>
        </w:rPr>
        <w:t>商务标</w:t>
      </w:r>
    </w:p>
    <w:p w14:paraId="2028000C">
      <w:pPr>
        <w:widowControl/>
        <w:spacing w:line="360" w:lineRule="auto"/>
        <w:ind w:firstLine="480" w:firstLineChars="200"/>
        <w:rPr>
          <w:rFonts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（7）其他资料</w:t>
      </w:r>
    </w:p>
    <w:p w14:paraId="51C9962E">
      <w:pPr>
        <w:widowControl/>
        <w:spacing w:line="360" w:lineRule="auto"/>
        <w:ind w:firstLine="482"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13、投标文件的签署</w:t>
      </w:r>
    </w:p>
    <w:p w14:paraId="151AED3C">
      <w:pPr>
        <w:widowControl/>
        <w:spacing w:line="360" w:lineRule="auto"/>
        <w:ind w:firstLine="480"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13.1投标文件应加盖投标供应商单位公章和法定代表人签章。</w:t>
      </w:r>
    </w:p>
    <w:p w14:paraId="134540AC">
      <w:pPr>
        <w:widowControl/>
        <w:spacing w:line="360" w:lineRule="auto"/>
        <w:ind w:firstLine="482"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14、投标文件格式</w:t>
      </w:r>
    </w:p>
    <w:p w14:paraId="7D0AEFEA">
      <w:pPr>
        <w:widowControl/>
        <w:spacing w:line="360" w:lineRule="auto"/>
        <w:ind w:firstLine="480"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投标文件应包括本须知第16条中规定的全部内容，投标供应商提交的投标文件应当使用招标文件所提供的投标文件全部格式（表格可以按同样格式扩展）。</w:t>
      </w:r>
    </w:p>
    <w:p w14:paraId="1CD87C27">
      <w:pPr>
        <w:widowControl/>
        <w:spacing w:line="360" w:lineRule="auto"/>
        <w:ind w:firstLine="482" w:firstLineChars="200"/>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四、投标文件的递交</w:t>
      </w:r>
    </w:p>
    <w:p w14:paraId="5F74BB9D">
      <w:pPr>
        <w:widowControl/>
        <w:spacing w:line="360" w:lineRule="auto"/>
        <w:ind w:firstLine="482"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15、投标文件的递交</w:t>
      </w:r>
    </w:p>
    <w:p w14:paraId="01D8875F">
      <w:pPr>
        <w:widowControl/>
        <w:spacing w:line="360" w:lineRule="auto"/>
        <w:ind w:firstLine="480"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15.1 在规定时间内，上传投标文件至三门峡市公共资源交易中心平台。</w:t>
      </w:r>
    </w:p>
    <w:p w14:paraId="7EBFDB7D">
      <w:pPr>
        <w:widowControl/>
        <w:spacing w:line="360" w:lineRule="auto"/>
        <w:ind w:firstLine="482"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xml:space="preserve">16、投标截止时间 </w:t>
      </w:r>
    </w:p>
    <w:p w14:paraId="7DBFC417">
      <w:pPr>
        <w:widowControl/>
        <w:spacing w:line="360" w:lineRule="auto"/>
        <w:ind w:firstLine="482"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16.1.1</w:t>
      </w:r>
      <w:r>
        <w:rPr>
          <w:rFonts w:hint="eastAsia" w:asciiTheme="minorEastAsia" w:hAnsiTheme="minorEastAsia" w:eastAsiaTheme="minorEastAsia" w:cstheme="minorEastAsia"/>
          <w:color w:val="auto"/>
          <w:kern w:val="0"/>
          <w:sz w:val="24"/>
          <w:szCs w:val="24"/>
          <w:highlight w:val="none"/>
        </w:rPr>
        <w:t>投标文件的截止时间见本须知前附表规定。</w:t>
      </w:r>
    </w:p>
    <w:p w14:paraId="41DCF752">
      <w:pPr>
        <w:widowControl/>
        <w:spacing w:line="360" w:lineRule="auto"/>
        <w:ind w:firstLine="482"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16.1.2</w:t>
      </w:r>
      <w:r>
        <w:rPr>
          <w:rFonts w:hint="eastAsia" w:asciiTheme="minorEastAsia" w:hAnsiTheme="minorEastAsia" w:eastAsiaTheme="minorEastAsia" w:cstheme="minorEastAsia"/>
          <w:color w:val="auto"/>
          <w:kern w:val="0"/>
          <w:sz w:val="24"/>
          <w:szCs w:val="24"/>
          <w:highlight w:val="none"/>
        </w:rPr>
        <w:t>采购人可按本须知第2.2条规定以修改补充通知的方式，酌情延长递交投标文件的截止时间。在此情况下，投标供应商的所有权利和义务以及投标供应商受制约的截止时间，均以延长后新的投标截止时间为准。</w:t>
      </w:r>
    </w:p>
    <w:p w14:paraId="3219E327">
      <w:pPr>
        <w:widowControl/>
        <w:spacing w:line="360" w:lineRule="auto"/>
        <w:ind w:firstLine="482"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16.1.3</w:t>
      </w:r>
      <w:r>
        <w:rPr>
          <w:rFonts w:hint="eastAsia" w:asciiTheme="minorEastAsia" w:hAnsiTheme="minorEastAsia" w:eastAsiaTheme="minorEastAsia" w:cstheme="minorEastAsia"/>
          <w:color w:val="auto"/>
          <w:kern w:val="0"/>
          <w:sz w:val="24"/>
          <w:szCs w:val="24"/>
          <w:highlight w:val="none"/>
        </w:rPr>
        <w:t>到投标截止时间止，采购人收到的投标文件少于3家的，采购人将依法重新组织招标。</w:t>
      </w:r>
    </w:p>
    <w:p w14:paraId="399C581B">
      <w:pPr>
        <w:widowControl/>
        <w:spacing w:line="360" w:lineRule="auto"/>
        <w:ind w:firstLine="482"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16.2</w:t>
      </w:r>
      <w:r>
        <w:rPr>
          <w:rFonts w:hint="eastAsia" w:asciiTheme="minorEastAsia" w:hAnsiTheme="minorEastAsia" w:eastAsiaTheme="minorEastAsia" w:cstheme="minorEastAsia"/>
          <w:color w:val="auto"/>
          <w:kern w:val="0"/>
          <w:sz w:val="24"/>
          <w:szCs w:val="24"/>
          <w:highlight w:val="none"/>
        </w:rPr>
        <w:t>迟交的投标文件</w:t>
      </w:r>
    </w:p>
    <w:p w14:paraId="317AD91C">
      <w:pPr>
        <w:widowControl/>
        <w:spacing w:line="360" w:lineRule="auto"/>
        <w:ind w:firstLine="480"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逾期上传并签到的投标文件，采购人不予受理。</w:t>
      </w:r>
    </w:p>
    <w:p w14:paraId="026F648F">
      <w:pPr>
        <w:widowControl/>
        <w:spacing w:line="360" w:lineRule="auto"/>
        <w:ind w:firstLine="482"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16.3</w:t>
      </w:r>
      <w:r>
        <w:rPr>
          <w:rFonts w:hint="eastAsia" w:asciiTheme="minorEastAsia" w:hAnsiTheme="minorEastAsia" w:eastAsiaTheme="minorEastAsia" w:cstheme="minorEastAsia"/>
          <w:color w:val="auto"/>
          <w:kern w:val="0"/>
          <w:sz w:val="24"/>
          <w:szCs w:val="24"/>
          <w:highlight w:val="none"/>
        </w:rPr>
        <w:t>投标文件的补充、修改与撤回</w:t>
      </w:r>
    </w:p>
    <w:p w14:paraId="43E20DBB">
      <w:pPr>
        <w:widowControl/>
        <w:spacing w:line="360" w:lineRule="auto"/>
        <w:ind w:firstLine="482"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16.3.1</w:t>
      </w:r>
      <w:r>
        <w:rPr>
          <w:rFonts w:hint="eastAsia" w:asciiTheme="minorEastAsia" w:hAnsiTheme="minorEastAsia" w:eastAsiaTheme="minorEastAsia" w:cstheme="minorEastAsia"/>
          <w:color w:val="auto"/>
          <w:kern w:val="0"/>
          <w:sz w:val="24"/>
          <w:szCs w:val="24"/>
          <w:highlight w:val="none"/>
        </w:rPr>
        <w:t>投标供应商在递交投标文件以后，在规定的投标截止时间之前，可以补充修改或撤回已递交的投标文件，并通知采购人。补充、修改的内容为投标文件的组成部分。</w:t>
      </w:r>
    </w:p>
    <w:p w14:paraId="7B0CBA49">
      <w:pPr>
        <w:widowControl/>
        <w:spacing w:line="360" w:lineRule="auto"/>
        <w:ind w:firstLine="482"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16.3.2</w:t>
      </w:r>
      <w:r>
        <w:rPr>
          <w:rFonts w:hint="eastAsia" w:asciiTheme="minorEastAsia" w:hAnsiTheme="minorEastAsia" w:eastAsiaTheme="minorEastAsia" w:cstheme="minorEastAsia"/>
          <w:color w:val="auto"/>
          <w:kern w:val="0"/>
          <w:sz w:val="24"/>
          <w:szCs w:val="24"/>
          <w:highlight w:val="none"/>
        </w:rPr>
        <w:t>在投标截止时间之后，投标供应商不得补充、修改投标文件。</w:t>
      </w:r>
    </w:p>
    <w:p w14:paraId="25B96CC1">
      <w:pPr>
        <w:widowControl/>
        <w:spacing w:line="360" w:lineRule="auto"/>
        <w:ind w:firstLine="482" w:firstLineChars="200"/>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五、开标</w:t>
      </w:r>
    </w:p>
    <w:p w14:paraId="16207B8A">
      <w:pPr>
        <w:widowControl/>
        <w:spacing w:line="360" w:lineRule="auto"/>
        <w:ind w:firstLine="482" w:firstLineChars="200"/>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17、开标</w:t>
      </w:r>
    </w:p>
    <w:p w14:paraId="62C4AB4D">
      <w:pPr>
        <w:widowControl/>
        <w:spacing w:line="360" w:lineRule="auto"/>
        <w:ind w:firstLine="480" w:firstLineChars="200"/>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17.1采购人按本须知前附表所规定的时间和地点公开开标，开标会议由采购代理机构主持，在有关部门监督下进行。</w:t>
      </w:r>
    </w:p>
    <w:p w14:paraId="21BA56A0">
      <w:pPr>
        <w:widowControl/>
        <w:spacing w:line="360" w:lineRule="auto"/>
        <w:ind w:firstLine="480" w:firstLineChars="200"/>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17.2开标程序：</w:t>
      </w:r>
    </w:p>
    <w:p w14:paraId="248E505E">
      <w:pPr>
        <w:pStyle w:val="11"/>
        <w:wordWrap w:val="0"/>
        <w:spacing w:line="360" w:lineRule="auto"/>
        <w:ind w:firstLine="480" w:firstLineChars="200"/>
        <w:jc w:val="both"/>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本项目采用电子化、无纸化进行招标，开标当日，投标供应商无需到开标现场参加开标会议，投标供应商应当在投标截止时间前，登陆不见面开标大厅选择登陆三门峡市公共资源电子招投标系统进行登陆（网址为http://120.194.249.36:10094/BidOpening/bidopeninghallaction/hall/login）,在线准时参加开标活动并进行投标文件解密等。</w:t>
      </w:r>
    </w:p>
    <w:p w14:paraId="233D90CE">
      <w:pPr>
        <w:widowControl/>
        <w:spacing w:line="360" w:lineRule="auto"/>
        <w:ind w:firstLine="480" w:firstLineChars="200"/>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电子化投标文件采用一次加密方式。开标时，由投标供应商使用CA 证书，在规定时间内对其电子化投标文件进行解密。每位投标供应商的解密时间为开标时间起30分钟内，如在规定时间内未完成解密的，其投标文件不予开标、唱标。每位投标供应商的解密时间为开标时间起30分钟内完成。</w:t>
      </w:r>
    </w:p>
    <w:p w14:paraId="1E226090">
      <w:pPr>
        <w:widowControl/>
        <w:spacing w:line="360" w:lineRule="auto"/>
        <w:ind w:firstLine="480" w:firstLineChars="200"/>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17.3电子化投标文件解密异常的处理</w:t>
      </w:r>
    </w:p>
    <w:p w14:paraId="24432AFD">
      <w:pPr>
        <w:widowControl/>
        <w:spacing w:line="360" w:lineRule="auto"/>
        <w:ind w:firstLine="480" w:firstLineChars="200"/>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如出现投标供应商的电子投标文件无法解密等异常情况，投标供应商应及时致电技术人员说明。投标文件异常，按以下步骤进行处理：</w:t>
      </w:r>
    </w:p>
    <w:p w14:paraId="5F5B04B3">
      <w:pPr>
        <w:widowControl/>
        <w:spacing w:line="360" w:lineRule="auto"/>
        <w:ind w:firstLine="480" w:firstLineChars="200"/>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（1）首先由技术人员进行问题排查。</w:t>
      </w:r>
    </w:p>
    <w:p w14:paraId="2A0A4451">
      <w:pPr>
        <w:widowControl/>
        <w:spacing w:line="360" w:lineRule="auto"/>
        <w:ind w:firstLine="480" w:firstLineChars="200"/>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（2）经技术人员排查后，是投标供应商文件自身问题导致投标文件无法解密的，该投标文件将不予接收、解密和唱标。开标会议继续进行。</w:t>
      </w:r>
    </w:p>
    <w:p w14:paraId="561C6D3C">
      <w:pPr>
        <w:widowControl/>
        <w:spacing w:line="360" w:lineRule="auto"/>
        <w:ind w:firstLine="480" w:firstLineChars="200"/>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715DBDF1">
      <w:pPr>
        <w:widowControl/>
        <w:spacing w:line="360" w:lineRule="auto"/>
        <w:ind w:firstLine="480" w:firstLineChars="200"/>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17.4待所有投标供应商投标文件解密完成后，由中介服务机构操作，对所有已解密投标文件进行唱标。</w:t>
      </w:r>
    </w:p>
    <w:p w14:paraId="22F027E9">
      <w:pPr>
        <w:widowControl/>
        <w:spacing w:line="360" w:lineRule="auto"/>
        <w:ind w:firstLine="480" w:firstLineChars="200"/>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投标供应商应保证在开标期间电话、电脑、网络能够正常工作，投标供应商因停电、电脑病毒、网络堵塞等原因，未在规定的解密时间内对投标文件进行解密的，其投标文件不予接收、唱标。</w:t>
      </w:r>
    </w:p>
    <w:p w14:paraId="3CACB63E">
      <w:pPr>
        <w:widowControl/>
        <w:spacing w:line="360" w:lineRule="auto"/>
        <w:ind w:firstLine="480" w:firstLineChars="200"/>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1</w:t>
      </w:r>
      <w:r>
        <w:rPr>
          <w:rFonts w:hint="eastAsia" w:asciiTheme="minorEastAsia" w:hAnsiTheme="minorEastAsia" w:eastAsiaTheme="minorEastAsia" w:cstheme="minorEastAsia"/>
          <w:color w:val="auto"/>
          <w:kern w:val="0"/>
          <w:sz w:val="24"/>
          <w:szCs w:val="24"/>
          <w:highlight w:val="none"/>
        </w:rPr>
        <w:t>7.5 开标时投标人可登录到交易系统中在开标解密栏中点击报价一览表查看自己的投标报价。如对自己的唱标内容有异议的，应在投标人解密成功后10分钟内向中服务机构通过开标大厅对话框提出质疑。中介服务机构做好书面记录。投标人未在规定时间内提出质疑的，视为认可唱标内容。</w:t>
      </w:r>
    </w:p>
    <w:p w14:paraId="49F9ED8C">
      <w:pPr>
        <w:widowControl/>
        <w:spacing w:line="360" w:lineRule="auto"/>
        <w:ind w:firstLine="480" w:firstLineChars="200"/>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17.6投标文件的有效性</w:t>
      </w:r>
    </w:p>
    <w:p w14:paraId="6FDC5D07">
      <w:pPr>
        <w:widowControl/>
        <w:spacing w:line="360" w:lineRule="auto"/>
        <w:ind w:firstLine="480" w:firstLineChars="200"/>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17.6.1投标文件有下列情形之一的为无效投标文件，采购人不予受理：</w:t>
      </w:r>
    </w:p>
    <w:p w14:paraId="2B4824D9">
      <w:pPr>
        <w:widowControl/>
        <w:spacing w:line="360" w:lineRule="auto"/>
        <w:ind w:firstLine="480" w:firstLineChars="200"/>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 逾期上传的或者未上传指定平台的；</w:t>
      </w:r>
    </w:p>
    <w:p w14:paraId="2FAD5B3F">
      <w:pPr>
        <w:widowControl/>
        <w:spacing w:line="360" w:lineRule="auto"/>
        <w:ind w:firstLine="480" w:firstLineChars="200"/>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 未按规定递交投标承诺函的。</w:t>
      </w:r>
    </w:p>
    <w:p w14:paraId="5B27C53E">
      <w:pPr>
        <w:widowControl/>
        <w:spacing w:line="360" w:lineRule="auto"/>
        <w:ind w:firstLine="480" w:firstLineChars="200"/>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17.6.2 采购人将有效投标文件，送评标委员会进行评审、比较。</w:t>
      </w:r>
    </w:p>
    <w:p w14:paraId="7B7C637F">
      <w:pPr>
        <w:widowControl/>
        <w:spacing w:line="360" w:lineRule="auto"/>
        <w:ind w:firstLine="482" w:firstLineChars="200"/>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六、评标与定标</w:t>
      </w:r>
    </w:p>
    <w:p w14:paraId="2801401A">
      <w:pPr>
        <w:widowControl/>
        <w:spacing w:line="360" w:lineRule="auto"/>
        <w:ind w:firstLine="482"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18.评标委员会</w:t>
      </w:r>
    </w:p>
    <w:p w14:paraId="106BE0B3">
      <w:pPr>
        <w:widowControl/>
        <w:spacing w:line="360" w:lineRule="auto"/>
        <w:ind w:firstLine="482"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18.1</w:t>
      </w:r>
      <w:r>
        <w:rPr>
          <w:rFonts w:hint="eastAsia" w:asciiTheme="minorEastAsia" w:hAnsiTheme="minorEastAsia" w:eastAsiaTheme="minorEastAsia" w:cstheme="minorEastAsia"/>
          <w:color w:val="auto"/>
          <w:kern w:val="0"/>
          <w:sz w:val="24"/>
          <w:szCs w:val="24"/>
          <w:highlight w:val="none"/>
        </w:rPr>
        <w:t>评标由采购人依法组建的评标委员会负责。评标委员会由采购人熟悉相关业务的代表，以及有关方面的专家组成。评标委员会成员人数以及专家的确定方式见投标供应商须知前附表。</w:t>
      </w:r>
    </w:p>
    <w:p w14:paraId="2FE91A39">
      <w:pPr>
        <w:widowControl/>
        <w:spacing w:line="360" w:lineRule="auto"/>
        <w:ind w:firstLine="482"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18.2</w:t>
      </w:r>
      <w:r>
        <w:rPr>
          <w:rFonts w:hint="eastAsia" w:asciiTheme="minorEastAsia" w:hAnsiTheme="minorEastAsia" w:eastAsiaTheme="minorEastAsia" w:cstheme="minorEastAsia"/>
          <w:color w:val="auto"/>
          <w:kern w:val="0"/>
          <w:sz w:val="24"/>
          <w:szCs w:val="24"/>
          <w:highlight w:val="none"/>
        </w:rPr>
        <w:t>评标委员会成员有下列情形之一的，应当回避：</w:t>
      </w:r>
    </w:p>
    <w:p w14:paraId="5C86736A">
      <w:pPr>
        <w:widowControl/>
        <w:spacing w:line="360" w:lineRule="auto"/>
        <w:ind w:firstLine="480"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（1）采购人或投标供应商的主要负责人的近亲属；</w:t>
      </w:r>
    </w:p>
    <w:p w14:paraId="2A23FF4B">
      <w:pPr>
        <w:widowControl/>
        <w:spacing w:line="360" w:lineRule="auto"/>
        <w:ind w:firstLine="480"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（2）项目主管部门或者行政监督部门的人员；</w:t>
      </w:r>
    </w:p>
    <w:p w14:paraId="400D80C6">
      <w:pPr>
        <w:widowControl/>
        <w:spacing w:line="360" w:lineRule="auto"/>
        <w:ind w:firstLine="480"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（3）与投标供应商有经济利益关系，可能影响对投标公正评审的；</w:t>
      </w:r>
    </w:p>
    <w:p w14:paraId="13D6C4AA">
      <w:pPr>
        <w:widowControl/>
        <w:spacing w:line="360" w:lineRule="auto"/>
        <w:ind w:firstLine="480"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（4）曾因在招标、评标以及其他与招标投标有关活动中从事违法行为而受过行政处罚或刑事处罚的。</w:t>
      </w:r>
    </w:p>
    <w:p w14:paraId="078874D8">
      <w:pPr>
        <w:widowControl/>
        <w:spacing w:line="360" w:lineRule="auto"/>
        <w:ind w:firstLine="482" w:firstLineChars="200"/>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19.评标过程的保密</w:t>
      </w:r>
    </w:p>
    <w:p w14:paraId="2143EF76">
      <w:pPr>
        <w:widowControl/>
        <w:spacing w:line="360" w:lineRule="auto"/>
        <w:ind w:firstLine="480" w:firstLineChars="200"/>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19.1开标后，直至授予中标投标供应商合同为止，凡属于对投标文件的审查、澄清、评价和比较有关的资料，中标候选人的推荐情况，及其他任何与评标有关的情况均应严格保密。</w:t>
      </w:r>
    </w:p>
    <w:p w14:paraId="098D463C">
      <w:pPr>
        <w:widowControl/>
        <w:spacing w:line="360" w:lineRule="auto"/>
        <w:ind w:firstLine="480" w:firstLineChars="200"/>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19.2在投标文件的评审和比较、中标候选人推荐以及授予合同的过程中，投标供应商向采购人和评标委员会施加影响的任何行为，都将会导致其投标被拒绝。</w:t>
      </w:r>
    </w:p>
    <w:p w14:paraId="5E3EE839">
      <w:pPr>
        <w:widowControl/>
        <w:spacing w:line="360" w:lineRule="auto"/>
        <w:ind w:firstLine="480" w:firstLineChars="200"/>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19.3中标供应商确定后，采购人不对未中标供应商就评标过程以及未能成交原因作出任何解释。未中标供应商不得向评标委员会组成人员或其他有关人员索问评标过程的情况和材料。</w:t>
      </w:r>
    </w:p>
    <w:p w14:paraId="534E4CFD">
      <w:pPr>
        <w:widowControl/>
        <w:spacing w:line="360" w:lineRule="auto"/>
        <w:ind w:firstLine="482" w:firstLineChars="200"/>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20. 评标原则</w:t>
      </w:r>
    </w:p>
    <w:p w14:paraId="65E95864">
      <w:pPr>
        <w:widowControl/>
        <w:spacing w:line="360" w:lineRule="auto"/>
        <w:ind w:firstLine="480" w:firstLineChars="200"/>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评标活动遵循公平、公正、科学和择优的原则。</w:t>
      </w:r>
    </w:p>
    <w:p w14:paraId="40736E48">
      <w:pPr>
        <w:widowControl/>
        <w:spacing w:line="360" w:lineRule="auto"/>
        <w:ind w:firstLine="482" w:firstLineChars="200"/>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21、投标文件的澄清</w:t>
      </w:r>
    </w:p>
    <w:p w14:paraId="18B1A676">
      <w:pPr>
        <w:widowControl/>
        <w:spacing w:line="360" w:lineRule="auto"/>
        <w:ind w:firstLine="480" w:firstLineChars="200"/>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为有助于投标文件的审查、评价和比较，评标委员会可以通知投标供应商对投标文件含义不明确的内容作必要的澄清或说明，投标供应商应进行澄清或说明，但不得超出投标文件的范围或改变投标文件的实质性内容。根据本须知规定，凡属于评标委员会在评标中发现的计算错误并进行核实的修改不在此列。</w:t>
      </w:r>
    </w:p>
    <w:p w14:paraId="4E31DF25">
      <w:pPr>
        <w:widowControl/>
        <w:spacing w:line="360" w:lineRule="auto"/>
        <w:ind w:firstLine="482" w:firstLineChars="200"/>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22、投标文件的初步评审</w:t>
      </w:r>
    </w:p>
    <w:p w14:paraId="1E09D7DC">
      <w:pPr>
        <w:widowControl/>
        <w:spacing w:line="360" w:lineRule="auto"/>
        <w:ind w:firstLine="480" w:firstLineChars="200"/>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22.1评标委员会应当对符合资格的投标供应商的投标文件进行符合性审查，以确定其是否满足招标文件的实质性要求。</w:t>
      </w:r>
    </w:p>
    <w:p w14:paraId="72E8FA65">
      <w:pPr>
        <w:widowControl/>
        <w:spacing w:line="360" w:lineRule="auto"/>
        <w:ind w:firstLine="480" w:firstLineChars="200"/>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22.2投标价超出采购人预算的投标将会被拒绝。</w:t>
      </w:r>
    </w:p>
    <w:p w14:paraId="3F438CCF">
      <w:pPr>
        <w:widowControl/>
        <w:spacing w:line="360" w:lineRule="auto"/>
        <w:ind w:firstLine="480" w:firstLineChars="200"/>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22.3实质上没有响应招标文件要求的投标将被拒绝，投标供应商不得通过修正或撤消不符之处而使其投标成为实质上响应投标。</w:t>
      </w:r>
    </w:p>
    <w:p w14:paraId="54CD70A1">
      <w:pPr>
        <w:widowControl/>
        <w:spacing w:line="360" w:lineRule="auto"/>
        <w:ind w:firstLine="480" w:firstLineChars="200"/>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22.4评标中有下列情形之一的，其投标将会被拒绝：</w:t>
      </w:r>
    </w:p>
    <w:p w14:paraId="5C1011CA">
      <w:pPr>
        <w:widowControl/>
        <w:spacing w:line="360" w:lineRule="auto"/>
        <w:ind w:firstLine="480" w:firstLineChars="200"/>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(1)投标供应商未按照招标文件的规定提交投标承诺函的；</w:t>
      </w:r>
    </w:p>
    <w:p w14:paraId="7FACB613">
      <w:pPr>
        <w:widowControl/>
        <w:spacing w:line="360" w:lineRule="auto"/>
        <w:ind w:firstLine="480" w:firstLineChars="200"/>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(2)投标文件未按招标文件要求签署、盖章的；</w:t>
      </w:r>
    </w:p>
    <w:p w14:paraId="5205FE20">
      <w:pPr>
        <w:widowControl/>
        <w:spacing w:line="360" w:lineRule="auto"/>
        <w:ind w:firstLine="480" w:firstLineChars="200"/>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(3)不具备招标文件中规定的资质要求的；</w:t>
      </w:r>
    </w:p>
    <w:p w14:paraId="165A9E70">
      <w:pPr>
        <w:widowControl/>
        <w:spacing w:line="360" w:lineRule="auto"/>
        <w:ind w:firstLine="480" w:firstLineChars="200"/>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(4)报价超过招标文件中规定的预算金额或者最高限价的；</w:t>
      </w:r>
    </w:p>
    <w:p w14:paraId="5963B5C0">
      <w:pPr>
        <w:widowControl/>
        <w:spacing w:line="360" w:lineRule="auto"/>
        <w:ind w:firstLine="480" w:firstLineChars="200"/>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(5)投标文件含有采购人不能接受的附加条件的；</w:t>
      </w:r>
    </w:p>
    <w:p w14:paraId="3EF72FCF">
      <w:pPr>
        <w:widowControl/>
        <w:spacing w:line="360" w:lineRule="auto"/>
        <w:ind w:firstLine="480"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(6)法律、法规和招标文件规定的其他无效情形。</w:t>
      </w:r>
    </w:p>
    <w:p w14:paraId="25AACA00">
      <w:pPr>
        <w:widowControl/>
        <w:spacing w:line="360" w:lineRule="auto"/>
        <w:ind w:firstLine="482"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23、投标文件计算错误的修正</w:t>
      </w:r>
    </w:p>
    <w:p w14:paraId="12345423">
      <w:pPr>
        <w:spacing w:line="360" w:lineRule="auto"/>
        <w:ind w:firstLine="482"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23.1</w:t>
      </w:r>
      <w:r>
        <w:rPr>
          <w:rFonts w:hint="eastAsia" w:asciiTheme="minorEastAsia" w:hAnsiTheme="minorEastAsia" w:eastAsiaTheme="minorEastAsia" w:cstheme="minorEastAsia"/>
          <w:color w:val="auto"/>
          <w:kern w:val="0"/>
          <w:sz w:val="24"/>
          <w:szCs w:val="24"/>
          <w:highlight w:val="none"/>
        </w:rPr>
        <w:t>对于投标文件中含义不明确、同类问题表述不一致或者有明显文字和计算错误的内容，评标委员会应当以书面形式要求投标供应商作出必要的澄清、说明或者补正。投标文件报价出现前后不一致的按以下方法修正：</w:t>
      </w:r>
    </w:p>
    <w:p w14:paraId="1CC75BB2">
      <w:pPr>
        <w:widowControl/>
        <w:spacing w:line="360" w:lineRule="auto"/>
        <w:ind w:firstLine="480"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23.1.1</w:t>
      </w:r>
      <w:r>
        <w:rPr>
          <w:rFonts w:hint="eastAsia" w:asciiTheme="minorEastAsia" w:hAnsiTheme="minorEastAsia" w:eastAsiaTheme="minorEastAsia" w:cstheme="minorEastAsia"/>
          <w:color w:val="auto"/>
          <w:sz w:val="24"/>
          <w:szCs w:val="24"/>
          <w:highlight w:val="none"/>
        </w:rPr>
        <w:t>投标文件中投标函附表（报价表）内容与投标文件中相应内容不一致的，以投标函附表（报价表）为准；</w:t>
      </w:r>
    </w:p>
    <w:p w14:paraId="494C0618">
      <w:pPr>
        <w:widowControl/>
        <w:spacing w:line="360" w:lineRule="auto"/>
        <w:ind w:firstLine="480" w:firstLineChars="200"/>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23.1.2</w:t>
      </w:r>
      <w:r>
        <w:rPr>
          <w:rFonts w:hint="eastAsia" w:asciiTheme="minorEastAsia" w:hAnsiTheme="minorEastAsia" w:eastAsiaTheme="minorEastAsia" w:cstheme="minorEastAsia"/>
          <w:color w:val="auto"/>
          <w:kern w:val="0"/>
          <w:sz w:val="24"/>
          <w:szCs w:val="24"/>
          <w:highlight w:val="none"/>
        </w:rPr>
        <w:t>大写金额和小写金额不一致的，以大写金额为准；</w:t>
      </w:r>
    </w:p>
    <w:p w14:paraId="08701D5B">
      <w:pPr>
        <w:widowControl/>
        <w:spacing w:line="360" w:lineRule="auto"/>
        <w:ind w:firstLine="480" w:firstLineChars="200"/>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23.1.3单价金额小数点或者百分比有明显错位的，以开标一览表的总价为准，并修改单价；</w:t>
      </w:r>
    </w:p>
    <w:p w14:paraId="6C93D3DE">
      <w:pPr>
        <w:widowControl/>
        <w:spacing w:line="360" w:lineRule="auto"/>
        <w:ind w:firstLine="480" w:firstLineChars="200"/>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23.1.4总价金额与按单价汇总金额不一致的，以单价金额计算结果为准。</w:t>
      </w:r>
    </w:p>
    <w:p w14:paraId="0D5372A2">
      <w:pPr>
        <w:widowControl/>
        <w:spacing w:line="360" w:lineRule="auto"/>
        <w:ind w:firstLine="480" w:firstLineChars="200"/>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同时出现两种以上不一致的，按照顺序修正。投标供应商不确认的，其投标无效。</w:t>
      </w:r>
    </w:p>
    <w:p w14:paraId="61022AE7">
      <w:pPr>
        <w:widowControl/>
        <w:spacing w:line="360" w:lineRule="auto"/>
        <w:ind w:firstLine="482"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24. 投标文件的评审、比较和否决</w:t>
      </w:r>
    </w:p>
    <w:p w14:paraId="2E4A95D2">
      <w:pPr>
        <w:widowControl/>
        <w:spacing w:line="360" w:lineRule="auto"/>
        <w:ind w:firstLine="482"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24.1</w:t>
      </w:r>
      <w:r>
        <w:rPr>
          <w:rFonts w:hint="eastAsia" w:asciiTheme="minorEastAsia" w:hAnsiTheme="minorEastAsia" w:eastAsiaTheme="minorEastAsia" w:cstheme="minorEastAsia"/>
          <w:color w:val="auto"/>
          <w:kern w:val="0"/>
          <w:sz w:val="24"/>
          <w:szCs w:val="24"/>
          <w:highlight w:val="none"/>
        </w:rPr>
        <w:t>评标委员会将按照招标文件的规定，仅对在实质上响应招标文件要求的投标文件进行评估和比较。</w:t>
      </w:r>
    </w:p>
    <w:p w14:paraId="323EBF43">
      <w:pPr>
        <w:widowControl/>
        <w:spacing w:line="360" w:lineRule="auto"/>
        <w:ind w:firstLine="482"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24.2</w:t>
      </w:r>
      <w:r>
        <w:rPr>
          <w:rFonts w:hint="eastAsia" w:asciiTheme="minorEastAsia" w:hAnsiTheme="minorEastAsia" w:eastAsiaTheme="minorEastAsia" w:cstheme="minorEastAsia"/>
          <w:color w:val="auto"/>
          <w:kern w:val="0"/>
          <w:sz w:val="24"/>
          <w:szCs w:val="24"/>
          <w:highlight w:val="none"/>
        </w:rPr>
        <w:t>根据相关法律法规，结合本项目具体情况，制定本次招标评标办法。并按照“公平、公正、科学、择优”的原则进行评标。</w:t>
      </w:r>
    </w:p>
    <w:p w14:paraId="53068EE6">
      <w:pPr>
        <w:widowControl/>
        <w:spacing w:line="360" w:lineRule="auto"/>
        <w:ind w:firstLine="482"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24.3</w:t>
      </w:r>
      <w:r>
        <w:rPr>
          <w:rFonts w:hint="eastAsia" w:asciiTheme="minorEastAsia" w:hAnsiTheme="minorEastAsia" w:eastAsiaTheme="minorEastAsia" w:cstheme="minorEastAsia"/>
          <w:color w:val="auto"/>
          <w:kern w:val="0"/>
          <w:sz w:val="24"/>
          <w:szCs w:val="24"/>
          <w:highlight w:val="none"/>
        </w:rPr>
        <w:t>在评审过程中，评标委员会可以要求投标供应商就投标文件中含义不明确的内容进行说明并提供相关材料。</w:t>
      </w:r>
    </w:p>
    <w:p w14:paraId="3D57D3DB">
      <w:pPr>
        <w:widowControl/>
        <w:spacing w:line="360" w:lineRule="auto"/>
        <w:ind w:firstLine="482"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24.4</w:t>
      </w:r>
      <w:r>
        <w:rPr>
          <w:rFonts w:hint="eastAsia" w:asciiTheme="minorEastAsia" w:hAnsiTheme="minorEastAsia" w:eastAsiaTheme="minorEastAsia" w:cstheme="minorEastAsia"/>
          <w:color w:val="auto"/>
          <w:kern w:val="0"/>
          <w:sz w:val="24"/>
          <w:szCs w:val="24"/>
          <w:highlight w:val="none"/>
        </w:rPr>
        <w:t>评标时，投标报价是评标的重要依据，但不是唯一依据，采购人不承诺将合同授予报价最低或最高的投标供应商。</w:t>
      </w:r>
    </w:p>
    <w:p w14:paraId="448A8AE4">
      <w:pPr>
        <w:widowControl/>
        <w:spacing w:line="360" w:lineRule="auto"/>
        <w:ind w:firstLine="482" w:firstLineChars="200"/>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24.5</w:t>
      </w:r>
      <w:r>
        <w:rPr>
          <w:rFonts w:hint="eastAsia" w:asciiTheme="minorEastAsia" w:hAnsiTheme="minorEastAsia" w:eastAsiaTheme="minorEastAsia" w:cstheme="minorEastAsia"/>
          <w:color w:val="auto"/>
          <w:kern w:val="0"/>
          <w:sz w:val="24"/>
          <w:szCs w:val="24"/>
          <w:highlight w:val="none"/>
        </w:rPr>
        <w:t>评标委员会依据本须知规定的评标标准和方法，对投标文件进行评审和比较，向采购人提出书面评标报告，并推荐合格的中标候选人。采购人根据评标委员会提出的书面评标报告和推荐的中标候选人按序确定中标投标供应商。</w:t>
      </w:r>
    </w:p>
    <w:p w14:paraId="6516BF02">
      <w:pPr>
        <w:widowControl/>
        <w:spacing w:line="360" w:lineRule="auto"/>
        <w:ind w:firstLine="482" w:firstLineChars="200"/>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七、授予合同</w:t>
      </w:r>
    </w:p>
    <w:p w14:paraId="0257A5DF">
      <w:pPr>
        <w:widowControl/>
        <w:spacing w:line="360" w:lineRule="auto"/>
        <w:ind w:firstLine="482" w:firstLineChars="200"/>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25、合同授予标准</w:t>
      </w:r>
    </w:p>
    <w:p w14:paraId="71D764BE">
      <w:pPr>
        <w:widowControl/>
        <w:spacing w:line="360" w:lineRule="auto"/>
        <w:ind w:firstLine="482" w:firstLineChars="200"/>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25.1</w:t>
      </w:r>
      <w:r>
        <w:rPr>
          <w:rFonts w:hint="eastAsia" w:asciiTheme="minorEastAsia" w:hAnsiTheme="minorEastAsia" w:eastAsiaTheme="minorEastAsia" w:cstheme="minorEastAsia"/>
          <w:color w:val="auto"/>
          <w:kern w:val="0"/>
          <w:sz w:val="24"/>
          <w:szCs w:val="24"/>
          <w:highlight w:val="none"/>
        </w:rPr>
        <w:t>本招标项目的合同将授予按本评标办法确定的中标投标供应商。</w:t>
      </w:r>
    </w:p>
    <w:p w14:paraId="6D926DF7">
      <w:pPr>
        <w:widowControl/>
        <w:spacing w:line="360" w:lineRule="auto"/>
        <w:ind w:firstLine="482" w:firstLineChars="200"/>
        <w:jc w:val="left"/>
        <w:rPr>
          <w:rFonts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25.2</w:t>
      </w:r>
      <w:r>
        <w:rPr>
          <w:rFonts w:hint="eastAsia" w:asciiTheme="minorEastAsia" w:hAnsiTheme="minorEastAsia" w:eastAsiaTheme="minorEastAsia" w:cstheme="minorEastAsia"/>
          <w:color w:val="auto"/>
          <w:kern w:val="0"/>
          <w:sz w:val="24"/>
          <w:szCs w:val="24"/>
          <w:highlight w:val="none"/>
        </w:rPr>
        <w:t>采购人和其委托的采购代理机构，在政府采购项目评审结束后，当天内完成评标报告报送、中标成交投标供应商的确定、中标公告发布、中标成交通知书发出等工作。</w:t>
      </w:r>
    </w:p>
    <w:p w14:paraId="61608BC3">
      <w:pPr>
        <w:widowControl/>
        <w:spacing w:line="360" w:lineRule="auto"/>
        <w:ind w:firstLine="482" w:firstLineChars="200"/>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25.3</w:t>
      </w:r>
      <w:r>
        <w:rPr>
          <w:rFonts w:hint="eastAsia" w:asciiTheme="minorEastAsia" w:hAnsiTheme="minorEastAsia" w:eastAsiaTheme="minorEastAsia" w:cstheme="minorEastAsia"/>
          <w:color w:val="auto"/>
          <w:kern w:val="0"/>
          <w:sz w:val="24"/>
          <w:szCs w:val="24"/>
          <w:highlight w:val="none"/>
        </w:rPr>
        <w:t>采购人确定排名第一的中标候选人为中标投标供应商。当确定中标的中标候选人放弃中标、未按要求提供履约保证金或因不可抗力提出不能履行合同的，采购人可以按相关规定执行。</w:t>
      </w:r>
    </w:p>
    <w:p w14:paraId="15C4AEB5">
      <w:pPr>
        <w:widowControl/>
        <w:spacing w:line="360" w:lineRule="auto"/>
        <w:ind w:firstLine="482" w:firstLineChars="200"/>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26、采购人拒绝投标的权力</w:t>
      </w:r>
    </w:p>
    <w:p w14:paraId="6BF07ECD">
      <w:pPr>
        <w:widowControl/>
        <w:spacing w:line="360" w:lineRule="auto"/>
        <w:ind w:firstLine="480" w:firstLineChars="200"/>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采购人不承诺将合同授予报价最低的或最高的成交（成交）候选人。</w:t>
      </w:r>
    </w:p>
    <w:p w14:paraId="050453C4">
      <w:pPr>
        <w:widowControl/>
        <w:spacing w:line="360" w:lineRule="auto"/>
        <w:ind w:firstLine="482" w:firstLineChars="200"/>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27、中标通知</w:t>
      </w:r>
    </w:p>
    <w:p w14:paraId="0967E782">
      <w:pPr>
        <w:widowControl/>
        <w:spacing w:line="360" w:lineRule="auto"/>
        <w:ind w:firstLine="482" w:firstLineChars="200"/>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27.1</w:t>
      </w:r>
      <w:r>
        <w:rPr>
          <w:rFonts w:hint="eastAsia" w:asciiTheme="minorEastAsia" w:hAnsiTheme="minorEastAsia" w:eastAsiaTheme="minorEastAsia" w:cstheme="minorEastAsia"/>
          <w:color w:val="auto"/>
          <w:kern w:val="0"/>
          <w:sz w:val="24"/>
          <w:szCs w:val="24"/>
          <w:highlight w:val="none"/>
        </w:rPr>
        <w:t>中标投标供应商确定后，在发布本项目招标公告的媒介上发布中标公告。</w:t>
      </w:r>
    </w:p>
    <w:p w14:paraId="45946A03">
      <w:pPr>
        <w:widowControl/>
        <w:spacing w:line="360" w:lineRule="auto"/>
        <w:ind w:firstLine="482" w:firstLineChars="200"/>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27.2</w:t>
      </w:r>
      <w:r>
        <w:rPr>
          <w:rFonts w:hint="eastAsia" w:asciiTheme="minorEastAsia" w:hAnsiTheme="minorEastAsia" w:eastAsiaTheme="minorEastAsia" w:cstheme="minorEastAsia"/>
          <w:color w:val="auto"/>
          <w:kern w:val="0"/>
          <w:sz w:val="24"/>
          <w:szCs w:val="24"/>
          <w:highlight w:val="none"/>
        </w:rPr>
        <w:t>中标通知书是合同的组成部分。</w:t>
      </w:r>
    </w:p>
    <w:p w14:paraId="7ED2F4E5">
      <w:pPr>
        <w:widowControl/>
        <w:spacing w:line="360" w:lineRule="auto"/>
        <w:ind w:firstLine="482" w:firstLineChars="200"/>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27.3</w:t>
      </w:r>
      <w:r>
        <w:rPr>
          <w:rFonts w:hint="eastAsia" w:asciiTheme="minorEastAsia" w:hAnsiTheme="minorEastAsia" w:eastAsiaTheme="minorEastAsia" w:cstheme="minorEastAsia"/>
          <w:color w:val="auto"/>
          <w:kern w:val="0"/>
          <w:sz w:val="24"/>
          <w:szCs w:val="24"/>
          <w:highlight w:val="none"/>
        </w:rPr>
        <w:t>对未中标的投标供应商，不做任何未中标原因的解释。所有投标文件不予退还。</w:t>
      </w:r>
    </w:p>
    <w:p w14:paraId="01D3F4F2">
      <w:pPr>
        <w:widowControl/>
        <w:spacing w:line="360" w:lineRule="auto"/>
        <w:ind w:firstLine="482" w:firstLineChars="200"/>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28.合同协议书的签署</w:t>
      </w:r>
    </w:p>
    <w:p w14:paraId="41D5EBB1">
      <w:pPr>
        <w:widowControl/>
        <w:spacing w:line="360" w:lineRule="auto"/>
        <w:ind w:firstLine="482" w:firstLineChars="200"/>
        <w:jc w:val="left"/>
        <w:rPr>
          <w:rFonts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28.1</w:t>
      </w:r>
      <w:r>
        <w:rPr>
          <w:rFonts w:hint="eastAsia" w:asciiTheme="minorEastAsia" w:hAnsiTheme="minorEastAsia" w:eastAsiaTheme="minorEastAsia" w:cstheme="minorEastAsia"/>
          <w:bCs/>
          <w:color w:val="auto"/>
          <w:sz w:val="24"/>
          <w:szCs w:val="24"/>
          <w:highlight w:val="none"/>
        </w:rPr>
        <w:t>采购人与中标投标供应商将于中标通知书发出之日起2个工作日内，按照招标文件及中标投标供应商的电子化投标文件订立书面采购合</w:t>
      </w:r>
      <w:r>
        <w:rPr>
          <w:rFonts w:hint="eastAsia" w:asciiTheme="minorEastAsia" w:hAnsiTheme="minorEastAsia" w:eastAsiaTheme="minorEastAsia" w:cstheme="minorEastAsia"/>
          <w:color w:val="auto"/>
          <w:kern w:val="0"/>
          <w:sz w:val="24"/>
          <w:szCs w:val="24"/>
          <w:highlight w:val="none"/>
        </w:rPr>
        <w:t>同，采购人和成交投标供应商不得再行订立背离合同实质性内容的其他协议；采购人应当在合同签订后1个工作日内在河南省政府采购网公示采购合同，并完成合同备案。</w:t>
      </w:r>
    </w:p>
    <w:p w14:paraId="6302F37B">
      <w:pPr>
        <w:widowControl/>
        <w:spacing w:line="360" w:lineRule="auto"/>
        <w:ind w:firstLine="482" w:firstLineChars="200"/>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28.2</w:t>
      </w:r>
      <w:r>
        <w:rPr>
          <w:rFonts w:hint="eastAsia" w:asciiTheme="minorEastAsia" w:hAnsiTheme="minorEastAsia" w:eastAsiaTheme="minorEastAsia" w:cstheme="minorEastAsia"/>
          <w:color w:val="auto"/>
          <w:kern w:val="0"/>
          <w:sz w:val="24"/>
          <w:szCs w:val="24"/>
          <w:highlight w:val="none"/>
        </w:rPr>
        <w:t>中标投标供应商如不按本投标须知的规定与采购人订立合同，则采购人将废除授标，给采购人造成损失的，向采购人缴纳不高于成交价2%的经济补偿，同时依法承担相应法律责任。</w:t>
      </w:r>
    </w:p>
    <w:p w14:paraId="144C1BEC">
      <w:pPr>
        <w:widowControl/>
        <w:spacing w:line="360" w:lineRule="auto"/>
        <w:ind w:firstLine="482" w:firstLineChars="200"/>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29. 履约保证金</w:t>
      </w:r>
    </w:p>
    <w:p w14:paraId="3377E58F">
      <w:pPr>
        <w:widowControl/>
        <w:spacing w:line="360" w:lineRule="auto"/>
        <w:ind w:firstLine="482" w:firstLineChars="200"/>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29.1</w:t>
      </w:r>
      <w:r>
        <w:rPr>
          <w:rFonts w:hint="eastAsia" w:asciiTheme="minorEastAsia" w:hAnsiTheme="minorEastAsia" w:eastAsiaTheme="minorEastAsia" w:cstheme="minorEastAsia"/>
          <w:color w:val="auto"/>
          <w:kern w:val="0"/>
          <w:sz w:val="24"/>
          <w:szCs w:val="24"/>
          <w:highlight w:val="none"/>
        </w:rPr>
        <w:t>无。</w:t>
      </w:r>
    </w:p>
    <w:p w14:paraId="739F7A32">
      <w:pPr>
        <w:widowControl/>
        <w:spacing w:line="360" w:lineRule="auto"/>
        <w:ind w:firstLine="482"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八、质疑程序</w:t>
      </w:r>
    </w:p>
    <w:p w14:paraId="0052C787">
      <w:pPr>
        <w:widowControl/>
        <w:spacing w:line="360" w:lineRule="auto"/>
        <w:ind w:firstLine="480" w:firstLineChars="200"/>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若投标供应商认为其投标未获公平评审或投标文件、采购过程和中标结果使自己的合法权益受到损害，可以在知道或者应知其权益受到损害之日起 7 个工作日内，将质疑书原件送达采购人或采购代理机构。提出质疑期限的计算，依照下列规定办理：</w:t>
      </w:r>
    </w:p>
    <w:p w14:paraId="2B1FFEFA">
      <w:pPr>
        <w:widowControl/>
        <w:spacing w:line="360" w:lineRule="auto"/>
        <w:ind w:firstLine="480" w:firstLineChars="200"/>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（一）对可以质疑的招标文件提出质疑的，为收到招标文件之日或者招标文件公告期限届满之日；</w:t>
      </w:r>
    </w:p>
    <w:p w14:paraId="1BD6C1AC">
      <w:pPr>
        <w:widowControl/>
        <w:spacing w:line="360" w:lineRule="auto"/>
        <w:ind w:firstLine="480" w:firstLineChars="200"/>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（二）对采购过程提出质疑的，为各采购程序环节结束之日；</w:t>
      </w:r>
    </w:p>
    <w:p w14:paraId="02EC62CE">
      <w:pPr>
        <w:widowControl/>
        <w:spacing w:line="360" w:lineRule="auto"/>
        <w:ind w:firstLine="480" w:firstLineChars="200"/>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（三）对中标结果提出质疑的，为中标结果公告期限届满之日。</w:t>
      </w:r>
    </w:p>
    <w:p w14:paraId="7C370515">
      <w:pPr>
        <w:widowControl/>
        <w:spacing w:line="360" w:lineRule="auto"/>
        <w:ind w:firstLine="480" w:firstLineChars="200"/>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30.2 质疑书应当包括下列主要内容，并按照“谁主张、谁举证”的原则，附上相关证明材料。否则，采购人不予受理：</w:t>
      </w:r>
    </w:p>
    <w:p w14:paraId="22999934">
      <w:pPr>
        <w:widowControl/>
        <w:spacing w:line="360" w:lineRule="auto"/>
        <w:ind w:firstLine="480" w:firstLineChars="200"/>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（一）质疑供应商全称、地址、法定代表人、联系人及联系电话、邮政编码等；</w:t>
      </w:r>
    </w:p>
    <w:p w14:paraId="4100A177">
      <w:pPr>
        <w:widowControl/>
        <w:spacing w:line="360" w:lineRule="auto"/>
        <w:ind w:firstLine="480" w:firstLineChars="200"/>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（二）被质疑采购项目的名称、编号；</w:t>
      </w:r>
    </w:p>
    <w:p w14:paraId="3E956526">
      <w:pPr>
        <w:widowControl/>
        <w:spacing w:line="360" w:lineRule="auto"/>
        <w:ind w:firstLine="480" w:firstLineChars="200"/>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（三）质疑的具体事项、明确的请求和主张；</w:t>
      </w:r>
    </w:p>
    <w:p w14:paraId="1E3308F7">
      <w:pPr>
        <w:widowControl/>
        <w:spacing w:line="360" w:lineRule="auto"/>
        <w:ind w:firstLine="480" w:firstLineChars="200"/>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（四）质疑所依据的法律依据（具体条款）、具体事实和具体理由。质疑书依据理由部分只有主观陈述、推理、猜测等，而没有提供客观事实依据、法律依据的；</w:t>
      </w:r>
    </w:p>
    <w:p w14:paraId="2DE9052F">
      <w:pPr>
        <w:widowControl/>
        <w:spacing w:line="360" w:lineRule="auto"/>
        <w:ind w:firstLine="480" w:firstLineChars="200"/>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（五）质疑事项按照有关法律、法规和规章规定及招标要求属于保密或者处于保密阶段的事项供应商必须提供正常的信息来源或有效证据，供应商不能提供或者拒绝提供合法的信息来源或有效证据的；</w:t>
      </w:r>
    </w:p>
    <w:p w14:paraId="3EBB0037">
      <w:pPr>
        <w:widowControl/>
        <w:spacing w:line="360" w:lineRule="auto"/>
        <w:ind w:firstLine="480" w:firstLineChars="200"/>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（六）充足有效的相关证明材料；如果涉及到产品功能或技术指标的，应出具相关制造商的证明文件；</w:t>
      </w:r>
    </w:p>
    <w:p w14:paraId="29F54116">
      <w:pPr>
        <w:widowControl/>
        <w:spacing w:line="360" w:lineRule="auto"/>
        <w:ind w:firstLine="480" w:firstLineChars="200"/>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（七）质疑材料中有外文资料的，应一并附上中文译本，并以中文译本为准。</w:t>
      </w:r>
    </w:p>
    <w:p w14:paraId="4E54ABB0">
      <w:pPr>
        <w:widowControl/>
        <w:spacing w:line="360" w:lineRule="auto"/>
        <w:ind w:firstLine="480" w:firstLineChars="200"/>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（八）提起质疑的日期</w:t>
      </w:r>
    </w:p>
    <w:p w14:paraId="33C97985">
      <w:pPr>
        <w:widowControl/>
        <w:spacing w:line="360" w:lineRule="auto"/>
        <w:ind w:firstLine="480" w:firstLineChars="200"/>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供应商质疑实行实名制并须在质疑书上署名。供应商不得进行虚假、恶意质疑，不得以质疑为手段获取不当得利、实现非法目的。供应商为自然人的，应当由本人签字；供应商为法人的，应当由法定代表人签字或盖章并加盖公章；供应商为其他组织的，应当由主要负责人签字或盖章并加盖公章。供应商其他工作人员或代理人员在质疑书上的署名不具有法律效力。</w:t>
      </w:r>
    </w:p>
    <w:p w14:paraId="6EDEB0DD">
      <w:pPr>
        <w:widowControl/>
        <w:spacing w:line="360" w:lineRule="auto"/>
        <w:ind w:firstLine="480" w:firstLineChars="200"/>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30.4 供应商委托代理人办理质疑事宜，应当提交授权委托书，并载明委托代理的具体权限和事项。授权委托书应当由委托人签字并加盖单位公章。</w:t>
      </w:r>
    </w:p>
    <w:p w14:paraId="19F7D29F">
      <w:pPr>
        <w:widowControl/>
        <w:spacing w:line="360" w:lineRule="auto"/>
        <w:ind w:firstLine="480" w:firstLineChars="200"/>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30.5 提交质疑书时，供应商应同时提交本人身份证，委托他人代理质疑事宜的，还应提交被委托人的身份证。供应商是法人的，应一并提交法人营业执照和法定代表人身份证；供应商是其他组织的，应一并提交其他组织经营许可证和主要负责人身份证。供应商应当提供上述证明材料的原件及复印件，原件经采购人核对无误后返还。</w:t>
      </w:r>
    </w:p>
    <w:p w14:paraId="7826A21E">
      <w:pPr>
        <w:widowControl/>
        <w:spacing w:line="360" w:lineRule="auto"/>
        <w:ind w:firstLine="480" w:firstLineChars="200"/>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30.6 质疑书提交方式。供应商或者其委托代理人应当当面提交质疑书及相关证明材料。供应商以电子邮件、传真等其他方式提交质疑书及相关证明材料的，或者不是供应商或者其委托代理人提交质疑书及相关证明材料的，采购人或采购机构可以拒收。</w:t>
      </w:r>
    </w:p>
    <w:p w14:paraId="5B0FC596">
      <w:pPr>
        <w:widowControl/>
        <w:spacing w:line="360" w:lineRule="auto"/>
        <w:ind w:firstLine="480" w:firstLineChars="200"/>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30.7 供应商不得虚假质疑和恶意质疑，并对质疑内容的真实性承担责任。供应商或者其他利害关系人通过捏造事实、伪造证明材料等方式提出异议或投诉，阻碍招标活动正常进行的，属于严重不良行为，采购人将提请财政部门将其列入不良行为记录名单，并依法予以处罚。</w:t>
      </w:r>
    </w:p>
    <w:p w14:paraId="02AD68B5">
      <w:pPr>
        <w:widowControl/>
        <w:spacing w:line="360" w:lineRule="auto"/>
        <w:ind w:firstLine="480" w:firstLineChars="200"/>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30.8 采购人将在收到符合上述条件的书面质疑后 7 个工作日内审查质疑事项，作出答复或相关处理决定，并以书面形式通知质疑供应商和其他有关供应商，但答复的内容不涉及商业秘密。若质疑涉及招标制度或程序，将被转交政府采购的管理部门审查。采购人遵循“谁过错谁负担”的原则，有过错的一方承担调查论证费用。</w:t>
      </w:r>
    </w:p>
    <w:p w14:paraId="7AF6F301">
      <w:pPr>
        <w:widowControl/>
        <w:spacing w:line="360" w:lineRule="auto"/>
        <w:ind w:firstLine="480" w:firstLineChars="200"/>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30.9 质疑供应商对采购人的答复不满意以及采购人未在规定的时间内做出答复的，可以在答复期满后15个工作日内向财政部门投诉。</w:t>
      </w:r>
    </w:p>
    <w:p w14:paraId="2D259484">
      <w:pPr>
        <w:rPr>
          <w:rFonts w:ascii="宋体" w:hAnsi="宋体"/>
          <w:b/>
          <w:bCs/>
          <w:color w:val="auto"/>
          <w:kern w:val="0"/>
          <w:sz w:val="44"/>
          <w:szCs w:val="44"/>
          <w:highlight w:val="none"/>
        </w:rPr>
      </w:pPr>
      <w:bookmarkStart w:id="6" w:name="_Toc21858"/>
      <w:r>
        <w:rPr>
          <w:rFonts w:hint="eastAsia" w:ascii="宋体" w:hAnsi="宋体"/>
          <w:b/>
          <w:bCs/>
          <w:color w:val="auto"/>
          <w:kern w:val="0"/>
          <w:sz w:val="44"/>
          <w:szCs w:val="44"/>
          <w:highlight w:val="none"/>
        </w:rPr>
        <w:br w:type="page"/>
      </w:r>
    </w:p>
    <w:bookmarkEnd w:id="6"/>
    <w:p w14:paraId="65B51F67">
      <w:pPr>
        <w:widowControl/>
        <w:numPr>
          <w:ilvl w:val="0"/>
          <w:numId w:val="1"/>
        </w:numPr>
        <w:spacing w:line="620" w:lineRule="exact"/>
        <w:ind w:firstLine="2619"/>
        <w:outlineLvl w:val="0"/>
        <w:rPr>
          <w:rFonts w:hint="eastAsia" w:ascii="宋体" w:hAnsi="宋体"/>
          <w:b/>
          <w:bCs/>
          <w:color w:val="auto"/>
          <w:kern w:val="0"/>
          <w:sz w:val="32"/>
          <w:szCs w:val="32"/>
          <w:highlight w:val="none"/>
        </w:rPr>
      </w:pPr>
      <w:bookmarkStart w:id="7" w:name="_Toc192493786"/>
      <w:r>
        <w:rPr>
          <w:rFonts w:hint="eastAsia" w:ascii="宋体" w:hAnsi="宋体"/>
          <w:b/>
          <w:bCs/>
          <w:color w:val="auto"/>
          <w:kern w:val="0"/>
          <w:sz w:val="32"/>
          <w:szCs w:val="32"/>
          <w:highlight w:val="none"/>
        </w:rPr>
        <w:t>服务要求</w:t>
      </w:r>
      <w:bookmarkEnd w:id="7"/>
    </w:p>
    <w:p w14:paraId="4EC2C4C4">
      <w:pPr>
        <w:pStyle w:val="33"/>
        <w:keepNext w:val="0"/>
        <w:keepLines w:val="0"/>
        <w:pageBreakBefore w:val="0"/>
        <w:widowControl/>
        <w:numPr>
          <w:ilvl w:val="0"/>
          <w:numId w:val="0"/>
        </w:numPr>
        <w:kinsoku/>
        <w:wordWrap/>
        <w:overflowPunct/>
        <w:topLinePunct w:val="0"/>
        <w:autoSpaceDE w:val="0"/>
        <w:autoSpaceDN w:val="0"/>
        <w:bidi w:val="0"/>
        <w:adjustRightInd w:val="0"/>
        <w:snapToGrid w:val="0"/>
        <w:ind w:firstLine="480" w:firstLineChars="200"/>
        <w:textAlignment w:val="auto"/>
        <w:rPr>
          <w:rFonts w:hint="eastAsia"/>
          <w:color w:val="auto"/>
          <w:sz w:val="24"/>
          <w:szCs w:val="24"/>
          <w:highlight w:val="none"/>
          <w:lang w:eastAsia="zh-CN"/>
        </w:rPr>
      </w:pPr>
      <w:r>
        <w:rPr>
          <w:rFonts w:hint="eastAsia"/>
          <w:color w:val="auto"/>
          <w:sz w:val="24"/>
          <w:szCs w:val="24"/>
          <w:highlight w:val="none"/>
          <w:lang w:val="en-US" w:eastAsia="zh-CN"/>
        </w:rPr>
        <w:t>一、项目名称：</w:t>
      </w:r>
      <w:r>
        <w:rPr>
          <w:rFonts w:hint="eastAsia"/>
          <w:color w:val="auto"/>
          <w:sz w:val="24"/>
          <w:szCs w:val="24"/>
          <w:highlight w:val="none"/>
          <w:lang w:eastAsia="zh-CN"/>
        </w:rPr>
        <w:t>渑池县先进制造业开发区及绿色建材产业园供水项目检测服务项目</w:t>
      </w:r>
    </w:p>
    <w:p w14:paraId="51A03315">
      <w:pPr>
        <w:pStyle w:val="33"/>
        <w:keepNext w:val="0"/>
        <w:keepLines w:val="0"/>
        <w:pageBreakBefore w:val="0"/>
        <w:widowControl/>
        <w:numPr>
          <w:ilvl w:val="0"/>
          <w:numId w:val="0"/>
        </w:numPr>
        <w:kinsoku/>
        <w:wordWrap/>
        <w:overflowPunct/>
        <w:topLinePunct w:val="0"/>
        <w:autoSpaceDE w:val="0"/>
        <w:autoSpaceDN w:val="0"/>
        <w:bidi w:val="0"/>
        <w:adjustRightInd w:val="0"/>
        <w:snapToGrid w:val="0"/>
        <w:ind w:firstLine="480" w:firstLineChars="200"/>
        <w:textAlignment w:val="auto"/>
        <w:rPr>
          <w:rFonts w:hint="eastAsia"/>
          <w:color w:val="auto"/>
          <w:sz w:val="24"/>
          <w:szCs w:val="24"/>
          <w:highlight w:val="none"/>
        </w:rPr>
      </w:pPr>
      <w:r>
        <w:rPr>
          <w:rFonts w:hint="eastAsia"/>
          <w:color w:val="auto"/>
          <w:sz w:val="24"/>
          <w:szCs w:val="24"/>
          <w:highlight w:val="none"/>
          <w:lang w:val="en-US" w:eastAsia="zh-CN"/>
        </w:rPr>
        <w:t>二、</w:t>
      </w:r>
      <w:r>
        <w:rPr>
          <w:rFonts w:hint="eastAsia"/>
          <w:color w:val="auto"/>
          <w:sz w:val="24"/>
          <w:szCs w:val="24"/>
          <w:highlight w:val="none"/>
        </w:rPr>
        <w:t>预算金额：</w:t>
      </w:r>
      <w:r>
        <w:rPr>
          <w:rFonts w:hint="eastAsia"/>
          <w:color w:val="auto"/>
          <w:sz w:val="24"/>
          <w:szCs w:val="24"/>
          <w:highlight w:val="none"/>
          <w:lang w:val="en-US" w:eastAsia="zh-CN"/>
        </w:rPr>
        <w:t>约136万元（以工程竣工审计结算金额*0.8%为招标控制价）</w:t>
      </w:r>
    </w:p>
    <w:p w14:paraId="4813181B">
      <w:pPr>
        <w:pStyle w:val="33"/>
        <w:keepNext w:val="0"/>
        <w:keepLines w:val="0"/>
        <w:pageBreakBefore w:val="0"/>
        <w:widowControl/>
        <w:numPr>
          <w:ilvl w:val="0"/>
          <w:numId w:val="0"/>
        </w:numPr>
        <w:kinsoku/>
        <w:wordWrap/>
        <w:overflowPunct/>
        <w:topLinePunct w:val="0"/>
        <w:autoSpaceDE w:val="0"/>
        <w:autoSpaceDN w:val="0"/>
        <w:bidi w:val="0"/>
        <w:adjustRightInd w:val="0"/>
        <w:snapToGrid w:val="0"/>
        <w:ind w:firstLine="480" w:firstLineChars="200"/>
        <w:textAlignment w:val="auto"/>
        <w:rPr>
          <w:rFonts w:hint="eastAsia"/>
          <w:color w:val="auto"/>
          <w:sz w:val="24"/>
          <w:szCs w:val="24"/>
          <w:highlight w:val="none"/>
        </w:rPr>
      </w:pPr>
      <w:r>
        <w:rPr>
          <w:rFonts w:hint="eastAsia"/>
          <w:color w:val="auto"/>
          <w:sz w:val="24"/>
          <w:szCs w:val="24"/>
          <w:highlight w:val="none"/>
          <w:lang w:val="en-US" w:eastAsia="zh-CN"/>
        </w:rPr>
        <w:t>三</w:t>
      </w:r>
      <w:r>
        <w:rPr>
          <w:rFonts w:hint="eastAsia"/>
          <w:color w:val="auto"/>
          <w:sz w:val="24"/>
          <w:szCs w:val="24"/>
          <w:highlight w:val="none"/>
        </w:rPr>
        <w:t>、项目质量检测服务要求</w:t>
      </w:r>
    </w:p>
    <w:p w14:paraId="2A4BB472">
      <w:pPr>
        <w:pStyle w:val="33"/>
        <w:keepNext w:val="0"/>
        <w:keepLines w:val="0"/>
        <w:pageBreakBefore w:val="0"/>
        <w:widowControl/>
        <w:numPr>
          <w:ilvl w:val="0"/>
          <w:numId w:val="0"/>
        </w:numPr>
        <w:kinsoku/>
        <w:wordWrap/>
        <w:overflowPunct/>
        <w:topLinePunct w:val="0"/>
        <w:autoSpaceDE w:val="0"/>
        <w:autoSpaceDN w:val="0"/>
        <w:bidi w:val="0"/>
        <w:adjustRightInd w:val="0"/>
        <w:snapToGrid w:val="0"/>
        <w:ind w:firstLine="480" w:firstLineChars="200"/>
        <w:textAlignment w:val="auto"/>
        <w:rPr>
          <w:rFonts w:hint="eastAsia"/>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eastAsia="zh-CN"/>
        </w:rPr>
        <w:t>1</w:t>
      </w:r>
      <w:r>
        <w:rPr>
          <w:rFonts w:hint="eastAsia"/>
          <w:color w:val="auto"/>
          <w:sz w:val="24"/>
          <w:szCs w:val="24"/>
          <w:highlight w:val="none"/>
        </w:rPr>
        <w:t>）项目概况：</w:t>
      </w:r>
      <w:r>
        <w:rPr>
          <w:rFonts w:hint="eastAsia"/>
          <w:color w:val="auto"/>
          <w:sz w:val="24"/>
          <w:szCs w:val="24"/>
          <w:highlight w:val="none"/>
          <w:lang w:val="en-US" w:eastAsia="zh-CN"/>
        </w:rPr>
        <w:t>本项目主要为渑池县先进制造业开发区和绿色建材产业园提供生产生活供水，供水水源为西段村水库调蓄水、中水、矿井疏干水，主要服务内容包括外观质量检测、实体质量检测、中间产品及工序检测及业主委托的其他内容，并出具相应的质量检测报告。</w:t>
      </w:r>
    </w:p>
    <w:p w14:paraId="40FE0C6B">
      <w:pPr>
        <w:pStyle w:val="33"/>
        <w:keepNext w:val="0"/>
        <w:keepLines w:val="0"/>
        <w:pageBreakBefore w:val="0"/>
        <w:widowControl/>
        <w:numPr>
          <w:ilvl w:val="0"/>
          <w:numId w:val="0"/>
        </w:numPr>
        <w:kinsoku/>
        <w:wordWrap/>
        <w:overflowPunct/>
        <w:topLinePunct w:val="0"/>
        <w:autoSpaceDE w:val="0"/>
        <w:autoSpaceDN w:val="0"/>
        <w:bidi w:val="0"/>
        <w:adjustRightInd w:val="0"/>
        <w:snapToGrid w:val="0"/>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rPr>
        <w:t>（</w:t>
      </w:r>
      <w:r>
        <w:rPr>
          <w:rFonts w:hint="eastAsia"/>
          <w:color w:val="auto"/>
          <w:sz w:val="24"/>
          <w:szCs w:val="24"/>
          <w:highlight w:val="none"/>
          <w:lang w:val="en-US" w:eastAsia="zh-CN"/>
        </w:rPr>
        <w:t>2</w:t>
      </w:r>
      <w:r>
        <w:rPr>
          <w:rFonts w:hint="eastAsia"/>
          <w:color w:val="auto"/>
          <w:sz w:val="24"/>
          <w:szCs w:val="24"/>
          <w:highlight w:val="none"/>
        </w:rPr>
        <w:t>）检测范围</w:t>
      </w:r>
      <w:r>
        <w:rPr>
          <w:rFonts w:hint="eastAsia"/>
          <w:color w:val="auto"/>
          <w:sz w:val="24"/>
          <w:szCs w:val="24"/>
          <w:highlight w:val="none"/>
          <w:lang w:eastAsia="zh-CN"/>
        </w:rPr>
        <w:t>、</w:t>
      </w:r>
      <w:r>
        <w:rPr>
          <w:rFonts w:hint="eastAsia"/>
          <w:color w:val="auto"/>
          <w:sz w:val="24"/>
          <w:szCs w:val="24"/>
          <w:highlight w:val="none"/>
        </w:rPr>
        <w:t>内容及</w:t>
      </w:r>
      <w:r>
        <w:rPr>
          <w:rFonts w:hint="eastAsia"/>
          <w:color w:val="auto"/>
          <w:sz w:val="24"/>
          <w:szCs w:val="24"/>
          <w:highlight w:val="none"/>
          <w:lang w:val="en-US" w:eastAsia="zh-CN"/>
        </w:rPr>
        <w:t>周期</w:t>
      </w:r>
    </w:p>
    <w:p w14:paraId="63F58E5F">
      <w:pPr>
        <w:pStyle w:val="33"/>
        <w:keepNext w:val="0"/>
        <w:keepLines w:val="0"/>
        <w:pageBreakBefore w:val="0"/>
        <w:widowControl/>
        <w:numPr>
          <w:ilvl w:val="0"/>
          <w:numId w:val="0"/>
        </w:numPr>
        <w:kinsoku/>
        <w:wordWrap/>
        <w:overflowPunct/>
        <w:topLinePunct w:val="0"/>
        <w:autoSpaceDE w:val="0"/>
        <w:autoSpaceDN w:val="0"/>
        <w:bidi w:val="0"/>
        <w:adjustRightInd w:val="0"/>
        <w:snapToGrid w:val="0"/>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①检测项目：泵站基础、主体结构、建筑材料（如水泥、砂、石子、砖、钢筋等）、管材、管沟开挖及回填、机电设备安装等。</w:t>
      </w:r>
    </w:p>
    <w:p w14:paraId="4670B3A2">
      <w:pPr>
        <w:pStyle w:val="33"/>
        <w:keepNext w:val="0"/>
        <w:keepLines w:val="0"/>
        <w:pageBreakBefore w:val="0"/>
        <w:widowControl/>
        <w:numPr>
          <w:ilvl w:val="0"/>
          <w:numId w:val="0"/>
        </w:numPr>
        <w:kinsoku/>
        <w:wordWrap/>
        <w:overflowPunct/>
        <w:topLinePunct w:val="0"/>
        <w:autoSpaceDE w:val="0"/>
        <w:autoSpaceDN w:val="0"/>
        <w:bidi w:val="0"/>
        <w:adjustRightInd w:val="0"/>
        <w:snapToGrid w:val="0"/>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②检测频次：按批次检测，亦可按施工阶段检测。需检必检，检测数量不低于行业规定标准。</w:t>
      </w:r>
    </w:p>
    <w:p w14:paraId="4AAFEC5E">
      <w:pPr>
        <w:pStyle w:val="33"/>
        <w:keepNext w:val="0"/>
        <w:keepLines w:val="0"/>
        <w:pageBreakBefore w:val="0"/>
        <w:widowControl/>
        <w:numPr>
          <w:ilvl w:val="0"/>
          <w:numId w:val="0"/>
        </w:numPr>
        <w:kinsoku/>
        <w:wordWrap/>
        <w:overflowPunct/>
        <w:topLinePunct w:val="0"/>
        <w:autoSpaceDE w:val="0"/>
        <w:autoSpaceDN w:val="0"/>
        <w:bidi w:val="0"/>
        <w:adjustRightInd w:val="0"/>
        <w:snapToGrid w:val="0"/>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③项目全过程周期。项目开工之日始至工程竣工验收之日止。</w:t>
      </w:r>
    </w:p>
    <w:p w14:paraId="6E0A3A65">
      <w:pPr>
        <w:pStyle w:val="33"/>
        <w:keepNext w:val="0"/>
        <w:keepLines w:val="0"/>
        <w:pageBreakBefore w:val="0"/>
        <w:widowControl/>
        <w:numPr>
          <w:ilvl w:val="0"/>
          <w:numId w:val="0"/>
        </w:numPr>
        <w:kinsoku/>
        <w:wordWrap/>
        <w:overflowPunct/>
        <w:topLinePunct w:val="0"/>
        <w:autoSpaceDE w:val="0"/>
        <w:autoSpaceDN w:val="0"/>
        <w:bidi w:val="0"/>
        <w:adjustRightInd w:val="0"/>
        <w:snapToGrid w:val="0"/>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④</w:t>
      </w:r>
      <w:r>
        <w:rPr>
          <w:rFonts w:hint="eastAsia"/>
          <w:color w:val="auto"/>
          <w:sz w:val="24"/>
          <w:szCs w:val="24"/>
          <w:highlight w:val="none"/>
        </w:rPr>
        <w:t>检测范围包括：</w:t>
      </w:r>
      <w:r>
        <w:rPr>
          <w:rFonts w:hint="eastAsia"/>
          <w:color w:val="auto"/>
          <w:sz w:val="24"/>
          <w:szCs w:val="24"/>
          <w:highlight w:val="none"/>
          <w:lang w:val="en-US" w:eastAsia="zh-CN"/>
        </w:rPr>
        <w:t>外观质量检测、实体质量检测、中间产品及工序检测及业主委托的其他内容</w:t>
      </w:r>
    </w:p>
    <w:p w14:paraId="34366418">
      <w:pPr>
        <w:pStyle w:val="33"/>
        <w:keepNext w:val="0"/>
        <w:keepLines w:val="0"/>
        <w:pageBreakBefore w:val="0"/>
        <w:widowControl/>
        <w:numPr>
          <w:ilvl w:val="0"/>
          <w:numId w:val="0"/>
        </w:numPr>
        <w:kinsoku/>
        <w:wordWrap/>
        <w:overflowPunct/>
        <w:topLinePunct w:val="0"/>
        <w:autoSpaceDE w:val="0"/>
        <w:autoSpaceDN w:val="0"/>
        <w:bidi w:val="0"/>
        <w:adjustRightInd w:val="0"/>
        <w:snapToGrid w:val="0"/>
        <w:ind w:firstLine="480" w:firstLineChars="200"/>
        <w:textAlignment w:val="auto"/>
        <w:rPr>
          <w:rFonts w:hint="eastAsia"/>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eastAsia="zh-CN"/>
        </w:rPr>
        <w:t>3</w:t>
      </w:r>
      <w:r>
        <w:rPr>
          <w:rFonts w:hint="eastAsia"/>
          <w:color w:val="auto"/>
          <w:sz w:val="24"/>
          <w:szCs w:val="24"/>
          <w:highlight w:val="none"/>
        </w:rPr>
        <w:t>）检测依据</w:t>
      </w:r>
    </w:p>
    <w:p w14:paraId="604794B0">
      <w:pPr>
        <w:pStyle w:val="33"/>
        <w:keepNext w:val="0"/>
        <w:keepLines w:val="0"/>
        <w:pageBreakBefore w:val="0"/>
        <w:widowControl/>
        <w:numPr>
          <w:ilvl w:val="0"/>
          <w:numId w:val="0"/>
        </w:numPr>
        <w:kinsoku/>
        <w:wordWrap/>
        <w:overflowPunct/>
        <w:topLinePunct w:val="0"/>
        <w:autoSpaceDE w:val="0"/>
        <w:autoSpaceDN w:val="0"/>
        <w:bidi w:val="0"/>
        <w:adjustRightInd w:val="0"/>
        <w:snapToGrid w:val="0"/>
        <w:ind w:firstLine="480" w:firstLineChars="200"/>
        <w:textAlignment w:val="auto"/>
        <w:rPr>
          <w:rFonts w:hint="eastAsia"/>
          <w:color w:val="auto"/>
          <w:sz w:val="24"/>
          <w:szCs w:val="24"/>
          <w:highlight w:val="none"/>
        </w:rPr>
      </w:pPr>
      <w:r>
        <w:rPr>
          <w:rFonts w:hint="eastAsia"/>
          <w:color w:val="auto"/>
          <w:sz w:val="24"/>
          <w:szCs w:val="24"/>
          <w:highlight w:val="none"/>
        </w:rPr>
        <w:t>《水利工程质量检测技术规程》（SL734-2016）；</w:t>
      </w:r>
    </w:p>
    <w:p w14:paraId="17E24DEE">
      <w:pPr>
        <w:pStyle w:val="33"/>
        <w:keepNext w:val="0"/>
        <w:keepLines w:val="0"/>
        <w:pageBreakBefore w:val="0"/>
        <w:widowControl/>
        <w:numPr>
          <w:ilvl w:val="0"/>
          <w:numId w:val="0"/>
        </w:numPr>
        <w:kinsoku/>
        <w:wordWrap/>
        <w:overflowPunct/>
        <w:topLinePunct w:val="0"/>
        <w:autoSpaceDE w:val="0"/>
        <w:autoSpaceDN w:val="0"/>
        <w:bidi w:val="0"/>
        <w:adjustRightInd w:val="0"/>
        <w:snapToGrid w:val="0"/>
        <w:ind w:firstLine="480" w:firstLineChars="200"/>
        <w:textAlignment w:val="auto"/>
        <w:rPr>
          <w:rFonts w:hint="eastAsia"/>
          <w:color w:val="auto"/>
          <w:sz w:val="24"/>
          <w:szCs w:val="24"/>
          <w:highlight w:val="none"/>
        </w:rPr>
      </w:pPr>
      <w:r>
        <w:rPr>
          <w:rFonts w:hint="eastAsia"/>
          <w:color w:val="auto"/>
          <w:sz w:val="24"/>
          <w:szCs w:val="24"/>
          <w:highlight w:val="none"/>
        </w:rPr>
        <w:t>《钻芯法检测混凝土强度技术规程》 (JGJ/T384-2016)；</w:t>
      </w:r>
    </w:p>
    <w:p w14:paraId="61139EE9">
      <w:pPr>
        <w:pStyle w:val="33"/>
        <w:keepNext w:val="0"/>
        <w:keepLines w:val="0"/>
        <w:pageBreakBefore w:val="0"/>
        <w:widowControl/>
        <w:numPr>
          <w:ilvl w:val="0"/>
          <w:numId w:val="0"/>
        </w:numPr>
        <w:kinsoku/>
        <w:wordWrap/>
        <w:overflowPunct/>
        <w:topLinePunct w:val="0"/>
        <w:autoSpaceDE w:val="0"/>
        <w:autoSpaceDN w:val="0"/>
        <w:bidi w:val="0"/>
        <w:adjustRightInd w:val="0"/>
        <w:snapToGrid w:val="0"/>
        <w:ind w:firstLine="480" w:firstLineChars="200"/>
        <w:textAlignment w:val="auto"/>
        <w:rPr>
          <w:rFonts w:hint="eastAsia"/>
          <w:color w:val="auto"/>
          <w:sz w:val="24"/>
          <w:szCs w:val="24"/>
          <w:highlight w:val="none"/>
        </w:rPr>
      </w:pPr>
      <w:r>
        <w:rPr>
          <w:rFonts w:hint="eastAsia"/>
          <w:color w:val="auto"/>
          <w:sz w:val="24"/>
          <w:szCs w:val="24"/>
          <w:highlight w:val="none"/>
        </w:rPr>
        <w:t>《混凝土结构工程施工质量检测规范》（GB50204-2015）；</w:t>
      </w:r>
    </w:p>
    <w:p w14:paraId="6660C365">
      <w:pPr>
        <w:pStyle w:val="33"/>
        <w:keepNext w:val="0"/>
        <w:keepLines w:val="0"/>
        <w:pageBreakBefore w:val="0"/>
        <w:widowControl/>
        <w:numPr>
          <w:ilvl w:val="0"/>
          <w:numId w:val="0"/>
        </w:numPr>
        <w:kinsoku/>
        <w:wordWrap/>
        <w:overflowPunct/>
        <w:topLinePunct w:val="0"/>
        <w:autoSpaceDE w:val="0"/>
        <w:autoSpaceDN w:val="0"/>
        <w:bidi w:val="0"/>
        <w:adjustRightInd w:val="0"/>
        <w:snapToGrid w:val="0"/>
        <w:ind w:firstLine="480" w:firstLineChars="200"/>
        <w:textAlignment w:val="auto"/>
        <w:rPr>
          <w:rFonts w:hint="eastAsia"/>
          <w:color w:val="auto"/>
          <w:sz w:val="24"/>
          <w:szCs w:val="24"/>
          <w:highlight w:val="none"/>
        </w:rPr>
      </w:pPr>
      <w:r>
        <w:rPr>
          <w:rFonts w:hint="eastAsia"/>
          <w:color w:val="auto"/>
          <w:sz w:val="24"/>
          <w:szCs w:val="24"/>
          <w:highlight w:val="none"/>
        </w:rPr>
        <w:t>《回弹法检测混凝土抗压强度技术规程》（JGJ/T23-2011）；</w:t>
      </w:r>
    </w:p>
    <w:p w14:paraId="538B494F">
      <w:pPr>
        <w:pStyle w:val="33"/>
        <w:keepNext w:val="0"/>
        <w:keepLines w:val="0"/>
        <w:pageBreakBefore w:val="0"/>
        <w:widowControl/>
        <w:numPr>
          <w:ilvl w:val="0"/>
          <w:numId w:val="0"/>
        </w:numPr>
        <w:kinsoku/>
        <w:wordWrap/>
        <w:overflowPunct/>
        <w:topLinePunct w:val="0"/>
        <w:autoSpaceDE w:val="0"/>
        <w:autoSpaceDN w:val="0"/>
        <w:bidi w:val="0"/>
        <w:adjustRightInd w:val="0"/>
        <w:snapToGrid w:val="0"/>
        <w:ind w:firstLine="480" w:firstLineChars="200"/>
        <w:textAlignment w:val="auto"/>
        <w:rPr>
          <w:rFonts w:hint="eastAsia"/>
          <w:color w:val="auto"/>
          <w:sz w:val="24"/>
          <w:szCs w:val="24"/>
          <w:highlight w:val="none"/>
        </w:rPr>
      </w:pPr>
      <w:r>
        <w:rPr>
          <w:rFonts w:hint="eastAsia"/>
          <w:color w:val="auto"/>
          <w:sz w:val="24"/>
          <w:szCs w:val="24"/>
          <w:highlight w:val="none"/>
        </w:rPr>
        <w:t>《河南省水利工程外观质量评定标准》（DB41/T1488-2017）；</w:t>
      </w:r>
    </w:p>
    <w:p w14:paraId="3BB16FFD">
      <w:pPr>
        <w:pStyle w:val="33"/>
        <w:keepNext w:val="0"/>
        <w:keepLines w:val="0"/>
        <w:pageBreakBefore w:val="0"/>
        <w:widowControl/>
        <w:numPr>
          <w:ilvl w:val="0"/>
          <w:numId w:val="0"/>
        </w:numPr>
        <w:kinsoku/>
        <w:wordWrap/>
        <w:overflowPunct/>
        <w:topLinePunct w:val="0"/>
        <w:autoSpaceDE w:val="0"/>
        <w:autoSpaceDN w:val="0"/>
        <w:bidi w:val="0"/>
        <w:adjustRightInd w:val="0"/>
        <w:snapToGrid w:val="0"/>
        <w:ind w:firstLine="480" w:firstLineChars="200"/>
        <w:textAlignment w:val="auto"/>
        <w:rPr>
          <w:rFonts w:hint="eastAsia"/>
          <w:color w:val="auto"/>
          <w:sz w:val="24"/>
          <w:szCs w:val="24"/>
          <w:highlight w:val="none"/>
        </w:rPr>
      </w:pPr>
      <w:r>
        <w:rPr>
          <w:rFonts w:hint="eastAsia"/>
          <w:color w:val="auto"/>
          <w:sz w:val="24"/>
          <w:szCs w:val="24"/>
          <w:highlight w:val="none"/>
          <w:lang w:val="en-US" w:eastAsia="zh-CN"/>
        </w:rPr>
        <w:t>依据国家法律法规、行业标准及验收规范完成混凝土、岩土、量测、金结、机械电气等相关检测任务，</w:t>
      </w:r>
      <w:r>
        <w:rPr>
          <w:rFonts w:hint="eastAsia"/>
          <w:color w:val="auto"/>
          <w:sz w:val="24"/>
          <w:szCs w:val="24"/>
          <w:highlight w:val="none"/>
        </w:rPr>
        <w:t>经批准的项目实施方案、项目工程量清单、项目变更文件、竣工图纸、施工招投标文件及合同、工程质量检验与评定成果等。</w:t>
      </w:r>
    </w:p>
    <w:p w14:paraId="36CB8426">
      <w:pPr>
        <w:pStyle w:val="33"/>
        <w:keepNext w:val="0"/>
        <w:keepLines w:val="0"/>
        <w:pageBreakBefore w:val="0"/>
        <w:widowControl/>
        <w:numPr>
          <w:ilvl w:val="0"/>
          <w:numId w:val="0"/>
        </w:numPr>
        <w:kinsoku/>
        <w:wordWrap/>
        <w:overflowPunct/>
        <w:topLinePunct w:val="0"/>
        <w:autoSpaceDE w:val="0"/>
        <w:autoSpaceDN w:val="0"/>
        <w:bidi w:val="0"/>
        <w:adjustRightInd w:val="0"/>
        <w:snapToGrid w:val="0"/>
        <w:ind w:firstLine="480" w:firstLineChars="200"/>
        <w:textAlignment w:val="auto"/>
        <w:rPr>
          <w:color w:val="auto"/>
          <w:sz w:val="24"/>
          <w:szCs w:val="24"/>
          <w:highlight w:val="none"/>
        </w:rPr>
      </w:pPr>
      <w:r>
        <w:rPr>
          <w:rFonts w:hint="eastAsia"/>
          <w:color w:val="auto"/>
          <w:sz w:val="24"/>
          <w:szCs w:val="24"/>
          <w:highlight w:val="none"/>
          <w:lang w:val="en-US" w:eastAsia="zh-CN"/>
        </w:rPr>
        <w:t>四</w:t>
      </w:r>
      <w:r>
        <w:rPr>
          <w:color w:val="auto"/>
          <w:sz w:val="24"/>
          <w:szCs w:val="24"/>
          <w:highlight w:val="none"/>
        </w:rPr>
        <w:t>、商务要求</w:t>
      </w:r>
    </w:p>
    <w:tbl>
      <w:tblPr>
        <w:tblStyle w:val="34"/>
        <w:tblW w:w="9059" w:type="dxa"/>
        <w:tblInd w:w="40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24"/>
        <w:gridCol w:w="7235"/>
      </w:tblGrid>
      <w:tr w14:paraId="5964C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8" w:hRule="atLeast"/>
        </w:trPr>
        <w:tc>
          <w:tcPr>
            <w:tcW w:w="1824" w:type="dxa"/>
            <w:tcBorders>
              <w:top w:val="single" w:color="000000" w:sz="4" w:space="0"/>
            </w:tcBorders>
            <w:vAlign w:val="center"/>
          </w:tcPr>
          <w:p w14:paraId="0F47B28F">
            <w:pPr>
              <w:pStyle w:val="33"/>
              <w:keepNext w:val="0"/>
              <w:keepLines w:val="0"/>
              <w:pageBreakBefore w:val="0"/>
              <w:widowControl/>
              <w:numPr>
                <w:ilvl w:val="0"/>
                <w:numId w:val="0"/>
              </w:numPr>
              <w:kinsoku/>
              <w:wordWrap/>
              <w:overflowPunct/>
              <w:topLinePunct w:val="0"/>
              <w:autoSpaceDE w:val="0"/>
              <w:autoSpaceDN w:val="0"/>
              <w:bidi w:val="0"/>
              <w:adjustRightInd w:val="0"/>
              <w:snapToGrid w:val="0"/>
              <w:ind w:firstLine="480" w:firstLineChars="200"/>
              <w:textAlignment w:val="auto"/>
              <w:rPr>
                <w:color w:val="auto"/>
                <w:sz w:val="24"/>
                <w:szCs w:val="24"/>
                <w:highlight w:val="none"/>
              </w:rPr>
            </w:pPr>
            <w:r>
              <w:rPr>
                <w:color w:val="auto"/>
                <w:sz w:val="24"/>
                <w:szCs w:val="24"/>
                <w:highlight w:val="none"/>
              </w:rPr>
              <w:t>服务期限</w:t>
            </w:r>
          </w:p>
        </w:tc>
        <w:tc>
          <w:tcPr>
            <w:tcW w:w="7235" w:type="dxa"/>
            <w:tcBorders>
              <w:top w:val="single" w:color="000000" w:sz="4" w:space="0"/>
            </w:tcBorders>
            <w:vAlign w:val="center"/>
          </w:tcPr>
          <w:p w14:paraId="391518EA">
            <w:pPr>
              <w:pStyle w:val="33"/>
              <w:keepNext w:val="0"/>
              <w:keepLines w:val="0"/>
              <w:pageBreakBefore w:val="0"/>
              <w:widowControl/>
              <w:numPr>
                <w:ilvl w:val="0"/>
                <w:numId w:val="0"/>
              </w:numPr>
              <w:kinsoku/>
              <w:wordWrap/>
              <w:overflowPunct/>
              <w:topLinePunct w:val="0"/>
              <w:autoSpaceDE w:val="0"/>
              <w:autoSpaceDN w:val="0"/>
              <w:bidi w:val="0"/>
              <w:adjustRightInd w:val="0"/>
              <w:snapToGrid w:val="0"/>
              <w:ind w:firstLine="480" w:firstLineChars="200"/>
              <w:textAlignment w:val="auto"/>
              <w:rPr>
                <w:color w:val="auto"/>
                <w:sz w:val="24"/>
                <w:szCs w:val="24"/>
                <w:highlight w:val="none"/>
              </w:rPr>
            </w:pPr>
            <w:r>
              <w:rPr>
                <w:color w:val="auto"/>
                <w:sz w:val="24"/>
                <w:szCs w:val="24"/>
                <w:highlight w:val="none"/>
              </w:rPr>
              <w:t>服务至工程竣工。</w:t>
            </w:r>
          </w:p>
        </w:tc>
      </w:tr>
      <w:tr w14:paraId="1A05C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7" w:hRule="atLeast"/>
        </w:trPr>
        <w:tc>
          <w:tcPr>
            <w:tcW w:w="1824" w:type="dxa"/>
            <w:vAlign w:val="center"/>
          </w:tcPr>
          <w:p w14:paraId="03CA6F1E">
            <w:pPr>
              <w:pStyle w:val="33"/>
              <w:keepNext w:val="0"/>
              <w:keepLines w:val="0"/>
              <w:pageBreakBefore w:val="0"/>
              <w:widowControl/>
              <w:numPr>
                <w:ilvl w:val="0"/>
                <w:numId w:val="0"/>
              </w:numPr>
              <w:kinsoku/>
              <w:wordWrap/>
              <w:overflowPunct/>
              <w:topLinePunct w:val="0"/>
              <w:autoSpaceDE w:val="0"/>
              <w:autoSpaceDN w:val="0"/>
              <w:bidi w:val="0"/>
              <w:adjustRightInd w:val="0"/>
              <w:snapToGrid w:val="0"/>
              <w:ind w:firstLine="480" w:firstLineChars="200"/>
              <w:textAlignment w:val="auto"/>
              <w:rPr>
                <w:rFonts w:hint="eastAsia" w:eastAsia="宋体"/>
                <w:color w:val="auto"/>
                <w:sz w:val="24"/>
                <w:szCs w:val="24"/>
                <w:highlight w:val="none"/>
                <w:lang w:eastAsia="zh-CN"/>
              </w:rPr>
            </w:pPr>
            <w:r>
              <w:rPr>
                <w:color w:val="auto"/>
                <w:sz w:val="24"/>
                <w:szCs w:val="24"/>
                <w:highlight w:val="none"/>
              </w:rPr>
              <w:t>服务</w:t>
            </w:r>
            <w:r>
              <w:rPr>
                <w:rFonts w:hint="eastAsia"/>
                <w:color w:val="auto"/>
                <w:sz w:val="24"/>
                <w:szCs w:val="24"/>
                <w:highlight w:val="none"/>
                <w:lang w:val="en-US" w:eastAsia="zh-CN"/>
              </w:rPr>
              <w:t>要求</w:t>
            </w:r>
          </w:p>
        </w:tc>
        <w:tc>
          <w:tcPr>
            <w:tcW w:w="7235" w:type="dxa"/>
            <w:vAlign w:val="center"/>
          </w:tcPr>
          <w:p w14:paraId="2C3522CE">
            <w:pPr>
              <w:pStyle w:val="33"/>
              <w:keepNext w:val="0"/>
              <w:keepLines w:val="0"/>
              <w:pageBreakBefore w:val="0"/>
              <w:widowControl/>
              <w:numPr>
                <w:ilvl w:val="0"/>
                <w:numId w:val="0"/>
              </w:numPr>
              <w:kinsoku/>
              <w:wordWrap/>
              <w:overflowPunct/>
              <w:topLinePunct w:val="0"/>
              <w:autoSpaceDE w:val="0"/>
              <w:autoSpaceDN w:val="0"/>
              <w:bidi w:val="0"/>
              <w:adjustRightInd w:val="0"/>
              <w:snapToGrid w:val="0"/>
              <w:textAlignment w:val="auto"/>
              <w:rPr>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符合国家</w:t>
            </w:r>
            <w:r>
              <w:rPr>
                <w:rFonts w:hint="eastAsia" w:asciiTheme="minorEastAsia" w:hAnsiTheme="minorEastAsia" w:eastAsiaTheme="minorEastAsia" w:cstheme="minorEastAsia"/>
                <w:color w:val="auto"/>
                <w:sz w:val="24"/>
                <w:szCs w:val="24"/>
                <w:highlight w:val="none"/>
                <w:lang w:val="en-US" w:eastAsia="zh-CN"/>
              </w:rPr>
              <w:t>及行业</w:t>
            </w:r>
            <w:r>
              <w:rPr>
                <w:rFonts w:hint="eastAsia" w:asciiTheme="minorEastAsia" w:hAnsiTheme="minorEastAsia" w:eastAsiaTheme="minorEastAsia" w:cstheme="minorEastAsia"/>
                <w:color w:val="auto"/>
                <w:sz w:val="24"/>
                <w:szCs w:val="24"/>
                <w:highlight w:val="none"/>
                <w:lang w:eastAsia="zh-CN"/>
              </w:rPr>
              <w:t>相关规范标准</w:t>
            </w:r>
          </w:p>
        </w:tc>
      </w:tr>
      <w:tr w14:paraId="296E0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824" w:type="dxa"/>
            <w:vAlign w:val="center"/>
          </w:tcPr>
          <w:p w14:paraId="0431B77D">
            <w:pPr>
              <w:pStyle w:val="33"/>
              <w:keepNext w:val="0"/>
              <w:keepLines w:val="0"/>
              <w:pageBreakBefore w:val="0"/>
              <w:widowControl/>
              <w:numPr>
                <w:ilvl w:val="0"/>
                <w:numId w:val="0"/>
              </w:numPr>
              <w:kinsoku/>
              <w:wordWrap/>
              <w:overflowPunct/>
              <w:topLinePunct w:val="0"/>
              <w:autoSpaceDE w:val="0"/>
              <w:autoSpaceDN w:val="0"/>
              <w:bidi w:val="0"/>
              <w:adjustRightInd w:val="0"/>
              <w:snapToGrid w:val="0"/>
              <w:ind w:firstLine="480" w:firstLineChars="200"/>
              <w:textAlignment w:val="auto"/>
              <w:rPr>
                <w:rFonts w:hint="default" w:eastAsia="宋体"/>
                <w:color w:val="auto"/>
                <w:sz w:val="24"/>
                <w:szCs w:val="24"/>
                <w:highlight w:val="none"/>
                <w:lang w:val="en-US" w:eastAsia="zh-CN"/>
              </w:rPr>
            </w:pPr>
            <w:r>
              <w:rPr>
                <w:rFonts w:hint="eastAsia"/>
                <w:color w:val="auto"/>
                <w:sz w:val="24"/>
                <w:szCs w:val="24"/>
                <w:highlight w:val="none"/>
                <w:lang w:val="en-US" w:eastAsia="zh-CN"/>
              </w:rPr>
              <w:t>人员要求</w:t>
            </w:r>
          </w:p>
        </w:tc>
        <w:tc>
          <w:tcPr>
            <w:tcW w:w="7235" w:type="dxa"/>
            <w:vAlign w:val="center"/>
          </w:tcPr>
          <w:p w14:paraId="79A6539D">
            <w:pPr>
              <w:pStyle w:val="33"/>
              <w:keepNext w:val="0"/>
              <w:keepLines w:val="0"/>
              <w:pageBreakBefore w:val="0"/>
              <w:widowControl/>
              <w:numPr>
                <w:ilvl w:val="0"/>
                <w:numId w:val="0"/>
              </w:numPr>
              <w:kinsoku/>
              <w:wordWrap/>
              <w:overflowPunct/>
              <w:topLinePunct w:val="0"/>
              <w:autoSpaceDE w:val="0"/>
              <w:autoSpaceDN w:val="0"/>
              <w:bidi w:val="0"/>
              <w:adjustRightInd w:val="0"/>
              <w:snapToGrid w:val="0"/>
              <w:textAlignment w:val="auto"/>
              <w:rPr>
                <w:color w:val="auto"/>
                <w:sz w:val="24"/>
                <w:szCs w:val="24"/>
                <w:highlight w:val="none"/>
              </w:rPr>
            </w:pPr>
            <w:r>
              <w:rPr>
                <w:rFonts w:hint="eastAsia"/>
                <w:color w:val="auto"/>
                <w:sz w:val="24"/>
                <w:szCs w:val="24"/>
                <w:highlight w:val="none"/>
              </w:rPr>
              <w:t>工程开工后，第三方检测公司需安排不少于2名驻场人员且保证月工作时间不低于22天</w:t>
            </w:r>
          </w:p>
        </w:tc>
      </w:tr>
      <w:tr w14:paraId="0C456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6" w:hRule="atLeast"/>
        </w:trPr>
        <w:tc>
          <w:tcPr>
            <w:tcW w:w="1824" w:type="dxa"/>
            <w:vAlign w:val="center"/>
          </w:tcPr>
          <w:p w14:paraId="34AC9B2A">
            <w:pPr>
              <w:pStyle w:val="33"/>
              <w:keepNext w:val="0"/>
              <w:keepLines w:val="0"/>
              <w:pageBreakBefore w:val="0"/>
              <w:widowControl/>
              <w:numPr>
                <w:ilvl w:val="0"/>
                <w:numId w:val="0"/>
              </w:numPr>
              <w:kinsoku/>
              <w:wordWrap/>
              <w:overflowPunct/>
              <w:topLinePunct w:val="0"/>
              <w:autoSpaceDE w:val="0"/>
              <w:autoSpaceDN w:val="0"/>
              <w:bidi w:val="0"/>
              <w:adjustRightInd w:val="0"/>
              <w:snapToGrid w:val="0"/>
              <w:ind w:firstLine="480" w:firstLineChars="200"/>
              <w:textAlignment w:val="auto"/>
              <w:rPr>
                <w:color w:val="auto"/>
                <w:sz w:val="24"/>
                <w:szCs w:val="24"/>
                <w:highlight w:val="none"/>
              </w:rPr>
            </w:pPr>
            <w:r>
              <w:rPr>
                <w:color w:val="auto"/>
                <w:sz w:val="24"/>
                <w:szCs w:val="24"/>
                <w:highlight w:val="none"/>
              </w:rPr>
              <w:t>服务地点</w:t>
            </w:r>
          </w:p>
        </w:tc>
        <w:tc>
          <w:tcPr>
            <w:tcW w:w="7235" w:type="dxa"/>
            <w:vAlign w:val="center"/>
          </w:tcPr>
          <w:p w14:paraId="212D70A1">
            <w:pPr>
              <w:pStyle w:val="33"/>
              <w:keepNext w:val="0"/>
              <w:keepLines w:val="0"/>
              <w:pageBreakBefore w:val="0"/>
              <w:widowControl/>
              <w:numPr>
                <w:ilvl w:val="0"/>
                <w:numId w:val="0"/>
              </w:numPr>
              <w:kinsoku/>
              <w:wordWrap/>
              <w:overflowPunct/>
              <w:topLinePunct w:val="0"/>
              <w:autoSpaceDE w:val="0"/>
              <w:autoSpaceDN w:val="0"/>
              <w:bidi w:val="0"/>
              <w:adjustRightInd w:val="0"/>
              <w:snapToGrid w:val="0"/>
              <w:ind w:firstLine="480" w:firstLineChars="200"/>
              <w:textAlignment w:val="auto"/>
              <w:rPr>
                <w:rFonts w:hint="eastAsia"/>
                <w:color w:val="auto"/>
                <w:sz w:val="24"/>
                <w:szCs w:val="24"/>
                <w:highlight w:val="none"/>
                <w:lang w:eastAsia="zh-CN"/>
              </w:rPr>
            </w:pPr>
            <w:r>
              <w:rPr>
                <w:rFonts w:hint="eastAsia"/>
                <w:color w:val="auto"/>
                <w:sz w:val="24"/>
                <w:szCs w:val="24"/>
                <w:highlight w:val="none"/>
                <w:lang w:val="en-US" w:eastAsia="zh-CN"/>
              </w:rPr>
              <w:t>渑池县</w:t>
            </w:r>
          </w:p>
        </w:tc>
      </w:tr>
      <w:tr w14:paraId="41352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19" w:hRule="atLeast"/>
        </w:trPr>
        <w:tc>
          <w:tcPr>
            <w:tcW w:w="1824" w:type="dxa"/>
            <w:vAlign w:val="center"/>
          </w:tcPr>
          <w:p w14:paraId="7BAF1416">
            <w:pPr>
              <w:pStyle w:val="33"/>
              <w:keepNext w:val="0"/>
              <w:keepLines w:val="0"/>
              <w:pageBreakBefore w:val="0"/>
              <w:widowControl/>
              <w:numPr>
                <w:ilvl w:val="0"/>
                <w:numId w:val="0"/>
              </w:numPr>
              <w:kinsoku/>
              <w:wordWrap/>
              <w:overflowPunct/>
              <w:topLinePunct w:val="0"/>
              <w:autoSpaceDE w:val="0"/>
              <w:autoSpaceDN w:val="0"/>
              <w:bidi w:val="0"/>
              <w:adjustRightInd w:val="0"/>
              <w:snapToGrid w:val="0"/>
              <w:ind w:firstLine="480" w:firstLineChars="200"/>
              <w:textAlignment w:val="auto"/>
              <w:rPr>
                <w:color w:val="auto"/>
                <w:sz w:val="24"/>
                <w:szCs w:val="24"/>
                <w:highlight w:val="none"/>
              </w:rPr>
            </w:pPr>
            <w:r>
              <w:rPr>
                <w:color w:val="auto"/>
                <w:sz w:val="24"/>
                <w:szCs w:val="24"/>
                <w:highlight w:val="none"/>
              </w:rPr>
              <w:t>付款方式</w:t>
            </w:r>
          </w:p>
        </w:tc>
        <w:tc>
          <w:tcPr>
            <w:tcW w:w="7235" w:type="dxa"/>
            <w:vAlign w:val="center"/>
          </w:tcPr>
          <w:p w14:paraId="27D5B21A">
            <w:pPr>
              <w:pStyle w:val="33"/>
              <w:keepNext w:val="0"/>
              <w:keepLines w:val="0"/>
              <w:pageBreakBefore w:val="0"/>
              <w:widowControl/>
              <w:numPr>
                <w:ilvl w:val="0"/>
                <w:numId w:val="0"/>
              </w:numPr>
              <w:kinsoku/>
              <w:wordWrap/>
              <w:overflowPunct/>
              <w:topLinePunct w:val="0"/>
              <w:autoSpaceDE w:val="0"/>
              <w:autoSpaceDN w:val="0"/>
              <w:bidi w:val="0"/>
              <w:adjustRightInd w:val="0"/>
              <w:snapToGrid w:val="0"/>
              <w:ind w:firstLine="480" w:firstLineChars="200"/>
              <w:textAlignment w:val="auto"/>
              <w:rPr>
                <w:color w:val="auto"/>
                <w:sz w:val="24"/>
                <w:szCs w:val="24"/>
                <w:highlight w:val="none"/>
              </w:rPr>
            </w:pPr>
            <w:r>
              <w:rPr>
                <w:color w:val="auto"/>
                <w:sz w:val="24"/>
                <w:szCs w:val="24"/>
                <w:highlight w:val="none"/>
              </w:rPr>
              <w:t>双方合同约定。</w:t>
            </w:r>
          </w:p>
        </w:tc>
      </w:tr>
    </w:tbl>
    <w:p w14:paraId="4C853387">
      <w:pPr>
        <w:pStyle w:val="33"/>
        <w:numPr>
          <w:ilvl w:val="0"/>
          <w:numId w:val="0"/>
        </w:numPr>
        <w:rPr>
          <w:color w:val="auto"/>
          <w:highlight w:val="none"/>
        </w:rPr>
      </w:pPr>
    </w:p>
    <w:p w14:paraId="5D927705">
      <w:pPr>
        <w:spacing w:line="360" w:lineRule="auto"/>
        <w:ind w:firstLine="482" w:firstLineChars="200"/>
        <w:rPr>
          <w:rFonts w:ascii="宋体" w:hAnsi="宋体" w:cs="宋体"/>
          <w:b/>
          <w:color w:val="auto"/>
          <w:sz w:val="24"/>
          <w:szCs w:val="24"/>
          <w:highlight w:val="none"/>
        </w:rPr>
      </w:pPr>
    </w:p>
    <w:p w14:paraId="3961CAAE">
      <w:pPr>
        <w:rPr>
          <w:rFonts w:ascii="宋体" w:hAnsi="宋体"/>
          <w:b/>
          <w:bCs/>
          <w:color w:val="auto"/>
          <w:kern w:val="0"/>
          <w:sz w:val="44"/>
          <w:szCs w:val="44"/>
          <w:highlight w:val="none"/>
        </w:rPr>
      </w:pPr>
      <w:bookmarkStart w:id="8" w:name="_Toc11346"/>
      <w:r>
        <w:rPr>
          <w:rFonts w:hint="eastAsia" w:ascii="宋体" w:hAnsi="宋体"/>
          <w:b/>
          <w:bCs/>
          <w:color w:val="auto"/>
          <w:kern w:val="0"/>
          <w:sz w:val="44"/>
          <w:szCs w:val="44"/>
          <w:highlight w:val="none"/>
        </w:rPr>
        <w:br w:type="page"/>
      </w:r>
    </w:p>
    <w:p w14:paraId="3F151BF6">
      <w:pPr>
        <w:widowControl/>
        <w:spacing w:line="620" w:lineRule="exact"/>
        <w:ind w:firstLine="2619"/>
        <w:outlineLvl w:val="0"/>
        <w:rPr>
          <w:rFonts w:ascii="宋体" w:hAnsi="宋体"/>
          <w:b/>
          <w:bCs/>
          <w:color w:val="auto"/>
          <w:kern w:val="0"/>
          <w:sz w:val="44"/>
          <w:szCs w:val="44"/>
          <w:highlight w:val="none"/>
        </w:rPr>
      </w:pPr>
      <w:bookmarkStart w:id="9" w:name="_Toc192493787"/>
      <w:r>
        <w:rPr>
          <w:rFonts w:hint="eastAsia" w:ascii="宋体" w:hAnsi="宋体"/>
          <w:b/>
          <w:bCs/>
          <w:color w:val="auto"/>
          <w:kern w:val="0"/>
          <w:sz w:val="32"/>
          <w:szCs w:val="32"/>
          <w:highlight w:val="none"/>
        </w:rPr>
        <w:t xml:space="preserve">第四章 </w:t>
      </w:r>
      <w:bookmarkStart w:id="10" w:name="评标办法"/>
      <w:r>
        <w:rPr>
          <w:rFonts w:hint="eastAsia" w:ascii="宋体" w:hAnsi="宋体"/>
          <w:b/>
          <w:bCs/>
          <w:color w:val="auto"/>
          <w:kern w:val="0"/>
          <w:sz w:val="32"/>
          <w:szCs w:val="32"/>
          <w:highlight w:val="none"/>
        </w:rPr>
        <w:t>评标办法</w:t>
      </w:r>
      <w:bookmarkEnd w:id="8"/>
      <w:bookmarkEnd w:id="9"/>
      <w:bookmarkEnd w:id="10"/>
    </w:p>
    <w:p w14:paraId="7E263776">
      <w:pPr>
        <w:spacing w:line="600" w:lineRule="exact"/>
        <w:ind w:firstLine="482"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1. 投标文件的评审、比较和否决</w:t>
      </w:r>
    </w:p>
    <w:p w14:paraId="57285DFE">
      <w:pPr>
        <w:spacing w:line="6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1.1评标委员会将按照招标文件的规定，仅对在实质上响应招标文件要求的投标文件进行评估和比较。</w:t>
      </w:r>
    </w:p>
    <w:p w14:paraId="44D90F92">
      <w:pPr>
        <w:spacing w:line="6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1.2根据相关法律法规及有关招标投标文件规定，结合本项目具体情况，制定本次招标评标办法。并按照“公平、公正、科学、择优”的原则进行评标。采用百分制综合评估法进行评比。</w:t>
      </w:r>
    </w:p>
    <w:p w14:paraId="4DF11EF9">
      <w:pPr>
        <w:spacing w:line="6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在评审过程中，评标委员会可以要求投标供应商就投标文件中含义不明确的内容进行陈述；凡遇到招标文件中无界定或界定不清、前后不一致使评委会成员意见有分歧且又难于协商一致的问题，均由评委会予以表决，获半数以上同意的即为通过，未获半数同意的即为否决。</w:t>
      </w:r>
    </w:p>
    <w:p w14:paraId="6993B99B">
      <w:pPr>
        <w:spacing w:line="6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1.4评标时，投标报价是评标的重要依据，但不是唯一依据，采购人不承诺将合同授予报价最低或最高的投标供应商。</w:t>
      </w:r>
    </w:p>
    <w:p w14:paraId="43D4219A">
      <w:pPr>
        <w:spacing w:line="6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评标委员会依据招标文件中规定的评标标准和方法，对投标文件进行评审和比较，向采购人提出书面评标报告，并推荐合格的中标候选人。采购人根据评标委员会提出的书面评标报告和推荐的中标候选人按序确定中标投标供应商。</w:t>
      </w:r>
    </w:p>
    <w:p w14:paraId="38CE37E8">
      <w:pPr>
        <w:spacing w:line="600" w:lineRule="exact"/>
        <w:ind w:firstLine="482" w:firstLineChars="20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 评审程序</w:t>
      </w:r>
    </w:p>
    <w:p w14:paraId="1C1EDC6E">
      <w:pPr>
        <w:spacing w:line="6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 资格审查</w:t>
      </w:r>
    </w:p>
    <w:p w14:paraId="42364147">
      <w:pPr>
        <w:spacing w:line="6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本项目采用资格后审</w:t>
      </w:r>
    </w:p>
    <w:p w14:paraId="2D021A57">
      <w:pPr>
        <w:spacing w:line="6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或采购代理机构应当按照招标文件第二章投标供应商须知2.0项及第四章评标办法资格性审查标准2.1.1要求，对投标供应商的投标文件进行资格评审，有一项不符合的，视为未通过资格审查，合格投标供应商不足3家的，不得评标。符合的进入下一评标程序。</w:t>
      </w:r>
    </w:p>
    <w:p w14:paraId="6ADB805D">
      <w:pPr>
        <w:spacing w:line="600" w:lineRule="exact"/>
        <w:ind w:firstLine="482" w:firstLineChars="20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3.评标具体方法和标准</w:t>
      </w:r>
    </w:p>
    <w:p w14:paraId="52CB3E46">
      <w:pPr>
        <w:spacing w:line="6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评标委员会根据评标原则和办法对所有投标文件进行集中审核，分别评价。</w:t>
      </w:r>
    </w:p>
    <w:p w14:paraId="574C825E">
      <w:pPr>
        <w:pStyle w:val="13"/>
        <w:ind w:left="420" w:firstLine="482"/>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一、初步审查</w:t>
      </w:r>
    </w:p>
    <w:tbl>
      <w:tblPr>
        <w:tblStyle w:val="14"/>
        <w:tblW w:w="10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27"/>
        <w:gridCol w:w="2503"/>
        <w:gridCol w:w="5793"/>
      </w:tblGrid>
      <w:tr w14:paraId="084DC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7" w:hRule="atLeast"/>
          <w:jc w:val="center"/>
        </w:trPr>
        <w:tc>
          <w:tcPr>
            <w:tcW w:w="1897" w:type="dxa"/>
            <w:gridSpan w:val="2"/>
            <w:tcBorders>
              <w:top w:val="single" w:color="auto" w:sz="4" w:space="0"/>
              <w:left w:val="single" w:color="auto" w:sz="4" w:space="0"/>
              <w:bottom w:val="single" w:color="auto" w:sz="4" w:space="0"/>
              <w:right w:val="single" w:color="auto" w:sz="4" w:space="0"/>
            </w:tcBorders>
            <w:vAlign w:val="center"/>
          </w:tcPr>
          <w:p w14:paraId="76E0DDFA">
            <w:pPr>
              <w:spacing w:line="360" w:lineRule="auto"/>
              <w:ind w:firstLine="472" w:firstLineChars="196"/>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条款号</w:t>
            </w:r>
          </w:p>
        </w:tc>
        <w:tc>
          <w:tcPr>
            <w:tcW w:w="2503" w:type="dxa"/>
            <w:tcBorders>
              <w:top w:val="single" w:color="auto" w:sz="4" w:space="0"/>
              <w:left w:val="single" w:color="auto" w:sz="4" w:space="0"/>
              <w:bottom w:val="single" w:color="auto" w:sz="4" w:space="0"/>
              <w:right w:val="single" w:color="auto" w:sz="4" w:space="0"/>
            </w:tcBorders>
            <w:vAlign w:val="center"/>
          </w:tcPr>
          <w:p w14:paraId="7B34B3CA">
            <w:pPr>
              <w:spacing w:line="360" w:lineRule="auto"/>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评审因素</w:t>
            </w:r>
          </w:p>
        </w:tc>
        <w:tc>
          <w:tcPr>
            <w:tcW w:w="5793" w:type="dxa"/>
            <w:tcBorders>
              <w:top w:val="single" w:color="auto" w:sz="4" w:space="0"/>
              <w:left w:val="single" w:color="auto" w:sz="4" w:space="0"/>
              <w:bottom w:val="single" w:color="auto" w:sz="4" w:space="0"/>
              <w:right w:val="single" w:color="auto" w:sz="4" w:space="0"/>
            </w:tcBorders>
            <w:vAlign w:val="center"/>
          </w:tcPr>
          <w:p w14:paraId="0AA0CD3B">
            <w:pPr>
              <w:spacing w:line="360" w:lineRule="auto"/>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评审标准</w:t>
            </w:r>
          </w:p>
        </w:tc>
      </w:tr>
      <w:tr w14:paraId="0CFE0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770" w:type="dxa"/>
            <w:vMerge w:val="restart"/>
            <w:tcBorders>
              <w:top w:val="single" w:color="auto" w:sz="4" w:space="0"/>
              <w:left w:val="single" w:color="auto" w:sz="4" w:space="0"/>
              <w:right w:val="single" w:color="auto" w:sz="4" w:space="0"/>
            </w:tcBorders>
            <w:vAlign w:val="center"/>
          </w:tcPr>
          <w:p w14:paraId="6B1D2B4F">
            <w:pPr>
              <w:spacing w:line="360" w:lineRule="auto"/>
              <w:jc w:val="center"/>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2.1.1</w:t>
            </w:r>
          </w:p>
        </w:tc>
        <w:tc>
          <w:tcPr>
            <w:tcW w:w="1127" w:type="dxa"/>
            <w:vMerge w:val="restart"/>
            <w:tcBorders>
              <w:top w:val="single" w:color="auto" w:sz="4" w:space="0"/>
              <w:left w:val="single" w:color="auto" w:sz="4" w:space="0"/>
              <w:right w:val="single" w:color="auto" w:sz="4" w:space="0"/>
            </w:tcBorders>
            <w:vAlign w:val="center"/>
          </w:tcPr>
          <w:p w14:paraId="38EAD214">
            <w:pPr>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资格性</w:t>
            </w:r>
          </w:p>
          <w:p w14:paraId="5F9B8590">
            <w:pPr>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审查</w:t>
            </w:r>
          </w:p>
          <w:p w14:paraId="62E3B3B0">
            <w:pPr>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标准</w:t>
            </w:r>
          </w:p>
        </w:tc>
        <w:tc>
          <w:tcPr>
            <w:tcW w:w="2503" w:type="dxa"/>
            <w:tcBorders>
              <w:top w:val="single" w:color="auto" w:sz="4" w:space="0"/>
              <w:left w:val="single" w:color="auto" w:sz="4" w:space="0"/>
              <w:right w:val="single" w:color="auto" w:sz="4" w:space="0"/>
            </w:tcBorders>
            <w:vAlign w:val="center"/>
          </w:tcPr>
          <w:p w14:paraId="4A25081C">
            <w:pPr>
              <w:spacing w:line="276"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满足《中华人民共和国政府采购法》第二十二条规定</w:t>
            </w:r>
          </w:p>
        </w:tc>
        <w:tc>
          <w:tcPr>
            <w:tcW w:w="5793" w:type="dxa"/>
            <w:tcBorders>
              <w:top w:val="single" w:color="auto" w:sz="4" w:space="0"/>
              <w:left w:val="single" w:color="auto" w:sz="4" w:space="0"/>
              <w:right w:val="single" w:color="auto" w:sz="4" w:space="0"/>
            </w:tcBorders>
            <w:vAlign w:val="center"/>
          </w:tcPr>
          <w:p w14:paraId="686D5171">
            <w:pPr>
              <w:spacing w:line="276" w:lineRule="auto"/>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提供承诺书或证明资料</w:t>
            </w:r>
          </w:p>
        </w:tc>
      </w:tr>
      <w:tr w14:paraId="14CAA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0" w:type="dxa"/>
            <w:vMerge w:val="continue"/>
            <w:tcBorders>
              <w:left w:val="single" w:color="auto" w:sz="4" w:space="0"/>
              <w:right w:val="single" w:color="auto" w:sz="4" w:space="0"/>
            </w:tcBorders>
            <w:vAlign w:val="center"/>
          </w:tcPr>
          <w:p w14:paraId="042A3AF8">
            <w:pPr>
              <w:spacing w:line="360" w:lineRule="auto"/>
              <w:jc w:val="center"/>
              <w:rPr>
                <w:rFonts w:asciiTheme="minorEastAsia" w:hAnsiTheme="minorEastAsia" w:eastAsiaTheme="minorEastAsia" w:cstheme="minorEastAsia"/>
                <w:bCs/>
                <w:color w:val="auto"/>
                <w:sz w:val="24"/>
                <w:szCs w:val="24"/>
                <w:highlight w:val="none"/>
              </w:rPr>
            </w:pPr>
          </w:p>
        </w:tc>
        <w:tc>
          <w:tcPr>
            <w:tcW w:w="1127" w:type="dxa"/>
            <w:vMerge w:val="continue"/>
            <w:tcBorders>
              <w:left w:val="single" w:color="auto" w:sz="4" w:space="0"/>
              <w:right w:val="single" w:color="auto" w:sz="4" w:space="0"/>
            </w:tcBorders>
            <w:vAlign w:val="center"/>
          </w:tcPr>
          <w:p w14:paraId="60F347F4">
            <w:pPr>
              <w:spacing w:line="360" w:lineRule="auto"/>
              <w:jc w:val="center"/>
              <w:rPr>
                <w:rFonts w:asciiTheme="minorEastAsia" w:hAnsiTheme="minorEastAsia" w:eastAsiaTheme="minorEastAsia" w:cstheme="minorEastAsia"/>
                <w:color w:val="auto"/>
                <w:sz w:val="24"/>
                <w:szCs w:val="24"/>
                <w:highlight w:val="none"/>
              </w:rPr>
            </w:pPr>
          </w:p>
        </w:tc>
        <w:tc>
          <w:tcPr>
            <w:tcW w:w="2503" w:type="dxa"/>
            <w:tcBorders>
              <w:top w:val="single" w:color="auto" w:sz="4" w:space="0"/>
              <w:left w:val="single" w:color="auto" w:sz="4" w:space="0"/>
              <w:right w:val="single" w:color="auto" w:sz="4" w:space="0"/>
            </w:tcBorders>
            <w:vAlign w:val="center"/>
          </w:tcPr>
          <w:p w14:paraId="77564923">
            <w:pPr>
              <w:spacing w:line="276"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营业执照</w:t>
            </w:r>
          </w:p>
        </w:tc>
        <w:tc>
          <w:tcPr>
            <w:tcW w:w="5793" w:type="dxa"/>
            <w:tcBorders>
              <w:top w:val="single" w:color="auto" w:sz="4" w:space="0"/>
              <w:left w:val="single" w:color="auto" w:sz="4" w:space="0"/>
              <w:right w:val="single" w:color="auto" w:sz="4" w:space="0"/>
            </w:tcBorders>
            <w:vAlign w:val="center"/>
          </w:tcPr>
          <w:p w14:paraId="749799C2">
            <w:pPr>
              <w:spacing w:line="276" w:lineRule="auto"/>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是否符合要求</w:t>
            </w:r>
          </w:p>
        </w:tc>
      </w:tr>
      <w:tr w14:paraId="75591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0" w:type="dxa"/>
            <w:vMerge w:val="continue"/>
            <w:tcBorders>
              <w:left w:val="single" w:color="auto" w:sz="4" w:space="0"/>
              <w:right w:val="single" w:color="auto" w:sz="4" w:space="0"/>
            </w:tcBorders>
            <w:vAlign w:val="center"/>
          </w:tcPr>
          <w:p w14:paraId="241A027A">
            <w:pPr>
              <w:spacing w:line="360" w:lineRule="auto"/>
              <w:jc w:val="center"/>
              <w:rPr>
                <w:rFonts w:asciiTheme="minorEastAsia" w:hAnsiTheme="minorEastAsia" w:eastAsiaTheme="minorEastAsia" w:cstheme="minorEastAsia"/>
                <w:bCs/>
                <w:color w:val="auto"/>
                <w:sz w:val="24"/>
                <w:szCs w:val="24"/>
                <w:highlight w:val="none"/>
              </w:rPr>
            </w:pPr>
          </w:p>
        </w:tc>
        <w:tc>
          <w:tcPr>
            <w:tcW w:w="1127" w:type="dxa"/>
            <w:vMerge w:val="continue"/>
            <w:tcBorders>
              <w:left w:val="single" w:color="auto" w:sz="4" w:space="0"/>
              <w:right w:val="single" w:color="auto" w:sz="4" w:space="0"/>
            </w:tcBorders>
            <w:vAlign w:val="center"/>
          </w:tcPr>
          <w:p w14:paraId="26F65FFB">
            <w:pPr>
              <w:spacing w:line="360" w:lineRule="auto"/>
              <w:jc w:val="center"/>
              <w:rPr>
                <w:rFonts w:asciiTheme="minorEastAsia" w:hAnsiTheme="minorEastAsia" w:eastAsiaTheme="minorEastAsia" w:cstheme="minorEastAsia"/>
                <w:color w:val="auto"/>
                <w:sz w:val="24"/>
                <w:szCs w:val="24"/>
                <w:highlight w:val="none"/>
              </w:rPr>
            </w:pPr>
          </w:p>
        </w:tc>
        <w:tc>
          <w:tcPr>
            <w:tcW w:w="2503" w:type="dxa"/>
            <w:tcBorders>
              <w:top w:val="single" w:color="auto" w:sz="4" w:space="0"/>
              <w:left w:val="single" w:color="auto" w:sz="4" w:space="0"/>
              <w:right w:val="single" w:color="auto" w:sz="4" w:space="0"/>
            </w:tcBorders>
            <w:vAlign w:val="center"/>
          </w:tcPr>
          <w:p w14:paraId="67C4A2A1">
            <w:pPr>
              <w:spacing w:line="276" w:lineRule="auto"/>
              <w:jc w:val="center"/>
              <w:rPr>
                <w:rFonts w:hint="eastAsia" w:asciiTheme="minorEastAsia" w:hAnsiTheme="minorEastAsia" w:eastAsiaTheme="minorEastAsia" w:cstheme="minorEastAsia"/>
                <w:color w:val="auto"/>
                <w:sz w:val="24"/>
                <w:szCs w:val="24"/>
                <w:highlight w:val="none"/>
              </w:rPr>
            </w:pPr>
            <w:r>
              <w:rPr>
                <w:rFonts w:hint="eastAsia" w:ascii="宋体" w:hAnsi="宋体" w:cs="宋体"/>
                <w:color w:val="auto"/>
                <w:kern w:val="0"/>
                <w:sz w:val="24"/>
                <w:szCs w:val="24"/>
                <w:highlight w:val="none"/>
                <w:lang w:val="en-US" w:eastAsia="zh-CN"/>
              </w:rPr>
              <w:t>资质证书、</w:t>
            </w:r>
            <w:r>
              <w:rPr>
                <w:rFonts w:hint="eastAsia" w:ascii="宋体" w:hAnsi="宋体" w:cs="宋体"/>
                <w:color w:val="auto"/>
                <w:kern w:val="0"/>
                <w:sz w:val="24"/>
                <w:szCs w:val="24"/>
                <w:highlight w:val="none"/>
                <w:lang w:eastAsia="zh-CN"/>
              </w:rPr>
              <w:t>资质认定证书</w:t>
            </w:r>
            <w:r>
              <w:rPr>
                <w:rFonts w:hint="eastAsia" w:ascii="宋体" w:hAnsi="宋体" w:cs="宋体"/>
                <w:color w:val="auto"/>
                <w:kern w:val="0"/>
                <w:sz w:val="24"/>
                <w:szCs w:val="24"/>
                <w:highlight w:val="none"/>
                <w:lang w:val="en-US" w:eastAsia="zh-CN"/>
              </w:rPr>
              <w:t>及</w:t>
            </w:r>
            <w:r>
              <w:rPr>
                <w:rFonts w:hint="eastAsia" w:ascii="宋体" w:hAnsi="宋体" w:cs="宋体"/>
                <w:color w:val="auto"/>
                <w:kern w:val="0"/>
                <w:sz w:val="24"/>
                <w:szCs w:val="24"/>
                <w:highlight w:val="none"/>
                <w:lang w:eastAsia="zh-CN"/>
              </w:rPr>
              <w:t>项目负责人</w:t>
            </w:r>
          </w:p>
        </w:tc>
        <w:tc>
          <w:tcPr>
            <w:tcW w:w="5793" w:type="dxa"/>
            <w:tcBorders>
              <w:top w:val="single" w:color="auto" w:sz="4" w:space="0"/>
              <w:left w:val="single" w:color="auto" w:sz="4" w:space="0"/>
              <w:right w:val="single" w:color="auto" w:sz="4" w:space="0"/>
            </w:tcBorders>
            <w:vAlign w:val="center"/>
          </w:tcPr>
          <w:p w14:paraId="13EA837E">
            <w:pPr>
              <w:spacing w:line="276"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是否符合要求</w:t>
            </w:r>
          </w:p>
        </w:tc>
      </w:tr>
      <w:tr w14:paraId="7CD54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770" w:type="dxa"/>
            <w:vMerge w:val="continue"/>
            <w:tcBorders>
              <w:left w:val="single" w:color="auto" w:sz="4" w:space="0"/>
              <w:right w:val="single" w:color="auto" w:sz="4" w:space="0"/>
            </w:tcBorders>
            <w:vAlign w:val="center"/>
          </w:tcPr>
          <w:p w14:paraId="4A9EF6F2">
            <w:pPr>
              <w:spacing w:line="360" w:lineRule="auto"/>
              <w:jc w:val="center"/>
              <w:rPr>
                <w:rFonts w:asciiTheme="minorEastAsia" w:hAnsiTheme="minorEastAsia" w:eastAsiaTheme="minorEastAsia" w:cstheme="minorEastAsia"/>
                <w:bCs/>
                <w:color w:val="auto"/>
                <w:sz w:val="24"/>
                <w:szCs w:val="24"/>
                <w:highlight w:val="none"/>
              </w:rPr>
            </w:pPr>
          </w:p>
        </w:tc>
        <w:tc>
          <w:tcPr>
            <w:tcW w:w="1127" w:type="dxa"/>
            <w:vMerge w:val="continue"/>
            <w:tcBorders>
              <w:left w:val="single" w:color="auto" w:sz="4" w:space="0"/>
              <w:right w:val="single" w:color="auto" w:sz="4" w:space="0"/>
            </w:tcBorders>
            <w:vAlign w:val="center"/>
          </w:tcPr>
          <w:p w14:paraId="2A7C81BC">
            <w:pPr>
              <w:spacing w:line="360" w:lineRule="auto"/>
              <w:jc w:val="center"/>
              <w:rPr>
                <w:rFonts w:asciiTheme="minorEastAsia" w:hAnsiTheme="minorEastAsia" w:eastAsiaTheme="minorEastAsia" w:cstheme="minorEastAsia"/>
                <w:color w:val="auto"/>
                <w:sz w:val="24"/>
                <w:szCs w:val="24"/>
                <w:highlight w:val="none"/>
              </w:rPr>
            </w:pPr>
          </w:p>
        </w:tc>
        <w:tc>
          <w:tcPr>
            <w:tcW w:w="2503" w:type="dxa"/>
            <w:tcBorders>
              <w:top w:val="single" w:color="auto" w:sz="4" w:space="0"/>
              <w:left w:val="single" w:color="auto" w:sz="4" w:space="0"/>
              <w:right w:val="single" w:color="auto" w:sz="4" w:space="0"/>
            </w:tcBorders>
            <w:vAlign w:val="center"/>
          </w:tcPr>
          <w:p w14:paraId="77BFE10F">
            <w:pPr>
              <w:spacing w:line="276"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本单位无商业贿赂及无不正当竞争行为的承诺书</w:t>
            </w:r>
          </w:p>
        </w:tc>
        <w:tc>
          <w:tcPr>
            <w:tcW w:w="5793" w:type="dxa"/>
            <w:tcBorders>
              <w:top w:val="single" w:color="auto" w:sz="4" w:space="0"/>
              <w:left w:val="single" w:color="auto" w:sz="4" w:space="0"/>
              <w:right w:val="single" w:color="auto" w:sz="4" w:space="0"/>
            </w:tcBorders>
            <w:vAlign w:val="center"/>
          </w:tcPr>
          <w:p w14:paraId="25A44ECD">
            <w:pPr>
              <w:spacing w:line="276" w:lineRule="auto"/>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提供承诺书</w:t>
            </w:r>
          </w:p>
        </w:tc>
      </w:tr>
      <w:tr w14:paraId="077AC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770" w:type="dxa"/>
            <w:vMerge w:val="continue"/>
            <w:tcBorders>
              <w:left w:val="single" w:color="auto" w:sz="4" w:space="0"/>
              <w:right w:val="single" w:color="auto" w:sz="4" w:space="0"/>
            </w:tcBorders>
            <w:vAlign w:val="center"/>
          </w:tcPr>
          <w:p w14:paraId="360757F5">
            <w:pPr>
              <w:spacing w:line="360" w:lineRule="auto"/>
              <w:jc w:val="center"/>
              <w:rPr>
                <w:rFonts w:asciiTheme="minorEastAsia" w:hAnsiTheme="minorEastAsia" w:eastAsiaTheme="minorEastAsia" w:cstheme="minorEastAsia"/>
                <w:bCs/>
                <w:color w:val="auto"/>
                <w:sz w:val="24"/>
                <w:szCs w:val="24"/>
                <w:highlight w:val="none"/>
              </w:rPr>
            </w:pPr>
          </w:p>
        </w:tc>
        <w:tc>
          <w:tcPr>
            <w:tcW w:w="1127" w:type="dxa"/>
            <w:vMerge w:val="continue"/>
            <w:tcBorders>
              <w:left w:val="single" w:color="auto" w:sz="4" w:space="0"/>
              <w:right w:val="single" w:color="auto" w:sz="4" w:space="0"/>
            </w:tcBorders>
            <w:vAlign w:val="center"/>
          </w:tcPr>
          <w:p w14:paraId="7B3BA473">
            <w:pPr>
              <w:spacing w:line="360" w:lineRule="auto"/>
              <w:jc w:val="center"/>
              <w:rPr>
                <w:rFonts w:asciiTheme="minorEastAsia" w:hAnsiTheme="minorEastAsia" w:eastAsiaTheme="minorEastAsia" w:cstheme="minorEastAsia"/>
                <w:color w:val="auto"/>
                <w:sz w:val="24"/>
                <w:szCs w:val="24"/>
                <w:highlight w:val="none"/>
              </w:rPr>
            </w:pPr>
          </w:p>
        </w:tc>
        <w:tc>
          <w:tcPr>
            <w:tcW w:w="2503" w:type="dxa"/>
            <w:tcBorders>
              <w:top w:val="single" w:color="auto" w:sz="4" w:space="0"/>
              <w:left w:val="single" w:color="auto" w:sz="4" w:space="0"/>
              <w:right w:val="single" w:color="auto" w:sz="4" w:space="0"/>
            </w:tcBorders>
            <w:vAlign w:val="center"/>
          </w:tcPr>
          <w:p w14:paraId="0EF4304C">
            <w:pPr>
              <w:spacing w:line="276"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信誉查询信息</w:t>
            </w:r>
          </w:p>
        </w:tc>
        <w:tc>
          <w:tcPr>
            <w:tcW w:w="5793" w:type="dxa"/>
            <w:tcBorders>
              <w:top w:val="single" w:color="auto" w:sz="4" w:space="0"/>
              <w:left w:val="single" w:color="auto" w:sz="4" w:space="0"/>
              <w:right w:val="single" w:color="auto" w:sz="4" w:space="0"/>
            </w:tcBorders>
            <w:vAlign w:val="center"/>
          </w:tcPr>
          <w:p w14:paraId="6F553574">
            <w:pPr>
              <w:spacing w:line="276" w:lineRule="auto"/>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提供“中国执行信息公开网”、“信用中国”和“中国政府采购网”网站的查询信息截图，加盖单位公章，截图需显示查询时间，查询时间：自公告发布之日起至投标截止时间前）</w:t>
            </w:r>
          </w:p>
        </w:tc>
      </w:tr>
      <w:tr w14:paraId="273F9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70" w:type="dxa"/>
            <w:vMerge w:val="continue"/>
            <w:tcBorders>
              <w:left w:val="single" w:color="auto" w:sz="4" w:space="0"/>
              <w:right w:val="single" w:color="auto" w:sz="4" w:space="0"/>
            </w:tcBorders>
            <w:vAlign w:val="center"/>
          </w:tcPr>
          <w:p w14:paraId="2577F88E">
            <w:pPr>
              <w:spacing w:line="360" w:lineRule="auto"/>
              <w:jc w:val="center"/>
              <w:rPr>
                <w:rFonts w:asciiTheme="minorEastAsia" w:hAnsiTheme="minorEastAsia" w:eastAsiaTheme="minorEastAsia" w:cstheme="minorEastAsia"/>
                <w:bCs/>
                <w:color w:val="auto"/>
                <w:sz w:val="24"/>
                <w:szCs w:val="24"/>
                <w:highlight w:val="none"/>
              </w:rPr>
            </w:pPr>
          </w:p>
        </w:tc>
        <w:tc>
          <w:tcPr>
            <w:tcW w:w="1127" w:type="dxa"/>
            <w:vMerge w:val="continue"/>
            <w:tcBorders>
              <w:left w:val="single" w:color="auto" w:sz="4" w:space="0"/>
              <w:right w:val="single" w:color="auto" w:sz="4" w:space="0"/>
            </w:tcBorders>
            <w:vAlign w:val="center"/>
          </w:tcPr>
          <w:p w14:paraId="7F8EC1CF">
            <w:pPr>
              <w:spacing w:line="360" w:lineRule="auto"/>
              <w:jc w:val="center"/>
              <w:rPr>
                <w:rFonts w:asciiTheme="minorEastAsia" w:hAnsiTheme="minorEastAsia" w:eastAsiaTheme="minorEastAsia" w:cstheme="minorEastAsia"/>
                <w:color w:val="auto"/>
                <w:sz w:val="24"/>
                <w:szCs w:val="24"/>
                <w:highlight w:val="none"/>
              </w:rPr>
            </w:pPr>
          </w:p>
        </w:tc>
        <w:tc>
          <w:tcPr>
            <w:tcW w:w="2503" w:type="dxa"/>
            <w:tcBorders>
              <w:top w:val="single" w:color="auto" w:sz="4" w:space="0"/>
              <w:left w:val="single" w:color="auto" w:sz="4" w:space="0"/>
              <w:right w:val="single" w:color="auto" w:sz="4" w:space="0"/>
            </w:tcBorders>
            <w:vAlign w:val="center"/>
          </w:tcPr>
          <w:p w14:paraId="4AAC9C1F">
            <w:pPr>
              <w:spacing w:line="276"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单位负责人为同一人或者存在直接控股、管理关系的不同投标人，不得参加同一合同项下的采购活动</w:t>
            </w:r>
          </w:p>
        </w:tc>
        <w:tc>
          <w:tcPr>
            <w:tcW w:w="5793" w:type="dxa"/>
            <w:tcBorders>
              <w:top w:val="single" w:color="auto" w:sz="4" w:space="0"/>
              <w:left w:val="single" w:color="auto" w:sz="4" w:space="0"/>
              <w:right w:val="single" w:color="auto" w:sz="4" w:space="0"/>
            </w:tcBorders>
            <w:vAlign w:val="center"/>
          </w:tcPr>
          <w:p w14:paraId="3CF225A3">
            <w:pPr>
              <w:spacing w:line="276" w:lineRule="auto"/>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提供“国家企业信用信息公示系统”中查询打印的相关信息并加盖公章（查询信息需包含公司基本信息、股东信息及股权变更信息等相关信息，查询日期为本项目公告发布之后至开标截止时间止）</w:t>
            </w:r>
          </w:p>
        </w:tc>
      </w:tr>
      <w:tr w14:paraId="49AD0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70" w:type="dxa"/>
            <w:vMerge w:val="continue"/>
            <w:tcBorders>
              <w:left w:val="single" w:color="auto" w:sz="4" w:space="0"/>
              <w:right w:val="single" w:color="auto" w:sz="4" w:space="0"/>
            </w:tcBorders>
            <w:vAlign w:val="center"/>
          </w:tcPr>
          <w:p w14:paraId="7D5EAC66">
            <w:pPr>
              <w:spacing w:line="360" w:lineRule="auto"/>
              <w:jc w:val="center"/>
              <w:rPr>
                <w:rFonts w:asciiTheme="minorEastAsia" w:hAnsiTheme="minorEastAsia" w:eastAsiaTheme="minorEastAsia" w:cstheme="minorEastAsia"/>
                <w:bCs/>
                <w:color w:val="auto"/>
                <w:sz w:val="24"/>
                <w:szCs w:val="24"/>
                <w:highlight w:val="none"/>
              </w:rPr>
            </w:pPr>
          </w:p>
        </w:tc>
        <w:tc>
          <w:tcPr>
            <w:tcW w:w="1127" w:type="dxa"/>
            <w:vMerge w:val="continue"/>
            <w:tcBorders>
              <w:left w:val="single" w:color="auto" w:sz="4" w:space="0"/>
              <w:right w:val="single" w:color="auto" w:sz="4" w:space="0"/>
            </w:tcBorders>
            <w:vAlign w:val="center"/>
          </w:tcPr>
          <w:p w14:paraId="4BA03085">
            <w:pPr>
              <w:spacing w:line="360" w:lineRule="auto"/>
              <w:jc w:val="center"/>
              <w:rPr>
                <w:rFonts w:asciiTheme="minorEastAsia" w:hAnsiTheme="minorEastAsia" w:eastAsiaTheme="minorEastAsia" w:cstheme="minorEastAsia"/>
                <w:color w:val="auto"/>
                <w:sz w:val="24"/>
                <w:szCs w:val="24"/>
                <w:highlight w:val="none"/>
              </w:rPr>
            </w:pPr>
          </w:p>
        </w:tc>
        <w:tc>
          <w:tcPr>
            <w:tcW w:w="2503" w:type="dxa"/>
            <w:tcBorders>
              <w:top w:val="single" w:color="auto" w:sz="4" w:space="0"/>
              <w:left w:val="single" w:color="auto" w:sz="4" w:space="0"/>
              <w:right w:val="single" w:color="auto" w:sz="4" w:space="0"/>
            </w:tcBorders>
            <w:vAlign w:val="center"/>
          </w:tcPr>
          <w:p w14:paraId="757EA67D">
            <w:pPr>
              <w:spacing w:line="276"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本项目不接受联合体投标</w:t>
            </w:r>
          </w:p>
        </w:tc>
        <w:tc>
          <w:tcPr>
            <w:tcW w:w="5793" w:type="dxa"/>
            <w:tcBorders>
              <w:top w:val="single" w:color="auto" w:sz="4" w:space="0"/>
              <w:left w:val="single" w:color="auto" w:sz="4" w:space="0"/>
              <w:right w:val="single" w:color="auto" w:sz="4" w:space="0"/>
            </w:tcBorders>
            <w:vAlign w:val="center"/>
          </w:tcPr>
          <w:p w14:paraId="3AA5BC46">
            <w:pPr>
              <w:spacing w:line="276" w:lineRule="auto"/>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提供承诺书</w:t>
            </w:r>
          </w:p>
        </w:tc>
      </w:tr>
      <w:tr w14:paraId="279E0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70" w:type="dxa"/>
            <w:vMerge w:val="restart"/>
            <w:tcBorders>
              <w:top w:val="single" w:color="auto" w:sz="4" w:space="0"/>
              <w:left w:val="single" w:color="auto" w:sz="4" w:space="0"/>
              <w:right w:val="single" w:color="auto" w:sz="4" w:space="0"/>
            </w:tcBorders>
            <w:vAlign w:val="center"/>
          </w:tcPr>
          <w:p w14:paraId="688FD881">
            <w:pPr>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2.1.2</w:t>
            </w:r>
          </w:p>
        </w:tc>
        <w:tc>
          <w:tcPr>
            <w:tcW w:w="1127" w:type="dxa"/>
            <w:vMerge w:val="restart"/>
            <w:tcBorders>
              <w:top w:val="single" w:color="auto" w:sz="4" w:space="0"/>
              <w:left w:val="single" w:color="auto" w:sz="4" w:space="0"/>
              <w:right w:val="single" w:color="auto" w:sz="4" w:space="0"/>
            </w:tcBorders>
            <w:vAlign w:val="center"/>
          </w:tcPr>
          <w:p w14:paraId="09D556C2">
            <w:pPr>
              <w:spacing w:line="360" w:lineRule="auto"/>
              <w:jc w:val="center"/>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符合性</w:t>
            </w:r>
          </w:p>
          <w:p w14:paraId="073FAD2D">
            <w:pPr>
              <w:spacing w:line="360" w:lineRule="auto"/>
              <w:jc w:val="center"/>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审查</w:t>
            </w:r>
          </w:p>
          <w:p w14:paraId="0BBCF7CC">
            <w:pPr>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标准</w:t>
            </w:r>
          </w:p>
        </w:tc>
        <w:tc>
          <w:tcPr>
            <w:tcW w:w="2503" w:type="dxa"/>
            <w:tcBorders>
              <w:top w:val="single" w:color="auto" w:sz="4" w:space="0"/>
              <w:left w:val="single" w:color="auto" w:sz="4" w:space="0"/>
              <w:right w:val="single" w:color="auto" w:sz="4" w:space="0"/>
            </w:tcBorders>
            <w:vAlign w:val="center"/>
          </w:tcPr>
          <w:p w14:paraId="0E2C36DD">
            <w:pPr>
              <w:widowControl/>
              <w:adjustRightInd w:val="0"/>
              <w:snapToGrid w:val="0"/>
              <w:spacing w:line="400" w:lineRule="exact"/>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投标供应商名称</w:t>
            </w:r>
          </w:p>
        </w:tc>
        <w:tc>
          <w:tcPr>
            <w:tcW w:w="5793" w:type="dxa"/>
            <w:tcBorders>
              <w:top w:val="single" w:color="auto" w:sz="4" w:space="0"/>
              <w:left w:val="single" w:color="auto" w:sz="4" w:space="0"/>
              <w:right w:val="single" w:color="auto" w:sz="4" w:space="0"/>
            </w:tcBorders>
            <w:vAlign w:val="center"/>
          </w:tcPr>
          <w:p w14:paraId="37635969">
            <w:pPr>
              <w:widowControl/>
              <w:adjustRightInd w:val="0"/>
              <w:snapToGrid w:val="0"/>
              <w:spacing w:line="400" w:lineRule="exac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与营业执照是否一致</w:t>
            </w:r>
          </w:p>
        </w:tc>
      </w:tr>
      <w:tr w14:paraId="169D6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770" w:type="dxa"/>
            <w:vMerge w:val="continue"/>
            <w:tcBorders>
              <w:left w:val="single" w:color="auto" w:sz="4" w:space="0"/>
              <w:right w:val="single" w:color="auto" w:sz="4" w:space="0"/>
            </w:tcBorders>
            <w:vAlign w:val="center"/>
          </w:tcPr>
          <w:p w14:paraId="35E48E71">
            <w:pPr>
              <w:rPr>
                <w:rFonts w:asciiTheme="minorEastAsia" w:hAnsiTheme="minorEastAsia" w:eastAsiaTheme="minorEastAsia" w:cstheme="minorEastAsia"/>
                <w:color w:val="auto"/>
                <w:sz w:val="24"/>
                <w:szCs w:val="24"/>
                <w:highlight w:val="none"/>
              </w:rPr>
            </w:pPr>
          </w:p>
        </w:tc>
        <w:tc>
          <w:tcPr>
            <w:tcW w:w="1127" w:type="dxa"/>
            <w:vMerge w:val="continue"/>
            <w:tcBorders>
              <w:left w:val="single" w:color="auto" w:sz="4" w:space="0"/>
              <w:right w:val="single" w:color="auto" w:sz="4" w:space="0"/>
            </w:tcBorders>
            <w:vAlign w:val="center"/>
          </w:tcPr>
          <w:p w14:paraId="2AA01B35">
            <w:pPr>
              <w:rPr>
                <w:rFonts w:asciiTheme="minorEastAsia" w:hAnsiTheme="minorEastAsia" w:eastAsiaTheme="minorEastAsia" w:cstheme="minorEastAsia"/>
                <w:color w:val="auto"/>
                <w:sz w:val="24"/>
                <w:szCs w:val="24"/>
                <w:highlight w:val="none"/>
              </w:rPr>
            </w:pPr>
          </w:p>
        </w:tc>
        <w:tc>
          <w:tcPr>
            <w:tcW w:w="2503" w:type="dxa"/>
            <w:tcBorders>
              <w:top w:val="single" w:color="auto" w:sz="4" w:space="0"/>
              <w:left w:val="single" w:color="auto" w:sz="4" w:space="0"/>
              <w:bottom w:val="single" w:color="auto" w:sz="4" w:space="0"/>
              <w:right w:val="single" w:color="auto" w:sz="4" w:space="0"/>
            </w:tcBorders>
            <w:vAlign w:val="center"/>
          </w:tcPr>
          <w:p w14:paraId="142F9779">
            <w:pPr>
              <w:widowControl/>
              <w:adjustRightInd w:val="0"/>
              <w:snapToGrid w:val="0"/>
              <w:spacing w:line="400" w:lineRule="exact"/>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投标文件签字盖章</w:t>
            </w:r>
          </w:p>
        </w:tc>
        <w:tc>
          <w:tcPr>
            <w:tcW w:w="5793" w:type="dxa"/>
            <w:tcBorders>
              <w:top w:val="single" w:color="auto" w:sz="4" w:space="0"/>
              <w:left w:val="single" w:color="auto" w:sz="4" w:space="0"/>
              <w:bottom w:val="single" w:color="auto" w:sz="4" w:space="0"/>
              <w:right w:val="single" w:color="auto" w:sz="4" w:space="0"/>
            </w:tcBorders>
            <w:vAlign w:val="center"/>
          </w:tcPr>
          <w:p w14:paraId="2F1C0697">
            <w:pPr>
              <w:widowControl/>
              <w:adjustRightInd w:val="0"/>
              <w:snapToGrid w:val="0"/>
              <w:spacing w:line="400" w:lineRule="exac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按照招标文件的规定进行签字或盖章</w:t>
            </w:r>
          </w:p>
        </w:tc>
      </w:tr>
      <w:tr w14:paraId="2A0B2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jc w:val="center"/>
        </w:trPr>
        <w:tc>
          <w:tcPr>
            <w:tcW w:w="770" w:type="dxa"/>
            <w:vMerge w:val="continue"/>
            <w:tcBorders>
              <w:left w:val="single" w:color="auto" w:sz="4" w:space="0"/>
              <w:right w:val="single" w:color="auto" w:sz="4" w:space="0"/>
            </w:tcBorders>
            <w:vAlign w:val="center"/>
          </w:tcPr>
          <w:p w14:paraId="2F7B9B5E">
            <w:pPr>
              <w:rPr>
                <w:rFonts w:asciiTheme="minorEastAsia" w:hAnsiTheme="minorEastAsia" w:eastAsiaTheme="minorEastAsia" w:cstheme="minorEastAsia"/>
                <w:color w:val="auto"/>
                <w:sz w:val="24"/>
                <w:szCs w:val="24"/>
                <w:highlight w:val="none"/>
              </w:rPr>
            </w:pPr>
          </w:p>
        </w:tc>
        <w:tc>
          <w:tcPr>
            <w:tcW w:w="1127" w:type="dxa"/>
            <w:vMerge w:val="continue"/>
            <w:tcBorders>
              <w:left w:val="single" w:color="auto" w:sz="4" w:space="0"/>
              <w:right w:val="single" w:color="auto" w:sz="4" w:space="0"/>
            </w:tcBorders>
            <w:vAlign w:val="center"/>
          </w:tcPr>
          <w:p w14:paraId="16052C42">
            <w:pPr>
              <w:rPr>
                <w:rFonts w:asciiTheme="minorEastAsia" w:hAnsiTheme="minorEastAsia" w:eastAsiaTheme="minorEastAsia" w:cstheme="minorEastAsia"/>
                <w:color w:val="auto"/>
                <w:sz w:val="24"/>
                <w:szCs w:val="24"/>
                <w:highlight w:val="none"/>
              </w:rPr>
            </w:pPr>
          </w:p>
        </w:tc>
        <w:tc>
          <w:tcPr>
            <w:tcW w:w="2503" w:type="dxa"/>
            <w:tcBorders>
              <w:top w:val="single" w:color="auto" w:sz="4" w:space="0"/>
              <w:left w:val="single" w:color="auto" w:sz="4" w:space="0"/>
              <w:bottom w:val="single" w:color="auto" w:sz="4" w:space="0"/>
              <w:right w:val="single" w:color="auto" w:sz="4" w:space="0"/>
            </w:tcBorders>
            <w:vAlign w:val="center"/>
          </w:tcPr>
          <w:p w14:paraId="70A2926F">
            <w:pPr>
              <w:widowControl/>
              <w:wordWrap w:val="0"/>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报价唯一</w:t>
            </w:r>
          </w:p>
        </w:tc>
        <w:tc>
          <w:tcPr>
            <w:tcW w:w="5793" w:type="dxa"/>
            <w:tcBorders>
              <w:top w:val="single" w:color="auto" w:sz="4" w:space="0"/>
              <w:left w:val="single" w:color="auto" w:sz="4" w:space="0"/>
              <w:bottom w:val="single" w:color="auto" w:sz="4" w:space="0"/>
              <w:right w:val="single" w:color="auto" w:sz="4" w:space="0"/>
            </w:tcBorders>
            <w:vAlign w:val="center"/>
          </w:tcPr>
          <w:p w14:paraId="704D7794">
            <w:pPr>
              <w:widowControl/>
              <w:wordWrap w:val="0"/>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只能有一个有效报价，且不超过最高限价</w:t>
            </w:r>
          </w:p>
        </w:tc>
      </w:tr>
      <w:tr w14:paraId="07049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exact"/>
          <w:jc w:val="center"/>
        </w:trPr>
        <w:tc>
          <w:tcPr>
            <w:tcW w:w="770" w:type="dxa"/>
            <w:vMerge w:val="restart"/>
            <w:tcBorders>
              <w:left w:val="single" w:color="auto" w:sz="4" w:space="0"/>
              <w:right w:val="single" w:color="auto" w:sz="4" w:space="0"/>
            </w:tcBorders>
            <w:vAlign w:val="center"/>
          </w:tcPr>
          <w:p w14:paraId="2AD9EB8C">
            <w:pP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2.1.3</w:t>
            </w:r>
          </w:p>
        </w:tc>
        <w:tc>
          <w:tcPr>
            <w:tcW w:w="1127" w:type="dxa"/>
            <w:vMerge w:val="restart"/>
            <w:tcBorders>
              <w:left w:val="single" w:color="auto" w:sz="4" w:space="0"/>
              <w:right w:val="single" w:color="auto" w:sz="4" w:space="0"/>
            </w:tcBorders>
            <w:vAlign w:val="center"/>
          </w:tcPr>
          <w:p w14:paraId="4202A51A">
            <w:pP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响应性审查标准</w:t>
            </w:r>
          </w:p>
        </w:tc>
        <w:tc>
          <w:tcPr>
            <w:tcW w:w="2503" w:type="dxa"/>
            <w:tcBorders>
              <w:top w:val="single" w:color="auto" w:sz="4" w:space="0"/>
              <w:left w:val="single" w:color="auto" w:sz="4" w:space="0"/>
              <w:bottom w:val="single" w:color="auto" w:sz="4" w:space="0"/>
              <w:right w:val="single" w:color="auto" w:sz="4" w:space="0"/>
            </w:tcBorders>
            <w:shd w:val="clear" w:color="auto" w:fill="auto"/>
            <w:vAlign w:val="center"/>
          </w:tcPr>
          <w:p w14:paraId="64A2C4C5">
            <w:pPr>
              <w:wordWrap w:val="0"/>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shd w:val="clear" w:color="auto" w:fill="FFFFFF"/>
              </w:rPr>
              <w:t>服务期限</w:t>
            </w:r>
          </w:p>
        </w:tc>
        <w:tc>
          <w:tcPr>
            <w:tcW w:w="5793" w:type="dxa"/>
            <w:tcBorders>
              <w:top w:val="single" w:color="auto" w:sz="4" w:space="0"/>
              <w:left w:val="single" w:color="auto" w:sz="4" w:space="0"/>
              <w:bottom w:val="single" w:color="auto" w:sz="4" w:space="0"/>
              <w:right w:val="single" w:color="auto" w:sz="4" w:space="0"/>
            </w:tcBorders>
            <w:shd w:val="clear" w:color="auto" w:fill="auto"/>
            <w:vAlign w:val="center"/>
          </w:tcPr>
          <w:p w14:paraId="248600FA">
            <w:pPr>
              <w:wordWrap w:val="0"/>
              <w:spacing w:line="360" w:lineRule="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kern w:val="0"/>
                <w:sz w:val="24"/>
                <w:szCs w:val="24"/>
                <w:highlight w:val="none"/>
                <w:shd w:val="clear" w:color="auto" w:fill="FFFFFF"/>
                <w:lang w:eastAsia="zh-CN"/>
              </w:rPr>
              <w:t>服务至工程竣工</w:t>
            </w:r>
          </w:p>
        </w:tc>
      </w:tr>
      <w:tr w14:paraId="2D981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exact"/>
          <w:jc w:val="center"/>
        </w:trPr>
        <w:tc>
          <w:tcPr>
            <w:tcW w:w="770" w:type="dxa"/>
            <w:vMerge w:val="continue"/>
            <w:tcBorders>
              <w:left w:val="single" w:color="auto" w:sz="4" w:space="0"/>
              <w:right w:val="single" w:color="auto" w:sz="4" w:space="0"/>
            </w:tcBorders>
            <w:vAlign w:val="center"/>
          </w:tcPr>
          <w:p w14:paraId="3B70A82A">
            <w:pPr>
              <w:rPr>
                <w:rFonts w:asciiTheme="minorEastAsia" w:hAnsiTheme="minorEastAsia" w:eastAsiaTheme="minorEastAsia" w:cstheme="minorEastAsia"/>
                <w:color w:val="auto"/>
                <w:sz w:val="24"/>
                <w:szCs w:val="24"/>
                <w:highlight w:val="none"/>
              </w:rPr>
            </w:pPr>
          </w:p>
        </w:tc>
        <w:tc>
          <w:tcPr>
            <w:tcW w:w="1127" w:type="dxa"/>
            <w:vMerge w:val="continue"/>
            <w:tcBorders>
              <w:left w:val="single" w:color="auto" w:sz="4" w:space="0"/>
              <w:right w:val="single" w:color="auto" w:sz="4" w:space="0"/>
            </w:tcBorders>
            <w:vAlign w:val="center"/>
          </w:tcPr>
          <w:p w14:paraId="27D3EF29">
            <w:pPr>
              <w:rPr>
                <w:rFonts w:asciiTheme="minorEastAsia" w:hAnsiTheme="minorEastAsia" w:eastAsiaTheme="minorEastAsia" w:cstheme="minorEastAsia"/>
                <w:color w:val="auto"/>
                <w:sz w:val="24"/>
                <w:szCs w:val="24"/>
                <w:highlight w:val="none"/>
              </w:rPr>
            </w:pPr>
          </w:p>
        </w:tc>
        <w:tc>
          <w:tcPr>
            <w:tcW w:w="2503" w:type="dxa"/>
            <w:tcBorders>
              <w:top w:val="single" w:color="auto" w:sz="4" w:space="0"/>
              <w:left w:val="single" w:color="auto" w:sz="4" w:space="0"/>
              <w:bottom w:val="single" w:color="auto" w:sz="4" w:space="0"/>
              <w:right w:val="single" w:color="auto" w:sz="4" w:space="0"/>
            </w:tcBorders>
            <w:shd w:val="clear" w:color="auto" w:fill="auto"/>
            <w:vAlign w:val="center"/>
          </w:tcPr>
          <w:p w14:paraId="2D93FE67">
            <w:pPr>
              <w:widowControl/>
              <w:wordWrap w:val="0"/>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eastAsia="zh-CN"/>
              </w:rPr>
              <w:t>服务</w:t>
            </w:r>
            <w:r>
              <w:rPr>
                <w:rFonts w:hint="eastAsia" w:asciiTheme="minorEastAsia" w:hAnsiTheme="minorEastAsia" w:eastAsiaTheme="minorEastAsia" w:cstheme="minorEastAsia"/>
                <w:color w:val="auto"/>
                <w:kern w:val="0"/>
                <w:sz w:val="24"/>
                <w:szCs w:val="24"/>
                <w:highlight w:val="none"/>
                <w:lang w:val="en-US" w:eastAsia="zh-CN"/>
              </w:rPr>
              <w:t>要求</w:t>
            </w:r>
          </w:p>
        </w:tc>
        <w:tc>
          <w:tcPr>
            <w:tcW w:w="5793" w:type="dxa"/>
            <w:tcBorders>
              <w:top w:val="single" w:color="auto" w:sz="4" w:space="0"/>
              <w:left w:val="single" w:color="auto" w:sz="4" w:space="0"/>
              <w:bottom w:val="single" w:color="auto" w:sz="4" w:space="0"/>
              <w:right w:val="single" w:color="auto" w:sz="4" w:space="0"/>
            </w:tcBorders>
            <w:shd w:val="clear" w:color="auto" w:fill="auto"/>
            <w:vAlign w:val="center"/>
          </w:tcPr>
          <w:p w14:paraId="020760D9">
            <w:pPr>
              <w:widowControl/>
              <w:wordWrap w:val="0"/>
              <w:spacing w:line="360" w:lineRule="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符合国家</w:t>
            </w:r>
            <w:r>
              <w:rPr>
                <w:rFonts w:hint="eastAsia" w:asciiTheme="minorEastAsia" w:hAnsiTheme="minorEastAsia" w:eastAsiaTheme="minorEastAsia" w:cstheme="minorEastAsia"/>
                <w:color w:val="auto"/>
                <w:sz w:val="24"/>
                <w:szCs w:val="24"/>
                <w:highlight w:val="none"/>
                <w:lang w:val="en-US" w:eastAsia="zh-CN"/>
              </w:rPr>
              <w:t>及行业</w:t>
            </w:r>
            <w:r>
              <w:rPr>
                <w:rFonts w:hint="eastAsia" w:asciiTheme="minorEastAsia" w:hAnsiTheme="minorEastAsia" w:eastAsiaTheme="minorEastAsia" w:cstheme="minorEastAsia"/>
                <w:color w:val="auto"/>
                <w:sz w:val="24"/>
                <w:szCs w:val="24"/>
                <w:highlight w:val="none"/>
                <w:lang w:eastAsia="zh-CN"/>
              </w:rPr>
              <w:t>相关规范标准</w:t>
            </w:r>
          </w:p>
        </w:tc>
      </w:tr>
      <w:tr w14:paraId="5E914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exact"/>
          <w:jc w:val="center"/>
        </w:trPr>
        <w:tc>
          <w:tcPr>
            <w:tcW w:w="770" w:type="dxa"/>
            <w:vMerge w:val="continue"/>
            <w:tcBorders>
              <w:left w:val="single" w:color="auto" w:sz="4" w:space="0"/>
              <w:right w:val="single" w:color="auto" w:sz="4" w:space="0"/>
            </w:tcBorders>
            <w:vAlign w:val="center"/>
          </w:tcPr>
          <w:p w14:paraId="732750DA">
            <w:pPr>
              <w:rPr>
                <w:rFonts w:asciiTheme="minorEastAsia" w:hAnsiTheme="minorEastAsia" w:eastAsiaTheme="minorEastAsia" w:cstheme="minorEastAsia"/>
                <w:color w:val="auto"/>
                <w:sz w:val="24"/>
                <w:szCs w:val="24"/>
                <w:highlight w:val="none"/>
              </w:rPr>
            </w:pPr>
          </w:p>
        </w:tc>
        <w:tc>
          <w:tcPr>
            <w:tcW w:w="1127" w:type="dxa"/>
            <w:vMerge w:val="continue"/>
            <w:tcBorders>
              <w:left w:val="single" w:color="auto" w:sz="4" w:space="0"/>
              <w:right w:val="single" w:color="auto" w:sz="4" w:space="0"/>
            </w:tcBorders>
            <w:vAlign w:val="center"/>
          </w:tcPr>
          <w:p w14:paraId="1BCABE5E">
            <w:pPr>
              <w:rPr>
                <w:rFonts w:asciiTheme="minorEastAsia" w:hAnsiTheme="minorEastAsia" w:eastAsiaTheme="minorEastAsia" w:cstheme="minorEastAsia"/>
                <w:color w:val="auto"/>
                <w:sz w:val="24"/>
                <w:szCs w:val="24"/>
                <w:highlight w:val="none"/>
              </w:rPr>
            </w:pPr>
          </w:p>
        </w:tc>
        <w:tc>
          <w:tcPr>
            <w:tcW w:w="2503" w:type="dxa"/>
            <w:tcBorders>
              <w:top w:val="single" w:color="auto" w:sz="4" w:space="0"/>
              <w:left w:val="single" w:color="auto" w:sz="4" w:space="0"/>
              <w:bottom w:val="single" w:color="auto" w:sz="4" w:space="0"/>
              <w:right w:val="single" w:color="auto" w:sz="4" w:space="0"/>
            </w:tcBorders>
            <w:shd w:val="clear" w:color="auto" w:fill="auto"/>
            <w:vAlign w:val="center"/>
          </w:tcPr>
          <w:p w14:paraId="6CDB4327">
            <w:pPr>
              <w:widowControl/>
              <w:wordWrap w:val="0"/>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投标有效期</w:t>
            </w:r>
          </w:p>
        </w:tc>
        <w:tc>
          <w:tcPr>
            <w:tcW w:w="5793" w:type="dxa"/>
            <w:tcBorders>
              <w:top w:val="single" w:color="auto" w:sz="4" w:space="0"/>
              <w:left w:val="single" w:color="auto" w:sz="4" w:space="0"/>
              <w:bottom w:val="single" w:color="auto" w:sz="4" w:space="0"/>
              <w:right w:val="single" w:color="auto" w:sz="4" w:space="0"/>
            </w:tcBorders>
            <w:shd w:val="clear" w:color="auto" w:fill="auto"/>
            <w:vAlign w:val="center"/>
          </w:tcPr>
          <w:p w14:paraId="7FEDD73A">
            <w:pPr>
              <w:widowControl/>
              <w:wordWrap w:val="0"/>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60日历天（从投标截止之日算起）</w:t>
            </w:r>
          </w:p>
        </w:tc>
      </w:tr>
      <w:tr w14:paraId="784C4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exact"/>
          <w:jc w:val="center"/>
        </w:trPr>
        <w:tc>
          <w:tcPr>
            <w:tcW w:w="770" w:type="dxa"/>
            <w:vMerge w:val="continue"/>
            <w:tcBorders>
              <w:left w:val="single" w:color="auto" w:sz="4" w:space="0"/>
              <w:right w:val="single" w:color="auto" w:sz="4" w:space="0"/>
            </w:tcBorders>
          </w:tcPr>
          <w:p w14:paraId="5A29961A">
            <w:pPr>
              <w:rPr>
                <w:rFonts w:asciiTheme="minorEastAsia" w:hAnsiTheme="minorEastAsia" w:eastAsiaTheme="minorEastAsia" w:cstheme="minorEastAsia"/>
                <w:color w:val="auto"/>
                <w:sz w:val="24"/>
                <w:szCs w:val="24"/>
                <w:highlight w:val="none"/>
              </w:rPr>
            </w:pPr>
          </w:p>
        </w:tc>
        <w:tc>
          <w:tcPr>
            <w:tcW w:w="1127" w:type="dxa"/>
            <w:vMerge w:val="continue"/>
            <w:tcBorders>
              <w:left w:val="single" w:color="auto" w:sz="4" w:space="0"/>
              <w:right w:val="single" w:color="auto" w:sz="4" w:space="0"/>
            </w:tcBorders>
          </w:tcPr>
          <w:p w14:paraId="1789C03E">
            <w:pPr>
              <w:rPr>
                <w:rFonts w:asciiTheme="minorEastAsia" w:hAnsiTheme="minorEastAsia" w:eastAsiaTheme="minorEastAsia" w:cstheme="minorEastAsia"/>
                <w:color w:val="auto"/>
                <w:sz w:val="24"/>
                <w:szCs w:val="24"/>
                <w:highlight w:val="none"/>
              </w:rPr>
            </w:pPr>
          </w:p>
        </w:tc>
        <w:tc>
          <w:tcPr>
            <w:tcW w:w="2503" w:type="dxa"/>
            <w:shd w:val="clear" w:color="auto" w:fill="auto"/>
            <w:vAlign w:val="center"/>
          </w:tcPr>
          <w:p w14:paraId="35AED8CD">
            <w:pPr>
              <w:widowControl/>
              <w:wordWrap w:val="0"/>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其他响应性</w:t>
            </w:r>
          </w:p>
        </w:tc>
        <w:tc>
          <w:tcPr>
            <w:tcW w:w="5793" w:type="dxa"/>
            <w:shd w:val="clear" w:color="auto" w:fill="auto"/>
            <w:vAlign w:val="center"/>
          </w:tcPr>
          <w:p w14:paraId="57F40C6D">
            <w:pPr>
              <w:widowControl/>
              <w:wordWrap w:val="0"/>
              <w:spacing w:line="360" w:lineRule="auto"/>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rPr>
              <w:t>满足招标文件的其他实质性要求</w:t>
            </w:r>
          </w:p>
        </w:tc>
      </w:tr>
    </w:tbl>
    <w:p w14:paraId="5CE10806">
      <w:pPr>
        <w:spacing w:line="600" w:lineRule="exact"/>
        <w:ind w:firstLine="482" w:firstLineChars="20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二、详细审查</w:t>
      </w:r>
    </w:p>
    <w:tbl>
      <w:tblPr>
        <w:tblStyle w:val="14"/>
        <w:tblW w:w="99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122"/>
        <w:gridCol w:w="1310"/>
        <w:gridCol w:w="6664"/>
        <w:gridCol w:w="867"/>
      </w:tblGrid>
      <w:tr w14:paraId="35E799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7" w:hRule="atLeast"/>
          <w:jc w:val="center"/>
        </w:trPr>
        <w:tc>
          <w:tcPr>
            <w:tcW w:w="1122" w:type="dxa"/>
            <w:vAlign w:val="center"/>
          </w:tcPr>
          <w:p w14:paraId="5987EE5D">
            <w:pPr>
              <w:widowControl/>
              <w:spacing w:line="360" w:lineRule="auto"/>
              <w:jc w:val="center"/>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评分因素</w:t>
            </w:r>
          </w:p>
        </w:tc>
        <w:tc>
          <w:tcPr>
            <w:tcW w:w="1310" w:type="dxa"/>
            <w:vAlign w:val="center"/>
          </w:tcPr>
          <w:p w14:paraId="12BC4DF4">
            <w:pPr>
              <w:widowControl/>
              <w:spacing w:line="360" w:lineRule="auto"/>
              <w:jc w:val="center"/>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评分内容</w:t>
            </w:r>
          </w:p>
        </w:tc>
        <w:tc>
          <w:tcPr>
            <w:tcW w:w="6664" w:type="dxa"/>
            <w:vAlign w:val="center"/>
          </w:tcPr>
          <w:p w14:paraId="48BD6BB3">
            <w:pPr>
              <w:widowControl/>
              <w:spacing w:line="360" w:lineRule="auto"/>
              <w:jc w:val="center"/>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评分标准</w:t>
            </w:r>
          </w:p>
        </w:tc>
        <w:tc>
          <w:tcPr>
            <w:tcW w:w="867" w:type="dxa"/>
            <w:vAlign w:val="center"/>
          </w:tcPr>
          <w:p w14:paraId="0B629F04">
            <w:pPr>
              <w:widowControl/>
              <w:spacing w:line="360" w:lineRule="auto"/>
              <w:jc w:val="center"/>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分值</w:t>
            </w:r>
          </w:p>
        </w:tc>
      </w:tr>
      <w:tr w14:paraId="2B4126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7" w:hRule="atLeast"/>
          <w:jc w:val="center"/>
        </w:trPr>
        <w:tc>
          <w:tcPr>
            <w:tcW w:w="1122" w:type="dxa"/>
            <w:vAlign w:val="center"/>
          </w:tcPr>
          <w:p w14:paraId="25AE7FCB">
            <w:pPr>
              <w:widowControl/>
              <w:spacing w:line="360" w:lineRule="auto"/>
              <w:jc w:val="center"/>
              <w:textAlignment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kern w:val="0"/>
                <w:sz w:val="24"/>
                <w:szCs w:val="24"/>
                <w:highlight w:val="none"/>
              </w:rPr>
              <w:t>报价部分</w:t>
            </w:r>
            <w:r>
              <w:rPr>
                <w:rFonts w:hint="eastAsia" w:asciiTheme="minorEastAsia" w:hAnsiTheme="minorEastAsia" w:eastAsiaTheme="minorEastAsia" w:cstheme="minorEastAsia"/>
                <w:b/>
                <w:color w:val="auto"/>
                <w:kern w:val="0"/>
                <w:sz w:val="24"/>
                <w:szCs w:val="24"/>
                <w:highlight w:val="none"/>
              </w:rPr>
              <w:br w:type="textWrapping"/>
            </w:r>
            <w:r>
              <w:rPr>
                <w:rFonts w:hint="eastAsia" w:asciiTheme="minorEastAsia" w:hAnsiTheme="minorEastAsia" w:eastAsiaTheme="minorEastAsia" w:cstheme="minorEastAsia"/>
                <w:b/>
                <w:color w:val="auto"/>
                <w:kern w:val="0"/>
                <w:sz w:val="24"/>
                <w:szCs w:val="24"/>
                <w:highlight w:val="none"/>
              </w:rPr>
              <w:t>（</w:t>
            </w:r>
            <w:r>
              <w:rPr>
                <w:rFonts w:hint="eastAsia" w:asciiTheme="minorEastAsia" w:hAnsiTheme="minorEastAsia" w:eastAsiaTheme="minorEastAsia" w:cstheme="minorEastAsia"/>
                <w:b/>
                <w:color w:val="auto"/>
                <w:kern w:val="0"/>
                <w:sz w:val="24"/>
                <w:szCs w:val="24"/>
                <w:highlight w:val="none"/>
                <w:lang w:val="en-US" w:eastAsia="zh-CN"/>
              </w:rPr>
              <w:t>2</w:t>
            </w:r>
            <w:r>
              <w:rPr>
                <w:rFonts w:hint="eastAsia" w:asciiTheme="minorEastAsia" w:hAnsiTheme="minorEastAsia" w:eastAsiaTheme="minorEastAsia" w:cstheme="minorEastAsia"/>
                <w:b/>
                <w:color w:val="auto"/>
                <w:kern w:val="0"/>
                <w:sz w:val="24"/>
                <w:szCs w:val="24"/>
                <w:highlight w:val="none"/>
              </w:rPr>
              <w:t>0分）</w:t>
            </w:r>
          </w:p>
        </w:tc>
        <w:tc>
          <w:tcPr>
            <w:tcW w:w="1310" w:type="dxa"/>
            <w:vAlign w:val="center"/>
          </w:tcPr>
          <w:p w14:paraId="03235862">
            <w:pPr>
              <w:widowControl/>
              <w:spacing w:line="360" w:lineRule="auto"/>
              <w:jc w:val="center"/>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投标报价</w:t>
            </w:r>
          </w:p>
          <w:p w14:paraId="53A7570A">
            <w:pPr>
              <w:widowControl/>
              <w:spacing w:line="360" w:lineRule="auto"/>
              <w:jc w:val="center"/>
              <w:textAlignment w:val="center"/>
              <w:rPr>
                <w:rFonts w:asciiTheme="minorEastAsia" w:hAnsiTheme="minorEastAsia" w:eastAsiaTheme="minorEastAsia" w:cstheme="minorEastAsia"/>
                <w:color w:val="auto"/>
                <w:sz w:val="24"/>
                <w:szCs w:val="24"/>
                <w:highlight w:val="none"/>
              </w:rPr>
            </w:pPr>
          </w:p>
        </w:tc>
        <w:tc>
          <w:tcPr>
            <w:tcW w:w="6664" w:type="dxa"/>
          </w:tcPr>
          <w:p w14:paraId="0E2DC4A1">
            <w:pPr>
              <w:spacing w:line="440" w:lineRule="exact"/>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按照《财政部关于加强政府采购货物和服务项目价格评审管理的通知》（财库【2007】2 号）规定，综合评分法中的价格分用低价优先法计算，即满足招标文件要求且投标价格最低的投标报价为评标基准价，其价格分为满分</w:t>
            </w:r>
            <w:r>
              <w:rPr>
                <w:rFonts w:hint="eastAsia" w:asciiTheme="minorEastAsia" w:hAnsiTheme="minorEastAsia" w:eastAsiaTheme="minorEastAsia" w:cstheme="minorEastAsia"/>
                <w:color w:val="auto"/>
                <w:sz w:val="24"/>
                <w:szCs w:val="24"/>
                <w:highlight w:val="none"/>
                <w:lang w:val="en-US" w:eastAsia="zh-CN"/>
              </w:rPr>
              <w:t>20</w:t>
            </w:r>
            <w:r>
              <w:rPr>
                <w:rFonts w:hint="eastAsia" w:asciiTheme="minorEastAsia" w:hAnsiTheme="minorEastAsia" w:eastAsiaTheme="minorEastAsia" w:cstheme="minorEastAsia"/>
                <w:color w:val="auto"/>
                <w:sz w:val="24"/>
                <w:szCs w:val="24"/>
                <w:highlight w:val="none"/>
              </w:rPr>
              <w:t>分。</w:t>
            </w:r>
          </w:p>
          <w:p w14:paraId="54D6CAAA">
            <w:pPr>
              <w:spacing w:line="44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投标报价得分=(评标基准价/投标报价)×</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0</w:t>
            </w:r>
          </w:p>
          <w:p w14:paraId="60C9229F">
            <w:pPr>
              <w:pStyle w:val="33"/>
              <w:ind w:left="0" w:leftChars="0" w:firstLine="0" w:firstLineChars="0"/>
              <w:rPr>
                <w:rFonts w:hint="default" w:eastAsiaTheme="minorEastAsia"/>
                <w:color w:val="auto"/>
                <w:highlight w:val="none"/>
                <w:lang w:val="en-US" w:eastAsia="zh-CN"/>
              </w:rPr>
            </w:pPr>
            <w:r>
              <w:rPr>
                <w:rFonts w:hint="eastAsia" w:eastAsiaTheme="minorEastAsia"/>
                <w:color w:val="auto"/>
                <w:highlight w:val="none"/>
                <w:lang w:val="en-US" w:eastAsia="zh-CN"/>
              </w:rPr>
              <w:t>注：本项目采用费率报价，以工程竣工审计结算金额*0.8%为招标控制价</w:t>
            </w:r>
          </w:p>
          <w:p w14:paraId="4EE44E6F">
            <w:pPr>
              <w:widowControl/>
              <w:spacing w:line="440" w:lineRule="exact"/>
              <w:jc w:val="left"/>
              <w:textAlignment w:val="top"/>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（1）本项目专门面向中小企业采购，不再进行价格扣除。</w:t>
            </w:r>
          </w:p>
          <w:p w14:paraId="4F9A7751">
            <w:pPr>
              <w:widowControl/>
              <w:spacing w:line="440" w:lineRule="exact"/>
              <w:jc w:val="left"/>
              <w:textAlignment w:val="top"/>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（2）关于监狱企业：视同小微企业。须提供由省级以上监狱管理局、戒毒管理局（含新疆生产建设兵团）出具的属于监狱企业的证明文件。</w:t>
            </w:r>
          </w:p>
          <w:p w14:paraId="4AA5ECE3">
            <w:pPr>
              <w:widowControl/>
              <w:spacing w:line="440" w:lineRule="exact"/>
              <w:jc w:val="left"/>
              <w:textAlignment w:val="top"/>
              <w:rPr>
                <w:rFonts w:asciiTheme="minorEastAsia" w:hAnsiTheme="minorEastAsia" w:eastAsiaTheme="minorEastAsia" w:cstheme="minorEastAsia"/>
                <w:color w:val="auto"/>
                <w:sz w:val="24"/>
                <w:szCs w:val="24"/>
                <w:highlight w:val="none"/>
              </w:rPr>
            </w:pPr>
            <w:r>
              <w:rPr>
                <w:rFonts w:hint="eastAsia" w:ascii="宋体" w:hAnsi="宋体" w:eastAsia="宋体" w:cs="宋体"/>
                <w:color w:val="auto"/>
                <w:sz w:val="24"/>
                <w:szCs w:val="22"/>
                <w:highlight w:val="none"/>
              </w:rPr>
              <w:t>（3）关于残疾人福利性单位：视同小微企业。须提供完整的“残疾人福利性单位声明函”。</w:t>
            </w:r>
          </w:p>
        </w:tc>
        <w:tc>
          <w:tcPr>
            <w:tcW w:w="867" w:type="dxa"/>
            <w:vAlign w:val="center"/>
          </w:tcPr>
          <w:p w14:paraId="7365C180">
            <w:pPr>
              <w:widowControl/>
              <w:spacing w:line="360" w:lineRule="auto"/>
              <w:jc w:val="center"/>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2</w:t>
            </w:r>
            <w:r>
              <w:rPr>
                <w:rFonts w:hint="eastAsia" w:asciiTheme="minorEastAsia" w:hAnsiTheme="minorEastAsia" w:eastAsiaTheme="minorEastAsia" w:cstheme="minorEastAsia"/>
                <w:color w:val="auto"/>
                <w:kern w:val="0"/>
                <w:sz w:val="24"/>
                <w:szCs w:val="24"/>
                <w:highlight w:val="none"/>
              </w:rPr>
              <w:t>0分</w:t>
            </w:r>
          </w:p>
        </w:tc>
      </w:tr>
      <w:tr w14:paraId="1E979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92" w:hRule="atLeast"/>
          <w:jc w:val="center"/>
        </w:trPr>
        <w:tc>
          <w:tcPr>
            <w:tcW w:w="1122" w:type="dxa"/>
            <w:vMerge w:val="restart"/>
            <w:vAlign w:val="center"/>
          </w:tcPr>
          <w:p w14:paraId="3CC8C814">
            <w:pP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br w:type="page"/>
            </w:r>
            <w:r>
              <w:rPr>
                <w:rFonts w:hint="eastAsia" w:asciiTheme="minorEastAsia" w:hAnsiTheme="minorEastAsia" w:eastAsiaTheme="minorEastAsia" w:cstheme="minorEastAsia"/>
                <w:b/>
                <w:color w:val="auto"/>
                <w:kern w:val="0"/>
                <w:sz w:val="24"/>
                <w:szCs w:val="24"/>
                <w:highlight w:val="none"/>
              </w:rPr>
              <w:t>技术部分</w:t>
            </w:r>
            <w:r>
              <w:rPr>
                <w:rFonts w:hint="eastAsia" w:asciiTheme="minorEastAsia" w:hAnsiTheme="minorEastAsia" w:eastAsiaTheme="minorEastAsia" w:cstheme="minorEastAsia"/>
                <w:b/>
                <w:color w:val="auto"/>
                <w:kern w:val="0"/>
                <w:sz w:val="24"/>
                <w:szCs w:val="24"/>
                <w:highlight w:val="none"/>
              </w:rPr>
              <w:br w:type="textWrapping"/>
            </w:r>
            <w:r>
              <w:rPr>
                <w:rFonts w:hint="eastAsia" w:asciiTheme="minorEastAsia" w:hAnsiTheme="minorEastAsia" w:eastAsiaTheme="minorEastAsia" w:cstheme="minorEastAsia"/>
                <w:b/>
                <w:color w:val="auto"/>
                <w:kern w:val="0"/>
                <w:sz w:val="24"/>
                <w:szCs w:val="24"/>
                <w:highlight w:val="none"/>
              </w:rPr>
              <w:t>（</w:t>
            </w:r>
            <w:r>
              <w:rPr>
                <w:rFonts w:hint="eastAsia" w:asciiTheme="minorEastAsia" w:hAnsiTheme="minorEastAsia" w:eastAsiaTheme="minorEastAsia" w:cstheme="minorEastAsia"/>
                <w:b/>
                <w:color w:val="auto"/>
                <w:kern w:val="0"/>
                <w:sz w:val="24"/>
                <w:szCs w:val="24"/>
                <w:highlight w:val="none"/>
                <w:lang w:val="en-US" w:eastAsia="zh-CN"/>
              </w:rPr>
              <w:t>6</w:t>
            </w:r>
            <w:r>
              <w:rPr>
                <w:rFonts w:hint="eastAsia" w:asciiTheme="minorEastAsia" w:hAnsiTheme="minorEastAsia" w:eastAsiaTheme="minorEastAsia" w:cstheme="minorEastAsia"/>
                <w:b/>
                <w:color w:val="auto"/>
                <w:kern w:val="0"/>
                <w:sz w:val="24"/>
                <w:szCs w:val="24"/>
                <w:highlight w:val="none"/>
              </w:rPr>
              <w:t>0分）</w:t>
            </w:r>
          </w:p>
        </w:tc>
        <w:tc>
          <w:tcPr>
            <w:tcW w:w="1310" w:type="dxa"/>
            <w:shd w:val="clear" w:color="auto" w:fill="auto"/>
            <w:vAlign w:val="center"/>
          </w:tcPr>
          <w:p w14:paraId="5FD5C1F1">
            <w:pPr>
              <w:widowControl/>
              <w:spacing w:line="360" w:lineRule="auto"/>
              <w:jc w:val="center"/>
              <w:rPr>
                <w:rFonts w:asciiTheme="minorEastAsia" w:hAnsiTheme="minorEastAsia" w:eastAsiaTheme="minorEastAsia" w:cstheme="minorEastAsia"/>
                <w:color w:val="auto"/>
                <w:spacing w:val="1"/>
                <w:kern w:val="0"/>
                <w:sz w:val="24"/>
                <w:szCs w:val="24"/>
                <w:highlight w:val="none"/>
              </w:rPr>
            </w:pPr>
            <w:r>
              <w:rPr>
                <w:rFonts w:hint="eastAsia" w:ascii="宋体" w:hAnsi="宋体" w:eastAsia="宋体" w:cs="宋体"/>
                <w:color w:val="auto"/>
                <w:sz w:val="24"/>
                <w:szCs w:val="24"/>
                <w:highlight w:val="none"/>
              </w:rPr>
              <w:t>1、总体思路</w:t>
            </w:r>
          </w:p>
        </w:tc>
        <w:tc>
          <w:tcPr>
            <w:tcW w:w="6664" w:type="dxa"/>
            <w:vAlign w:val="center"/>
          </w:tcPr>
          <w:p w14:paraId="0695542C">
            <w:pPr>
              <w:spacing w:line="360" w:lineRule="auto"/>
              <w:rPr>
                <w:rFonts w:asciiTheme="minorEastAsia" w:hAnsiTheme="minorEastAsia" w:eastAsiaTheme="minorEastAsia" w:cstheme="minorEastAsia"/>
                <w:color w:val="auto"/>
                <w:kern w:val="0"/>
                <w:sz w:val="24"/>
                <w:szCs w:val="24"/>
                <w:highlight w:val="none"/>
              </w:rPr>
            </w:pPr>
            <w:r>
              <w:rPr>
                <w:rFonts w:hint="eastAsia" w:ascii="宋体" w:hAnsi="宋体" w:eastAsia="宋体" w:cs="宋体"/>
                <w:color w:val="auto"/>
                <w:sz w:val="24"/>
                <w:szCs w:val="24"/>
                <w:highlight w:val="none"/>
              </w:rPr>
              <w:t>根据项目总体思路的合理性与可行性评价。总体思路合理，可行性强的，得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分；总体思路较合理，可行性较强的，得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分；总体思路不够合理，可行性一般的，得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；缺项不得分。</w:t>
            </w:r>
          </w:p>
        </w:tc>
        <w:tc>
          <w:tcPr>
            <w:tcW w:w="867" w:type="dxa"/>
            <w:vAlign w:val="center"/>
          </w:tcPr>
          <w:p w14:paraId="360C9F72">
            <w:pPr>
              <w:widowControl/>
              <w:spacing w:line="360" w:lineRule="auto"/>
              <w:jc w:val="center"/>
              <w:textAlignment w:val="center"/>
              <w:rPr>
                <w:rFonts w:asciiTheme="minorEastAsia" w:hAnsiTheme="minorEastAsia" w:eastAsiaTheme="minorEastAsia" w:cstheme="minorEastAsia"/>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tc>
      </w:tr>
      <w:tr w14:paraId="1CA2B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22" w:hRule="atLeast"/>
          <w:jc w:val="center"/>
        </w:trPr>
        <w:tc>
          <w:tcPr>
            <w:tcW w:w="1122" w:type="dxa"/>
            <w:vMerge w:val="continue"/>
            <w:vAlign w:val="center"/>
          </w:tcPr>
          <w:p w14:paraId="43DEF11C">
            <w:pPr>
              <w:widowControl/>
              <w:spacing w:line="360" w:lineRule="auto"/>
              <w:jc w:val="center"/>
              <w:textAlignment w:val="center"/>
              <w:rPr>
                <w:rFonts w:asciiTheme="minorEastAsia" w:hAnsiTheme="minorEastAsia" w:eastAsiaTheme="minorEastAsia" w:cstheme="minorEastAsia"/>
                <w:b/>
                <w:color w:val="auto"/>
                <w:kern w:val="0"/>
                <w:sz w:val="24"/>
                <w:szCs w:val="24"/>
                <w:highlight w:val="none"/>
              </w:rPr>
            </w:pPr>
          </w:p>
        </w:tc>
        <w:tc>
          <w:tcPr>
            <w:tcW w:w="1310" w:type="dxa"/>
            <w:vAlign w:val="center"/>
          </w:tcPr>
          <w:p w14:paraId="42794A67">
            <w:pPr>
              <w:adjustRightInd w:val="0"/>
              <w:spacing w:line="360" w:lineRule="exact"/>
              <w:textAlignment w:val="baseline"/>
              <w:rPr>
                <w:rFonts w:asciiTheme="minorEastAsia" w:hAnsiTheme="minorEastAsia" w:eastAsiaTheme="minorEastAsia" w:cstheme="minorEastAsia"/>
                <w:color w:val="auto"/>
                <w:sz w:val="24"/>
                <w:szCs w:val="24"/>
                <w:highlight w:val="none"/>
              </w:rPr>
            </w:pPr>
            <w:r>
              <w:rPr>
                <w:rFonts w:hint="eastAsia" w:ascii="宋体" w:hAnsi="宋体" w:eastAsia="宋体" w:cs="宋体"/>
                <w:color w:val="auto"/>
                <w:sz w:val="24"/>
                <w:szCs w:val="24"/>
                <w:highlight w:val="none"/>
              </w:rPr>
              <w:t xml:space="preserve">2、服务方案 </w:t>
            </w:r>
          </w:p>
        </w:tc>
        <w:tc>
          <w:tcPr>
            <w:tcW w:w="6664" w:type="dxa"/>
            <w:vAlign w:val="center"/>
          </w:tcPr>
          <w:p w14:paraId="3BDE7BE2">
            <w:pPr>
              <w:spacing w:line="360" w:lineRule="exact"/>
              <w:ind w:firstLine="420" w:firstLineChars="0"/>
              <w:jc w:val="left"/>
              <w:rPr>
                <w:rFonts w:asciiTheme="minorEastAsia" w:hAnsiTheme="minorEastAsia" w:eastAsiaTheme="minorEastAsia" w:cstheme="minorEastAsia"/>
                <w:color w:val="auto"/>
                <w:kern w:val="0"/>
                <w:sz w:val="24"/>
                <w:szCs w:val="24"/>
                <w:highlight w:val="none"/>
              </w:rPr>
            </w:pPr>
            <w:r>
              <w:rPr>
                <w:rFonts w:hint="eastAsia" w:ascii="宋体" w:hAnsi="宋体" w:eastAsia="宋体" w:cs="宋体"/>
                <w:color w:val="auto"/>
                <w:sz w:val="24"/>
                <w:szCs w:val="24"/>
                <w:highlight w:val="none"/>
              </w:rPr>
              <w:t>根据投标人针对本项目需求，制定的服务方案的合理性、可操作性进行评价。服务方案合理性强、可操作性强的</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分；服务方案合理性较强、可操作性较强的，得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分；服务方案合理性一般、可操作性一般的，得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分；缺项不得分。</w:t>
            </w:r>
          </w:p>
        </w:tc>
        <w:tc>
          <w:tcPr>
            <w:tcW w:w="867" w:type="dxa"/>
            <w:vAlign w:val="center"/>
          </w:tcPr>
          <w:p w14:paraId="01D998E0">
            <w:pPr>
              <w:widowControl/>
              <w:jc w:val="center"/>
              <w:textAlignment w:val="center"/>
              <w:rPr>
                <w:rFonts w:asciiTheme="minorEastAsia" w:hAnsiTheme="minorEastAsia" w:eastAsiaTheme="minorEastAsia" w:cstheme="minorEastAsia"/>
                <w:color w:val="auto"/>
                <w:sz w:val="24"/>
                <w:szCs w:val="24"/>
                <w:highlight w:val="none"/>
              </w:rPr>
            </w:pPr>
            <w:r>
              <w:rPr>
                <w:rFonts w:hint="eastAsia" w:ascii="宋体" w:hAnsi="宋体" w:cs="宋体"/>
                <w:color w:val="auto"/>
                <w:sz w:val="24"/>
                <w:szCs w:val="22"/>
                <w:highlight w:val="none"/>
                <w:lang w:val="en-US" w:eastAsia="zh-CN"/>
              </w:rPr>
              <w:t>7</w:t>
            </w:r>
            <w:r>
              <w:rPr>
                <w:rFonts w:hint="eastAsia" w:ascii="宋体" w:hAnsi="宋体" w:eastAsia="宋体" w:cs="宋体"/>
                <w:color w:val="auto"/>
                <w:sz w:val="24"/>
                <w:szCs w:val="22"/>
                <w:highlight w:val="none"/>
              </w:rPr>
              <w:t>分</w:t>
            </w:r>
          </w:p>
        </w:tc>
      </w:tr>
      <w:tr w14:paraId="3F3070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22" w:hRule="atLeast"/>
          <w:jc w:val="center"/>
        </w:trPr>
        <w:tc>
          <w:tcPr>
            <w:tcW w:w="1122" w:type="dxa"/>
            <w:vMerge w:val="continue"/>
            <w:vAlign w:val="center"/>
          </w:tcPr>
          <w:p w14:paraId="53BA8766">
            <w:pPr>
              <w:widowControl/>
              <w:spacing w:line="360" w:lineRule="auto"/>
              <w:jc w:val="center"/>
              <w:textAlignment w:val="center"/>
              <w:rPr>
                <w:rFonts w:asciiTheme="minorEastAsia" w:hAnsiTheme="minorEastAsia" w:eastAsiaTheme="minorEastAsia" w:cstheme="minorEastAsia"/>
                <w:b/>
                <w:color w:val="auto"/>
                <w:kern w:val="0"/>
                <w:sz w:val="24"/>
                <w:szCs w:val="24"/>
                <w:highlight w:val="none"/>
              </w:rPr>
            </w:pPr>
          </w:p>
        </w:tc>
        <w:tc>
          <w:tcPr>
            <w:tcW w:w="1310" w:type="dxa"/>
            <w:vAlign w:val="center"/>
          </w:tcPr>
          <w:p w14:paraId="65A8D998">
            <w:pPr>
              <w:widowControl/>
              <w:spacing w:line="360" w:lineRule="auto"/>
              <w:jc w:val="center"/>
              <w:rPr>
                <w:rFonts w:asciiTheme="minorEastAsia" w:hAnsiTheme="minorEastAsia" w:eastAsiaTheme="minorEastAsia" w:cstheme="minorEastAsia"/>
                <w:color w:val="auto"/>
                <w:sz w:val="24"/>
                <w:szCs w:val="24"/>
                <w:highlight w:val="none"/>
              </w:rPr>
            </w:pPr>
            <w:r>
              <w:rPr>
                <w:rFonts w:hint="eastAsia" w:ascii="宋体" w:hAnsi="宋体" w:eastAsia="宋体" w:cs="宋体"/>
                <w:color w:val="auto"/>
                <w:sz w:val="24"/>
                <w:szCs w:val="24"/>
                <w:highlight w:val="none"/>
              </w:rPr>
              <w:t>3、综合管理制度</w:t>
            </w:r>
          </w:p>
        </w:tc>
        <w:tc>
          <w:tcPr>
            <w:tcW w:w="6664" w:type="dxa"/>
            <w:vAlign w:val="top"/>
          </w:tcPr>
          <w:p w14:paraId="126E1D10">
            <w:pPr>
              <w:widowControl/>
              <w:spacing w:line="360" w:lineRule="auto"/>
              <w:rPr>
                <w:rFonts w:asciiTheme="minorEastAsia" w:hAnsiTheme="minorEastAsia" w:eastAsiaTheme="minorEastAsia" w:cstheme="minorEastAsia"/>
                <w:color w:val="auto"/>
                <w:kern w:val="0"/>
                <w:sz w:val="24"/>
                <w:szCs w:val="24"/>
                <w:highlight w:val="none"/>
              </w:rPr>
            </w:pPr>
            <w:r>
              <w:rPr>
                <w:rFonts w:hint="eastAsia" w:ascii="宋体" w:hAnsi="宋体" w:eastAsia="宋体" w:cs="宋体"/>
                <w:color w:val="auto"/>
                <w:sz w:val="24"/>
                <w:szCs w:val="24"/>
                <w:highlight w:val="none"/>
              </w:rPr>
              <w:t>根据投标人内部管理制度的完整性与合理性进行评价。管理制度健全、合理性强的，得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分；管理制度较健全，合理性较强的，得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分；管理制度不健全、合理性一般的，得1分；缺项不得分。</w:t>
            </w:r>
          </w:p>
        </w:tc>
        <w:tc>
          <w:tcPr>
            <w:tcW w:w="867" w:type="dxa"/>
            <w:vAlign w:val="center"/>
          </w:tcPr>
          <w:p w14:paraId="401288F3">
            <w:pPr>
              <w:widowControl/>
              <w:jc w:val="center"/>
              <w:textAlignment w:val="center"/>
              <w:rPr>
                <w:rFonts w:asciiTheme="minorEastAsia" w:hAnsiTheme="minorEastAsia" w:eastAsiaTheme="minorEastAsia" w:cstheme="minorEastAsia"/>
                <w:color w:val="auto"/>
                <w:sz w:val="24"/>
                <w:szCs w:val="24"/>
                <w:highlight w:val="none"/>
              </w:rPr>
            </w:pPr>
            <w:r>
              <w:rPr>
                <w:rFonts w:hint="eastAsia" w:ascii="宋体" w:hAnsi="宋体" w:cs="宋体"/>
                <w:color w:val="auto"/>
                <w:sz w:val="24"/>
                <w:szCs w:val="22"/>
                <w:highlight w:val="none"/>
                <w:lang w:val="en-US" w:eastAsia="zh-CN"/>
              </w:rPr>
              <w:t>7</w:t>
            </w:r>
            <w:r>
              <w:rPr>
                <w:rFonts w:hint="eastAsia" w:ascii="宋体" w:hAnsi="宋体" w:eastAsia="宋体" w:cs="宋体"/>
                <w:color w:val="auto"/>
                <w:sz w:val="24"/>
                <w:szCs w:val="22"/>
                <w:highlight w:val="none"/>
              </w:rPr>
              <w:t>分</w:t>
            </w:r>
          </w:p>
        </w:tc>
      </w:tr>
      <w:tr w14:paraId="0810B4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22" w:hRule="atLeast"/>
          <w:jc w:val="center"/>
        </w:trPr>
        <w:tc>
          <w:tcPr>
            <w:tcW w:w="1122" w:type="dxa"/>
            <w:vMerge w:val="continue"/>
            <w:vAlign w:val="center"/>
          </w:tcPr>
          <w:p w14:paraId="5C0D04D6">
            <w:pPr>
              <w:widowControl/>
              <w:spacing w:line="360" w:lineRule="auto"/>
              <w:jc w:val="center"/>
              <w:textAlignment w:val="center"/>
              <w:rPr>
                <w:rFonts w:asciiTheme="minorEastAsia" w:hAnsiTheme="minorEastAsia" w:eastAsiaTheme="minorEastAsia" w:cstheme="minorEastAsia"/>
                <w:b/>
                <w:color w:val="auto"/>
                <w:kern w:val="0"/>
                <w:sz w:val="24"/>
                <w:szCs w:val="24"/>
                <w:highlight w:val="none"/>
              </w:rPr>
            </w:pPr>
          </w:p>
        </w:tc>
        <w:tc>
          <w:tcPr>
            <w:tcW w:w="1310" w:type="dxa"/>
            <w:vAlign w:val="center"/>
          </w:tcPr>
          <w:p w14:paraId="42A067AE">
            <w:pPr>
              <w:widowControl/>
              <w:spacing w:line="360" w:lineRule="auto"/>
              <w:jc w:val="center"/>
              <w:rPr>
                <w:rFonts w:asciiTheme="minorEastAsia" w:hAnsiTheme="minorEastAsia" w:eastAsiaTheme="minorEastAsia" w:cstheme="minorEastAsia"/>
                <w:color w:val="auto"/>
                <w:sz w:val="24"/>
                <w:szCs w:val="24"/>
                <w:highlight w:val="none"/>
              </w:rPr>
            </w:pPr>
            <w:r>
              <w:rPr>
                <w:rFonts w:hint="eastAsia" w:ascii="宋体" w:hAnsi="宋体" w:eastAsia="宋体" w:cs="宋体"/>
                <w:color w:val="auto"/>
                <w:sz w:val="24"/>
                <w:szCs w:val="24"/>
                <w:highlight w:val="none"/>
              </w:rPr>
              <w:t xml:space="preserve">4、质量保障措施 </w:t>
            </w:r>
          </w:p>
        </w:tc>
        <w:tc>
          <w:tcPr>
            <w:tcW w:w="6664" w:type="dxa"/>
            <w:vAlign w:val="top"/>
          </w:tcPr>
          <w:p w14:paraId="5290C573">
            <w:pPr>
              <w:widowControl/>
              <w:spacing w:line="360" w:lineRule="auto"/>
              <w:rPr>
                <w:rFonts w:asciiTheme="minorEastAsia" w:hAnsiTheme="minorEastAsia" w:eastAsiaTheme="minorEastAsia" w:cstheme="minorEastAsia"/>
                <w:color w:val="auto"/>
                <w:kern w:val="0"/>
                <w:sz w:val="24"/>
                <w:szCs w:val="24"/>
                <w:highlight w:val="none"/>
              </w:rPr>
            </w:pPr>
            <w:r>
              <w:rPr>
                <w:rFonts w:hint="eastAsia" w:ascii="宋体" w:hAnsi="宋体" w:eastAsia="宋体" w:cs="宋体"/>
                <w:color w:val="auto"/>
                <w:sz w:val="24"/>
                <w:szCs w:val="24"/>
                <w:highlight w:val="none"/>
              </w:rPr>
              <w:t>根据服务质量保障措施内容的完整性与可操作性进 行评价。保障措施内容具体全面，可操作性强的，得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分；保障措施内容全面，可操作性较强的，得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分；保障措施内容不够全面，可操作性一般的，得1分；缺项不得分。</w:t>
            </w:r>
          </w:p>
        </w:tc>
        <w:tc>
          <w:tcPr>
            <w:tcW w:w="867" w:type="dxa"/>
            <w:vAlign w:val="center"/>
          </w:tcPr>
          <w:p w14:paraId="0C17198D">
            <w:pPr>
              <w:widowControl/>
              <w:jc w:val="center"/>
              <w:textAlignment w:val="center"/>
              <w:rPr>
                <w:rFonts w:asciiTheme="minorEastAsia" w:hAnsiTheme="minorEastAsia" w:eastAsiaTheme="minorEastAsia" w:cstheme="minorEastAsia"/>
                <w:color w:val="auto"/>
                <w:sz w:val="24"/>
                <w:szCs w:val="24"/>
                <w:highlight w:val="none"/>
              </w:rPr>
            </w:pPr>
            <w:r>
              <w:rPr>
                <w:rFonts w:hint="eastAsia" w:ascii="宋体" w:hAnsi="宋体" w:cs="宋体"/>
                <w:color w:val="auto"/>
                <w:sz w:val="24"/>
                <w:szCs w:val="22"/>
                <w:highlight w:val="none"/>
                <w:lang w:val="en-US" w:eastAsia="zh-CN"/>
              </w:rPr>
              <w:t>7</w:t>
            </w:r>
            <w:r>
              <w:rPr>
                <w:rFonts w:hint="eastAsia" w:ascii="宋体" w:hAnsi="宋体" w:eastAsia="宋体" w:cs="宋体"/>
                <w:color w:val="auto"/>
                <w:sz w:val="24"/>
                <w:szCs w:val="22"/>
                <w:highlight w:val="none"/>
              </w:rPr>
              <w:t>分</w:t>
            </w:r>
          </w:p>
        </w:tc>
      </w:tr>
      <w:tr w14:paraId="4F3400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22" w:hRule="atLeast"/>
          <w:jc w:val="center"/>
        </w:trPr>
        <w:tc>
          <w:tcPr>
            <w:tcW w:w="1122" w:type="dxa"/>
            <w:vMerge w:val="continue"/>
            <w:vAlign w:val="center"/>
          </w:tcPr>
          <w:p w14:paraId="4C5EA863">
            <w:pPr>
              <w:widowControl/>
              <w:spacing w:line="360" w:lineRule="auto"/>
              <w:jc w:val="center"/>
              <w:textAlignment w:val="center"/>
              <w:rPr>
                <w:rFonts w:asciiTheme="minorEastAsia" w:hAnsiTheme="minorEastAsia" w:eastAsiaTheme="minorEastAsia" w:cstheme="minorEastAsia"/>
                <w:b/>
                <w:color w:val="auto"/>
                <w:kern w:val="0"/>
                <w:sz w:val="24"/>
                <w:szCs w:val="24"/>
                <w:highlight w:val="none"/>
              </w:rPr>
            </w:pPr>
          </w:p>
        </w:tc>
        <w:tc>
          <w:tcPr>
            <w:tcW w:w="1310" w:type="dxa"/>
            <w:vAlign w:val="center"/>
          </w:tcPr>
          <w:p w14:paraId="2B2A2C80">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5、安全、文明作业保障措施</w:t>
            </w:r>
          </w:p>
          <w:p w14:paraId="3E17C4F8">
            <w:pPr>
              <w:adjustRightInd w:val="0"/>
              <w:spacing w:line="400" w:lineRule="exact"/>
              <w:jc w:val="center"/>
              <w:textAlignment w:val="baseline"/>
              <w:rPr>
                <w:rFonts w:asciiTheme="minorEastAsia" w:hAnsiTheme="minorEastAsia" w:eastAsiaTheme="minorEastAsia" w:cstheme="minorEastAsia"/>
                <w:color w:val="auto"/>
                <w:sz w:val="24"/>
                <w:szCs w:val="24"/>
                <w:highlight w:val="none"/>
              </w:rPr>
            </w:pPr>
          </w:p>
        </w:tc>
        <w:tc>
          <w:tcPr>
            <w:tcW w:w="6664" w:type="dxa"/>
            <w:vAlign w:val="top"/>
          </w:tcPr>
          <w:p w14:paraId="2AF44415">
            <w:pPr>
              <w:widowControl/>
              <w:spacing w:line="360" w:lineRule="auto"/>
              <w:rPr>
                <w:rFonts w:asciiTheme="minorEastAsia" w:hAnsiTheme="minorEastAsia" w:eastAsiaTheme="minorEastAsia" w:cstheme="minorEastAsia"/>
                <w:color w:val="auto"/>
                <w:kern w:val="0"/>
                <w:sz w:val="24"/>
                <w:szCs w:val="24"/>
                <w:highlight w:val="none"/>
              </w:rPr>
            </w:pPr>
            <w:r>
              <w:rPr>
                <w:rFonts w:hint="eastAsia" w:ascii="宋体" w:hAnsi="宋体" w:eastAsia="宋体" w:cs="宋体"/>
                <w:color w:val="auto"/>
                <w:sz w:val="24"/>
                <w:szCs w:val="24"/>
                <w:highlight w:val="none"/>
              </w:rPr>
              <w:t>根据投标人的安全、文明作业保障措施的合理性、可操作性进行评价。保障措施合理性强、可操作性强的得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分；保障措施合理性较强、可操作性较强的得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分；合理性一般、可操作性一般的得1分；缺项不得分。</w:t>
            </w:r>
          </w:p>
        </w:tc>
        <w:tc>
          <w:tcPr>
            <w:tcW w:w="867" w:type="dxa"/>
            <w:vAlign w:val="center"/>
          </w:tcPr>
          <w:p w14:paraId="246650CA">
            <w:pPr>
              <w:widowControl/>
              <w:jc w:val="center"/>
              <w:textAlignment w:val="center"/>
              <w:rPr>
                <w:rFonts w:asciiTheme="minorEastAsia" w:hAnsiTheme="minorEastAsia" w:eastAsiaTheme="minorEastAsia" w:cstheme="minorEastAsia"/>
                <w:color w:val="auto"/>
                <w:sz w:val="24"/>
                <w:szCs w:val="24"/>
                <w:highlight w:val="none"/>
              </w:rPr>
            </w:pPr>
            <w:r>
              <w:rPr>
                <w:rFonts w:hint="eastAsia" w:ascii="宋体" w:hAnsi="宋体" w:cs="宋体"/>
                <w:color w:val="auto"/>
                <w:sz w:val="24"/>
                <w:szCs w:val="22"/>
                <w:highlight w:val="none"/>
                <w:lang w:val="en-US" w:eastAsia="zh-CN"/>
              </w:rPr>
              <w:t>7</w:t>
            </w:r>
            <w:r>
              <w:rPr>
                <w:rFonts w:hint="eastAsia" w:ascii="宋体" w:hAnsi="宋体" w:eastAsia="宋体" w:cs="宋体"/>
                <w:color w:val="auto"/>
                <w:sz w:val="24"/>
                <w:szCs w:val="22"/>
                <w:highlight w:val="none"/>
              </w:rPr>
              <w:t>分</w:t>
            </w:r>
          </w:p>
        </w:tc>
      </w:tr>
      <w:tr w14:paraId="6845A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22" w:hRule="atLeast"/>
          <w:jc w:val="center"/>
        </w:trPr>
        <w:tc>
          <w:tcPr>
            <w:tcW w:w="1122" w:type="dxa"/>
            <w:vMerge w:val="continue"/>
            <w:vAlign w:val="center"/>
          </w:tcPr>
          <w:p w14:paraId="75AA94B2">
            <w:pPr>
              <w:widowControl/>
              <w:spacing w:line="360" w:lineRule="auto"/>
              <w:jc w:val="center"/>
              <w:textAlignment w:val="center"/>
              <w:rPr>
                <w:rFonts w:asciiTheme="minorEastAsia" w:hAnsiTheme="minorEastAsia" w:eastAsiaTheme="minorEastAsia" w:cstheme="minorEastAsia"/>
                <w:b/>
                <w:color w:val="auto"/>
                <w:kern w:val="0"/>
                <w:sz w:val="24"/>
                <w:szCs w:val="24"/>
                <w:highlight w:val="none"/>
              </w:rPr>
            </w:pPr>
          </w:p>
        </w:tc>
        <w:tc>
          <w:tcPr>
            <w:tcW w:w="1310" w:type="dxa"/>
            <w:vAlign w:val="center"/>
          </w:tcPr>
          <w:p w14:paraId="42CEC204">
            <w:pPr>
              <w:widowControl/>
              <w:spacing w:line="360" w:lineRule="auto"/>
              <w:jc w:val="center"/>
              <w:rPr>
                <w:rFonts w:asciiTheme="minorEastAsia" w:hAnsiTheme="minorEastAsia" w:eastAsiaTheme="minorEastAsia" w:cstheme="minorEastAsia"/>
                <w:color w:val="auto"/>
                <w:sz w:val="24"/>
                <w:szCs w:val="24"/>
                <w:highlight w:val="none"/>
              </w:rPr>
            </w:pPr>
            <w:r>
              <w:rPr>
                <w:rFonts w:hint="eastAsia" w:ascii="宋体" w:hAnsi="宋体" w:eastAsia="宋体" w:cs="宋体"/>
                <w:color w:val="auto"/>
                <w:sz w:val="24"/>
                <w:szCs w:val="24"/>
                <w:highlight w:val="none"/>
              </w:rPr>
              <w:t xml:space="preserve">6 、人员设备配置方案 </w:t>
            </w:r>
          </w:p>
        </w:tc>
        <w:tc>
          <w:tcPr>
            <w:tcW w:w="6664" w:type="dxa"/>
            <w:vAlign w:val="top"/>
          </w:tcPr>
          <w:p w14:paraId="34FF778D">
            <w:pPr>
              <w:widowControl/>
              <w:spacing w:line="360" w:lineRule="auto"/>
              <w:rPr>
                <w:rFonts w:asciiTheme="minorEastAsia" w:hAnsiTheme="minorEastAsia" w:eastAsiaTheme="minorEastAsia" w:cstheme="minorEastAsia"/>
                <w:color w:val="auto"/>
                <w:kern w:val="0"/>
                <w:sz w:val="24"/>
                <w:szCs w:val="24"/>
                <w:highlight w:val="none"/>
              </w:rPr>
            </w:pPr>
            <w:r>
              <w:rPr>
                <w:rFonts w:hint="eastAsia" w:ascii="宋体" w:hAnsi="宋体" w:eastAsia="宋体" w:cs="宋体"/>
                <w:color w:val="auto"/>
                <w:sz w:val="24"/>
                <w:szCs w:val="24"/>
                <w:highlight w:val="none"/>
              </w:rPr>
              <w:t>根据投标人提供的人员和设备配备方案的合理性与完整 性进行评价。人员、设备配备齐全、合理的，得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分；人员、设备配备较齐全、较合理的，得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分；人员、设备配备不齐全的，得1分；缺项不得分。</w:t>
            </w:r>
          </w:p>
        </w:tc>
        <w:tc>
          <w:tcPr>
            <w:tcW w:w="867" w:type="dxa"/>
            <w:vAlign w:val="center"/>
          </w:tcPr>
          <w:p w14:paraId="69EF803B">
            <w:pPr>
              <w:widowControl/>
              <w:jc w:val="center"/>
              <w:textAlignment w:val="center"/>
              <w:rPr>
                <w:rFonts w:asciiTheme="minorEastAsia" w:hAnsiTheme="minorEastAsia" w:eastAsiaTheme="minorEastAsia" w:cstheme="minorEastAsia"/>
                <w:color w:val="auto"/>
                <w:sz w:val="24"/>
                <w:szCs w:val="24"/>
                <w:highlight w:val="none"/>
              </w:rPr>
            </w:pPr>
            <w:r>
              <w:rPr>
                <w:rFonts w:hint="eastAsia" w:ascii="宋体" w:hAnsi="宋体" w:cs="宋体"/>
                <w:color w:val="auto"/>
                <w:sz w:val="24"/>
                <w:szCs w:val="22"/>
                <w:highlight w:val="none"/>
                <w:lang w:val="en-US" w:eastAsia="zh-CN"/>
              </w:rPr>
              <w:t>7</w:t>
            </w:r>
            <w:r>
              <w:rPr>
                <w:rFonts w:hint="eastAsia" w:ascii="宋体" w:hAnsi="宋体" w:eastAsia="宋体" w:cs="宋体"/>
                <w:color w:val="auto"/>
                <w:sz w:val="24"/>
                <w:szCs w:val="22"/>
                <w:highlight w:val="none"/>
              </w:rPr>
              <w:t>分</w:t>
            </w:r>
          </w:p>
        </w:tc>
      </w:tr>
      <w:tr w14:paraId="19EFD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22" w:hRule="atLeast"/>
          <w:jc w:val="center"/>
        </w:trPr>
        <w:tc>
          <w:tcPr>
            <w:tcW w:w="1122" w:type="dxa"/>
            <w:vMerge w:val="continue"/>
            <w:vAlign w:val="center"/>
          </w:tcPr>
          <w:p w14:paraId="5707FEEC">
            <w:pPr>
              <w:widowControl/>
              <w:spacing w:line="360" w:lineRule="auto"/>
              <w:jc w:val="center"/>
              <w:textAlignment w:val="center"/>
              <w:rPr>
                <w:rFonts w:asciiTheme="minorEastAsia" w:hAnsiTheme="minorEastAsia" w:eastAsiaTheme="minorEastAsia" w:cstheme="minorEastAsia"/>
                <w:b/>
                <w:color w:val="auto"/>
                <w:kern w:val="0"/>
                <w:sz w:val="24"/>
                <w:szCs w:val="24"/>
                <w:highlight w:val="none"/>
              </w:rPr>
            </w:pPr>
          </w:p>
        </w:tc>
        <w:tc>
          <w:tcPr>
            <w:tcW w:w="1310" w:type="dxa"/>
            <w:vAlign w:val="center"/>
          </w:tcPr>
          <w:p w14:paraId="5200B05F">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7、应急方案</w:t>
            </w:r>
          </w:p>
          <w:p w14:paraId="7D066893">
            <w:pPr>
              <w:adjustRightInd w:val="0"/>
              <w:spacing w:line="400" w:lineRule="exact"/>
              <w:jc w:val="center"/>
              <w:textAlignment w:val="baseline"/>
              <w:rPr>
                <w:rFonts w:asciiTheme="minorEastAsia" w:hAnsiTheme="minorEastAsia" w:eastAsiaTheme="minorEastAsia" w:cstheme="minorEastAsia"/>
                <w:color w:val="auto"/>
                <w:sz w:val="24"/>
                <w:szCs w:val="24"/>
                <w:highlight w:val="none"/>
              </w:rPr>
            </w:pPr>
          </w:p>
        </w:tc>
        <w:tc>
          <w:tcPr>
            <w:tcW w:w="6664" w:type="dxa"/>
            <w:vAlign w:val="top"/>
          </w:tcPr>
          <w:p w14:paraId="4BEB7AD6">
            <w:pPr>
              <w:widowControl/>
              <w:spacing w:line="360" w:lineRule="auto"/>
              <w:rPr>
                <w:rFonts w:asciiTheme="minorEastAsia" w:hAnsiTheme="minorEastAsia" w:eastAsiaTheme="minorEastAsia" w:cstheme="minorEastAsia"/>
                <w:color w:val="auto"/>
                <w:kern w:val="0"/>
                <w:sz w:val="24"/>
                <w:szCs w:val="24"/>
                <w:highlight w:val="none"/>
              </w:rPr>
            </w:pPr>
            <w:r>
              <w:rPr>
                <w:rFonts w:hint="eastAsia" w:ascii="宋体" w:hAnsi="宋体" w:eastAsia="宋体" w:cs="宋体"/>
                <w:color w:val="auto"/>
                <w:sz w:val="24"/>
                <w:szCs w:val="24"/>
                <w:highlight w:val="none"/>
              </w:rPr>
              <w:t>根据投标人提供的应对暴风、暴雨、暴雪等恶劣天气的应急方案的合理性、可操作性进行评价。方案合理性强、可操作性强的得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分；方案合理性较强、可操作性较强的得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分；方案合理性一般、可操作性一般的得1分；缺项的，得0分。</w:t>
            </w:r>
          </w:p>
        </w:tc>
        <w:tc>
          <w:tcPr>
            <w:tcW w:w="867" w:type="dxa"/>
            <w:vAlign w:val="center"/>
          </w:tcPr>
          <w:p w14:paraId="5ABFAD07">
            <w:pPr>
              <w:widowControl/>
              <w:jc w:val="center"/>
              <w:textAlignment w:val="center"/>
              <w:rPr>
                <w:rFonts w:asciiTheme="minorEastAsia" w:hAnsiTheme="minorEastAsia" w:eastAsiaTheme="minorEastAsia" w:cstheme="minorEastAsia"/>
                <w:color w:val="auto"/>
                <w:sz w:val="24"/>
                <w:szCs w:val="24"/>
                <w:highlight w:val="none"/>
              </w:rPr>
            </w:pPr>
            <w:r>
              <w:rPr>
                <w:rFonts w:hint="eastAsia" w:ascii="宋体" w:hAnsi="宋体" w:cs="宋体"/>
                <w:color w:val="auto"/>
                <w:sz w:val="24"/>
                <w:szCs w:val="22"/>
                <w:highlight w:val="none"/>
                <w:lang w:val="en-US" w:eastAsia="zh-CN"/>
              </w:rPr>
              <w:t>7</w:t>
            </w:r>
            <w:r>
              <w:rPr>
                <w:rFonts w:hint="eastAsia" w:ascii="宋体" w:hAnsi="宋体" w:eastAsia="宋体" w:cs="宋体"/>
                <w:color w:val="auto"/>
                <w:sz w:val="24"/>
                <w:szCs w:val="22"/>
                <w:highlight w:val="none"/>
              </w:rPr>
              <w:t>分</w:t>
            </w:r>
          </w:p>
        </w:tc>
      </w:tr>
      <w:tr w14:paraId="7F046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22" w:hRule="atLeast"/>
          <w:jc w:val="center"/>
        </w:trPr>
        <w:tc>
          <w:tcPr>
            <w:tcW w:w="1122" w:type="dxa"/>
            <w:vMerge w:val="continue"/>
            <w:vAlign w:val="center"/>
          </w:tcPr>
          <w:p w14:paraId="3E960F9B">
            <w:pPr>
              <w:widowControl/>
              <w:spacing w:line="360" w:lineRule="auto"/>
              <w:jc w:val="center"/>
              <w:textAlignment w:val="center"/>
              <w:rPr>
                <w:rFonts w:asciiTheme="minorEastAsia" w:hAnsiTheme="minorEastAsia" w:eastAsiaTheme="minorEastAsia" w:cstheme="minorEastAsia"/>
                <w:b/>
                <w:color w:val="auto"/>
                <w:kern w:val="0"/>
                <w:sz w:val="24"/>
                <w:szCs w:val="24"/>
                <w:highlight w:val="none"/>
              </w:rPr>
            </w:pPr>
          </w:p>
        </w:tc>
        <w:tc>
          <w:tcPr>
            <w:tcW w:w="1310" w:type="dxa"/>
            <w:vAlign w:val="center"/>
          </w:tcPr>
          <w:p w14:paraId="388B3378">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8、突发事件 的方案</w:t>
            </w:r>
          </w:p>
          <w:p w14:paraId="010F8858">
            <w:pPr>
              <w:adjustRightInd w:val="0"/>
              <w:spacing w:line="400" w:lineRule="exact"/>
              <w:jc w:val="center"/>
              <w:textAlignment w:val="baseline"/>
              <w:rPr>
                <w:rFonts w:asciiTheme="minorEastAsia" w:hAnsiTheme="minorEastAsia" w:eastAsiaTheme="minorEastAsia" w:cstheme="minorEastAsia"/>
                <w:color w:val="auto"/>
                <w:sz w:val="24"/>
                <w:szCs w:val="24"/>
                <w:highlight w:val="none"/>
              </w:rPr>
            </w:pPr>
          </w:p>
        </w:tc>
        <w:tc>
          <w:tcPr>
            <w:tcW w:w="6664" w:type="dxa"/>
            <w:vAlign w:val="top"/>
          </w:tcPr>
          <w:p w14:paraId="41ED8720">
            <w:pPr>
              <w:widowControl/>
              <w:spacing w:line="360" w:lineRule="auto"/>
              <w:rPr>
                <w:rFonts w:asciiTheme="minorEastAsia" w:hAnsiTheme="minorEastAsia" w:eastAsiaTheme="minorEastAsia" w:cstheme="minorEastAsia"/>
                <w:color w:val="auto"/>
                <w:kern w:val="0"/>
                <w:sz w:val="24"/>
                <w:szCs w:val="24"/>
                <w:highlight w:val="none"/>
              </w:rPr>
            </w:pPr>
            <w:r>
              <w:rPr>
                <w:rFonts w:hint="eastAsia" w:ascii="宋体" w:hAnsi="宋体" w:eastAsia="宋体" w:cs="宋体"/>
                <w:color w:val="auto"/>
                <w:sz w:val="24"/>
                <w:szCs w:val="24"/>
                <w:highlight w:val="none"/>
              </w:rPr>
              <w:t>根据投标人提供的应对重大活动、节假日、迎检及其他突发事件 的方案合理性、可操作性进行评价。方案合理性好、可操作性强的得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分；方案合理性较好、可操作性较强的得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分；方案合理性一般、可操作性一般的得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分；缺项的，得0分。</w:t>
            </w:r>
          </w:p>
        </w:tc>
        <w:tc>
          <w:tcPr>
            <w:tcW w:w="867" w:type="dxa"/>
            <w:vAlign w:val="center"/>
          </w:tcPr>
          <w:p w14:paraId="52A86E77">
            <w:pPr>
              <w:widowControl/>
              <w:jc w:val="center"/>
              <w:textAlignment w:val="center"/>
              <w:rPr>
                <w:rFonts w:asciiTheme="minorEastAsia" w:hAnsiTheme="minorEastAsia" w:eastAsiaTheme="minorEastAsia" w:cstheme="minorEastAsia"/>
                <w:color w:val="auto"/>
                <w:sz w:val="24"/>
                <w:szCs w:val="24"/>
                <w:highlight w:val="none"/>
              </w:rPr>
            </w:pPr>
            <w:r>
              <w:rPr>
                <w:rFonts w:hint="eastAsia" w:ascii="宋体" w:hAnsi="宋体" w:cs="宋体"/>
                <w:color w:val="auto"/>
                <w:sz w:val="24"/>
                <w:szCs w:val="22"/>
                <w:highlight w:val="none"/>
                <w:lang w:val="en-US" w:eastAsia="zh-CN"/>
              </w:rPr>
              <w:t>7</w:t>
            </w:r>
            <w:r>
              <w:rPr>
                <w:rFonts w:hint="eastAsia" w:ascii="宋体" w:hAnsi="宋体" w:eastAsia="宋体" w:cs="宋体"/>
                <w:color w:val="auto"/>
                <w:sz w:val="24"/>
                <w:szCs w:val="22"/>
                <w:highlight w:val="none"/>
              </w:rPr>
              <w:t>分</w:t>
            </w:r>
          </w:p>
        </w:tc>
      </w:tr>
      <w:tr w14:paraId="52997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22" w:hRule="atLeast"/>
          <w:jc w:val="center"/>
        </w:trPr>
        <w:tc>
          <w:tcPr>
            <w:tcW w:w="1122" w:type="dxa"/>
            <w:vMerge w:val="continue"/>
            <w:vAlign w:val="center"/>
          </w:tcPr>
          <w:p w14:paraId="665DC3C4">
            <w:pPr>
              <w:widowControl/>
              <w:spacing w:line="360" w:lineRule="auto"/>
              <w:jc w:val="center"/>
              <w:textAlignment w:val="center"/>
              <w:rPr>
                <w:rFonts w:asciiTheme="minorEastAsia" w:hAnsiTheme="minorEastAsia" w:eastAsiaTheme="minorEastAsia" w:cstheme="minorEastAsia"/>
                <w:b/>
                <w:color w:val="auto"/>
                <w:kern w:val="0"/>
                <w:sz w:val="24"/>
                <w:szCs w:val="24"/>
                <w:highlight w:val="none"/>
              </w:rPr>
            </w:pPr>
          </w:p>
        </w:tc>
        <w:tc>
          <w:tcPr>
            <w:tcW w:w="1310" w:type="dxa"/>
            <w:vAlign w:val="center"/>
          </w:tcPr>
          <w:p w14:paraId="5E87DF5B">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9、智慧化管理方案</w:t>
            </w:r>
          </w:p>
          <w:p w14:paraId="658F8C73">
            <w:pPr>
              <w:adjustRightInd w:val="0"/>
              <w:spacing w:line="400" w:lineRule="exact"/>
              <w:jc w:val="center"/>
              <w:textAlignment w:val="baseline"/>
              <w:rPr>
                <w:rFonts w:asciiTheme="minorEastAsia" w:hAnsiTheme="minorEastAsia" w:eastAsiaTheme="minorEastAsia" w:cstheme="minorEastAsia"/>
                <w:color w:val="auto"/>
                <w:sz w:val="24"/>
                <w:szCs w:val="24"/>
                <w:highlight w:val="none"/>
              </w:rPr>
            </w:pPr>
          </w:p>
        </w:tc>
        <w:tc>
          <w:tcPr>
            <w:tcW w:w="6664" w:type="dxa"/>
            <w:vAlign w:val="top"/>
          </w:tcPr>
          <w:p w14:paraId="1D6EA42F">
            <w:pPr>
              <w:widowControl/>
              <w:spacing w:line="360" w:lineRule="auto"/>
              <w:rPr>
                <w:rFonts w:asciiTheme="minorEastAsia" w:hAnsiTheme="minorEastAsia" w:eastAsiaTheme="minorEastAsia" w:cstheme="minorEastAsia"/>
                <w:color w:val="auto"/>
                <w:kern w:val="0"/>
                <w:sz w:val="24"/>
                <w:szCs w:val="24"/>
                <w:highlight w:val="none"/>
              </w:rPr>
            </w:pPr>
            <w:r>
              <w:rPr>
                <w:rFonts w:hint="eastAsia" w:ascii="宋体" w:hAnsi="宋体" w:eastAsia="宋体" w:cs="宋体"/>
                <w:color w:val="auto"/>
                <w:sz w:val="24"/>
                <w:szCs w:val="24"/>
                <w:highlight w:val="none"/>
              </w:rPr>
              <w:t>根据投标人提供的智慧化管理方案的先进性、可行性进行评价。方案合理性强、可操作性强的得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分；方案合理性较强、可操作 性较强的得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分；方案合理性一般、可操作性一般的得1分；缺项的，得0分。</w:t>
            </w:r>
          </w:p>
        </w:tc>
        <w:tc>
          <w:tcPr>
            <w:tcW w:w="867" w:type="dxa"/>
            <w:vAlign w:val="center"/>
          </w:tcPr>
          <w:p w14:paraId="7D488F23">
            <w:pPr>
              <w:widowControl/>
              <w:jc w:val="center"/>
              <w:textAlignment w:val="center"/>
              <w:rPr>
                <w:rFonts w:asciiTheme="minorEastAsia" w:hAnsiTheme="minorEastAsia" w:eastAsiaTheme="minorEastAsia" w:cstheme="minorEastAsia"/>
                <w:color w:val="auto"/>
                <w:sz w:val="24"/>
                <w:szCs w:val="24"/>
                <w:highlight w:val="none"/>
              </w:rPr>
            </w:pPr>
            <w:r>
              <w:rPr>
                <w:rFonts w:hint="eastAsia" w:ascii="宋体" w:hAnsi="宋体" w:cs="宋体"/>
                <w:color w:val="auto"/>
                <w:sz w:val="24"/>
                <w:szCs w:val="22"/>
                <w:highlight w:val="none"/>
                <w:lang w:val="en-US" w:eastAsia="zh-CN"/>
              </w:rPr>
              <w:t>4</w:t>
            </w:r>
            <w:r>
              <w:rPr>
                <w:rFonts w:hint="eastAsia" w:ascii="宋体" w:hAnsi="宋体" w:eastAsia="宋体" w:cs="宋体"/>
                <w:color w:val="auto"/>
                <w:sz w:val="24"/>
                <w:szCs w:val="22"/>
                <w:highlight w:val="none"/>
              </w:rPr>
              <w:t>分</w:t>
            </w:r>
          </w:p>
        </w:tc>
      </w:tr>
      <w:tr w14:paraId="6130E8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93" w:hRule="atLeast"/>
          <w:jc w:val="center"/>
        </w:trPr>
        <w:tc>
          <w:tcPr>
            <w:tcW w:w="1122" w:type="dxa"/>
            <w:vMerge w:val="restart"/>
            <w:vAlign w:val="center"/>
          </w:tcPr>
          <w:p w14:paraId="7497F8E8">
            <w:pPr>
              <w:widowControl/>
              <w:spacing w:line="360" w:lineRule="auto"/>
              <w:jc w:val="center"/>
              <w:textAlignment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综合部分</w:t>
            </w:r>
          </w:p>
          <w:p w14:paraId="25989B9F">
            <w:pPr>
              <w:widowControl/>
              <w:spacing w:line="360" w:lineRule="auto"/>
              <w:jc w:val="center"/>
              <w:textAlignment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（20分）</w:t>
            </w:r>
          </w:p>
        </w:tc>
        <w:tc>
          <w:tcPr>
            <w:tcW w:w="1310" w:type="dxa"/>
            <w:tcBorders>
              <w:top w:val="single" w:color="auto" w:sz="4" w:space="0"/>
            </w:tcBorders>
            <w:vAlign w:val="center"/>
          </w:tcPr>
          <w:p w14:paraId="7BA55C8A">
            <w:pPr>
              <w:adjustRightInd w:val="0"/>
              <w:spacing w:line="360" w:lineRule="exact"/>
              <w:jc w:val="center"/>
              <w:textAlignment w:val="baseline"/>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类似业绩</w:t>
            </w:r>
          </w:p>
          <w:p w14:paraId="72D44DDF">
            <w:pPr>
              <w:adjustRightInd w:val="0"/>
              <w:spacing w:line="360" w:lineRule="exact"/>
              <w:jc w:val="center"/>
              <w:textAlignment w:val="baseline"/>
              <w:rPr>
                <w:rFonts w:asciiTheme="minorEastAsia" w:hAnsiTheme="minorEastAsia" w:eastAsiaTheme="minorEastAsia" w:cstheme="minorEastAsia"/>
                <w:color w:val="auto"/>
                <w:sz w:val="24"/>
                <w:szCs w:val="24"/>
                <w:highlight w:val="none"/>
              </w:rPr>
            </w:pPr>
          </w:p>
        </w:tc>
        <w:tc>
          <w:tcPr>
            <w:tcW w:w="6664" w:type="dxa"/>
            <w:vAlign w:val="center"/>
          </w:tcPr>
          <w:p w14:paraId="38A2A36D">
            <w:pPr>
              <w:adjustRightInd w:val="0"/>
              <w:snapToGrid w:val="0"/>
              <w:spacing w:line="360" w:lineRule="exact"/>
              <w:jc w:val="left"/>
              <w:rPr>
                <w:rFonts w:asciiTheme="minorEastAsia" w:hAnsiTheme="minorEastAsia" w:eastAsiaTheme="minorEastAsia" w:cstheme="minorEastAsia"/>
                <w:color w:val="auto"/>
                <w:sz w:val="24"/>
                <w:szCs w:val="24"/>
                <w:highlight w:val="none"/>
              </w:rPr>
            </w:pPr>
            <w:r>
              <w:rPr>
                <w:rFonts w:hint="eastAsia" w:ascii="宋体" w:hAnsi="宋体" w:cs="宋体"/>
                <w:color w:val="auto"/>
                <w:sz w:val="24"/>
                <w:szCs w:val="22"/>
                <w:highlight w:val="none"/>
                <w:lang w:eastAsia="zh-CN"/>
              </w:rPr>
              <w:t>投标人</w:t>
            </w:r>
            <w:r>
              <w:rPr>
                <w:rFonts w:hint="eastAsia" w:ascii="宋体" w:hAnsi="宋体" w:eastAsia="宋体" w:cs="宋体"/>
                <w:color w:val="auto"/>
                <w:sz w:val="24"/>
                <w:szCs w:val="22"/>
                <w:highlight w:val="none"/>
              </w:rPr>
              <w:t>类似业绩指：</w:t>
            </w:r>
            <w:r>
              <w:rPr>
                <w:rFonts w:hint="eastAsia" w:ascii="宋体" w:hAnsi="宋体" w:cs="宋体"/>
                <w:color w:val="auto"/>
                <w:sz w:val="24"/>
                <w:szCs w:val="22"/>
                <w:highlight w:val="none"/>
                <w:lang w:eastAsia="zh-CN"/>
              </w:rPr>
              <w:t>投标人</w:t>
            </w:r>
            <w:r>
              <w:rPr>
                <w:rFonts w:hint="eastAsia" w:ascii="宋体" w:hAnsi="宋体" w:eastAsia="宋体" w:cs="宋体"/>
                <w:color w:val="auto"/>
                <w:sz w:val="24"/>
                <w:szCs w:val="22"/>
                <w:highlight w:val="none"/>
              </w:rPr>
              <w:t>202</w:t>
            </w:r>
            <w:r>
              <w:rPr>
                <w:rFonts w:hint="eastAsia" w:ascii="宋体" w:hAnsi="宋体" w:cs="宋体"/>
                <w:color w:val="auto"/>
                <w:sz w:val="24"/>
                <w:szCs w:val="22"/>
                <w:highlight w:val="none"/>
                <w:lang w:val="en-US" w:eastAsia="zh-CN"/>
              </w:rPr>
              <w:t>2</w:t>
            </w:r>
            <w:r>
              <w:rPr>
                <w:rFonts w:hint="eastAsia" w:ascii="宋体" w:hAnsi="宋体" w:eastAsia="宋体" w:cs="宋体"/>
                <w:color w:val="auto"/>
                <w:sz w:val="24"/>
                <w:szCs w:val="22"/>
                <w:highlight w:val="none"/>
              </w:rPr>
              <w:t>年1月1日以来承接过类似工程项目质量检测工作的。每有一项业绩得2分，最多得</w:t>
            </w:r>
            <w:r>
              <w:rPr>
                <w:rFonts w:hint="eastAsia" w:ascii="宋体" w:hAnsi="宋体" w:cs="宋体"/>
                <w:color w:val="auto"/>
                <w:sz w:val="24"/>
                <w:szCs w:val="22"/>
                <w:highlight w:val="none"/>
                <w:lang w:val="en-US" w:eastAsia="zh-CN"/>
              </w:rPr>
              <w:t>6</w:t>
            </w:r>
            <w:r>
              <w:rPr>
                <w:rFonts w:hint="eastAsia" w:ascii="宋体" w:hAnsi="宋体" w:eastAsia="宋体" w:cs="宋体"/>
                <w:color w:val="auto"/>
                <w:sz w:val="24"/>
                <w:szCs w:val="22"/>
                <w:highlight w:val="none"/>
              </w:rPr>
              <w:t>分。（</w:t>
            </w:r>
            <w:r>
              <w:rPr>
                <w:rFonts w:hint="eastAsia" w:ascii="宋体" w:hAnsi="宋体" w:eastAsia="宋体" w:cs="宋体"/>
                <w:color w:val="auto"/>
                <w:sz w:val="24"/>
                <w:szCs w:val="22"/>
                <w:highlight w:val="none"/>
                <w:lang w:val="en-US" w:eastAsia="zh-CN"/>
              </w:rPr>
              <w:t>以投标人</w:t>
            </w:r>
            <w:r>
              <w:rPr>
                <w:rFonts w:hint="eastAsia" w:ascii="宋体" w:hAnsi="宋体" w:eastAsia="宋体" w:cs="宋体"/>
                <w:color w:val="auto"/>
                <w:sz w:val="24"/>
                <w:szCs w:val="22"/>
                <w:highlight w:val="none"/>
              </w:rPr>
              <w:t>提供</w:t>
            </w:r>
            <w:r>
              <w:rPr>
                <w:rFonts w:hint="eastAsia" w:ascii="宋体" w:hAnsi="宋体" w:eastAsia="宋体" w:cs="宋体"/>
                <w:color w:val="auto"/>
                <w:sz w:val="24"/>
                <w:szCs w:val="22"/>
                <w:highlight w:val="none"/>
                <w:lang w:val="en-US" w:eastAsia="zh-CN"/>
              </w:rPr>
              <w:t>中标通知书和</w:t>
            </w:r>
            <w:r>
              <w:rPr>
                <w:rFonts w:hint="eastAsia" w:ascii="宋体" w:hAnsi="宋体" w:eastAsia="宋体" w:cs="宋体"/>
                <w:color w:val="auto"/>
                <w:sz w:val="24"/>
                <w:szCs w:val="22"/>
                <w:highlight w:val="none"/>
              </w:rPr>
              <w:t>合同协议书为准,内容不完整则不得分））。</w:t>
            </w:r>
          </w:p>
        </w:tc>
        <w:tc>
          <w:tcPr>
            <w:tcW w:w="867" w:type="dxa"/>
            <w:vAlign w:val="center"/>
          </w:tcPr>
          <w:p w14:paraId="5C8F0C12">
            <w:pPr>
              <w:widowControl/>
              <w:jc w:val="center"/>
              <w:textAlignment w:val="center"/>
              <w:rPr>
                <w:rFonts w:asciiTheme="minorEastAsia" w:hAnsiTheme="minorEastAsia" w:eastAsiaTheme="minorEastAsia" w:cstheme="minorEastAsia"/>
                <w:color w:val="auto"/>
                <w:kern w:val="0"/>
                <w:sz w:val="24"/>
                <w:szCs w:val="24"/>
                <w:highlight w:val="none"/>
              </w:rPr>
            </w:pP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分</w:t>
            </w:r>
          </w:p>
        </w:tc>
      </w:tr>
      <w:tr w14:paraId="0E3050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93" w:hRule="atLeast"/>
          <w:jc w:val="center"/>
        </w:trPr>
        <w:tc>
          <w:tcPr>
            <w:tcW w:w="1122" w:type="dxa"/>
            <w:vMerge w:val="continue"/>
            <w:vAlign w:val="center"/>
          </w:tcPr>
          <w:p w14:paraId="2FA2C577">
            <w:pPr>
              <w:widowControl/>
              <w:spacing w:line="360" w:lineRule="auto"/>
              <w:jc w:val="center"/>
              <w:textAlignment w:val="center"/>
              <w:rPr>
                <w:rFonts w:asciiTheme="minorEastAsia" w:hAnsiTheme="minorEastAsia" w:eastAsiaTheme="minorEastAsia" w:cstheme="minorEastAsia"/>
                <w:b/>
                <w:color w:val="auto"/>
                <w:sz w:val="24"/>
                <w:szCs w:val="24"/>
                <w:highlight w:val="none"/>
              </w:rPr>
            </w:pPr>
          </w:p>
        </w:tc>
        <w:tc>
          <w:tcPr>
            <w:tcW w:w="1310" w:type="dxa"/>
            <w:tcBorders>
              <w:top w:val="single" w:color="auto" w:sz="4" w:space="0"/>
            </w:tcBorders>
            <w:vAlign w:val="center"/>
          </w:tcPr>
          <w:p w14:paraId="534D80DE">
            <w:pPr>
              <w:spacing w:line="360" w:lineRule="exact"/>
              <w:rPr>
                <w:rFonts w:asciiTheme="minorEastAsia" w:hAnsiTheme="minorEastAsia" w:eastAsiaTheme="minorEastAsia" w:cstheme="minorEastAsia"/>
                <w:color w:val="auto"/>
                <w:sz w:val="24"/>
                <w:szCs w:val="24"/>
                <w:highlight w:val="none"/>
              </w:rPr>
            </w:pPr>
            <w:r>
              <w:rPr>
                <w:rFonts w:hint="eastAsia" w:ascii="宋体" w:hAnsi="宋体" w:eastAsia="宋体" w:cs="宋体"/>
                <w:color w:val="auto"/>
                <w:sz w:val="24"/>
                <w:szCs w:val="22"/>
                <w:highlight w:val="none"/>
              </w:rPr>
              <w:t>服务</w:t>
            </w:r>
            <w:r>
              <w:rPr>
                <w:rFonts w:hint="eastAsia" w:ascii="宋体" w:hAnsi="宋体" w:cs="宋体"/>
                <w:color w:val="auto"/>
                <w:sz w:val="24"/>
                <w:szCs w:val="22"/>
                <w:highlight w:val="none"/>
                <w:lang w:val="en-US" w:eastAsia="zh-CN"/>
              </w:rPr>
              <w:t>承诺</w:t>
            </w:r>
          </w:p>
        </w:tc>
        <w:tc>
          <w:tcPr>
            <w:tcW w:w="6664" w:type="dxa"/>
            <w:vAlign w:val="top"/>
          </w:tcPr>
          <w:p w14:paraId="017F2B76">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根据投标人在采购人遇到重大活动时给予积极配合，并随时配合采购人进行作业实施的承诺及措施进行评价。承诺内容具体全面，可操作性强的，得5分；承诺内容全面，可操作性较强的，得3分；承诺内容不够全面，可操作性一般的，得1分；缺项不得分。</w:t>
            </w:r>
          </w:p>
          <w:p w14:paraId="7A53DDA0">
            <w:pPr>
              <w:widowControl/>
              <w:spacing w:line="360" w:lineRule="auto"/>
              <w:rPr>
                <w:rFonts w:asciiTheme="minorEastAsia" w:hAnsiTheme="minorEastAsia" w:eastAsiaTheme="minorEastAsia" w:cstheme="minorEastAsia"/>
                <w:color w:val="auto"/>
                <w:sz w:val="24"/>
                <w:szCs w:val="24"/>
                <w:highlight w:val="none"/>
              </w:rPr>
            </w:pPr>
            <w:r>
              <w:rPr>
                <w:rFonts w:hint="eastAsia" w:ascii="宋体" w:hAnsi="宋体" w:eastAsia="宋体" w:cs="宋体"/>
                <w:color w:val="auto"/>
                <w:kern w:val="0"/>
                <w:sz w:val="24"/>
                <w:szCs w:val="24"/>
                <w:highlight w:val="none"/>
              </w:rPr>
              <w:t>2、根据投标人在发生意外后，独立处理善后工作的承诺及措施进行评价。承诺内容具体全面，可操作性强的，得5分；承诺内 容全面，可操作性较强的，得3分；承诺内容不够全面，可操作性一般的，得1分；缺项不得分。</w:t>
            </w:r>
          </w:p>
        </w:tc>
        <w:tc>
          <w:tcPr>
            <w:tcW w:w="867" w:type="dxa"/>
            <w:vAlign w:val="center"/>
          </w:tcPr>
          <w:p w14:paraId="16C94FE0">
            <w:pPr>
              <w:spacing w:line="480" w:lineRule="exact"/>
              <w:contextualSpacing/>
              <w:jc w:val="center"/>
              <w:rPr>
                <w:rFonts w:asciiTheme="minorEastAsia" w:hAnsiTheme="minorEastAsia" w:eastAsiaTheme="minorEastAsia" w:cstheme="minorEastAsia"/>
                <w:color w:val="auto"/>
                <w:kern w:val="0"/>
                <w:sz w:val="24"/>
                <w:szCs w:val="24"/>
                <w:highlight w:val="none"/>
              </w:rPr>
            </w:pPr>
            <w:r>
              <w:rPr>
                <w:rFonts w:hint="eastAsia" w:ascii="宋体" w:hAnsi="宋体" w:cs="宋体"/>
                <w:color w:val="auto"/>
                <w:kern w:val="0"/>
                <w:sz w:val="24"/>
                <w:highlight w:val="none"/>
                <w:lang w:val="en-US" w:eastAsia="zh-CN"/>
              </w:rPr>
              <w:t>10</w:t>
            </w:r>
            <w:r>
              <w:rPr>
                <w:rFonts w:hint="eastAsia" w:ascii="宋体" w:hAnsi="宋体" w:eastAsia="宋体" w:cs="宋体"/>
                <w:color w:val="auto"/>
                <w:kern w:val="0"/>
                <w:sz w:val="24"/>
                <w:highlight w:val="none"/>
              </w:rPr>
              <w:t>分</w:t>
            </w:r>
          </w:p>
        </w:tc>
      </w:tr>
      <w:tr w14:paraId="5CC70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93" w:hRule="atLeast"/>
          <w:jc w:val="center"/>
        </w:trPr>
        <w:tc>
          <w:tcPr>
            <w:tcW w:w="1122" w:type="dxa"/>
            <w:vMerge w:val="continue"/>
            <w:vAlign w:val="center"/>
          </w:tcPr>
          <w:p w14:paraId="3BCB6A3F">
            <w:pPr>
              <w:widowControl/>
              <w:spacing w:line="360" w:lineRule="auto"/>
              <w:jc w:val="center"/>
              <w:textAlignment w:val="center"/>
              <w:rPr>
                <w:rFonts w:asciiTheme="minorEastAsia" w:hAnsiTheme="minorEastAsia" w:eastAsiaTheme="minorEastAsia" w:cstheme="minorEastAsia"/>
                <w:b/>
                <w:color w:val="auto"/>
                <w:sz w:val="24"/>
                <w:szCs w:val="24"/>
                <w:highlight w:val="none"/>
              </w:rPr>
            </w:pPr>
          </w:p>
        </w:tc>
        <w:tc>
          <w:tcPr>
            <w:tcW w:w="1310" w:type="dxa"/>
            <w:tcBorders>
              <w:top w:val="single" w:color="auto" w:sz="4" w:space="0"/>
            </w:tcBorders>
            <w:vAlign w:val="center"/>
          </w:tcPr>
          <w:p w14:paraId="6ED31E46">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综合评价分</w:t>
            </w:r>
          </w:p>
          <w:p w14:paraId="44560D21">
            <w:pPr>
              <w:widowControl/>
              <w:spacing w:line="360" w:lineRule="auto"/>
              <w:jc w:val="center"/>
              <w:rPr>
                <w:rFonts w:asciiTheme="minorEastAsia" w:hAnsiTheme="minorEastAsia" w:eastAsiaTheme="minorEastAsia" w:cstheme="minorEastAsia"/>
                <w:color w:val="auto"/>
                <w:sz w:val="24"/>
                <w:szCs w:val="24"/>
                <w:highlight w:val="none"/>
              </w:rPr>
            </w:pPr>
          </w:p>
        </w:tc>
        <w:tc>
          <w:tcPr>
            <w:tcW w:w="6664" w:type="dxa"/>
            <w:vAlign w:val="center"/>
          </w:tcPr>
          <w:p w14:paraId="1DAE0347">
            <w:pPr>
              <w:spacing w:line="360" w:lineRule="auto"/>
              <w:rPr>
                <w:rFonts w:asciiTheme="minorEastAsia" w:hAnsiTheme="minorEastAsia" w:eastAsiaTheme="minorEastAsia" w:cstheme="minorEastAsia"/>
                <w:color w:val="auto"/>
                <w:sz w:val="24"/>
                <w:szCs w:val="24"/>
                <w:highlight w:val="none"/>
              </w:rPr>
            </w:pPr>
            <w:r>
              <w:rPr>
                <w:rFonts w:hint="eastAsia" w:ascii="宋体" w:hAnsi="宋体" w:eastAsia="宋体" w:cs="宋体"/>
                <w:color w:val="auto"/>
                <w:kern w:val="0"/>
                <w:sz w:val="24"/>
                <w:szCs w:val="24"/>
                <w:highlight w:val="none"/>
              </w:rPr>
              <w:t>采购人对</w:t>
            </w:r>
            <w:r>
              <w:rPr>
                <w:rFonts w:hint="eastAsia" w:ascii="宋体" w:hAnsi="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企业综合实力及响应性文件综合情况评价结果进行打分0-</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w:t>
            </w:r>
          </w:p>
        </w:tc>
        <w:tc>
          <w:tcPr>
            <w:tcW w:w="867" w:type="dxa"/>
            <w:vAlign w:val="center"/>
          </w:tcPr>
          <w:p w14:paraId="6C3B6809">
            <w:pPr>
              <w:ind w:firstLine="240" w:firstLineChars="100"/>
              <w:rPr>
                <w:rFonts w:asciiTheme="minorEastAsia" w:hAnsiTheme="minorEastAsia" w:eastAsiaTheme="minorEastAsia" w:cstheme="minorEastAsia"/>
                <w:color w:val="auto"/>
                <w:kern w:val="0"/>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bl>
    <w:p w14:paraId="180CA247">
      <w:pPr>
        <w:spacing w:line="600" w:lineRule="exact"/>
        <w:ind w:firstLine="480" w:firstLineChars="200"/>
        <w:rPr>
          <w:rFonts w:ascii="宋体" w:hAnsi="宋体" w:cs="宋体"/>
          <w:color w:val="auto"/>
          <w:sz w:val="28"/>
          <w:szCs w:val="28"/>
          <w:highlight w:val="none"/>
        </w:rPr>
      </w:pPr>
      <w:r>
        <w:rPr>
          <w:rFonts w:hint="eastAsia" w:asciiTheme="minorEastAsia" w:hAnsiTheme="minorEastAsia" w:eastAsiaTheme="minorEastAsia" w:cstheme="minorEastAsia"/>
          <w:color w:val="auto"/>
          <w:sz w:val="24"/>
          <w:szCs w:val="24"/>
          <w:highlight w:val="none"/>
        </w:rPr>
        <w:t>注：评标打分部分仍按照100分制原则进行，涉及到资格审查、企业荣誉、人员业绩、企业业绩等计分部分时，以投标单位自行上传到投标文件中的相应内容为准。</w:t>
      </w:r>
    </w:p>
    <w:p w14:paraId="0A65A947">
      <w:pPr>
        <w:rPr>
          <w:rFonts w:ascii="宋体" w:hAnsi="宋体"/>
          <w:b/>
          <w:color w:val="auto"/>
          <w:kern w:val="0"/>
          <w:sz w:val="28"/>
          <w:szCs w:val="28"/>
          <w:highlight w:val="none"/>
        </w:rPr>
      </w:pPr>
      <w:r>
        <w:rPr>
          <w:rFonts w:ascii="宋体" w:hAnsi="宋体"/>
          <w:b/>
          <w:color w:val="auto"/>
          <w:kern w:val="0"/>
          <w:sz w:val="28"/>
          <w:szCs w:val="28"/>
          <w:highlight w:val="none"/>
        </w:rPr>
        <w:br w:type="page"/>
      </w:r>
    </w:p>
    <w:p w14:paraId="2C7E1C18">
      <w:pPr>
        <w:widowControl/>
        <w:spacing w:line="620" w:lineRule="exact"/>
        <w:ind w:firstLine="2619"/>
        <w:outlineLvl w:val="0"/>
        <w:rPr>
          <w:rFonts w:ascii="宋体" w:hAnsi="宋体"/>
          <w:b/>
          <w:bCs/>
          <w:color w:val="auto"/>
          <w:kern w:val="0"/>
          <w:sz w:val="44"/>
          <w:szCs w:val="44"/>
          <w:highlight w:val="none"/>
        </w:rPr>
      </w:pPr>
      <w:bookmarkStart w:id="11" w:name="_Toc21738"/>
      <w:bookmarkStart w:id="12" w:name="_Toc192493788"/>
      <w:r>
        <w:rPr>
          <w:rFonts w:hint="eastAsia" w:ascii="宋体" w:hAnsi="宋体"/>
          <w:b/>
          <w:bCs/>
          <w:color w:val="auto"/>
          <w:kern w:val="0"/>
          <w:sz w:val="32"/>
          <w:szCs w:val="32"/>
          <w:highlight w:val="none"/>
        </w:rPr>
        <w:t xml:space="preserve">第五章 </w:t>
      </w:r>
      <w:bookmarkStart w:id="13" w:name="政府采购合同"/>
      <w:r>
        <w:rPr>
          <w:rFonts w:hint="eastAsia" w:ascii="宋体" w:hAnsi="宋体"/>
          <w:b/>
          <w:bCs/>
          <w:color w:val="auto"/>
          <w:kern w:val="0"/>
          <w:sz w:val="32"/>
          <w:szCs w:val="32"/>
          <w:highlight w:val="none"/>
        </w:rPr>
        <w:t>合同</w:t>
      </w:r>
      <w:bookmarkEnd w:id="13"/>
      <w:r>
        <w:rPr>
          <w:rFonts w:hint="eastAsia" w:ascii="宋体" w:hAnsi="宋体"/>
          <w:b/>
          <w:bCs/>
          <w:color w:val="auto"/>
          <w:kern w:val="0"/>
          <w:sz w:val="32"/>
          <w:szCs w:val="32"/>
          <w:highlight w:val="none"/>
        </w:rPr>
        <w:t>条款及格式</w:t>
      </w:r>
      <w:bookmarkEnd w:id="11"/>
      <w:bookmarkEnd w:id="12"/>
    </w:p>
    <w:p w14:paraId="747918FC">
      <w:pPr>
        <w:jc w:val="center"/>
        <w:rPr>
          <w:rFonts w:hint="eastAsia" w:ascii="宋体" w:hAnsi="宋体" w:cs="宋体"/>
          <w:b/>
          <w:bCs/>
          <w:color w:val="auto"/>
          <w:sz w:val="36"/>
          <w:szCs w:val="36"/>
          <w:highlight w:val="none"/>
          <w:lang w:eastAsia="zh-CN"/>
        </w:rPr>
      </w:pPr>
      <w:bookmarkStart w:id="14" w:name="_Toc15385"/>
    </w:p>
    <w:p w14:paraId="69F61C18">
      <w:pPr>
        <w:jc w:val="center"/>
        <w:rPr>
          <w:rFonts w:hint="eastAsia" w:ascii="宋体" w:hAnsi="宋体" w:cs="宋体"/>
          <w:b/>
          <w:bCs/>
          <w:color w:val="auto"/>
          <w:sz w:val="36"/>
          <w:szCs w:val="36"/>
          <w:highlight w:val="none"/>
          <w:lang w:val="en-US" w:eastAsia="zh-CN"/>
        </w:rPr>
      </w:pPr>
      <w:r>
        <w:rPr>
          <w:rFonts w:hint="eastAsia" w:ascii="宋体" w:hAnsi="宋体" w:cs="宋体"/>
          <w:b/>
          <w:bCs/>
          <w:color w:val="auto"/>
          <w:sz w:val="36"/>
          <w:szCs w:val="36"/>
          <w:highlight w:val="none"/>
          <w:lang w:eastAsia="zh-CN"/>
        </w:rPr>
        <w:t>格式自拟</w:t>
      </w:r>
    </w:p>
    <w:p w14:paraId="29052078">
      <w:pPr>
        <w:jc w:val="center"/>
        <w:rPr>
          <w:rFonts w:ascii="宋体" w:hAnsi="宋体" w:cs="宋体"/>
          <w:b/>
          <w:bCs/>
          <w:color w:val="auto"/>
          <w:sz w:val="36"/>
          <w:szCs w:val="36"/>
          <w:highlight w:val="none"/>
        </w:rPr>
      </w:pPr>
    </w:p>
    <w:p w14:paraId="4E71D6BD">
      <w:pPr>
        <w:rPr>
          <w:rFonts w:hint="eastAsia" w:ascii="宋体" w:hAnsi="宋体"/>
          <w:b/>
          <w:bCs/>
          <w:color w:val="auto"/>
          <w:kern w:val="0"/>
          <w:sz w:val="32"/>
          <w:szCs w:val="32"/>
          <w:highlight w:val="none"/>
        </w:rPr>
      </w:pPr>
      <w:bookmarkStart w:id="15" w:name="_Toc192493789"/>
      <w:r>
        <w:rPr>
          <w:rFonts w:hint="eastAsia" w:ascii="宋体" w:hAnsi="宋体"/>
          <w:b/>
          <w:bCs/>
          <w:color w:val="auto"/>
          <w:kern w:val="0"/>
          <w:sz w:val="32"/>
          <w:szCs w:val="32"/>
          <w:highlight w:val="none"/>
        </w:rPr>
        <w:br w:type="page"/>
      </w:r>
    </w:p>
    <w:p w14:paraId="5C83D278">
      <w:pPr>
        <w:widowControl/>
        <w:spacing w:line="620" w:lineRule="exact"/>
        <w:ind w:firstLine="2619"/>
        <w:outlineLvl w:val="0"/>
        <w:rPr>
          <w:rFonts w:ascii="宋体" w:hAnsi="宋体"/>
          <w:color w:val="auto"/>
          <w:kern w:val="0"/>
          <w:sz w:val="20"/>
          <w:highlight w:val="none"/>
        </w:rPr>
      </w:pPr>
      <w:r>
        <w:rPr>
          <w:rFonts w:hint="eastAsia" w:ascii="宋体" w:hAnsi="宋体"/>
          <w:b/>
          <w:bCs/>
          <w:color w:val="auto"/>
          <w:kern w:val="0"/>
          <w:sz w:val="32"/>
          <w:szCs w:val="32"/>
          <w:highlight w:val="none"/>
        </w:rPr>
        <w:t xml:space="preserve">第六章 </w:t>
      </w:r>
      <w:bookmarkStart w:id="16" w:name="投标文件格式"/>
      <w:r>
        <w:rPr>
          <w:rFonts w:hint="eastAsia" w:ascii="宋体" w:hAnsi="宋体"/>
          <w:b/>
          <w:bCs/>
          <w:color w:val="auto"/>
          <w:kern w:val="0"/>
          <w:sz w:val="32"/>
          <w:szCs w:val="32"/>
          <w:highlight w:val="none"/>
        </w:rPr>
        <w:t>投标文件格式</w:t>
      </w:r>
      <w:bookmarkEnd w:id="14"/>
      <w:bookmarkEnd w:id="15"/>
      <w:bookmarkEnd w:id="16"/>
    </w:p>
    <w:p w14:paraId="35000358">
      <w:pPr>
        <w:widowControl/>
        <w:jc w:val="center"/>
        <w:rPr>
          <w:rFonts w:ascii="宋体" w:hAnsi="宋体"/>
          <w:b/>
          <w:bCs/>
          <w:color w:val="auto"/>
          <w:kern w:val="0"/>
          <w:szCs w:val="21"/>
          <w:highlight w:val="none"/>
        </w:rPr>
      </w:pPr>
    </w:p>
    <w:p w14:paraId="3A318D34">
      <w:pPr>
        <w:widowControl/>
        <w:jc w:val="center"/>
        <w:rPr>
          <w:rFonts w:ascii="宋体" w:hAnsi="宋体"/>
          <w:b/>
          <w:bCs/>
          <w:color w:val="auto"/>
          <w:kern w:val="0"/>
          <w:szCs w:val="21"/>
          <w:highlight w:val="none"/>
        </w:rPr>
      </w:pPr>
    </w:p>
    <w:p w14:paraId="69C64074">
      <w:pPr>
        <w:widowControl/>
        <w:jc w:val="center"/>
        <w:rPr>
          <w:rFonts w:ascii="宋体" w:hAnsi="宋体"/>
          <w:b/>
          <w:bCs/>
          <w:color w:val="auto"/>
          <w:kern w:val="0"/>
          <w:szCs w:val="21"/>
          <w:highlight w:val="none"/>
        </w:rPr>
      </w:pPr>
    </w:p>
    <w:p w14:paraId="0CB35957">
      <w:pPr>
        <w:widowControl/>
        <w:jc w:val="center"/>
        <w:rPr>
          <w:rFonts w:ascii="宋体" w:hAnsi="宋体"/>
          <w:b/>
          <w:color w:val="auto"/>
          <w:kern w:val="0"/>
          <w:sz w:val="32"/>
          <w:szCs w:val="32"/>
          <w:highlight w:val="none"/>
        </w:rPr>
      </w:pPr>
      <w:bookmarkStart w:id="17" w:name="_Toc26648"/>
      <w:r>
        <w:rPr>
          <w:rFonts w:hint="eastAsia" w:ascii="宋体" w:hAnsi="宋体"/>
          <w:b/>
          <w:color w:val="auto"/>
          <w:kern w:val="0"/>
          <w:sz w:val="32"/>
          <w:szCs w:val="32"/>
          <w:highlight w:val="none"/>
        </w:rPr>
        <w:t>（项目名称）</w:t>
      </w:r>
      <w:bookmarkEnd w:id="17"/>
    </w:p>
    <w:p w14:paraId="0F2B3B6D">
      <w:pPr>
        <w:widowControl/>
        <w:jc w:val="center"/>
        <w:rPr>
          <w:rFonts w:ascii="宋体" w:hAnsi="宋体"/>
          <w:b/>
          <w:color w:val="auto"/>
          <w:kern w:val="0"/>
          <w:sz w:val="32"/>
          <w:szCs w:val="32"/>
          <w:highlight w:val="none"/>
        </w:rPr>
      </w:pPr>
    </w:p>
    <w:p w14:paraId="3F745590">
      <w:pPr>
        <w:widowControl/>
        <w:jc w:val="center"/>
        <w:rPr>
          <w:rFonts w:ascii="宋体" w:hAnsi="宋体"/>
          <w:b/>
          <w:color w:val="auto"/>
          <w:kern w:val="0"/>
          <w:sz w:val="20"/>
          <w:highlight w:val="none"/>
        </w:rPr>
      </w:pPr>
    </w:p>
    <w:p w14:paraId="0047230D">
      <w:pPr>
        <w:widowControl/>
        <w:jc w:val="center"/>
        <w:rPr>
          <w:rFonts w:ascii="宋体" w:hAnsi="宋体"/>
          <w:b/>
          <w:bCs/>
          <w:color w:val="auto"/>
          <w:kern w:val="0"/>
          <w:sz w:val="44"/>
          <w:szCs w:val="44"/>
          <w:highlight w:val="none"/>
        </w:rPr>
      </w:pPr>
    </w:p>
    <w:p w14:paraId="15742EB3">
      <w:pPr>
        <w:widowControl/>
        <w:jc w:val="center"/>
        <w:rPr>
          <w:rFonts w:ascii="宋体" w:hAnsi="宋体"/>
          <w:b/>
          <w:bCs/>
          <w:color w:val="auto"/>
          <w:kern w:val="0"/>
          <w:sz w:val="44"/>
          <w:szCs w:val="44"/>
          <w:highlight w:val="none"/>
        </w:rPr>
      </w:pPr>
    </w:p>
    <w:p w14:paraId="4287B814">
      <w:pPr>
        <w:widowControl/>
        <w:jc w:val="center"/>
        <w:rPr>
          <w:rFonts w:ascii="宋体" w:hAnsi="宋体"/>
          <w:b/>
          <w:bCs/>
          <w:color w:val="auto"/>
          <w:kern w:val="0"/>
          <w:sz w:val="44"/>
          <w:szCs w:val="44"/>
          <w:highlight w:val="none"/>
        </w:rPr>
      </w:pPr>
    </w:p>
    <w:p w14:paraId="6888A880">
      <w:pPr>
        <w:widowControl/>
        <w:jc w:val="center"/>
        <w:rPr>
          <w:rFonts w:ascii="宋体" w:hAnsi="宋体"/>
          <w:color w:val="auto"/>
          <w:kern w:val="0"/>
          <w:sz w:val="20"/>
          <w:highlight w:val="none"/>
        </w:rPr>
      </w:pPr>
      <w:r>
        <w:rPr>
          <w:rFonts w:hint="eastAsia" w:ascii="宋体" w:hAnsi="宋体"/>
          <w:b/>
          <w:bCs/>
          <w:color w:val="auto"/>
          <w:kern w:val="0"/>
          <w:sz w:val="72"/>
          <w:szCs w:val="72"/>
          <w:highlight w:val="none"/>
        </w:rPr>
        <w:t>投 标 文 件</w:t>
      </w:r>
      <w:bookmarkStart w:id="18" w:name="_Toc171073042"/>
      <w:bookmarkEnd w:id="18"/>
      <w:bookmarkStart w:id="19" w:name="_Toc169921407"/>
      <w:bookmarkEnd w:id="19"/>
      <w:bookmarkStart w:id="20" w:name="_Toc223432387"/>
      <w:bookmarkEnd w:id="20"/>
      <w:bookmarkStart w:id="21" w:name="_Toc171073207"/>
      <w:bookmarkEnd w:id="21"/>
    </w:p>
    <w:p w14:paraId="778A0AE5">
      <w:pPr>
        <w:widowControl/>
        <w:jc w:val="center"/>
        <w:rPr>
          <w:rFonts w:ascii="宋体" w:hAnsi="宋体"/>
          <w:color w:val="auto"/>
          <w:kern w:val="0"/>
          <w:sz w:val="20"/>
          <w:highlight w:val="none"/>
        </w:rPr>
      </w:pPr>
      <w:r>
        <w:rPr>
          <w:rFonts w:hint="eastAsia" w:ascii="宋体" w:hAnsi="宋体"/>
          <w:color w:val="auto"/>
          <w:kern w:val="0"/>
          <w:sz w:val="72"/>
          <w:szCs w:val="72"/>
          <w:highlight w:val="none"/>
        </w:rPr>
        <w:t xml:space="preserve"> </w:t>
      </w:r>
    </w:p>
    <w:p w14:paraId="1583C731">
      <w:pPr>
        <w:widowControl/>
        <w:jc w:val="center"/>
        <w:rPr>
          <w:rFonts w:ascii="宋体" w:hAnsi="宋体"/>
          <w:color w:val="auto"/>
          <w:kern w:val="0"/>
          <w:sz w:val="28"/>
          <w:szCs w:val="28"/>
          <w:highlight w:val="none"/>
        </w:rPr>
      </w:pPr>
    </w:p>
    <w:p w14:paraId="64DBF19C">
      <w:pPr>
        <w:widowControl/>
        <w:jc w:val="center"/>
        <w:rPr>
          <w:rFonts w:ascii="宋体" w:hAnsi="宋体"/>
          <w:color w:val="auto"/>
          <w:kern w:val="0"/>
          <w:sz w:val="72"/>
          <w:szCs w:val="72"/>
          <w:highlight w:val="none"/>
        </w:rPr>
      </w:pPr>
      <w:r>
        <w:rPr>
          <w:rFonts w:hint="eastAsia" w:ascii="宋体" w:hAnsi="宋体"/>
          <w:color w:val="auto"/>
          <w:kern w:val="0"/>
          <w:sz w:val="28"/>
          <w:szCs w:val="28"/>
          <w:highlight w:val="none"/>
        </w:rPr>
        <w:t>项目编号：</w:t>
      </w:r>
      <w:r>
        <w:rPr>
          <w:rFonts w:hint="eastAsia" w:ascii="宋体" w:hAnsi="宋体"/>
          <w:color w:val="auto"/>
          <w:kern w:val="0"/>
          <w:sz w:val="72"/>
          <w:szCs w:val="72"/>
          <w:highlight w:val="none"/>
        </w:rPr>
        <w:t xml:space="preserve"> </w:t>
      </w:r>
    </w:p>
    <w:p w14:paraId="7CCB5879">
      <w:pPr>
        <w:widowControl/>
        <w:spacing w:line="480" w:lineRule="auto"/>
        <w:ind w:firstLine="1090"/>
        <w:rPr>
          <w:rFonts w:ascii="宋体" w:hAnsi="宋体"/>
          <w:color w:val="auto"/>
          <w:kern w:val="0"/>
          <w:sz w:val="28"/>
          <w:szCs w:val="28"/>
          <w:highlight w:val="none"/>
        </w:rPr>
      </w:pPr>
    </w:p>
    <w:p w14:paraId="3F532A04">
      <w:pPr>
        <w:widowControl/>
        <w:spacing w:line="480" w:lineRule="auto"/>
        <w:ind w:firstLine="1090"/>
        <w:rPr>
          <w:rFonts w:ascii="宋体" w:hAnsi="宋体"/>
          <w:color w:val="auto"/>
          <w:kern w:val="0"/>
          <w:sz w:val="28"/>
          <w:szCs w:val="28"/>
          <w:highlight w:val="none"/>
        </w:rPr>
      </w:pPr>
    </w:p>
    <w:p w14:paraId="3B859EFD">
      <w:pPr>
        <w:widowControl/>
        <w:spacing w:line="480" w:lineRule="auto"/>
        <w:ind w:firstLine="1090"/>
        <w:rPr>
          <w:rFonts w:ascii="宋体" w:hAnsi="宋体"/>
          <w:color w:val="auto"/>
          <w:kern w:val="0"/>
          <w:sz w:val="28"/>
          <w:szCs w:val="28"/>
          <w:highlight w:val="none"/>
        </w:rPr>
      </w:pPr>
    </w:p>
    <w:p w14:paraId="234F2431">
      <w:pPr>
        <w:widowControl/>
        <w:spacing w:line="480" w:lineRule="auto"/>
        <w:ind w:firstLine="1090"/>
        <w:rPr>
          <w:rFonts w:ascii="宋体" w:hAnsi="宋体"/>
          <w:color w:val="auto"/>
          <w:kern w:val="0"/>
          <w:sz w:val="20"/>
          <w:highlight w:val="none"/>
        </w:rPr>
      </w:pPr>
    </w:p>
    <w:p w14:paraId="2AA02C7B">
      <w:pPr>
        <w:widowControl/>
        <w:spacing w:line="480" w:lineRule="auto"/>
        <w:rPr>
          <w:rFonts w:ascii="宋体" w:hAnsi="宋体"/>
          <w:color w:val="auto"/>
          <w:kern w:val="0"/>
          <w:sz w:val="20"/>
          <w:highlight w:val="none"/>
        </w:rPr>
      </w:pPr>
      <w:r>
        <w:rPr>
          <w:rFonts w:ascii="宋体" w:hAnsi="宋体"/>
          <w:color w:val="auto"/>
          <w:kern w:val="0"/>
          <w:sz w:val="20"/>
          <w:highlight w:val="none"/>
        </w:rPr>
        <w:t xml:space="preserve"> </w:t>
      </w:r>
    </w:p>
    <w:p w14:paraId="13CB8615">
      <w:pPr>
        <w:widowControl/>
        <w:spacing w:line="480" w:lineRule="auto"/>
        <w:ind w:firstLine="980" w:firstLineChars="350"/>
        <w:rPr>
          <w:rFonts w:ascii="宋体" w:hAnsi="宋体"/>
          <w:color w:val="auto"/>
          <w:kern w:val="0"/>
          <w:sz w:val="20"/>
          <w:highlight w:val="none"/>
        </w:rPr>
      </w:pPr>
      <w:r>
        <w:rPr>
          <w:rFonts w:hint="eastAsia" w:ascii="宋体" w:hAnsi="宋体"/>
          <w:color w:val="auto"/>
          <w:kern w:val="0"/>
          <w:sz w:val="28"/>
          <w:szCs w:val="28"/>
          <w:highlight w:val="none"/>
        </w:rPr>
        <w:t>投标供应商名称：</w:t>
      </w:r>
      <w:r>
        <w:rPr>
          <w:rFonts w:hint="eastAsia" w:ascii="宋体" w:hAnsi="宋体"/>
          <w:color w:val="auto"/>
          <w:kern w:val="0"/>
          <w:sz w:val="28"/>
          <w:szCs w:val="28"/>
          <w:highlight w:val="none"/>
          <w:u w:val="single"/>
        </w:rPr>
        <w:t xml:space="preserve">          </w:t>
      </w:r>
      <w:r>
        <w:rPr>
          <w:rFonts w:hint="eastAsia" w:ascii="宋体" w:hAnsi="宋体"/>
          <w:color w:val="auto"/>
          <w:kern w:val="0"/>
          <w:sz w:val="28"/>
          <w:szCs w:val="28"/>
          <w:highlight w:val="none"/>
        </w:rPr>
        <w:t>（电子签章）</w:t>
      </w:r>
    </w:p>
    <w:p w14:paraId="0B1B380B">
      <w:pPr>
        <w:widowControl/>
        <w:spacing w:line="480" w:lineRule="auto"/>
        <w:ind w:firstLine="980" w:firstLineChars="350"/>
        <w:rPr>
          <w:rFonts w:ascii="宋体" w:hAnsi="宋体"/>
          <w:color w:val="auto"/>
          <w:kern w:val="0"/>
          <w:sz w:val="20"/>
          <w:highlight w:val="none"/>
        </w:rPr>
      </w:pPr>
      <w:r>
        <w:rPr>
          <w:rFonts w:hint="eastAsia" w:ascii="宋体" w:hAnsi="宋体"/>
          <w:color w:val="auto"/>
          <w:kern w:val="0"/>
          <w:sz w:val="28"/>
          <w:szCs w:val="28"/>
          <w:highlight w:val="none"/>
        </w:rPr>
        <w:t>法定代表人：</w:t>
      </w:r>
      <w:r>
        <w:rPr>
          <w:rFonts w:hint="eastAsia" w:ascii="宋体" w:hAnsi="宋体"/>
          <w:color w:val="auto"/>
          <w:kern w:val="0"/>
          <w:sz w:val="28"/>
          <w:szCs w:val="28"/>
          <w:highlight w:val="none"/>
          <w:u w:val="single"/>
        </w:rPr>
        <w:t xml:space="preserve">          </w:t>
      </w:r>
      <w:r>
        <w:rPr>
          <w:rFonts w:hint="eastAsia" w:ascii="宋体" w:hAnsi="宋体"/>
          <w:color w:val="auto"/>
          <w:kern w:val="0"/>
          <w:sz w:val="28"/>
          <w:szCs w:val="28"/>
          <w:highlight w:val="none"/>
        </w:rPr>
        <w:t>（电子签章）</w:t>
      </w:r>
    </w:p>
    <w:p w14:paraId="43A4931B">
      <w:pPr>
        <w:widowControl/>
        <w:ind w:firstLine="980" w:firstLineChars="350"/>
        <w:rPr>
          <w:rFonts w:ascii="宋体" w:hAnsi="宋体"/>
          <w:color w:val="auto"/>
          <w:kern w:val="0"/>
          <w:sz w:val="20"/>
          <w:highlight w:val="none"/>
        </w:rPr>
      </w:pPr>
      <w:r>
        <w:rPr>
          <w:rFonts w:hint="eastAsia" w:ascii="宋体" w:hAnsi="宋体"/>
          <w:color w:val="auto"/>
          <w:kern w:val="0"/>
          <w:sz w:val="28"/>
          <w:szCs w:val="28"/>
          <w:highlight w:val="none"/>
        </w:rPr>
        <w:t>日 期：</w:t>
      </w:r>
      <w:r>
        <w:rPr>
          <w:rFonts w:hint="eastAsia" w:ascii="宋体" w:hAnsi="宋体"/>
          <w:color w:val="auto"/>
          <w:kern w:val="0"/>
          <w:sz w:val="28"/>
          <w:szCs w:val="28"/>
          <w:highlight w:val="none"/>
          <w:u w:val="single"/>
        </w:rPr>
        <w:t xml:space="preserve">      </w:t>
      </w:r>
      <w:r>
        <w:rPr>
          <w:rFonts w:hint="eastAsia" w:ascii="宋体" w:hAnsi="宋体"/>
          <w:color w:val="auto"/>
          <w:kern w:val="0"/>
          <w:sz w:val="28"/>
          <w:szCs w:val="28"/>
          <w:highlight w:val="none"/>
        </w:rPr>
        <w:t>年</w:t>
      </w:r>
      <w:r>
        <w:rPr>
          <w:rFonts w:hint="eastAsia" w:ascii="宋体" w:hAnsi="宋体"/>
          <w:color w:val="auto"/>
          <w:kern w:val="0"/>
          <w:sz w:val="28"/>
          <w:szCs w:val="28"/>
          <w:highlight w:val="none"/>
          <w:u w:val="single"/>
        </w:rPr>
        <w:t xml:space="preserve">      </w:t>
      </w:r>
      <w:r>
        <w:rPr>
          <w:rFonts w:hint="eastAsia" w:ascii="宋体" w:hAnsi="宋体"/>
          <w:color w:val="auto"/>
          <w:kern w:val="0"/>
          <w:sz w:val="28"/>
          <w:szCs w:val="28"/>
          <w:highlight w:val="none"/>
        </w:rPr>
        <w:t>月</w:t>
      </w:r>
      <w:r>
        <w:rPr>
          <w:rFonts w:hint="eastAsia" w:ascii="宋体" w:hAnsi="宋体"/>
          <w:color w:val="auto"/>
          <w:kern w:val="0"/>
          <w:sz w:val="28"/>
          <w:szCs w:val="28"/>
          <w:highlight w:val="none"/>
          <w:u w:val="single"/>
        </w:rPr>
        <w:t xml:space="preserve">     </w:t>
      </w:r>
      <w:r>
        <w:rPr>
          <w:rFonts w:hint="eastAsia" w:ascii="宋体" w:hAnsi="宋体"/>
          <w:color w:val="auto"/>
          <w:kern w:val="0"/>
          <w:sz w:val="28"/>
          <w:szCs w:val="28"/>
          <w:highlight w:val="none"/>
        </w:rPr>
        <w:t>日</w:t>
      </w:r>
      <w:bookmarkStart w:id="22" w:name="_Toc171073043"/>
      <w:bookmarkEnd w:id="22"/>
      <w:bookmarkStart w:id="23" w:name="_Toc223432388"/>
      <w:bookmarkEnd w:id="23"/>
      <w:bookmarkStart w:id="24" w:name="_Toc171073208"/>
      <w:bookmarkEnd w:id="24"/>
    </w:p>
    <w:p w14:paraId="30CC89E4">
      <w:pPr>
        <w:widowControl/>
        <w:rPr>
          <w:rFonts w:ascii="宋体" w:hAnsi="宋体"/>
          <w:b/>
          <w:bCs/>
          <w:color w:val="auto"/>
          <w:kern w:val="0"/>
          <w:sz w:val="24"/>
          <w:szCs w:val="24"/>
          <w:highlight w:val="none"/>
        </w:rPr>
      </w:pPr>
      <w:bookmarkStart w:id="25" w:name="_Toc223432389"/>
      <w:bookmarkEnd w:id="25"/>
      <w:bookmarkStart w:id="26" w:name="_Toc171073044"/>
      <w:bookmarkEnd w:id="26"/>
      <w:bookmarkStart w:id="27" w:name="_Toc169921409"/>
      <w:bookmarkEnd w:id="27"/>
      <w:bookmarkStart w:id="28" w:name="_Toc171073209"/>
      <w:bookmarkEnd w:id="28"/>
      <w:r>
        <w:rPr>
          <w:rFonts w:hint="eastAsia" w:ascii="宋体" w:hAnsi="宋体"/>
          <w:b/>
          <w:bCs/>
          <w:color w:val="auto"/>
          <w:kern w:val="0"/>
          <w:sz w:val="24"/>
          <w:szCs w:val="24"/>
          <w:highlight w:val="none"/>
        </w:rPr>
        <w:t xml:space="preserve"> </w:t>
      </w:r>
    </w:p>
    <w:p w14:paraId="4769731E">
      <w:pPr>
        <w:widowControl/>
        <w:ind w:firstLine="420"/>
        <w:jc w:val="center"/>
        <w:rPr>
          <w:rFonts w:ascii="宋体" w:hAnsi="宋体"/>
          <w:b/>
          <w:bCs/>
          <w:color w:val="auto"/>
          <w:kern w:val="0"/>
          <w:sz w:val="32"/>
          <w:szCs w:val="32"/>
          <w:highlight w:val="none"/>
        </w:rPr>
      </w:pPr>
    </w:p>
    <w:p w14:paraId="29A68739">
      <w:pPr>
        <w:widowControl/>
        <w:ind w:firstLine="420"/>
        <w:jc w:val="center"/>
        <w:rPr>
          <w:rFonts w:ascii="宋体" w:hAnsi="宋体"/>
          <w:b/>
          <w:bCs/>
          <w:color w:val="auto"/>
          <w:kern w:val="0"/>
          <w:sz w:val="32"/>
          <w:szCs w:val="32"/>
          <w:highlight w:val="none"/>
        </w:rPr>
      </w:pPr>
    </w:p>
    <w:p w14:paraId="1E6C085D">
      <w:pPr>
        <w:widowControl/>
        <w:ind w:firstLine="420"/>
        <w:jc w:val="center"/>
        <w:rPr>
          <w:rFonts w:ascii="宋体" w:hAnsi="宋体"/>
          <w:b/>
          <w:bCs/>
          <w:color w:val="auto"/>
          <w:kern w:val="0"/>
          <w:sz w:val="32"/>
          <w:szCs w:val="32"/>
          <w:highlight w:val="none"/>
        </w:rPr>
      </w:pPr>
      <w:bookmarkStart w:id="29" w:name="_Toc29220"/>
    </w:p>
    <w:p w14:paraId="53717009">
      <w:pPr>
        <w:widowControl/>
        <w:ind w:firstLine="420"/>
        <w:jc w:val="center"/>
        <w:rPr>
          <w:rFonts w:ascii="宋体" w:hAnsi="宋体"/>
          <w:b/>
          <w:bCs/>
          <w:color w:val="auto"/>
          <w:kern w:val="0"/>
          <w:sz w:val="32"/>
          <w:szCs w:val="32"/>
          <w:highlight w:val="none"/>
        </w:rPr>
      </w:pPr>
    </w:p>
    <w:p w14:paraId="4B9D851B">
      <w:pPr>
        <w:widowControl/>
        <w:ind w:firstLine="420"/>
        <w:jc w:val="center"/>
        <w:rPr>
          <w:rFonts w:ascii="宋体" w:hAnsi="宋体"/>
          <w:b/>
          <w:bCs/>
          <w:color w:val="auto"/>
          <w:kern w:val="0"/>
          <w:sz w:val="32"/>
          <w:szCs w:val="32"/>
          <w:highlight w:val="none"/>
        </w:rPr>
      </w:pPr>
    </w:p>
    <w:p w14:paraId="1CA5226C">
      <w:pPr>
        <w:widowControl/>
        <w:ind w:firstLine="420"/>
        <w:jc w:val="center"/>
        <w:rPr>
          <w:rFonts w:ascii="宋体" w:hAnsi="宋体"/>
          <w:b/>
          <w:bCs/>
          <w:color w:val="auto"/>
          <w:kern w:val="0"/>
          <w:sz w:val="32"/>
          <w:szCs w:val="32"/>
          <w:highlight w:val="none"/>
        </w:rPr>
      </w:pPr>
    </w:p>
    <w:p w14:paraId="1AEA260A">
      <w:pPr>
        <w:widowControl/>
        <w:ind w:firstLine="420"/>
        <w:jc w:val="center"/>
        <w:rPr>
          <w:rFonts w:ascii="宋体" w:hAnsi="宋体"/>
          <w:b/>
          <w:bCs/>
          <w:color w:val="auto"/>
          <w:kern w:val="0"/>
          <w:sz w:val="24"/>
          <w:szCs w:val="24"/>
          <w:highlight w:val="none"/>
        </w:rPr>
      </w:pPr>
      <w:r>
        <w:rPr>
          <w:rFonts w:hint="eastAsia" w:ascii="宋体" w:hAnsi="宋体"/>
          <w:b/>
          <w:bCs/>
          <w:color w:val="auto"/>
          <w:kern w:val="0"/>
          <w:sz w:val="24"/>
          <w:szCs w:val="24"/>
          <w:highlight w:val="none"/>
        </w:rPr>
        <w:t>一、投标函及投标函附表</w:t>
      </w:r>
      <w:bookmarkEnd w:id="29"/>
    </w:p>
    <w:p w14:paraId="7691BAFE">
      <w:pPr>
        <w:widowControl/>
        <w:ind w:firstLine="420"/>
        <w:jc w:val="center"/>
        <w:rPr>
          <w:rFonts w:ascii="宋体" w:hAnsi="宋体"/>
          <w:b/>
          <w:bCs/>
          <w:color w:val="auto"/>
          <w:kern w:val="0"/>
          <w:sz w:val="24"/>
          <w:szCs w:val="24"/>
          <w:highlight w:val="none"/>
        </w:rPr>
      </w:pPr>
      <w:r>
        <w:rPr>
          <w:rFonts w:hint="eastAsia" w:ascii="宋体" w:hAnsi="宋体"/>
          <w:b/>
          <w:bCs/>
          <w:color w:val="auto"/>
          <w:kern w:val="0"/>
          <w:sz w:val="24"/>
          <w:szCs w:val="24"/>
          <w:highlight w:val="none"/>
        </w:rPr>
        <w:t>（一）投标函</w:t>
      </w:r>
    </w:p>
    <w:p w14:paraId="147934B7">
      <w:pPr>
        <w:widowControl/>
        <w:spacing w:line="500" w:lineRule="exact"/>
        <w:jc w:val="left"/>
        <w:rPr>
          <w:rFonts w:ascii="宋体" w:hAnsi="宋体"/>
          <w:color w:val="auto"/>
          <w:kern w:val="0"/>
          <w:sz w:val="24"/>
          <w:szCs w:val="24"/>
          <w:highlight w:val="none"/>
        </w:rPr>
      </w:pPr>
      <w:bookmarkStart w:id="30" w:name="OLE_LINK7"/>
      <w:r>
        <w:rPr>
          <w:rFonts w:hint="eastAsia" w:ascii="宋体" w:hAnsi="宋体"/>
          <w:color w:val="auto"/>
          <w:spacing w:val="46"/>
          <w:kern w:val="0"/>
          <w:sz w:val="24"/>
          <w:szCs w:val="24"/>
          <w:highlight w:val="none"/>
        </w:rPr>
        <w:t>致</w:t>
      </w:r>
      <w:bookmarkEnd w:id="30"/>
      <w:r>
        <w:rPr>
          <w:rFonts w:hint="eastAsia" w:ascii="宋体" w:hAnsi="宋体"/>
          <w:color w:val="auto"/>
          <w:spacing w:val="46"/>
          <w:kern w:val="0"/>
          <w:sz w:val="24"/>
          <w:szCs w:val="24"/>
          <w:highlight w:val="none"/>
          <w:u w:val="single"/>
        </w:rPr>
        <w:t xml:space="preserve"> （采购人） </w:t>
      </w:r>
      <w:r>
        <w:rPr>
          <w:rFonts w:hint="eastAsia" w:ascii="宋体" w:hAnsi="宋体"/>
          <w:color w:val="auto"/>
          <w:spacing w:val="46"/>
          <w:kern w:val="0"/>
          <w:sz w:val="24"/>
          <w:szCs w:val="24"/>
          <w:highlight w:val="none"/>
        </w:rPr>
        <w:t>：</w:t>
      </w:r>
    </w:p>
    <w:p w14:paraId="4680CB84">
      <w:pPr>
        <w:widowControl/>
        <w:spacing w:line="500" w:lineRule="exact"/>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根据已收到贵方</w:t>
      </w:r>
      <w:r>
        <w:rPr>
          <w:rFonts w:hint="eastAsia" w:ascii="宋体" w:hAnsi="宋体"/>
          <w:color w:val="auto"/>
          <w:kern w:val="0"/>
          <w:sz w:val="24"/>
          <w:szCs w:val="24"/>
          <w:highlight w:val="none"/>
          <w:u w:val="single"/>
        </w:rPr>
        <w:t xml:space="preserve">         </w:t>
      </w:r>
      <w:r>
        <w:rPr>
          <w:rFonts w:hint="eastAsia" w:ascii="宋体" w:hAnsi="宋体"/>
          <w:color w:val="auto"/>
          <w:kern w:val="0"/>
          <w:sz w:val="24"/>
          <w:szCs w:val="24"/>
          <w:highlight w:val="none"/>
        </w:rPr>
        <w:t>（项目名称）的招标文件，遵照《中华人民共和国政府采购法》等有关规定，我单位经考察现场和研究上述招标文件及其它有关文件后，我方愿</w:t>
      </w:r>
      <w:r>
        <w:rPr>
          <w:rFonts w:hint="eastAsia" w:ascii="宋体" w:hAnsi="宋体" w:cs="宋体"/>
          <w:color w:val="auto"/>
          <w:kern w:val="0"/>
          <w:sz w:val="24"/>
          <w:szCs w:val="24"/>
          <w:highlight w:val="none"/>
          <w:lang w:val="en-US" w:eastAsia="zh-CN"/>
        </w:rPr>
        <w:t>以工程竣工审计结算金额*</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none"/>
          <w:lang w:val="en-US" w:eastAsia="zh-CN"/>
        </w:rPr>
        <w:t>为投标报价</w:t>
      </w:r>
      <w:r>
        <w:rPr>
          <w:rFonts w:hint="eastAsia" w:ascii="宋体" w:hAnsi="宋体"/>
          <w:color w:val="auto"/>
          <w:kern w:val="0"/>
          <w:sz w:val="24"/>
          <w:szCs w:val="24"/>
          <w:highlight w:val="none"/>
        </w:rPr>
        <w:t>，承包上述项目的采购。</w:t>
      </w:r>
    </w:p>
    <w:p w14:paraId="779A6152">
      <w:pPr>
        <w:widowControl/>
        <w:spacing w:line="500" w:lineRule="exact"/>
        <w:ind w:firstLine="480" w:firstLineChars="200"/>
        <w:jc w:val="left"/>
        <w:rPr>
          <w:rFonts w:ascii="宋体" w:hAnsi="宋体"/>
          <w:color w:val="auto"/>
          <w:kern w:val="0"/>
          <w:sz w:val="24"/>
          <w:szCs w:val="24"/>
          <w:highlight w:val="none"/>
        </w:rPr>
      </w:pPr>
      <w:r>
        <w:rPr>
          <w:rFonts w:ascii="宋体" w:hAnsi="宋体"/>
          <w:color w:val="auto"/>
          <w:kern w:val="0"/>
          <w:sz w:val="24"/>
          <w:szCs w:val="24"/>
          <w:highlight w:val="none"/>
        </w:rPr>
        <w:t>1、</w:t>
      </w:r>
      <w:r>
        <w:rPr>
          <w:rFonts w:hint="eastAsia" w:ascii="宋体" w:hAnsi="宋体"/>
          <w:color w:val="auto"/>
          <w:kern w:val="0"/>
          <w:sz w:val="24"/>
          <w:szCs w:val="24"/>
          <w:highlight w:val="none"/>
        </w:rPr>
        <w:t>我方已详细审阅全部招标文件，包括修改文件（如果有的话），及有关附件，我方完全知道必须放弃提出含糊不清或误解的权力。</w:t>
      </w:r>
    </w:p>
    <w:p w14:paraId="35C43DFD">
      <w:pPr>
        <w:widowControl/>
        <w:spacing w:line="500" w:lineRule="exact"/>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2</w:t>
      </w:r>
      <w:r>
        <w:rPr>
          <w:rFonts w:ascii="宋体" w:hAnsi="宋体"/>
          <w:color w:val="auto"/>
          <w:kern w:val="0"/>
          <w:sz w:val="24"/>
          <w:szCs w:val="24"/>
          <w:highlight w:val="none"/>
        </w:rPr>
        <w:t>、</w:t>
      </w:r>
      <w:r>
        <w:rPr>
          <w:rFonts w:hint="eastAsia" w:ascii="宋体" w:hAnsi="宋体"/>
          <w:color w:val="auto"/>
          <w:kern w:val="0"/>
          <w:sz w:val="24"/>
          <w:szCs w:val="24"/>
          <w:highlight w:val="none"/>
        </w:rPr>
        <w:t>一旦我方中标，我们将按照招标文件中规定的各项要求和我们的投标文件中的表述和承诺，按期、按质、按量完成中标义务。</w:t>
      </w:r>
    </w:p>
    <w:p w14:paraId="45EA059F">
      <w:pPr>
        <w:widowControl/>
        <w:spacing w:line="500" w:lineRule="exact"/>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3</w:t>
      </w:r>
      <w:r>
        <w:rPr>
          <w:rFonts w:ascii="宋体" w:hAnsi="宋体"/>
          <w:color w:val="auto"/>
          <w:kern w:val="0"/>
          <w:sz w:val="24"/>
          <w:szCs w:val="24"/>
          <w:highlight w:val="none"/>
        </w:rPr>
        <w:t>、</w:t>
      </w:r>
      <w:r>
        <w:rPr>
          <w:rFonts w:hint="eastAsia" w:ascii="宋体" w:hAnsi="宋体"/>
          <w:color w:val="auto"/>
          <w:kern w:val="0"/>
          <w:sz w:val="24"/>
          <w:szCs w:val="24"/>
          <w:highlight w:val="none"/>
        </w:rPr>
        <w:t>我方愿在中标后向采购代理机构交纳招标代理费以及相关费用。</w:t>
      </w:r>
    </w:p>
    <w:p w14:paraId="5D2C1463">
      <w:pPr>
        <w:widowControl/>
        <w:spacing w:line="500" w:lineRule="exact"/>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4</w:t>
      </w:r>
      <w:r>
        <w:rPr>
          <w:rFonts w:ascii="宋体" w:hAnsi="宋体"/>
          <w:color w:val="auto"/>
          <w:kern w:val="0"/>
          <w:sz w:val="24"/>
          <w:szCs w:val="24"/>
          <w:highlight w:val="none"/>
        </w:rPr>
        <w:t>、</w:t>
      </w:r>
      <w:r>
        <w:rPr>
          <w:rFonts w:hint="eastAsia" w:ascii="宋体" w:hAnsi="宋体"/>
          <w:color w:val="auto"/>
          <w:kern w:val="0"/>
          <w:sz w:val="24"/>
          <w:szCs w:val="24"/>
          <w:highlight w:val="none"/>
        </w:rPr>
        <w:t>我方同意所递交的投标文件在规定的投标有效期</w:t>
      </w:r>
      <w:r>
        <w:rPr>
          <w:rFonts w:hint="eastAsia" w:ascii="宋体" w:hAnsi="宋体"/>
          <w:color w:val="auto"/>
          <w:kern w:val="0"/>
          <w:sz w:val="24"/>
          <w:szCs w:val="24"/>
          <w:highlight w:val="none"/>
          <w:u w:val="single"/>
        </w:rPr>
        <w:t xml:space="preserve">       </w:t>
      </w:r>
      <w:r>
        <w:rPr>
          <w:rFonts w:hint="eastAsia" w:ascii="宋体" w:hAnsi="宋体"/>
          <w:color w:val="auto"/>
          <w:kern w:val="0"/>
          <w:sz w:val="24"/>
          <w:szCs w:val="24"/>
          <w:highlight w:val="none"/>
        </w:rPr>
        <w:t>日历天内有效，在此期间我方投标有可能中标，我方将受此约束。</w:t>
      </w:r>
    </w:p>
    <w:p w14:paraId="140ADE63">
      <w:pPr>
        <w:widowControl/>
        <w:spacing w:line="500" w:lineRule="exact"/>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5、除非另外达成协议并生效，贵方的中标通知书和本投标文件将构成约束我们双方的合同。</w:t>
      </w:r>
    </w:p>
    <w:p w14:paraId="2DEAA6E2">
      <w:pPr>
        <w:widowControl/>
        <w:spacing w:line="500" w:lineRule="exact"/>
        <w:ind w:firstLine="480" w:firstLineChars="200"/>
        <w:jc w:val="left"/>
        <w:rPr>
          <w:rFonts w:ascii="宋体" w:hAnsi="宋体"/>
          <w:color w:val="auto"/>
          <w:kern w:val="0"/>
          <w:sz w:val="24"/>
          <w:szCs w:val="24"/>
          <w:highlight w:val="none"/>
        </w:rPr>
      </w:pPr>
    </w:p>
    <w:p w14:paraId="511E676F">
      <w:pPr>
        <w:widowControl/>
        <w:spacing w:line="500" w:lineRule="exact"/>
        <w:ind w:firstLine="480" w:firstLineChars="200"/>
        <w:jc w:val="right"/>
        <w:rPr>
          <w:rFonts w:ascii="宋体" w:hAnsi="宋体"/>
          <w:color w:val="auto"/>
          <w:kern w:val="0"/>
          <w:sz w:val="24"/>
          <w:szCs w:val="24"/>
          <w:highlight w:val="none"/>
        </w:rPr>
      </w:pPr>
      <w:r>
        <w:rPr>
          <w:rFonts w:hint="eastAsia" w:ascii="宋体" w:hAnsi="宋体"/>
          <w:color w:val="auto"/>
          <w:kern w:val="0"/>
          <w:sz w:val="24"/>
          <w:szCs w:val="24"/>
          <w:highlight w:val="none"/>
        </w:rPr>
        <w:t>投标供应商：</w:t>
      </w:r>
      <w:r>
        <w:rPr>
          <w:rFonts w:hint="eastAsia" w:ascii="宋体" w:hAnsi="宋体"/>
          <w:color w:val="auto"/>
          <w:kern w:val="0"/>
          <w:sz w:val="24"/>
          <w:szCs w:val="24"/>
          <w:highlight w:val="none"/>
          <w:u w:val="single"/>
        </w:rPr>
        <w:t xml:space="preserve">        </w:t>
      </w:r>
      <w:r>
        <w:rPr>
          <w:rFonts w:hint="eastAsia" w:ascii="宋体" w:hAnsi="宋体"/>
          <w:color w:val="auto"/>
          <w:kern w:val="0"/>
          <w:sz w:val="24"/>
          <w:szCs w:val="24"/>
          <w:highlight w:val="none"/>
        </w:rPr>
        <w:t>（电子签章）</w:t>
      </w:r>
    </w:p>
    <w:p w14:paraId="6A9D2A59">
      <w:pPr>
        <w:widowControl/>
        <w:spacing w:line="500" w:lineRule="exact"/>
        <w:ind w:firstLine="480" w:firstLineChars="200"/>
        <w:jc w:val="right"/>
        <w:rPr>
          <w:rFonts w:ascii="宋体" w:hAnsi="宋体"/>
          <w:color w:val="auto"/>
          <w:kern w:val="0"/>
          <w:sz w:val="24"/>
          <w:szCs w:val="24"/>
          <w:highlight w:val="none"/>
        </w:rPr>
      </w:pPr>
      <w:r>
        <w:rPr>
          <w:rFonts w:hint="eastAsia" w:ascii="宋体" w:hAnsi="宋体"/>
          <w:color w:val="auto"/>
          <w:kern w:val="0"/>
          <w:sz w:val="24"/>
          <w:szCs w:val="24"/>
          <w:highlight w:val="none"/>
        </w:rPr>
        <w:t>法定代表人：</w:t>
      </w:r>
      <w:r>
        <w:rPr>
          <w:rFonts w:hint="eastAsia" w:ascii="宋体" w:hAnsi="宋体"/>
          <w:color w:val="auto"/>
          <w:kern w:val="0"/>
          <w:sz w:val="24"/>
          <w:szCs w:val="24"/>
          <w:highlight w:val="none"/>
          <w:u w:val="single"/>
        </w:rPr>
        <w:t xml:space="preserve">        </w:t>
      </w:r>
      <w:r>
        <w:rPr>
          <w:rFonts w:hint="eastAsia" w:ascii="宋体" w:hAnsi="宋体"/>
          <w:color w:val="auto"/>
          <w:kern w:val="0"/>
          <w:sz w:val="24"/>
          <w:szCs w:val="24"/>
          <w:highlight w:val="none"/>
        </w:rPr>
        <w:t>（电子签章）</w:t>
      </w:r>
    </w:p>
    <w:p w14:paraId="38045720">
      <w:pPr>
        <w:widowControl/>
        <w:spacing w:line="500" w:lineRule="exact"/>
        <w:ind w:firstLine="480" w:firstLineChars="200"/>
        <w:jc w:val="right"/>
        <w:rPr>
          <w:rFonts w:ascii="宋体" w:hAnsi="宋体"/>
          <w:color w:val="auto"/>
          <w:kern w:val="0"/>
          <w:sz w:val="24"/>
          <w:szCs w:val="24"/>
          <w:highlight w:val="none"/>
        </w:rPr>
        <w:sectPr>
          <w:footerReference r:id="rId3" w:type="default"/>
          <w:pgSz w:w="11906" w:h="16838"/>
          <w:pgMar w:top="1440" w:right="1797" w:bottom="1440" w:left="1797" w:header="851" w:footer="992" w:gutter="0"/>
          <w:pgNumType w:fmt="decimal" w:start="1"/>
          <w:cols w:space="720" w:num="1"/>
          <w:docGrid w:linePitch="312" w:charSpace="0"/>
        </w:sectPr>
      </w:pPr>
      <w:r>
        <w:rPr>
          <w:rFonts w:hint="eastAsia" w:ascii="宋体" w:hAnsi="宋体"/>
          <w:color w:val="auto"/>
          <w:kern w:val="0"/>
          <w:sz w:val="24"/>
          <w:szCs w:val="24"/>
          <w:highlight w:val="none"/>
        </w:rPr>
        <w:t>日 期：</w:t>
      </w:r>
      <w:r>
        <w:rPr>
          <w:rFonts w:hint="eastAsia" w:ascii="宋体" w:hAnsi="宋体"/>
          <w:color w:val="auto"/>
          <w:kern w:val="0"/>
          <w:sz w:val="24"/>
          <w:szCs w:val="24"/>
          <w:highlight w:val="none"/>
          <w:u w:val="single"/>
        </w:rPr>
        <w:t xml:space="preserve">    </w:t>
      </w:r>
      <w:r>
        <w:rPr>
          <w:rFonts w:hint="eastAsia" w:ascii="宋体" w:hAnsi="宋体"/>
          <w:color w:val="auto"/>
          <w:kern w:val="0"/>
          <w:sz w:val="24"/>
          <w:szCs w:val="24"/>
          <w:highlight w:val="none"/>
        </w:rPr>
        <w:t>年</w:t>
      </w:r>
      <w:r>
        <w:rPr>
          <w:rFonts w:hint="eastAsia" w:ascii="宋体" w:hAnsi="宋体"/>
          <w:color w:val="auto"/>
          <w:kern w:val="0"/>
          <w:sz w:val="24"/>
          <w:szCs w:val="24"/>
          <w:highlight w:val="none"/>
          <w:u w:val="single"/>
        </w:rPr>
        <w:t xml:space="preserve">   </w:t>
      </w:r>
      <w:r>
        <w:rPr>
          <w:rFonts w:hint="eastAsia" w:ascii="宋体" w:hAnsi="宋体"/>
          <w:color w:val="auto"/>
          <w:kern w:val="0"/>
          <w:sz w:val="24"/>
          <w:szCs w:val="24"/>
          <w:highlight w:val="none"/>
        </w:rPr>
        <w:t>月</w:t>
      </w:r>
      <w:r>
        <w:rPr>
          <w:rFonts w:hint="eastAsia" w:ascii="宋体" w:hAnsi="宋体"/>
          <w:color w:val="auto"/>
          <w:kern w:val="0"/>
          <w:sz w:val="24"/>
          <w:szCs w:val="24"/>
          <w:highlight w:val="none"/>
          <w:u w:val="single"/>
        </w:rPr>
        <w:t xml:space="preserve">   </w:t>
      </w:r>
      <w:r>
        <w:rPr>
          <w:rFonts w:hint="eastAsia" w:ascii="宋体" w:hAnsi="宋体"/>
          <w:color w:val="auto"/>
          <w:kern w:val="0"/>
          <w:sz w:val="24"/>
          <w:szCs w:val="24"/>
          <w:highlight w:val="none"/>
        </w:rPr>
        <w:t>日</w:t>
      </w:r>
    </w:p>
    <w:p w14:paraId="33A9ED2A">
      <w:pPr>
        <w:widowControl/>
        <w:numPr>
          <w:ilvl w:val="0"/>
          <w:numId w:val="2"/>
        </w:numPr>
        <w:jc w:val="center"/>
        <w:rPr>
          <w:rFonts w:ascii="宋体" w:hAnsi="宋体"/>
          <w:b/>
          <w:bCs/>
          <w:color w:val="auto"/>
          <w:kern w:val="0"/>
          <w:sz w:val="24"/>
          <w:szCs w:val="24"/>
          <w:highlight w:val="none"/>
        </w:rPr>
      </w:pPr>
      <w:r>
        <w:rPr>
          <w:rFonts w:hint="eastAsia" w:ascii="宋体" w:hAnsi="宋体"/>
          <w:b/>
          <w:bCs/>
          <w:color w:val="auto"/>
          <w:kern w:val="0"/>
          <w:sz w:val="24"/>
          <w:szCs w:val="24"/>
          <w:highlight w:val="none"/>
        </w:rPr>
        <w:t>投标函附录</w:t>
      </w:r>
    </w:p>
    <w:tbl>
      <w:tblPr>
        <w:tblStyle w:val="14"/>
        <w:tblW w:w="8865" w:type="dxa"/>
        <w:jc w:val="center"/>
        <w:tblLayout w:type="fixed"/>
        <w:tblCellMar>
          <w:top w:w="0" w:type="dxa"/>
          <w:left w:w="0" w:type="dxa"/>
          <w:bottom w:w="0" w:type="dxa"/>
          <w:right w:w="0" w:type="dxa"/>
        </w:tblCellMar>
      </w:tblPr>
      <w:tblGrid>
        <w:gridCol w:w="2265"/>
        <w:gridCol w:w="1968"/>
        <w:gridCol w:w="1663"/>
        <w:gridCol w:w="2969"/>
      </w:tblGrid>
      <w:tr w14:paraId="1FD84A74">
        <w:tblPrEx>
          <w:tblCellMar>
            <w:top w:w="0" w:type="dxa"/>
            <w:left w:w="0" w:type="dxa"/>
            <w:bottom w:w="0" w:type="dxa"/>
            <w:right w:w="0" w:type="dxa"/>
          </w:tblCellMar>
        </w:tblPrEx>
        <w:trPr>
          <w:trHeight w:val="869" w:hRule="atLeast"/>
          <w:jc w:val="center"/>
        </w:trPr>
        <w:tc>
          <w:tcPr>
            <w:tcW w:w="2265" w:type="dxa"/>
            <w:tcBorders>
              <w:top w:val="single" w:color="auto" w:sz="4" w:space="0"/>
              <w:left w:val="single" w:color="auto" w:sz="4" w:space="0"/>
              <w:bottom w:val="single" w:color="000000" w:sz="4" w:space="0"/>
              <w:right w:val="single" w:color="auto" w:sz="4" w:space="0"/>
            </w:tcBorders>
            <w:vAlign w:val="center"/>
          </w:tcPr>
          <w:p w14:paraId="0FF7AFED">
            <w:pPr>
              <w:autoSpaceDE w:val="0"/>
              <w:autoSpaceDN w:val="0"/>
              <w:spacing w:line="500" w:lineRule="exact"/>
              <w:jc w:val="center"/>
              <w:rPr>
                <w:rFonts w:ascii="宋体" w:hAnsi="宋体" w:cs="宋体"/>
                <w:color w:val="auto"/>
                <w:kern w:val="0"/>
                <w:sz w:val="24"/>
                <w:szCs w:val="24"/>
                <w:highlight w:val="none"/>
              </w:rPr>
            </w:pPr>
            <w:bookmarkStart w:id="31" w:name="_Toc365647229"/>
            <w:r>
              <w:rPr>
                <w:rFonts w:hint="eastAsia" w:ascii="宋体" w:hAnsi="宋体" w:cs="宋体"/>
                <w:color w:val="auto"/>
                <w:kern w:val="0"/>
                <w:sz w:val="24"/>
                <w:szCs w:val="24"/>
                <w:highlight w:val="none"/>
              </w:rPr>
              <w:t>项目名称</w:t>
            </w:r>
            <w:bookmarkEnd w:id="31"/>
          </w:p>
        </w:tc>
        <w:tc>
          <w:tcPr>
            <w:tcW w:w="6600" w:type="dxa"/>
            <w:gridSpan w:val="3"/>
            <w:tcBorders>
              <w:top w:val="single" w:color="auto" w:sz="4" w:space="0"/>
              <w:left w:val="nil"/>
              <w:bottom w:val="single" w:color="000000" w:sz="4" w:space="0"/>
              <w:right w:val="single" w:color="auto" w:sz="4" w:space="0"/>
            </w:tcBorders>
            <w:vAlign w:val="center"/>
          </w:tcPr>
          <w:p w14:paraId="23C2FC5E">
            <w:pPr>
              <w:autoSpaceDE w:val="0"/>
              <w:autoSpaceDN w:val="0"/>
              <w:spacing w:line="500" w:lineRule="exact"/>
              <w:jc w:val="center"/>
              <w:rPr>
                <w:rFonts w:ascii="宋体" w:hAnsi="宋体" w:cs="宋体"/>
                <w:color w:val="auto"/>
                <w:kern w:val="0"/>
                <w:sz w:val="24"/>
                <w:szCs w:val="24"/>
                <w:highlight w:val="none"/>
              </w:rPr>
            </w:pPr>
          </w:p>
        </w:tc>
      </w:tr>
      <w:tr w14:paraId="21ECF110">
        <w:tblPrEx>
          <w:tblCellMar>
            <w:top w:w="0" w:type="dxa"/>
            <w:left w:w="0" w:type="dxa"/>
            <w:bottom w:w="0" w:type="dxa"/>
            <w:right w:w="0" w:type="dxa"/>
          </w:tblCellMar>
        </w:tblPrEx>
        <w:trPr>
          <w:trHeight w:val="899" w:hRule="atLeast"/>
          <w:jc w:val="center"/>
        </w:trPr>
        <w:tc>
          <w:tcPr>
            <w:tcW w:w="2265" w:type="dxa"/>
            <w:tcBorders>
              <w:top w:val="single" w:color="000000" w:sz="4" w:space="0"/>
              <w:left w:val="single" w:color="000000" w:sz="4" w:space="0"/>
              <w:bottom w:val="single" w:color="000000" w:sz="4" w:space="0"/>
              <w:right w:val="single" w:color="000000" w:sz="4" w:space="0"/>
            </w:tcBorders>
            <w:vAlign w:val="center"/>
          </w:tcPr>
          <w:p w14:paraId="4A0B57F4">
            <w:pPr>
              <w:autoSpaceDE w:val="0"/>
              <w:autoSpaceDN w:val="0"/>
              <w:spacing w:line="5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投标供应商名称</w:t>
            </w:r>
          </w:p>
        </w:tc>
        <w:tc>
          <w:tcPr>
            <w:tcW w:w="6600" w:type="dxa"/>
            <w:gridSpan w:val="3"/>
            <w:tcBorders>
              <w:top w:val="single" w:color="000000" w:sz="4" w:space="0"/>
              <w:left w:val="single" w:color="000000" w:sz="4" w:space="0"/>
              <w:bottom w:val="single" w:color="000000" w:sz="4" w:space="0"/>
              <w:right w:val="single" w:color="000000" w:sz="4" w:space="0"/>
            </w:tcBorders>
            <w:vAlign w:val="center"/>
          </w:tcPr>
          <w:p w14:paraId="5919BE68">
            <w:pPr>
              <w:autoSpaceDE w:val="0"/>
              <w:autoSpaceDN w:val="0"/>
              <w:spacing w:line="500" w:lineRule="exact"/>
              <w:jc w:val="center"/>
              <w:rPr>
                <w:rFonts w:ascii="宋体" w:hAnsi="宋体" w:cs="宋体"/>
                <w:color w:val="auto"/>
                <w:kern w:val="0"/>
                <w:sz w:val="24"/>
                <w:szCs w:val="24"/>
                <w:highlight w:val="none"/>
              </w:rPr>
            </w:pPr>
          </w:p>
        </w:tc>
      </w:tr>
      <w:tr w14:paraId="7874B259">
        <w:tblPrEx>
          <w:tblCellMar>
            <w:top w:w="0" w:type="dxa"/>
            <w:left w:w="0" w:type="dxa"/>
            <w:bottom w:w="0" w:type="dxa"/>
            <w:right w:w="0" w:type="dxa"/>
          </w:tblCellMar>
        </w:tblPrEx>
        <w:trPr>
          <w:trHeight w:val="899" w:hRule="atLeast"/>
          <w:jc w:val="center"/>
        </w:trPr>
        <w:tc>
          <w:tcPr>
            <w:tcW w:w="2265" w:type="dxa"/>
            <w:tcBorders>
              <w:top w:val="single" w:color="000000" w:sz="4" w:space="0"/>
              <w:left w:val="single" w:color="000000" w:sz="4" w:space="0"/>
              <w:bottom w:val="single" w:color="000000" w:sz="4" w:space="0"/>
              <w:right w:val="single" w:color="000000" w:sz="4" w:space="0"/>
            </w:tcBorders>
            <w:vAlign w:val="center"/>
          </w:tcPr>
          <w:p w14:paraId="2CDA2FA4">
            <w:pPr>
              <w:autoSpaceDE w:val="0"/>
              <w:autoSpaceDN w:val="0"/>
              <w:spacing w:line="5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企业统一社会</w:t>
            </w:r>
          </w:p>
          <w:p w14:paraId="7EBD350F">
            <w:pPr>
              <w:autoSpaceDE w:val="0"/>
              <w:autoSpaceDN w:val="0"/>
              <w:spacing w:line="5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信用代码</w:t>
            </w:r>
          </w:p>
        </w:tc>
        <w:tc>
          <w:tcPr>
            <w:tcW w:w="6600" w:type="dxa"/>
            <w:gridSpan w:val="3"/>
            <w:tcBorders>
              <w:top w:val="single" w:color="000000" w:sz="4" w:space="0"/>
              <w:left w:val="single" w:color="000000" w:sz="4" w:space="0"/>
              <w:bottom w:val="single" w:color="000000" w:sz="4" w:space="0"/>
              <w:right w:val="single" w:color="000000" w:sz="4" w:space="0"/>
            </w:tcBorders>
            <w:vAlign w:val="center"/>
          </w:tcPr>
          <w:p w14:paraId="10E5B5B6">
            <w:pPr>
              <w:autoSpaceDE w:val="0"/>
              <w:autoSpaceDN w:val="0"/>
              <w:spacing w:line="500" w:lineRule="exact"/>
              <w:jc w:val="center"/>
              <w:rPr>
                <w:rFonts w:ascii="宋体" w:hAnsi="宋体" w:cs="宋体"/>
                <w:color w:val="auto"/>
                <w:kern w:val="0"/>
                <w:sz w:val="24"/>
                <w:szCs w:val="24"/>
                <w:highlight w:val="none"/>
              </w:rPr>
            </w:pPr>
          </w:p>
        </w:tc>
      </w:tr>
      <w:tr w14:paraId="746EEE62">
        <w:tblPrEx>
          <w:tblCellMar>
            <w:top w:w="0" w:type="dxa"/>
            <w:left w:w="0" w:type="dxa"/>
            <w:bottom w:w="0" w:type="dxa"/>
            <w:right w:w="0" w:type="dxa"/>
          </w:tblCellMar>
        </w:tblPrEx>
        <w:trPr>
          <w:trHeight w:val="1134" w:hRule="atLeast"/>
          <w:jc w:val="center"/>
        </w:trPr>
        <w:tc>
          <w:tcPr>
            <w:tcW w:w="2265" w:type="dxa"/>
            <w:tcBorders>
              <w:top w:val="single" w:color="000000" w:sz="4" w:space="0"/>
              <w:left w:val="single" w:color="000000" w:sz="4" w:space="0"/>
              <w:bottom w:val="single" w:color="000000" w:sz="4" w:space="0"/>
              <w:right w:val="single" w:color="000000" w:sz="4" w:space="0"/>
            </w:tcBorders>
            <w:vAlign w:val="center"/>
          </w:tcPr>
          <w:p w14:paraId="75E4AFBE">
            <w:pPr>
              <w:autoSpaceDE w:val="0"/>
              <w:autoSpaceDN w:val="0"/>
              <w:spacing w:line="5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项目负责人</w:t>
            </w:r>
          </w:p>
        </w:tc>
        <w:tc>
          <w:tcPr>
            <w:tcW w:w="1968" w:type="dxa"/>
            <w:tcBorders>
              <w:top w:val="single" w:color="000000" w:sz="4" w:space="0"/>
              <w:left w:val="single" w:color="000000" w:sz="4" w:space="0"/>
              <w:bottom w:val="single" w:color="000000" w:sz="4" w:space="0"/>
              <w:right w:val="single" w:color="000000" w:sz="4" w:space="0"/>
            </w:tcBorders>
            <w:vAlign w:val="center"/>
          </w:tcPr>
          <w:p w14:paraId="00BF4392">
            <w:pPr>
              <w:autoSpaceDE w:val="0"/>
              <w:autoSpaceDN w:val="0"/>
              <w:spacing w:line="500" w:lineRule="exact"/>
              <w:jc w:val="center"/>
              <w:rPr>
                <w:rFonts w:ascii="宋体" w:hAnsi="宋体" w:cs="宋体"/>
                <w:color w:val="auto"/>
                <w:kern w:val="0"/>
                <w:sz w:val="24"/>
                <w:szCs w:val="24"/>
                <w:highlight w:val="none"/>
              </w:rPr>
            </w:pPr>
          </w:p>
        </w:tc>
        <w:tc>
          <w:tcPr>
            <w:tcW w:w="1663" w:type="dxa"/>
            <w:tcBorders>
              <w:top w:val="single" w:color="000000" w:sz="4" w:space="0"/>
              <w:left w:val="single" w:color="000000" w:sz="4" w:space="0"/>
              <w:bottom w:val="single" w:color="000000" w:sz="4" w:space="0"/>
              <w:right w:val="single" w:color="000000" w:sz="4" w:space="0"/>
            </w:tcBorders>
            <w:vAlign w:val="center"/>
          </w:tcPr>
          <w:p w14:paraId="79C5C3F4">
            <w:pPr>
              <w:autoSpaceDE w:val="0"/>
              <w:autoSpaceDN w:val="0"/>
              <w:spacing w:line="5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联系电话</w:t>
            </w:r>
          </w:p>
        </w:tc>
        <w:tc>
          <w:tcPr>
            <w:tcW w:w="2969" w:type="dxa"/>
            <w:tcBorders>
              <w:top w:val="single" w:color="000000" w:sz="4" w:space="0"/>
              <w:left w:val="single" w:color="000000" w:sz="4" w:space="0"/>
              <w:bottom w:val="single" w:color="000000" w:sz="4" w:space="0"/>
              <w:right w:val="single" w:color="000000" w:sz="4" w:space="0"/>
            </w:tcBorders>
            <w:vAlign w:val="center"/>
          </w:tcPr>
          <w:p w14:paraId="26BAA758">
            <w:pPr>
              <w:autoSpaceDE w:val="0"/>
              <w:autoSpaceDN w:val="0"/>
              <w:spacing w:line="500" w:lineRule="exact"/>
              <w:jc w:val="center"/>
              <w:rPr>
                <w:rFonts w:ascii="宋体" w:hAnsi="宋体" w:cs="宋体"/>
                <w:color w:val="auto"/>
                <w:kern w:val="0"/>
                <w:sz w:val="24"/>
                <w:szCs w:val="24"/>
                <w:highlight w:val="none"/>
              </w:rPr>
            </w:pPr>
          </w:p>
        </w:tc>
      </w:tr>
      <w:tr w14:paraId="2EBA14A9">
        <w:tblPrEx>
          <w:tblCellMar>
            <w:top w:w="0" w:type="dxa"/>
            <w:left w:w="0" w:type="dxa"/>
            <w:bottom w:w="0" w:type="dxa"/>
            <w:right w:w="0" w:type="dxa"/>
          </w:tblCellMar>
        </w:tblPrEx>
        <w:trPr>
          <w:trHeight w:val="1099" w:hRule="atLeast"/>
          <w:jc w:val="center"/>
        </w:trPr>
        <w:tc>
          <w:tcPr>
            <w:tcW w:w="2265" w:type="dxa"/>
            <w:tcBorders>
              <w:top w:val="single" w:color="000000" w:sz="4" w:space="0"/>
              <w:left w:val="single" w:color="000000" w:sz="4" w:space="0"/>
              <w:bottom w:val="single" w:color="000000" w:sz="4" w:space="0"/>
              <w:right w:val="single" w:color="000000" w:sz="4" w:space="0"/>
            </w:tcBorders>
            <w:vAlign w:val="center"/>
          </w:tcPr>
          <w:p w14:paraId="2A3B4029">
            <w:pPr>
              <w:autoSpaceDE w:val="0"/>
              <w:autoSpaceDN w:val="0"/>
              <w:spacing w:line="5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投标报价</w:t>
            </w:r>
          </w:p>
          <w:p w14:paraId="4492B617">
            <w:pPr>
              <w:autoSpaceDE w:val="0"/>
              <w:autoSpaceDN w:val="0"/>
              <w:spacing w:line="5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w:t>
            </w:r>
            <w:r>
              <w:rPr>
                <w:rFonts w:hint="eastAsia" w:ascii="宋体" w:hAnsi="宋体" w:cs="宋体"/>
                <w:color w:val="auto"/>
                <w:kern w:val="0"/>
                <w:sz w:val="24"/>
                <w:szCs w:val="24"/>
                <w:highlight w:val="none"/>
              </w:rPr>
              <w:t>）</w:t>
            </w:r>
          </w:p>
        </w:tc>
        <w:tc>
          <w:tcPr>
            <w:tcW w:w="6600" w:type="dxa"/>
            <w:gridSpan w:val="3"/>
            <w:tcBorders>
              <w:top w:val="single" w:color="000000" w:sz="4" w:space="0"/>
              <w:left w:val="single" w:color="000000" w:sz="4" w:space="0"/>
              <w:bottom w:val="single" w:color="000000" w:sz="4" w:space="0"/>
              <w:right w:val="single" w:color="000000" w:sz="4" w:space="0"/>
            </w:tcBorders>
            <w:vAlign w:val="center"/>
          </w:tcPr>
          <w:p w14:paraId="28374E88">
            <w:pPr>
              <w:autoSpaceDE w:val="0"/>
              <w:autoSpaceDN w:val="0"/>
              <w:spacing w:line="500" w:lineRule="exact"/>
              <w:ind w:firstLine="840" w:firstLineChars="350"/>
              <w:rPr>
                <w:rFonts w:hint="default" w:ascii="宋体" w:hAnsi="宋体" w:cs="宋体"/>
                <w:color w:val="auto"/>
                <w:kern w:val="0"/>
                <w:sz w:val="24"/>
                <w:szCs w:val="24"/>
                <w:highlight w:val="none"/>
                <w:lang w:val="en-US"/>
              </w:rPr>
            </w:pPr>
            <w:r>
              <w:rPr>
                <w:rFonts w:hint="eastAsia" w:ascii="宋体" w:hAnsi="宋体" w:cs="宋体"/>
                <w:color w:val="auto"/>
                <w:kern w:val="0"/>
                <w:sz w:val="24"/>
                <w:szCs w:val="24"/>
                <w:highlight w:val="none"/>
                <w:lang w:val="en-US" w:eastAsia="zh-CN"/>
              </w:rPr>
              <w:t>以工程竣工审计结算金额*</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none"/>
                <w:lang w:val="en-US" w:eastAsia="zh-CN"/>
              </w:rPr>
              <w:t xml:space="preserve">为投标报价 </w:t>
            </w:r>
            <w:r>
              <w:rPr>
                <w:rFonts w:hint="eastAsia" w:ascii="宋体" w:hAnsi="宋体" w:cs="宋体"/>
                <w:color w:val="auto"/>
                <w:kern w:val="0"/>
                <w:sz w:val="24"/>
                <w:szCs w:val="24"/>
                <w:highlight w:val="none"/>
                <w:lang w:val="en-US" w:eastAsia="zh-CN"/>
              </w:rPr>
              <w:t xml:space="preserve"> </w:t>
            </w:r>
          </w:p>
        </w:tc>
      </w:tr>
      <w:tr w14:paraId="3BBB80EB">
        <w:tblPrEx>
          <w:tblCellMar>
            <w:top w:w="0" w:type="dxa"/>
            <w:left w:w="0" w:type="dxa"/>
            <w:bottom w:w="0" w:type="dxa"/>
            <w:right w:w="0" w:type="dxa"/>
          </w:tblCellMar>
        </w:tblPrEx>
        <w:trPr>
          <w:trHeight w:val="1134" w:hRule="atLeast"/>
          <w:jc w:val="center"/>
        </w:trPr>
        <w:tc>
          <w:tcPr>
            <w:tcW w:w="2265" w:type="dxa"/>
            <w:tcBorders>
              <w:top w:val="single" w:color="000000" w:sz="4" w:space="0"/>
              <w:left w:val="single" w:color="auto" w:sz="4" w:space="0"/>
              <w:bottom w:val="single" w:color="auto" w:sz="4" w:space="0"/>
              <w:right w:val="single" w:color="auto" w:sz="4" w:space="0"/>
            </w:tcBorders>
            <w:vAlign w:val="center"/>
          </w:tcPr>
          <w:p w14:paraId="06CFB093">
            <w:pPr>
              <w:autoSpaceDE w:val="0"/>
              <w:autoSpaceDN w:val="0"/>
              <w:spacing w:line="500" w:lineRule="exact"/>
              <w:jc w:val="center"/>
              <w:rPr>
                <w:rFonts w:ascii="宋体" w:hAnsi="宋体" w:cs="宋体"/>
                <w:color w:val="auto"/>
                <w:kern w:val="0"/>
                <w:sz w:val="24"/>
                <w:szCs w:val="24"/>
                <w:highlight w:val="none"/>
              </w:rPr>
            </w:pPr>
            <w:r>
              <w:rPr>
                <w:rFonts w:hint="eastAsia" w:ascii="宋体" w:hAnsi="宋体" w:cs="宋体"/>
                <w:color w:val="auto"/>
                <w:sz w:val="24"/>
                <w:szCs w:val="24"/>
                <w:highlight w:val="none"/>
              </w:rPr>
              <w:t>服务期限</w:t>
            </w:r>
          </w:p>
        </w:tc>
        <w:tc>
          <w:tcPr>
            <w:tcW w:w="6600" w:type="dxa"/>
            <w:gridSpan w:val="3"/>
            <w:tcBorders>
              <w:top w:val="single" w:color="000000" w:sz="4" w:space="0"/>
              <w:left w:val="nil"/>
              <w:bottom w:val="single" w:color="auto" w:sz="4" w:space="0"/>
              <w:right w:val="single" w:color="auto" w:sz="4" w:space="0"/>
            </w:tcBorders>
            <w:vAlign w:val="center"/>
          </w:tcPr>
          <w:p w14:paraId="7BC479EF">
            <w:pPr>
              <w:autoSpaceDE w:val="0"/>
              <w:autoSpaceDN w:val="0"/>
              <w:spacing w:line="500" w:lineRule="exact"/>
              <w:ind w:firstLine="120" w:firstLineChars="50"/>
              <w:rPr>
                <w:rFonts w:ascii="宋体" w:hAnsi="宋体" w:cs="宋体"/>
                <w:color w:val="auto"/>
                <w:kern w:val="0"/>
                <w:sz w:val="24"/>
                <w:szCs w:val="24"/>
                <w:highlight w:val="none"/>
              </w:rPr>
            </w:pPr>
          </w:p>
        </w:tc>
      </w:tr>
      <w:tr w14:paraId="468C288C">
        <w:tblPrEx>
          <w:tblCellMar>
            <w:top w:w="0" w:type="dxa"/>
            <w:left w:w="0" w:type="dxa"/>
            <w:bottom w:w="0" w:type="dxa"/>
            <w:right w:w="0" w:type="dxa"/>
          </w:tblCellMar>
        </w:tblPrEx>
        <w:trPr>
          <w:trHeight w:val="997" w:hRule="atLeast"/>
          <w:jc w:val="center"/>
        </w:trPr>
        <w:tc>
          <w:tcPr>
            <w:tcW w:w="2265" w:type="dxa"/>
            <w:tcBorders>
              <w:top w:val="single" w:color="auto" w:sz="4" w:space="0"/>
              <w:left w:val="single" w:color="auto" w:sz="4" w:space="0"/>
              <w:bottom w:val="single" w:color="auto" w:sz="4" w:space="0"/>
              <w:right w:val="single" w:color="auto" w:sz="4" w:space="0"/>
            </w:tcBorders>
            <w:vAlign w:val="center"/>
          </w:tcPr>
          <w:p w14:paraId="40A48F3B">
            <w:pPr>
              <w:autoSpaceDE w:val="0"/>
              <w:autoSpaceDN w:val="0"/>
              <w:spacing w:line="500" w:lineRule="exact"/>
              <w:jc w:val="center"/>
              <w:rPr>
                <w:rFonts w:ascii="宋体" w:hAnsi="宋体" w:cs="宋体"/>
                <w:color w:val="auto"/>
                <w:kern w:val="0"/>
                <w:sz w:val="24"/>
                <w:szCs w:val="24"/>
                <w:highlight w:val="none"/>
              </w:rPr>
            </w:pPr>
            <w:r>
              <w:rPr>
                <w:rFonts w:hint="eastAsia" w:ascii="宋体" w:hAnsi="宋体" w:cs="宋体"/>
                <w:color w:val="auto"/>
                <w:sz w:val="24"/>
                <w:szCs w:val="24"/>
                <w:highlight w:val="none"/>
              </w:rPr>
              <w:t>项目地点</w:t>
            </w:r>
          </w:p>
        </w:tc>
        <w:tc>
          <w:tcPr>
            <w:tcW w:w="6600" w:type="dxa"/>
            <w:gridSpan w:val="3"/>
            <w:tcBorders>
              <w:top w:val="single" w:color="auto" w:sz="4" w:space="0"/>
              <w:left w:val="nil"/>
              <w:bottom w:val="single" w:color="auto" w:sz="4" w:space="0"/>
              <w:right w:val="single" w:color="auto" w:sz="4" w:space="0"/>
            </w:tcBorders>
            <w:vAlign w:val="center"/>
          </w:tcPr>
          <w:p w14:paraId="6B64EE2D">
            <w:pPr>
              <w:autoSpaceDE w:val="0"/>
              <w:autoSpaceDN w:val="0"/>
              <w:spacing w:line="500" w:lineRule="exact"/>
              <w:jc w:val="center"/>
              <w:rPr>
                <w:rFonts w:ascii="宋体" w:hAnsi="宋体" w:cs="宋体"/>
                <w:color w:val="auto"/>
                <w:kern w:val="0"/>
                <w:sz w:val="24"/>
                <w:szCs w:val="24"/>
                <w:highlight w:val="none"/>
              </w:rPr>
            </w:pPr>
          </w:p>
        </w:tc>
      </w:tr>
      <w:tr w14:paraId="6E01F9FD">
        <w:tblPrEx>
          <w:tblCellMar>
            <w:top w:w="0" w:type="dxa"/>
            <w:left w:w="0" w:type="dxa"/>
            <w:bottom w:w="0" w:type="dxa"/>
            <w:right w:w="0" w:type="dxa"/>
          </w:tblCellMar>
        </w:tblPrEx>
        <w:trPr>
          <w:trHeight w:val="997" w:hRule="atLeast"/>
          <w:jc w:val="center"/>
        </w:trPr>
        <w:tc>
          <w:tcPr>
            <w:tcW w:w="2265" w:type="dxa"/>
            <w:tcBorders>
              <w:top w:val="single" w:color="auto" w:sz="4" w:space="0"/>
              <w:left w:val="single" w:color="auto" w:sz="4" w:space="0"/>
              <w:bottom w:val="single" w:color="auto" w:sz="4" w:space="0"/>
              <w:right w:val="single" w:color="auto" w:sz="4" w:space="0"/>
            </w:tcBorders>
            <w:vAlign w:val="center"/>
          </w:tcPr>
          <w:p w14:paraId="0725BAA6">
            <w:pPr>
              <w:autoSpaceDE w:val="0"/>
              <w:autoSpaceDN w:val="0"/>
              <w:spacing w:line="5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投标有效期</w:t>
            </w:r>
          </w:p>
        </w:tc>
        <w:tc>
          <w:tcPr>
            <w:tcW w:w="6600" w:type="dxa"/>
            <w:gridSpan w:val="3"/>
            <w:tcBorders>
              <w:top w:val="single" w:color="auto" w:sz="4" w:space="0"/>
              <w:left w:val="nil"/>
              <w:bottom w:val="single" w:color="auto" w:sz="4" w:space="0"/>
              <w:right w:val="single" w:color="auto" w:sz="4" w:space="0"/>
            </w:tcBorders>
            <w:vAlign w:val="center"/>
          </w:tcPr>
          <w:p w14:paraId="68FCFE44">
            <w:pPr>
              <w:autoSpaceDE w:val="0"/>
              <w:autoSpaceDN w:val="0"/>
              <w:spacing w:line="500" w:lineRule="exact"/>
              <w:jc w:val="center"/>
              <w:rPr>
                <w:rFonts w:ascii="宋体" w:hAnsi="宋体" w:cs="宋体"/>
                <w:color w:val="auto"/>
                <w:kern w:val="0"/>
                <w:sz w:val="24"/>
                <w:szCs w:val="24"/>
                <w:highlight w:val="none"/>
              </w:rPr>
            </w:pPr>
          </w:p>
        </w:tc>
      </w:tr>
      <w:tr w14:paraId="7F6E352D">
        <w:tblPrEx>
          <w:tblCellMar>
            <w:top w:w="0" w:type="dxa"/>
            <w:left w:w="0" w:type="dxa"/>
            <w:bottom w:w="0" w:type="dxa"/>
            <w:right w:w="0" w:type="dxa"/>
          </w:tblCellMar>
        </w:tblPrEx>
        <w:trPr>
          <w:trHeight w:val="997" w:hRule="atLeast"/>
          <w:jc w:val="center"/>
        </w:trPr>
        <w:tc>
          <w:tcPr>
            <w:tcW w:w="2265" w:type="dxa"/>
            <w:tcBorders>
              <w:top w:val="single" w:color="auto" w:sz="4" w:space="0"/>
              <w:left w:val="single" w:color="auto" w:sz="4" w:space="0"/>
              <w:bottom w:val="single" w:color="auto" w:sz="4" w:space="0"/>
              <w:right w:val="single" w:color="auto" w:sz="4" w:space="0"/>
            </w:tcBorders>
            <w:vAlign w:val="center"/>
          </w:tcPr>
          <w:p w14:paraId="524A9044">
            <w:pPr>
              <w:autoSpaceDE w:val="0"/>
              <w:autoSpaceDN w:val="0"/>
              <w:spacing w:line="5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备  注</w:t>
            </w:r>
          </w:p>
        </w:tc>
        <w:tc>
          <w:tcPr>
            <w:tcW w:w="6600" w:type="dxa"/>
            <w:gridSpan w:val="3"/>
            <w:tcBorders>
              <w:top w:val="single" w:color="auto" w:sz="4" w:space="0"/>
              <w:left w:val="nil"/>
              <w:bottom w:val="single" w:color="auto" w:sz="4" w:space="0"/>
              <w:right w:val="single" w:color="auto" w:sz="4" w:space="0"/>
            </w:tcBorders>
            <w:vAlign w:val="center"/>
          </w:tcPr>
          <w:p w14:paraId="5893DA94">
            <w:pPr>
              <w:autoSpaceDE w:val="0"/>
              <w:autoSpaceDN w:val="0"/>
              <w:spacing w:line="500" w:lineRule="exact"/>
              <w:jc w:val="center"/>
              <w:rPr>
                <w:rFonts w:ascii="宋体" w:hAnsi="宋体" w:cs="宋体"/>
                <w:color w:val="auto"/>
                <w:kern w:val="0"/>
                <w:sz w:val="24"/>
                <w:szCs w:val="24"/>
                <w:highlight w:val="none"/>
              </w:rPr>
            </w:pPr>
          </w:p>
        </w:tc>
      </w:tr>
    </w:tbl>
    <w:p w14:paraId="498447E5">
      <w:pPr>
        <w:widowControl/>
        <w:jc w:val="center"/>
        <w:rPr>
          <w:rFonts w:ascii="宋体" w:hAnsi="宋体" w:cs="宋体"/>
          <w:b/>
          <w:bCs/>
          <w:color w:val="auto"/>
          <w:kern w:val="0"/>
          <w:sz w:val="24"/>
          <w:szCs w:val="24"/>
          <w:highlight w:val="none"/>
        </w:rPr>
      </w:pPr>
    </w:p>
    <w:p w14:paraId="53EEE453">
      <w:pPr>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投标供应商：</w:t>
      </w:r>
      <w:r>
        <w:rPr>
          <w:rFonts w:hint="eastAsia" w:ascii="宋体" w:hAnsi="宋体"/>
          <w:color w:val="auto"/>
          <w:kern w:val="0"/>
          <w:sz w:val="24"/>
          <w:szCs w:val="24"/>
          <w:highlight w:val="none"/>
          <w:u w:val="single"/>
        </w:rPr>
        <w:t xml:space="preserve">        </w:t>
      </w:r>
      <w:r>
        <w:rPr>
          <w:rFonts w:hint="eastAsia" w:ascii="宋体" w:hAnsi="宋体" w:cs="宋体"/>
          <w:color w:val="auto"/>
          <w:kern w:val="0"/>
          <w:sz w:val="24"/>
          <w:szCs w:val="24"/>
          <w:highlight w:val="none"/>
        </w:rPr>
        <w:t>（电子签章）</w:t>
      </w:r>
    </w:p>
    <w:p w14:paraId="2EA6C183">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法定代表人： </w:t>
      </w:r>
      <w:r>
        <w:rPr>
          <w:rFonts w:hint="eastAsia" w:ascii="宋体" w:hAnsi="宋体"/>
          <w:color w:val="auto"/>
          <w:kern w:val="0"/>
          <w:sz w:val="24"/>
          <w:szCs w:val="24"/>
          <w:highlight w:val="none"/>
          <w:u w:val="single"/>
        </w:rPr>
        <w:t xml:space="preserve">        </w:t>
      </w:r>
      <w:r>
        <w:rPr>
          <w:rFonts w:hint="eastAsia" w:ascii="宋体" w:hAnsi="宋体" w:cs="宋体"/>
          <w:color w:val="auto"/>
          <w:kern w:val="0"/>
          <w:sz w:val="24"/>
          <w:szCs w:val="24"/>
          <w:highlight w:val="none"/>
        </w:rPr>
        <w:t>（电子签章）</w:t>
      </w:r>
    </w:p>
    <w:p w14:paraId="2ECA2359">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日 期：  年  月  日</w:t>
      </w:r>
      <w:bookmarkStart w:id="32" w:name="_Toc20949"/>
    </w:p>
    <w:p w14:paraId="235DCC60">
      <w:pPr>
        <w:jc w:val="center"/>
        <w:rPr>
          <w:rFonts w:ascii="宋体" w:hAnsi="宋体" w:cs="宋体"/>
          <w:color w:val="auto"/>
          <w:kern w:val="0"/>
          <w:sz w:val="24"/>
          <w:szCs w:val="24"/>
          <w:highlight w:val="none"/>
        </w:rPr>
      </w:pPr>
    </w:p>
    <w:p w14:paraId="29125937">
      <w:pPr>
        <w:jc w:val="center"/>
        <w:rPr>
          <w:rFonts w:ascii="宋体" w:hAnsi="宋体" w:cs="宋体"/>
          <w:color w:val="auto"/>
          <w:kern w:val="0"/>
          <w:sz w:val="24"/>
          <w:szCs w:val="24"/>
          <w:highlight w:val="none"/>
        </w:rPr>
        <w:sectPr>
          <w:pgSz w:w="11906" w:h="16838"/>
          <w:pgMar w:top="1440" w:right="1797" w:bottom="1440" w:left="1797" w:header="851" w:footer="992" w:gutter="0"/>
          <w:pgNumType w:fmt="decimal"/>
          <w:cols w:space="720" w:num="1"/>
          <w:docGrid w:linePitch="312" w:charSpace="0"/>
        </w:sectPr>
      </w:pPr>
    </w:p>
    <w:bookmarkEnd w:id="32"/>
    <w:p w14:paraId="6B40DE68">
      <w:pPr>
        <w:widowControl/>
        <w:jc w:val="center"/>
        <w:rPr>
          <w:rFonts w:ascii="宋体" w:hAnsi="宋体"/>
          <w:b/>
          <w:bCs/>
          <w:color w:val="auto"/>
          <w:kern w:val="0"/>
          <w:sz w:val="24"/>
          <w:szCs w:val="24"/>
          <w:highlight w:val="none"/>
        </w:rPr>
      </w:pPr>
      <w:bookmarkStart w:id="33" w:name="_Toc28136"/>
      <w:r>
        <w:rPr>
          <w:rFonts w:hint="eastAsia" w:ascii="宋体" w:hAnsi="宋体"/>
          <w:b/>
          <w:bCs/>
          <w:color w:val="auto"/>
          <w:kern w:val="0"/>
          <w:sz w:val="24"/>
          <w:szCs w:val="24"/>
          <w:highlight w:val="none"/>
        </w:rPr>
        <w:t>二、法定代表人身份证明及授权委托书</w:t>
      </w:r>
      <w:bookmarkEnd w:id="33"/>
    </w:p>
    <w:p w14:paraId="1B2DEA63">
      <w:pPr>
        <w:widowControl/>
        <w:jc w:val="center"/>
        <w:rPr>
          <w:rFonts w:ascii="宋体" w:hAnsi="宋体"/>
          <w:color w:val="auto"/>
          <w:kern w:val="0"/>
          <w:sz w:val="24"/>
          <w:szCs w:val="24"/>
          <w:highlight w:val="none"/>
        </w:rPr>
      </w:pPr>
      <w:r>
        <w:rPr>
          <w:rFonts w:hint="eastAsia" w:ascii="宋体" w:hAnsi="宋体"/>
          <w:b/>
          <w:bCs/>
          <w:color w:val="auto"/>
          <w:kern w:val="0"/>
          <w:sz w:val="24"/>
          <w:szCs w:val="24"/>
          <w:highlight w:val="none"/>
        </w:rPr>
        <w:t>（一）法定代表人身份证明</w:t>
      </w:r>
    </w:p>
    <w:p w14:paraId="2EAA911D">
      <w:pPr>
        <w:spacing w:line="480" w:lineRule="auto"/>
        <w:ind w:firstLine="612"/>
        <w:rPr>
          <w:rFonts w:ascii="宋体"/>
          <w:color w:val="auto"/>
          <w:sz w:val="24"/>
          <w:szCs w:val="24"/>
          <w:highlight w:val="none"/>
        </w:rPr>
      </w:pPr>
      <w:r>
        <w:rPr>
          <w:rFonts w:hint="eastAsia" w:ascii="宋体"/>
          <w:color w:val="auto"/>
          <w:sz w:val="24"/>
          <w:szCs w:val="24"/>
          <w:highlight w:val="none"/>
        </w:rPr>
        <w:t>单位名称：</w:t>
      </w:r>
      <w:r>
        <w:rPr>
          <w:rFonts w:hint="eastAsia" w:ascii="宋体"/>
          <w:color w:val="auto"/>
          <w:sz w:val="24"/>
          <w:szCs w:val="24"/>
          <w:highlight w:val="none"/>
          <w:u w:val="single"/>
        </w:rPr>
        <w:tab/>
      </w:r>
      <w:r>
        <w:rPr>
          <w:rFonts w:hint="eastAsia" w:ascii="宋体"/>
          <w:color w:val="auto"/>
          <w:sz w:val="24"/>
          <w:szCs w:val="24"/>
          <w:highlight w:val="none"/>
          <w:u w:val="single"/>
        </w:rPr>
        <w:tab/>
      </w:r>
      <w:r>
        <w:rPr>
          <w:rFonts w:hint="eastAsia" w:ascii="宋体"/>
          <w:color w:val="auto"/>
          <w:sz w:val="24"/>
          <w:szCs w:val="24"/>
          <w:highlight w:val="none"/>
          <w:u w:val="single"/>
        </w:rPr>
        <w:tab/>
      </w:r>
      <w:r>
        <w:rPr>
          <w:rFonts w:hint="eastAsia" w:ascii="宋体"/>
          <w:color w:val="auto"/>
          <w:sz w:val="24"/>
          <w:szCs w:val="24"/>
          <w:highlight w:val="none"/>
          <w:u w:val="single"/>
        </w:rPr>
        <w:tab/>
      </w:r>
      <w:r>
        <w:rPr>
          <w:rFonts w:hint="eastAsia" w:ascii="宋体"/>
          <w:color w:val="auto"/>
          <w:sz w:val="24"/>
          <w:szCs w:val="24"/>
          <w:highlight w:val="none"/>
          <w:u w:val="single"/>
        </w:rPr>
        <w:tab/>
      </w:r>
      <w:r>
        <w:rPr>
          <w:rFonts w:hint="eastAsia" w:ascii="宋体"/>
          <w:color w:val="auto"/>
          <w:sz w:val="24"/>
          <w:szCs w:val="24"/>
          <w:highlight w:val="none"/>
          <w:u w:val="single"/>
        </w:rPr>
        <w:tab/>
      </w:r>
      <w:r>
        <w:rPr>
          <w:rFonts w:hint="eastAsia" w:ascii="宋体"/>
          <w:color w:val="auto"/>
          <w:sz w:val="24"/>
          <w:szCs w:val="24"/>
          <w:highlight w:val="none"/>
          <w:u w:val="single"/>
        </w:rPr>
        <w:tab/>
      </w:r>
      <w:r>
        <w:rPr>
          <w:rFonts w:hint="eastAsia" w:ascii="宋体"/>
          <w:color w:val="auto"/>
          <w:sz w:val="24"/>
          <w:szCs w:val="24"/>
          <w:highlight w:val="none"/>
          <w:u w:val="single"/>
        </w:rPr>
        <w:tab/>
      </w:r>
      <w:r>
        <w:rPr>
          <w:rFonts w:hint="eastAsia" w:ascii="宋体"/>
          <w:color w:val="auto"/>
          <w:sz w:val="24"/>
          <w:szCs w:val="24"/>
          <w:highlight w:val="none"/>
          <w:u w:val="single"/>
        </w:rPr>
        <w:tab/>
      </w:r>
      <w:r>
        <w:rPr>
          <w:rFonts w:hint="eastAsia" w:ascii="宋体"/>
          <w:color w:val="auto"/>
          <w:sz w:val="24"/>
          <w:szCs w:val="24"/>
          <w:highlight w:val="none"/>
          <w:u w:val="single"/>
        </w:rPr>
        <w:tab/>
      </w:r>
    </w:p>
    <w:p w14:paraId="2D1A00B8">
      <w:pPr>
        <w:spacing w:line="480" w:lineRule="auto"/>
        <w:ind w:firstLine="610"/>
        <w:rPr>
          <w:rFonts w:ascii="宋体"/>
          <w:color w:val="auto"/>
          <w:sz w:val="24"/>
          <w:szCs w:val="24"/>
          <w:highlight w:val="none"/>
          <w:u w:val="single"/>
        </w:rPr>
      </w:pPr>
      <w:r>
        <w:rPr>
          <w:rFonts w:hint="eastAsia" w:ascii="宋体"/>
          <w:color w:val="auto"/>
          <w:sz w:val="24"/>
          <w:szCs w:val="24"/>
          <w:highlight w:val="none"/>
        </w:rPr>
        <w:t>单位性质：</w:t>
      </w:r>
      <w:r>
        <w:rPr>
          <w:rFonts w:hint="eastAsia" w:ascii="宋体"/>
          <w:color w:val="auto"/>
          <w:sz w:val="24"/>
          <w:szCs w:val="24"/>
          <w:highlight w:val="none"/>
          <w:u w:val="single"/>
        </w:rPr>
        <w:tab/>
      </w:r>
      <w:r>
        <w:rPr>
          <w:rFonts w:hint="eastAsia" w:ascii="宋体"/>
          <w:color w:val="auto"/>
          <w:sz w:val="24"/>
          <w:szCs w:val="24"/>
          <w:highlight w:val="none"/>
          <w:u w:val="single"/>
        </w:rPr>
        <w:tab/>
      </w:r>
      <w:r>
        <w:rPr>
          <w:rFonts w:hint="eastAsia" w:ascii="宋体"/>
          <w:color w:val="auto"/>
          <w:sz w:val="24"/>
          <w:szCs w:val="24"/>
          <w:highlight w:val="none"/>
          <w:u w:val="single"/>
        </w:rPr>
        <w:tab/>
      </w:r>
      <w:r>
        <w:rPr>
          <w:rFonts w:hint="eastAsia" w:ascii="宋体"/>
          <w:color w:val="auto"/>
          <w:sz w:val="24"/>
          <w:szCs w:val="24"/>
          <w:highlight w:val="none"/>
          <w:u w:val="single"/>
        </w:rPr>
        <w:tab/>
      </w:r>
      <w:r>
        <w:rPr>
          <w:rFonts w:hint="eastAsia" w:ascii="宋体"/>
          <w:color w:val="auto"/>
          <w:sz w:val="24"/>
          <w:szCs w:val="24"/>
          <w:highlight w:val="none"/>
          <w:u w:val="single"/>
        </w:rPr>
        <w:tab/>
      </w:r>
      <w:r>
        <w:rPr>
          <w:rFonts w:hint="eastAsia" w:ascii="宋体"/>
          <w:color w:val="auto"/>
          <w:sz w:val="24"/>
          <w:szCs w:val="24"/>
          <w:highlight w:val="none"/>
          <w:u w:val="single"/>
        </w:rPr>
        <w:tab/>
      </w:r>
      <w:r>
        <w:rPr>
          <w:rFonts w:hint="eastAsia" w:ascii="宋体"/>
          <w:color w:val="auto"/>
          <w:sz w:val="24"/>
          <w:szCs w:val="24"/>
          <w:highlight w:val="none"/>
          <w:u w:val="single"/>
        </w:rPr>
        <w:tab/>
      </w:r>
      <w:r>
        <w:rPr>
          <w:rFonts w:hint="eastAsia" w:ascii="宋体"/>
          <w:color w:val="auto"/>
          <w:sz w:val="24"/>
          <w:szCs w:val="24"/>
          <w:highlight w:val="none"/>
          <w:u w:val="single"/>
        </w:rPr>
        <w:tab/>
      </w:r>
      <w:r>
        <w:rPr>
          <w:rFonts w:hint="eastAsia" w:ascii="宋体"/>
          <w:color w:val="auto"/>
          <w:sz w:val="24"/>
          <w:szCs w:val="24"/>
          <w:highlight w:val="none"/>
          <w:u w:val="single"/>
        </w:rPr>
        <w:tab/>
      </w:r>
      <w:r>
        <w:rPr>
          <w:rFonts w:hint="eastAsia" w:ascii="宋体"/>
          <w:color w:val="auto"/>
          <w:sz w:val="24"/>
          <w:szCs w:val="24"/>
          <w:highlight w:val="none"/>
          <w:u w:val="single"/>
        </w:rPr>
        <w:tab/>
      </w:r>
    </w:p>
    <w:p w14:paraId="44F9E752">
      <w:pPr>
        <w:spacing w:line="480" w:lineRule="auto"/>
        <w:ind w:firstLine="610"/>
        <w:rPr>
          <w:rFonts w:ascii="宋体"/>
          <w:color w:val="auto"/>
          <w:sz w:val="24"/>
          <w:szCs w:val="24"/>
          <w:highlight w:val="none"/>
          <w:u w:val="single"/>
        </w:rPr>
      </w:pPr>
      <w:r>
        <w:rPr>
          <w:rFonts w:hint="eastAsia" w:ascii="宋体"/>
          <w:color w:val="auto"/>
          <w:sz w:val="24"/>
          <w:szCs w:val="24"/>
          <w:highlight w:val="none"/>
        </w:rPr>
        <w:t>地    址：</w:t>
      </w:r>
      <w:r>
        <w:rPr>
          <w:rFonts w:hint="eastAsia" w:ascii="宋体"/>
          <w:color w:val="auto"/>
          <w:sz w:val="24"/>
          <w:szCs w:val="24"/>
          <w:highlight w:val="none"/>
          <w:u w:val="single"/>
        </w:rPr>
        <w:tab/>
      </w:r>
      <w:r>
        <w:rPr>
          <w:rFonts w:hint="eastAsia" w:ascii="宋体"/>
          <w:color w:val="auto"/>
          <w:sz w:val="24"/>
          <w:szCs w:val="24"/>
          <w:highlight w:val="none"/>
          <w:u w:val="single"/>
        </w:rPr>
        <w:tab/>
      </w:r>
      <w:r>
        <w:rPr>
          <w:rFonts w:hint="eastAsia" w:ascii="宋体"/>
          <w:color w:val="auto"/>
          <w:sz w:val="24"/>
          <w:szCs w:val="24"/>
          <w:highlight w:val="none"/>
          <w:u w:val="single"/>
        </w:rPr>
        <w:t xml:space="preserve">  </w:t>
      </w:r>
      <w:r>
        <w:rPr>
          <w:rFonts w:hint="eastAsia" w:ascii="宋体"/>
          <w:color w:val="auto"/>
          <w:sz w:val="24"/>
          <w:szCs w:val="24"/>
          <w:highlight w:val="none"/>
          <w:u w:val="single"/>
        </w:rPr>
        <w:tab/>
      </w:r>
      <w:r>
        <w:rPr>
          <w:rFonts w:hint="eastAsia" w:ascii="宋体"/>
          <w:color w:val="auto"/>
          <w:sz w:val="24"/>
          <w:szCs w:val="24"/>
          <w:highlight w:val="none"/>
          <w:u w:val="single"/>
        </w:rPr>
        <w:tab/>
      </w:r>
      <w:r>
        <w:rPr>
          <w:rFonts w:hint="eastAsia" w:ascii="宋体"/>
          <w:color w:val="auto"/>
          <w:sz w:val="24"/>
          <w:szCs w:val="24"/>
          <w:highlight w:val="none"/>
          <w:u w:val="single"/>
        </w:rPr>
        <w:tab/>
      </w:r>
      <w:r>
        <w:rPr>
          <w:rFonts w:hint="eastAsia" w:ascii="宋体"/>
          <w:color w:val="auto"/>
          <w:sz w:val="24"/>
          <w:szCs w:val="24"/>
          <w:highlight w:val="none"/>
          <w:u w:val="single"/>
        </w:rPr>
        <w:t xml:space="preserve">       </w:t>
      </w:r>
      <w:r>
        <w:rPr>
          <w:rFonts w:hint="eastAsia" w:ascii="宋体"/>
          <w:color w:val="auto"/>
          <w:sz w:val="24"/>
          <w:szCs w:val="24"/>
          <w:highlight w:val="none"/>
          <w:u w:val="single"/>
        </w:rPr>
        <w:tab/>
      </w:r>
      <w:r>
        <w:rPr>
          <w:rFonts w:hint="eastAsia" w:ascii="宋体"/>
          <w:color w:val="auto"/>
          <w:sz w:val="24"/>
          <w:szCs w:val="24"/>
          <w:highlight w:val="none"/>
          <w:u w:val="single"/>
        </w:rPr>
        <w:tab/>
      </w:r>
      <w:r>
        <w:rPr>
          <w:rFonts w:hint="eastAsia" w:ascii="宋体"/>
          <w:color w:val="auto"/>
          <w:sz w:val="24"/>
          <w:szCs w:val="24"/>
          <w:highlight w:val="none"/>
          <w:u w:val="single"/>
        </w:rPr>
        <w:tab/>
      </w:r>
      <w:r>
        <w:rPr>
          <w:rFonts w:hint="eastAsia" w:ascii="宋体"/>
          <w:color w:val="auto"/>
          <w:sz w:val="24"/>
          <w:szCs w:val="24"/>
          <w:highlight w:val="none"/>
          <w:u w:val="single"/>
        </w:rPr>
        <w:tab/>
      </w:r>
    </w:p>
    <w:p w14:paraId="629F504E">
      <w:pPr>
        <w:spacing w:line="480" w:lineRule="auto"/>
        <w:ind w:firstLine="610"/>
        <w:rPr>
          <w:rFonts w:ascii="宋体"/>
          <w:color w:val="auto"/>
          <w:sz w:val="24"/>
          <w:szCs w:val="24"/>
          <w:highlight w:val="none"/>
        </w:rPr>
      </w:pPr>
      <w:r>
        <w:rPr>
          <w:rFonts w:hint="eastAsia" w:ascii="宋体"/>
          <w:color w:val="auto"/>
          <w:sz w:val="24"/>
          <w:szCs w:val="24"/>
          <w:highlight w:val="none"/>
        </w:rPr>
        <w:t>成立时间：</w:t>
      </w:r>
      <w:r>
        <w:rPr>
          <w:rFonts w:hint="eastAsia" w:ascii="宋体"/>
          <w:color w:val="auto"/>
          <w:sz w:val="24"/>
          <w:szCs w:val="24"/>
          <w:highlight w:val="none"/>
          <w:u w:val="single"/>
        </w:rPr>
        <w:t xml:space="preserve">           </w:t>
      </w:r>
      <w:r>
        <w:rPr>
          <w:rFonts w:hint="eastAsia" w:ascii="宋体"/>
          <w:color w:val="auto"/>
          <w:sz w:val="24"/>
          <w:szCs w:val="24"/>
          <w:highlight w:val="none"/>
        </w:rPr>
        <w:t>年</w:t>
      </w:r>
      <w:r>
        <w:rPr>
          <w:rFonts w:hint="eastAsia" w:ascii="宋体"/>
          <w:color w:val="auto"/>
          <w:sz w:val="24"/>
          <w:szCs w:val="24"/>
          <w:highlight w:val="none"/>
          <w:u w:val="single"/>
        </w:rPr>
        <w:t xml:space="preserve">            </w:t>
      </w:r>
      <w:r>
        <w:rPr>
          <w:rFonts w:hint="eastAsia" w:ascii="宋体"/>
          <w:color w:val="auto"/>
          <w:sz w:val="24"/>
          <w:szCs w:val="24"/>
          <w:highlight w:val="none"/>
        </w:rPr>
        <w:t>月</w:t>
      </w:r>
      <w:r>
        <w:rPr>
          <w:rFonts w:hint="eastAsia" w:ascii="宋体"/>
          <w:color w:val="auto"/>
          <w:sz w:val="24"/>
          <w:szCs w:val="24"/>
          <w:highlight w:val="none"/>
          <w:u w:val="single"/>
        </w:rPr>
        <w:t xml:space="preserve">            </w:t>
      </w:r>
      <w:r>
        <w:rPr>
          <w:rFonts w:hint="eastAsia" w:ascii="宋体"/>
          <w:color w:val="auto"/>
          <w:sz w:val="24"/>
          <w:szCs w:val="24"/>
          <w:highlight w:val="none"/>
        </w:rPr>
        <w:t>日</w:t>
      </w:r>
    </w:p>
    <w:p w14:paraId="6D211E9F">
      <w:pPr>
        <w:spacing w:line="480" w:lineRule="auto"/>
        <w:ind w:firstLine="610"/>
        <w:rPr>
          <w:rFonts w:ascii="宋体"/>
          <w:color w:val="auto"/>
          <w:sz w:val="24"/>
          <w:szCs w:val="24"/>
          <w:highlight w:val="none"/>
          <w:u w:val="single"/>
        </w:rPr>
      </w:pPr>
      <w:r>
        <w:rPr>
          <w:rFonts w:hint="eastAsia" w:ascii="宋体"/>
          <w:color w:val="auto"/>
          <w:sz w:val="24"/>
          <w:szCs w:val="24"/>
          <w:highlight w:val="none"/>
        </w:rPr>
        <w:t>经营期限：</w:t>
      </w:r>
      <w:r>
        <w:rPr>
          <w:rFonts w:hint="eastAsia" w:ascii="宋体"/>
          <w:color w:val="auto"/>
          <w:sz w:val="24"/>
          <w:szCs w:val="24"/>
          <w:highlight w:val="none"/>
          <w:u w:val="single"/>
        </w:rPr>
        <w:tab/>
      </w:r>
      <w:r>
        <w:rPr>
          <w:rFonts w:hint="eastAsia" w:ascii="宋体"/>
          <w:color w:val="auto"/>
          <w:sz w:val="24"/>
          <w:szCs w:val="24"/>
          <w:highlight w:val="none"/>
          <w:u w:val="single"/>
        </w:rPr>
        <w:t xml:space="preserve">                                    </w:t>
      </w:r>
      <w:r>
        <w:rPr>
          <w:rFonts w:hint="eastAsia" w:ascii="宋体"/>
          <w:color w:val="auto"/>
          <w:sz w:val="24"/>
          <w:szCs w:val="24"/>
          <w:highlight w:val="none"/>
          <w:u w:val="single"/>
        </w:rPr>
        <w:tab/>
      </w:r>
    </w:p>
    <w:p w14:paraId="70DDF256">
      <w:pPr>
        <w:spacing w:line="480" w:lineRule="auto"/>
        <w:ind w:firstLine="610"/>
        <w:rPr>
          <w:rFonts w:ascii="宋体"/>
          <w:color w:val="auto"/>
          <w:sz w:val="24"/>
          <w:szCs w:val="24"/>
          <w:highlight w:val="none"/>
          <w:u w:val="single"/>
        </w:rPr>
      </w:pPr>
      <w:r>
        <w:rPr>
          <w:rFonts w:hint="eastAsia" w:ascii="宋体"/>
          <w:color w:val="auto"/>
          <w:sz w:val="24"/>
          <w:szCs w:val="24"/>
          <w:highlight w:val="none"/>
        </w:rPr>
        <w:t>姓    名：</w:t>
      </w:r>
      <w:r>
        <w:rPr>
          <w:rFonts w:hint="eastAsia" w:ascii="宋体"/>
          <w:color w:val="auto"/>
          <w:sz w:val="24"/>
          <w:szCs w:val="24"/>
          <w:highlight w:val="none"/>
          <w:u w:val="single"/>
        </w:rPr>
        <w:t xml:space="preserve">     </w:t>
      </w:r>
      <w:r>
        <w:rPr>
          <w:rFonts w:hint="eastAsia" w:ascii="宋体"/>
          <w:color w:val="auto"/>
          <w:sz w:val="24"/>
          <w:szCs w:val="24"/>
          <w:highlight w:val="none"/>
        </w:rPr>
        <w:t xml:space="preserve"> 性别：</w:t>
      </w:r>
      <w:r>
        <w:rPr>
          <w:rFonts w:hint="eastAsia" w:ascii="宋体"/>
          <w:color w:val="auto"/>
          <w:sz w:val="24"/>
          <w:szCs w:val="24"/>
          <w:highlight w:val="none"/>
          <w:u w:val="single"/>
        </w:rPr>
        <w:t xml:space="preserve">    </w:t>
      </w:r>
      <w:r>
        <w:rPr>
          <w:rFonts w:hint="eastAsia" w:ascii="宋体"/>
          <w:color w:val="auto"/>
          <w:sz w:val="24"/>
          <w:szCs w:val="24"/>
          <w:highlight w:val="none"/>
        </w:rPr>
        <w:t>年龄：</w:t>
      </w:r>
      <w:r>
        <w:rPr>
          <w:rFonts w:hint="eastAsia" w:ascii="宋体"/>
          <w:color w:val="auto"/>
          <w:sz w:val="24"/>
          <w:szCs w:val="24"/>
          <w:highlight w:val="none"/>
          <w:u w:val="single"/>
        </w:rPr>
        <w:t xml:space="preserve">     </w:t>
      </w:r>
      <w:r>
        <w:rPr>
          <w:rFonts w:hint="eastAsia" w:ascii="宋体"/>
          <w:color w:val="auto"/>
          <w:sz w:val="24"/>
          <w:szCs w:val="24"/>
          <w:highlight w:val="none"/>
        </w:rPr>
        <w:t xml:space="preserve"> 职务：</w:t>
      </w:r>
      <w:r>
        <w:rPr>
          <w:rFonts w:hint="eastAsia" w:ascii="宋体"/>
          <w:color w:val="auto"/>
          <w:sz w:val="24"/>
          <w:szCs w:val="24"/>
          <w:highlight w:val="none"/>
          <w:u w:val="single"/>
        </w:rPr>
        <w:tab/>
      </w:r>
      <w:r>
        <w:rPr>
          <w:rFonts w:hint="eastAsia" w:ascii="宋体"/>
          <w:color w:val="auto"/>
          <w:sz w:val="24"/>
          <w:szCs w:val="24"/>
          <w:highlight w:val="none"/>
          <w:u w:val="single"/>
        </w:rPr>
        <w:t xml:space="preserve">    </w:t>
      </w:r>
    </w:p>
    <w:p w14:paraId="634A78B0">
      <w:pPr>
        <w:spacing w:line="480" w:lineRule="auto"/>
        <w:ind w:firstLine="610"/>
        <w:rPr>
          <w:rFonts w:ascii="宋体"/>
          <w:color w:val="auto"/>
          <w:sz w:val="24"/>
          <w:szCs w:val="24"/>
          <w:highlight w:val="none"/>
        </w:rPr>
      </w:pPr>
      <w:r>
        <w:rPr>
          <w:rFonts w:hint="eastAsia" w:ascii="宋体"/>
          <w:color w:val="auto"/>
          <w:sz w:val="24"/>
          <w:szCs w:val="24"/>
          <w:highlight w:val="none"/>
        </w:rPr>
        <w:t>系</w:t>
      </w:r>
      <w:r>
        <w:rPr>
          <w:rFonts w:hint="eastAsia" w:ascii="宋体"/>
          <w:color w:val="auto"/>
          <w:sz w:val="24"/>
          <w:szCs w:val="24"/>
          <w:highlight w:val="none"/>
          <w:u w:val="single"/>
        </w:rPr>
        <w:t xml:space="preserve">          （投标供应商单位名称）         </w:t>
      </w:r>
      <w:r>
        <w:rPr>
          <w:rFonts w:hint="eastAsia" w:ascii="宋体"/>
          <w:color w:val="auto"/>
          <w:sz w:val="24"/>
          <w:szCs w:val="24"/>
          <w:highlight w:val="none"/>
        </w:rPr>
        <w:t>的法定代表人。</w:t>
      </w:r>
    </w:p>
    <w:p w14:paraId="38D9BD2C">
      <w:pPr>
        <w:spacing w:line="480" w:lineRule="auto"/>
        <w:ind w:firstLine="610"/>
        <w:rPr>
          <w:rFonts w:ascii="宋体"/>
          <w:color w:val="auto"/>
          <w:sz w:val="24"/>
          <w:szCs w:val="24"/>
          <w:highlight w:val="none"/>
        </w:rPr>
      </w:pPr>
      <w:r>
        <w:rPr>
          <w:rFonts w:hint="eastAsia" w:ascii="宋体"/>
          <w:color w:val="auto"/>
          <w:sz w:val="24"/>
          <w:szCs w:val="24"/>
          <w:highlight w:val="none"/>
        </w:rPr>
        <w:t xml:space="preserve"> </w:t>
      </w:r>
    </w:p>
    <w:p w14:paraId="61EAEB7A">
      <w:pPr>
        <w:spacing w:line="480" w:lineRule="auto"/>
        <w:ind w:firstLine="1089" w:firstLineChars="454"/>
        <w:rPr>
          <w:rFonts w:ascii="宋体"/>
          <w:color w:val="auto"/>
          <w:sz w:val="24"/>
          <w:szCs w:val="24"/>
          <w:highlight w:val="none"/>
        </w:rPr>
      </w:pPr>
      <w:r>
        <w:rPr>
          <w:rFonts w:hint="eastAsia" w:ascii="宋体"/>
          <w:color w:val="auto"/>
          <w:sz w:val="24"/>
          <w:szCs w:val="24"/>
          <w:highlight w:val="none"/>
        </w:rPr>
        <w:t>特此证明。</w:t>
      </w:r>
    </w:p>
    <w:p w14:paraId="373A9364">
      <w:pPr>
        <w:spacing w:line="480" w:lineRule="auto"/>
        <w:ind w:firstLine="5040" w:firstLineChars="2100"/>
        <w:rPr>
          <w:rFonts w:ascii="宋体"/>
          <w:color w:val="auto"/>
          <w:sz w:val="24"/>
          <w:szCs w:val="24"/>
          <w:highlight w:val="none"/>
        </w:rPr>
      </w:pPr>
      <w:r>
        <w:rPr>
          <w:rFonts w:hint="eastAsia" w:ascii="宋体"/>
          <w:color w:val="auto"/>
          <w:sz w:val="24"/>
          <w:szCs w:val="24"/>
          <w:highlight w:val="none"/>
        </w:rPr>
        <w:t xml:space="preserve"> </w:t>
      </w:r>
    </w:p>
    <w:p w14:paraId="6C8E0391">
      <w:pPr>
        <w:spacing w:line="480" w:lineRule="auto"/>
        <w:ind w:firstLine="2916" w:firstLineChars="1215"/>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投标供应商：</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（电子签章）</w:t>
      </w:r>
    </w:p>
    <w:p w14:paraId="7024D591">
      <w:pPr>
        <w:spacing w:line="480" w:lineRule="auto"/>
        <w:ind w:firstLine="2916" w:firstLineChars="1215"/>
        <w:rPr>
          <w:rFonts w:ascii="宋体"/>
          <w:color w:val="auto"/>
          <w:sz w:val="24"/>
          <w:szCs w:val="24"/>
          <w:highlight w:val="none"/>
        </w:rPr>
      </w:pPr>
      <w:r>
        <w:rPr>
          <w:rFonts w:hint="eastAsia" w:ascii="宋体"/>
          <w:color w:val="auto"/>
          <w:sz w:val="24"/>
          <w:szCs w:val="24"/>
          <w:highlight w:val="none"/>
        </w:rPr>
        <w:t xml:space="preserve">日期：     </w:t>
      </w:r>
      <w:r>
        <w:rPr>
          <w:rFonts w:hint="eastAsia" w:ascii="宋体" w:hAnsi="宋体" w:cs="宋体"/>
          <w:color w:val="auto"/>
          <w:kern w:val="0"/>
          <w:sz w:val="24"/>
          <w:szCs w:val="24"/>
          <w:highlight w:val="none"/>
        </w:rPr>
        <w:t>年  月  日</w:t>
      </w:r>
    </w:p>
    <w:p w14:paraId="5E1CA7CF">
      <w:pPr>
        <w:spacing w:line="480" w:lineRule="auto"/>
        <w:ind w:firstLine="4551" w:firstLineChars="1889"/>
        <w:rPr>
          <w:rFonts w:ascii="宋体"/>
          <w:b/>
          <w:bCs/>
          <w:color w:val="auto"/>
          <w:sz w:val="24"/>
          <w:szCs w:val="24"/>
          <w:highlight w:val="none"/>
        </w:rPr>
      </w:pPr>
      <w:r>
        <w:rPr>
          <w:rFonts w:hint="eastAsia" w:ascii="宋体"/>
          <w:b/>
          <w:bCs/>
          <w:color w:val="auto"/>
          <w:sz w:val="24"/>
          <w:szCs w:val="24"/>
          <w:highlight w:val="none"/>
        </w:rPr>
        <w:t xml:space="preserve"> </w:t>
      </w:r>
    </w:p>
    <w:p w14:paraId="18457FF6">
      <w:pPr>
        <w:widowControl/>
        <w:spacing w:line="480" w:lineRule="auto"/>
        <w:jc w:val="center"/>
        <w:rPr>
          <w:rFonts w:ascii="宋体" w:hAnsi="宋体"/>
          <w:color w:val="auto"/>
          <w:kern w:val="0"/>
          <w:sz w:val="24"/>
          <w:szCs w:val="24"/>
          <w:highlight w:val="none"/>
        </w:rPr>
      </w:pPr>
      <w:r>
        <w:rPr>
          <w:rFonts w:hint="eastAsia" w:ascii="宋体"/>
          <w:b/>
          <w:bCs/>
          <w:color w:val="auto"/>
          <w:sz w:val="24"/>
          <w:szCs w:val="24"/>
          <w:highlight w:val="none"/>
        </w:rPr>
        <w:t>（后附法定代表人身份证正反面原件扫描件加盖单位公章）</w:t>
      </w:r>
    </w:p>
    <w:p w14:paraId="3085D6AA">
      <w:pPr>
        <w:widowControl/>
        <w:spacing w:line="480" w:lineRule="auto"/>
        <w:jc w:val="center"/>
        <w:rPr>
          <w:rFonts w:ascii="宋体" w:hAnsi="宋体"/>
          <w:color w:val="auto"/>
          <w:kern w:val="0"/>
          <w:sz w:val="24"/>
          <w:szCs w:val="24"/>
          <w:highlight w:val="none"/>
        </w:rPr>
      </w:pPr>
    </w:p>
    <w:p w14:paraId="5D1B872D">
      <w:pPr>
        <w:pStyle w:val="2"/>
        <w:rPr>
          <w:rFonts w:ascii="宋体" w:hAnsi="宋体"/>
          <w:color w:val="auto"/>
          <w:kern w:val="0"/>
          <w:sz w:val="24"/>
          <w:highlight w:val="none"/>
        </w:rPr>
      </w:pPr>
    </w:p>
    <w:p w14:paraId="443EF3EF">
      <w:pPr>
        <w:pStyle w:val="3"/>
        <w:rPr>
          <w:rFonts w:ascii="宋体" w:hAnsi="宋体"/>
          <w:color w:val="auto"/>
          <w:kern w:val="0"/>
          <w:sz w:val="24"/>
          <w:szCs w:val="24"/>
          <w:highlight w:val="none"/>
        </w:rPr>
      </w:pPr>
    </w:p>
    <w:p w14:paraId="1A99B7BD">
      <w:pPr>
        <w:pStyle w:val="4"/>
        <w:rPr>
          <w:rFonts w:hAnsi="宋体"/>
          <w:color w:val="auto"/>
          <w:sz w:val="24"/>
          <w:szCs w:val="24"/>
          <w:highlight w:val="none"/>
        </w:rPr>
      </w:pPr>
    </w:p>
    <w:p w14:paraId="17974BD7">
      <w:pPr>
        <w:pStyle w:val="4"/>
        <w:rPr>
          <w:rFonts w:hAnsi="宋体"/>
          <w:color w:val="auto"/>
          <w:sz w:val="24"/>
          <w:szCs w:val="24"/>
          <w:highlight w:val="none"/>
        </w:rPr>
      </w:pPr>
    </w:p>
    <w:p w14:paraId="19F099C0">
      <w:pPr>
        <w:pStyle w:val="4"/>
        <w:rPr>
          <w:rFonts w:hAnsi="宋体"/>
          <w:color w:val="auto"/>
          <w:sz w:val="24"/>
          <w:szCs w:val="24"/>
          <w:highlight w:val="none"/>
        </w:rPr>
      </w:pPr>
    </w:p>
    <w:p w14:paraId="00B2AB8B">
      <w:pPr>
        <w:rPr>
          <w:rFonts w:ascii="宋体" w:hAnsi="宋体"/>
          <w:b/>
          <w:bCs/>
          <w:color w:val="auto"/>
          <w:kern w:val="0"/>
          <w:sz w:val="24"/>
          <w:szCs w:val="24"/>
          <w:highlight w:val="none"/>
        </w:rPr>
      </w:pPr>
      <w:bookmarkStart w:id="34" w:name="_Toc171073210"/>
      <w:bookmarkEnd w:id="34"/>
      <w:bookmarkStart w:id="35" w:name="_Toc171073045"/>
      <w:bookmarkEnd w:id="35"/>
      <w:bookmarkStart w:id="36" w:name="_Toc223432390"/>
      <w:bookmarkEnd w:id="36"/>
      <w:bookmarkStart w:id="37" w:name="_Toc169921410"/>
      <w:bookmarkEnd w:id="37"/>
      <w:r>
        <w:rPr>
          <w:rFonts w:hint="eastAsia" w:ascii="宋体" w:hAnsi="宋体"/>
          <w:b/>
          <w:bCs/>
          <w:color w:val="auto"/>
          <w:kern w:val="0"/>
          <w:sz w:val="24"/>
          <w:szCs w:val="24"/>
          <w:highlight w:val="none"/>
        </w:rPr>
        <w:br w:type="page"/>
      </w:r>
    </w:p>
    <w:p w14:paraId="30201FB3">
      <w:pPr>
        <w:widowControl/>
        <w:jc w:val="center"/>
        <w:rPr>
          <w:rFonts w:ascii="宋体" w:hAnsi="宋体"/>
          <w:color w:val="auto"/>
          <w:kern w:val="0"/>
          <w:sz w:val="24"/>
          <w:szCs w:val="24"/>
          <w:highlight w:val="none"/>
        </w:rPr>
      </w:pPr>
      <w:r>
        <w:rPr>
          <w:rFonts w:hint="eastAsia" w:ascii="宋体" w:hAnsi="宋体"/>
          <w:b/>
          <w:bCs/>
          <w:color w:val="auto"/>
          <w:kern w:val="0"/>
          <w:sz w:val="24"/>
          <w:szCs w:val="24"/>
          <w:highlight w:val="none"/>
        </w:rPr>
        <w:t>（二）授权委托书</w:t>
      </w:r>
    </w:p>
    <w:p w14:paraId="04481CAD">
      <w:pPr>
        <w:spacing w:line="360" w:lineRule="auto"/>
        <w:ind w:left="178" w:leftChars="85" w:right="277" w:rightChars="132" w:firstLine="501" w:firstLineChars="209"/>
        <w:jc w:val="left"/>
        <w:rPr>
          <w:rFonts w:ascii="宋体"/>
          <w:color w:val="auto"/>
          <w:sz w:val="24"/>
          <w:szCs w:val="24"/>
          <w:highlight w:val="none"/>
        </w:rPr>
      </w:pPr>
    </w:p>
    <w:p w14:paraId="6045447D">
      <w:pPr>
        <w:spacing w:line="360" w:lineRule="auto"/>
        <w:ind w:left="178" w:leftChars="85" w:right="277" w:rightChars="132" w:firstLine="501" w:firstLineChars="209"/>
        <w:jc w:val="left"/>
        <w:rPr>
          <w:rFonts w:ascii="宋体"/>
          <w:color w:val="auto"/>
          <w:sz w:val="24"/>
          <w:szCs w:val="24"/>
          <w:highlight w:val="none"/>
        </w:rPr>
      </w:pPr>
      <w:r>
        <w:rPr>
          <w:rFonts w:hint="eastAsia" w:ascii="宋体"/>
          <w:color w:val="auto"/>
          <w:sz w:val="24"/>
          <w:szCs w:val="24"/>
          <w:highlight w:val="none"/>
        </w:rPr>
        <w:t>本人</w:t>
      </w:r>
      <w:r>
        <w:rPr>
          <w:rFonts w:hint="eastAsia" w:ascii="宋体"/>
          <w:color w:val="auto"/>
          <w:sz w:val="24"/>
          <w:szCs w:val="24"/>
          <w:highlight w:val="none"/>
          <w:u w:val="single"/>
        </w:rPr>
        <w:t xml:space="preserve">           </w:t>
      </w:r>
      <w:r>
        <w:rPr>
          <w:rFonts w:hint="eastAsia" w:ascii="宋体"/>
          <w:color w:val="auto"/>
          <w:sz w:val="24"/>
          <w:szCs w:val="24"/>
          <w:highlight w:val="none"/>
        </w:rPr>
        <w:t>（姓名）系</w:t>
      </w:r>
      <w:r>
        <w:rPr>
          <w:rFonts w:hint="eastAsia" w:ascii="宋体"/>
          <w:color w:val="auto"/>
          <w:sz w:val="24"/>
          <w:szCs w:val="24"/>
          <w:highlight w:val="none"/>
          <w:u w:val="single"/>
        </w:rPr>
        <w:t xml:space="preserve">                      </w:t>
      </w:r>
      <w:r>
        <w:rPr>
          <w:rFonts w:hint="eastAsia" w:ascii="宋体"/>
          <w:color w:val="auto"/>
          <w:sz w:val="24"/>
          <w:szCs w:val="24"/>
          <w:highlight w:val="none"/>
        </w:rPr>
        <w:t>（投标人名称）的法定代表人，现委托</w:t>
      </w:r>
      <w:r>
        <w:rPr>
          <w:rFonts w:hint="eastAsia" w:ascii="宋体"/>
          <w:color w:val="auto"/>
          <w:sz w:val="24"/>
          <w:szCs w:val="24"/>
          <w:highlight w:val="none"/>
          <w:u w:val="single"/>
        </w:rPr>
        <w:t xml:space="preserve">         （姓名）</w:t>
      </w:r>
      <w:r>
        <w:rPr>
          <w:rFonts w:hint="eastAsia" w:ascii="宋体"/>
          <w:color w:val="auto"/>
          <w:sz w:val="24"/>
          <w:szCs w:val="24"/>
          <w:highlight w:val="none"/>
        </w:rPr>
        <w:t>为我方代理人。代理人根据授权，以我方名义签署、澄清、说明、补正、递交、撤回、修改</w:t>
      </w:r>
      <w:r>
        <w:rPr>
          <w:rFonts w:hint="eastAsia" w:ascii="宋体"/>
          <w:color w:val="auto"/>
          <w:sz w:val="24"/>
          <w:szCs w:val="24"/>
          <w:highlight w:val="none"/>
          <w:u w:val="single"/>
        </w:rPr>
        <w:t xml:space="preserve">                          （项目名称）</w:t>
      </w:r>
      <w:r>
        <w:rPr>
          <w:rFonts w:hint="eastAsia" w:ascii="宋体"/>
          <w:color w:val="auto"/>
          <w:sz w:val="24"/>
          <w:szCs w:val="24"/>
          <w:highlight w:val="none"/>
        </w:rPr>
        <w:t>响应文件、签订合同和处理有关事宜，其法律后果由我方承担。</w:t>
      </w:r>
    </w:p>
    <w:p w14:paraId="2CB616F6">
      <w:pPr>
        <w:spacing w:line="360" w:lineRule="auto"/>
        <w:ind w:firstLine="480" w:firstLineChars="200"/>
        <w:jc w:val="left"/>
        <w:rPr>
          <w:rFonts w:ascii="宋体"/>
          <w:color w:val="auto"/>
          <w:sz w:val="24"/>
          <w:szCs w:val="24"/>
          <w:highlight w:val="none"/>
        </w:rPr>
      </w:pPr>
      <w:r>
        <w:rPr>
          <w:rFonts w:hint="eastAsia" w:ascii="宋体"/>
          <w:color w:val="auto"/>
          <w:sz w:val="24"/>
          <w:szCs w:val="24"/>
          <w:highlight w:val="none"/>
        </w:rPr>
        <w:t>委托期限：</w:t>
      </w:r>
      <w:r>
        <w:rPr>
          <w:rFonts w:hint="eastAsia" w:ascii="宋体"/>
          <w:color w:val="auto"/>
          <w:sz w:val="24"/>
          <w:szCs w:val="24"/>
          <w:highlight w:val="none"/>
          <w:u w:val="single"/>
        </w:rPr>
        <w:t xml:space="preserve">                 </w:t>
      </w:r>
    </w:p>
    <w:p w14:paraId="04CA828F">
      <w:pPr>
        <w:spacing w:line="360" w:lineRule="auto"/>
        <w:ind w:firstLine="820" w:firstLineChars="342"/>
        <w:jc w:val="left"/>
        <w:rPr>
          <w:rFonts w:ascii="宋体"/>
          <w:color w:val="auto"/>
          <w:sz w:val="24"/>
          <w:szCs w:val="24"/>
          <w:highlight w:val="none"/>
        </w:rPr>
      </w:pPr>
      <w:r>
        <w:rPr>
          <w:rFonts w:hint="eastAsia" w:ascii="宋体"/>
          <w:color w:val="auto"/>
          <w:sz w:val="24"/>
          <w:szCs w:val="24"/>
          <w:highlight w:val="none"/>
        </w:rPr>
        <w:t>代理人无转委托权。</w:t>
      </w:r>
    </w:p>
    <w:p w14:paraId="63E8972A">
      <w:pPr>
        <w:spacing w:line="360" w:lineRule="auto"/>
        <w:ind w:firstLine="820" w:firstLineChars="342"/>
        <w:jc w:val="left"/>
        <w:rPr>
          <w:rFonts w:ascii="宋体"/>
          <w:color w:val="auto"/>
          <w:sz w:val="24"/>
          <w:szCs w:val="24"/>
          <w:highlight w:val="none"/>
        </w:rPr>
      </w:pPr>
    </w:p>
    <w:p w14:paraId="5A68A801">
      <w:pPr>
        <w:spacing w:line="360" w:lineRule="auto"/>
        <w:ind w:firstLine="3036" w:firstLineChars="1265"/>
        <w:jc w:val="left"/>
        <w:rPr>
          <w:rFonts w:ascii="宋体"/>
          <w:color w:val="auto"/>
          <w:sz w:val="24"/>
          <w:szCs w:val="24"/>
          <w:highlight w:val="none"/>
        </w:rPr>
      </w:pPr>
    </w:p>
    <w:p w14:paraId="60D62C09">
      <w:pPr>
        <w:spacing w:line="360" w:lineRule="auto"/>
        <w:ind w:firstLine="3036" w:firstLineChars="1265"/>
        <w:jc w:val="left"/>
        <w:rPr>
          <w:rFonts w:ascii="宋体"/>
          <w:color w:val="auto"/>
          <w:sz w:val="24"/>
          <w:szCs w:val="24"/>
          <w:highlight w:val="none"/>
        </w:rPr>
      </w:pPr>
    </w:p>
    <w:p w14:paraId="09345ED5">
      <w:pPr>
        <w:spacing w:line="360" w:lineRule="auto"/>
        <w:ind w:firstLine="3036" w:firstLineChars="1265"/>
        <w:jc w:val="left"/>
        <w:rPr>
          <w:rFonts w:ascii="宋体"/>
          <w:color w:val="auto"/>
          <w:sz w:val="24"/>
          <w:szCs w:val="24"/>
          <w:highlight w:val="none"/>
        </w:rPr>
      </w:pPr>
      <w:r>
        <w:rPr>
          <w:rFonts w:hint="eastAsia" w:ascii="宋体"/>
          <w:color w:val="auto"/>
          <w:sz w:val="24"/>
          <w:szCs w:val="24"/>
          <w:highlight w:val="none"/>
        </w:rPr>
        <w:t>投标供应商：（电子签章）</w:t>
      </w:r>
    </w:p>
    <w:p w14:paraId="3EE83CB1">
      <w:pPr>
        <w:spacing w:line="360" w:lineRule="auto"/>
        <w:ind w:firstLine="3036" w:firstLineChars="1265"/>
        <w:jc w:val="left"/>
        <w:rPr>
          <w:rFonts w:ascii="宋体"/>
          <w:color w:val="auto"/>
          <w:sz w:val="24"/>
          <w:szCs w:val="24"/>
          <w:highlight w:val="none"/>
        </w:rPr>
      </w:pPr>
      <w:r>
        <w:rPr>
          <w:rFonts w:hint="eastAsia" w:ascii="宋体"/>
          <w:color w:val="auto"/>
          <w:sz w:val="24"/>
          <w:szCs w:val="24"/>
          <w:highlight w:val="none"/>
        </w:rPr>
        <w:t>法定代表人：（电子签章）</w:t>
      </w:r>
    </w:p>
    <w:p w14:paraId="725BB846">
      <w:pPr>
        <w:spacing w:line="360" w:lineRule="auto"/>
        <w:ind w:firstLine="3036" w:firstLineChars="1265"/>
        <w:jc w:val="left"/>
        <w:rPr>
          <w:rFonts w:ascii="宋体"/>
          <w:color w:val="auto"/>
          <w:sz w:val="24"/>
          <w:szCs w:val="24"/>
          <w:highlight w:val="none"/>
        </w:rPr>
      </w:pPr>
      <w:r>
        <w:rPr>
          <w:rFonts w:hint="eastAsia" w:ascii="宋体"/>
          <w:color w:val="auto"/>
          <w:sz w:val="24"/>
          <w:szCs w:val="24"/>
          <w:highlight w:val="none"/>
        </w:rPr>
        <w:t>身份证号码：</w:t>
      </w:r>
    </w:p>
    <w:p w14:paraId="3895B392">
      <w:pPr>
        <w:spacing w:line="360" w:lineRule="auto"/>
        <w:ind w:firstLine="3036" w:firstLineChars="1265"/>
        <w:jc w:val="left"/>
        <w:rPr>
          <w:rFonts w:ascii="宋体"/>
          <w:color w:val="auto"/>
          <w:sz w:val="24"/>
          <w:szCs w:val="24"/>
          <w:highlight w:val="none"/>
        </w:rPr>
      </w:pPr>
      <w:r>
        <w:rPr>
          <w:rFonts w:hint="eastAsia" w:ascii="宋体"/>
          <w:color w:val="auto"/>
          <w:sz w:val="24"/>
          <w:szCs w:val="24"/>
          <w:highlight w:val="none"/>
        </w:rPr>
        <w:t>委托人：（签字或盖章）</w:t>
      </w:r>
    </w:p>
    <w:p w14:paraId="08CAA7E9">
      <w:pPr>
        <w:spacing w:line="360" w:lineRule="auto"/>
        <w:ind w:firstLine="3036" w:firstLineChars="1265"/>
        <w:jc w:val="left"/>
        <w:rPr>
          <w:rFonts w:ascii="宋体"/>
          <w:color w:val="auto"/>
          <w:sz w:val="24"/>
          <w:szCs w:val="24"/>
          <w:highlight w:val="none"/>
        </w:rPr>
      </w:pPr>
      <w:r>
        <w:rPr>
          <w:rFonts w:hint="eastAsia" w:ascii="宋体"/>
          <w:color w:val="auto"/>
          <w:sz w:val="24"/>
          <w:szCs w:val="24"/>
          <w:highlight w:val="none"/>
        </w:rPr>
        <w:t>身份证号码：</w:t>
      </w:r>
    </w:p>
    <w:p w14:paraId="63B797AB">
      <w:pPr>
        <w:spacing w:line="360" w:lineRule="auto"/>
        <w:ind w:firstLine="3036" w:firstLineChars="1265"/>
        <w:jc w:val="left"/>
        <w:rPr>
          <w:rFonts w:ascii="宋体"/>
          <w:color w:val="auto"/>
          <w:sz w:val="24"/>
          <w:szCs w:val="24"/>
          <w:highlight w:val="none"/>
        </w:rPr>
      </w:pPr>
      <w:r>
        <w:rPr>
          <w:rFonts w:hint="eastAsia" w:ascii="宋体"/>
          <w:color w:val="auto"/>
          <w:sz w:val="24"/>
          <w:szCs w:val="24"/>
          <w:highlight w:val="none"/>
        </w:rPr>
        <w:t>日期：</w:t>
      </w:r>
    </w:p>
    <w:p w14:paraId="26500ED8">
      <w:pPr>
        <w:spacing w:line="360" w:lineRule="auto"/>
        <w:ind w:firstLine="4113" w:firstLineChars="1714"/>
        <w:jc w:val="left"/>
        <w:rPr>
          <w:rFonts w:ascii="宋体"/>
          <w:color w:val="auto"/>
          <w:sz w:val="24"/>
          <w:szCs w:val="24"/>
          <w:highlight w:val="none"/>
        </w:rPr>
      </w:pPr>
    </w:p>
    <w:p w14:paraId="58575992">
      <w:pPr>
        <w:spacing w:line="360" w:lineRule="auto"/>
        <w:rPr>
          <w:rFonts w:ascii="宋体"/>
          <w:color w:val="auto"/>
          <w:sz w:val="24"/>
          <w:szCs w:val="24"/>
          <w:highlight w:val="none"/>
        </w:rPr>
      </w:pPr>
      <w:r>
        <w:rPr>
          <w:rFonts w:hint="eastAsia" w:ascii="宋体"/>
          <w:b/>
          <w:bCs/>
          <w:color w:val="auto"/>
          <w:sz w:val="24"/>
          <w:szCs w:val="24"/>
          <w:highlight w:val="none"/>
        </w:rPr>
        <w:t>（后附委托代理人身份证正反面原件扫描件加盖单位公章）</w:t>
      </w:r>
    </w:p>
    <w:p w14:paraId="2ADF8F01">
      <w:pPr>
        <w:widowControl/>
        <w:rPr>
          <w:rFonts w:ascii="宋体" w:hAnsi="宋体"/>
          <w:b/>
          <w:bCs/>
          <w:color w:val="auto"/>
          <w:kern w:val="0"/>
          <w:sz w:val="24"/>
          <w:szCs w:val="24"/>
          <w:highlight w:val="none"/>
        </w:rPr>
      </w:pPr>
    </w:p>
    <w:p w14:paraId="30C941A5">
      <w:pPr>
        <w:pStyle w:val="12"/>
        <w:ind w:firstLine="240"/>
        <w:rPr>
          <w:color w:val="auto"/>
          <w:sz w:val="24"/>
          <w:szCs w:val="24"/>
          <w:highlight w:val="none"/>
        </w:rPr>
      </w:pPr>
    </w:p>
    <w:p w14:paraId="1C05741E">
      <w:pPr>
        <w:widowControl/>
        <w:jc w:val="center"/>
        <w:rPr>
          <w:rFonts w:ascii="宋体" w:hAnsi="宋体"/>
          <w:b/>
          <w:bCs/>
          <w:color w:val="auto"/>
          <w:kern w:val="0"/>
          <w:sz w:val="24"/>
          <w:szCs w:val="24"/>
          <w:highlight w:val="none"/>
        </w:rPr>
      </w:pPr>
    </w:p>
    <w:p w14:paraId="417D29B6">
      <w:pPr>
        <w:widowControl/>
        <w:jc w:val="center"/>
        <w:rPr>
          <w:rFonts w:ascii="宋体" w:hAnsi="宋体"/>
          <w:b/>
          <w:bCs/>
          <w:color w:val="auto"/>
          <w:kern w:val="0"/>
          <w:sz w:val="24"/>
          <w:szCs w:val="24"/>
          <w:highlight w:val="none"/>
        </w:rPr>
      </w:pPr>
      <w:bookmarkStart w:id="38" w:name="_Toc16447"/>
    </w:p>
    <w:p w14:paraId="32513760">
      <w:pPr>
        <w:widowControl/>
        <w:jc w:val="center"/>
        <w:rPr>
          <w:rFonts w:ascii="宋体" w:hAnsi="宋体"/>
          <w:b/>
          <w:bCs/>
          <w:color w:val="auto"/>
          <w:kern w:val="0"/>
          <w:sz w:val="24"/>
          <w:szCs w:val="24"/>
          <w:highlight w:val="none"/>
        </w:rPr>
      </w:pPr>
    </w:p>
    <w:p w14:paraId="4105617C">
      <w:pPr>
        <w:widowControl/>
        <w:jc w:val="center"/>
        <w:rPr>
          <w:rFonts w:ascii="宋体" w:hAnsi="宋体"/>
          <w:b/>
          <w:bCs/>
          <w:color w:val="auto"/>
          <w:kern w:val="0"/>
          <w:sz w:val="24"/>
          <w:szCs w:val="24"/>
          <w:highlight w:val="none"/>
        </w:rPr>
      </w:pPr>
    </w:p>
    <w:p w14:paraId="117BD0BF">
      <w:pPr>
        <w:widowControl/>
        <w:jc w:val="center"/>
        <w:rPr>
          <w:rFonts w:ascii="宋体" w:hAnsi="宋体"/>
          <w:b/>
          <w:bCs/>
          <w:color w:val="auto"/>
          <w:kern w:val="0"/>
          <w:sz w:val="24"/>
          <w:szCs w:val="24"/>
          <w:highlight w:val="none"/>
        </w:rPr>
      </w:pPr>
    </w:p>
    <w:p w14:paraId="0FC50D54">
      <w:pPr>
        <w:widowControl/>
        <w:jc w:val="center"/>
        <w:rPr>
          <w:rFonts w:ascii="宋体" w:hAnsi="宋体"/>
          <w:b/>
          <w:bCs/>
          <w:color w:val="auto"/>
          <w:kern w:val="0"/>
          <w:sz w:val="24"/>
          <w:szCs w:val="24"/>
          <w:highlight w:val="none"/>
        </w:rPr>
      </w:pPr>
    </w:p>
    <w:p w14:paraId="73FF2EF1">
      <w:pPr>
        <w:widowControl/>
        <w:jc w:val="center"/>
        <w:rPr>
          <w:rFonts w:ascii="宋体" w:hAnsi="宋体"/>
          <w:b/>
          <w:bCs/>
          <w:color w:val="auto"/>
          <w:kern w:val="0"/>
          <w:sz w:val="24"/>
          <w:szCs w:val="24"/>
          <w:highlight w:val="none"/>
        </w:rPr>
      </w:pPr>
    </w:p>
    <w:p w14:paraId="274C3838">
      <w:pPr>
        <w:widowControl/>
        <w:jc w:val="center"/>
        <w:rPr>
          <w:rFonts w:ascii="宋体" w:hAnsi="宋体"/>
          <w:b/>
          <w:bCs/>
          <w:color w:val="auto"/>
          <w:kern w:val="0"/>
          <w:sz w:val="24"/>
          <w:szCs w:val="24"/>
          <w:highlight w:val="none"/>
        </w:rPr>
      </w:pPr>
    </w:p>
    <w:p w14:paraId="78A67775">
      <w:pPr>
        <w:rPr>
          <w:color w:val="auto"/>
          <w:highlight w:val="none"/>
        </w:rPr>
      </w:pPr>
      <w:r>
        <w:rPr>
          <w:rFonts w:ascii="宋体" w:hAnsi="宋体"/>
          <w:b/>
          <w:bCs/>
          <w:color w:val="auto"/>
          <w:kern w:val="0"/>
          <w:sz w:val="24"/>
          <w:szCs w:val="24"/>
          <w:highlight w:val="none"/>
        </w:rPr>
        <w:br w:type="page"/>
      </w:r>
    </w:p>
    <w:p w14:paraId="678E5224">
      <w:pPr>
        <w:widowControl/>
        <w:jc w:val="center"/>
        <w:rPr>
          <w:rFonts w:ascii="宋体" w:hAnsi="宋体"/>
          <w:b/>
          <w:bCs/>
          <w:color w:val="auto"/>
          <w:kern w:val="0"/>
          <w:sz w:val="24"/>
          <w:szCs w:val="24"/>
          <w:highlight w:val="none"/>
        </w:rPr>
      </w:pPr>
      <w:r>
        <w:rPr>
          <w:rFonts w:hint="eastAsia" w:ascii="宋体" w:hAnsi="宋体"/>
          <w:b/>
          <w:bCs/>
          <w:color w:val="auto"/>
          <w:kern w:val="0"/>
          <w:sz w:val="24"/>
          <w:szCs w:val="24"/>
          <w:highlight w:val="none"/>
        </w:rPr>
        <w:t>三、投标承诺函</w:t>
      </w:r>
      <w:bookmarkEnd w:id="38"/>
    </w:p>
    <w:p w14:paraId="57D68BE2">
      <w:pPr>
        <w:widowControl/>
        <w:jc w:val="center"/>
        <w:rPr>
          <w:rFonts w:ascii="宋体" w:hAnsi="宋体"/>
          <w:color w:val="auto"/>
          <w:kern w:val="0"/>
          <w:sz w:val="24"/>
          <w:szCs w:val="24"/>
          <w:highlight w:val="none"/>
        </w:rPr>
      </w:pPr>
    </w:p>
    <w:p w14:paraId="41FE191B">
      <w:pPr>
        <w:widowControl/>
        <w:spacing w:line="360" w:lineRule="auto"/>
        <w:rPr>
          <w:rFonts w:ascii="宋体" w:hAnsi="宋体"/>
          <w:color w:val="auto"/>
          <w:kern w:val="0"/>
          <w:sz w:val="24"/>
          <w:szCs w:val="24"/>
          <w:highlight w:val="none"/>
        </w:rPr>
      </w:pPr>
    </w:p>
    <w:p w14:paraId="5F242001">
      <w:pPr>
        <w:spacing w:line="360" w:lineRule="auto"/>
        <w:jc w:val="left"/>
        <w:rPr>
          <w:rFonts w:ascii="宋体" w:hAnsi="宋体"/>
          <w:bCs/>
          <w:color w:val="auto"/>
          <w:sz w:val="24"/>
          <w:szCs w:val="24"/>
          <w:highlight w:val="none"/>
        </w:rPr>
      </w:pPr>
      <w:bookmarkStart w:id="39" w:name="_Toc9510"/>
      <w:r>
        <w:rPr>
          <w:rFonts w:hint="eastAsia" w:ascii="宋体" w:hAnsi="宋体"/>
          <w:b/>
          <w:bCs/>
          <w:color w:val="auto"/>
          <w:sz w:val="24"/>
          <w:szCs w:val="24"/>
          <w:highlight w:val="none"/>
        </w:rPr>
        <w:t>致：（采购人）</w:t>
      </w:r>
    </w:p>
    <w:p w14:paraId="6BA24DF1">
      <w:pPr>
        <w:pStyle w:val="6"/>
        <w:spacing w:line="500" w:lineRule="exact"/>
        <w:ind w:firstLine="564" w:firstLineChars="235"/>
        <w:rPr>
          <w:rFonts w:hAnsi="宋体"/>
          <w:color w:val="auto"/>
          <w:highlight w:val="none"/>
        </w:rPr>
      </w:pPr>
      <w:r>
        <w:rPr>
          <w:rFonts w:hint="eastAsia" w:hAnsi="宋体"/>
          <w:color w:val="auto"/>
          <w:highlight w:val="none"/>
        </w:rPr>
        <w:t>我方已充分了解了</w:t>
      </w:r>
      <w:r>
        <w:rPr>
          <w:rFonts w:hint="eastAsia" w:hAnsi="宋体"/>
          <w:color w:val="auto"/>
          <w:highlight w:val="none"/>
          <w:u w:val="single"/>
        </w:rPr>
        <w:t xml:space="preserve">       </w:t>
      </w:r>
      <w:r>
        <w:rPr>
          <w:rFonts w:hint="eastAsia" w:hAnsi="宋体"/>
          <w:color w:val="auto"/>
          <w:highlight w:val="none"/>
        </w:rPr>
        <w:t>（项目名称）</w:t>
      </w:r>
      <w:r>
        <w:rPr>
          <w:rFonts w:hint="eastAsia" w:hAnsi="宋体"/>
          <w:color w:val="auto"/>
          <w:highlight w:val="none"/>
          <w:u w:val="single"/>
        </w:rPr>
        <w:t xml:space="preserve">        </w:t>
      </w:r>
      <w:r>
        <w:rPr>
          <w:rFonts w:hint="eastAsia" w:hAnsi="宋体"/>
          <w:color w:val="auto"/>
          <w:highlight w:val="none"/>
        </w:rPr>
        <w:t>（项目编号）的招标文件，愿意遵照本项目《招标文件》、《中华人民共和国政府采购法》等有关规定参与竞标，并承诺如下：</w:t>
      </w:r>
    </w:p>
    <w:p w14:paraId="24CBF867">
      <w:pPr>
        <w:pStyle w:val="6"/>
        <w:spacing w:line="500" w:lineRule="exact"/>
        <w:ind w:firstLine="564" w:firstLineChars="235"/>
        <w:rPr>
          <w:rFonts w:hAnsi="宋体"/>
          <w:color w:val="auto"/>
          <w:highlight w:val="none"/>
        </w:rPr>
      </w:pPr>
      <w:r>
        <w:rPr>
          <w:rFonts w:hint="eastAsia" w:hAnsi="宋体"/>
          <w:color w:val="auto"/>
          <w:highlight w:val="none"/>
        </w:rPr>
        <w:t>1、我方承诺将严格按照“公开、公平、公正和诚实信用原则”参与本项目竞标活动。</w:t>
      </w:r>
    </w:p>
    <w:p w14:paraId="5169BE25">
      <w:pPr>
        <w:pStyle w:val="6"/>
        <w:spacing w:line="500" w:lineRule="exact"/>
        <w:ind w:firstLine="564" w:firstLineChars="235"/>
        <w:rPr>
          <w:rFonts w:hAnsi="宋体"/>
          <w:color w:val="auto"/>
          <w:highlight w:val="none"/>
        </w:rPr>
      </w:pPr>
      <w:r>
        <w:rPr>
          <w:rFonts w:hint="eastAsia" w:hAnsi="宋体"/>
          <w:color w:val="auto"/>
          <w:highlight w:val="none"/>
        </w:rPr>
        <w:t>2、我方承诺在投标有效期内不撤销响应性文件；</w:t>
      </w:r>
    </w:p>
    <w:p w14:paraId="6D6F5602">
      <w:pPr>
        <w:pStyle w:val="6"/>
        <w:spacing w:line="500" w:lineRule="exact"/>
        <w:ind w:firstLine="564" w:firstLineChars="235"/>
        <w:rPr>
          <w:rFonts w:hAnsi="宋体"/>
          <w:color w:val="auto"/>
          <w:highlight w:val="none"/>
        </w:rPr>
      </w:pPr>
      <w:r>
        <w:rPr>
          <w:rFonts w:hint="eastAsia" w:hAnsi="宋体"/>
          <w:color w:val="auto"/>
          <w:highlight w:val="none"/>
        </w:rPr>
        <w:t>3、我方承诺绝不与采购人、其他投标供应商或者代理机构恶意串通的投标；</w:t>
      </w:r>
    </w:p>
    <w:p w14:paraId="3A06CBAA">
      <w:pPr>
        <w:pStyle w:val="6"/>
        <w:spacing w:line="500" w:lineRule="exact"/>
        <w:ind w:firstLine="564" w:firstLineChars="235"/>
        <w:rPr>
          <w:rFonts w:hAnsi="宋体"/>
          <w:color w:val="auto"/>
          <w:highlight w:val="none"/>
        </w:rPr>
      </w:pPr>
      <w:r>
        <w:rPr>
          <w:rFonts w:hint="eastAsia" w:hAnsi="宋体"/>
          <w:color w:val="auto"/>
          <w:highlight w:val="none"/>
        </w:rPr>
        <w:t>4、我方承诺绝不以他人的名义投标、串通投标、以行贿手段谋取中标或者以其他弄虚作假方式投标；</w:t>
      </w:r>
    </w:p>
    <w:p w14:paraId="3E9D7113">
      <w:pPr>
        <w:pStyle w:val="6"/>
        <w:spacing w:line="500" w:lineRule="exact"/>
        <w:ind w:firstLine="564" w:firstLineChars="235"/>
        <w:rPr>
          <w:rFonts w:hAnsi="宋体"/>
          <w:color w:val="auto"/>
          <w:highlight w:val="none"/>
        </w:rPr>
      </w:pPr>
      <w:r>
        <w:rPr>
          <w:rFonts w:hint="eastAsia" w:hAnsi="宋体"/>
          <w:color w:val="auto"/>
          <w:highlight w:val="none"/>
        </w:rPr>
        <w:t>5、我方承诺绝不采取不正当手段谋取中标；</w:t>
      </w:r>
    </w:p>
    <w:p w14:paraId="5B80A2D7">
      <w:pPr>
        <w:pStyle w:val="6"/>
        <w:spacing w:line="500" w:lineRule="exact"/>
        <w:ind w:firstLine="564" w:firstLineChars="235"/>
        <w:rPr>
          <w:rFonts w:hAnsi="宋体"/>
          <w:color w:val="auto"/>
          <w:highlight w:val="none"/>
        </w:rPr>
      </w:pPr>
      <w:r>
        <w:rPr>
          <w:rFonts w:hint="eastAsia" w:hAnsi="宋体"/>
          <w:color w:val="auto"/>
          <w:highlight w:val="none"/>
        </w:rPr>
        <w:t>6、如我方中标，我方承诺在收到成交通知书后，在成交通知书规定的期限内，根据招标文件、我方的谈判响应文件及有关澄清承诺书的要求，与采购人订立书面合同，并按照合同约定承担完成合同的责任和义务；</w:t>
      </w:r>
    </w:p>
    <w:p w14:paraId="7A8CFFD4">
      <w:pPr>
        <w:pStyle w:val="6"/>
        <w:spacing w:line="500" w:lineRule="exact"/>
        <w:ind w:firstLine="564" w:firstLineChars="235"/>
        <w:rPr>
          <w:rFonts w:hAnsi="宋体"/>
          <w:color w:val="auto"/>
          <w:highlight w:val="none"/>
        </w:rPr>
      </w:pPr>
      <w:r>
        <w:rPr>
          <w:rFonts w:hint="eastAsia" w:hAnsi="宋体"/>
          <w:color w:val="auto"/>
          <w:highlight w:val="none"/>
        </w:rPr>
        <w:t>7、如我方违反此约定，愿意承担对本项目造成的一切经济损失，并同时依法承担相应法律责任。</w:t>
      </w:r>
    </w:p>
    <w:p w14:paraId="14C54F5F">
      <w:pPr>
        <w:pStyle w:val="6"/>
        <w:spacing w:line="500" w:lineRule="exact"/>
        <w:ind w:firstLine="564" w:firstLineChars="235"/>
        <w:rPr>
          <w:rFonts w:hAnsi="宋体"/>
          <w:color w:val="auto"/>
          <w:highlight w:val="none"/>
        </w:rPr>
      </w:pPr>
    </w:p>
    <w:p w14:paraId="471A1CA8">
      <w:pPr>
        <w:spacing w:line="500" w:lineRule="exact"/>
        <w:ind w:firstLine="3523" w:firstLineChars="1468"/>
        <w:jc w:val="left"/>
        <w:rPr>
          <w:rFonts w:ascii="宋体" w:hAnsi="宋体"/>
          <w:bCs/>
          <w:color w:val="auto"/>
          <w:kern w:val="0"/>
          <w:sz w:val="24"/>
          <w:szCs w:val="24"/>
          <w:highlight w:val="none"/>
        </w:rPr>
      </w:pPr>
      <w:r>
        <w:rPr>
          <w:rFonts w:hint="eastAsia" w:ascii="宋体" w:hAnsi="宋体"/>
          <w:bCs/>
          <w:color w:val="auto"/>
          <w:kern w:val="0"/>
          <w:sz w:val="24"/>
          <w:szCs w:val="24"/>
          <w:highlight w:val="none"/>
        </w:rPr>
        <w:t>投标供应商：（</w:t>
      </w:r>
      <w:r>
        <w:rPr>
          <w:rFonts w:hint="eastAsia" w:ascii="宋体"/>
          <w:color w:val="auto"/>
          <w:sz w:val="24"/>
          <w:szCs w:val="24"/>
          <w:highlight w:val="none"/>
        </w:rPr>
        <w:t>电子签章</w:t>
      </w:r>
      <w:r>
        <w:rPr>
          <w:rFonts w:hint="eastAsia" w:ascii="宋体" w:hAnsi="宋体"/>
          <w:bCs/>
          <w:color w:val="auto"/>
          <w:kern w:val="0"/>
          <w:sz w:val="24"/>
          <w:szCs w:val="24"/>
          <w:highlight w:val="none"/>
        </w:rPr>
        <w:t>）</w:t>
      </w:r>
    </w:p>
    <w:p w14:paraId="554D69C8">
      <w:pPr>
        <w:spacing w:line="500" w:lineRule="exact"/>
        <w:ind w:firstLine="3523" w:firstLineChars="1468"/>
        <w:jc w:val="left"/>
        <w:rPr>
          <w:rFonts w:ascii="宋体" w:hAnsi="宋体"/>
          <w:bCs/>
          <w:color w:val="auto"/>
          <w:kern w:val="0"/>
          <w:sz w:val="24"/>
          <w:szCs w:val="24"/>
          <w:highlight w:val="none"/>
        </w:rPr>
      </w:pPr>
      <w:r>
        <w:rPr>
          <w:rFonts w:hint="eastAsia" w:ascii="宋体" w:hAnsi="宋体"/>
          <w:bCs/>
          <w:color w:val="auto"/>
          <w:kern w:val="0"/>
          <w:sz w:val="24"/>
          <w:szCs w:val="24"/>
          <w:highlight w:val="none"/>
        </w:rPr>
        <w:t>法定代表人：（</w:t>
      </w:r>
      <w:r>
        <w:rPr>
          <w:rFonts w:hint="eastAsia" w:ascii="宋体"/>
          <w:color w:val="auto"/>
          <w:sz w:val="24"/>
          <w:szCs w:val="24"/>
          <w:highlight w:val="none"/>
        </w:rPr>
        <w:t>电子签章</w:t>
      </w:r>
      <w:r>
        <w:rPr>
          <w:rFonts w:hint="eastAsia" w:ascii="宋体" w:hAnsi="宋体"/>
          <w:bCs/>
          <w:color w:val="auto"/>
          <w:kern w:val="0"/>
          <w:sz w:val="24"/>
          <w:szCs w:val="24"/>
          <w:highlight w:val="none"/>
        </w:rPr>
        <w:t>）</w:t>
      </w:r>
    </w:p>
    <w:p w14:paraId="28D7C79C">
      <w:pPr>
        <w:widowControl/>
        <w:spacing w:line="520" w:lineRule="atLeast"/>
        <w:jc w:val="center"/>
        <w:rPr>
          <w:rFonts w:ascii="宋体" w:hAnsi="宋体"/>
          <w:bCs/>
          <w:color w:val="auto"/>
          <w:kern w:val="0"/>
          <w:sz w:val="24"/>
          <w:szCs w:val="24"/>
          <w:highlight w:val="none"/>
        </w:rPr>
      </w:pPr>
      <w:r>
        <w:rPr>
          <w:rFonts w:hint="eastAsia" w:ascii="宋体" w:hAnsi="宋体"/>
          <w:bCs/>
          <w:color w:val="auto"/>
          <w:kern w:val="0"/>
          <w:sz w:val="24"/>
          <w:szCs w:val="24"/>
          <w:highlight w:val="none"/>
        </w:rPr>
        <w:t xml:space="preserve">     日期：</w:t>
      </w:r>
    </w:p>
    <w:bookmarkEnd w:id="39"/>
    <w:p w14:paraId="6EB87FF0">
      <w:pPr>
        <w:rPr>
          <w:rFonts w:ascii="宋体" w:hAnsi="宋体"/>
          <w:b/>
          <w:bCs/>
          <w:color w:val="auto"/>
          <w:kern w:val="0"/>
          <w:sz w:val="24"/>
          <w:szCs w:val="24"/>
          <w:highlight w:val="none"/>
        </w:rPr>
      </w:pPr>
      <w:bookmarkStart w:id="40" w:name="_Toc14813"/>
      <w:r>
        <w:rPr>
          <w:rFonts w:hint="eastAsia" w:ascii="宋体" w:hAnsi="宋体"/>
          <w:b/>
          <w:bCs/>
          <w:color w:val="auto"/>
          <w:kern w:val="0"/>
          <w:sz w:val="24"/>
          <w:szCs w:val="24"/>
          <w:highlight w:val="none"/>
        </w:rPr>
        <w:br w:type="page"/>
      </w:r>
    </w:p>
    <w:p w14:paraId="2AA433E2">
      <w:pPr>
        <w:widowControl/>
        <w:spacing w:line="520" w:lineRule="atLeast"/>
        <w:jc w:val="center"/>
        <w:rPr>
          <w:rFonts w:ascii="宋体" w:hAnsi="宋体"/>
          <w:b/>
          <w:bCs/>
          <w:color w:val="auto"/>
          <w:kern w:val="0"/>
          <w:sz w:val="24"/>
          <w:szCs w:val="24"/>
          <w:highlight w:val="none"/>
        </w:rPr>
      </w:pPr>
      <w:r>
        <w:rPr>
          <w:rFonts w:hint="eastAsia" w:ascii="宋体" w:hAnsi="宋体"/>
          <w:b/>
          <w:bCs/>
          <w:color w:val="auto"/>
          <w:kern w:val="0"/>
          <w:sz w:val="24"/>
          <w:szCs w:val="24"/>
          <w:highlight w:val="none"/>
        </w:rPr>
        <w:t>四、投标供应商情况</w:t>
      </w:r>
      <w:bookmarkEnd w:id="40"/>
    </w:p>
    <w:p w14:paraId="1D82B6B8">
      <w:pPr>
        <w:spacing w:line="360" w:lineRule="auto"/>
        <w:jc w:val="center"/>
        <w:rPr>
          <w:rFonts w:ascii="宋体"/>
          <w:bCs/>
          <w:color w:val="auto"/>
          <w:kern w:val="0"/>
          <w:sz w:val="24"/>
          <w:szCs w:val="24"/>
          <w:highlight w:val="none"/>
        </w:rPr>
      </w:pPr>
      <w:bookmarkStart w:id="41" w:name="_Toc27619"/>
      <w:r>
        <w:rPr>
          <w:rFonts w:hint="eastAsia" w:ascii="宋体"/>
          <w:bCs/>
          <w:color w:val="auto"/>
          <w:kern w:val="0"/>
          <w:sz w:val="24"/>
          <w:szCs w:val="24"/>
          <w:highlight w:val="none"/>
        </w:rPr>
        <w:t>1、企业基本情况表</w:t>
      </w:r>
    </w:p>
    <w:tbl>
      <w:tblPr>
        <w:tblStyle w:val="14"/>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2"/>
        <w:gridCol w:w="894"/>
        <w:gridCol w:w="3039"/>
        <w:gridCol w:w="1268"/>
        <w:gridCol w:w="2794"/>
      </w:tblGrid>
      <w:tr w14:paraId="69B25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1912" w:type="dxa"/>
            <w:vAlign w:val="center"/>
          </w:tcPr>
          <w:p w14:paraId="6B3A1C73">
            <w:pPr>
              <w:spacing w:line="360" w:lineRule="auto"/>
              <w:jc w:val="center"/>
              <w:rPr>
                <w:rFonts w:ascii="宋体"/>
                <w:bCs/>
                <w:color w:val="auto"/>
                <w:kern w:val="0"/>
                <w:sz w:val="24"/>
                <w:szCs w:val="24"/>
                <w:highlight w:val="none"/>
              </w:rPr>
            </w:pPr>
            <w:r>
              <w:rPr>
                <w:rFonts w:hint="eastAsia" w:ascii="宋体"/>
                <w:bCs/>
                <w:color w:val="auto"/>
                <w:kern w:val="0"/>
                <w:sz w:val="24"/>
                <w:szCs w:val="24"/>
                <w:highlight w:val="none"/>
              </w:rPr>
              <w:t>投标供应商</w:t>
            </w:r>
          </w:p>
          <w:p w14:paraId="2922EFDF">
            <w:pPr>
              <w:spacing w:line="360" w:lineRule="auto"/>
              <w:jc w:val="center"/>
              <w:rPr>
                <w:rFonts w:ascii="宋体"/>
                <w:bCs/>
                <w:color w:val="auto"/>
                <w:kern w:val="0"/>
                <w:sz w:val="24"/>
                <w:szCs w:val="24"/>
                <w:highlight w:val="none"/>
              </w:rPr>
            </w:pPr>
            <w:r>
              <w:rPr>
                <w:rFonts w:hint="eastAsia" w:ascii="宋体"/>
                <w:bCs/>
                <w:color w:val="auto"/>
                <w:kern w:val="0"/>
                <w:sz w:val="24"/>
                <w:szCs w:val="24"/>
                <w:highlight w:val="none"/>
              </w:rPr>
              <w:t>名称</w:t>
            </w:r>
          </w:p>
        </w:tc>
        <w:tc>
          <w:tcPr>
            <w:tcW w:w="7995" w:type="dxa"/>
            <w:gridSpan w:val="4"/>
            <w:vAlign w:val="center"/>
          </w:tcPr>
          <w:p w14:paraId="5A705ECD">
            <w:pPr>
              <w:spacing w:line="360" w:lineRule="auto"/>
              <w:jc w:val="center"/>
              <w:rPr>
                <w:rFonts w:ascii="宋体"/>
                <w:bCs/>
                <w:color w:val="auto"/>
                <w:kern w:val="0"/>
                <w:sz w:val="24"/>
                <w:szCs w:val="24"/>
                <w:highlight w:val="none"/>
              </w:rPr>
            </w:pPr>
          </w:p>
        </w:tc>
      </w:tr>
      <w:tr w14:paraId="41C65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1912" w:type="dxa"/>
            <w:vAlign w:val="center"/>
          </w:tcPr>
          <w:p w14:paraId="7B972229">
            <w:pPr>
              <w:spacing w:line="360" w:lineRule="auto"/>
              <w:jc w:val="center"/>
              <w:rPr>
                <w:rFonts w:ascii="宋体"/>
                <w:bCs/>
                <w:color w:val="auto"/>
                <w:kern w:val="0"/>
                <w:sz w:val="24"/>
                <w:szCs w:val="24"/>
                <w:highlight w:val="none"/>
              </w:rPr>
            </w:pPr>
            <w:r>
              <w:rPr>
                <w:rFonts w:hint="eastAsia" w:ascii="宋体"/>
                <w:bCs/>
                <w:color w:val="auto"/>
                <w:kern w:val="0"/>
                <w:sz w:val="24"/>
                <w:szCs w:val="24"/>
                <w:highlight w:val="none"/>
              </w:rPr>
              <w:t>注册地址</w:t>
            </w:r>
          </w:p>
        </w:tc>
        <w:tc>
          <w:tcPr>
            <w:tcW w:w="3933" w:type="dxa"/>
            <w:gridSpan w:val="2"/>
            <w:vAlign w:val="center"/>
          </w:tcPr>
          <w:p w14:paraId="69E1FC0C">
            <w:pPr>
              <w:spacing w:line="360" w:lineRule="auto"/>
              <w:jc w:val="center"/>
              <w:rPr>
                <w:rFonts w:ascii="宋体"/>
                <w:bCs/>
                <w:color w:val="auto"/>
                <w:kern w:val="0"/>
                <w:sz w:val="24"/>
                <w:szCs w:val="24"/>
                <w:highlight w:val="none"/>
              </w:rPr>
            </w:pPr>
          </w:p>
        </w:tc>
        <w:tc>
          <w:tcPr>
            <w:tcW w:w="1268" w:type="dxa"/>
            <w:vAlign w:val="center"/>
          </w:tcPr>
          <w:p w14:paraId="5BD350C2">
            <w:pPr>
              <w:spacing w:line="360" w:lineRule="auto"/>
              <w:jc w:val="center"/>
              <w:rPr>
                <w:rFonts w:ascii="宋体"/>
                <w:bCs/>
                <w:color w:val="auto"/>
                <w:kern w:val="0"/>
                <w:sz w:val="24"/>
                <w:szCs w:val="24"/>
                <w:highlight w:val="none"/>
              </w:rPr>
            </w:pPr>
            <w:r>
              <w:rPr>
                <w:rFonts w:hint="eastAsia" w:ascii="宋体"/>
                <w:bCs/>
                <w:color w:val="auto"/>
                <w:kern w:val="0"/>
                <w:sz w:val="24"/>
                <w:szCs w:val="24"/>
                <w:highlight w:val="none"/>
              </w:rPr>
              <w:t>注册</w:t>
            </w:r>
          </w:p>
          <w:p w14:paraId="3DE2171B">
            <w:pPr>
              <w:spacing w:line="360" w:lineRule="auto"/>
              <w:jc w:val="center"/>
              <w:rPr>
                <w:rFonts w:ascii="宋体"/>
                <w:bCs/>
                <w:color w:val="auto"/>
                <w:kern w:val="0"/>
                <w:sz w:val="24"/>
                <w:szCs w:val="24"/>
                <w:highlight w:val="none"/>
              </w:rPr>
            </w:pPr>
            <w:r>
              <w:rPr>
                <w:rFonts w:hint="eastAsia" w:ascii="宋体"/>
                <w:bCs/>
                <w:color w:val="auto"/>
                <w:kern w:val="0"/>
                <w:sz w:val="24"/>
                <w:szCs w:val="24"/>
                <w:highlight w:val="none"/>
              </w:rPr>
              <w:t>时间</w:t>
            </w:r>
          </w:p>
        </w:tc>
        <w:tc>
          <w:tcPr>
            <w:tcW w:w="2794" w:type="dxa"/>
            <w:vAlign w:val="center"/>
          </w:tcPr>
          <w:p w14:paraId="4EEF0D45">
            <w:pPr>
              <w:spacing w:line="360" w:lineRule="auto"/>
              <w:jc w:val="center"/>
              <w:rPr>
                <w:rFonts w:ascii="宋体"/>
                <w:bCs/>
                <w:color w:val="auto"/>
                <w:kern w:val="0"/>
                <w:sz w:val="24"/>
                <w:szCs w:val="24"/>
                <w:highlight w:val="none"/>
              </w:rPr>
            </w:pPr>
          </w:p>
        </w:tc>
      </w:tr>
      <w:tr w14:paraId="0ABBA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1912" w:type="dxa"/>
            <w:vAlign w:val="center"/>
          </w:tcPr>
          <w:p w14:paraId="4BBFA585">
            <w:pPr>
              <w:spacing w:line="360" w:lineRule="auto"/>
              <w:jc w:val="center"/>
              <w:rPr>
                <w:rFonts w:ascii="宋体"/>
                <w:bCs/>
                <w:color w:val="auto"/>
                <w:kern w:val="0"/>
                <w:sz w:val="24"/>
                <w:szCs w:val="24"/>
                <w:highlight w:val="none"/>
              </w:rPr>
            </w:pPr>
            <w:r>
              <w:rPr>
                <w:rFonts w:hint="eastAsia" w:ascii="宋体"/>
                <w:bCs/>
                <w:color w:val="auto"/>
                <w:kern w:val="0"/>
                <w:sz w:val="24"/>
                <w:szCs w:val="24"/>
                <w:highlight w:val="none"/>
              </w:rPr>
              <w:t>法定代表人</w:t>
            </w:r>
          </w:p>
        </w:tc>
        <w:tc>
          <w:tcPr>
            <w:tcW w:w="894" w:type="dxa"/>
            <w:vAlign w:val="center"/>
          </w:tcPr>
          <w:p w14:paraId="5D5056E3">
            <w:pPr>
              <w:spacing w:line="360" w:lineRule="auto"/>
              <w:jc w:val="center"/>
              <w:rPr>
                <w:rFonts w:ascii="宋体"/>
                <w:bCs/>
                <w:color w:val="auto"/>
                <w:kern w:val="0"/>
                <w:sz w:val="24"/>
                <w:szCs w:val="24"/>
                <w:highlight w:val="none"/>
              </w:rPr>
            </w:pPr>
            <w:r>
              <w:rPr>
                <w:rFonts w:hint="eastAsia" w:ascii="宋体"/>
                <w:bCs/>
                <w:color w:val="auto"/>
                <w:kern w:val="0"/>
                <w:sz w:val="24"/>
                <w:szCs w:val="24"/>
                <w:highlight w:val="none"/>
              </w:rPr>
              <w:t>姓名</w:t>
            </w:r>
          </w:p>
        </w:tc>
        <w:tc>
          <w:tcPr>
            <w:tcW w:w="3039" w:type="dxa"/>
            <w:vAlign w:val="center"/>
          </w:tcPr>
          <w:p w14:paraId="5685389E">
            <w:pPr>
              <w:spacing w:line="360" w:lineRule="auto"/>
              <w:jc w:val="center"/>
              <w:rPr>
                <w:rFonts w:ascii="宋体"/>
                <w:bCs/>
                <w:color w:val="auto"/>
                <w:kern w:val="0"/>
                <w:sz w:val="24"/>
                <w:szCs w:val="24"/>
                <w:highlight w:val="none"/>
              </w:rPr>
            </w:pPr>
          </w:p>
        </w:tc>
        <w:tc>
          <w:tcPr>
            <w:tcW w:w="1268" w:type="dxa"/>
            <w:vAlign w:val="center"/>
          </w:tcPr>
          <w:p w14:paraId="0B1686DA">
            <w:pPr>
              <w:spacing w:line="360" w:lineRule="auto"/>
              <w:jc w:val="center"/>
              <w:rPr>
                <w:rFonts w:ascii="宋体"/>
                <w:bCs/>
                <w:color w:val="auto"/>
                <w:kern w:val="0"/>
                <w:sz w:val="24"/>
                <w:szCs w:val="24"/>
                <w:highlight w:val="none"/>
              </w:rPr>
            </w:pPr>
            <w:r>
              <w:rPr>
                <w:rFonts w:hint="eastAsia" w:ascii="宋体"/>
                <w:bCs/>
                <w:color w:val="auto"/>
                <w:kern w:val="0"/>
                <w:sz w:val="24"/>
                <w:szCs w:val="24"/>
                <w:highlight w:val="none"/>
              </w:rPr>
              <w:t>电话</w:t>
            </w:r>
          </w:p>
        </w:tc>
        <w:tc>
          <w:tcPr>
            <w:tcW w:w="2794" w:type="dxa"/>
            <w:vAlign w:val="center"/>
          </w:tcPr>
          <w:p w14:paraId="03CDAF3D">
            <w:pPr>
              <w:spacing w:line="360" w:lineRule="auto"/>
              <w:jc w:val="center"/>
              <w:rPr>
                <w:rFonts w:ascii="宋体"/>
                <w:bCs/>
                <w:color w:val="auto"/>
                <w:kern w:val="0"/>
                <w:sz w:val="24"/>
                <w:szCs w:val="24"/>
                <w:highlight w:val="none"/>
              </w:rPr>
            </w:pPr>
          </w:p>
        </w:tc>
      </w:tr>
      <w:tr w14:paraId="3C43E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1912" w:type="dxa"/>
            <w:vAlign w:val="center"/>
          </w:tcPr>
          <w:p w14:paraId="4BC3FDEC">
            <w:pPr>
              <w:spacing w:line="360" w:lineRule="auto"/>
              <w:jc w:val="center"/>
              <w:rPr>
                <w:rFonts w:ascii="宋体"/>
                <w:bCs/>
                <w:color w:val="auto"/>
                <w:kern w:val="0"/>
                <w:sz w:val="24"/>
                <w:szCs w:val="24"/>
                <w:highlight w:val="none"/>
              </w:rPr>
            </w:pPr>
            <w:r>
              <w:rPr>
                <w:rFonts w:hint="eastAsia" w:ascii="宋体"/>
                <w:bCs/>
                <w:color w:val="auto"/>
                <w:kern w:val="0"/>
                <w:sz w:val="24"/>
                <w:szCs w:val="24"/>
                <w:highlight w:val="none"/>
              </w:rPr>
              <w:t>注册资金</w:t>
            </w:r>
          </w:p>
        </w:tc>
        <w:tc>
          <w:tcPr>
            <w:tcW w:w="7995" w:type="dxa"/>
            <w:gridSpan w:val="4"/>
            <w:vAlign w:val="center"/>
          </w:tcPr>
          <w:p w14:paraId="04FE24B4">
            <w:pPr>
              <w:spacing w:line="360" w:lineRule="auto"/>
              <w:jc w:val="center"/>
              <w:rPr>
                <w:rFonts w:ascii="宋体"/>
                <w:bCs/>
                <w:color w:val="auto"/>
                <w:kern w:val="0"/>
                <w:sz w:val="24"/>
                <w:szCs w:val="24"/>
                <w:highlight w:val="none"/>
              </w:rPr>
            </w:pPr>
          </w:p>
        </w:tc>
      </w:tr>
      <w:tr w14:paraId="3B068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1912" w:type="dxa"/>
            <w:vAlign w:val="center"/>
          </w:tcPr>
          <w:p w14:paraId="7E941CD9">
            <w:pPr>
              <w:spacing w:line="360" w:lineRule="auto"/>
              <w:jc w:val="center"/>
              <w:rPr>
                <w:rFonts w:ascii="宋体"/>
                <w:bCs/>
                <w:color w:val="auto"/>
                <w:kern w:val="0"/>
                <w:sz w:val="24"/>
                <w:szCs w:val="24"/>
                <w:highlight w:val="none"/>
              </w:rPr>
            </w:pPr>
            <w:r>
              <w:rPr>
                <w:rFonts w:hint="eastAsia" w:ascii="宋体"/>
                <w:bCs/>
                <w:color w:val="auto"/>
                <w:kern w:val="0"/>
                <w:sz w:val="24"/>
                <w:szCs w:val="24"/>
                <w:highlight w:val="none"/>
              </w:rPr>
              <w:t>营业执照号</w:t>
            </w:r>
          </w:p>
        </w:tc>
        <w:tc>
          <w:tcPr>
            <w:tcW w:w="3933" w:type="dxa"/>
            <w:gridSpan w:val="2"/>
            <w:vAlign w:val="center"/>
          </w:tcPr>
          <w:p w14:paraId="331122B2">
            <w:pPr>
              <w:spacing w:line="360" w:lineRule="auto"/>
              <w:jc w:val="center"/>
              <w:rPr>
                <w:rFonts w:ascii="宋体"/>
                <w:bCs/>
                <w:color w:val="auto"/>
                <w:kern w:val="0"/>
                <w:sz w:val="24"/>
                <w:szCs w:val="24"/>
                <w:highlight w:val="none"/>
              </w:rPr>
            </w:pPr>
          </w:p>
        </w:tc>
        <w:tc>
          <w:tcPr>
            <w:tcW w:w="1268" w:type="dxa"/>
            <w:vAlign w:val="center"/>
          </w:tcPr>
          <w:p w14:paraId="23206A9C">
            <w:pPr>
              <w:spacing w:line="360" w:lineRule="auto"/>
              <w:jc w:val="center"/>
              <w:rPr>
                <w:rFonts w:ascii="宋体"/>
                <w:bCs/>
                <w:color w:val="auto"/>
                <w:kern w:val="0"/>
                <w:sz w:val="24"/>
                <w:szCs w:val="24"/>
                <w:highlight w:val="none"/>
              </w:rPr>
            </w:pPr>
            <w:r>
              <w:rPr>
                <w:rFonts w:hint="eastAsia" w:ascii="宋体"/>
                <w:bCs/>
                <w:color w:val="auto"/>
                <w:kern w:val="0"/>
                <w:sz w:val="24"/>
                <w:szCs w:val="24"/>
                <w:highlight w:val="none"/>
              </w:rPr>
              <w:t>有效期</w:t>
            </w:r>
          </w:p>
        </w:tc>
        <w:tc>
          <w:tcPr>
            <w:tcW w:w="2794" w:type="dxa"/>
            <w:vAlign w:val="center"/>
          </w:tcPr>
          <w:p w14:paraId="2610DD15">
            <w:pPr>
              <w:spacing w:line="360" w:lineRule="auto"/>
              <w:jc w:val="center"/>
              <w:rPr>
                <w:rFonts w:ascii="宋体"/>
                <w:bCs/>
                <w:color w:val="auto"/>
                <w:kern w:val="0"/>
                <w:sz w:val="24"/>
                <w:szCs w:val="24"/>
                <w:highlight w:val="none"/>
              </w:rPr>
            </w:pPr>
          </w:p>
        </w:tc>
      </w:tr>
      <w:tr w14:paraId="25DFC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jc w:val="center"/>
        </w:trPr>
        <w:tc>
          <w:tcPr>
            <w:tcW w:w="1912" w:type="dxa"/>
            <w:vAlign w:val="center"/>
          </w:tcPr>
          <w:p w14:paraId="0103F3D5">
            <w:pPr>
              <w:spacing w:line="360" w:lineRule="auto"/>
              <w:jc w:val="center"/>
              <w:rPr>
                <w:rFonts w:ascii="宋体"/>
                <w:bCs/>
                <w:color w:val="auto"/>
                <w:kern w:val="0"/>
                <w:sz w:val="24"/>
                <w:szCs w:val="24"/>
                <w:highlight w:val="none"/>
              </w:rPr>
            </w:pPr>
            <w:r>
              <w:rPr>
                <w:rFonts w:hint="eastAsia" w:ascii="宋体"/>
                <w:bCs/>
                <w:color w:val="auto"/>
                <w:kern w:val="0"/>
                <w:sz w:val="24"/>
                <w:szCs w:val="24"/>
                <w:highlight w:val="none"/>
              </w:rPr>
              <w:t>经营范围</w:t>
            </w:r>
          </w:p>
        </w:tc>
        <w:tc>
          <w:tcPr>
            <w:tcW w:w="7995" w:type="dxa"/>
            <w:gridSpan w:val="4"/>
            <w:vAlign w:val="center"/>
          </w:tcPr>
          <w:p w14:paraId="511D38BC">
            <w:pPr>
              <w:spacing w:line="360" w:lineRule="auto"/>
              <w:jc w:val="center"/>
              <w:rPr>
                <w:rFonts w:ascii="宋体"/>
                <w:bCs/>
                <w:color w:val="auto"/>
                <w:kern w:val="0"/>
                <w:sz w:val="24"/>
                <w:szCs w:val="24"/>
                <w:highlight w:val="none"/>
              </w:rPr>
            </w:pPr>
          </w:p>
        </w:tc>
      </w:tr>
      <w:tr w14:paraId="733C6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1912" w:type="dxa"/>
            <w:vAlign w:val="center"/>
          </w:tcPr>
          <w:p w14:paraId="65139B45">
            <w:pPr>
              <w:spacing w:line="360" w:lineRule="auto"/>
              <w:jc w:val="center"/>
              <w:rPr>
                <w:rFonts w:ascii="宋体"/>
                <w:bCs/>
                <w:color w:val="auto"/>
                <w:kern w:val="0"/>
                <w:sz w:val="24"/>
                <w:szCs w:val="24"/>
                <w:highlight w:val="none"/>
              </w:rPr>
            </w:pPr>
            <w:r>
              <w:rPr>
                <w:rFonts w:hint="eastAsia" w:ascii="宋体"/>
                <w:bCs/>
                <w:color w:val="auto"/>
                <w:kern w:val="0"/>
                <w:sz w:val="24"/>
                <w:szCs w:val="24"/>
                <w:highlight w:val="none"/>
              </w:rPr>
              <w:t>备注</w:t>
            </w:r>
          </w:p>
        </w:tc>
        <w:tc>
          <w:tcPr>
            <w:tcW w:w="7995" w:type="dxa"/>
            <w:gridSpan w:val="4"/>
            <w:vAlign w:val="center"/>
          </w:tcPr>
          <w:p w14:paraId="5262787C">
            <w:pPr>
              <w:spacing w:line="360" w:lineRule="auto"/>
              <w:jc w:val="center"/>
              <w:rPr>
                <w:rFonts w:ascii="宋体"/>
                <w:bCs/>
                <w:color w:val="auto"/>
                <w:kern w:val="0"/>
                <w:sz w:val="24"/>
                <w:szCs w:val="24"/>
                <w:highlight w:val="none"/>
              </w:rPr>
            </w:pPr>
          </w:p>
        </w:tc>
      </w:tr>
    </w:tbl>
    <w:p w14:paraId="432D6BE4">
      <w:pPr>
        <w:spacing w:line="360" w:lineRule="auto"/>
        <w:ind w:firstLine="5244" w:firstLineChars="2185"/>
        <w:jc w:val="left"/>
        <w:rPr>
          <w:rFonts w:ascii="宋体"/>
          <w:bCs/>
          <w:color w:val="auto"/>
          <w:kern w:val="0"/>
          <w:sz w:val="24"/>
          <w:szCs w:val="24"/>
          <w:highlight w:val="none"/>
        </w:rPr>
      </w:pPr>
    </w:p>
    <w:p w14:paraId="45CDAF97">
      <w:pPr>
        <w:spacing w:line="500" w:lineRule="exact"/>
        <w:ind w:firstLine="4250" w:firstLineChars="1771"/>
        <w:jc w:val="left"/>
        <w:rPr>
          <w:rFonts w:ascii="宋体"/>
          <w:bCs/>
          <w:color w:val="auto"/>
          <w:kern w:val="0"/>
          <w:sz w:val="24"/>
          <w:szCs w:val="24"/>
          <w:highlight w:val="none"/>
        </w:rPr>
      </w:pPr>
      <w:r>
        <w:rPr>
          <w:rFonts w:hint="eastAsia" w:ascii="宋体"/>
          <w:bCs/>
          <w:color w:val="auto"/>
          <w:kern w:val="0"/>
          <w:sz w:val="24"/>
          <w:szCs w:val="24"/>
          <w:highlight w:val="none"/>
        </w:rPr>
        <w:t>投标供应商：（</w:t>
      </w:r>
      <w:r>
        <w:rPr>
          <w:rFonts w:hint="eastAsia" w:ascii="宋体"/>
          <w:color w:val="auto"/>
          <w:sz w:val="24"/>
          <w:szCs w:val="24"/>
          <w:highlight w:val="none"/>
        </w:rPr>
        <w:t>电子签章</w:t>
      </w:r>
      <w:r>
        <w:rPr>
          <w:rFonts w:hint="eastAsia" w:ascii="宋体"/>
          <w:bCs/>
          <w:color w:val="auto"/>
          <w:kern w:val="0"/>
          <w:sz w:val="24"/>
          <w:szCs w:val="24"/>
          <w:highlight w:val="none"/>
        </w:rPr>
        <w:t>）</w:t>
      </w:r>
    </w:p>
    <w:p w14:paraId="61AB5C69">
      <w:pPr>
        <w:spacing w:line="500" w:lineRule="exact"/>
        <w:ind w:firstLine="4250" w:firstLineChars="1771"/>
        <w:jc w:val="left"/>
        <w:rPr>
          <w:rFonts w:ascii="宋体"/>
          <w:bCs/>
          <w:color w:val="auto"/>
          <w:kern w:val="0"/>
          <w:sz w:val="24"/>
          <w:szCs w:val="24"/>
          <w:highlight w:val="none"/>
        </w:rPr>
      </w:pPr>
      <w:r>
        <w:rPr>
          <w:rFonts w:hint="eastAsia" w:ascii="宋体"/>
          <w:bCs/>
          <w:color w:val="auto"/>
          <w:kern w:val="0"/>
          <w:sz w:val="24"/>
          <w:szCs w:val="24"/>
          <w:highlight w:val="none"/>
        </w:rPr>
        <w:t>法定代表人：（</w:t>
      </w:r>
      <w:r>
        <w:rPr>
          <w:rFonts w:hint="eastAsia" w:ascii="宋体"/>
          <w:color w:val="auto"/>
          <w:sz w:val="24"/>
          <w:szCs w:val="24"/>
          <w:highlight w:val="none"/>
        </w:rPr>
        <w:t>电子签章</w:t>
      </w:r>
      <w:r>
        <w:rPr>
          <w:rFonts w:hint="eastAsia" w:ascii="宋体"/>
          <w:bCs/>
          <w:color w:val="auto"/>
          <w:kern w:val="0"/>
          <w:sz w:val="24"/>
          <w:szCs w:val="24"/>
          <w:highlight w:val="none"/>
        </w:rPr>
        <w:t>）</w:t>
      </w:r>
    </w:p>
    <w:p w14:paraId="560E76DA">
      <w:pPr>
        <w:spacing w:line="500" w:lineRule="exact"/>
        <w:ind w:firstLine="4250" w:firstLineChars="1771"/>
        <w:jc w:val="left"/>
        <w:rPr>
          <w:rFonts w:ascii="宋体"/>
          <w:bCs/>
          <w:color w:val="auto"/>
          <w:kern w:val="0"/>
          <w:sz w:val="24"/>
          <w:szCs w:val="24"/>
          <w:highlight w:val="none"/>
        </w:rPr>
      </w:pPr>
      <w:r>
        <w:rPr>
          <w:rFonts w:hint="eastAsia" w:ascii="宋体"/>
          <w:bCs/>
          <w:color w:val="auto"/>
          <w:kern w:val="0"/>
          <w:sz w:val="24"/>
          <w:szCs w:val="24"/>
          <w:highlight w:val="none"/>
        </w:rPr>
        <w:t>日期：</w:t>
      </w:r>
    </w:p>
    <w:p w14:paraId="5006D08C">
      <w:pPr>
        <w:spacing w:line="360" w:lineRule="auto"/>
        <w:jc w:val="center"/>
        <w:rPr>
          <w:rFonts w:ascii="宋体"/>
          <w:bCs/>
          <w:color w:val="auto"/>
          <w:kern w:val="0"/>
          <w:sz w:val="24"/>
          <w:szCs w:val="24"/>
          <w:highlight w:val="none"/>
        </w:rPr>
      </w:pPr>
      <w:r>
        <w:rPr>
          <w:rFonts w:hint="eastAsia" w:ascii="宋体"/>
          <w:b/>
          <w:bCs/>
          <w:color w:val="auto"/>
          <w:sz w:val="24"/>
          <w:szCs w:val="24"/>
          <w:highlight w:val="none"/>
        </w:rPr>
        <w:br w:type="page"/>
      </w:r>
      <w:r>
        <w:rPr>
          <w:rFonts w:hint="eastAsia" w:ascii="宋体"/>
          <w:bCs/>
          <w:color w:val="auto"/>
          <w:kern w:val="0"/>
          <w:sz w:val="24"/>
          <w:szCs w:val="24"/>
          <w:highlight w:val="none"/>
          <w:lang w:val="en-US" w:eastAsia="zh-CN"/>
        </w:rPr>
        <w:t>2</w:t>
      </w:r>
      <w:r>
        <w:rPr>
          <w:rFonts w:hint="eastAsia" w:ascii="宋体"/>
          <w:bCs/>
          <w:color w:val="auto"/>
          <w:kern w:val="0"/>
          <w:sz w:val="24"/>
          <w:szCs w:val="24"/>
          <w:highlight w:val="none"/>
        </w:rPr>
        <w:t>、投标供应商资格证明文件</w:t>
      </w:r>
    </w:p>
    <w:p w14:paraId="39E68DFD">
      <w:pPr>
        <w:spacing w:line="360" w:lineRule="auto"/>
        <w:jc w:val="center"/>
        <w:rPr>
          <w:rFonts w:ascii="宋体"/>
          <w:bCs/>
          <w:color w:val="auto"/>
          <w:kern w:val="0"/>
          <w:sz w:val="24"/>
          <w:szCs w:val="24"/>
          <w:highlight w:val="none"/>
        </w:rPr>
      </w:pPr>
    </w:p>
    <w:p w14:paraId="77454699">
      <w:pPr>
        <w:spacing w:line="360" w:lineRule="auto"/>
        <w:jc w:val="center"/>
        <w:rPr>
          <w:rFonts w:ascii="宋体"/>
          <w:bCs/>
          <w:color w:val="auto"/>
          <w:kern w:val="0"/>
          <w:sz w:val="24"/>
          <w:szCs w:val="24"/>
          <w:highlight w:val="none"/>
        </w:rPr>
      </w:pPr>
      <w:r>
        <w:rPr>
          <w:rFonts w:hint="eastAsia" w:ascii="宋体"/>
          <w:bCs/>
          <w:color w:val="auto"/>
          <w:kern w:val="0"/>
          <w:sz w:val="24"/>
          <w:szCs w:val="24"/>
          <w:highlight w:val="none"/>
        </w:rPr>
        <w:t>（格式自拟，应逐页加</w:t>
      </w:r>
      <w:r>
        <w:rPr>
          <w:rFonts w:hint="eastAsia" w:ascii="宋体" w:cs="宋体"/>
          <w:color w:val="auto"/>
          <w:sz w:val="24"/>
          <w:szCs w:val="24"/>
          <w:highlight w:val="none"/>
        </w:rPr>
        <w:t>盖单位公章</w:t>
      </w:r>
      <w:r>
        <w:rPr>
          <w:rFonts w:hint="eastAsia" w:ascii="宋体"/>
          <w:bCs/>
          <w:color w:val="auto"/>
          <w:kern w:val="0"/>
          <w:sz w:val="24"/>
          <w:szCs w:val="24"/>
          <w:highlight w:val="none"/>
        </w:rPr>
        <w:t>）</w:t>
      </w:r>
    </w:p>
    <w:p w14:paraId="0E918917">
      <w:pPr>
        <w:widowControl/>
        <w:spacing w:line="520" w:lineRule="atLeast"/>
        <w:jc w:val="center"/>
        <w:rPr>
          <w:rFonts w:ascii="宋体" w:hAnsi="宋体"/>
          <w:b/>
          <w:color w:val="auto"/>
          <w:kern w:val="0"/>
          <w:sz w:val="24"/>
          <w:szCs w:val="24"/>
          <w:highlight w:val="none"/>
        </w:rPr>
      </w:pPr>
      <w:r>
        <w:rPr>
          <w:rFonts w:hint="eastAsia" w:ascii="宋体" w:hAnsi="宋体"/>
          <w:b/>
          <w:color w:val="auto"/>
          <w:kern w:val="0"/>
          <w:sz w:val="24"/>
          <w:szCs w:val="24"/>
          <w:highlight w:val="none"/>
        </w:rPr>
        <w:br w:type="page"/>
      </w:r>
    </w:p>
    <w:p w14:paraId="472DB529">
      <w:pPr>
        <w:widowControl/>
        <w:spacing w:line="520" w:lineRule="atLeast"/>
        <w:jc w:val="center"/>
        <w:rPr>
          <w:rFonts w:ascii="宋体" w:hAnsi="宋体"/>
          <w:b/>
          <w:bCs/>
          <w:color w:val="auto"/>
          <w:kern w:val="0"/>
          <w:sz w:val="24"/>
          <w:szCs w:val="24"/>
          <w:highlight w:val="none"/>
        </w:rPr>
      </w:pPr>
      <w:r>
        <w:rPr>
          <w:rFonts w:hint="eastAsia" w:ascii="宋体" w:hAnsi="宋体"/>
          <w:b/>
          <w:color w:val="auto"/>
          <w:kern w:val="0"/>
          <w:sz w:val="24"/>
          <w:szCs w:val="24"/>
          <w:highlight w:val="none"/>
        </w:rPr>
        <w:t>五、</w:t>
      </w:r>
      <w:bookmarkEnd w:id="41"/>
      <w:r>
        <w:rPr>
          <w:rFonts w:hint="eastAsia" w:ascii="宋体" w:hAnsi="宋体"/>
          <w:b/>
          <w:bCs/>
          <w:color w:val="auto"/>
          <w:kern w:val="0"/>
          <w:sz w:val="24"/>
          <w:szCs w:val="24"/>
          <w:highlight w:val="none"/>
        </w:rPr>
        <w:t>技术标</w:t>
      </w:r>
    </w:p>
    <w:p w14:paraId="763CE736">
      <w:pPr>
        <w:widowControl/>
        <w:spacing w:line="520" w:lineRule="atLeast"/>
        <w:ind w:firstLine="480"/>
        <w:rPr>
          <w:rFonts w:ascii="宋体" w:hAnsi="宋体"/>
          <w:color w:val="auto"/>
          <w:kern w:val="0"/>
          <w:sz w:val="24"/>
          <w:szCs w:val="24"/>
          <w:highlight w:val="none"/>
        </w:rPr>
      </w:pPr>
      <w:r>
        <w:rPr>
          <w:rFonts w:hint="eastAsia" w:ascii="宋体" w:hAnsi="宋体"/>
          <w:color w:val="auto"/>
          <w:sz w:val="24"/>
          <w:szCs w:val="24"/>
          <w:highlight w:val="none"/>
        </w:rPr>
        <w:t>此项格式自拟，内容应包括但不限制于评分办法提到的内容。</w:t>
      </w:r>
    </w:p>
    <w:p w14:paraId="1A27E9F2">
      <w:pPr>
        <w:widowControl/>
        <w:spacing w:line="560" w:lineRule="atLeast"/>
        <w:jc w:val="center"/>
        <w:rPr>
          <w:rFonts w:ascii="宋体" w:hAnsi="宋体"/>
          <w:color w:val="auto"/>
          <w:kern w:val="0"/>
          <w:sz w:val="24"/>
          <w:szCs w:val="24"/>
          <w:highlight w:val="none"/>
        </w:rPr>
      </w:pPr>
    </w:p>
    <w:p w14:paraId="0E6E3CC8">
      <w:pPr>
        <w:widowControl/>
        <w:spacing w:line="560" w:lineRule="atLeast"/>
        <w:jc w:val="center"/>
        <w:rPr>
          <w:rFonts w:ascii="宋体" w:hAnsi="宋体"/>
          <w:color w:val="auto"/>
          <w:kern w:val="0"/>
          <w:sz w:val="24"/>
          <w:szCs w:val="24"/>
          <w:highlight w:val="none"/>
        </w:rPr>
      </w:pPr>
    </w:p>
    <w:p w14:paraId="3319D9A9">
      <w:pPr>
        <w:widowControl/>
        <w:spacing w:line="360" w:lineRule="auto"/>
        <w:jc w:val="left"/>
        <w:rPr>
          <w:rFonts w:ascii="宋体" w:hAnsi="宋体"/>
          <w:b/>
          <w:bCs/>
          <w:color w:val="auto"/>
          <w:kern w:val="0"/>
          <w:sz w:val="24"/>
          <w:szCs w:val="24"/>
          <w:highlight w:val="none"/>
        </w:rPr>
      </w:pPr>
    </w:p>
    <w:p w14:paraId="7ED546E4">
      <w:pPr>
        <w:widowControl/>
        <w:jc w:val="left"/>
        <w:rPr>
          <w:rFonts w:ascii="宋体" w:hAnsi="宋体"/>
          <w:b/>
          <w:bCs/>
          <w:color w:val="auto"/>
          <w:kern w:val="0"/>
          <w:sz w:val="24"/>
          <w:szCs w:val="24"/>
          <w:highlight w:val="none"/>
        </w:rPr>
      </w:pPr>
      <w:r>
        <w:rPr>
          <w:rFonts w:ascii="宋体" w:hAnsi="宋体"/>
          <w:b/>
          <w:bCs/>
          <w:color w:val="auto"/>
          <w:kern w:val="0"/>
          <w:sz w:val="24"/>
          <w:szCs w:val="24"/>
          <w:highlight w:val="none"/>
        </w:rPr>
        <w:br w:type="page"/>
      </w:r>
    </w:p>
    <w:p w14:paraId="5EC0C26B">
      <w:pPr>
        <w:numPr>
          <w:ilvl w:val="0"/>
          <w:numId w:val="3"/>
        </w:numPr>
        <w:spacing w:line="360" w:lineRule="auto"/>
        <w:jc w:val="center"/>
        <w:rPr>
          <w:rFonts w:ascii="宋体" w:hAnsi="宋体"/>
          <w:b/>
          <w:bCs/>
          <w:color w:val="auto"/>
          <w:kern w:val="0"/>
          <w:sz w:val="24"/>
          <w:szCs w:val="24"/>
          <w:highlight w:val="none"/>
        </w:rPr>
      </w:pPr>
      <w:r>
        <w:rPr>
          <w:rFonts w:hint="eastAsia" w:ascii="宋体"/>
          <w:b/>
          <w:bCs/>
          <w:color w:val="auto"/>
          <w:sz w:val="24"/>
          <w:szCs w:val="24"/>
          <w:highlight w:val="none"/>
        </w:rPr>
        <w:t>商务标</w:t>
      </w:r>
    </w:p>
    <w:p w14:paraId="2D4E6379">
      <w:pPr>
        <w:spacing w:line="360" w:lineRule="auto"/>
        <w:rPr>
          <w:rFonts w:ascii="宋体"/>
          <w:b/>
          <w:bCs/>
          <w:color w:val="auto"/>
          <w:sz w:val="24"/>
          <w:szCs w:val="24"/>
          <w:highlight w:val="none"/>
        </w:rPr>
      </w:pPr>
    </w:p>
    <w:p w14:paraId="05901354">
      <w:pPr>
        <w:pStyle w:val="2"/>
        <w:rPr>
          <w:rFonts w:ascii="宋体"/>
          <w:b/>
          <w:bCs/>
          <w:color w:val="auto"/>
          <w:sz w:val="24"/>
          <w:highlight w:val="none"/>
        </w:rPr>
      </w:pPr>
    </w:p>
    <w:p w14:paraId="5E9F1A6B">
      <w:pPr>
        <w:pStyle w:val="3"/>
        <w:rPr>
          <w:rFonts w:ascii="宋体"/>
          <w:b/>
          <w:bCs/>
          <w:color w:val="auto"/>
          <w:sz w:val="24"/>
          <w:szCs w:val="24"/>
          <w:highlight w:val="none"/>
        </w:rPr>
      </w:pPr>
    </w:p>
    <w:p w14:paraId="0427470A">
      <w:pPr>
        <w:pStyle w:val="4"/>
        <w:rPr>
          <w:b/>
          <w:bCs/>
          <w:color w:val="auto"/>
          <w:sz w:val="24"/>
          <w:szCs w:val="24"/>
          <w:highlight w:val="none"/>
        </w:rPr>
      </w:pPr>
    </w:p>
    <w:p w14:paraId="5DDFB76C">
      <w:pPr>
        <w:pStyle w:val="4"/>
        <w:rPr>
          <w:b/>
          <w:bCs/>
          <w:color w:val="auto"/>
          <w:sz w:val="24"/>
          <w:szCs w:val="24"/>
          <w:highlight w:val="none"/>
        </w:rPr>
      </w:pPr>
    </w:p>
    <w:p w14:paraId="1F1F9FDF">
      <w:pPr>
        <w:pStyle w:val="4"/>
        <w:rPr>
          <w:b/>
          <w:bCs/>
          <w:color w:val="auto"/>
          <w:sz w:val="24"/>
          <w:szCs w:val="24"/>
          <w:highlight w:val="none"/>
        </w:rPr>
      </w:pPr>
    </w:p>
    <w:p w14:paraId="59A6A4FE">
      <w:pPr>
        <w:pStyle w:val="4"/>
        <w:rPr>
          <w:b/>
          <w:bCs/>
          <w:color w:val="auto"/>
          <w:sz w:val="24"/>
          <w:szCs w:val="24"/>
          <w:highlight w:val="none"/>
        </w:rPr>
      </w:pPr>
    </w:p>
    <w:p w14:paraId="7B7BACCD">
      <w:pPr>
        <w:pStyle w:val="4"/>
        <w:rPr>
          <w:b/>
          <w:bCs/>
          <w:color w:val="auto"/>
          <w:sz w:val="24"/>
          <w:szCs w:val="24"/>
          <w:highlight w:val="none"/>
        </w:rPr>
      </w:pPr>
    </w:p>
    <w:p w14:paraId="0F52B5C8">
      <w:pPr>
        <w:pStyle w:val="4"/>
        <w:rPr>
          <w:b/>
          <w:bCs/>
          <w:color w:val="auto"/>
          <w:sz w:val="24"/>
          <w:szCs w:val="24"/>
          <w:highlight w:val="none"/>
        </w:rPr>
      </w:pPr>
    </w:p>
    <w:p w14:paraId="16BF57AE">
      <w:pPr>
        <w:pStyle w:val="4"/>
        <w:rPr>
          <w:b/>
          <w:bCs/>
          <w:color w:val="auto"/>
          <w:sz w:val="24"/>
          <w:szCs w:val="24"/>
          <w:highlight w:val="none"/>
        </w:rPr>
      </w:pPr>
    </w:p>
    <w:p w14:paraId="67A2685F">
      <w:pPr>
        <w:pStyle w:val="4"/>
        <w:rPr>
          <w:b/>
          <w:bCs/>
          <w:color w:val="auto"/>
          <w:sz w:val="24"/>
          <w:szCs w:val="24"/>
          <w:highlight w:val="none"/>
        </w:rPr>
      </w:pPr>
    </w:p>
    <w:p w14:paraId="3592C3A8">
      <w:pPr>
        <w:pStyle w:val="4"/>
        <w:rPr>
          <w:b/>
          <w:bCs/>
          <w:color w:val="auto"/>
          <w:sz w:val="24"/>
          <w:szCs w:val="24"/>
          <w:highlight w:val="none"/>
        </w:rPr>
      </w:pPr>
    </w:p>
    <w:p w14:paraId="1AFC2C69">
      <w:pPr>
        <w:pStyle w:val="4"/>
        <w:rPr>
          <w:b/>
          <w:bCs/>
          <w:color w:val="auto"/>
          <w:sz w:val="24"/>
          <w:szCs w:val="24"/>
          <w:highlight w:val="none"/>
        </w:rPr>
      </w:pPr>
    </w:p>
    <w:p w14:paraId="6AF14511">
      <w:pPr>
        <w:pStyle w:val="4"/>
        <w:rPr>
          <w:b/>
          <w:bCs/>
          <w:color w:val="auto"/>
          <w:sz w:val="24"/>
          <w:szCs w:val="24"/>
          <w:highlight w:val="none"/>
        </w:rPr>
      </w:pPr>
    </w:p>
    <w:p w14:paraId="6941BEB6">
      <w:pPr>
        <w:pStyle w:val="4"/>
        <w:rPr>
          <w:b/>
          <w:bCs/>
          <w:color w:val="auto"/>
          <w:sz w:val="24"/>
          <w:szCs w:val="24"/>
          <w:highlight w:val="none"/>
        </w:rPr>
      </w:pPr>
    </w:p>
    <w:p w14:paraId="6CC5F416">
      <w:pPr>
        <w:pStyle w:val="4"/>
        <w:rPr>
          <w:b/>
          <w:bCs/>
          <w:color w:val="auto"/>
          <w:sz w:val="24"/>
          <w:szCs w:val="24"/>
          <w:highlight w:val="none"/>
        </w:rPr>
      </w:pPr>
    </w:p>
    <w:p w14:paraId="21A16175">
      <w:pPr>
        <w:pStyle w:val="4"/>
        <w:rPr>
          <w:b/>
          <w:bCs/>
          <w:color w:val="auto"/>
          <w:sz w:val="24"/>
          <w:szCs w:val="24"/>
          <w:highlight w:val="none"/>
        </w:rPr>
      </w:pPr>
    </w:p>
    <w:p w14:paraId="7115E364">
      <w:pPr>
        <w:pStyle w:val="4"/>
        <w:rPr>
          <w:b/>
          <w:bCs/>
          <w:color w:val="auto"/>
          <w:sz w:val="24"/>
          <w:szCs w:val="24"/>
          <w:highlight w:val="none"/>
        </w:rPr>
      </w:pPr>
    </w:p>
    <w:p w14:paraId="70781983">
      <w:pPr>
        <w:pStyle w:val="4"/>
        <w:rPr>
          <w:b/>
          <w:bCs/>
          <w:color w:val="auto"/>
          <w:sz w:val="24"/>
          <w:szCs w:val="24"/>
          <w:highlight w:val="none"/>
        </w:rPr>
      </w:pPr>
    </w:p>
    <w:p w14:paraId="3D4A5141">
      <w:pPr>
        <w:pStyle w:val="4"/>
        <w:rPr>
          <w:b/>
          <w:bCs/>
          <w:color w:val="auto"/>
          <w:sz w:val="24"/>
          <w:szCs w:val="24"/>
          <w:highlight w:val="none"/>
        </w:rPr>
      </w:pPr>
    </w:p>
    <w:p w14:paraId="2A81E14C">
      <w:pPr>
        <w:pStyle w:val="4"/>
        <w:rPr>
          <w:b/>
          <w:bCs/>
          <w:color w:val="auto"/>
          <w:sz w:val="24"/>
          <w:szCs w:val="24"/>
          <w:highlight w:val="none"/>
        </w:rPr>
      </w:pPr>
    </w:p>
    <w:p w14:paraId="50C1ED22">
      <w:pPr>
        <w:pStyle w:val="4"/>
        <w:rPr>
          <w:b/>
          <w:bCs/>
          <w:color w:val="auto"/>
          <w:sz w:val="24"/>
          <w:szCs w:val="24"/>
          <w:highlight w:val="none"/>
        </w:rPr>
      </w:pPr>
    </w:p>
    <w:p w14:paraId="2D124A02">
      <w:pPr>
        <w:pStyle w:val="4"/>
        <w:rPr>
          <w:b/>
          <w:bCs/>
          <w:color w:val="auto"/>
          <w:sz w:val="24"/>
          <w:szCs w:val="24"/>
          <w:highlight w:val="none"/>
        </w:rPr>
      </w:pPr>
    </w:p>
    <w:p w14:paraId="49AE14F0">
      <w:pPr>
        <w:pStyle w:val="4"/>
        <w:rPr>
          <w:b/>
          <w:bCs/>
          <w:color w:val="auto"/>
          <w:sz w:val="24"/>
          <w:szCs w:val="24"/>
          <w:highlight w:val="none"/>
        </w:rPr>
      </w:pPr>
    </w:p>
    <w:p w14:paraId="2AF0938F">
      <w:pPr>
        <w:pStyle w:val="4"/>
        <w:rPr>
          <w:b/>
          <w:bCs/>
          <w:color w:val="auto"/>
          <w:sz w:val="24"/>
          <w:szCs w:val="24"/>
          <w:highlight w:val="none"/>
        </w:rPr>
      </w:pPr>
    </w:p>
    <w:p w14:paraId="2DBD8F98">
      <w:pPr>
        <w:spacing w:line="360" w:lineRule="auto"/>
        <w:rPr>
          <w:rFonts w:ascii="宋体"/>
          <w:b/>
          <w:bCs/>
          <w:color w:val="auto"/>
          <w:sz w:val="24"/>
          <w:szCs w:val="24"/>
          <w:highlight w:val="none"/>
        </w:rPr>
      </w:pPr>
    </w:p>
    <w:p w14:paraId="4DD1ECBB">
      <w:pPr>
        <w:spacing w:line="360" w:lineRule="auto"/>
        <w:rPr>
          <w:rFonts w:ascii="宋体"/>
          <w:b/>
          <w:bCs/>
          <w:color w:val="auto"/>
          <w:sz w:val="24"/>
          <w:szCs w:val="24"/>
          <w:highlight w:val="none"/>
        </w:rPr>
      </w:pPr>
    </w:p>
    <w:p w14:paraId="0375BCAF">
      <w:pPr>
        <w:spacing w:line="360" w:lineRule="auto"/>
        <w:rPr>
          <w:rFonts w:ascii="宋体"/>
          <w:b/>
          <w:bCs/>
          <w:color w:val="auto"/>
          <w:sz w:val="24"/>
          <w:szCs w:val="24"/>
          <w:highlight w:val="none"/>
        </w:rPr>
      </w:pPr>
    </w:p>
    <w:p w14:paraId="7F102EED">
      <w:pPr>
        <w:rPr>
          <w:rFonts w:ascii="宋体"/>
          <w:bCs/>
          <w:color w:val="auto"/>
          <w:kern w:val="0"/>
          <w:sz w:val="24"/>
          <w:szCs w:val="24"/>
          <w:highlight w:val="none"/>
        </w:rPr>
      </w:pPr>
      <w:r>
        <w:rPr>
          <w:rFonts w:hint="eastAsia" w:ascii="宋体"/>
          <w:bCs/>
          <w:color w:val="auto"/>
          <w:kern w:val="0"/>
          <w:sz w:val="24"/>
          <w:szCs w:val="24"/>
          <w:highlight w:val="none"/>
        </w:rPr>
        <w:br w:type="page"/>
      </w:r>
    </w:p>
    <w:p w14:paraId="502C6F5C">
      <w:pPr>
        <w:widowControl/>
        <w:jc w:val="center"/>
        <w:rPr>
          <w:rFonts w:ascii="宋体" w:hAnsi="宋体"/>
          <w:b/>
          <w:bCs/>
          <w:color w:val="auto"/>
          <w:kern w:val="0"/>
          <w:sz w:val="24"/>
          <w:szCs w:val="24"/>
          <w:highlight w:val="none"/>
        </w:rPr>
      </w:pPr>
      <w:bookmarkStart w:id="42" w:name="_Toc25891"/>
      <w:r>
        <w:rPr>
          <w:rFonts w:hint="eastAsia" w:ascii="宋体" w:hAnsi="宋体"/>
          <w:b/>
          <w:bCs/>
          <w:color w:val="auto"/>
          <w:kern w:val="0"/>
          <w:sz w:val="24"/>
          <w:szCs w:val="24"/>
          <w:highlight w:val="none"/>
        </w:rPr>
        <w:t>七、其他资料</w:t>
      </w:r>
      <w:bookmarkEnd w:id="42"/>
    </w:p>
    <w:p w14:paraId="55644D6F">
      <w:pPr>
        <w:jc w:val="center"/>
        <w:rPr>
          <w:rFonts w:ascii="宋体" w:hAnsi="宋体"/>
          <w:bCs/>
          <w:color w:val="auto"/>
          <w:kern w:val="0"/>
          <w:sz w:val="24"/>
          <w:szCs w:val="24"/>
          <w:highlight w:val="none"/>
        </w:rPr>
      </w:pPr>
    </w:p>
    <w:p w14:paraId="547998DB">
      <w:pPr>
        <w:pStyle w:val="6"/>
        <w:jc w:val="center"/>
        <w:rPr>
          <w:bCs/>
          <w:color w:val="auto"/>
          <w:highlight w:val="none"/>
        </w:rPr>
      </w:pPr>
      <w:r>
        <w:rPr>
          <w:rFonts w:hint="eastAsia"/>
          <w:bCs/>
          <w:color w:val="auto"/>
          <w:highlight w:val="none"/>
        </w:rPr>
        <w:t>（招标文件、评分办法中提到的其他资料及投标供应商认为应附的其他资料，格式自拟，应逐页加盖单位公章）</w:t>
      </w:r>
    </w:p>
    <w:p w14:paraId="1B45B06B">
      <w:pPr>
        <w:rPr>
          <w:b/>
          <w:color w:val="auto"/>
          <w:sz w:val="24"/>
          <w:szCs w:val="24"/>
          <w:highlight w:val="none"/>
        </w:rPr>
      </w:pPr>
      <w:bookmarkStart w:id="43" w:name="_Toc6392"/>
      <w:r>
        <w:rPr>
          <w:rFonts w:hint="eastAsia"/>
          <w:b/>
          <w:color w:val="auto"/>
          <w:sz w:val="24"/>
          <w:szCs w:val="24"/>
          <w:highlight w:val="none"/>
        </w:rPr>
        <w:br w:type="page"/>
      </w:r>
    </w:p>
    <w:p w14:paraId="7F612483">
      <w:pPr>
        <w:spacing w:line="360" w:lineRule="auto"/>
        <w:jc w:val="left"/>
        <w:rPr>
          <w:rFonts w:ascii="宋体" w:hAnsi="宋体"/>
          <w:b/>
          <w:color w:val="auto"/>
          <w:sz w:val="24"/>
          <w:szCs w:val="24"/>
          <w:highlight w:val="none"/>
        </w:rPr>
      </w:pPr>
      <w:r>
        <w:rPr>
          <w:rFonts w:hint="eastAsia"/>
          <w:b/>
          <w:color w:val="auto"/>
          <w:sz w:val="24"/>
          <w:szCs w:val="24"/>
          <w:highlight w:val="none"/>
        </w:rPr>
        <w:t>附：政府采购</w:t>
      </w:r>
      <w:r>
        <w:rPr>
          <w:rFonts w:hint="eastAsia" w:ascii="宋体" w:hAnsi="宋体"/>
          <w:b/>
          <w:color w:val="auto"/>
          <w:sz w:val="24"/>
          <w:szCs w:val="24"/>
          <w:highlight w:val="none"/>
        </w:rPr>
        <w:t>政策</w:t>
      </w:r>
      <w:bookmarkEnd w:id="43"/>
    </w:p>
    <w:p w14:paraId="698D3FB8">
      <w:pPr>
        <w:pStyle w:val="12"/>
        <w:ind w:firstLine="240"/>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中小企业声明函（</w:t>
      </w:r>
    </w:p>
    <w:p w14:paraId="06FB7403">
      <w:pPr>
        <w:pStyle w:val="12"/>
        <w:spacing w:line="5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本公司郑重声明，根据《政府采购促进中小企业发展管理办法》（财库（2020）46号）的规定，本公司参加</w:t>
      </w:r>
      <w:r>
        <w:rPr>
          <w:rFonts w:hint="eastAsia" w:ascii="宋体" w:hAnsi="宋体" w:eastAsia="宋体"/>
          <w:color w:val="auto"/>
          <w:sz w:val="24"/>
          <w:szCs w:val="24"/>
          <w:highlight w:val="none"/>
          <w:u w:val="single"/>
        </w:rPr>
        <w:t>（单位名称）</w:t>
      </w:r>
      <w:r>
        <w:rPr>
          <w:rFonts w:hint="eastAsia" w:ascii="宋体" w:hAnsi="宋体" w:eastAsia="宋体"/>
          <w:color w:val="auto"/>
          <w:sz w:val="24"/>
          <w:szCs w:val="24"/>
          <w:highlight w:val="none"/>
        </w:rPr>
        <w:t>的</w:t>
      </w:r>
      <w:r>
        <w:rPr>
          <w:rFonts w:hint="eastAsia" w:ascii="宋体" w:hAnsi="宋体" w:eastAsia="宋体"/>
          <w:color w:val="auto"/>
          <w:sz w:val="24"/>
          <w:szCs w:val="24"/>
          <w:highlight w:val="none"/>
          <w:u w:val="single"/>
        </w:rPr>
        <w:t>（项目名称）</w:t>
      </w:r>
      <w:r>
        <w:rPr>
          <w:rFonts w:hint="eastAsia" w:ascii="宋体" w:hAnsi="宋体" w:eastAsia="宋体"/>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93061B7">
      <w:pPr>
        <w:pStyle w:val="12"/>
        <w:spacing w:line="5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u w:val="single"/>
        </w:rPr>
        <w:t>（标的名称）</w:t>
      </w:r>
      <w:r>
        <w:rPr>
          <w:rFonts w:hint="eastAsia" w:ascii="宋体" w:hAnsi="宋体" w:eastAsia="宋体"/>
          <w:color w:val="auto"/>
          <w:sz w:val="24"/>
          <w:szCs w:val="24"/>
          <w:highlight w:val="none"/>
        </w:rPr>
        <w:t>，属于</w:t>
      </w:r>
      <w:r>
        <w:rPr>
          <w:rFonts w:hint="eastAsia" w:ascii="宋体" w:hAnsi="宋体" w:eastAsia="宋体"/>
          <w:color w:val="auto"/>
          <w:sz w:val="24"/>
          <w:szCs w:val="24"/>
          <w:highlight w:val="none"/>
          <w:u w:val="single"/>
        </w:rPr>
        <w:t>（采购文件中明确的所属行业）</w:t>
      </w:r>
      <w:r>
        <w:rPr>
          <w:rFonts w:hint="eastAsia" w:ascii="宋体" w:hAnsi="宋体" w:eastAsia="宋体"/>
          <w:color w:val="auto"/>
          <w:sz w:val="24"/>
          <w:szCs w:val="24"/>
          <w:highlight w:val="none"/>
        </w:rPr>
        <w:t>；承建（承接）企业为</w:t>
      </w:r>
      <w:r>
        <w:rPr>
          <w:rFonts w:hint="eastAsia" w:ascii="宋体" w:hAnsi="宋体" w:eastAsia="宋体"/>
          <w:color w:val="auto"/>
          <w:sz w:val="24"/>
          <w:szCs w:val="24"/>
          <w:highlight w:val="none"/>
          <w:u w:val="single"/>
        </w:rPr>
        <w:t>（企业名称）</w:t>
      </w:r>
      <w:r>
        <w:rPr>
          <w:rFonts w:hint="eastAsia" w:ascii="宋体" w:hAnsi="宋体" w:eastAsia="宋体"/>
          <w:color w:val="auto"/>
          <w:sz w:val="24"/>
          <w:szCs w:val="24"/>
          <w:highlight w:val="none"/>
        </w:rPr>
        <w:t>，从业人员</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人，营业收入为</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万元，资产总额为</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万元，属于</w:t>
      </w:r>
      <w:r>
        <w:rPr>
          <w:rFonts w:hint="eastAsia" w:ascii="宋体" w:hAnsi="宋体" w:eastAsia="宋体"/>
          <w:color w:val="auto"/>
          <w:sz w:val="24"/>
          <w:szCs w:val="24"/>
          <w:highlight w:val="none"/>
          <w:u w:val="single"/>
        </w:rPr>
        <w:t>（中型企业、小型企业、微型企业）</w:t>
      </w:r>
      <w:r>
        <w:rPr>
          <w:rFonts w:hint="eastAsia" w:ascii="宋体" w:hAnsi="宋体" w:eastAsia="宋体"/>
          <w:color w:val="auto"/>
          <w:sz w:val="24"/>
          <w:szCs w:val="24"/>
          <w:highlight w:val="none"/>
        </w:rPr>
        <w:t>；</w:t>
      </w:r>
    </w:p>
    <w:p w14:paraId="235EFFE3">
      <w:pPr>
        <w:pStyle w:val="12"/>
        <w:spacing w:line="5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w:t>
      </w:r>
      <w:r>
        <w:rPr>
          <w:rFonts w:hint="eastAsia" w:ascii="宋体" w:hAnsi="宋体" w:eastAsia="宋体"/>
          <w:color w:val="auto"/>
          <w:sz w:val="24"/>
          <w:szCs w:val="24"/>
          <w:highlight w:val="none"/>
          <w:u w:val="single"/>
        </w:rPr>
        <w:t>（标的名称）</w:t>
      </w:r>
      <w:r>
        <w:rPr>
          <w:rFonts w:hint="eastAsia" w:ascii="宋体" w:hAnsi="宋体" w:eastAsia="宋体"/>
          <w:color w:val="auto"/>
          <w:sz w:val="24"/>
          <w:szCs w:val="24"/>
          <w:highlight w:val="none"/>
        </w:rPr>
        <w:t>，属于</w:t>
      </w:r>
      <w:r>
        <w:rPr>
          <w:rFonts w:hint="eastAsia" w:ascii="宋体" w:hAnsi="宋体" w:eastAsia="宋体"/>
          <w:color w:val="auto"/>
          <w:sz w:val="24"/>
          <w:szCs w:val="24"/>
          <w:highlight w:val="none"/>
          <w:u w:val="single"/>
        </w:rPr>
        <w:t>（采购文件中明确的所属行业）</w:t>
      </w:r>
      <w:r>
        <w:rPr>
          <w:rFonts w:hint="eastAsia" w:ascii="宋体" w:hAnsi="宋体" w:eastAsia="宋体"/>
          <w:color w:val="auto"/>
          <w:sz w:val="24"/>
          <w:szCs w:val="24"/>
          <w:highlight w:val="none"/>
        </w:rPr>
        <w:t>；承建（承接）企业为</w:t>
      </w:r>
      <w:r>
        <w:rPr>
          <w:rFonts w:hint="eastAsia" w:ascii="宋体" w:hAnsi="宋体" w:eastAsia="宋体"/>
          <w:color w:val="auto"/>
          <w:sz w:val="24"/>
          <w:szCs w:val="24"/>
          <w:highlight w:val="none"/>
          <w:u w:val="single"/>
        </w:rPr>
        <w:t>（企业名称）</w:t>
      </w:r>
      <w:r>
        <w:rPr>
          <w:rFonts w:hint="eastAsia" w:ascii="宋体" w:hAnsi="宋体" w:eastAsia="宋体"/>
          <w:color w:val="auto"/>
          <w:sz w:val="24"/>
          <w:szCs w:val="24"/>
          <w:highlight w:val="none"/>
        </w:rPr>
        <w:t>，从业人员</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人，营业收入为</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万元，资产总额为</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万元，属于</w:t>
      </w:r>
      <w:r>
        <w:rPr>
          <w:rFonts w:hint="eastAsia" w:ascii="宋体" w:hAnsi="宋体" w:eastAsia="宋体"/>
          <w:color w:val="auto"/>
          <w:sz w:val="24"/>
          <w:szCs w:val="24"/>
          <w:highlight w:val="none"/>
          <w:u w:val="single"/>
        </w:rPr>
        <w:t>（中型企业、小型企业、微型企业）</w:t>
      </w:r>
      <w:r>
        <w:rPr>
          <w:rFonts w:hint="eastAsia" w:ascii="宋体" w:hAnsi="宋体" w:eastAsia="宋体"/>
          <w:color w:val="auto"/>
          <w:sz w:val="24"/>
          <w:szCs w:val="24"/>
          <w:highlight w:val="none"/>
        </w:rPr>
        <w:t>；</w:t>
      </w:r>
    </w:p>
    <w:p w14:paraId="7B91C314">
      <w:pPr>
        <w:pStyle w:val="12"/>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以上企业，不属于大企业的分支机构，不存在控股股东为大企业的情形，也不存在与大企业的负责人为同一人的情形。</w:t>
      </w:r>
    </w:p>
    <w:p w14:paraId="0ED8790D">
      <w:pPr>
        <w:pStyle w:val="12"/>
        <w:ind w:firstLine="240"/>
        <w:rPr>
          <w:rFonts w:ascii="宋体" w:hAnsi="宋体" w:eastAsia="宋体"/>
          <w:color w:val="auto"/>
          <w:sz w:val="24"/>
          <w:szCs w:val="24"/>
          <w:highlight w:val="none"/>
        </w:rPr>
      </w:pPr>
      <w:r>
        <w:rPr>
          <w:rFonts w:hint="eastAsia" w:ascii="宋体" w:hAnsi="宋体" w:eastAsia="宋体"/>
          <w:color w:val="auto"/>
          <w:sz w:val="24"/>
          <w:szCs w:val="24"/>
          <w:highlight w:val="none"/>
        </w:rPr>
        <w:t>本企业对上述声明内容的真实性负责。如有虚假，将依法承担相应责任。</w:t>
      </w:r>
    </w:p>
    <w:p w14:paraId="0A463F15">
      <w:pPr>
        <w:pStyle w:val="12"/>
        <w:ind w:firstLine="240"/>
        <w:jc w:val="right"/>
        <w:rPr>
          <w:rFonts w:ascii="宋体" w:hAnsi="宋体" w:eastAsia="宋体"/>
          <w:color w:val="auto"/>
          <w:sz w:val="24"/>
          <w:szCs w:val="24"/>
          <w:highlight w:val="none"/>
        </w:rPr>
      </w:pPr>
      <w:r>
        <w:rPr>
          <w:rFonts w:hint="eastAsia" w:ascii="宋体" w:hAnsi="宋体" w:eastAsia="宋体"/>
          <w:color w:val="auto"/>
          <w:sz w:val="24"/>
          <w:szCs w:val="24"/>
          <w:highlight w:val="none"/>
        </w:rPr>
        <w:t>投标人：（企业电子签章）</w:t>
      </w:r>
    </w:p>
    <w:p w14:paraId="442D793E">
      <w:pPr>
        <w:pStyle w:val="12"/>
        <w:ind w:firstLine="240"/>
        <w:jc w:val="right"/>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年  月  日</w:t>
      </w:r>
    </w:p>
    <w:p w14:paraId="7EC4675B">
      <w:pPr>
        <w:pStyle w:val="12"/>
        <w:ind w:firstLine="240"/>
        <w:rPr>
          <w:rFonts w:ascii="宋体" w:hAnsi="宋体" w:eastAsia="宋体"/>
          <w:color w:val="auto"/>
          <w:sz w:val="24"/>
          <w:szCs w:val="24"/>
          <w:highlight w:val="none"/>
        </w:rPr>
      </w:pPr>
      <w:r>
        <w:rPr>
          <w:rFonts w:hint="eastAsia" w:ascii="宋体" w:hAnsi="宋体" w:eastAsia="宋体"/>
          <w:color w:val="auto"/>
          <w:sz w:val="24"/>
          <w:szCs w:val="24"/>
          <w:highlight w:val="none"/>
        </w:rPr>
        <w:t>注：从业人员、营业收入、资产总额填报上一年度数据，无上一年度数据的新成立企业可不填报。</w:t>
      </w:r>
    </w:p>
    <w:p w14:paraId="599FA1B0">
      <w:pPr>
        <w:rPr>
          <w:color w:val="auto"/>
          <w:sz w:val="24"/>
          <w:szCs w:val="24"/>
          <w:highlight w:val="none"/>
        </w:rPr>
      </w:pPr>
    </w:p>
    <w:p w14:paraId="76651697">
      <w:pPr>
        <w:rPr>
          <w:color w:val="auto"/>
          <w:sz w:val="24"/>
          <w:szCs w:val="24"/>
          <w:highlight w:val="none"/>
        </w:rPr>
      </w:pPr>
    </w:p>
    <w:sectPr>
      <w:pgSz w:w="11906" w:h="16838"/>
      <w:pgMar w:top="1440" w:right="1797" w:bottom="1440" w:left="1797"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294B0">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D0C1B9">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ED0C1B9">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D37350"/>
    <w:multiLevelType w:val="singleLevel"/>
    <w:tmpl w:val="ABD37350"/>
    <w:lvl w:ilvl="0" w:tentative="0">
      <w:start w:val="6"/>
      <w:numFmt w:val="chineseCounting"/>
      <w:suff w:val="nothing"/>
      <w:lvlText w:val="%1、"/>
      <w:lvlJc w:val="left"/>
      <w:rPr>
        <w:rFonts w:hint="eastAsia"/>
      </w:rPr>
    </w:lvl>
  </w:abstractNum>
  <w:abstractNum w:abstractNumId="1">
    <w:nsid w:val="AF763CD3"/>
    <w:multiLevelType w:val="singleLevel"/>
    <w:tmpl w:val="AF763CD3"/>
    <w:lvl w:ilvl="0" w:tentative="0">
      <w:start w:val="3"/>
      <w:numFmt w:val="chineseCounting"/>
      <w:suff w:val="space"/>
      <w:lvlText w:val="第%1章"/>
      <w:lvlJc w:val="left"/>
      <w:rPr>
        <w:rFonts w:hint="eastAsia"/>
      </w:rPr>
    </w:lvl>
  </w:abstractNum>
  <w:abstractNum w:abstractNumId="2">
    <w:nsid w:val="274D877E"/>
    <w:multiLevelType w:val="singleLevel"/>
    <w:tmpl w:val="274D877E"/>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trackRevisions w:val="1"/>
  <w:documentProtection w:edit="trackedChanges" w:enforcement="1" w:cryptProviderType="rsaFull" w:cryptAlgorithmClass="hash" w:cryptAlgorithmType="typeAny" w:cryptAlgorithmSid="4" w:cryptSpinCount="0" w:hash="xiPWIvLXsxvP64N5enqePOIEjFE=" w:salt="QhShH72MvlYJOJLBxm+Nk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730E6E"/>
    <w:rsid w:val="00000324"/>
    <w:rsid w:val="0005573F"/>
    <w:rsid w:val="00063642"/>
    <w:rsid w:val="00084E8A"/>
    <w:rsid w:val="00093E0D"/>
    <w:rsid w:val="001115B1"/>
    <w:rsid w:val="00116ADB"/>
    <w:rsid w:val="00161FA5"/>
    <w:rsid w:val="001915DF"/>
    <w:rsid w:val="001C08C6"/>
    <w:rsid w:val="0022641E"/>
    <w:rsid w:val="00407DD9"/>
    <w:rsid w:val="004A46A5"/>
    <w:rsid w:val="004E3040"/>
    <w:rsid w:val="00523308"/>
    <w:rsid w:val="00565D46"/>
    <w:rsid w:val="005A30C9"/>
    <w:rsid w:val="005C2B35"/>
    <w:rsid w:val="005C68D7"/>
    <w:rsid w:val="00634923"/>
    <w:rsid w:val="00663177"/>
    <w:rsid w:val="006C2BB3"/>
    <w:rsid w:val="006F22D2"/>
    <w:rsid w:val="007206B3"/>
    <w:rsid w:val="00777A3F"/>
    <w:rsid w:val="007C1726"/>
    <w:rsid w:val="007D4E48"/>
    <w:rsid w:val="00841399"/>
    <w:rsid w:val="008805E6"/>
    <w:rsid w:val="00895486"/>
    <w:rsid w:val="008B3AAE"/>
    <w:rsid w:val="008C235B"/>
    <w:rsid w:val="0091511A"/>
    <w:rsid w:val="00996772"/>
    <w:rsid w:val="009F4907"/>
    <w:rsid w:val="00A82EFC"/>
    <w:rsid w:val="00AE76A5"/>
    <w:rsid w:val="00AE7CA6"/>
    <w:rsid w:val="00BA5195"/>
    <w:rsid w:val="00C96397"/>
    <w:rsid w:val="00CA0343"/>
    <w:rsid w:val="00CD40AF"/>
    <w:rsid w:val="00D76584"/>
    <w:rsid w:val="00DA5642"/>
    <w:rsid w:val="00DB04B0"/>
    <w:rsid w:val="00DE294A"/>
    <w:rsid w:val="00EB0C42"/>
    <w:rsid w:val="00EF7D86"/>
    <w:rsid w:val="00F2621E"/>
    <w:rsid w:val="00F32E03"/>
    <w:rsid w:val="00FD5B60"/>
    <w:rsid w:val="02615109"/>
    <w:rsid w:val="04F27A0F"/>
    <w:rsid w:val="07943000"/>
    <w:rsid w:val="079F749A"/>
    <w:rsid w:val="09630EDC"/>
    <w:rsid w:val="0ADB0F46"/>
    <w:rsid w:val="0C3E353A"/>
    <w:rsid w:val="0CE95B9C"/>
    <w:rsid w:val="0CEA36C2"/>
    <w:rsid w:val="0EDD7ECD"/>
    <w:rsid w:val="0FAB7138"/>
    <w:rsid w:val="10305890"/>
    <w:rsid w:val="125910CE"/>
    <w:rsid w:val="126B0E01"/>
    <w:rsid w:val="133F03DA"/>
    <w:rsid w:val="13F82B68"/>
    <w:rsid w:val="1AE23C2A"/>
    <w:rsid w:val="1B0818E3"/>
    <w:rsid w:val="1BC33A5C"/>
    <w:rsid w:val="1C6A2129"/>
    <w:rsid w:val="1F7D579B"/>
    <w:rsid w:val="2039253E"/>
    <w:rsid w:val="210E7527"/>
    <w:rsid w:val="24B84CBB"/>
    <w:rsid w:val="25547212"/>
    <w:rsid w:val="26507A9B"/>
    <w:rsid w:val="271E4BF4"/>
    <w:rsid w:val="291B4ED7"/>
    <w:rsid w:val="2B1B11BE"/>
    <w:rsid w:val="2C002162"/>
    <w:rsid w:val="2D2D342B"/>
    <w:rsid w:val="2E994AEF"/>
    <w:rsid w:val="30F2476F"/>
    <w:rsid w:val="316118F5"/>
    <w:rsid w:val="330C5891"/>
    <w:rsid w:val="33BC1065"/>
    <w:rsid w:val="36681030"/>
    <w:rsid w:val="36DD5057"/>
    <w:rsid w:val="384A33A8"/>
    <w:rsid w:val="39B747A8"/>
    <w:rsid w:val="3A573895"/>
    <w:rsid w:val="3B0E5C90"/>
    <w:rsid w:val="3C97266F"/>
    <w:rsid w:val="3D023F8C"/>
    <w:rsid w:val="3DA52B6A"/>
    <w:rsid w:val="42613503"/>
    <w:rsid w:val="42730E6E"/>
    <w:rsid w:val="43EA64AA"/>
    <w:rsid w:val="47947ED7"/>
    <w:rsid w:val="4D613A9A"/>
    <w:rsid w:val="52394F56"/>
    <w:rsid w:val="532F31A9"/>
    <w:rsid w:val="546F6D84"/>
    <w:rsid w:val="54F2448F"/>
    <w:rsid w:val="55985036"/>
    <w:rsid w:val="5B201C2D"/>
    <w:rsid w:val="5B2914F9"/>
    <w:rsid w:val="5B7F45A2"/>
    <w:rsid w:val="5BB1569D"/>
    <w:rsid w:val="5D5850AB"/>
    <w:rsid w:val="61A84853"/>
    <w:rsid w:val="62F93064"/>
    <w:rsid w:val="646A2293"/>
    <w:rsid w:val="64DC3DE5"/>
    <w:rsid w:val="674A015A"/>
    <w:rsid w:val="677156E7"/>
    <w:rsid w:val="687E07DB"/>
    <w:rsid w:val="68BC67E4"/>
    <w:rsid w:val="693E04EB"/>
    <w:rsid w:val="6A0960AB"/>
    <w:rsid w:val="6B306F2E"/>
    <w:rsid w:val="6D100E7E"/>
    <w:rsid w:val="6D877A12"/>
    <w:rsid w:val="6F564097"/>
    <w:rsid w:val="71347EB1"/>
    <w:rsid w:val="71686643"/>
    <w:rsid w:val="71AE15B2"/>
    <w:rsid w:val="72485B95"/>
    <w:rsid w:val="75CB690A"/>
    <w:rsid w:val="76811CB7"/>
    <w:rsid w:val="7CD42548"/>
    <w:rsid w:val="7EE44750"/>
    <w:rsid w:val="7F3E1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szCs w:val="24"/>
    </w:rPr>
  </w:style>
  <w:style w:type="paragraph" w:styleId="3">
    <w:name w:val="Body Text 2"/>
    <w:basedOn w:val="1"/>
    <w:next w:val="4"/>
    <w:qFormat/>
    <w:uiPriority w:val="0"/>
    <w:pPr>
      <w:spacing w:line="480" w:lineRule="auto"/>
    </w:pPr>
  </w:style>
  <w:style w:type="paragraph" w:styleId="4">
    <w:name w:val="Plain Text"/>
    <w:basedOn w:val="1"/>
    <w:unhideWhenUsed/>
    <w:qFormat/>
    <w:uiPriority w:val="99"/>
    <w:rPr>
      <w:rFonts w:ascii="宋体" w:hAnsi="Courier New" w:cs="宋体"/>
      <w:kern w:val="0"/>
      <w:sz w:val="20"/>
    </w:rPr>
  </w:style>
  <w:style w:type="paragraph" w:styleId="5">
    <w:name w:val="Body Text Indent"/>
    <w:basedOn w:val="1"/>
    <w:next w:val="6"/>
    <w:qFormat/>
    <w:uiPriority w:val="0"/>
    <w:pPr>
      <w:spacing w:after="120"/>
      <w:ind w:left="200" w:leftChars="200"/>
    </w:pPr>
    <w:rPr>
      <w:kern w:val="0"/>
      <w:sz w:val="30"/>
    </w:rPr>
  </w:style>
  <w:style w:type="paragraph" w:customStyle="1" w:styleId="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7">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39"/>
  </w:style>
  <w:style w:type="paragraph" w:styleId="10">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1">
    <w:name w:val="Normal (Web)"/>
    <w:basedOn w:val="1"/>
    <w:qFormat/>
    <w:uiPriority w:val="0"/>
    <w:pPr>
      <w:jc w:val="left"/>
    </w:pPr>
    <w:rPr>
      <w:kern w:val="0"/>
      <w:sz w:val="24"/>
    </w:rPr>
  </w:style>
  <w:style w:type="paragraph" w:styleId="12">
    <w:name w:val="Body Text First Indent"/>
    <w:basedOn w:val="2"/>
    <w:qFormat/>
    <w:uiPriority w:val="0"/>
    <w:pPr>
      <w:spacing w:line="544" w:lineRule="exact"/>
      <w:ind w:firstLine="420" w:firstLineChars="100"/>
    </w:pPr>
    <w:rPr>
      <w:rFonts w:ascii="Calibri" w:hAnsi="Calibri" w:eastAsia="仿宋_GB2312"/>
      <w:sz w:val="28"/>
      <w:szCs w:val="22"/>
    </w:rPr>
  </w:style>
  <w:style w:type="paragraph" w:styleId="13">
    <w:name w:val="Body Text First Indent 2"/>
    <w:basedOn w:val="5"/>
    <w:qFormat/>
    <w:uiPriority w:val="0"/>
    <w:pPr>
      <w:ind w:firstLine="420" w:firstLineChars="200"/>
    </w:pPr>
  </w:style>
  <w:style w:type="character" w:styleId="16">
    <w:name w:val="Strong"/>
    <w:basedOn w:val="15"/>
    <w:qFormat/>
    <w:uiPriority w:val="0"/>
    <w:rPr>
      <w:b/>
      <w:bCs/>
    </w:rPr>
  </w:style>
  <w:style w:type="character" w:styleId="17">
    <w:name w:val="FollowedHyperlink"/>
    <w:basedOn w:val="15"/>
    <w:qFormat/>
    <w:uiPriority w:val="0"/>
    <w:rPr>
      <w:color w:val="800080"/>
      <w:u w:val="none"/>
    </w:rPr>
  </w:style>
  <w:style w:type="character" w:styleId="18">
    <w:name w:val="Emphasis"/>
    <w:basedOn w:val="15"/>
    <w:qFormat/>
    <w:uiPriority w:val="0"/>
    <w:rPr>
      <w:b/>
      <w:bCs/>
    </w:rPr>
  </w:style>
  <w:style w:type="character" w:styleId="19">
    <w:name w:val="HTML Definition"/>
    <w:basedOn w:val="15"/>
    <w:qFormat/>
    <w:uiPriority w:val="0"/>
  </w:style>
  <w:style w:type="character" w:styleId="20">
    <w:name w:val="HTML Typewriter"/>
    <w:basedOn w:val="15"/>
    <w:qFormat/>
    <w:uiPriority w:val="0"/>
    <w:rPr>
      <w:rFonts w:hint="default" w:ascii="monospace" w:hAnsi="monospace" w:eastAsia="monospace" w:cs="monospace"/>
      <w:sz w:val="20"/>
    </w:rPr>
  </w:style>
  <w:style w:type="character" w:styleId="21">
    <w:name w:val="HTML Acronym"/>
    <w:basedOn w:val="15"/>
    <w:qFormat/>
    <w:uiPriority w:val="0"/>
    <w:rPr>
      <w:bdr w:val="single" w:color="D2D2D2" w:sz="2" w:space="0"/>
      <w:shd w:val="clear" w:fill="FFFFFF"/>
    </w:rPr>
  </w:style>
  <w:style w:type="character" w:styleId="22">
    <w:name w:val="HTML Variable"/>
    <w:basedOn w:val="15"/>
    <w:qFormat/>
    <w:uiPriority w:val="0"/>
  </w:style>
  <w:style w:type="character" w:styleId="23">
    <w:name w:val="Hyperlink"/>
    <w:basedOn w:val="15"/>
    <w:qFormat/>
    <w:uiPriority w:val="99"/>
    <w:rPr>
      <w:color w:val="0000FF"/>
      <w:u w:val="none"/>
    </w:rPr>
  </w:style>
  <w:style w:type="character" w:styleId="24">
    <w:name w:val="HTML Code"/>
    <w:basedOn w:val="15"/>
    <w:qFormat/>
    <w:uiPriority w:val="0"/>
    <w:rPr>
      <w:rFonts w:hint="default" w:ascii="monospace" w:hAnsi="monospace" w:eastAsia="monospace" w:cs="monospace"/>
      <w:sz w:val="20"/>
    </w:rPr>
  </w:style>
  <w:style w:type="character" w:styleId="25">
    <w:name w:val="HTML Cite"/>
    <w:basedOn w:val="15"/>
    <w:qFormat/>
    <w:uiPriority w:val="0"/>
  </w:style>
  <w:style w:type="character" w:styleId="26">
    <w:name w:val="HTML Keyboard"/>
    <w:basedOn w:val="15"/>
    <w:qFormat/>
    <w:uiPriority w:val="0"/>
    <w:rPr>
      <w:rFonts w:hint="default" w:ascii="monospace" w:hAnsi="monospace" w:eastAsia="monospace" w:cs="monospace"/>
      <w:sz w:val="20"/>
    </w:rPr>
  </w:style>
  <w:style w:type="character" w:styleId="27">
    <w:name w:val="HTML Sample"/>
    <w:basedOn w:val="15"/>
    <w:qFormat/>
    <w:uiPriority w:val="0"/>
    <w:rPr>
      <w:rFonts w:ascii="monospace" w:hAnsi="monospace" w:eastAsia="monospace" w:cs="monospace"/>
    </w:rPr>
  </w:style>
  <w:style w:type="paragraph" w:customStyle="1" w:styleId="28">
    <w:name w:val="WPSOffice手动目录 1"/>
    <w:qFormat/>
    <w:uiPriority w:val="0"/>
    <w:rPr>
      <w:rFonts w:ascii="Times New Roman" w:hAnsi="Times New Roman" w:eastAsia="宋体" w:cs="Times New Roman"/>
      <w:lang w:val="en-US" w:eastAsia="zh-CN" w:bidi="ar-SA"/>
    </w:rPr>
  </w:style>
  <w:style w:type="paragraph" w:customStyle="1" w:styleId="29">
    <w:name w:val="文档正文"/>
    <w:basedOn w:val="1"/>
    <w:qFormat/>
    <w:uiPriority w:val="0"/>
    <w:pPr>
      <w:spacing w:line="480" w:lineRule="atLeast"/>
      <w:ind w:firstLine="567"/>
    </w:pPr>
    <w:rPr>
      <w:rFonts w:hint="eastAsia" w:ascii="仿宋_GB2312" w:eastAsia="仿宋_GB2312"/>
      <w:sz w:val="28"/>
    </w:rPr>
  </w:style>
  <w:style w:type="paragraph" w:customStyle="1" w:styleId="30">
    <w:name w:val="样式 样式 行距: 1.5 倍行距 + 首行缩进:  2 字符"/>
    <w:next w:val="2"/>
    <w:qFormat/>
    <w:uiPriority w:val="0"/>
    <w:pPr>
      <w:widowControl w:val="0"/>
      <w:spacing w:line="360" w:lineRule="auto"/>
      <w:ind w:firstLine="200" w:firstLineChars="200"/>
      <w:jc w:val="both"/>
    </w:pPr>
    <w:rPr>
      <w:rFonts w:ascii="Times New Roman" w:hAnsi="Times New Roman" w:eastAsia="宋体" w:cs="宋体"/>
      <w:kern w:val="2"/>
      <w:sz w:val="24"/>
      <w:szCs w:val="21"/>
      <w:lang w:val="en-US" w:eastAsia="zh-CN" w:bidi="ar-SA"/>
    </w:rPr>
  </w:style>
  <w:style w:type="character" w:customStyle="1" w:styleId="31">
    <w:name w:val="layui-layer-tabnow"/>
    <w:basedOn w:val="15"/>
    <w:qFormat/>
    <w:uiPriority w:val="0"/>
    <w:rPr>
      <w:bdr w:val="single" w:color="CCCCCC" w:sz="6" w:space="0"/>
      <w:shd w:val="clear" w:color="auto" w:fill="FFFFFF"/>
    </w:rPr>
  </w:style>
  <w:style w:type="character" w:customStyle="1" w:styleId="32">
    <w:name w:val="first-child"/>
    <w:basedOn w:val="15"/>
    <w:qFormat/>
    <w:uiPriority w:val="0"/>
  </w:style>
  <w:style w:type="paragraph" w:customStyle="1" w:styleId="33">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table" w:customStyle="1" w:styleId="34">
    <w:name w:val="Table Normal"/>
    <w:semiHidden/>
    <w:unhideWhenUsed/>
    <w:qFormat/>
    <w:uiPriority w:val="0"/>
    <w:tblPr>
      <w:tblCellMar>
        <w:top w:w="0" w:type="dxa"/>
        <w:left w:w="0" w:type="dxa"/>
        <w:bottom w:w="0" w:type="dxa"/>
        <w:right w:w="0" w:type="dxa"/>
      </w:tblCellMar>
    </w:tblPr>
  </w:style>
  <w:style w:type="character" w:customStyle="1" w:styleId="35">
    <w:name w:val="hover"/>
    <w:basedOn w:val="15"/>
    <w:qFormat/>
    <w:uiPriority w:val="0"/>
    <w:rPr>
      <w:color w:val="2590EB"/>
    </w:rPr>
  </w:style>
  <w:style w:type="character" w:customStyle="1" w:styleId="36">
    <w:name w:val="hover1"/>
    <w:basedOn w:val="15"/>
    <w:qFormat/>
    <w:uiPriority w:val="0"/>
    <w:rPr>
      <w:color w:val="2590EB"/>
    </w:rPr>
  </w:style>
  <w:style w:type="character" w:customStyle="1" w:styleId="37">
    <w:name w:val="hover2"/>
    <w:basedOn w:val="15"/>
    <w:qFormat/>
    <w:uiPriority w:val="0"/>
  </w:style>
  <w:style w:type="character" w:customStyle="1" w:styleId="38">
    <w:name w:val="mini-outputtext1"/>
    <w:basedOn w:val="15"/>
    <w:qFormat/>
    <w:uiPriority w:val="0"/>
  </w:style>
  <w:style w:type="character" w:customStyle="1" w:styleId="39">
    <w:name w:val="hover3"/>
    <w:basedOn w:val="1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45</Pages>
  <Words>15965</Words>
  <Characters>17400</Characters>
  <Lines>179</Lines>
  <Paragraphs>50</Paragraphs>
  <TotalTime>9</TotalTime>
  <ScaleCrop>false</ScaleCrop>
  <LinksUpToDate>false</LinksUpToDate>
  <CharactersWithSpaces>17510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2025-03-07T08:49:00Z</dcterms:created>
  <dc:creator>惠普</dc:creator>
  <cp:lastModifiedBy>李扬</cp:lastModifiedBy>
  <dcterms:modified xsi:type="dcterms:W3CDTF">2025-05-14T12:56:49Z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231411DC897F4DA8A6AF5FB56E39B760_13</vt:lpwstr>
  </property>
  <property fmtid="{D5CDD505-2E9C-101B-9397-08002B2CF9AE}" pid="4" name="KSOTemplateDocerSaveRecord">
    <vt:lpwstr>eyJoZGlkIjoiODMwNWNmZTllMTQ2YjMwYjEwNTBhYzVlNTJjODYzNjMiLCJ1c2VySWQiOiI0MzczODk0NzkifQ==</vt:lpwstr>
  </property>
</Properties>
</file>