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16869">
      <w:pPr>
        <w:jc w:val="center"/>
        <w:rPr>
          <w:rFonts w:hint="eastAsia" w:ascii="黑体" w:hAnsi="黑体" w:eastAsia="黑体" w:cs="Times New Roman"/>
          <w:bCs/>
          <w:color w:val="000000" w:themeColor="text1"/>
          <w:sz w:val="52"/>
          <w:szCs w:val="52"/>
          <w:lang w:eastAsia="zh-CN"/>
          <w14:textFill>
            <w14:solidFill>
              <w14:schemeClr w14:val="tx1"/>
            </w14:solidFill>
          </w14:textFill>
        </w:rPr>
      </w:pPr>
      <w:bookmarkStart w:id="43" w:name="_GoBack"/>
      <w:bookmarkEnd w:id="43"/>
      <w:r>
        <w:rPr>
          <w:rFonts w:hint="eastAsia" w:ascii="黑体" w:hAnsi="黑体" w:eastAsia="黑体" w:cs="Times New Roman"/>
          <w:bCs/>
          <w:color w:val="000000" w:themeColor="text1"/>
          <w:sz w:val="52"/>
          <w:szCs w:val="52"/>
          <w:lang w:eastAsia="zh-CN"/>
          <w14:textFill>
            <w14:solidFill>
              <w14:schemeClr w14:val="tx1"/>
            </w14:solidFill>
          </w14:textFill>
        </w:rPr>
        <w:t>三门峡市中心医院病理科外送检测项目</w:t>
      </w:r>
    </w:p>
    <w:p w14:paraId="5A5CE95E">
      <w:pPr>
        <w:jc w:val="center"/>
        <w:rPr>
          <w:rFonts w:hint="eastAsia" w:ascii="黑体" w:hAnsi="黑体" w:eastAsia="黑体" w:cs="Times New Roman"/>
          <w:bCs/>
          <w:color w:val="000000" w:themeColor="text1"/>
          <w:sz w:val="52"/>
          <w:szCs w:val="52"/>
          <w14:textFill>
            <w14:solidFill>
              <w14:schemeClr w14:val="tx1"/>
            </w14:solidFill>
          </w14:textFill>
        </w:rPr>
      </w:pPr>
    </w:p>
    <w:p w14:paraId="1DE8DB2B">
      <w:pPr>
        <w:jc w:val="center"/>
        <w:rPr>
          <w:rFonts w:hint="eastAsia" w:ascii="黑体" w:hAnsi="黑体" w:eastAsia="黑体" w:cs="Times New Roman"/>
          <w:bCs/>
          <w:color w:val="000000" w:themeColor="text1"/>
          <w:sz w:val="52"/>
          <w:szCs w:val="52"/>
          <w14:textFill>
            <w14:solidFill>
              <w14:schemeClr w14:val="tx1"/>
            </w14:solidFill>
          </w14:textFill>
        </w:rPr>
      </w:pPr>
    </w:p>
    <w:p w14:paraId="751C97FB">
      <w:pPr>
        <w:jc w:val="center"/>
        <w:rPr>
          <w:rFonts w:ascii="黑体" w:hAnsi="黑体" w:eastAsia="黑体" w:cs="Times New Roman"/>
          <w:bCs/>
          <w:color w:val="000000" w:themeColor="text1"/>
          <w:sz w:val="52"/>
          <w:szCs w:val="52"/>
          <w14:textFill>
            <w14:solidFill>
              <w14:schemeClr w14:val="tx1"/>
            </w14:solidFill>
          </w14:textFill>
        </w:rPr>
      </w:pPr>
      <w:r>
        <w:rPr>
          <w:rFonts w:hint="eastAsia" w:ascii="黑体" w:hAnsi="黑体" w:eastAsia="黑体" w:cs="Times New Roman"/>
          <w:bCs/>
          <w:color w:val="000000" w:themeColor="text1"/>
          <w:sz w:val="52"/>
          <w:szCs w:val="52"/>
          <w14:textFill>
            <w14:solidFill>
              <w14:schemeClr w14:val="tx1"/>
            </w14:solidFill>
          </w14:textFill>
        </w:rPr>
        <w:t>竞争性磋商文件</w:t>
      </w:r>
    </w:p>
    <w:p w14:paraId="43C3901E">
      <w:pPr>
        <w:jc w:val="center"/>
        <w:rPr>
          <w:rFonts w:hint="default" w:ascii="黑体" w:hAnsi="黑体" w:eastAsia="宋体" w:cs="Times New Roman"/>
          <w:bCs/>
          <w:color w:val="000000" w:themeColor="text1"/>
          <w:sz w:val="28"/>
          <w:szCs w:val="28"/>
          <w:lang w:val="en-US" w:eastAsia="zh-CN"/>
          <w14:textFill>
            <w14:solidFill>
              <w14:schemeClr w14:val="tx1"/>
            </w14:solidFill>
          </w14:textFill>
        </w:rPr>
      </w:pPr>
      <w:r>
        <w:rPr>
          <w:rFonts w:ascii="Calibri" w:hAnsi="宋体" w:eastAsia="宋体" w:cs="Times New Roman"/>
          <w:color w:val="000000" w:themeColor="text1"/>
          <w:sz w:val="28"/>
          <w:szCs w:val="28"/>
          <w14:textFill>
            <w14:solidFill>
              <w14:schemeClr w14:val="tx1"/>
            </w14:solidFill>
          </w14:textFill>
        </w:rPr>
        <w:drawing>
          <wp:inline distT="0" distB="0" distL="0" distR="0">
            <wp:extent cx="1800225" cy="1990725"/>
            <wp:effectExtent l="0" t="0" r="9525" b="9525"/>
            <wp:docPr id="6"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框 1025"/>
                    <pic:cNvPicPr>
                      <a:picLocks noChangeAspect="1" noChangeArrowheads="1"/>
                    </pic:cNvPicPr>
                  </pic:nvPicPr>
                  <pic:blipFill>
                    <a:blip r:embed="rId6"/>
                    <a:srcRect/>
                    <a:stretch>
                      <a:fillRect/>
                    </a:stretch>
                  </pic:blipFill>
                  <pic:spPr>
                    <a:xfrm>
                      <a:off x="0" y="0"/>
                      <a:ext cx="1800225" cy="1990725"/>
                    </a:xfrm>
                    <a:prstGeom prst="rect">
                      <a:avLst/>
                    </a:prstGeom>
                    <a:noFill/>
                    <a:ln w="9525">
                      <a:noFill/>
                      <a:miter lim="800000"/>
                      <a:headEnd/>
                      <a:tailEnd/>
                    </a:ln>
                  </pic:spPr>
                </pic:pic>
              </a:graphicData>
            </a:graphic>
          </wp:inline>
        </w:drawing>
      </w:r>
      <w:r>
        <w:rPr>
          <w:rFonts w:hint="eastAsia" w:ascii="Calibri" w:hAnsi="宋体" w:eastAsia="宋体" w:cs="Times New Roman"/>
          <w:color w:val="000000" w:themeColor="text1"/>
          <w:sz w:val="28"/>
          <w:szCs w:val="28"/>
          <w:lang w:val="en-US" w:eastAsia="zh-CN"/>
          <w14:textFill>
            <w14:solidFill>
              <w14:schemeClr w14:val="tx1"/>
            </w14:solidFill>
          </w14:textFill>
        </w:rPr>
        <w:t xml:space="preserve">   </w:t>
      </w:r>
    </w:p>
    <w:p w14:paraId="44B04483">
      <w:pPr>
        <w:jc w:val="center"/>
        <w:rPr>
          <w:rFonts w:hint="eastAsia" w:ascii="黑体" w:hAnsi="黑体" w:eastAsia="黑体" w:cs="Times New Roman"/>
          <w:color w:val="auto"/>
          <w:sz w:val="28"/>
          <w:szCs w:val="28"/>
          <w:lang w:val="en-US" w:eastAsia="zh-CN"/>
        </w:rPr>
      </w:pPr>
      <w:r>
        <w:rPr>
          <w:rFonts w:hint="eastAsia" w:ascii="黑体" w:hAnsi="黑体" w:eastAsia="黑体" w:cs="Times New Roman"/>
          <w:color w:val="auto"/>
          <w:sz w:val="28"/>
          <w:szCs w:val="28"/>
        </w:rPr>
        <w:t>项目编号：三财竞磋采购-2025-24、SGZ[2025]203-ZC136</w:t>
      </w:r>
    </w:p>
    <w:p w14:paraId="5F0EC734">
      <w:pPr>
        <w:jc w:val="center"/>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lang w:val="en-US" w:eastAsia="zh-CN"/>
          <w14:textFill>
            <w14:solidFill>
              <w14:schemeClr w14:val="tx1"/>
            </w14:solidFill>
          </w14:textFill>
        </w:rPr>
        <w:t xml:space="preserve">  </w:t>
      </w:r>
    </w:p>
    <w:p w14:paraId="72E5AA21">
      <w:pPr>
        <w:rPr>
          <w:rFonts w:ascii="黑体" w:hAnsi="黑体" w:eastAsia="黑体" w:cs="Times New Roman"/>
          <w:color w:val="000000" w:themeColor="text1"/>
          <w:sz w:val="28"/>
          <w:szCs w:val="28"/>
          <w14:textFill>
            <w14:solidFill>
              <w14:schemeClr w14:val="tx1"/>
            </w14:solidFill>
          </w14:textFill>
        </w:rPr>
      </w:pPr>
    </w:p>
    <w:p w14:paraId="73BC0A75">
      <w:pPr>
        <w:ind w:firstLine="1680"/>
        <w:rPr>
          <w:rFonts w:ascii="黑体" w:hAnsi="黑体" w:eastAsia="黑体" w:cs="Times New Roman"/>
          <w:color w:val="000000" w:themeColor="text1"/>
          <w:sz w:val="28"/>
          <w:szCs w:val="28"/>
          <w14:textFill>
            <w14:solidFill>
              <w14:schemeClr w14:val="tx1"/>
            </w14:solidFill>
          </w14:textFill>
        </w:rPr>
      </w:pPr>
    </w:p>
    <w:p w14:paraId="3C2DEFC3">
      <w:pPr>
        <w:rPr>
          <w:rFonts w:hint="eastAsia" w:ascii="黑体" w:hAnsi="黑体" w:eastAsia="黑体" w:cs="Times New Roman"/>
          <w:color w:val="000000" w:themeColor="text1"/>
          <w:sz w:val="28"/>
          <w:szCs w:val="28"/>
          <w14:textFill>
            <w14:solidFill>
              <w14:schemeClr w14:val="tx1"/>
            </w14:solidFill>
          </w14:textFill>
        </w:rPr>
      </w:pPr>
    </w:p>
    <w:p w14:paraId="01E3C199">
      <w:pPr>
        <w:ind w:firstLine="168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采  购  人：</w:t>
      </w:r>
      <w:r>
        <w:rPr>
          <w:rFonts w:hint="eastAsia" w:ascii="黑体" w:hAnsi="黑体" w:eastAsia="黑体" w:cs="Times New Roman"/>
          <w:bCs/>
          <w:color w:val="000000" w:themeColor="text1"/>
          <w:sz w:val="28"/>
          <w:szCs w:val="28"/>
          <w14:textFill>
            <w14:solidFill>
              <w14:schemeClr w14:val="tx1"/>
            </w14:solidFill>
          </w14:textFill>
        </w:rPr>
        <w:t>三门峡市中心医院</w:t>
      </w:r>
    </w:p>
    <w:p w14:paraId="1E8557D6">
      <w:pPr>
        <w:jc w:val="center"/>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 xml:space="preserve">      代 理 机 构：河南飞洋建设工程咨询有限公司</w:t>
      </w:r>
    </w:p>
    <w:p w14:paraId="7955F582">
      <w:pPr>
        <w:ind w:firstLine="168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日       期：二〇二</w:t>
      </w:r>
      <w:r>
        <w:rPr>
          <w:rFonts w:hint="eastAsia" w:ascii="黑体" w:hAnsi="黑体" w:eastAsia="黑体" w:cs="Times New Roman"/>
          <w:color w:val="000000" w:themeColor="text1"/>
          <w:sz w:val="28"/>
          <w:szCs w:val="28"/>
          <w:lang w:val="en-US" w:eastAsia="zh-CN"/>
          <w14:textFill>
            <w14:solidFill>
              <w14:schemeClr w14:val="tx1"/>
            </w14:solidFill>
          </w14:textFill>
        </w:rPr>
        <w:t>五</w:t>
      </w:r>
      <w:r>
        <w:rPr>
          <w:rFonts w:hint="eastAsia" w:ascii="黑体" w:hAnsi="黑体" w:eastAsia="黑体" w:cs="Times New Roman"/>
          <w:color w:val="000000" w:themeColor="text1"/>
          <w:sz w:val="28"/>
          <w:szCs w:val="28"/>
          <w14:textFill>
            <w14:solidFill>
              <w14:schemeClr w14:val="tx1"/>
            </w14:solidFill>
          </w14:textFill>
        </w:rPr>
        <w:t>年</w:t>
      </w:r>
      <w:r>
        <w:rPr>
          <w:rFonts w:hint="eastAsia" w:ascii="黑体" w:hAnsi="黑体" w:eastAsia="黑体" w:cs="Times New Roman"/>
          <w:color w:val="000000" w:themeColor="text1"/>
          <w:sz w:val="28"/>
          <w:szCs w:val="28"/>
          <w:lang w:val="en-US" w:eastAsia="zh-CN"/>
          <w14:textFill>
            <w14:solidFill>
              <w14:schemeClr w14:val="tx1"/>
            </w14:solidFill>
          </w14:textFill>
        </w:rPr>
        <w:t>五</w:t>
      </w:r>
      <w:r>
        <w:rPr>
          <w:rFonts w:hint="eastAsia" w:ascii="黑体" w:hAnsi="黑体" w:eastAsia="黑体" w:cs="Times New Roman"/>
          <w:color w:val="000000" w:themeColor="text1"/>
          <w:sz w:val="28"/>
          <w:szCs w:val="28"/>
          <w14:textFill>
            <w14:solidFill>
              <w14:schemeClr w14:val="tx1"/>
            </w14:solidFill>
          </w14:textFill>
        </w:rPr>
        <w:t>月</w:t>
      </w:r>
    </w:p>
    <w:p w14:paraId="0A8BAC9A">
      <w:pPr>
        <w:jc w:val="both"/>
        <w:rPr>
          <w:rFonts w:ascii="Calibri" w:hAnsi="Calibri" w:eastAsia="宋体" w:cs="Times New Roman"/>
          <w:b/>
          <w:color w:val="000000" w:themeColor="text1"/>
          <w:sz w:val="28"/>
          <w:szCs w:val="28"/>
          <w14:textFill>
            <w14:solidFill>
              <w14:schemeClr w14:val="tx1"/>
            </w14:solidFill>
          </w14:textFill>
        </w:rPr>
      </w:pPr>
    </w:p>
    <w:p w14:paraId="2EC3DE4A">
      <w:pPr>
        <w:jc w:val="center"/>
        <w:rPr>
          <w:rFonts w:ascii="Calibri" w:hAnsi="Calibri" w:eastAsia="宋体" w:cs="Times New Roman"/>
          <w:b/>
          <w:color w:val="000000" w:themeColor="text1"/>
          <w:sz w:val="28"/>
          <w:szCs w:val="28"/>
          <w14:textFill>
            <w14:solidFill>
              <w14:schemeClr w14:val="tx1"/>
            </w14:solidFill>
          </w14:textFill>
        </w:rPr>
      </w:pPr>
      <w:r>
        <w:rPr>
          <w:rFonts w:hint="eastAsia" w:ascii="Calibri" w:hAnsi="Calibri" w:eastAsia="宋体" w:cs="Times New Roman"/>
          <w:b/>
          <w:color w:val="000000" w:themeColor="text1"/>
          <w:sz w:val="28"/>
          <w:szCs w:val="28"/>
          <w14:textFill>
            <w14:solidFill>
              <w14:schemeClr w14:val="tx1"/>
            </w14:solidFill>
          </w14:textFill>
        </w:rPr>
        <w:t>目  录</w:t>
      </w:r>
    </w:p>
    <w:p w14:paraId="7B6A5B54">
      <w:pPr>
        <w:tabs>
          <w:tab w:val="right" w:leader="dot" w:pos="9071"/>
        </w:tabs>
        <w:spacing w:line="360" w:lineRule="auto"/>
        <w:rPr>
          <w:color w:val="000000" w:themeColor="text1"/>
          <w14:textFill>
            <w14:solidFill>
              <w14:schemeClr w14:val="tx1"/>
            </w14:solidFill>
          </w14:textFill>
        </w:rPr>
      </w:pPr>
      <w:r>
        <w:rPr>
          <w:rFonts w:ascii="仿宋_GB2312" w:hAnsi="Times New Roman" w:eastAsia="仿宋_GB2312"/>
          <w:bCs/>
          <w:color w:val="000000" w:themeColor="text1"/>
          <w:kern w:val="0"/>
          <w:sz w:val="28"/>
          <w:szCs w:val="28"/>
          <w14:textFill>
            <w14:solidFill>
              <w14:schemeClr w14:val="tx1"/>
            </w14:solidFill>
          </w14:textFill>
        </w:rPr>
        <w:fldChar w:fldCharType="begin"/>
      </w:r>
      <w:r>
        <w:rPr>
          <w:rFonts w:ascii="仿宋_GB2312" w:hAnsi="Times New Roman" w:eastAsia="仿宋_GB2312"/>
          <w:bCs/>
          <w:color w:val="000000" w:themeColor="text1"/>
          <w:kern w:val="0"/>
          <w:sz w:val="28"/>
          <w:szCs w:val="28"/>
          <w14:textFill>
            <w14:solidFill>
              <w14:schemeClr w14:val="tx1"/>
            </w14:solidFill>
          </w14:textFill>
        </w:rPr>
        <w:instrText xml:space="preserve"> TOC \o "1-2" \h \z \u </w:instrText>
      </w:r>
      <w:r>
        <w:rPr>
          <w:rFonts w:ascii="仿宋_GB2312" w:hAnsi="Times New Roman" w:eastAsia="仿宋_GB2312"/>
          <w:bCs/>
          <w:color w:val="000000" w:themeColor="text1"/>
          <w:kern w:val="0"/>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"_Toc518571700" </w:instrText>
      </w:r>
      <w:r>
        <w:rPr>
          <w:color w:val="000000" w:themeColor="text1"/>
          <w14:textFill>
            <w14:solidFill>
              <w14:schemeClr w14:val="tx1"/>
            </w14:solidFill>
          </w14:textFill>
        </w:rPr>
        <w:fldChar w:fldCharType="separate"/>
      </w:r>
      <w:r>
        <w:rPr>
          <w:rFonts w:hint="eastAsia" w:ascii="黑体" w:hAnsi="Times New Roman" w:eastAsia="黑体"/>
          <w:bCs/>
          <w:color w:val="000000" w:themeColor="text1"/>
          <w:sz w:val="24"/>
          <w:szCs w:val="28"/>
          <w14:textFill>
            <w14:solidFill>
              <w14:schemeClr w14:val="tx1"/>
            </w14:solidFill>
          </w14:textFill>
        </w:rPr>
        <w:t>第一章  竞争性磋商公告</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2</w:t>
      </w:r>
      <w:r>
        <w:rPr>
          <w:rFonts w:hint="eastAsia" w:ascii="黑体" w:hAnsi="Times New Roman" w:eastAsia="黑体"/>
          <w:bCs/>
          <w:color w:val="000000" w:themeColor="text1"/>
          <w:sz w:val="24"/>
          <w:szCs w:val="28"/>
          <w14:textFill>
            <w14:solidFill>
              <w14:schemeClr w14:val="tx1"/>
            </w14:solidFill>
          </w14:textFill>
        </w:rPr>
        <w:fldChar w:fldCharType="end"/>
      </w:r>
    </w:p>
    <w:p w14:paraId="3F404DAC">
      <w:pPr>
        <w:tabs>
          <w:tab w:val="right" w:leader="dot" w:pos="9071"/>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"_Toc518571701" </w:instrText>
      </w:r>
      <w:r>
        <w:rPr>
          <w:color w:val="000000" w:themeColor="text1"/>
          <w14:textFill>
            <w14:solidFill>
              <w14:schemeClr w14:val="tx1"/>
            </w14:solidFill>
          </w14:textFill>
        </w:rPr>
        <w:fldChar w:fldCharType="separate"/>
      </w:r>
      <w:r>
        <w:rPr>
          <w:rFonts w:hint="eastAsia" w:ascii="宋体" w:hAnsi="宋体" w:eastAsia="黑体"/>
          <w:bCs/>
          <w:color w:val="000000" w:themeColor="text1"/>
          <w:sz w:val="24"/>
          <w:szCs w:val="28"/>
          <w14:textFill>
            <w14:solidFill>
              <w14:schemeClr w14:val="tx1"/>
            </w14:solidFill>
          </w14:textFill>
        </w:rPr>
        <w:t>第二章  供应商须知</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8</w:t>
      </w:r>
      <w:r>
        <w:rPr>
          <w:rFonts w:hint="eastAsia" w:ascii="黑体" w:hAnsi="Times New Roman" w:eastAsia="黑体"/>
          <w:bCs/>
          <w:color w:val="000000" w:themeColor="text1"/>
          <w:sz w:val="24"/>
          <w:szCs w:val="28"/>
          <w14:textFill>
            <w14:solidFill>
              <w14:schemeClr w14:val="tx1"/>
            </w14:solidFill>
          </w14:textFill>
        </w:rPr>
        <w:fldChar w:fldCharType="end"/>
      </w:r>
    </w:p>
    <w:p w14:paraId="4792307D">
      <w:pPr>
        <w:tabs>
          <w:tab w:val="right" w:leader="dot" w:pos="9071"/>
        </w:tabs>
        <w:spacing w:line="360" w:lineRule="auto"/>
        <w:rPr>
          <w:rFonts w:eastAsia="黑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"_Toc518571710" </w:instrText>
      </w:r>
      <w:r>
        <w:rPr>
          <w:color w:val="000000" w:themeColor="text1"/>
          <w14:textFill>
            <w14:solidFill>
              <w14:schemeClr w14:val="tx1"/>
            </w14:solidFill>
          </w14:textFill>
        </w:rPr>
        <w:fldChar w:fldCharType="separate"/>
      </w:r>
      <w:r>
        <w:rPr>
          <w:rFonts w:hint="eastAsia" w:ascii="宋体" w:hAnsi="宋体" w:eastAsia="黑体" w:cs="宋体"/>
          <w:bCs/>
          <w:color w:val="000000" w:themeColor="text1"/>
          <w:spacing w:val="-4"/>
          <w:sz w:val="24"/>
          <w:szCs w:val="28"/>
          <w14:textFill>
            <w14:solidFill>
              <w14:schemeClr w14:val="tx1"/>
            </w14:solidFill>
          </w14:textFill>
        </w:rPr>
        <w:t xml:space="preserve">第三章  </w:t>
      </w:r>
      <w:r>
        <w:rPr>
          <w:rFonts w:hint="eastAsia" w:ascii="宋体" w:hAnsi="宋体" w:eastAsia="黑体" w:cs="宋体"/>
          <w:bCs/>
          <w:color w:val="000000" w:themeColor="text1"/>
          <w:spacing w:val="-4"/>
          <w:sz w:val="24"/>
          <w:szCs w:val="28"/>
          <w:lang w:val="en-US" w:eastAsia="zh-CN"/>
          <w14:textFill>
            <w14:solidFill>
              <w14:schemeClr w14:val="tx1"/>
            </w14:solidFill>
          </w14:textFill>
        </w:rPr>
        <w:t>服务</w:t>
      </w:r>
      <w:r>
        <w:rPr>
          <w:rFonts w:hint="eastAsia" w:ascii="宋体" w:hAnsi="宋体" w:eastAsia="黑体" w:cs="宋体"/>
          <w:bCs/>
          <w:color w:val="000000" w:themeColor="text1"/>
          <w:spacing w:val="-4"/>
          <w:sz w:val="24"/>
          <w:szCs w:val="28"/>
          <w14:textFill>
            <w14:solidFill>
              <w14:schemeClr w14:val="tx1"/>
            </w14:solidFill>
          </w14:textFill>
        </w:rPr>
        <w:t>内容及技术要求</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2</w:t>
      </w:r>
      <w:r>
        <w:rPr>
          <w:rFonts w:hint="eastAsia" w:ascii="黑体" w:hAnsi="Times New Roman" w:eastAsia="黑体"/>
          <w:bCs/>
          <w:color w:val="000000" w:themeColor="text1"/>
          <w:sz w:val="24"/>
          <w:szCs w:val="28"/>
          <w14:textFill>
            <w14:solidFill>
              <w14:schemeClr w14:val="tx1"/>
            </w14:solidFill>
          </w14:textFill>
        </w:rPr>
        <w:fldChar w:fldCharType="end"/>
      </w:r>
      <w:r>
        <w:rPr>
          <w:rFonts w:hint="eastAsia" w:ascii="黑体" w:hAnsi="Times New Roman" w:eastAsia="黑体"/>
          <w:bCs/>
          <w:color w:val="000000" w:themeColor="text1"/>
          <w:sz w:val="24"/>
          <w:szCs w:val="28"/>
          <w14:textFill>
            <w14:solidFill>
              <w14:schemeClr w14:val="tx1"/>
            </w14:solidFill>
          </w14:textFill>
        </w:rPr>
        <w:t>6</w:t>
      </w:r>
    </w:p>
    <w:p w14:paraId="74195697">
      <w:pPr>
        <w:tabs>
          <w:tab w:val="right" w:leader="dot" w:pos="9071"/>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"_Toc518571711" </w:instrText>
      </w:r>
      <w:r>
        <w:rPr>
          <w:color w:val="000000" w:themeColor="text1"/>
          <w14:textFill>
            <w14:solidFill>
              <w14:schemeClr w14:val="tx1"/>
            </w14:solidFill>
          </w14:textFill>
        </w:rPr>
        <w:fldChar w:fldCharType="separate"/>
      </w:r>
      <w:r>
        <w:rPr>
          <w:rFonts w:hint="eastAsia" w:ascii="黑体" w:hAnsi="宋体" w:eastAsia="黑体"/>
          <w:bCs/>
          <w:color w:val="000000" w:themeColor="text1"/>
          <w:sz w:val="24"/>
          <w:szCs w:val="28"/>
          <w14:textFill>
            <w14:solidFill>
              <w14:schemeClr w14:val="tx1"/>
            </w14:solidFill>
          </w14:textFill>
        </w:rPr>
        <w:t>第四章  合同条款及合同文件格式</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30</w:t>
      </w:r>
      <w:r>
        <w:rPr>
          <w:rFonts w:hint="eastAsia" w:ascii="黑体" w:hAnsi="Times New Roman" w:eastAsia="黑体"/>
          <w:bCs/>
          <w:color w:val="000000" w:themeColor="text1"/>
          <w:sz w:val="24"/>
          <w:szCs w:val="28"/>
          <w14:textFill>
            <w14:solidFill>
              <w14:schemeClr w14:val="tx1"/>
            </w14:solidFill>
          </w14:textFill>
        </w:rPr>
        <w:fldChar w:fldCharType="end"/>
      </w:r>
    </w:p>
    <w:p w14:paraId="6EBB5C2E">
      <w:pPr>
        <w:tabs>
          <w:tab w:val="right" w:leader="dot" w:pos="9071"/>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"_Toc518571712" </w:instrText>
      </w:r>
      <w:r>
        <w:rPr>
          <w:color w:val="000000" w:themeColor="text1"/>
          <w14:textFill>
            <w14:solidFill>
              <w14:schemeClr w14:val="tx1"/>
            </w14:solidFill>
          </w14:textFill>
        </w:rPr>
        <w:fldChar w:fldCharType="separate"/>
      </w:r>
      <w:r>
        <w:rPr>
          <w:rFonts w:hint="eastAsia" w:ascii="宋体" w:hAnsi="宋体" w:eastAsia="黑体"/>
          <w:bCs/>
          <w:color w:val="000000" w:themeColor="text1"/>
          <w:sz w:val="24"/>
          <w:szCs w:val="28"/>
          <w14:textFill>
            <w14:solidFill>
              <w14:schemeClr w14:val="tx1"/>
            </w14:solidFill>
          </w14:textFill>
        </w:rPr>
        <w:t xml:space="preserve">第五章  </w:t>
      </w:r>
      <w:r>
        <w:rPr>
          <w:rFonts w:hint="eastAsia" w:ascii="黑体" w:hAnsi="Times New Roman" w:eastAsia="黑体" w:cs="宋体"/>
          <w:bCs/>
          <w:color w:val="000000" w:themeColor="text1"/>
          <w:sz w:val="24"/>
          <w:szCs w:val="28"/>
          <w14:textFill>
            <w14:solidFill>
              <w14:schemeClr w14:val="tx1"/>
            </w14:solidFill>
          </w14:textFill>
        </w:rPr>
        <w:t>评审标准</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37</w:t>
      </w:r>
      <w:r>
        <w:rPr>
          <w:rFonts w:hint="eastAsia" w:ascii="黑体" w:hAnsi="Times New Roman" w:eastAsia="黑体"/>
          <w:bCs/>
          <w:color w:val="000000" w:themeColor="text1"/>
          <w:sz w:val="24"/>
          <w:szCs w:val="28"/>
          <w14:textFill>
            <w14:solidFill>
              <w14:schemeClr w14:val="tx1"/>
            </w14:solidFill>
          </w14:textFill>
        </w:rPr>
        <w:fldChar w:fldCharType="end"/>
      </w:r>
    </w:p>
    <w:p w14:paraId="4DBB9C04">
      <w:pPr>
        <w:tabs>
          <w:tab w:val="right" w:leader="dot" w:pos="9071"/>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"_Toc518571713" </w:instrText>
      </w:r>
      <w:r>
        <w:rPr>
          <w:color w:val="000000" w:themeColor="text1"/>
          <w14:textFill>
            <w14:solidFill>
              <w14:schemeClr w14:val="tx1"/>
            </w14:solidFill>
          </w14:textFill>
        </w:rPr>
        <w:fldChar w:fldCharType="separate"/>
      </w:r>
      <w:r>
        <w:rPr>
          <w:rFonts w:hint="eastAsia" w:ascii="黑体" w:hAnsi="宋体" w:eastAsia="黑体"/>
          <w:bCs/>
          <w:color w:val="000000" w:themeColor="text1"/>
          <w:sz w:val="24"/>
          <w:szCs w:val="28"/>
          <w14:textFill>
            <w14:solidFill>
              <w14:schemeClr w14:val="tx1"/>
            </w14:solidFill>
          </w14:textFill>
        </w:rPr>
        <w:t>第六章  磋商文件格式</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47</w:t>
      </w:r>
      <w:r>
        <w:rPr>
          <w:rFonts w:hint="eastAsia" w:ascii="黑体" w:hAnsi="Times New Roman" w:eastAsia="黑体"/>
          <w:bCs/>
          <w:color w:val="000000" w:themeColor="text1"/>
          <w:sz w:val="24"/>
          <w:szCs w:val="28"/>
          <w14:textFill>
            <w14:solidFill>
              <w14:schemeClr w14:val="tx1"/>
            </w14:solidFill>
          </w14:textFill>
        </w:rPr>
        <w:fldChar w:fldCharType="end"/>
      </w:r>
    </w:p>
    <w:p w14:paraId="4C86FF24">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eastAsia="仿宋_GB2312"/>
          <w:color w:val="000000" w:themeColor="text1"/>
          <w:kern w:val="0"/>
          <w:sz w:val="28"/>
          <w14:textFill>
            <w14:solidFill>
              <w14:schemeClr w14:val="tx1"/>
            </w14:solidFill>
          </w14:textFill>
        </w:rPr>
        <w:fldChar w:fldCharType="end"/>
      </w:r>
    </w:p>
    <w:p w14:paraId="49E39A69">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40B9C794">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047E65A6">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79166FC">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6A2C0FB">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10AECA14">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5BF9F596">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9B007E7">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4D7F4061">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D655B49">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7C1F878">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hAnsi="宋体" w:eastAsia="仿宋_GB2312" w:cs="Times New Roman"/>
          <w:color w:val="000000" w:themeColor="text1"/>
          <w:kern w:val="0"/>
          <w:sz w:val="28"/>
          <w:szCs w:val="24"/>
          <w14:textFill>
            <w14:solidFill>
              <w14:schemeClr w14:val="tx1"/>
            </w14:solidFill>
          </w14:textFill>
        </w:rPr>
        <w:br w:type="textWrapping"/>
      </w:r>
    </w:p>
    <w:p w14:paraId="542ACCA4">
      <w:pPr>
        <w:pStyle w:val="4"/>
        <w:rPr>
          <w:color w:val="000000" w:themeColor="text1"/>
          <w14:textFill>
            <w14:solidFill>
              <w14:schemeClr w14:val="tx1"/>
            </w14:solidFill>
          </w14:textFill>
        </w:rPr>
      </w:pPr>
    </w:p>
    <w:p w14:paraId="76849F68">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52143563">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26BFE64">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7731DCA6">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07167345">
      <w:pPr>
        <w:pStyle w:val="4"/>
        <w:rPr>
          <w:color w:val="000000" w:themeColor="text1"/>
          <w14:textFill>
            <w14:solidFill>
              <w14:schemeClr w14:val="tx1"/>
            </w14:solidFill>
          </w14:textFill>
        </w:rPr>
      </w:pPr>
    </w:p>
    <w:p w14:paraId="6E72CEA2">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B172272">
      <w:pPr>
        <w:widowControl/>
        <w:numPr>
          <w:ilvl w:val="0"/>
          <w:numId w:val="1"/>
        </w:numPr>
        <w:shd w:val="clear" w:color="auto" w:fill="FFFFFF"/>
        <w:spacing w:line="420" w:lineRule="atLeast"/>
        <w:jc w:val="center"/>
        <w:outlineLvl w:val="0"/>
        <w:rPr>
          <w:rFonts w:ascii="宋体" w:hAnsi="宋体" w:eastAsia="宋体" w:cs="宋体"/>
          <w:b/>
          <w:bCs/>
          <w:color w:val="000000" w:themeColor="text1"/>
          <w:kern w:val="0"/>
          <w:sz w:val="36"/>
          <w:szCs w:val="36"/>
          <w14:textFill>
            <w14:solidFill>
              <w14:schemeClr w14:val="tx1"/>
            </w14:solidFill>
          </w14:textFill>
        </w:rPr>
      </w:pPr>
      <w:bookmarkStart w:id="0" w:name="_Toc109675032"/>
      <w:r>
        <w:rPr>
          <w:rFonts w:hint="eastAsia" w:ascii="宋体" w:hAnsi="宋体" w:eastAsia="宋体" w:cs="宋体"/>
          <w:b/>
          <w:bCs/>
          <w:color w:val="000000" w:themeColor="text1"/>
          <w:kern w:val="0"/>
          <w:sz w:val="36"/>
          <w:szCs w:val="36"/>
          <w14:textFill>
            <w14:solidFill>
              <w14:schemeClr w14:val="tx1"/>
            </w14:solidFill>
          </w14:textFill>
        </w:rPr>
        <w:t>竞争性磋商公告</w:t>
      </w:r>
      <w:bookmarkEnd w:id="0"/>
    </w:p>
    <w:p w14:paraId="22BD0E11">
      <w:pPr>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项目概况</w:t>
      </w:r>
    </w:p>
    <w:p w14:paraId="7ADC6535">
      <w:pPr>
        <w:spacing w:line="360" w:lineRule="auto"/>
        <w:ind w:firstLine="720" w:firstLineChars="3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14:textFill>
            <w14:solidFill>
              <w14:schemeClr w14:val="tx1"/>
            </w14:solidFill>
          </w14:textFill>
        </w:rPr>
        <w:t>的潜在投标人应在三门峡市公共资源交易中心网获取磋商文件，并于</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rPr>
        <w:t>（</w:t>
      </w:r>
      <w:r>
        <w:rPr>
          <w:rFonts w:hint="eastAsia" w:ascii="宋体" w:hAnsi="宋体" w:eastAsia="宋体" w:cs="宋体"/>
          <w:color w:val="000000" w:themeColor="text1"/>
          <w:sz w:val="24"/>
          <w:szCs w:val="24"/>
          <w14:textFill>
            <w14:solidFill>
              <w14:schemeClr w14:val="tx1"/>
            </w14:solidFill>
          </w14:textFill>
        </w:rPr>
        <w:t>北京时间）前递交响应文件。</w:t>
      </w:r>
    </w:p>
    <w:p w14:paraId="1670B253">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w:t>
      </w:r>
      <w:r>
        <w:rPr>
          <w:rFonts w:ascii="宋体" w:hAnsi="宋体" w:eastAsia="宋体" w:cs="Times New Roman"/>
          <w:color w:val="000000" w:themeColor="text1"/>
          <w:sz w:val="24"/>
          <w:szCs w:val="24"/>
          <w14:textFill>
            <w14:solidFill>
              <w14:schemeClr w14:val="tx1"/>
            </w14:solidFill>
          </w14:textFill>
        </w:rPr>
        <w:t>、项目基本情况</w:t>
      </w:r>
    </w:p>
    <w:p w14:paraId="5D5F160F">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 xml:space="preserve">1.项目编号: </w:t>
      </w:r>
      <w:r>
        <w:rPr>
          <w:rFonts w:hint="eastAsia" w:ascii="宋体" w:hAnsi="宋体" w:eastAsia="宋体" w:cs="宋体"/>
          <w:color w:val="auto"/>
          <w:sz w:val="24"/>
          <w:szCs w:val="24"/>
          <w:lang w:val="en-US" w:eastAsia="zh-CN"/>
        </w:rPr>
        <w:t xml:space="preserve"> 三财竞磋采购-2025-24、SGZ[2025]203-ZC136</w:t>
      </w:r>
    </w:p>
    <w:p w14:paraId="2714DD1D">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2.项目名称：</w:t>
      </w:r>
      <w:r>
        <w:rPr>
          <w:rFonts w:hint="eastAsia" w:ascii="宋体" w:hAnsi="宋体" w:eastAsia="宋体" w:cs="宋体"/>
          <w:color w:val="000000" w:themeColor="text1"/>
          <w:sz w:val="24"/>
          <w:szCs w:val="24"/>
          <w:lang w:eastAsia="zh-CN"/>
          <w14:textFill>
            <w14:solidFill>
              <w14:schemeClr w14:val="tx1"/>
            </w14:solidFill>
          </w14:textFill>
        </w:rPr>
        <w:t>三门峡市中心医院病理科外送检测项目</w:t>
      </w:r>
    </w:p>
    <w:p w14:paraId="73B42376">
      <w:pPr>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3.采购方式：竞争性磋商</w:t>
      </w:r>
    </w:p>
    <w:p w14:paraId="23DA4E45">
      <w:pPr>
        <w:spacing w:line="360" w:lineRule="auto"/>
        <w:rPr>
          <w:rFonts w:hint="default" w:ascii="宋体" w:hAnsi="宋体" w:eastAsia="宋体" w:cs="Times New Roman"/>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r>
        <w:rPr>
          <w:rFonts w:ascii="宋体" w:hAnsi="宋体" w:eastAsia="宋体" w:cs="Times New Roman"/>
          <w:color w:val="000000" w:themeColor="text1"/>
          <w:sz w:val="24"/>
          <w:szCs w:val="24"/>
          <w14:textFill>
            <w14:solidFill>
              <w14:schemeClr w14:val="tx1"/>
            </w14:solidFill>
          </w14:textFill>
        </w:rPr>
        <w:t>预算金额：</w:t>
      </w:r>
      <w:r>
        <w:rPr>
          <w:rFonts w:hint="eastAsia" w:ascii="宋体" w:hAnsi="宋体" w:eastAsia="宋体" w:cs="Times New Roman"/>
          <w:color w:val="000000" w:themeColor="text1"/>
          <w:sz w:val="24"/>
          <w:szCs w:val="24"/>
          <w:lang w:val="en-US" w:eastAsia="zh-CN"/>
          <w14:textFill>
            <w14:solidFill>
              <w14:schemeClr w14:val="tx1"/>
            </w14:solidFill>
          </w14:textFill>
        </w:rPr>
        <w:t>1800000.00元</w:t>
      </w:r>
    </w:p>
    <w:p w14:paraId="5782FF2A">
      <w:pPr>
        <w:spacing w:line="360" w:lineRule="auto"/>
        <w:rPr>
          <w:rFonts w:hint="eastAsia" w:ascii="宋体" w:hAnsi="宋体" w:eastAsia="宋体" w:cs="Times New Roman"/>
          <w:color w:val="000000" w:themeColor="text1"/>
          <w:sz w:val="24"/>
          <w:szCs w:val="24"/>
          <w:lang w:eastAsia="zh-CN"/>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最高限价：</w:t>
      </w:r>
      <w:r>
        <w:rPr>
          <w:rFonts w:hint="eastAsia" w:ascii="宋体" w:hAnsi="宋体" w:eastAsia="宋体" w:cs="Times New Roman"/>
          <w:color w:val="000000" w:themeColor="text1"/>
          <w:sz w:val="24"/>
          <w:szCs w:val="24"/>
          <w:lang w:val="en-US" w:eastAsia="zh-CN"/>
          <w14:textFill>
            <w14:solidFill>
              <w14:schemeClr w14:val="tx1"/>
            </w14:solidFill>
          </w14:textFill>
        </w:rPr>
        <w:t>服务</w:t>
      </w:r>
      <w:r>
        <w:rPr>
          <w:rFonts w:hint="eastAsia" w:ascii="宋体" w:hAnsi="宋体" w:eastAsia="宋体" w:cs="Times New Roman"/>
          <w:color w:val="000000" w:themeColor="text1"/>
          <w:sz w:val="24"/>
          <w:szCs w:val="24"/>
          <w14:textFill>
            <w14:solidFill>
              <w14:schemeClr w14:val="tx1"/>
            </w14:solidFill>
          </w14:textFill>
        </w:rPr>
        <w:t>内容及要求中各控制价的</w:t>
      </w:r>
      <w:r>
        <w:rPr>
          <w:rFonts w:hint="eastAsia" w:ascii="宋体" w:hAnsi="宋体" w:eastAsia="宋体" w:cs="Times New Roman"/>
          <w:color w:val="000000" w:themeColor="text1"/>
          <w:sz w:val="24"/>
          <w:szCs w:val="24"/>
          <w:lang w:val="en-US" w:eastAsia="zh-CN"/>
          <w14:textFill>
            <w14:solidFill>
              <w14:schemeClr w14:val="tx1"/>
            </w14:solidFill>
          </w14:textFill>
        </w:rPr>
        <w:t>80</w:t>
      </w:r>
      <w:r>
        <w:rPr>
          <w:rFonts w:hint="eastAsia" w:ascii="宋体" w:hAnsi="宋体" w:eastAsia="宋体" w:cs="Times New Roman"/>
          <w:color w:val="000000" w:themeColor="text1"/>
          <w:sz w:val="24"/>
          <w:szCs w:val="24"/>
          <w14:textFill>
            <w14:solidFill>
              <w14:schemeClr w14:val="tx1"/>
            </w14:solidFill>
          </w14:textFill>
        </w:rPr>
        <w:t>%</w:t>
      </w:r>
    </w:p>
    <w:tbl>
      <w:tblPr>
        <w:tblStyle w:val="12"/>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692"/>
        <w:gridCol w:w="2541"/>
        <w:gridCol w:w="1559"/>
        <w:gridCol w:w="2289"/>
      </w:tblGrid>
      <w:tr w14:paraId="0D3B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12F10CE1">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序号</w:t>
            </w:r>
          </w:p>
        </w:tc>
        <w:tc>
          <w:tcPr>
            <w:tcW w:w="2692" w:type="dxa"/>
            <w:vAlign w:val="center"/>
          </w:tcPr>
          <w:p w14:paraId="120BB1F9">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包号</w:t>
            </w:r>
          </w:p>
        </w:tc>
        <w:tc>
          <w:tcPr>
            <w:tcW w:w="2541" w:type="dxa"/>
            <w:vAlign w:val="center"/>
          </w:tcPr>
          <w:p w14:paraId="00415D22">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包名称</w:t>
            </w:r>
          </w:p>
        </w:tc>
        <w:tc>
          <w:tcPr>
            <w:tcW w:w="1559" w:type="dxa"/>
            <w:vAlign w:val="center"/>
          </w:tcPr>
          <w:p w14:paraId="7C59029D">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包预算</w:t>
            </w:r>
          </w:p>
          <w:p w14:paraId="0A2E82ED">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（元）</w:t>
            </w:r>
          </w:p>
        </w:tc>
        <w:tc>
          <w:tcPr>
            <w:tcW w:w="2289" w:type="dxa"/>
            <w:vAlign w:val="center"/>
          </w:tcPr>
          <w:p w14:paraId="6B7AD5F1">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包最高限价</w:t>
            </w:r>
          </w:p>
          <w:p w14:paraId="2580D356">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（元）</w:t>
            </w:r>
          </w:p>
        </w:tc>
      </w:tr>
      <w:tr w14:paraId="1E4E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Align w:val="center"/>
          </w:tcPr>
          <w:p w14:paraId="1BBCC9E6">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2692" w:type="dxa"/>
            <w:vAlign w:val="center"/>
          </w:tcPr>
          <w:p w14:paraId="77E8213C">
            <w:pPr>
              <w:widowControl/>
              <w:spacing w:line="360" w:lineRule="auto"/>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SGZ[2025]203-ZC136</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2541" w:type="dxa"/>
            <w:vAlign w:val="center"/>
          </w:tcPr>
          <w:p w14:paraId="123A829A">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一标段</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559" w:type="dxa"/>
            <w:vAlign w:val="center"/>
          </w:tcPr>
          <w:p w14:paraId="59336F7D">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400000.00</w:t>
            </w:r>
          </w:p>
        </w:tc>
        <w:tc>
          <w:tcPr>
            <w:tcW w:w="2289" w:type="dxa"/>
            <w:vAlign w:val="center"/>
          </w:tcPr>
          <w:p w14:paraId="3DE5537D">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内容及要求中各控制价的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80</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tc>
      </w:tr>
      <w:tr w14:paraId="3317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Align w:val="center"/>
          </w:tcPr>
          <w:p w14:paraId="33455272">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2692" w:type="dxa"/>
            <w:vAlign w:val="center"/>
          </w:tcPr>
          <w:p w14:paraId="13379AAE">
            <w:pPr>
              <w:widowControl/>
              <w:spacing w:line="360" w:lineRule="auto"/>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lang w:val="en-US" w:eastAsia="zh-CN"/>
              </w:rPr>
              <w:t>SGZ[2025]203-ZC136-3</w:t>
            </w:r>
          </w:p>
        </w:tc>
        <w:tc>
          <w:tcPr>
            <w:tcW w:w="2541" w:type="dxa"/>
            <w:vAlign w:val="center"/>
          </w:tcPr>
          <w:p w14:paraId="37E60310">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二标段</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559" w:type="dxa"/>
            <w:vAlign w:val="center"/>
          </w:tcPr>
          <w:p w14:paraId="55EBD73B">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200000.00</w:t>
            </w:r>
          </w:p>
        </w:tc>
        <w:tc>
          <w:tcPr>
            <w:tcW w:w="2289" w:type="dxa"/>
            <w:vAlign w:val="center"/>
          </w:tcPr>
          <w:p w14:paraId="620D05EC">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内容及要求中各控制价的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80</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tc>
      </w:tr>
      <w:tr w14:paraId="5FBF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Align w:val="center"/>
          </w:tcPr>
          <w:p w14:paraId="0945251A">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2692" w:type="dxa"/>
            <w:vAlign w:val="center"/>
          </w:tcPr>
          <w:p w14:paraId="270443ED">
            <w:pPr>
              <w:widowControl/>
              <w:spacing w:line="360" w:lineRule="auto"/>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lang w:val="en-US" w:eastAsia="zh-CN"/>
              </w:rPr>
              <w:t>SGZ[2025]203-ZC136-2</w:t>
            </w:r>
          </w:p>
        </w:tc>
        <w:tc>
          <w:tcPr>
            <w:tcW w:w="2541" w:type="dxa"/>
            <w:vAlign w:val="center"/>
          </w:tcPr>
          <w:p w14:paraId="745FBDF7">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三标段</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559" w:type="dxa"/>
            <w:vAlign w:val="center"/>
          </w:tcPr>
          <w:p w14:paraId="6496BCE7">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1000000.00</w:t>
            </w:r>
          </w:p>
        </w:tc>
        <w:tc>
          <w:tcPr>
            <w:tcW w:w="2289" w:type="dxa"/>
            <w:vAlign w:val="center"/>
          </w:tcPr>
          <w:p w14:paraId="78BE7F86">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内容及要求中各控制价的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80</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tc>
      </w:tr>
      <w:tr w14:paraId="13FB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Align w:val="center"/>
          </w:tcPr>
          <w:p w14:paraId="66C4E5EB">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2692" w:type="dxa"/>
            <w:vAlign w:val="center"/>
          </w:tcPr>
          <w:p w14:paraId="7B1E9280">
            <w:pPr>
              <w:widowControl/>
              <w:spacing w:line="360" w:lineRule="auto"/>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lang w:val="en-US" w:eastAsia="zh-CN"/>
              </w:rPr>
              <w:t>SGZ[2025]203-ZC136-1</w:t>
            </w:r>
          </w:p>
        </w:tc>
        <w:tc>
          <w:tcPr>
            <w:tcW w:w="2541" w:type="dxa"/>
            <w:vAlign w:val="center"/>
          </w:tcPr>
          <w:p w14:paraId="5CDDDEC5">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lang w:eastAsia="zh-CN"/>
                <w14:textFill>
                  <w14:solidFill>
                    <w14:schemeClr w14:val="tx1"/>
                  </w14:solidFill>
                </w14:textFill>
              </w:rPr>
              <w:t>标段）</w:t>
            </w:r>
          </w:p>
        </w:tc>
        <w:tc>
          <w:tcPr>
            <w:tcW w:w="1559" w:type="dxa"/>
            <w:vAlign w:val="center"/>
          </w:tcPr>
          <w:p w14:paraId="760FA5FE">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200000.00</w:t>
            </w:r>
          </w:p>
        </w:tc>
        <w:tc>
          <w:tcPr>
            <w:tcW w:w="2289" w:type="dxa"/>
            <w:vAlign w:val="center"/>
          </w:tcPr>
          <w:p w14:paraId="060EADF3">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内容及要求中各控制价的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80</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tc>
      </w:tr>
    </w:tbl>
    <w:p w14:paraId="72E5F4D8">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ascii="宋体" w:hAnsi="宋体" w:eastAsia="宋体" w:cs="Times New Roman"/>
          <w:color w:val="000000" w:themeColor="text1"/>
          <w:sz w:val="24"/>
          <w:szCs w:val="24"/>
          <w:highlight w:val="none"/>
          <w14:textFill>
            <w14:solidFill>
              <w14:schemeClr w14:val="tx1"/>
            </w14:solidFill>
          </w14:textFill>
        </w:rPr>
        <w:t>需求（包括但不限于标的的名称、数量、简要技术需求或服务要求等）</w:t>
      </w:r>
    </w:p>
    <w:p w14:paraId="2E292B05">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5.1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14:textFill>
            <w14:solidFill>
              <w14:schemeClr w14:val="tx1"/>
            </w14:solidFill>
          </w14:textFill>
        </w:rPr>
        <w:t>范围</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Times New Roman"/>
          <w:color w:val="000000" w:themeColor="text1"/>
          <w:sz w:val="24"/>
          <w:szCs w:val="24"/>
          <w:highlight w:val="none"/>
          <w14:textFill>
            <w14:solidFill>
              <w14:schemeClr w14:val="tx1"/>
            </w14:solidFill>
          </w14:textFill>
        </w:rPr>
        <w:t>，具体</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14:textFill>
            <w14:solidFill>
              <w14:schemeClr w14:val="tx1"/>
            </w14:solidFill>
          </w14:textFill>
        </w:rPr>
        <w:t>内容及要求详见竞争性磋商文件。</w:t>
      </w:r>
    </w:p>
    <w:p w14:paraId="30B8F9BB">
      <w:pPr>
        <w:spacing w:line="360" w:lineRule="auto"/>
        <w:rPr>
          <w:rFonts w:hint="eastAsia" w:ascii="宋体" w:hAnsi="宋体" w:eastAsia="宋体" w:cs="Times New Roman"/>
          <w:color w:val="000000" w:themeColor="text1"/>
          <w:sz w:val="24"/>
          <w:szCs w:val="28"/>
          <w:highlight w:val="none"/>
          <w:lang w:val="en-US" w:eastAsia="zh-CN"/>
          <w14:textFill>
            <w14:solidFill>
              <w14:schemeClr w14:val="tx1"/>
            </w14:solidFill>
          </w14:textFill>
        </w:rPr>
      </w:pPr>
      <w:r>
        <w:rPr>
          <w:rFonts w:ascii="宋体" w:hAnsi="宋体" w:eastAsia="宋体" w:cs="Times New Roman"/>
          <w:color w:val="000000" w:themeColor="text1"/>
          <w:sz w:val="24"/>
          <w:szCs w:val="28"/>
          <w:highlight w:val="none"/>
          <w14:textFill>
            <w14:solidFill>
              <w14:schemeClr w14:val="tx1"/>
            </w14:solidFill>
          </w14:textFill>
        </w:rPr>
        <w:t>5.</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2资金来源：自筹资金，已落实。</w:t>
      </w:r>
    </w:p>
    <w:p w14:paraId="4CDD7B54">
      <w:pPr>
        <w:spacing w:line="360" w:lineRule="auto"/>
        <w:rPr>
          <w:rFonts w:hint="eastAsia" w:ascii="宋体" w:hAnsi="宋体" w:eastAsia="宋体" w:cs="Times New Roman"/>
          <w:color w:val="FF0000"/>
          <w:sz w:val="24"/>
          <w:szCs w:val="28"/>
          <w:highlight w:val="none"/>
          <w:lang w:val="en-US" w:eastAsia="zh-CN"/>
        </w:rPr>
      </w:pP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5.3服务期限：</w:t>
      </w:r>
      <w:r>
        <w:rPr>
          <w:rFonts w:hint="eastAsia" w:ascii="宋体" w:hAnsi="宋体" w:eastAsia="宋体" w:cs="Times New Roman"/>
          <w:color w:val="auto"/>
          <w:sz w:val="24"/>
          <w:szCs w:val="28"/>
          <w:highlight w:val="none"/>
          <w:lang w:val="en-US" w:eastAsia="zh-CN"/>
        </w:rPr>
        <w:t>自签订合同之日起一年，一年内根据采购人实际需求进行</w:t>
      </w:r>
      <w:r>
        <w:rPr>
          <w:rFonts w:hint="eastAsia" w:ascii="宋体" w:hAnsi="宋体" w:eastAsia="宋体" w:cs="宋体"/>
          <w:color w:val="000000" w:themeColor="text1"/>
          <w:sz w:val="24"/>
          <w:szCs w:val="24"/>
          <w:highlight w:val="none"/>
          <w:lang w:eastAsia="zh-CN"/>
          <w14:textFill>
            <w14:solidFill>
              <w14:schemeClr w14:val="tx1"/>
            </w14:solidFill>
          </w14:textFill>
        </w:rPr>
        <w:t>检测</w:t>
      </w:r>
      <w:r>
        <w:rPr>
          <w:rFonts w:hint="eastAsia" w:ascii="宋体" w:hAnsi="宋体" w:eastAsia="宋体" w:cs="Times New Roman"/>
          <w:color w:val="auto"/>
          <w:sz w:val="24"/>
          <w:szCs w:val="28"/>
          <w:highlight w:val="none"/>
          <w:lang w:val="en-US" w:eastAsia="zh-CN"/>
        </w:rPr>
        <w:t>。</w:t>
      </w:r>
    </w:p>
    <w:p w14:paraId="24724AD0">
      <w:pPr>
        <w:spacing w:line="360" w:lineRule="auto"/>
        <w:rPr>
          <w:rFonts w:hint="eastAsia" w:ascii="宋体" w:hAnsi="宋体" w:eastAsia="宋体" w:cs="Times New Roman"/>
          <w:color w:val="000000" w:themeColor="text1"/>
          <w:sz w:val="24"/>
          <w:szCs w:val="28"/>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5.4质量要求：符合国家的法律法规和行业技术要求。</w:t>
      </w:r>
    </w:p>
    <w:p w14:paraId="0FA55B71">
      <w:pPr>
        <w:spacing w:line="360" w:lineRule="auto"/>
        <w:rPr>
          <w:rFonts w:ascii="宋体" w:hAnsi="宋体" w:eastAsia="宋体" w:cs="Times New Roman"/>
          <w:color w:val="000000" w:themeColor="text1"/>
          <w:sz w:val="24"/>
          <w:szCs w:val="28"/>
          <w:highlight w:val="none"/>
          <w14:textFill>
            <w14:solidFill>
              <w14:schemeClr w14:val="tx1"/>
            </w14:solidFill>
          </w14:textFill>
        </w:rPr>
      </w:pPr>
      <w:r>
        <w:rPr>
          <w:rFonts w:ascii="宋体" w:hAnsi="宋体" w:eastAsia="宋体" w:cs="Times New Roman"/>
          <w:color w:val="000000" w:themeColor="text1"/>
          <w:sz w:val="24"/>
          <w:szCs w:val="28"/>
          <w:highlight w:val="none"/>
          <w14:textFill>
            <w14:solidFill>
              <w14:schemeClr w14:val="tx1"/>
            </w14:solidFill>
          </w14:textFill>
        </w:rPr>
        <w:t>5.6</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8"/>
          <w:highlight w:val="none"/>
          <w14:textFill>
            <w14:solidFill>
              <w14:schemeClr w14:val="tx1"/>
            </w14:solidFill>
          </w14:textFill>
        </w:rPr>
        <w:t>地点：采购人指定地点。</w:t>
      </w:r>
    </w:p>
    <w:p w14:paraId="15949691">
      <w:pPr>
        <w:spacing w:line="360" w:lineRule="auto"/>
        <w:rPr>
          <w:rFonts w:ascii="宋体" w:hAnsi="宋体" w:eastAsia="宋体" w:cs="Times New Roman"/>
          <w:color w:val="000000" w:themeColor="text1"/>
          <w:sz w:val="24"/>
          <w:szCs w:val="28"/>
          <w:highlight w:val="none"/>
          <w14:textFill>
            <w14:solidFill>
              <w14:schemeClr w14:val="tx1"/>
            </w14:solidFill>
          </w14:textFill>
        </w:rPr>
      </w:pPr>
      <w:r>
        <w:rPr>
          <w:rFonts w:ascii="宋体" w:hAnsi="宋体" w:eastAsia="宋体" w:cs="Times New Roman"/>
          <w:color w:val="000000" w:themeColor="text1"/>
          <w:sz w:val="24"/>
          <w:szCs w:val="28"/>
          <w:highlight w:val="none"/>
          <w14:textFill>
            <w14:solidFill>
              <w14:schemeClr w14:val="tx1"/>
            </w14:solidFill>
          </w14:textFill>
        </w:rPr>
        <w:t>6</w:t>
      </w:r>
      <w:r>
        <w:rPr>
          <w:rFonts w:hint="eastAsia" w:ascii="宋体" w:hAnsi="宋体" w:eastAsia="宋体" w:cs="Times New Roman"/>
          <w:color w:val="000000" w:themeColor="text1"/>
          <w:sz w:val="24"/>
          <w:szCs w:val="28"/>
          <w:highlight w:val="none"/>
          <w:lang w:eastAsia="zh-CN"/>
          <w14:textFill>
            <w14:solidFill>
              <w14:schemeClr w14:val="tx1"/>
            </w14:solidFill>
          </w14:textFill>
        </w:rPr>
        <w:t>、</w:t>
      </w:r>
      <w:r>
        <w:rPr>
          <w:rFonts w:ascii="宋体" w:hAnsi="宋体" w:eastAsia="宋体" w:cs="Times New Roman"/>
          <w:color w:val="000000" w:themeColor="text1"/>
          <w:sz w:val="24"/>
          <w:szCs w:val="28"/>
          <w:highlight w:val="none"/>
          <w14:textFill>
            <w14:solidFill>
              <w14:schemeClr w14:val="tx1"/>
            </w14:solidFill>
          </w14:textFill>
        </w:rPr>
        <w:t>合同履行期限：</w:t>
      </w:r>
      <w:r>
        <w:rPr>
          <w:rFonts w:hint="eastAsia" w:ascii="宋体" w:hAnsi="宋体" w:eastAsia="宋体" w:cs="Times New Roman"/>
          <w:color w:val="000000" w:themeColor="text1"/>
          <w:sz w:val="24"/>
          <w:szCs w:val="28"/>
          <w:highlight w:val="none"/>
          <w14:textFill>
            <w14:solidFill>
              <w14:schemeClr w14:val="tx1"/>
            </w14:solidFill>
          </w14:textFill>
        </w:rPr>
        <w:t>按合同约定执行</w:t>
      </w:r>
    </w:p>
    <w:p w14:paraId="3256C4FE">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7</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本项目是否接受联合体投标：否</w:t>
      </w:r>
    </w:p>
    <w:p w14:paraId="3CE651CA">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二、申请人资格要求</w:t>
      </w:r>
    </w:p>
    <w:p w14:paraId="49720A76">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满足《中华人民共和国政府采购法》第二十二条规定；</w:t>
      </w:r>
    </w:p>
    <w:p w14:paraId="3CFF119A">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落实政府采购政策满足的资格要求：</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无</w:t>
      </w:r>
    </w:p>
    <w:p w14:paraId="536E6C33">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3</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本项目的特定资格要求</w:t>
      </w:r>
    </w:p>
    <w:p w14:paraId="024244EA">
      <w:pPr>
        <w:spacing w:line="360" w:lineRule="auto"/>
        <w:rPr>
          <w:rFonts w:hint="eastAsia" w:ascii="宋体" w:hAnsi="宋体" w:eastAsia="宋体" w:cs="Times New Roman"/>
          <w:color w:val="000000" w:themeColor="text1"/>
          <w:sz w:val="24"/>
          <w:szCs w:val="28"/>
          <w:highlight w:val="none"/>
          <w14:textFill>
            <w14:solidFill>
              <w14:schemeClr w14:val="tx1"/>
            </w14:solidFill>
          </w14:textFill>
        </w:rPr>
      </w:pPr>
      <w:r>
        <w:rPr>
          <w:rFonts w:hint="eastAsia" w:ascii="宋体" w:hAnsi="宋体" w:eastAsia="宋体" w:cs="Times New Roman"/>
          <w:color w:val="000000" w:themeColor="text1"/>
          <w:sz w:val="24"/>
          <w:szCs w:val="28"/>
          <w:highlight w:val="none"/>
          <w14:textFill>
            <w14:solidFill>
              <w14:schemeClr w14:val="tx1"/>
            </w14:solidFill>
          </w14:textFill>
        </w:rPr>
        <w:t>3.1、投标供应商须具有合法有效的营业执照；</w:t>
      </w:r>
    </w:p>
    <w:p w14:paraId="6336F381">
      <w:pPr>
        <w:spacing w:line="360" w:lineRule="auto"/>
        <w:rPr>
          <w:rFonts w:hint="eastAsia" w:ascii="宋体" w:hAnsi="宋体" w:eastAsia="宋体" w:cs="Times New Roman"/>
          <w:color w:val="000000" w:themeColor="text1"/>
          <w:sz w:val="24"/>
          <w:szCs w:val="28"/>
          <w:highlight w:val="none"/>
          <w14:textFill>
            <w14:solidFill>
              <w14:schemeClr w14:val="tx1"/>
            </w14:solidFill>
          </w14:textFill>
        </w:rPr>
      </w:pPr>
      <w:r>
        <w:rPr>
          <w:rFonts w:hint="eastAsia" w:ascii="宋体" w:hAnsi="宋体" w:eastAsia="宋体" w:cs="Times New Roman"/>
          <w:color w:val="000000" w:themeColor="text1"/>
          <w:sz w:val="24"/>
          <w:szCs w:val="28"/>
          <w:highlight w:val="none"/>
          <w14:textFill>
            <w14:solidFill>
              <w14:schemeClr w14:val="tx1"/>
            </w14:solidFill>
          </w14:textFill>
        </w:rPr>
        <w:t>3.</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2</w:t>
      </w:r>
      <w:r>
        <w:rPr>
          <w:rFonts w:hint="eastAsia" w:ascii="宋体" w:hAnsi="宋体" w:eastAsia="宋体" w:cs="Times New Roman"/>
          <w:color w:val="000000" w:themeColor="text1"/>
          <w:sz w:val="24"/>
          <w:szCs w:val="28"/>
          <w:highlight w:val="none"/>
          <w14:textFill>
            <w14:solidFill>
              <w14:schemeClr w14:val="tx1"/>
            </w14:solidFill>
          </w14:textFill>
        </w:rPr>
        <w:t>、具有行政主管部门颁发的在有效期内《医疗机构执业许可证》。</w:t>
      </w:r>
    </w:p>
    <w:p w14:paraId="64F81DDB">
      <w:pPr>
        <w:spacing w:line="360" w:lineRule="auto"/>
        <w:rPr>
          <w:rFonts w:ascii="宋体" w:hAnsi="宋体" w:eastAsia="宋体" w:cs="Times New Roman"/>
          <w:color w:val="000000" w:themeColor="text1"/>
          <w:sz w:val="24"/>
          <w:szCs w:val="28"/>
          <w:highlight w:val="none"/>
          <w14:textFill>
            <w14:solidFill>
              <w14:schemeClr w14:val="tx1"/>
            </w14:solidFill>
          </w14:textFill>
        </w:rPr>
      </w:pPr>
      <w:r>
        <w:rPr>
          <w:rFonts w:hint="eastAsia" w:ascii="宋体" w:hAnsi="宋体" w:eastAsia="宋体" w:cs="Times New Roman"/>
          <w:color w:val="000000" w:themeColor="text1"/>
          <w:sz w:val="24"/>
          <w:szCs w:val="28"/>
          <w:highlight w:val="none"/>
          <w14:textFill>
            <w14:solidFill>
              <w14:schemeClr w14:val="tx1"/>
            </w14:solidFill>
          </w14:textFill>
        </w:rPr>
        <w:t>3.</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28"/>
          <w:highlight w:val="none"/>
          <w14:textFill>
            <w14:solidFill>
              <w14:schemeClr w14:val="tx1"/>
            </w14:solidFill>
          </w14:textFill>
        </w:rPr>
        <w:t>、供应商须承诺本企业无商业贿赂和不正当竞争行为。</w:t>
      </w:r>
    </w:p>
    <w:p w14:paraId="6442C5D5">
      <w:pPr>
        <w:spacing w:line="360" w:lineRule="auto"/>
        <w:rPr>
          <w:rFonts w:hint="eastAsia" w:ascii="宋体" w:hAnsi="宋体" w:eastAsia="宋体" w:cs="Times New Roman"/>
          <w:color w:val="000000" w:themeColor="text1"/>
          <w:sz w:val="24"/>
          <w:szCs w:val="28"/>
          <w:highlight w:val="none"/>
          <w:lang w:eastAsia="zh-CN"/>
          <w14:textFill>
            <w14:solidFill>
              <w14:schemeClr w14:val="tx1"/>
            </w14:solidFill>
          </w14:textFill>
        </w:rPr>
      </w:pPr>
      <w:r>
        <w:rPr>
          <w:rFonts w:hint="eastAsia" w:ascii="宋体" w:hAnsi="宋体" w:eastAsia="宋体" w:cs="Times New Roman"/>
          <w:color w:val="000000" w:themeColor="text1"/>
          <w:sz w:val="24"/>
          <w:szCs w:val="28"/>
          <w:highlight w:val="none"/>
          <w14:textFill>
            <w14:solidFill>
              <w14:schemeClr w14:val="tx1"/>
            </w14:solidFill>
          </w14:textFill>
        </w:rPr>
        <w:t>3.</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4</w:t>
      </w:r>
      <w:r>
        <w:rPr>
          <w:rFonts w:hint="eastAsia" w:ascii="宋体" w:hAnsi="宋体" w:eastAsia="宋体" w:cs="Times New Roman"/>
          <w:color w:val="000000" w:themeColor="text1"/>
          <w:sz w:val="24"/>
          <w:szCs w:val="28"/>
          <w:highlight w:val="none"/>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r>
        <w:rPr>
          <w:rFonts w:hint="eastAsia" w:ascii="宋体" w:hAnsi="宋体" w:eastAsia="宋体" w:cs="Times New Roman"/>
          <w:color w:val="000000" w:themeColor="text1"/>
          <w:sz w:val="24"/>
          <w:szCs w:val="28"/>
          <w:highlight w:val="none"/>
          <w:lang w:eastAsia="zh-CN"/>
          <w14:textFill>
            <w14:solidFill>
              <w14:schemeClr w14:val="tx1"/>
            </w14:solidFill>
          </w14:textFill>
        </w:rPr>
        <w:t>。</w:t>
      </w:r>
    </w:p>
    <w:p w14:paraId="77510764">
      <w:pPr>
        <w:spacing w:line="360" w:lineRule="auto"/>
        <w:rPr>
          <w:rFonts w:hint="eastAsia" w:ascii="宋体" w:hAnsi="宋体" w:eastAsia="宋体" w:cs="Times New Roman"/>
          <w:color w:val="000000" w:themeColor="text1"/>
          <w:sz w:val="24"/>
          <w:szCs w:val="28"/>
          <w:highlight w:val="none"/>
          <w:lang w:eastAsia="zh-CN"/>
          <w14:textFill>
            <w14:solidFill>
              <w14:schemeClr w14:val="tx1"/>
            </w14:solidFill>
          </w14:textFill>
        </w:rPr>
      </w:pP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3.5、</w:t>
      </w:r>
      <w:r>
        <w:rPr>
          <w:rFonts w:hint="eastAsia" w:ascii="宋体" w:hAnsi="宋体" w:eastAsia="宋体" w:cs="Times New Roman"/>
          <w:color w:val="000000" w:themeColor="text1"/>
          <w:sz w:val="24"/>
          <w:szCs w:val="28"/>
          <w:highlight w:val="none"/>
          <w:lang w:eastAsia="zh-CN"/>
          <w14:textFill>
            <w14:solidFill>
              <w14:schemeClr w14:val="tx1"/>
            </w14:solidFill>
          </w14:textFill>
        </w:rPr>
        <w:t>本项目不接受联合体投标。提供非联合体承诺书，格式自拟。</w:t>
      </w:r>
    </w:p>
    <w:p w14:paraId="6D275DFE">
      <w:pPr>
        <w:spacing w:line="360" w:lineRule="auto"/>
        <w:rPr>
          <w:rFonts w:hint="default" w:ascii="宋体" w:hAnsi="宋体" w:eastAsia="宋体" w:cs="Times New Roman"/>
          <w:color w:val="000000" w:themeColor="text1"/>
          <w:sz w:val="24"/>
          <w:szCs w:val="28"/>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3.6、单位负责人为同一人或者存在直接控股、管理关系的不同供应商，不得参加同一合同项下的政府采购活动；（供应商自行承诺，格式自拟）</w:t>
      </w:r>
      <w:r>
        <w:rPr>
          <w:rFonts w:hint="eastAsia" w:ascii="宋体" w:hAnsi="宋体" w:eastAsia="宋体" w:cs="Times New Roman"/>
          <w:color w:val="000000" w:themeColor="text1"/>
          <w:sz w:val="24"/>
          <w:szCs w:val="28"/>
          <w:highlight w:val="none"/>
          <w14:textFill>
            <w14:solidFill>
              <w14:schemeClr w14:val="tx1"/>
            </w14:solidFill>
          </w14:textFill>
        </w:rPr>
        <w:t>；</w:t>
      </w:r>
    </w:p>
    <w:p w14:paraId="12D867D5">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三、获取采购文件</w:t>
      </w:r>
    </w:p>
    <w:p w14:paraId="6D16E71D">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1.时间</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2025</w:t>
      </w:r>
      <w:r>
        <w:rPr>
          <w:rFonts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5</w:t>
      </w:r>
      <w:r>
        <w:rPr>
          <w:rFonts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17</w:t>
      </w:r>
      <w:r>
        <w:rPr>
          <w:rFonts w:ascii="宋体" w:hAnsi="宋体" w:eastAsia="宋体" w:cs="Times New Roman"/>
          <w:color w:val="auto"/>
          <w:sz w:val="24"/>
          <w:szCs w:val="24"/>
          <w:highlight w:val="none"/>
        </w:rPr>
        <w:t>日至</w:t>
      </w:r>
      <w:r>
        <w:rPr>
          <w:rFonts w:hint="eastAsia" w:ascii="宋体" w:hAnsi="宋体" w:eastAsia="宋体" w:cs="Times New Roman"/>
          <w:color w:val="auto"/>
          <w:sz w:val="24"/>
          <w:szCs w:val="24"/>
          <w:highlight w:val="none"/>
          <w:lang w:val="en-US" w:eastAsia="zh-CN"/>
        </w:rPr>
        <w:t>2025</w:t>
      </w:r>
      <w:r>
        <w:rPr>
          <w:rFonts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05</w:t>
      </w:r>
      <w:r>
        <w:rPr>
          <w:rFonts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28</w:t>
      </w:r>
      <w:r>
        <w:rPr>
          <w:rFonts w:ascii="宋体" w:hAnsi="宋体" w:eastAsia="宋体" w:cs="Times New Roman"/>
          <w:color w:val="auto"/>
          <w:sz w:val="24"/>
          <w:szCs w:val="24"/>
          <w:highlight w:val="none"/>
        </w:rPr>
        <w:t>日，每天上午00:00至12:00，下午12:00至23:59（北京时间）</w:t>
      </w:r>
    </w:p>
    <w:p w14:paraId="5DE61D9B">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2.地点：三门峡市公共资源交易中心网</w:t>
      </w:r>
    </w:p>
    <w:p w14:paraId="2165AB47">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56B5A6EC">
      <w:pPr>
        <w:spacing w:line="360" w:lineRule="auto"/>
        <w:jc w:val="left"/>
        <w:rPr>
          <w:rFonts w:ascii="宋体" w:hAnsi="宋体" w:eastAsia="宋体" w:cs="Times New Roman"/>
          <w:color w:val="000000" w:themeColor="text1"/>
          <w:sz w:val="24"/>
          <w:szCs w:val="24"/>
          <w:highlight w:val="none"/>
          <w:u w:val="singl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办理</w:t>
      </w:r>
      <w:r>
        <w:rPr>
          <w:rFonts w:ascii="宋体" w:hAnsi="宋体" w:eastAsia="宋体" w:cs="Times New Roman"/>
          <w:color w:val="000000" w:themeColor="text1"/>
          <w:sz w:val="24"/>
          <w:szCs w:val="24"/>
          <w:highlight w:val="none"/>
          <w14:textFill>
            <w14:solidFill>
              <w14:schemeClr w14:val="tx1"/>
            </w14:solidFill>
          </w14:textFill>
        </w:rPr>
        <w:t>CA证书链接：http://gzjy.smx.gov.cn/fwzn/004003/20201019/a8fae6a0-baed-499b-bb50-8ecc8828a2ca.html</w:t>
      </w:r>
    </w:p>
    <w:p w14:paraId="7F065261">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4.售价：0元</w:t>
      </w:r>
    </w:p>
    <w:p w14:paraId="57498F2C">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w:t>
      </w:r>
      <w:r>
        <w:rPr>
          <w:rFonts w:ascii="宋体" w:hAnsi="宋体" w:eastAsia="宋体" w:cs="Times New Roman"/>
          <w:color w:val="000000" w:themeColor="text1"/>
          <w:sz w:val="24"/>
          <w:szCs w:val="24"/>
          <w:highlight w:val="none"/>
          <w14:textFill>
            <w14:solidFill>
              <w14:schemeClr w14:val="tx1"/>
            </w14:solidFill>
          </w14:textFill>
        </w:rPr>
        <w:t>、响应文件提交</w:t>
      </w:r>
    </w:p>
    <w:p w14:paraId="554F52AD">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1.时间：</w:t>
      </w:r>
      <w:r>
        <w:rPr>
          <w:rFonts w:hint="eastAsia" w:ascii="宋体" w:hAnsi="宋体" w:eastAsia="宋体" w:cs="Times New Roman"/>
          <w:color w:val="auto"/>
          <w:sz w:val="24"/>
          <w:szCs w:val="24"/>
          <w:highlight w:val="none"/>
          <w:lang w:eastAsia="zh-CN"/>
        </w:rPr>
        <w:t>202</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年</w:t>
      </w:r>
      <w:r>
        <w:rPr>
          <w:rFonts w:hint="eastAsia" w:ascii="宋体" w:hAnsi="宋体" w:eastAsia="宋体" w:cs="Times New Roman"/>
          <w:color w:val="auto"/>
          <w:sz w:val="24"/>
          <w:szCs w:val="24"/>
          <w:highlight w:val="none"/>
          <w:lang w:val="en-US" w:eastAsia="zh-CN"/>
        </w:rPr>
        <w:t>05</w:t>
      </w:r>
      <w:r>
        <w:rPr>
          <w:rFonts w:hint="eastAsia" w:ascii="宋体" w:hAnsi="宋体" w:eastAsia="宋体" w:cs="Times New Roman"/>
          <w:color w:val="auto"/>
          <w:sz w:val="24"/>
          <w:szCs w:val="24"/>
          <w:highlight w:val="none"/>
          <w:lang w:eastAsia="zh-CN"/>
        </w:rPr>
        <w:t>月</w:t>
      </w:r>
      <w:r>
        <w:rPr>
          <w:rFonts w:hint="eastAsia" w:ascii="宋体" w:hAnsi="宋体" w:eastAsia="宋体" w:cs="Times New Roman"/>
          <w:color w:val="auto"/>
          <w:sz w:val="24"/>
          <w:szCs w:val="24"/>
          <w:highlight w:val="none"/>
          <w:lang w:val="en-US" w:eastAsia="zh-CN"/>
        </w:rPr>
        <w:t>29</w:t>
      </w:r>
      <w:r>
        <w:rPr>
          <w:rFonts w:hint="eastAsia" w:ascii="宋体" w:hAnsi="宋体" w:eastAsia="宋体" w:cs="Times New Roman"/>
          <w:color w:val="auto"/>
          <w:sz w:val="24"/>
          <w:szCs w:val="24"/>
          <w:highlight w:val="none"/>
          <w:lang w:eastAsia="zh-CN"/>
        </w:rPr>
        <w:t>日</w:t>
      </w:r>
      <w:r>
        <w:rPr>
          <w:rFonts w:hint="eastAsia" w:ascii="宋体" w:hAnsi="宋体" w:eastAsia="宋体" w:cs="Times New Roman"/>
          <w:color w:val="auto"/>
          <w:sz w:val="24"/>
          <w:szCs w:val="24"/>
          <w:highlight w:val="none"/>
          <w:lang w:val="en-US" w:eastAsia="zh-CN"/>
        </w:rPr>
        <w:t>08</w:t>
      </w:r>
      <w:r>
        <w:rPr>
          <w:rFonts w:hint="eastAsia" w:ascii="宋体" w:hAnsi="宋体" w:eastAsia="宋体" w:cs="Times New Roman"/>
          <w:color w:val="auto"/>
          <w:sz w:val="24"/>
          <w:szCs w:val="24"/>
          <w:highlight w:val="none"/>
          <w:lang w:eastAsia="zh-CN"/>
        </w:rPr>
        <w:t>时</w:t>
      </w:r>
      <w:r>
        <w:rPr>
          <w:rFonts w:hint="eastAsia" w:ascii="宋体" w:hAnsi="宋体" w:eastAsia="宋体" w:cs="Times New Roman"/>
          <w:color w:val="auto"/>
          <w:sz w:val="24"/>
          <w:szCs w:val="24"/>
          <w:highlight w:val="none"/>
          <w:lang w:val="en-US" w:eastAsia="zh-CN"/>
        </w:rPr>
        <w:t>20</w:t>
      </w:r>
      <w:r>
        <w:rPr>
          <w:rFonts w:hint="eastAsia" w:ascii="宋体" w:hAnsi="宋体" w:eastAsia="宋体" w:cs="Times New Roman"/>
          <w:color w:val="auto"/>
          <w:sz w:val="24"/>
          <w:szCs w:val="24"/>
          <w:highlight w:val="none"/>
          <w:lang w:eastAsia="zh-CN"/>
        </w:rPr>
        <w:t>分</w:t>
      </w:r>
      <w:r>
        <w:rPr>
          <w:rFonts w:ascii="宋体" w:hAnsi="宋体" w:eastAsia="宋体" w:cs="Times New Roman"/>
          <w:color w:val="000000" w:themeColor="text1"/>
          <w:sz w:val="24"/>
          <w:szCs w:val="24"/>
          <w:highlight w:val="none"/>
          <w14:textFill>
            <w14:solidFill>
              <w14:schemeClr w14:val="tx1"/>
            </w14:solidFill>
          </w14:textFill>
        </w:rPr>
        <w:t>（北京时间）</w:t>
      </w:r>
    </w:p>
    <w:p w14:paraId="0D20FEB8">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2.地点：</w:t>
      </w:r>
      <w:r>
        <w:rPr>
          <w:rFonts w:hint="eastAsia" w:ascii="宋体" w:hAnsi="宋体" w:eastAsia="宋体" w:cs="Times New Roman"/>
          <w:color w:val="000000" w:themeColor="text1"/>
          <w:sz w:val="24"/>
          <w:szCs w:val="24"/>
          <w:highlight w:val="none"/>
          <w14:textFill>
            <w14:solidFill>
              <w14:schemeClr w14:val="tx1"/>
            </w14:solidFill>
          </w14:textFill>
        </w:rPr>
        <w:t>加密电子竞争性磋商响应文件须在磋商截止时间前通过三门峡市公共资源交易中心电子交易平台加密上传。</w:t>
      </w:r>
    </w:p>
    <w:p w14:paraId="26395D9B">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五、响应文件开启</w:t>
      </w:r>
    </w:p>
    <w:p w14:paraId="51AC2872">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w:t>
      </w:r>
      <w:r>
        <w:rPr>
          <w:rFonts w:ascii="宋体" w:hAnsi="宋体" w:eastAsia="宋体" w:cs="Times New Roman"/>
          <w:color w:val="000000" w:themeColor="text1"/>
          <w:sz w:val="24"/>
          <w:szCs w:val="24"/>
          <w:highlight w:val="none"/>
          <w14:textFill>
            <w14:solidFill>
              <w14:schemeClr w14:val="tx1"/>
            </w14:solidFill>
          </w14:textFill>
        </w:rPr>
        <w:t>时间：</w:t>
      </w:r>
      <w:r>
        <w:rPr>
          <w:rFonts w:hint="eastAsia" w:ascii="宋体" w:hAnsi="宋体" w:eastAsia="宋体" w:cs="Times New Roman"/>
          <w:color w:val="auto"/>
          <w:sz w:val="24"/>
          <w:szCs w:val="24"/>
          <w:highlight w:val="none"/>
          <w:lang w:eastAsia="zh-CN"/>
        </w:rPr>
        <w:t>202</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年</w:t>
      </w:r>
      <w:r>
        <w:rPr>
          <w:rFonts w:hint="eastAsia" w:ascii="宋体" w:hAnsi="宋体" w:eastAsia="宋体" w:cs="Times New Roman"/>
          <w:color w:val="auto"/>
          <w:sz w:val="24"/>
          <w:szCs w:val="24"/>
          <w:highlight w:val="none"/>
          <w:lang w:val="en-US" w:eastAsia="zh-CN"/>
        </w:rPr>
        <w:t>05</w:t>
      </w:r>
      <w:r>
        <w:rPr>
          <w:rFonts w:hint="eastAsia" w:ascii="宋体" w:hAnsi="宋体" w:eastAsia="宋体" w:cs="Times New Roman"/>
          <w:color w:val="auto"/>
          <w:sz w:val="24"/>
          <w:szCs w:val="24"/>
          <w:highlight w:val="none"/>
          <w:lang w:eastAsia="zh-CN"/>
        </w:rPr>
        <w:t>月</w:t>
      </w:r>
      <w:r>
        <w:rPr>
          <w:rFonts w:hint="eastAsia" w:ascii="宋体" w:hAnsi="宋体" w:eastAsia="宋体" w:cs="Times New Roman"/>
          <w:color w:val="auto"/>
          <w:sz w:val="24"/>
          <w:szCs w:val="24"/>
          <w:highlight w:val="none"/>
          <w:lang w:val="en-US" w:eastAsia="zh-CN"/>
        </w:rPr>
        <w:t>29</w:t>
      </w:r>
      <w:r>
        <w:rPr>
          <w:rFonts w:hint="eastAsia" w:ascii="宋体" w:hAnsi="宋体" w:eastAsia="宋体" w:cs="Times New Roman"/>
          <w:color w:val="auto"/>
          <w:sz w:val="24"/>
          <w:szCs w:val="24"/>
          <w:highlight w:val="none"/>
          <w:lang w:eastAsia="zh-CN"/>
        </w:rPr>
        <w:t>日</w:t>
      </w:r>
      <w:r>
        <w:rPr>
          <w:rFonts w:hint="eastAsia" w:ascii="宋体" w:hAnsi="宋体" w:eastAsia="宋体" w:cs="Times New Roman"/>
          <w:color w:val="auto"/>
          <w:sz w:val="24"/>
          <w:szCs w:val="24"/>
          <w:highlight w:val="none"/>
          <w:lang w:val="en-US" w:eastAsia="zh-CN"/>
        </w:rPr>
        <w:t>08</w:t>
      </w:r>
      <w:r>
        <w:rPr>
          <w:rFonts w:hint="eastAsia" w:ascii="宋体" w:hAnsi="宋体" w:eastAsia="宋体" w:cs="Times New Roman"/>
          <w:color w:val="auto"/>
          <w:sz w:val="24"/>
          <w:szCs w:val="24"/>
          <w:highlight w:val="none"/>
          <w:lang w:eastAsia="zh-CN"/>
        </w:rPr>
        <w:t>时</w:t>
      </w:r>
      <w:r>
        <w:rPr>
          <w:rFonts w:hint="eastAsia" w:ascii="宋体" w:hAnsi="宋体" w:eastAsia="宋体" w:cs="Times New Roman"/>
          <w:color w:val="auto"/>
          <w:sz w:val="24"/>
          <w:szCs w:val="24"/>
          <w:highlight w:val="none"/>
          <w:lang w:val="en-US" w:eastAsia="zh-CN"/>
        </w:rPr>
        <w:t>20</w:t>
      </w:r>
      <w:r>
        <w:rPr>
          <w:rFonts w:hint="eastAsia" w:ascii="宋体" w:hAnsi="宋体" w:eastAsia="宋体" w:cs="Times New Roman"/>
          <w:color w:val="auto"/>
          <w:sz w:val="24"/>
          <w:szCs w:val="24"/>
          <w:highlight w:val="none"/>
          <w:lang w:eastAsia="zh-CN"/>
        </w:rPr>
        <w:t>分</w:t>
      </w:r>
      <w:r>
        <w:rPr>
          <w:rFonts w:ascii="宋体" w:hAnsi="宋体" w:eastAsia="宋体" w:cs="Times New Roman"/>
          <w:color w:val="000000" w:themeColor="text1"/>
          <w:sz w:val="24"/>
          <w:szCs w:val="24"/>
          <w:highlight w:val="none"/>
          <w14:textFill>
            <w14:solidFill>
              <w14:schemeClr w14:val="tx1"/>
            </w14:solidFill>
          </w14:textFill>
        </w:rPr>
        <w:t>（北京时间）</w:t>
      </w:r>
    </w:p>
    <w:p w14:paraId="47B7E832">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地点：</w:t>
      </w:r>
      <w:r>
        <w:rPr>
          <w:rFonts w:hint="eastAsia" w:ascii="宋体" w:hAnsi="宋体" w:eastAsia="宋体" w:cs="Times New Roman"/>
          <w:color w:val="000000" w:themeColor="text1"/>
          <w:sz w:val="24"/>
          <w:szCs w:val="24"/>
          <w:highlight w:val="none"/>
          <w14:textFill>
            <w14:solidFill>
              <w14:schemeClr w14:val="tx1"/>
            </w14:solidFill>
          </w14:textFill>
        </w:rPr>
        <w:t>三门峡市公共资源交易中心五楼开标区</w:t>
      </w:r>
    </w:p>
    <w:p w14:paraId="6F5896D8">
      <w:pPr>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六、发布公告的媒介</w:t>
      </w:r>
      <w:r>
        <w:rPr>
          <w:rFonts w:hint="eastAsia" w:ascii="宋体" w:hAnsi="宋体" w:eastAsia="宋体" w:cs="Times New Roman"/>
          <w:color w:val="000000" w:themeColor="text1"/>
          <w:sz w:val="24"/>
          <w:szCs w:val="24"/>
          <w14:textFill>
            <w14:solidFill>
              <w14:schemeClr w14:val="tx1"/>
            </w14:solidFill>
          </w14:textFill>
        </w:rPr>
        <w:t>及</w:t>
      </w:r>
      <w:r>
        <w:rPr>
          <w:rFonts w:ascii="宋体" w:hAnsi="宋体" w:eastAsia="宋体" w:cs="Times New Roman"/>
          <w:color w:val="000000" w:themeColor="text1"/>
          <w:sz w:val="24"/>
          <w:szCs w:val="24"/>
          <w14:textFill>
            <w14:solidFill>
              <w14:schemeClr w14:val="tx1"/>
            </w14:solidFill>
          </w14:textFill>
        </w:rPr>
        <w:t>公告期限</w:t>
      </w:r>
    </w:p>
    <w:p w14:paraId="61B33927">
      <w:pPr>
        <w:spacing w:line="360" w:lineRule="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本次公告在《</w:t>
      </w:r>
      <w:r>
        <w:rPr>
          <w:rFonts w:hint="eastAsia" w:ascii="宋体" w:hAnsi="宋体" w:eastAsia="宋体" w:cs="Times New Roman"/>
          <w:color w:val="000000" w:themeColor="text1"/>
          <w:sz w:val="24"/>
          <w:szCs w:val="24"/>
          <w:lang w:val="en-US" w:eastAsia="zh-CN"/>
          <w14:textFill>
            <w14:solidFill>
              <w14:schemeClr w14:val="tx1"/>
            </w14:solidFill>
          </w14:textFill>
        </w:rPr>
        <w:t>河南省政府采购网</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eastAsia="zh-CN"/>
          <w14:textFill>
            <w14:solidFill>
              <w14:schemeClr w14:val="tx1"/>
            </w14:solidFill>
          </w14:textFill>
        </w:rPr>
        <w:t>河南招标采购综合网</w:t>
      </w:r>
      <w:r>
        <w:rPr>
          <w:rFonts w:hint="eastAsia" w:ascii="宋体" w:hAnsi="宋体" w:eastAsia="宋体" w:cs="Times New Roman"/>
          <w:color w:val="000000" w:themeColor="text1"/>
          <w:sz w:val="24"/>
          <w:szCs w:val="24"/>
          <w14:textFill>
            <w14:solidFill>
              <w14:schemeClr w14:val="tx1"/>
            </w14:solidFill>
          </w14:textFill>
        </w:rPr>
        <w:t>》、《三门峡市公共资源交易中心网》上发布。</w:t>
      </w:r>
    </w:p>
    <w:p w14:paraId="3604239C">
      <w:pPr>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七、其他补充事宜</w:t>
      </w:r>
    </w:p>
    <w:p w14:paraId="5BAD0A51">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本项目实行资格后审，根据优化营商环境的要求，评标时审查内容以投标文件为准：</w:t>
      </w:r>
    </w:p>
    <w:p w14:paraId="388EC49F">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1、资格评（预）审部分：资格评（预）审以投标文件为准，其上传资料真实性由投标人自行承担，同时，</w:t>
      </w:r>
      <w:r>
        <w:rPr>
          <w:rFonts w:hint="eastAsia"/>
          <w:color w:val="000000" w:themeColor="text1"/>
          <w:sz w:val="24"/>
          <w:szCs w:val="24"/>
          <w14:textFill>
            <w14:solidFill>
              <w14:schemeClr w14:val="tx1"/>
            </w14:solidFill>
          </w14:textFill>
        </w:rPr>
        <w:t>投标人应在开标前自行完善主体库信息</w:t>
      </w:r>
      <w:r>
        <w:rPr>
          <w:rFonts w:hint="eastAsia" w:ascii="宋体" w:hAnsi="宋体" w:eastAsia="宋体" w:cs="Times New Roman"/>
          <w:bCs/>
          <w:color w:val="000000" w:themeColor="text1"/>
          <w:sz w:val="24"/>
          <w:szCs w:val="24"/>
          <w14:textFill>
            <w14:solidFill>
              <w14:schemeClr w14:val="tx1"/>
            </w14:solidFill>
          </w14:textFill>
        </w:rPr>
        <w:t>。</w:t>
      </w:r>
    </w:p>
    <w:p w14:paraId="13933929">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p>
    <w:p w14:paraId="73AD2D7F">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57B8A6CB">
      <w:pPr>
        <w:spacing w:line="360" w:lineRule="auto"/>
        <w:ind w:firstLine="480" w:firstLineChars="200"/>
        <w:rPr>
          <w:rFonts w:hint="eastAsia"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4、我单位（采购人）严格按三财购【2021】9号文要求的时限发布中标结果公告，发出中标通知书，签订采购合同，上传采购合同。</w:t>
      </w:r>
    </w:p>
    <w:p w14:paraId="2006A57A">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八、凡对本次招标提出询问，请按照以下方式联系</w:t>
      </w:r>
    </w:p>
    <w:p w14:paraId="0883782D">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1.采购人：三门峡市中心医院 </w:t>
      </w:r>
    </w:p>
    <w:p w14:paraId="416E1801">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    址： 三门峡市崤山路中段</w:t>
      </w:r>
    </w:p>
    <w:p w14:paraId="3E118FBF">
      <w:pPr>
        <w:spacing w:line="360" w:lineRule="auto"/>
        <w:ind w:firstLine="480" w:firstLineChars="200"/>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联系人：王</w:t>
      </w:r>
      <w:r>
        <w:rPr>
          <w:rFonts w:hint="eastAsia" w:ascii="宋体" w:hAnsi="宋体" w:eastAsia="宋体" w:cs="Times New Roman"/>
          <w:color w:val="000000" w:themeColor="text1"/>
          <w:sz w:val="24"/>
          <w:szCs w:val="24"/>
          <w:lang w:val="en-US" w:eastAsia="zh-CN"/>
          <w14:textFill>
            <w14:solidFill>
              <w14:schemeClr w14:val="tx1"/>
            </w14:solidFill>
          </w14:textFill>
        </w:rPr>
        <w:t>先生</w:t>
      </w:r>
    </w:p>
    <w:p w14:paraId="0CD2C622">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联系方式：0398-3118666</w:t>
      </w:r>
    </w:p>
    <w:p w14:paraId="7469370B">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.采购</w:t>
      </w:r>
      <w:r>
        <w:rPr>
          <w:rFonts w:ascii="宋体" w:hAnsi="宋体" w:eastAsia="宋体" w:cs="Times New Roman"/>
          <w:color w:val="000000" w:themeColor="text1"/>
          <w:sz w:val="24"/>
          <w:szCs w:val="24"/>
          <w14:textFill>
            <w14:solidFill>
              <w14:schemeClr w14:val="tx1"/>
            </w14:solidFill>
          </w14:textFill>
        </w:rPr>
        <w:t>代理机构：</w:t>
      </w:r>
      <w:r>
        <w:rPr>
          <w:rFonts w:hint="eastAsia" w:ascii="宋体" w:hAnsi="宋体" w:eastAsia="宋体" w:cs="Times New Roman"/>
          <w:color w:val="000000" w:themeColor="text1"/>
          <w:sz w:val="24"/>
          <w:szCs w:val="24"/>
          <w14:textFill>
            <w14:solidFill>
              <w14:schemeClr w14:val="tx1"/>
            </w14:solidFill>
          </w14:textFill>
        </w:rPr>
        <w:t>河南飞洋建设工程咨询有限公司</w:t>
      </w:r>
    </w:p>
    <w:p w14:paraId="010BC579">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三门峡市上阳路南段河堤北路四街坊-8号楼</w:t>
      </w:r>
    </w:p>
    <w:p w14:paraId="213E03AE">
      <w:pPr>
        <w:spacing w:line="360" w:lineRule="auto"/>
        <w:ind w:firstLine="480" w:firstLineChars="200"/>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宗航</w:t>
      </w:r>
    </w:p>
    <w:p w14:paraId="7D7CEA99">
      <w:pPr>
        <w:spacing w:line="360" w:lineRule="auto"/>
        <w:ind w:firstLine="480" w:firstLineChars="200"/>
        <w:jc w:val="left"/>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15516319990</w:t>
      </w:r>
    </w:p>
    <w:p w14:paraId="090A4FF9">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.项目联系方式</w:t>
      </w:r>
    </w:p>
    <w:p w14:paraId="7D42073A">
      <w:pPr>
        <w:spacing w:line="360" w:lineRule="auto"/>
        <w:ind w:firstLine="480" w:firstLineChars="200"/>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宗航</w:t>
      </w:r>
    </w:p>
    <w:p w14:paraId="64463A87">
      <w:pPr>
        <w:spacing w:line="360" w:lineRule="auto"/>
        <w:ind w:firstLine="480" w:firstLineChars="200"/>
        <w:jc w:val="left"/>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w:t>
      </w:r>
      <w:r>
        <w:rPr>
          <w:rFonts w:hint="eastAsia" w:ascii="宋体" w:hAnsi="宋体" w:eastAsia="宋体" w:cs="Times New Roman"/>
          <w:color w:val="000000" w:themeColor="text1"/>
          <w:sz w:val="24"/>
          <w:szCs w:val="24"/>
          <w:lang w:val="en-US" w:eastAsia="zh-CN"/>
          <w14:textFill>
            <w14:solidFill>
              <w14:schemeClr w14:val="tx1"/>
            </w14:solidFill>
          </w14:textFill>
        </w:rPr>
        <w:t>15516319990</w:t>
      </w:r>
    </w:p>
    <w:p w14:paraId="1520A648">
      <w:pPr>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4.监督部门：三门峡市财政局政府采购监督管理科</w:t>
      </w:r>
    </w:p>
    <w:p w14:paraId="1F44115F">
      <w:pPr>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联系方式：0398-2608915</w:t>
      </w:r>
    </w:p>
    <w:p w14:paraId="63D3C9AE">
      <w:pPr>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监督部门：中 共三门峡市中心医院纪律检查委员会</w:t>
      </w:r>
    </w:p>
    <w:p w14:paraId="73CFE176">
      <w:pPr>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    话：0398-3118019</w:t>
      </w:r>
    </w:p>
    <w:p w14:paraId="34A44494">
      <w:pPr>
        <w:spacing w:line="360" w:lineRule="auto"/>
        <w:jc w:val="left"/>
        <w:rPr>
          <w:rFonts w:hint="eastAsia" w:ascii="宋体" w:hAnsi="宋体" w:eastAsia="宋体" w:cs="Times New Roman"/>
          <w:color w:val="000000" w:themeColor="text1"/>
          <w:sz w:val="24"/>
          <w:szCs w:val="24"/>
          <w14:textFill>
            <w14:solidFill>
              <w14:schemeClr w14:val="tx1"/>
            </w14:solidFill>
          </w14:textFill>
        </w:rPr>
      </w:pPr>
    </w:p>
    <w:p w14:paraId="51155B2D">
      <w:pPr>
        <w:pStyle w:val="7"/>
        <w:rPr>
          <w:rFonts w:ascii="宋体" w:hAnsi="Courier New" w:eastAsia="华文宋体" w:cs="Times New Roman"/>
          <w:color w:val="000000" w:themeColor="text1"/>
          <w:kern w:val="0"/>
          <w:sz w:val="28"/>
          <w:szCs w:val="28"/>
          <w14:textFill>
            <w14:solidFill>
              <w14:schemeClr w14:val="tx1"/>
            </w14:solidFill>
          </w14:textFill>
        </w:rPr>
      </w:pPr>
    </w:p>
    <w:p w14:paraId="4438A46A">
      <w:pPr>
        <w:pStyle w:val="7"/>
        <w:rPr>
          <w:rFonts w:ascii="宋体" w:hAnsi="Courier New" w:eastAsia="华文宋体" w:cs="Times New Roman"/>
          <w:color w:val="000000" w:themeColor="text1"/>
          <w:kern w:val="0"/>
          <w:sz w:val="28"/>
          <w:szCs w:val="28"/>
          <w14:textFill>
            <w14:solidFill>
              <w14:schemeClr w14:val="tx1"/>
            </w14:solidFill>
          </w14:textFill>
        </w:rPr>
      </w:pPr>
    </w:p>
    <w:p w14:paraId="72567F81">
      <w:pPr>
        <w:pStyle w:val="7"/>
        <w:rPr>
          <w:rFonts w:ascii="宋体" w:hAnsi="Courier New" w:eastAsia="华文宋体" w:cs="Times New Roman"/>
          <w:color w:val="000000" w:themeColor="text1"/>
          <w:kern w:val="0"/>
          <w:sz w:val="28"/>
          <w:szCs w:val="28"/>
          <w14:textFill>
            <w14:solidFill>
              <w14:schemeClr w14:val="tx1"/>
            </w14:solidFill>
          </w14:textFill>
        </w:rPr>
      </w:pPr>
    </w:p>
    <w:p w14:paraId="2FAEE389">
      <w:pPr>
        <w:pStyle w:val="7"/>
        <w:rPr>
          <w:rFonts w:ascii="宋体" w:hAnsi="Courier New" w:eastAsia="华文宋体" w:cs="Times New Roman"/>
          <w:color w:val="000000" w:themeColor="text1"/>
          <w:kern w:val="0"/>
          <w:sz w:val="28"/>
          <w:szCs w:val="28"/>
          <w14:textFill>
            <w14:solidFill>
              <w14:schemeClr w14:val="tx1"/>
            </w14:solidFill>
          </w14:textFill>
        </w:rPr>
      </w:pPr>
    </w:p>
    <w:p w14:paraId="7DA7422C">
      <w:pPr>
        <w:pStyle w:val="7"/>
        <w:rPr>
          <w:rFonts w:ascii="宋体" w:hAnsi="Courier New" w:eastAsia="华文宋体" w:cs="Times New Roman"/>
          <w:color w:val="000000" w:themeColor="text1"/>
          <w:kern w:val="0"/>
          <w:sz w:val="28"/>
          <w:szCs w:val="28"/>
          <w14:textFill>
            <w14:solidFill>
              <w14:schemeClr w14:val="tx1"/>
            </w14:solidFill>
          </w14:textFill>
        </w:rPr>
      </w:pPr>
    </w:p>
    <w:p w14:paraId="0CA7243B">
      <w:pPr>
        <w:pStyle w:val="7"/>
        <w:rPr>
          <w:rFonts w:ascii="宋体" w:hAnsi="Courier New" w:eastAsia="华文宋体" w:cs="Times New Roman"/>
          <w:color w:val="000000" w:themeColor="text1"/>
          <w:kern w:val="0"/>
          <w:sz w:val="28"/>
          <w:szCs w:val="28"/>
          <w14:textFill>
            <w14:solidFill>
              <w14:schemeClr w14:val="tx1"/>
            </w14:solidFill>
          </w14:textFill>
        </w:rPr>
      </w:pPr>
    </w:p>
    <w:p w14:paraId="2C5FB781">
      <w:pPr>
        <w:pStyle w:val="7"/>
        <w:rPr>
          <w:rFonts w:ascii="宋体" w:hAnsi="Courier New" w:eastAsia="华文宋体" w:cs="Times New Roman"/>
          <w:color w:val="000000" w:themeColor="text1"/>
          <w:kern w:val="0"/>
          <w:sz w:val="28"/>
          <w:szCs w:val="28"/>
          <w14:textFill>
            <w14:solidFill>
              <w14:schemeClr w14:val="tx1"/>
            </w14:solidFill>
          </w14:textFill>
        </w:rPr>
      </w:pPr>
    </w:p>
    <w:p w14:paraId="20B1A4F7">
      <w:pPr>
        <w:widowControl/>
        <w:jc w:val="both"/>
        <w:rPr>
          <w:rFonts w:hint="eastAsia" w:ascii="宋体" w:hAnsi="宋体" w:eastAsia="宋体" w:cs="Times New Roman"/>
          <w:b/>
          <w:bCs/>
          <w:color w:val="000000" w:themeColor="text1"/>
          <w:sz w:val="36"/>
          <w:szCs w:val="36"/>
          <w14:textFill>
            <w14:solidFill>
              <w14:schemeClr w14:val="tx1"/>
            </w14:solidFill>
          </w14:textFill>
        </w:rPr>
      </w:pPr>
    </w:p>
    <w:p w14:paraId="79C217F3">
      <w:pPr>
        <w:widowControl/>
        <w:jc w:val="center"/>
        <w:rPr>
          <w:rFonts w:ascii="宋体" w:hAnsi="Calibri" w:eastAsia="宋体" w:cs="Times New Roman"/>
          <w:b/>
          <w:bCs/>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t>第二章  供应商须知</w:t>
      </w:r>
    </w:p>
    <w:p w14:paraId="40AC9CF3">
      <w:pPr>
        <w:spacing w:line="360" w:lineRule="auto"/>
        <w:jc w:val="center"/>
        <w:outlineLvl w:val="1"/>
        <w:rPr>
          <w:rFonts w:ascii="宋体" w:hAnsi="Calibri" w:eastAsia="宋体" w:cs="Times New Roman"/>
          <w:color w:val="000000" w:themeColor="text1"/>
          <w:sz w:val="32"/>
          <w:szCs w:val="32"/>
          <w14:textFill>
            <w14:solidFill>
              <w14:schemeClr w14:val="tx1"/>
            </w14:solidFill>
          </w14:textFill>
        </w:rPr>
      </w:pPr>
      <w:bookmarkStart w:id="1" w:name="_Toc518571702"/>
      <w:bookmarkStart w:id="2" w:name="_Toc109675033"/>
      <w:r>
        <w:rPr>
          <w:rFonts w:hint="eastAsia" w:ascii="宋体" w:hAnsi="宋体" w:eastAsia="宋体" w:cs="Times New Roman"/>
          <w:bCs/>
          <w:color w:val="000000" w:themeColor="text1"/>
          <w:sz w:val="28"/>
          <w:szCs w:val="28"/>
          <w14:textFill>
            <w14:solidFill>
              <w14:schemeClr w14:val="tx1"/>
            </w14:solidFill>
          </w14:textFill>
        </w:rPr>
        <w:t>须知前附表</w:t>
      </w:r>
      <w:bookmarkEnd w:id="1"/>
      <w:bookmarkEnd w:id="2"/>
    </w:p>
    <w:tbl>
      <w:tblPr>
        <w:tblStyle w:val="12"/>
        <w:tblW w:w="9478"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784"/>
      </w:tblGrid>
      <w:tr w14:paraId="50B33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993" w:type="dxa"/>
            <w:tcBorders>
              <w:top w:val="single" w:color="auto" w:sz="12" w:space="0"/>
            </w:tcBorders>
            <w:vAlign w:val="center"/>
          </w:tcPr>
          <w:p w14:paraId="4A7726A5">
            <w:pPr>
              <w:widowControl/>
              <w:adjustRightInd w:val="0"/>
              <w:spacing w:line="324" w:lineRule="auto"/>
              <w:jc w:val="center"/>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项号</w:t>
            </w:r>
          </w:p>
        </w:tc>
        <w:tc>
          <w:tcPr>
            <w:tcW w:w="1701" w:type="dxa"/>
            <w:tcBorders>
              <w:top w:val="single" w:color="auto" w:sz="12" w:space="0"/>
            </w:tcBorders>
            <w:vAlign w:val="center"/>
          </w:tcPr>
          <w:p w14:paraId="2CE7D308">
            <w:pPr>
              <w:widowControl/>
              <w:adjustRightInd w:val="0"/>
              <w:spacing w:line="324" w:lineRule="auto"/>
              <w:jc w:val="center"/>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内容</w:t>
            </w:r>
          </w:p>
        </w:tc>
        <w:tc>
          <w:tcPr>
            <w:tcW w:w="6784" w:type="dxa"/>
            <w:tcBorders>
              <w:top w:val="single" w:color="auto" w:sz="12" w:space="0"/>
            </w:tcBorders>
            <w:vAlign w:val="center"/>
          </w:tcPr>
          <w:p w14:paraId="0BE55CAC">
            <w:pPr>
              <w:widowControl/>
              <w:adjustRightInd w:val="0"/>
              <w:spacing w:line="324" w:lineRule="auto"/>
              <w:jc w:val="center"/>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综合说明与要求</w:t>
            </w:r>
          </w:p>
        </w:tc>
      </w:tr>
      <w:tr w14:paraId="57A6F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993" w:type="dxa"/>
            <w:vAlign w:val="center"/>
          </w:tcPr>
          <w:p w14:paraId="4F4596DA">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w:t>
            </w:r>
          </w:p>
        </w:tc>
        <w:tc>
          <w:tcPr>
            <w:tcW w:w="1701" w:type="dxa"/>
            <w:vAlign w:val="center"/>
          </w:tcPr>
          <w:p w14:paraId="29C07708">
            <w:pPr>
              <w:adjustRightInd w:val="0"/>
              <w:spacing w:line="324"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综合说明</w:t>
            </w:r>
          </w:p>
        </w:tc>
        <w:tc>
          <w:tcPr>
            <w:tcW w:w="6784" w:type="dxa"/>
            <w:vAlign w:val="center"/>
          </w:tcPr>
          <w:p w14:paraId="01E90B08">
            <w:pPr>
              <w:spacing w:line="360" w:lineRule="auto"/>
              <w:rPr>
                <w:rFonts w:hint="eastAsia" w:ascii="Calibri" w:hAnsi="Calibri" w:eastAsia="宋体" w:cs="Times New Roman"/>
                <w:color w:val="000000" w:themeColor="text1"/>
                <w:sz w:val="28"/>
                <w:szCs w:val="28"/>
                <w:lang w:eastAsia="zh-CN"/>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项目名称：</w:t>
            </w:r>
            <w:r>
              <w:rPr>
                <w:rFonts w:hint="eastAsia" w:ascii="Calibri" w:hAnsi="Calibri" w:eastAsia="宋体" w:cs="Times New Roman"/>
                <w:color w:val="000000" w:themeColor="text1"/>
                <w:sz w:val="28"/>
                <w:szCs w:val="28"/>
                <w:lang w:eastAsia="zh-CN"/>
                <w14:textFill>
                  <w14:solidFill>
                    <w14:schemeClr w14:val="tx1"/>
                  </w14:solidFill>
                </w14:textFill>
              </w:rPr>
              <w:t>三门峡市中心医院病理科外送检测项目</w:t>
            </w:r>
          </w:p>
        </w:tc>
      </w:tr>
      <w:tr w14:paraId="6B924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993" w:type="dxa"/>
            <w:vAlign w:val="center"/>
          </w:tcPr>
          <w:p w14:paraId="0E9C3B34">
            <w:pPr>
              <w:spacing w:line="360"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2</w:t>
            </w:r>
          </w:p>
        </w:tc>
        <w:tc>
          <w:tcPr>
            <w:tcW w:w="1701" w:type="dxa"/>
            <w:vAlign w:val="center"/>
          </w:tcPr>
          <w:p w14:paraId="789DCF60">
            <w:pPr>
              <w:adjustRightInd w:val="0"/>
              <w:spacing w:line="324" w:lineRule="auto"/>
              <w:jc w:val="center"/>
              <w:rPr>
                <w:rFonts w:ascii="Calibri" w:hAnsi="Calibri" w:eastAsia="宋体" w:cs="Times New Roman"/>
                <w:color w:val="000000" w:themeColor="text1"/>
                <w:sz w:val="28"/>
                <w:szCs w:val="28"/>
                <w:highlight w:val="none"/>
                <w14:textFill>
                  <w14:solidFill>
                    <w14:schemeClr w14:val="tx1"/>
                  </w14:solidFill>
                </w14:textFill>
              </w:rPr>
            </w:pPr>
            <w:r>
              <w:rPr>
                <w:rFonts w:hint="eastAsia" w:ascii="Calibri" w:hAnsi="Calibri" w:eastAsia="宋体" w:cs="Times New Roman"/>
                <w:color w:val="auto"/>
                <w:sz w:val="28"/>
                <w:szCs w:val="28"/>
                <w:highlight w:val="none"/>
              </w:rPr>
              <w:t>项目编号</w:t>
            </w:r>
          </w:p>
        </w:tc>
        <w:tc>
          <w:tcPr>
            <w:tcW w:w="6784" w:type="dxa"/>
            <w:vAlign w:val="center"/>
          </w:tcPr>
          <w:p w14:paraId="38B10D78">
            <w:pPr>
              <w:spacing w:line="360" w:lineRule="auto"/>
              <w:rPr>
                <w:rFonts w:hint="default" w:ascii="Calibri" w:hAnsi="Calibri" w:eastAsia="宋体" w:cs="Times New Roman"/>
                <w:color w:val="000000" w:themeColor="text1"/>
                <w:sz w:val="28"/>
                <w:szCs w:val="28"/>
                <w:highlight w:val="none"/>
                <w:lang w:val="en-US" w:eastAsia="zh-CN"/>
                <w14:textFill>
                  <w14:solidFill>
                    <w14:schemeClr w14:val="tx1"/>
                  </w14:solidFill>
                </w14:textFill>
              </w:rPr>
            </w:pPr>
            <w:r>
              <w:rPr>
                <w:rFonts w:hint="default" w:ascii="Calibri" w:hAnsi="Calibri" w:eastAsia="宋体" w:cs="Times New Roman"/>
                <w:color w:val="000000" w:themeColor="text1"/>
                <w:sz w:val="28"/>
                <w:szCs w:val="28"/>
                <w:highlight w:val="none"/>
                <w:lang w:val="en-US" w:eastAsia="zh-CN"/>
                <w14:textFill>
                  <w14:solidFill>
                    <w14:schemeClr w14:val="tx1"/>
                  </w14:solidFill>
                </w14:textFill>
              </w:rPr>
              <w:t xml:space="preserve"> 三财竞磋采购-2025-24、SGZ[2025]203-ZC136</w:t>
            </w:r>
          </w:p>
        </w:tc>
      </w:tr>
      <w:tr w14:paraId="4B23B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993" w:type="dxa"/>
            <w:vAlign w:val="center"/>
          </w:tcPr>
          <w:p w14:paraId="2D45D2BB">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3</w:t>
            </w:r>
          </w:p>
        </w:tc>
        <w:tc>
          <w:tcPr>
            <w:tcW w:w="1701" w:type="dxa"/>
            <w:vAlign w:val="center"/>
          </w:tcPr>
          <w:p w14:paraId="2CE56BCD">
            <w:pPr>
              <w:adjustRightInd w:val="0"/>
              <w:spacing w:line="324"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采购单位</w:t>
            </w:r>
          </w:p>
        </w:tc>
        <w:tc>
          <w:tcPr>
            <w:tcW w:w="6784" w:type="dxa"/>
            <w:vAlign w:val="center"/>
          </w:tcPr>
          <w:p w14:paraId="5443DD22">
            <w:pPr>
              <w:spacing w:line="360" w:lineRule="auto"/>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三门峡市中心医院</w:t>
            </w:r>
          </w:p>
        </w:tc>
      </w:tr>
      <w:tr w14:paraId="65579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993" w:type="dxa"/>
            <w:vAlign w:val="center"/>
          </w:tcPr>
          <w:p w14:paraId="1447056D">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4</w:t>
            </w:r>
          </w:p>
        </w:tc>
        <w:tc>
          <w:tcPr>
            <w:tcW w:w="1701" w:type="dxa"/>
            <w:vAlign w:val="center"/>
          </w:tcPr>
          <w:p w14:paraId="0DE099EA">
            <w:pPr>
              <w:spacing w:line="360" w:lineRule="auto"/>
              <w:jc w:val="center"/>
              <w:rPr>
                <w:rFonts w:hint="eastAsia" w:ascii="Calibri" w:hAnsi="Calibri" w:eastAsia="宋体" w:cs="Times New Roman"/>
                <w:color w:val="000000" w:themeColor="text1"/>
                <w:sz w:val="28"/>
                <w:szCs w:val="28"/>
                <w:lang w:eastAsia="zh-CN"/>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采购</w:t>
            </w:r>
            <w:r>
              <w:rPr>
                <w:rFonts w:hint="eastAsia" w:ascii="Calibri" w:hAnsi="Calibri" w:eastAsia="宋体" w:cs="Times New Roman"/>
                <w:color w:val="000000" w:themeColor="text1"/>
                <w:sz w:val="28"/>
                <w:szCs w:val="28"/>
                <w:lang w:eastAsia="zh-CN"/>
                <w14:textFill>
                  <w14:solidFill>
                    <w14:schemeClr w14:val="tx1"/>
                  </w14:solidFill>
                </w14:textFill>
              </w:rPr>
              <w:t>范围</w:t>
            </w:r>
          </w:p>
        </w:tc>
        <w:tc>
          <w:tcPr>
            <w:tcW w:w="6784" w:type="dxa"/>
            <w:vAlign w:val="center"/>
          </w:tcPr>
          <w:p w14:paraId="221DE690">
            <w:pPr>
              <w:spacing w:line="360" w:lineRule="auto"/>
              <w:rPr>
                <w:rFonts w:hint="eastAsia" w:ascii="Calibri" w:hAnsi="Calibri" w:eastAsia="宋体" w:cs="Times New Roman"/>
                <w:color w:val="000000" w:themeColor="text1"/>
                <w:sz w:val="28"/>
                <w:szCs w:val="28"/>
                <w:lang w:val="en-US" w:eastAsia="zh-CN"/>
                <w14:textFill>
                  <w14:solidFill>
                    <w14:schemeClr w14:val="tx1"/>
                  </w14:solidFill>
                </w14:textFill>
              </w:rPr>
            </w:pPr>
            <w:r>
              <w:rPr>
                <w:rFonts w:hint="eastAsia" w:ascii="Calibri" w:hAnsi="Calibri" w:eastAsia="宋体" w:cs="Times New Roman"/>
                <w:color w:val="000000" w:themeColor="text1"/>
                <w:sz w:val="28"/>
                <w:szCs w:val="28"/>
                <w:lang w:val="en-US" w:eastAsia="zh-CN"/>
                <w14:textFill>
                  <w14:solidFill>
                    <w14:schemeClr w14:val="tx1"/>
                  </w14:solidFill>
                </w14:textFill>
              </w:rPr>
              <w:t>三门峡市中心医院病理科外送检测项目，具体服务内容及要求详见竞争性磋商文件。</w:t>
            </w:r>
          </w:p>
        </w:tc>
      </w:tr>
      <w:tr w14:paraId="18E5C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93" w:type="dxa"/>
            <w:vAlign w:val="center"/>
          </w:tcPr>
          <w:p w14:paraId="51DAC4FD">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5</w:t>
            </w:r>
          </w:p>
        </w:tc>
        <w:tc>
          <w:tcPr>
            <w:tcW w:w="1701" w:type="dxa"/>
            <w:vAlign w:val="center"/>
          </w:tcPr>
          <w:p w14:paraId="7CF9B2D0">
            <w:pPr>
              <w:spacing w:line="360" w:lineRule="auto"/>
              <w:jc w:val="center"/>
              <w:rPr>
                <w:rFonts w:hint="default" w:ascii="Calibri" w:hAnsi="Calibri" w:eastAsia="宋体" w:cs="Times New Roman"/>
                <w:color w:val="000000" w:themeColor="text1"/>
                <w:sz w:val="28"/>
                <w:szCs w:val="28"/>
                <w:lang w:val="en-US" w:eastAsia="zh-CN"/>
                <w14:textFill>
                  <w14:solidFill>
                    <w14:schemeClr w14:val="tx1"/>
                  </w14:solidFill>
                </w14:textFill>
              </w:rPr>
            </w:pPr>
            <w:r>
              <w:rPr>
                <w:rFonts w:hint="eastAsia" w:ascii="Calibri" w:hAnsi="Calibri" w:eastAsia="宋体" w:cs="Times New Roman"/>
                <w:color w:val="000000" w:themeColor="text1"/>
                <w:sz w:val="28"/>
                <w:szCs w:val="28"/>
                <w:lang w:val="en-US" w:eastAsia="zh-CN"/>
                <w14:textFill>
                  <w14:solidFill>
                    <w14:schemeClr w14:val="tx1"/>
                  </w14:solidFill>
                </w14:textFill>
              </w:rPr>
              <w:t xml:space="preserve"> 服务期限</w:t>
            </w:r>
          </w:p>
        </w:tc>
        <w:tc>
          <w:tcPr>
            <w:tcW w:w="6784" w:type="dxa"/>
            <w:vAlign w:val="center"/>
          </w:tcPr>
          <w:p w14:paraId="187351DA">
            <w:pPr>
              <w:spacing w:line="360" w:lineRule="auto"/>
              <w:rPr>
                <w:rFonts w:hint="eastAsia" w:ascii="Calibri" w:hAnsi="Calibri" w:eastAsia="宋体" w:cs="Times New Roman"/>
                <w:color w:val="000000" w:themeColor="text1"/>
                <w:sz w:val="28"/>
                <w:szCs w:val="28"/>
                <w:lang w:eastAsia="zh-CN"/>
                <w14:textFill>
                  <w14:solidFill>
                    <w14:schemeClr w14:val="tx1"/>
                  </w14:solidFill>
                </w14:textFill>
              </w:rPr>
            </w:pPr>
            <w:r>
              <w:rPr>
                <w:rFonts w:hint="eastAsia" w:ascii="Calibri" w:hAnsi="Calibri" w:eastAsia="宋体" w:cs="Times New Roman"/>
                <w:color w:val="000000" w:themeColor="text1"/>
                <w:sz w:val="28"/>
                <w:szCs w:val="28"/>
                <w:lang w:val="en-US" w:eastAsia="zh-CN"/>
                <w14:textFill>
                  <w14:solidFill>
                    <w14:schemeClr w14:val="tx1"/>
                  </w14:solidFill>
                </w14:textFill>
              </w:rPr>
              <w:t>自签订合同之日起一年，一年内根据采购人实际需求进行检测。</w:t>
            </w:r>
          </w:p>
        </w:tc>
      </w:tr>
      <w:tr w14:paraId="08862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993" w:type="dxa"/>
            <w:vAlign w:val="center"/>
          </w:tcPr>
          <w:p w14:paraId="72332A2E">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7</w:t>
            </w:r>
          </w:p>
        </w:tc>
        <w:tc>
          <w:tcPr>
            <w:tcW w:w="1701" w:type="dxa"/>
            <w:vAlign w:val="center"/>
          </w:tcPr>
          <w:p w14:paraId="309DA911">
            <w:pPr>
              <w:spacing w:line="360"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质量要求</w:t>
            </w:r>
          </w:p>
        </w:tc>
        <w:tc>
          <w:tcPr>
            <w:tcW w:w="6784" w:type="dxa"/>
            <w:vAlign w:val="center"/>
          </w:tcPr>
          <w:p w14:paraId="206154E8">
            <w:pPr>
              <w:spacing w:line="360" w:lineRule="auto"/>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lang w:eastAsia="zh-CN"/>
                <w14:textFill>
                  <w14:solidFill>
                    <w14:schemeClr w14:val="tx1"/>
                  </w14:solidFill>
                </w14:textFill>
              </w:rPr>
              <w:t>符合国家的法律法规和行业技术要求</w:t>
            </w:r>
            <w:r>
              <w:rPr>
                <w:rFonts w:hint="eastAsia" w:ascii="Calibri" w:hAnsi="Calibri" w:eastAsia="宋体" w:cs="Times New Roman"/>
                <w:color w:val="000000" w:themeColor="text1"/>
                <w:sz w:val="28"/>
                <w:szCs w:val="28"/>
                <w14:textFill>
                  <w14:solidFill>
                    <w14:schemeClr w14:val="tx1"/>
                  </w14:solidFill>
                </w14:textFill>
              </w:rPr>
              <w:t>。</w:t>
            </w:r>
          </w:p>
        </w:tc>
      </w:tr>
      <w:tr w14:paraId="75644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993" w:type="dxa"/>
            <w:vAlign w:val="center"/>
          </w:tcPr>
          <w:p w14:paraId="34DEF9DF">
            <w:pPr>
              <w:widowControl/>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9</w:t>
            </w:r>
          </w:p>
        </w:tc>
        <w:tc>
          <w:tcPr>
            <w:tcW w:w="1701" w:type="dxa"/>
            <w:vAlign w:val="center"/>
          </w:tcPr>
          <w:p w14:paraId="6BCADA9A">
            <w:pPr>
              <w:spacing w:line="360"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lang w:val="en-US" w:eastAsia="zh-CN"/>
                <w14:textFill>
                  <w14:solidFill>
                    <w14:schemeClr w14:val="tx1"/>
                  </w14:solidFill>
                </w14:textFill>
              </w:rPr>
              <w:t>服务</w:t>
            </w:r>
            <w:r>
              <w:rPr>
                <w:rFonts w:hint="eastAsia" w:ascii="Calibri" w:hAnsi="Calibri" w:eastAsia="宋体" w:cs="Times New Roman"/>
                <w:color w:val="000000" w:themeColor="text1"/>
                <w:sz w:val="28"/>
                <w:szCs w:val="28"/>
                <w14:textFill>
                  <w14:solidFill>
                    <w14:schemeClr w14:val="tx1"/>
                  </w14:solidFill>
                </w14:textFill>
              </w:rPr>
              <w:t>地点</w:t>
            </w:r>
          </w:p>
        </w:tc>
        <w:tc>
          <w:tcPr>
            <w:tcW w:w="6784" w:type="dxa"/>
            <w:vAlign w:val="center"/>
          </w:tcPr>
          <w:p w14:paraId="23EC72BF">
            <w:pPr>
              <w:spacing w:line="360" w:lineRule="auto"/>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采购人指定地点</w:t>
            </w:r>
          </w:p>
        </w:tc>
      </w:tr>
      <w:tr w14:paraId="1DEB7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993" w:type="dxa"/>
            <w:vAlign w:val="center"/>
          </w:tcPr>
          <w:p w14:paraId="66D68CE5">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10</w:t>
            </w:r>
          </w:p>
        </w:tc>
        <w:tc>
          <w:tcPr>
            <w:tcW w:w="1701" w:type="dxa"/>
            <w:vAlign w:val="center"/>
          </w:tcPr>
          <w:p w14:paraId="18482C7A">
            <w:pPr>
              <w:spacing w:line="360"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资金来源</w:t>
            </w:r>
          </w:p>
        </w:tc>
        <w:tc>
          <w:tcPr>
            <w:tcW w:w="6784" w:type="dxa"/>
            <w:vAlign w:val="center"/>
          </w:tcPr>
          <w:p w14:paraId="0B412A28">
            <w:pPr>
              <w:spacing w:line="360" w:lineRule="auto"/>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自筹资金，已落实</w:t>
            </w:r>
          </w:p>
        </w:tc>
      </w:tr>
      <w:tr w14:paraId="01B0A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93" w:type="dxa"/>
            <w:vAlign w:val="center"/>
          </w:tcPr>
          <w:p w14:paraId="45DEA864">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11</w:t>
            </w:r>
          </w:p>
        </w:tc>
        <w:tc>
          <w:tcPr>
            <w:tcW w:w="1701" w:type="dxa"/>
            <w:vAlign w:val="center"/>
          </w:tcPr>
          <w:p w14:paraId="75F10A42">
            <w:pPr>
              <w:adjustRightInd w:val="0"/>
              <w:spacing w:line="324" w:lineRule="auto"/>
              <w:jc w:val="center"/>
              <w:rPr>
                <w:rFonts w:ascii="宋体" w:hAnsi="宋体" w:eastAsia="宋体" w:cs="Times New Roman"/>
                <w:color w:val="000000" w:themeColor="text1"/>
                <w:spacing w:val="-40"/>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磋商供应商资格要求</w:t>
            </w:r>
          </w:p>
        </w:tc>
        <w:tc>
          <w:tcPr>
            <w:tcW w:w="6784" w:type="dxa"/>
            <w:vAlign w:val="center"/>
          </w:tcPr>
          <w:p w14:paraId="66E5D25A">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1、投标供应商须具有合法有效的营业执照；</w:t>
            </w:r>
          </w:p>
          <w:p w14:paraId="2C230660">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2、具有行政主管部门颁发的在有效期内《医疗机构执业许可证》。</w:t>
            </w:r>
          </w:p>
          <w:p w14:paraId="654FCD35">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3、供应商须承诺本企业无商业贿赂和不正当竞争行为。</w:t>
            </w:r>
          </w:p>
          <w:p w14:paraId="6C64E44A">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4、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p w14:paraId="645FEA16">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5、本项目不接受联合体投标。提供非联合体承诺书，格式自拟。</w:t>
            </w:r>
          </w:p>
          <w:p w14:paraId="5352E86C">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6、单位负责人为同一人或者存在直接控股、管理关系的不同供应商，不得参加同一合同项下的政府采购活动；（供应商自行承诺，格式自拟）；</w:t>
            </w:r>
          </w:p>
        </w:tc>
      </w:tr>
      <w:tr w14:paraId="2CAB4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993" w:type="dxa"/>
            <w:vAlign w:val="center"/>
          </w:tcPr>
          <w:p w14:paraId="68333CB9">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12</w:t>
            </w:r>
          </w:p>
        </w:tc>
        <w:tc>
          <w:tcPr>
            <w:tcW w:w="1701" w:type="dxa"/>
            <w:vAlign w:val="center"/>
          </w:tcPr>
          <w:p w14:paraId="60866381">
            <w:pPr>
              <w:adjustRightInd w:val="0"/>
              <w:spacing w:line="324"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竞争性磋商有效</w:t>
            </w:r>
            <w:r>
              <w:rPr>
                <w:rFonts w:hint="eastAsia" w:ascii="宋体" w:hAnsi="宋体" w:eastAsia="宋体" w:cs="Times New Roman"/>
                <w:color w:val="000000" w:themeColor="text1"/>
                <w:sz w:val="28"/>
                <w:szCs w:val="28"/>
                <w14:textFill>
                  <w14:solidFill>
                    <w14:schemeClr w14:val="tx1"/>
                  </w14:solidFill>
                </w14:textFill>
              </w:rPr>
              <w:t>期</w:t>
            </w:r>
          </w:p>
        </w:tc>
        <w:tc>
          <w:tcPr>
            <w:tcW w:w="6784" w:type="dxa"/>
            <w:vAlign w:val="center"/>
          </w:tcPr>
          <w:p w14:paraId="7658862C">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60</w:t>
            </w:r>
            <w:r>
              <w:rPr>
                <w:rFonts w:hint="eastAsia" w:ascii="宋体" w:hAnsi="宋体" w:eastAsia="宋体" w:cs="Times New Roman"/>
                <w:color w:val="000000" w:themeColor="text1"/>
                <w:spacing w:val="6"/>
                <w:sz w:val="28"/>
                <w:szCs w:val="28"/>
                <w14:textFill>
                  <w14:solidFill>
                    <w14:schemeClr w14:val="tx1"/>
                  </w14:solidFill>
                </w14:textFill>
              </w:rPr>
              <w:t>日历天</w:t>
            </w:r>
            <w:r>
              <w:rPr>
                <w:rFonts w:ascii="宋体" w:hAnsi="宋体" w:eastAsia="宋体" w:cs="Times New Roman"/>
                <w:color w:val="000000" w:themeColor="text1"/>
                <w:spacing w:val="6"/>
                <w:sz w:val="28"/>
                <w:szCs w:val="28"/>
                <w14:textFill>
                  <w14:solidFill>
                    <w14:schemeClr w14:val="tx1"/>
                  </w14:solidFill>
                </w14:textFill>
              </w:rPr>
              <w:t>(</w:t>
            </w:r>
            <w:r>
              <w:rPr>
                <w:rFonts w:hint="eastAsia" w:ascii="宋体" w:hAnsi="宋体" w:eastAsia="宋体" w:cs="Times New Roman"/>
                <w:color w:val="000000" w:themeColor="text1"/>
                <w:spacing w:val="6"/>
                <w:sz w:val="28"/>
                <w:szCs w:val="28"/>
                <w14:textFill>
                  <w14:solidFill>
                    <w14:schemeClr w14:val="tx1"/>
                  </w14:solidFill>
                </w14:textFill>
              </w:rPr>
              <w:t>从磋商截止之日算起</w:t>
            </w:r>
            <w:r>
              <w:rPr>
                <w:rFonts w:ascii="宋体" w:hAnsi="宋体" w:eastAsia="宋体" w:cs="Times New Roman"/>
                <w:color w:val="000000" w:themeColor="text1"/>
                <w:spacing w:val="6"/>
                <w:sz w:val="28"/>
                <w:szCs w:val="28"/>
                <w14:textFill>
                  <w14:solidFill>
                    <w14:schemeClr w14:val="tx1"/>
                  </w14:solidFill>
                </w14:textFill>
              </w:rPr>
              <w:t>)</w:t>
            </w:r>
          </w:p>
        </w:tc>
      </w:tr>
      <w:tr w14:paraId="2679B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993" w:type="dxa"/>
            <w:vAlign w:val="center"/>
          </w:tcPr>
          <w:p w14:paraId="38E451A9">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13</w:t>
            </w:r>
          </w:p>
        </w:tc>
        <w:tc>
          <w:tcPr>
            <w:tcW w:w="1701" w:type="dxa"/>
            <w:vAlign w:val="center"/>
          </w:tcPr>
          <w:p w14:paraId="0E58E626">
            <w:pPr>
              <w:adjustRightInd w:val="0"/>
              <w:spacing w:line="324" w:lineRule="auto"/>
              <w:jc w:val="center"/>
              <w:rPr>
                <w:rFonts w:ascii="宋体" w:hAnsi="宋体" w:eastAsia="宋体" w:cs="Times New Roman"/>
                <w:color w:val="000000" w:themeColor="text1"/>
                <w:spacing w:val="-10"/>
                <w:sz w:val="28"/>
                <w:szCs w:val="28"/>
                <w14:textFill>
                  <w14:solidFill>
                    <w14:schemeClr w14:val="tx1"/>
                  </w14:solidFill>
                </w14:textFill>
              </w:rPr>
            </w:pPr>
            <w:r>
              <w:rPr>
                <w:rFonts w:hint="eastAsia" w:ascii="宋体" w:hAnsi="宋体" w:eastAsia="宋体" w:cs="Times New Roman"/>
                <w:color w:val="000000" w:themeColor="text1"/>
                <w:spacing w:val="-10"/>
                <w:sz w:val="28"/>
                <w:szCs w:val="28"/>
                <w14:textFill>
                  <w14:solidFill>
                    <w14:schemeClr w14:val="tx1"/>
                  </w14:solidFill>
                </w14:textFill>
              </w:rPr>
              <w:t>竞争性磋商保证金</w:t>
            </w:r>
          </w:p>
        </w:tc>
        <w:tc>
          <w:tcPr>
            <w:tcW w:w="6784" w:type="dxa"/>
            <w:vAlign w:val="center"/>
          </w:tcPr>
          <w:p w14:paraId="3A72C177">
            <w:pP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根据《河南省财政厅关于优化政府采购营商环境有关问题的通知》（豫财购【2019】4号）第6条的规定，磋商保证金不再收取。</w:t>
            </w:r>
          </w:p>
        </w:tc>
      </w:tr>
      <w:tr w14:paraId="7B956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993" w:type="dxa"/>
            <w:vAlign w:val="center"/>
          </w:tcPr>
          <w:p w14:paraId="29C820E6">
            <w:pPr>
              <w:jc w:val="center"/>
              <w:rPr>
                <w:rFonts w:ascii="Calibri" w:hAnsi="Calibri" w:eastAsia="宋体" w:cs="Times New Roman"/>
                <w:color w:val="auto"/>
                <w:sz w:val="28"/>
                <w:szCs w:val="28"/>
              </w:rPr>
            </w:pPr>
            <w:r>
              <w:rPr>
                <w:rFonts w:hint="eastAsia" w:ascii="Calibri" w:hAnsi="Calibri" w:eastAsia="宋体" w:cs="Times New Roman"/>
                <w:b w:val="0"/>
                <w:bCs w:val="0"/>
                <w:color w:val="auto"/>
                <w:sz w:val="28"/>
                <w:szCs w:val="28"/>
              </w:rPr>
              <w:t>14</w:t>
            </w:r>
          </w:p>
        </w:tc>
        <w:tc>
          <w:tcPr>
            <w:tcW w:w="1701" w:type="dxa"/>
            <w:vAlign w:val="center"/>
          </w:tcPr>
          <w:p w14:paraId="77619332">
            <w:pPr>
              <w:rPr>
                <w:rFonts w:hint="eastAsia" w:ascii="Calibri" w:hAnsi="Calibri" w:eastAsia="宋体" w:cs="Times New Roman"/>
                <w:color w:val="auto"/>
                <w:sz w:val="28"/>
                <w:szCs w:val="28"/>
              </w:rPr>
            </w:pPr>
            <w:r>
              <w:rPr>
                <w:rFonts w:hint="eastAsia" w:ascii="Calibri" w:hAnsi="Calibri" w:eastAsia="宋体" w:cs="Times New Roman"/>
                <w:color w:val="auto"/>
                <w:sz w:val="28"/>
                <w:szCs w:val="28"/>
              </w:rPr>
              <w:t>付款方式</w:t>
            </w:r>
          </w:p>
        </w:tc>
        <w:tc>
          <w:tcPr>
            <w:tcW w:w="6784" w:type="dxa"/>
            <w:vAlign w:val="center"/>
          </w:tcPr>
          <w:p w14:paraId="2FAF2920">
            <w:pPr>
              <w:rPr>
                <w:rFonts w:hint="eastAsia" w:ascii="Calibri" w:hAnsi="Calibri" w:eastAsia="宋体" w:cs="Times New Roman"/>
                <w:color w:val="auto"/>
                <w:sz w:val="28"/>
                <w:szCs w:val="28"/>
              </w:rPr>
            </w:pPr>
            <w:r>
              <w:rPr>
                <w:rFonts w:hint="eastAsia" w:ascii="宋体" w:hAnsi="Courier New"/>
                <w:color w:val="auto"/>
                <w:kern w:val="0"/>
                <w:sz w:val="28"/>
                <w:szCs w:val="28"/>
              </w:rPr>
              <w:t>乙方按月开具有效含税发票，经甲方审核无误，</w:t>
            </w:r>
            <w:r>
              <w:rPr>
                <w:rFonts w:hint="eastAsia" w:ascii="宋体" w:hAnsi="Courier New"/>
                <w:color w:val="auto"/>
                <w:kern w:val="0"/>
                <w:sz w:val="28"/>
                <w:szCs w:val="28"/>
                <w:lang w:val="en-US" w:eastAsia="zh-CN"/>
              </w:rPr>
              <w:t>2</w:t>
            </w:r>
            <w:r>
              <w:rPr>
                <w:rFonts w:hint="eastAsia" w:ascii="宋体" w:hAnsi="Courier New"/>
                <w:color w:val="auto"/>
                <w:kern w:val="0"/>
                <w:sz w:val="28"/>
                <w:szCs w:val="28"/>
              </w:rPr>
              <w:t>个月支付一次。</w:t>
            </w:r>
          </w:p>
        </w:tc>
      </w:tr>
      <w:tr w14:paraId="76B77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993" w:type="dxa"/>
            <w:vAlign w:val="center"/>
          </w:tcPr>
          <w:p w14:paraId="0199BE0A">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15</w:t>
            </w:r>
          </w:p>
        </w:tc>
        <w:tc>
          <w:tcPr>
            <w:tcW w:w="1701" w:type="dxa"/>
            <w:vAlign w:val="center"/>
          </w:tcPr>
          <w:p w14:paraId="56D410FD">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竞争性磋商响应文件份数</w:t>
            </w:r>
          </w:p>
        </w:tc>
        <w:tc>
          <w:tcPr>
            <w:tcW w:w="6784" w:type="dxa"/>
            <w:vAlign w:val="center"/>
          </w:tcPr>
          <w:p w14:paraId="5189E7DB">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本项目为电子化、无纸化交易项目。（不适用）</w:t>
            </w:r>
          </w:p>
        </w:tc>
      </w:tr>
      <w:tr w14:paraId="5AD18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93" w:type="dxa"/>
            <w:vAlign w:val="center"/>
          </w:tcPr>
          <w:p w14:paraId="77480269">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16</w:t>
            </w:r>
          </w:p>
        </w:tc>
        <w:tc>
          <w:tcPr>
            <w:tcW w:w="1701" w:type="dxa"/>
            <w:vAlign w:val="center"/>
          </w:tcPr>
          <w:p w14:paraId="5724E4D4">
            <w:pPr>
              <w:adjustRightInd w:val="0"/>
              <w:spacing w:line="324" w:lineRule="auto"/>
              <w:jc w:val="left"/>
              <w:rPr>
                <w:rFonts w:ascii="宋体" w:hAnsi="宋体" w:eastAsia="宋体" w:cs="Times New Roman"/>
                <w:color w:val="000000" w:themeColor="text1"/>
                <w:spacing w:val="6"/>
                <w:sz w:val="28"/>
                <w:szCs w:val="28"/>
                <w:highlight w:val="none"/>
                <w14:textFill>
                  <w14:solidFill>
                    <w14:schemeClr w14:val="tx1"/>
                  </w14:solidFill>
                </w14:textFill>
              </w:rPr>
            </w:pPr>
            <w:r>
              <w:rPr>
                <w:rFonts w:hint="eastAsia" w:ascii="宋体" w:hAnsi="宋体" w:eastAsia="宋体" w:cs="Times New Roman"/>
                <w:color w:val="000000" w:themeColor="text1"/>
                <w:spacing w:val="6"/>
                <w:sz w:val="28"/>
                <w:szCs w:val="28"/>
                <w:highlight w:val="none"/>
                <w14:textFill>
                  <w14:solidFill>
                    <w14:schemeClr w14:val="tx1"/>
                  </w14:solidFill>
                </w14:textFill>
              </w:rPr>
              <w:t>磋商响应文件递交截止时间</w:t>
            </w:r>
          </w:p>
        </w:tc>
        <w:tc>
          <w:tcPr>
            <w:tcW w:w="6784" w:type="dxa"/>
            <w:vAlign w:val="center"/>
          </w:tcPr>
          <w:p w14:paraId="6AA19C6B">
            <w:pPr>
              <w:rPr>
                <w:rFonts w:hint="eastAsia" w:ascii="Calibri" w:hAnsi="Calibri" w:eastAsia="宋体" w:cs="Times New Roman"/>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时间：</w:t>
            </w:r>
            <w:r>
              <w:rPr>
                <w:rFonts w:hint="eastAsia" w:ascii="宋体" w:hAnsi="宋体" w:eastAsia="宋体" w:cs="宋体"/>
                <w:bCs/>
                <w:color w:val="auto"/>
                <w:kern w:val="0"/>
                <w:sz w:val="28"/>
                <w:szCs w:val="28"/>
                <w:highlight w:val="none"/>
                <w:lang w:eastAsia="zh-CN"/>
              </w:rPr>
              <w:t>202</w:t>
            </w:r>
            <w:r>
              <w:rPr>
                <w:rFonts w:hint="eastAsia" w:ascii="宋体" w:hAnsi="宋体" w:eastAsia="宋体" w:cs="宋体"/>
                <w:bCs/>
                <w:color w:val="auto"/>
                <w:kern w:val="0"/>
                <w:sz w:val="28"/>
                <w:szCs w:val="28"/>
                <w:highlight w:val="none"/>
                <w:lang w:val="en-US" w:eastAsia="zh-CN"/>
              </w:rPr>
              <w:t>5</w:t>
            </w:r>
            <w:r>
              <w:rPr>
                <w:rFonts w:hint="eastAsia" w:ascii="宋体" w:hAnsi="宋体" w:eastAsia="宋体" w:cs="宋体"/>
                <w:bCs/>
                <w:color w:val="auto"/>
                <w:kern w:val="0"/>
                <w:sz w:val="28"/>
                <w:szCs w:val="28"/>
                <w:highlight w:val="none"/>
                <w:lang w:eastAsia="zh-CN"/>
              </w:rPr>
              <w:t>年</w:t>
            </w:r>
            <w:r>
              <w:rPr>
                <w:rFonts w:hint="eastAsia" w:ascii="宋体" w:hAnsi="宋体" w:eastAsia="宋体" w:cs="宋体"/>
                <w:bCs/>
                <w:color w:val="auto"/>
                <w:kern w:val="0"/>
                <w:sz w:val="28"/>
                <w:szCs w:val="28"/>
                <w:highlight w:val="none"/>
                <w:lang w:val="en-US" w:eastAsia="zh-CN"/>
              </w:rPr>
              <w:t>05</w:t>
            </w:r>
            <w:r>
              <w:rPr>
                <w:rFonts w:hint="eastAsia" w:ascii="宋体" w:hAnsi="宋体" w:eastAsia="宋体" w:cs="宋体"/>
                <w:bCs/>
                <w:color w:val="auto"/>
                <w:kern w:val="0"/>
                <w:sz w:val="28"/>
                <w:szCs w:val="28"/>
                <w:highlight w:val="none"/>
                <w:lang w:eastAsia="zh-CN"/>
              </w:rPr>
              <w:t>月</w:t>
            </w:r>
            <w:r>
              <w:rPr>
                <w:rFonts w:hint="eastAsia" w:ascii="宋体" w:hAnsi="宋体" w:eastAsia="宋体" w:cs="宋体"/>
                <w:bCs/>
                <w:color w:val="auto"/>
                <w:kern w:val="0"/>
                <w:sz w:val="28"/>
                <w:szCs w:val="28"/>
                <w:highlight w:val="none"/>
                <w:lang w:val="en-US" w:eastAsia="zh-CN"/>
              </w:rPr>
              <w:t>29</w:t>
            </w:r>
            <w:r>
              <w:rPr>
                <w:rFonts w:hint="eastAsia" w:ascii="宋体" w:hAnsi="宋体" w:eastAsia="宋体" w:cs="宋体"/>
                <w:bCs/>
                <w:color w:val="auto"/>
                <w:kern w:val="0"/>
                <w:sz w:val="28"/>
                <w:szCs w:val="28"/>
                <w:highlight w:val="none"/>
                <w:lang w:eastAsia="zh-CN"/>
              </w:rPr>
              <w:t>日</w:t>
            </w:r>
            <w:r>
              <w:rPr>
                <w:rFonts w:hint="eastAsia" w:ascii="宋体" w:hAnsi="宋体" w:eastAsia="宋体" w:cs="宋体"/>
                <w:bCs/>
                <w:color w:val="auto"/>
                <w:kern w:val="0"/>
                <w:sz w:val="28"/>
                <w:szCs w:val="28"/>
                <w:highlight w:val="none"/>
                <w:lang w:val="en-US" w:eastAsia="zh-CN"/>
              </w:rPr>
              <w:t>08</w:t>
            </w:r>
            <w:r>
              <w:rPr>
                <w:rFonts w:hint="eastAsia" w:ascii="宋体" w:hAnsi="宋体" w:eastAsia="宋体" w:cs="宋体"/>
                <w:bCs/>
                <w:color w:val="auto"/>
                <w:kern w:val="0"/>
                <w:sz w:val="28"/>
                <w:szCs w:val="28"/>
                <w:highlight w:val="none"/>
                <w:lang w:eastAsia="zh-CN"/>
              </w:rPr>
              <w:t>时</w:t>
            </w:r>
            <w:r>
              <w:rPr>
                <w:rFonts w:hint="eastAsia" w:ascii="宋体" w:hAnsi="宋体" w:eastAsia="宋体" w:cs="宋体"/>
                <w:bCs/>
                <w:color w:val="auto"/>
                <w:kern w:val="0"/>
                <w:sz w:val="28"/>
                <w:szCs w:val="28"/>
                <w:highlight w:val="none"/>
                <w:lang w:val="en-US" w:eastAsia="zh-CN"/>
              </w:rPr>
              <w:t>20</w:t>
            </w:r>
            <w:r>
              <w:rPr>
                <w:rFonts w:hint="eastAsia" w:ascii="宋体" w:hAnsi="宋体" w:eastAsia="宋体" w:cs="宋体"/>
                <w:bCs/>
                <w:color w:val="auto"/>
                <w:kern w:val="0"/>
                <w:sz w:val="28"/>
                <w:szCs w:val="28"/>
                <w:highlight w:val="none"/>
                <w:lang w:eastAsia="zh-CN"/>
              </w:rPr>
              <w:t>分</w:t>
            </w:r>
          </w:p>
        </w:tc>
      </w:tr>
      <w:tr w14:paraId="0EC74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trPr>
        <w:tc>
          <w:tcPr>
            <w:tcW w:w="993" w:type="dxa"/>
            <w:vAlign w:val="center"/>
          </w:tcPr>
          <w:p w14:paraId="0489C726">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17</w:t>
            </w:r>
          </w:p>
        </w:tc>
        <w:tc>
          <w:tcPr>
            <w:tcW w:w="1701" w:type="dxa"/>
            <w:vAlign w:val="center"/>
          </w:tcPr>
          <w:p w14:paraId="2A03D776">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磋商响应文件递交</w:t>
            </w:r>
          </w:p>
        </w:tc>
        <w:tc>
          <w:tcPr>
            <w:tcW w:w="6784" w:type="dxa"/>
            <w:vAlign w:val="center"/>
          </w:tcPr>
          <w:p w14:paraId="68237250">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电子竞争性响应文件的电子版用企业和法人CA数字证书在磋商截止时间前上传至“三门峡市公共资源交易中心网站”。</w:t>
            </w:r>
          </w:p>
        </w:tc>
      </w:tr>
      <w:tr w14:paraId="25AD2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14:paraId="19CD510C">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18</w:t>
            </w:r>
          </w:p>
        </w:tc>
        <w:tc>
          <w:tcPr>
            <w:tcW w:w="1701" w:type="dxa"/>
            <w:vAlign w:val="center"/>
          </w:tcPr>
          <w:p w14:paraId="4D8293B0">
            <w:pPr>
              <w:adjustRightInd w:val="0"/>
              <w:spacing w:line="324" w:lineRule="auto"/>
              <w:jc w:val="center"/>
              <w:rPr>
                <w:rFonts w:ascii="宋体" w:hAnsi="宋体" w:eastAsia="宋体" w:cs="Times New Roman"/>
                <w:color w:val="000000" w:themeColor="text1"/>
                <w:spacing w:val="-10"/>
                <w:sz w:val="28"/>
                <w:szCs w:val="28"/>
                <w:highlight w:val="none"/>
                <w14:textFill>
                  <w14:solidFill>
                    <w14:schemeClr w14:val="tx1"/>
                  </w14:solidFill>
                </w14:textFill>
              </w:rPr>
            </w:pPr>
            <w:r>
              <w:rPr>
                <w:rFonts w:hint="eastAsia" w:ascii="宋体" w:hAnsi="宋体" w:eastAsia="宋体" w:cs="Times New Roman"/>
                <w:color w:val="000000" w:themeColor="text1"/>
                <w:spacing w:val="-10"/>
                <w:sz w:val="28"/>
                <w:szCs w:val="28"/>
                <w:highlight w:val="none"/>
                <w14:textFill>
                  <w14:solidFill>
                    <w14:schemeClr w14:val="tx1"/>
                  </w14:solidFill>
                </w14:textFill>
              </w:rPr>
              <w:t>磋商时间及地点</w:t>
            </w:r>
          </w:p>
        </w:tc>
        <w:tc>
          <w:tcPr>
            <w:tcW w:w="6784" w:type="dxa"/>
            <w:vAlign w:val="center"/>
          </w:tcPr>
          <w:p w14:paraId="5988F5BE">
            <w:pPr>
              <w:rPr>
                <w:rFonts w:hint="eastAsia" w:ascii="Calibri" w:hAnsi="Calibri" w:eastAsia="宋体" w:cs="Times New Roman"/>
                <w:color w:val="000000" w:themeColor="text1"/>
                <w:sz w:val="28"/>
                <w:szCs w:val="28"/>
                <w:highlight w:val="none"/>
                <w:lang w:eastAsia="zh-CN"/>
                <w14:textFill>
                  <w14:solidFill>
                    <w14:schemeClr w14:val="tx1"/>
                  </w14:solidFill>
                </w14:textFill>
              </w:rPr>
            </w:pPr>
            <w:r>
              <w:rPr>
                <w:rFonts w:hint="eastAsia" w:ascii="宋体" w:hAnsi="宋体" w:eastAsia="宋体" w:cs="Times New Roman"/>
                <w:color w:val="000000" w:themeColor="text1"/>
                <w:spacing w:val="6"/>
                <w:sz w:val="28"/>
                <w:szCs w:val="28"/>
                <w:highlight w:val="none"/>
                <w14:textFill>
                  <w14:solidFill>
                    <w14:schemeClr w14:val="tx1"/>
                  </w14:solidFill>
                </w14:textFill>
              </w:rPr>
              <w:t>时间：</w:t>
            </w:r>
            <w:r>
              <w:rPr>
                <w:rFonts w:hint="eastAsia" w:ascii="宋体" w:hAnsi="宋体" w:eastAsia="宋体" w:cs="宋体"/>
                <w:bCs/>
                <w:color w:val="auto"/>
                <w:kern w:val="0"/>
                <w:sz w:val="28"/>
                <w:szCs w:val="28"/>
                <w:highlight w:val="none"/>
                <w:lang w:eastAsia="zh-CN"/>
              </w:rPr>
              <w:t>202</w:t>
            </w:r>
            <w:r>
              <w:rPr>
                <w:rFonts w:hint="eastAsia" w:ascii="宋体" w:hAnsi="宋体" w:eastAsia="宋体" w:cs="宋体"/>
                <w:bCs/>
                <w:color w:val="auto"/>
                <w:kern w:val="0"/>
                <w:sz w:val="28"/>
                <w:szCs w:val="28"/>
                <w:highlight w:val="none"/>
                <w:lang w:val="en-US" w:eastAsia="zh-CN"/>
              </w:rPr>
              <w:t>5</w:t>
            </w:r>
            <w:r>
              <w:rPr>
                <w:rFonts w:hint="eastAsia" w:ascii="宋体" w:hAnsi="宋体" w:eastAsia="宋体" w:cs="宋体"/>
                <w:bCs/>
                <w:color w:val="auto"/>
                <w:kern w:val="0"/>
                <w:sz w:val="28"/>
                <w:szCs w:val="28"/>
                <w:highlight w:val="none"/>
                <w:lang w:eastAsia="zh-CN"/>
              </w:rPr>
              <w:t>年</w:t>
            </w:r>
            <w:r>
              <w:rPr>
                <w:rFonts w:hint="eastAsia" w:ascii="宋体" w:hAnsi="宋体" w:eastAsia="宋体" w:cs="宋体"/>
                <w:bCs/>
                <w:color w:val="auto"/>
                <w:kern w:val="0"/>
                <w:sz w:val="28"/>
                <w:szCs w:val="28"/>
                <w:highlight w:val="none"/>
                <w:lang w:val="en-US" w:eastAsia="zh-CN"/>
              </w:rPr>
              <w:t>05</w:t>
            </w:r>
            <w:r>
              <w:rPr>
                <w:rFonts w:hint="eastAsia" w:ascii="宋体" w:hAnsi="宋体" w:eastAsia="宋体" w:cs="宋体"/>
                <w:bCs/>
                <w:color w:val="auto"/>
                <w:kern w:val="0"/>
                <w:sz w:val="28"/>
                <w:szCs w:val="28"/>
                <w:highlight w:val="none"/>
                <w:lang w:eastAsia="zh-CN"/>
              </w:rPr>
              <w:t>月</w:t>
            </w:r>
            <w:r>
              <w:rPr>
                <w:rFonts w:hint="eastAsia" w:ascii="宋体" w:hAnsi="宋体" w:eastAsia="宋体" w:cs="宋体"/>
                <w:bCs/>
                <w:color w:val="auto"/>
                <w:kern w:val="0"/>
                <w:sz w:val="28"/>
                <w:szCs w:val="28"/>
                <w:highlight w:val="none"/>
                <w:lang w:val="en-US" w:eastAsia="zh-CN"/>
              </w:rPr>
              <w:t>29</w:t>
            </w:r>
            <w:r>
              <w:rPr>
                <w:rFonts w:hint="eastAsia" w:ascii="宋体" w:hAnsi="宋体" w:eastAsia="宋体" w:cs="宋体"/>
                <w:bCs/>
                <w:color w:val="auto"/>
                <w:kern w:val="0"/>
                <w:sz w:val="28"/>
                <w:szCs w:val="28"/>
                <w:highlight w:val="none"/>
                <w:lang w:eastAsia="zh-CN"/>
              </w:rPr>
              <w:t>日</w:t>
            </w:r>
            <w:r>
              <w:rPr>
                <w:rFonts w:hint="eastAsia" w:ascii="宋体" w:hAnsi="宋体" w:eastAsia="宋体" w:cs="宋体"/>
                <w:bCs/>
                <w:color w:val="auto"/>
                <w:kern w:val="0"/>
                <w:sz w:val="28"/>
                <w:szCs w:val="28"/>
                <w:highlight w:val="none"/>
                <w:lang w:val="en-US" w:eastAsia="zh-CN"/>
              </w:rPr>
              <w:t>08</w:t>
            </w:r>
            <w:r>
              <w:rPr>
                <w:rFonts w:hint="eastAsia" w:ascii="宋体" w:hAnsi="宋体" w:eastAsia="宋体" w:cs="宋体"/>
                <w:bCs/>
                <w:color w:val="auto"/>
                <w:kern w:val="0"/>
                <w:sz w:val="28"/>
                <w:szCs w:val="28"/>
                <w:highlight w:val="none"/>
                <w:lang w:eastAsia="zh-CN"/>
              </w:rPr>
              <w:t>时</w:t>
            </w:r>
            <w:r>
              <w:rPr>
                <w:rFonts w:hint="eastAsia" w:ascii="宋体" w:hAnsi="宋体" w:eastAsia="宋体" w:cs="宋体"/>
                <w:bCs/>
                <w:color w:val="auto"/>
                <w:kern w:val="0"/>
                <w:sz w:val="28"/>
                <w:szCs w:val="28"/>
                <w:highlight w:val="none"/>
                <w:lang w:val="en-US" w:eastAsia="zh-CN"/>
              </w:rPr>
              <w:t>20</w:t>
            </w:r>
            <w:r>
              <w:rPr>
                <w:rFonts w:hint="eastAsia" w:ascii="宋体" w:hAnsi="宋体" w:eastAsia="宋体" w:cs="宋体"/>
                <w:bCs/>
                <w:color w:val="auto"/>
                <w:kern w:val="0"/>
                <w:sz w:val="28"/>
                <w:szCs w:val="28"/>
                <w:highlight w:val="none"/>
                <w:lang w:eastAsia="zh-CN"/>
              </w:rPr>
              <w:t>分</w:t>
            </w:r>
          </w:p>
          <w:p w14:paraId="01B42D75">
            <w:pPr>
              <w:rPr>
                <w:rFonts w:ascii="宋体" w:hAnsi="Calibri" w:eastAsia="宋体" w:cs="Times New Roman"/>
                <w:color w:val="000000" w:themeColor="text1"/>
                <w:spacing w:val="6"/>
                <w:sz w:val="28"/>
                <w:szCs w:val="28"/>
                <w:highlight w:val="none"/>
                <w14:textFill>
                  <w14:solidFill>
                    <w14:schemeClr w14:val="tx1"/>
                  </w14:solidFill>
                </w14:textFill>
              </w:rPr>
            </w:pPr>
            <w:r>
              <w:rPr>
                <w:rFonts w:hint="eastAsia" w:ascii="宋体" w:hAnsi="宋体" w:eastAsia="宋体" w:cs="Times New Roman"/>
                <w:color w:val="000000" w:themeColor="text1"/>
                <w:spacing w:val="6"/>
                <w:sz w:val="28"/>
                <w:szCs w:val="28"/>
                <w:highlight w:val="none"/>
                <w14:textFill>
                  <w14:solidFill>
                    <w14:schemeClr w14:val="tx1"/>
                  </w14:solidFill>
                </w14:textFill>
              </w:rPr>
              <w:t>地点：三门峡市公共资源交易中心开标室</w:t>
            </w:r>
          </w:p>
        </w:tc>
      </w:tr>
      <w:tr w14:paraId="79250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14:paraId="02204CBB">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19</w:t>
            </w:r>
          </w:p>
        </w:tc>
        <w:tc>
          <w:tcPr>
            <w:tcW w:w="1701" w:type="dxa"/>
            <w:vAlign w:val="center"/>
          </w:tcPr>
          <w:p w14:paraId="1F4E1B37">
            <w:pPr>
              <w:spacing w:line="440" w:lineRule="exact"/>
              <w:jc w:val="center"/>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磋商小组的组建</w:t>
            </w:r>
          </w:p>
        </w:tc>
        <w:tc>
          <w:tcPr>
            <w:tcW w:w="6784" w:type="dxa"/>
            <w:vAlign w:val="center"/>
          </w:tcPr>
          <w:p w14:paraId="44E7B499">
            <w:pPr>
              <w:widowControl/>
              <w:spacing w:line="400" w:lineRule="atLeast"/>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磋商小组成员为3人，其中采购人代表1人，其余专家2人从</w:t>
            </w:r>
            <w:r>
              <w:rPr>
                <w:rFonts w:hint="eastAsia" w:ascii="宋体" w:hAnsi="宋体" w:eastAsia="宋体" w:cs="Times New Roman"/>
                <w:color w:val="000000" w:themeColor="text1"/>
                <w:spacing w:val="6"/>
                <w:sz w:val="28"/>
                <w:szCs w:val="28"/>
                <w:lang w:val="en-US" w:eastAsia="zh-CN"/>
                <w14:textFill>
                  <w14:solidFill>
                    <w14:schemeClr w14:val="tx1"/>
                  </w14:solidFill>
                </w14:textFill>
              </w:rPr>
              <w:t>相关</w:t>
            </w:r>
            <w:r>
              <w:rPr>
                <w:rFonts w:hint="eastAsia" w:ascii="宋体" w:hAnsi="宋体" w:eastAsia="宋体" w:cs="Times New Roman"/>
                <w:color w:val="000000" w:themeColor="text1"/>
                <w:spacing w:val="6"/>
                <w:sz w:val="28"/>
                <w:szCs w:val="28"/>
                <w14:textFill>
                  <w14:solidFill>
                    <w14:schemeClr w14:val="tx1"/>
                  </w14:solidFill>
                </w14:textFill>
              </w:rPr>
              <w:t>专家库中随机抽取。</w:t>
            </w:r>
          </w:p>
          <w:p w14:paraId="13FD3C87">
            <w:pPr>
              <w:widowControl/>
              <w:spacing w:line="400" w:lineRule="atLeast"/>
              <w:rPr>
                <w:color w:val="000000" w:themeColor="text1"/>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业主评委无评审费。</w:t>
            </w:r>
          </w:p>
        </w:tc>
      </w:tr>
      <w:tr w14:paraId="05413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14:paraId="1BD81E28">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20</w:t>
            </w:r>
          </w:p>
        </w:tc>
        <w:tc>
          <w:tcPr>
            <w:tcW w:w="1701" w:type="dxa"/>
            <w:vAlign w:val="center"/>
          </w:tcPr>
          <w:p w14:paraId="1C316997">
            <w:pPr>
              <w:spacing w:line="440" w:lineRule="exact"/>
              <w:jc w:val="center"/>
              <w:rPr>
                <w:rFonts w:hint="eastAsia" w:ascii="宋体" w:hAnsi="宋体" w:eastAsia="宋体" w:cs="Times New Roman"/>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是否授权磋商小组确定中标人</w:t>
            </w:r>
          </w:p>
        </w:tc>
        <w:tc>
          <w:tcPr>
            <w:tcW w:w="6784" w:type="dxa"/>
            <w:vAlign w:val="center"/>
          </w:tcPr>
          <w:p w14:paraId="7BE4E9C5">
            <w:pPr>
              <w:widowControl/>
              <w:spacing w:line="400" w:lineRule="atLeast"/>
              <w:rPr>
                <w:rFonts w:hint="eastAsia" w:ascii="宋体" w:hAnsi="宋体" w:eastAsia="宋体" w:cs="Times New Roman"/>
                <w:color w:val="000000" w:themeColor="text1"/>
                <w:spacing w:val="6"/>
                <w:sz w:val="28"/>
                <w:szCs w:val="28"/>
                <w:lang w:val="en-US" w:eastAsia="zh-CN"/>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否，根据排名推荐3名</w:t>
            </w:r>
            <w:r>
              <w:rPr>
                <w:rFonts w:hint="eastAsia" w:cs="Times New Roman" w:asciiTheme="minorEastAsia" w:hAnsiTheme="minorEastAsia"/>
                <w:color w:val="000000" w:themeColor="text1"/>
                <w:spacing w:val="6"/>
                <w:sz w:val="28"/>
                <w:szCs w:val="28"/>
                <w:lang w:val="en-US" w:eastAsia="zh-CN"/>
                <w14:textFill>
                  <w14:solidFill>
                    <w14:schemeClr w14:val="tx1"/>
                  </w14:solidFill>
                </w14:textFill>
              </w:rPr>
              <w:t>成交</w:t>
            </w:r>
            <w:r>
              <w:rPr>
                <w:rFonts w:hint="eastAsia" w:cs="Times New Roman" w:asciiTheme="minorEastAsia" w:hAnsiTheme="minorEastAsia"/>
                <w:color w:val="000000" w:themeColor="text1"/>
                <w:spacing w:val="6"/>
                <w:sz w:val="28"/>
                <w:szCs w:val="28"/>
                <w14:textFill>
                  <w14:solidFill>
                    <w14:schemeClr w14:val="tx1"/>
                  </w14:solidFill>
                </w14:textFill>
              </w:rPr>
              <w:t>候选人</w:t>
            </w:r>
          </w:p>
        </w:tc>
      </w:tr>
      <w:tr w14:paraId="7D795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93" w:type="dxa"/>
            <w:vAlign w:val="center"/>
          </w:tcPr>
          <w:p w14:paraId="5E416CEC">
            <w:pPr>
              <w:adjustRightInd w:val="0"/>
              <w:spacing w:line="324" w:lineRule="auto"/>
              <w:jc w:val="center"/>
              <w:rPr>
                <w:rFonts w:hint="eastAsia" w:ascii="宋体" w:hAnsi="宋体" w:eastAsia="宋体" w:cs="Times New Roman"/>
                <w:color w:val="000000" w:themeColor="text1"/>
                <w:spacing w:val="6"/>
                <w:sz w:val="28"/>
                <w:szCs w:val="28"/>
                <w:lang w:eastAsia="zh-CN"/>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2</w:t>
            </w:r>
            <w:r>
              <w:rPr>
                <w:rFonts w:hint="eastAsia" w:ascii="宋体" w:hAnsi="宋体" w:eastAsia="宋体" w:cs="Times New Roman"/>
                <w:color w:val="000000" w:themeColor="text1"/>
                <w:spacing w:val="6"/>
                <w:sz w:val="28"/>
                <w:szCs w:val="28"/>
                <w:lang w:val="en-US" w:eastAsia="zh-CN"/>
                <w14:textFill>
                  <w14:solidFill>
                    <w14:schemeClr w14:val="tx1"/>
                  </w14:solidFill>
                </w14:textFill>
              </w:rPr>
              <w:t>1</w:t>
            </w:r>
          </w:p>
        </w:tc>
        <w:tc>
          <w:tcPr>
            <w:tcW w:w="1701" w:type="dxa"/>
            <w:vAlign w:val="center"/>
          </w:tcPr>
          <w:p w14:paraId="145E06B0">
            <w:pPr>
              <w:widowControl/>
              <w:spacing w:line="400" w:lineRule="atLeast"/>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磋商标准及方法</w:t>
            </w:r>
          </w:p>
        </w:tc>
        <w:tc>
          <w:tcPr>
            <w:tcW w:w="6784" w:type="dxa"/>
            <w:vAlign w:val="center"/>
          </w:tcPr>
          <w:p w14:paraId="081EE2D0">
            <w:pPr>
              <w:widowControl/>
              <w:spacing w:line="400" w:lineRule="atLeast"/>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14:paraId="3F4B4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93" w:type="dxa"/>
            <w:vAlign w:val="center"/>
          </w:tcPr>
          <w:p w14:paraId="63D300E2">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22</w:t>
            </w:r>
          </w:p>
        </w:tc>
        <w:tc>
          <w:tcPr>
            <w:tcW w:w="1701" w:type="dxa"/>
            <w:vAlign w:val="center"/>
          </w:tcPr>
          <w:p w14:paraId="25839986">
            <w:pPr>
              <w:widowControl/>
              <w:spacing w:line="400" w:lineRule="atLeast"/>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履约保证金</w:t>
            </w:r>
          </w:p>
        </w:tc>
        <w:tc>
          <w:tcPr>
            <w:tcW w:w="6784" w:type="dxa"/>
            <w:vAlign w:val="center"/>
          </w:tcPr>
          <w:p w14:paraId="0303B7B6">
            <w:pPr>
              <w:widowControl/>
              <w:spacing w:line="400" w:lineRule="atLeast"/>
              <w:rPr>
                <w:rFonts w:ascii="宋体" w:hAnsi="Calibri" w:eastAsia="宋体" w:cs="Times New Roman"/>
                <w:color w:val="FF0000"/>
                <w:spacing w:val="6"/>
                <w:sz w:val="28"/>
                <w:szCs w:val="28"/>
              </w:rPr>
            </w:pPr>
            <w:r>
              <w:rPr>
                <w:rFonts w:hint="eastAsia" w:ascii="宋体" w:hAnsi="Calibri" w:eastAsia="宋体" w:cs="Times New Roman"/>
                <w:color w:val="000000" w:themeColor="text1"/>
                <w:spacing w:val="6"/>
                <w:sz w:val="28"/>
                <w:szCs w:val="28"/>
                <w14:textFill>
                  <w14:solidFill>
                    <w14:schemeClr w14:val="tx1"/>
                  </w14:solidFill>
                </w14:textFill>
              </w:rPr>
              <w:t>无</w:t>
            </w:r>
          </w:p>
        </w:tc>
      </w:tr>
      <w:tr w14:paraId="3E461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9" w:hRule="atLeast"/>
        </w:trPr>
        <w:tc>
          <w:tcPr>
            <w:tcW w:w="993" w:type="dxa"/>
            <w:vAlign w:val="center"/>
          </w:tcPr>
          <w:p w14:paraId="118DDCE5">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23</w:t>
            </w:r>
          </w:p>
        </w:tc>
        <w:tc>
          <w:tcPr>
            <w:tcW w:w="1701" w:type="dxa"/>
            <w:vAlign w:val="center"/>
          </w:tcPr>
          <w:p w14:paraId="58C548E7">
            <w:pPr>
              <w:adjustRightInd w:val="0"/>
              <w:spacing w:line="324" w:lineRule="auto"/>
              <w:rPr>
                <w:rFonts w:ascii="宋体" w:hAnsi="宋体" w:eastAsia="宋体" w:cs="Times New Roman"/>
                <w:color w:val="auto"/>
                <w:spacing w:val="6"/>
                <w:sz w:val="28"/>
                <w:szCs w:val="28"/>
              </w:rPr>
            </w:pPr>
            <w:r>
              <w:rPr>
                <w:rFonts w:hint="eastAsia" w:ascii="宋体" w:hAnsi="宋体" w:eastAsia="宋体" w:cs="Times New Roman"/>
                <w:color w:val="auto"/>
                <w:spacing w:val="6"/>
                <w:sz w:val="28"/>
                <w:szCs w:val="28"/>
              </w:rPr>
              <w:t>预算价</w:t>
            </w:r>
          </w:p>
        </w:tc>
        <w:tc>
          <w:tcPr>
            <w:tcW w:w="6784" w:type="dxa"/>
            <w:vAlign w:val="center"/>
          </w:tcPr>
          <w:p w14:paraId="7BF67EA7">
            <w:pPr>
              <w:widowControl/>
              <w:spacing w:line="400" w:lineRule="atLeast"/>
              <w:rPr>
                <w:rFonts w:hint="eastAsia" w:ascii="宋体" w:hAnsi="宋体" w:eastAsia="宋体" w:cs="Times New Roman"/>
                <w:color w:val="auto"/>
                <w:spacing w:val="6"/>
                <w:sz w:val="28"/>
                <w:szCs w:val="28"/>
              </w:rPr>
            </w:pPr>
            <w:r>
              <w:rPr>
                <w:rFonts w:hint="eastAsia" w:ascii="宋体" w:hAnsi="宋体" w:eastAsia="宋体" w:cs="Times New Roman"/>
                <w:color w:val="auto"/>
                <w:spacing w:val="6"/>
                <w:sz w:val="28"/>
                <w:szCs w:val="28"/>
              </w:rPr>
              <w:t>报价方式：费率报价，（供应商完成本项目</w:t>
            </w:r>
            <w:r>
              <w:rPr>
                <w:rFonts w:hint="eastAsia" w:ascii="宋体" w:hAnsi="宋体" w:eastAsia="宋体" w:cs="Times New Roman"/>
                <w:color w:val="auto"/>
                <w:spacing w:val="6"/>
                <w:sz w:val="28"/>
                <w:szCs w:val="28"/>
                <w:lang w:val="en-US" w:eastAsia="zh-CN"/>
              </w:rPr>
              <w:t>服务</w:t>
            </w:r>
            <w:r>
              <w:rPr>
                <w:rFonts w:hint="eastAsia" w:ascii="宋体" w:hAnsi="宋体" w:eastAsia="宋体" w:cs="Times New Roman"/>
                <w:color w:val="auto"/>
                <w:spacing w:val="6"/>
                <w:sz w:val="28"/>
                <w:szCs w:val="28"/>
              </w:rPr>
              <w:t>内容及要求的内容所报出的费率）。</w:t>
            </w:r>
          </w:p>
          <w:p w14:paraId="4446A397">
            <w:pPr>
              <w:widowControl/>
              <w:spacing w:line="400" w:lineRule="atLeast"/>
              <w:rPr>
                <w:rFonts w:hint="eastAsia" w:ascii="宋体" w:hAnsi="宋体" w:eastAsia="宋体" w:cs="Times New Roman"/>
                <w:color w:val="auto"/>
                <w:spacing w:val="6"/>
                <w:sz w:val="28"/>
                <w:szCs w:val="28"/>
              </w:rPr>
            </w:pPr>
            <w:r>
              <w:rPr>
                <w:rFonts w:hint="eastAsia" w:ascii="宋体" w:hAnsi="宋体" w:eastAsia="宋体" w:cs="Times New Roman"/>
                <w:color w:val="auto"/>
                <w:spacing w:val="6"/>
                <w:sz w:val="28"/>
                <w:szCs w:val="28"/>
              </w:rPr>
              <w:t>本项目采购最高限价为：服务内容及要求各控制价的100%，凡供应商谈判报价超出“采购最高限价”的，该供应商的响应文件应作无效响应处理。</w:t>
            </w:r>
          </w:p>
          <w:p w14:paraId="0E6F2F37">
            <w:pPr>
              <w:widowControl/>
              <w:spacing w:line="400" w:lineRule="atLeast"/>
              <w:rPr>
                <w:rFonts w:ascii="宋体" w:hAnsi="宋体" w:eastAsia="宋体" w:cs="Times New Roman"/>
                <w:color w:val="auto"/>
                <w:spacing w:val="6"/>
                <w:sz w:val="28"/>
                <w:szCs w:val="28"/>
              </w:rPr>
            </w:pPr>
            <w:r>
              <w:rPr>
                <w:rFonts w:hint="eastAsia" w:ascii="宋体" w:hAnsi="宋体" w:eastAsia="宋体" w:cs="Times New Roman"/>
                <w:color w:val="auto"/>
                <w:spacing w:val="6"/>
                <w:sz w:val="28"/>
                <w:szCs w:val="28"/>
              </w:rPr>
              <w:t>结算价=控制价*供应商所报费率</w:t>
            </w:r>
          </w:p>
        </w:tc>
      </w:tr>
      <w:tr w14:paraId="5B421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993" w:type="dxa"/>
            <w:vAlign w:val="center"/>
          </w:tcPr>
          <w:p w14:paraId="168AFB45">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24</w:t>
            </w:r>
          </w:p>
        </w:tc>
        <w:tc>
          <w:tcPr>
            <w:tcW w:w="1701" w:type="dxa"/>
            <w:vAlign w:val="center"/>
          </w:tcPr>
          <w:p w14:paraId="08D911A8">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报价</w:t>
            </w:r>
          </w:p>
        </w:tc>
        <w:tc>
          <w:tcPr>
            <w:tcW w:w="6784" w:type="dxa"/>
            <w:vAlign w:val="center"/>
          </w:tcPr>
          <w:p w14:paraId="51B66084">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本次磋商应以</w:t>
            </w:r>
            <w:r>
              <w:rPr>
                <w:rFonts w:hint="eastAsia" w:ascii="宋体" w:hAnsi="宋体" w:eastAsia="宋体" w:cs="Times New Roman"/>
                <w:color w:val="000000" w:themeColor="text1"/>
                <w:spacing w:val="6"/>
                <w:sz w:val="28"/>
                <w:szCs w:val="28"/>
                <w:lang w:val="en-US" w:eastAsia="zh-CN"/>
                <w14:textFill>
                  <w14:solidFill>
                    <w14:schemeClr w14:val="tx1"/>
                  </w14:solidFill>
                </w14:textFill>
              </w:rPr>
              <w:t>优惠率</w:t>
            </w:r>
            <w:r>
              <w:rPr>
                <w:rFonts w:hint="eastAsia" w:ascii="宋体" w:hAnsi="宋体" w:eastAsia="宋体" w:cs="Times New Roman"/>
                <w:color w:val="000000" w:themeColor="text1"/>
                <w:spacing w:val="6"/>
                <w:sz w:val="28"/>
                <w:szCs w:val="28"/>
                <w14:textFill>
                  <w14:solidFill>
                    <w14:schemeClr w14:val="tx1"/>
                  </w14:solidFill>
                </w14:textFill>
              </w:rPr>
              <w:t>报价，分两次进行报价。</w:t>
            </w:r>
          </w:p>
        </w:tc>
      </w:tr>
      <w:tr w14:paraId="71BF2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14:paraId="1AC9ACC0">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25</w:t>
            </w:r>
          </w:p>
        </w:tc>
        <w:tc>
          <w:tcPr>
            <w:tcW w:w="1701" w:type="dxa"/>
            <w:vAlign w:val="center"/>
          </w:tcPr>
          <w:p w14:paraId="21E42996">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电子化注意事项</w:t>
            </w:r>
          </w:p>
        </w:tc>
        <w:tc>
          <w:tcPr>
            <w:tcW w:w="6784" w:type="dxa"/>
            <w:vAlign w:val="center"/>
          </w:tcPr>
          <w:p w14:paraId="48CD9320">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具体要求：本项目为电子化、无纸化交易项目，响应文件是响应人、供应商（以下简称“响应人”）通过中心响应文件制作系统制作，并经过签章和加密后生成的电子版响应文件。</w:t>
            </w:r>
          </w:p>
          <w:p w14:paraId="19D2CC75">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电子化响应文件具体制作文件请点击https://download.bqpoint.com/download/downloadlist.html?SoftTypeCode=06进行下载。</w:t>
            </w:r>
          </w:p>
          <w:p w14:paraId="4D076816">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温馨提示：本项目为电子化、无纸化交易项目，为保证您能投标成功，请需仔细阅读以下条款。</w:t>
            </w:r>
          </w:p>
          <w:p w14:paraId="7727A97E">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一、电子化投标</w:t>
            </w:r>
          </w:p>
          <w:p w14:paraId="29047068">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（一）电子化响应文件的签章</w:t>
            </w:r>
          </w:p>
          <w:p w14:paraId="56CE87A3">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1、响应人在生成电子化响应文件后，应对电子化响应文件进行签章，未进行签章的视为无效投标。</w:t>
            </w:r>
          </w:p>
          <w:p w14:paraId="6FA20C37">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2、竞争性磋商文件中要求法定代表人或授权委托人签字或盖章的，响应人在进行电子化响应文件签章时，以签盖法定代表人签章为准。</w:t>
            </w:r>
          </w:p>
          <w:p w14:paraId="2A5F776F">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（二）电子化响应文件的格式及上传投标</w:t>
            </w:r>
          </w:p>
          <w:p w14:paraId="7BA2E952">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响应人所上传的电子化响应文件，应是通过中心响应文件制作系统制作的（响应文件制作工具下载地址：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7E96AE63">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注：响应人投报多个标段的，需要每个标段单独制作电子响应文件。</w:t>
            </w:r>
          </w:p>
          <w:p w14:paraId="702FAC21">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2、电子化响应文件应在磋商截止时间前成功上传至三门峡市公共资源电子化交易系统。至磋商截止时间止，仍未上传成功的电子化响应文件将不予接收。</w:t>
            </w:r>
          </w:p>
          <w:p w14:paraId="42307AF4">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277F39A7">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技术联系电话：0398-3117095   3117080</w:t>
            </w:r>
          </w:p>
          <w:p w14:paraId="3EB1901A">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新点客服电话:4009980000</w:t>
            </w:r>
          </w:p>
          <w:p w14:paraId="1841555E">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（三）电子化项目开标、解密、评标</w:t>
            </w:r>
          </w:p>
          <w:p w14:paraId="2149BCB4">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本项目采用电子化、无纸化进行磋商，开标当日，响应人无需到开标现场参加开标会议，响应人应当在磋商截止时间前，登陆不见面开标大厅选择登陆三门峡市公共资源电子招投标系统进行登陆（网址为http://122.112.246.33/BidOpening/bidopeninghallaction/hall/login）,在线准时参加开标活动并进行响应文件解密等。</w:t>
            </w:r>
          </w:p>
          <w:p w14:paraId="6E75AF72">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0CC6E02E">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3、电子化响应文件解密异常的处理</w:t>
            </w:r>
          </w:p>
          <w:p w14:paraId="551A06C8">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如出现响应人的电子响应文件无法解密等异常情况，响应人应及时致电中介服务机构说明。响应文件异常，按以下步骤进行处理：</w:t>
            </w:r>
          </w:p>
          <w:p w14:paraId="0EDCA9C1">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（1）首先由技术人员进行问题排查。</w:t>
            </w:r>
          </w:p>
          <w:p w14:paraId="7A393F4D">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（2）经技术人员排查后，是响应人文件自身问题导致响应文件无法解密的，该响应文件将不予接收、解密。开标会议继续进行。</w:t>
            </w:r>
          </w:p>
          <w:p w14:paraId="61E89B9C">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25B6E1F9">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4、待所有响应人响应文件解密完成后，由中介服务机构操作，对所有已解密响应文件进行解密。</w:t>
            </w:r>
          </w:p>
          <w:p w14:paraId="53940CC4">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响应人应保证在磋商期间电话、电脑、网络能够正常工作，响应人因停电、电脑病毒、网络堵塞等原因，未在规定的解密时间内对响应文件进行解密的，其响应文件不予接收。</w:t>
            </w:r>
          </w:p>
          <w:p w14:paraId="20A87DB7">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49C30D55">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394506FC">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7、如评标委员会对需要回复的响应人连续三次致电未接通的，视为响应人放弃回复，评标委员会将自行对需要回复的内容进行认定。</w:t>
            </w:r>
          </w:p>
          <w:p w14:paraId="4192E3D8">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二、资格审查资料</w:t>
            </w:r>
          </w:p>
          <w:p w14:paraId="697E9B6B">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本项目实行资格后审，资格评审以响应文件为准，其上传资料真实性由投标人自行承担，同时，投标人要完善主体库。提示：本项目为电子化、无纸化交易项目，为保证您能投标成功，请需仔细阅读以上条款。</w:t>
            </w:r>
          </w:p>
        </w:tc>
      </w:tr>
      <w:tr w14:paraId="3FCAB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14:paraId="351DDE47">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28</w:t>
            </w:r>
          </w:p>
        </w:tc>
        <w:tc>
          <w:tcPr>
            <w:tcW w:w="1701" w:type="dxa"/>
            <w:vAlign w:val="center"/>
          </w:tcPr>
          <w:p w14:paraId="16602B2D">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其他补充事宜</w:t>
            </w:r>
          </w:p>
        </w:tc>
        <w:tc>
          <w:tcPr>
            <w:tcW w:w="6784" w:type="dxa"/>
            <w:vAlign w:val="center"/>
          </w:tcPr>
          <w:p w14:paraId="4471A3D2">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本项目实行资格后审，根据优化营商环境的要求，评标时审查内容以投标文件为准：</w:t>
            </w:r>
          </w:p>
          <w:p w14:paraId="0AB647E4">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1、资格评（预）审部分：资格评（预）审以投标文件为准，其上传资料真实性由投标人自行承担，同时，投标人应在开标前自行完善主体库信息。</w:t>
            </w:r>
          </w:p>
          <w:p w14:paraId="4174FD9E">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p>
          <w:p w14:paraId="258A6575">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06924B40">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4、我单位（采购人）严格按三财购【2021】9号文要求的时限发布中标结果公告，发出中标通知书，签订采购合同，上传采购合同。</w:t>
            </w:r>
          </w:p>
          <w:p w14:paraId="62DB9AD4">
            <w:pPr>
              <w:autoSpaceDE w:val="0"/>
              <w:autoSpaceDN w:val="0"/>
              <w:adjustRightInd w:val="0"/>
              <w:rPr>
                <w:rFonts w:hint="default" w:eastAsia="宋体"/>
                <w:color w:val="000000" w:themeColor="text1"/>
                <w:lang w:val="en-US" w:eastAsia="zh-CN"/>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 xml:space="preserve">  5、业主评委无评审费，</w:t>
            </w:r>
          </w:p>
        </w:tc>
      </w:tr>
      <w:tr w14:paraId="1025C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trPr>
        <w:tc>
          <w:tcPr>
            <w:tcW w:w="993" w:type="dxa"/>
            <w:vAlign w:val="center"/>
          </w:tcPr>
          <w:p w14:paraId="5081553E">
            <w:pPr>
              <w:autoSpaceDE w:val="0"/>
              <w:autoSpaceDN w:val="0"/>
              <w:adjustRightInd w:val="0"/>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29</w:t>
            </w:r>
          </w:p>
        </w:tc>
        <w:tc>
          <w:tcPr>
            <w:tcW w:w="1701" w:type="dxa"/>
            <w:vAlign w:val="center"/>
          </w:tcPr>
          <w:p w14:paraId="61FE24F7">
            <w:pPr>
              <w:autoSpaceDE w:val="0"/>
              <w:autoSpaceDN w:val="0"/>
              <w:adjustRightInd w:val="0"/>
              <w:jc w:val="center"/>
              <w:rPr>
                <w:rFonts w:hint="eastAsia" w:ascii="宋体" w:hAnsi="宋体" w:eastAsia="宋体" w:cs="Times New Roman"/>
                <w:color w:val="auto"/>
                <w:spacing w:val="6"/>
                <w:sz w:val="28"/>
                <w:szCs w:val="28"/>
                <w:highlight w:val="none"/>
              </w:rPr>
            </w:pPr>
            <w:r>
              <w:rPr>
                <w:rFonts w:hint="eastAsia" w:ascii="宋体" w:hAnsi="宋体" w:eastAsia="宋体" w:cs="Times New Roman"/>
                <w:color w:val="auto"/>
                <w:spacing w:val="6"/>
                <w:sz w:val="28"/>
                <w:szCs w:val="28"/>
                <w:highlight w:val="none"/>
              </w:rPr>
              <w:t>所属行业</w:t>
            </w:r>
          </w:p>
        </w:tc>
        <w:tc>
          <w:tcPr>
            <w:tcW w:w="6784" w:type="dxa"/>
            <w:vAlign w:val="center"/>
          </w:tcPr>
          <w:p w14:paraId="52EA5ED8">
            <w:pPr>
              <w:autoSpaceDE w:val="0"/>
              <w:autoSpaceDN w:val="0"/>
              <w:adjustRightInd w:val="0"/>
              <w:jc w:val="both"/>
              <w:rPr>
                <w:rFonts w:hint="default" w:ascii="宋体" w:hAnsi="宋体" w:eastAsia="宋体" w:cs="Times New Roman"/>
                <w:color w:val="auto"/>
                <w:spacing w:val="6"/>
                <w:sz w:val="28"/>
                <w:szCs w:val="28"/>
                <w:highlight w:val="none"/>
                <w:lang w:val="en-US" w:eastAsia="zh-CN"/>
              </w:rPr>
            </w:pPr>
            <w:r>
              <w:rPr>
                <w:rFonts w:hint="eastAsia" w:ascii="宋体" w:hAnsi="宋体" w:eastAsia="宋体" w:cs="Times New Roman"/>
                <w:color w:val="auto"/>
                <w:spacing w:val="6"/>
                <w:sz w:val="28"/>
                <w:szCs w:val="28"/>
                <w:highlight w:val="none"/>
                <w:lang w:val="en-US" w:eastAsia="zh-CN"/>
              </w:rPr>
              <w:t>其他未列明行业</w:t>
            </w:r>
          </w:p>
        </w:tc>
      </w:tr>
      <w:tr w14:paraId="63149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14:paraId="32B76F85">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30</w:t>
            </w:r>
          </w:p>
        </w:tc>
        <w:tc>
          <w:tcPr>
            <w:tcW w:w="1701" w:type="dxa"/>
            <w:vAlign w:val="center"/>
          </w:tcPr>
          <w:p w14:paraId="29A9575E">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招标</w:t>
            </w:r>
          </w:p>
          <w:p w14:paraId="076F5555">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代理费</w:t>
            </w:r>
          </w:p>
        </w:tc>
        <w:tc>
          <w:tcPr>
            <w:tcW w:w="6784" w:type="dxa"/>
            <w:vAlign w:val="center"/>
          </w:tcPr>
          <w:p w14:paraId="34BCF51E">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招标代理服务费参照《河南省招标代理服务收费指导意见》（豫招协【2023】002号）计取，由</w:t>
            </w:r>
            <w:r>
              <w:rPr>
                <w:rFonts w:hint="eastAsia" w:ascii="宋体" w:hAnsi="宋体" w:eastAsia="宋体" w:cs="Times New Roman"/>
                <w:color w:val="000000" w:themeColor="text1"/>
                <w:spacing w:val="6"/>
                <w:sz w:val="28"/>
                <w:szCs w:val="28"/>
                <w:lang w:val="en-US" w:eastAsia="zh-CN"/>
                <w14:textFill>
                  <w14:solidFill>
                    <w14:schemeClr w14:val="tx1"/>
                  </w14:solidFill>
                </w14:textFill>
              </w:rPr>
              <w:t>成交</w:t>
            </w:r>
            <w:r>
              <w:rPr>
                <w:rFonts w:hint="eastAsia" w:ascii="宋体" w:hAnsi="宋体" w:eastAsia="宋体" w:cs="Times New Roman"/>
                <w:color w:val="000000" w:themeColor="text1"/>
                <w:spacing w:val="6"/>
                <w:sz w:val="28"/>
                <w:szCs w:val="28"/>
                <w14:textFill>
                  <w14:solidFill>
                    <w14:schemeClr w14:val="tx1"/>
                  </w14:solidFill>
                </w14:textFill>
              </w:rPr>
              <w:t>人支付。</w:t>
            </w:r>
          </w:p>
          <w:p w14:paraId="02A8E2E8">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收款单位:河南飞洋建设工程咨询有限公司三门峡分公司</w:t>
            </w:r>
          </w:p>
          <w:p w14:paraId="2EE76244">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开 户 行:中原银行三门峡分行营业部</w:t>
            </w:r>
          </w:p>
          <w:p w14:paraId="447960D8">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账    号：600310090000003528</w:t>
            </w:r>
          </w:p>
        </w:tc>
      </w:tr>
    </w:tbl>
    <w:p w14:paraId="1A6F48E4">
      <w:pPr>
        <w:widowControl/>
        <w:jc w:val="left"/>
        <w:rPr>
          <w:rFonts w:ascii="宋体" w:hAnsi="Calibri" w:eastAsia="宋体" w:cs="黑体"/>
          <w:color w:val="000000" w:themeColor="text1"/>
          <w:w w:val="97"/>
          <w:kern w:val="0"/>
          <w:sz w:val="28"/>
          <w:szCs w:val="28"/>
          <w14:textFill>
            <w14:solidFill>
              <w14:schemeClr w14:val="tx1"/>
            </w14:solidFill>
          </w14:textFill>
        </w:rPr>
      </w:pPr>
      <w:r>
        <w:rPr>
          <w:rFonts w:hint="eastAsia" w:ascii="宋体" w:hAnsi="宋体" w:eastAsia="宋体" w:cs="黑体"/>
          <w:color w:val="000000" w:themeColor="text1"/>
          <w:w w:val="97"/>
          <w:kern w:val="0"/>
          <w:sz w:val="28"/>
          <w:szCs w:val="28"/>
          <w14:textFill>
            <w14:solidFill>
              <w14:schemeClr w14:val="tx1"/>
            </w14:solidFill>
          </w14:textFill>
        </w:rPr>
        <w:t>一、说明</w:t>
      </w:r>
    </w:p>
    <w:p w14:paraId="0845FAC2">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适用范围</w:t>
      </w:r>
    </w:p>
    <w:p w14:paraId="60FD4CD7">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本竞争性磋商文件仅适用于竞争性磋商公告中所叙述项目的相关采购。</w:t>
      </w:r>
    </w:p>
    <w:p w14:paraId="0642E77B">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w:t>
      </w:r>
      <w:r>
        <w:rPr>
          <w:rFonts w:hint="eastAsia" w:ascii="宋体" w:hAnsi="宋体" w:eastAsia="宋体" w:cs="宋体"/>
          <w:color w:val="000000" w:themeColor="text1"/>
          <w:spacing w:val="-3"/>
          <w:kern w:val="0"/>
          <w:sz w:val="28"/>
          <w:szCs w:val="28"/>
          <w14:textFill>
            <w14:solidFill>
              <w14:schemeClr w14:val="tx1"/>
            </w14:solidFill>
          </w14:textFill>
        </w:rPr>
        <w:t>定义</w:t>
      </w:r>
    </w:p>
    <w:p w14:paraId="2A175692">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2.1</w:t>
      </w:r>
      <w:r>
        <w:rPr>
          <w:rFonts w:hint="eastAsia" w:ascii="宋体" w:hAnsi="宋体" w:eastAsia="宋体" w:cs="宋体"/>
          <w:color w:val="000000" w:themeColor="text1"/>
          <w:spacing w:val="-3"/>
          <w:kern w:val="0"/>
          <w:sz w:val="28"/>
          <w:szCs w:val="28"/>
          <w14:textFill>
            <w14:solidFill>
              <w14:schemeClr w14:val="tx1"/>
            </w14:solidFill>
          </w14:textFill>
        </w:rPr>
        <w:t xml:space="preserve"> “采购人”系指本次采购项目的采购单位。</w:t>
      </w:r>
    </w:p>
    <w:p w14:paraId="4F698217">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2.2</w:t>
      </w:r>
      <w:r>
        <w:rPr>
          <w:rFonts w:hint="eastAsia" w:ascii="宋体" w:hAnsi="宋体" w:eastAsia="宋体" w:cs="宋体"/>
          <w:color w:val="000000" w:themeColor="text1"/>
          <w:spacing w:val="-3"/>
          <w:kern w:val="0"/>
          <w:sz w:val="28"/>
          <w:szCs w:val="28"/>
          <w14:textFill>
            <w14:solidFill>
              <w14:schemeClr w14:val="tx1"/>
            </w14:solidFill>
          </w14:textFill>
        </w:rPr>
        <w:t xml:space="preserve"> “采购代理机构”系指本次采购项目活动组织方。</w:t>
      </w:r>
    </w:p>
    <w:p w14:paraId="313A3BEA">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2.3</w:t>
      </w:r>
      <w:r>
        <w:rPr>
          <w:rFonts w:hint="eastAsia" w:ascii="宋体" w:hAnsi="宋体" w:eastAsia="宋体" w:cs="宋体"/>
          <w:color w:val="000000" w:themeColor="text1"/>
          <w:spacing w:val="-3"/>
          <w:kern w:val="0"/>
          <w:sz w:val="28"/>
          <w:szCs w:val="28"/>
          <w14:textFill>
            <w14:solidFill>
              <w14:schemeClr w14:val="tx1"/>
            </w14:solidFill>
          </w14:textFill>
        </w:rPr>
        <w:t xml:space="preserve"> “供应商”系指购买了本次竞争性磋商文件，且已经提交本次响应性文件。</w:t>
      </w:r>
    </w:p>
    <w:p w14:paraId="331B52B6">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2.4 </w:t>
      </w:r>
      <w:r>
        <w:rPr>
          <w:rFonts w:hint="eastAsia" w:ascii="宋体" w:hAnsi="宋体" w:eastAsia="宋体" w:cs="宋体"/>
          <w:color w:val="000000" w:themeColor="text1"/>
          <w:spacing w:val="-3"/>
          <w:kern w:val="0"/>
          <w:sz w:val="28"/>
          <w:szCs w:val="28"/>
          <w14:textFill>
            <w14:solidFill>
              <w14:schemeClr w14:val="tx1"/>
            </w14:solidFill>
          </w14:textFill>
        </w:rPr>
        <w:t>“供应商代表”系指代表供应商参加本次磋商活动的磋商供应商的法定代表人或其委托代理人。</w:t>
      </w:r>
    </w:p>
    <w:p w14:paraId="37B3E468">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2.5 </w:t>
      </w:r>
      <w:r>
        <w:rPr>
          <w:rFonts w:hint="eastAsia" w:ascii="宋体" w:hAnsi="宋体" w:eastAsia="宋体" w:cs="宋体"/>
          <w:color w:val="000000" w:themeColor="text1"/>
          <w:spacing w:val="-3"/>
          <w:kern w:val="0"/>
          <w:sz w:val="28"/>
          <w:szCs w:val="28"/>
          <w14:textFill>
            <w14:solidFill>
              <w14:schemeClr w14:val="tx1"/>
            </w14:solidFill>
          </w14:textFill>
        </w:rPr>
        <w:t>“货物”系指供应商按竞争性磋商文件规定的采购人所要求的一切项目内容。</w:t>
      </w:r>
    </w:p>
    <w:p w14:paraId="6CC5B6A5">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2.6 </w:t>
      </w:r>
      <w:r>
        <w:rPr>
          <w:rFonts w:hint="eastAsia" w:ascii="宋体" w:hAnsi="宋体" w:eastAsia="宋体" w:cs="宋体"/>
          <w:color w:val="000000" w:themeColor="text1"/>
          <w:spacing w:val="-3"/>
          <w:kern w:val="0"/>
          <w:sz w:val="28"/>
          <w:szCs w:val="28"/>
          <w14:textFill>
            <w14:solidFill>
              <w14:schemeClr w14:val="tx1"/>
            </w14:solidFill>
          </w14:textFill>
        </w:rPr>
        <w:t>“相关服务”系指竞争性磋商文件规定磋商供应商须承担的与本次采购项目相关的服务、协调工作以及其他类似的义务。</w:t>
      </w:r>
    </w:p>
    <w:p w14:paraId="7DB3C7E4">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2.7 </w:t>
      </w:r>
      <w:r>
        <w:rPr>
          <w:rFonts w:hint="eastAsia" w:ascii="宋体" w:hAnsi="宋体" w:eastAsia="宋体" w:cs="宋体"/>
          <w:color w:val="000000" w:themeColor="text1"/>
          <w:spacing w:val="-3"/>
          <w:kern w:val="0"/>
          <w:sz w:val="28"/>
          <w:szCs w:val="28"/>
          <w14:textFill>
            <w14:solidFill>
              <w14:schemeClr w14:val="tx1"/>
            </w14:solidFill>
          </w14:textFill>
        </w:rPr>
        <w:t>“竞争性磋商文件有效期”系指本次采购项目递交响应性文件截止之日起至合同签订之日止的期限。成交供应商的竞争性磋商文件有效期至合同完全履行止。</w:t>
      </w:r>
    </w:p>
    <w:p w14:paraId="2A13EDE7">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磋商预算价</w:t>
      </w:r>
    </w:p>
    <w:p w14:paraId="7B0EAA44">
      <w:pPr>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本次磋商预算价为：</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服务</w:t>
      </w:r>
      <w:r>
        <w:rPr>
          <w:rFonts w:hint="eastAsia" w:ascii="宋体" w:hAnsi="宋体" w:eastAsia="宋体" w:cs="宋体"/>
          <w:color w:val="000000" w:themeColor="text1"/>
          <w:spacing w:val="-3"/>
          <w:kern w:val="0"/>
          <w:sz w:val="28"/>
          <w:szCs w:val="28"/>
          <w14:textFill>
            <w14:solidFill>
              <w14:schemeClr w14:val="tx1"/>
            </w14:solidFill>
          </w14:textFill>
        </w:rPr>
        <w:t>内容及要求各控制价的100%，供应商报价超过采购控制价的响应文件将被拒绝</w:t>
      </w:r>
    </w:p>
    <w:p w14:paraId="6D26A555">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4.</w:t>
      </w:r>
      <w:r>
        <w:rPr>
          <w:rFonts w:hint="eastAsia" w:ascii="宋体" w:hAnsi="宋体" w:eastAsia="宋体" w:cs="宋体"/>
          <w:color w:val="000000" w:themeColor="text1"/>
          <w:spacing w:val="-3"/>
          <w:kern w:val="0"/>
          <w:sz w:val="28"/>
          <w:szCs w:val="28"/>
          <w14:textFill>
            <w14:solidFill>
              <w14:schemeClr w14:val="tx1"/>
            </w14:solidFill>
          </w14:textFill>
        </w:rPr>
        <w:t>供应商应提交的资格证明文件</w:t>
      </w:r>
    </w:p>
    <w:p w14:paraId="11C97D0D">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详见供应商须知</w:t>
      </w:r>
    </w:p>
    <w:p w14:paraId="6BA80CC9">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联合体参加磋商</w:t>
      </w:r>
    </w:p>
    <w:p w14:paraId="3BB6AF7C">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本项目不接受联合体参加磋商。</w:t>
      </w:r>
    </w:p>
    <w:p w14:paraId="3FA41971">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转包与分包</w:t>
      </w:r>
    </w:p>
    <w:p w14:paraId="6E8D75FC">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本项目不允许采取转包方式履行合同。</w:t>
      </w:r>
    </w:p>
    <w:p w14:paraId="28F3C53B">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本项目不允许采取分包方式履行合同。</w:t>
      </w:r>
    </w:p>
    <w:p w14:paraId="64271C0E">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特别说明：</w:t>
      </w:r>
    </w:p>
    <w:p w14:paraId="202C34CD">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供应商</w:t>
      </w:r>
      <w:r>
        <w:rPr>
          <w:rFonts w:hint="eastAsia" w:ascii="宋体" w:hAnsi="宋体" w:eastAsia="宋体" w:cs="宋体"/>
          <w:color w:val="000000" w:themeColor="text1"/>
          <w:spacing w:val="-3"/>
          <w:kern w:val="0"/>
          <w:sz w:val="28"/>
          <w:szCs w:val="28"/>
          <w14:textFill>
            <w14:solidFill>
              <w14:schemeClr w14:val="tx1"/>
            </w14:solidFill>
          </w14:textFill>
        </w:rPr>
        <w:t>代表只能接受一个供应商的委托参加磋商。</w:t>
      </w:r>
    </w:p>
    <w:p w14:paraId="39B7AF31">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2</w:t>
      </w:r>
      <w:r>
        <w:rPr>
          <w:rFonts w:ascii="宋体" w:hAnsi="宋体" w:eastAsia="宋体" w:cs="宋体"/>
          <w:color w:val="000000" w:themeColor="text1"/>
          <w:spacing w:val="-3"/>
          <w:kern w:val="0"/>
          <w:sz w:val="28"/>
          <w:szCs w:val="28"/>
          <w14:textFill>
            <w14:solidFill>
              <w14:schemeClr w14:val="tx1"/>
            </w14:solidFill>
          </w14:textFill>
        </w:rPr>
        <w:t xml:space="preserve"> </w:t>
      </w:r>
      <w:r>
        <w:rPr>
          <w:rFonts w:hint="eastAsia" w:ascii="宋体" w:hAnsi="宋体" w:eastAsia="宋体" w:cs="宋体"/>
          <w:color w:val="000000" w:themeColor="text1"/>
          <w:spacing w:val="-3"/>
          <w:kern w:val="0"/>
          <w:sz w:val="28"/>
          <w:szCs w:val="28"/>
          <w14:textFill>
            <w14:solidFill>
              <w14:schemeClr w14:val="tx1"/>
            </w14:solidFill>
          </w14:textFill>
        </w:rPr>
        <w:t>供应商在磋商活动中提供虚假材料或从事其他违法活动的</w:t>
      </w:r>
      <w:r>
        <w:rPr>
          <w:rFonts w:ascii="宋体" w:hAnsi="Calibri"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其响应无效，由相关部门查处。</w:t>
      </w:r>
    </w:p>
    <w:p w14:paraId="6841C057">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质疑和投诉</w:t>
      </w:r>
    </w:p>
    <w:p w14:paraId="7A63CC56">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认为磋商过程和成交结果使自己的合法权益受到损害的，应当在知道或者应知其权益受到损害之日起</w:t>
      </w:r>
      <w:r>
        <w:rPr>
          <w:rFonts w:ascii="宋体" w:hAnsi="宋体" w:eastAsia="宋体" w:cs="宋体"/>
          <w:color w:val="000000" w:themeColor="text1"/>
          <w:spacing w:val="-3"/>
          <w:kern w:val="0"/>
          <w:sz w:val="28"/>
          <w:szCs w:val="28"/>
          <w14:textFill>
            <w14:solidFill>
              <w14:schemeClr w14:val="tx1"/>
            </w14:solidFill>
          </w14:textFill>
        </w:rPr>
        <w:t xml:space="preserve"> 7 </w:t>
      </w:r>
      <w:r>
        <w:rPr>
          <w:rFonts w:hint="eastAsia" w:ascii="宋体" w:hAnsi="宋体" w:eastAsia="宋体" w:cs="宋体"/>
          <w:color w:val="000000" w:themeColor="text1"/>
          <w:spacing w:val="-3"/>
          <w:kern w:val="0"/>
          <w:sz w:val="28"/>
          <w:szCs w:val="28"/>
          <w14:textFill>
            <w14:solidFill>
              <w14:schemeClr w14:val="tx1"/>
            </w14:solidFill>
          </w14:textFill>
        </w:rPr>
        <w:t>个工作日内，向采购人或采购代理机构提出质疑。供应商对采购人或采购代理机构的质疑答复不满意或采购人或采购代理机构未在规定时间内作出答复的，可以在答复期满后</w:t>
      </w:r>
      <w:r>
        <w:rPr>
          <w:rFonts w:ascii="宋体" w:hAnsi="宋体" w:eastAsia="宋体" w:cs="宋体"/>
          <w:color w:val="000000" w:themeColor="text1"/>
          <w:spacing w:val="-3"/>
          <w:kern w:val="0"/>
          <w:sz w:val="28"/>
          <w:szCs w:val="28"/>
          <w14:textFill>
            <w14:solidFill>
              <w14:schemeClr w14:val="tx1"/>
            </w14:solidFill>
          </w14:textFill>
        </w:rPr>
        <w:t xml:space="preserve"> 15 </w:t>
      </w:r>
      <w:r>
        <w:rPr>
          <w:rFonts w:hint="eastAsia" w:ascii="宋体" w:hAnsi="宋体" w:eastAsia="宋体" w:cs="宋体"/>
          <w:color w:val="000000" w:themeColor="text1"/>
          <w:spacing w:val="-3"/>
          <w:kern w:val="0"/>
          <w:sz w:val="28"/>
          <w:szCs w:val="28"/>
          <w14:textFill>
            <w14:solidFill>
              <w14:schemeClr w14:val="tx1"/>
            </w14:solidFill>
          </w14:textFill>
        </w:rPr>
        <w:t>个工作日内向同级财政部门投诉。</w:t>
      </w:r>
    </w:p>
    <w:p w14:paraId="4F510A15">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0C21F5E4">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9</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供应商的风险</w:t>
      </w:r>
    </w:p>
    <w:p w14:paraId="56CC6F0B">
      <w:pPr>
        <w:autoSpaceDE w:val="0"/>
        <w:autoSpaceDN w:val="0"/>
        <w:adjustRightInd w:val="0"/>
        <w:spacing w:before="32" w:line="360" w:lineRule="auto"/>
        <w:ind w:right="-58"/>
        <w:rPr>
          <w:rFonts w:ascii="宋体" w:hAnsi="Calibri"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供应商没有按照竞争性磋商文件要求提供全部资料，或者供应商没有对响应性文件在各方面都作出实质性响应是供应商的风险，并可能导致其响应被拒绝。</w:t>
      </w:r>
    </w:p>
    <w:p w14:paraId="7A09A133">
      <w:pPr>
        <w:autoSpaceDE w:val="0"/>
        <w:autoSpaceDN w:val="0"/>
        <w:adjustRightInd w:val="0"/>
        <w:spacing w:before="32" w:line="360" w:lineRule="auto"/>
        <w:ind w:right="-58"/>
        <w:jc w:val="center"/>
        <w:outlineLvl w:val="1"/>
        <w:rPr>
          <w:rFonts w:ascii="宋体" w:hAnsi="Calibri" w:eastAsia="宋体" w:cs="宋体"/>
          <w:color w:val="000000" w:themeColor="text1"/>
          <w:spacing w:val="-3"/>
          <w:kern w:val="0"/>
          <w:sz w:val="28"/>
          <w:szCs w:val="28"/>
          <w14:textFill>
            <w14:solidFill>
              <w14:schemeClr w14:val="tx1"/>
            </w14:solidFill>
          </w14:textFill>
        </w:rPr>
      </w:pPr>
      <w:bookmarkStart w:id="3" w:name="_Toc518571704"/>
      <w:bookmarkStart w:id="4" w:name="_Toc109675034"/>
      <w:r>
        <w:rPr>
          <w:rFonts w:hint="eastAsia" w:ascii="宋体" w:hAnsi="宋体" w:eastAsia="宋体" w:cs="宋体"/>
          <w:color w:val="000000" w:themeColor="text1"/>
          <w:spacing w:val="-3"/>
          <w:kern w:val="0"/>
          <w:sz w:val="28"/>
          <w:szCs w:val="28"/>
          <w14:textFill>
            <w14:solidFill>
              <w14:schemeClr w14:val="tx1"/>
            </w14:solidFill>
          </w14:textFill>
        </w:rPr>
        <w:t>二、竞争性磋商文件</w:t>
      </w:r>
      <w:bookmarkEnd w:id="3"/>
      <w:bookmarkEnd w:id="4"/>
    </w:p>
    <w:p w14:paraId="18C02B70">
      <w:pPr>
        <w:autoSpaceDE w:val="0"/>
        <w:autoSpaceDN w:val="0"/>
        <w:adjustRightInd w:val="0"/>
        <w:spacing w:before="136"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竞争性磋商文件的构成。本竞争性磋商文件由以下部分组成：</w:t>
      </w:r>
    </w:p>
    <w:p w14:paraId="45FF83E6">
      <w:pPr>
        <w:autoSpaceDE w:val="0"/>
        <w:autoSpaceDN w:val="0"/>
        <w:adjustRightInd w:val="0"/>
        <w:spacing w:before="184"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竞争性磋商公告</w:t>
      </w:r>
    </w:p>
    <w:p w14:paraId="31DE4B11">
      <w:pPr>
        <w:autoSpaceDE w:val="0"/>
        <w:autoSpaceDN w:val="0"/>
        <w:adjustRightInd w:val="0"/>
        <w:spacing w:before="184"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.2供应商</w:t>
      </w:r>
      <w:r>
        <w:rPr>
          <w:rFonts w:hint="eastAsia" w:ascii="宋体" w:hAnsi="宋体" w:eastAsia="宋体" w:cs="宋体"/>
          <w:color w:val="000000" w:themeColor="text1"/>
          <w:spacing w:val="-3"/>
          <w:kern w:val="0"/>
          <w:sz w:val="28"/>
          <w:szCs w:val="28"/>
          <w14:textFill>
            <w14:solidFill>
              <w14:schemeClr w14:val="tx1"/>
            </w14:solidFill>
          </w14:textFill>
        </w:rPr>
        <w:t>须知</w:t>
      </w:r>
    </w:p>
    <w:p w14:paraId="074591C1">
      <w:pPr>
        <w:autoSpaceDE w:val="0"/>
        <w:autoSpaceDN w:val="0"/>
        <w:adjustRightInd w:val="0"/>
        <w:spacing w:before="184" w:line="360" w:lineRule="auto"/>
        <w:jc w:val="left"/>
        <w:rPr>
          <w:rFonts w:hint="eastAsia"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 xml:space="preserve"> 采购内容及技术要求</w:t>
      </w:r>
    </w:p>
    <w:p w14:paraId="49B05259">
      <w:pPr>
        <w:autoSpaceDE w:val="0"/>
        <w:autoSpaceDN w:val="0"/>
        <w:adjustRightInd w:val="0"/>
        <w:spacing w:before="184" w:line="360" w:lineRule="auto"/>
        <w:jc w:val="left"/>
        <w:rPr>
          <w:rFonts w:ascii="宋体" w:hAnsi="宋体" w:eastAsia="宋体" w:cs="宋体"/>
          <w:color w:val="000000" w:themeColor="text1"/>
          <w:spacing w:val="-6"/>
          <w:kern w:val="0"/>
          <w:sz w:val="28"/>
          <w:szCs w:val="28"/>
          <w14:textFill>
            <w14:solidFill>
              <w14:schemeClr w14:val="tx1"/>
            </w14:solidFill>
          </w14:textFill>
        </w:rPr>
      </w:pPr>
      <w:r>
        <w:rPr>
          <w:rFonts w:ascii="宋体" w:hAnsi="宋体" w:eastAsia="宋体" w:cs="宋体"/>
          <w:color w:val="000000" w:themeColor="text1"/>
          <w:spacing w:val="-6"/>
          <w:kern w:val="0"/>
          <w:sz w:val="28"/>
          <w:szCs w:val="28"/>
          <w14:textFill>
            <w14:solidFill>
              <w14:schemeClr w14:val="tx1"/>
            </w14:solidFill>
          </w14:textFill>
        </w:rPr>
        <w:t>1</w:t>
      </w:r>
      <w:r>
        <w:rPr>
          <w:rFonts w:hint="eastAsia" w:ascii="宋体" w:hAnsi="宋体" w:eastAsia="宋体" w:cs="宋体"/>
          <w:color w:val="000000" w:themeColor="text1"/>
          <w:spacing w:val="-6"/>
          <w:kern w:val="0"/>
          <w:sz w:val="28"/>
          <w:szCs w:val="28"/>
          <w14:textFill>
            <w14:solidFill>
              <w14:schemeClr w14:val="tx1"/>
            </w14:solidFill>
          </w14:textFill>
        </w:rPr>
        <w:t>0</w:t>
      </w:r>
      <w:r>
        <w:rPr>
          <w:rFonts w:ascii="宋体" w:hAnsi="宋体" w:eastAsia="宋体" w:cs="宋体"/>
          <w:color w:val="000000" w:themeColor="text1"/>
          <w:spacing w:val="-6"/>
          <w:kern w:val="0"/>
          <w:sz w:val="28"/>
          <w:szCs w:val="28"/>
          <w14:textFill>
            <w14:solidFill>
              <w14:schemeClr w14:val="tx1"/>
            </w14:solidFill>
          </w14:textFill>
        </w:rPr>
        <w:t xml:space="preserve">.4 </w:t>
      </w:r>
      <w:r>
        <w:rPr>
          <w:rFonts w:hint="eastAsia" w:ascii="宋体" w:hAnsi="宋体" w:eastAsia="宋体" w:cs="宋体"/>
          <w:color w:val="000000" w:themeColor="text1"/>
          <w:spacing w:val="-6"/>
          <w:kern w:val="0"/>
          <w:sz w:val="28"/>
          <w:szCs w:val="28"/>
          <w14:textFill>
            <w14:solidFill>
              <w14:schemeClr w14:val="tx1"/>
            </w14:solidFill>
          </w14:textFill>
        </w:rPr>
        <w:t>合同条款及合同文件格式</w:t>
      </w:r>
    </w:p>
    <w:p w14:paraId="594DD57E">
      <w:pPr>
        <w:autoSpaceDE w:val="0"/>
        <w:autoSpaceDN w:val="0"/>
        <w:adjustRightInd w:val="0"/>
        <w:spacing w:before="184" w:line="360" w:lineRule="auto"/>
        <w:jc w:val="left"/>
        <w:rPr>
          <w:rFonts w:ascii="宋体" w:hAnsi="宋体" w:eastAsia="宋体" w:cs="宋体"/>
          <w:color w:val="000000" w:themeColor="text1"/>
          <w:spacing w:val="-6"/>
          <w:kern w:val="0"/>
          <w:sz w:val="28"/>
          <w:szCs w:val="28"/>
          <w14:textFill>
            <w14:solidFill>
              <w14:schemeClr w14:val="tx1"/>
            </w14:solidFill>
          </w14:textFill>
        </w:rPr>
      </w:pPr>
      <w:r>
        <w:rPr>
          <w:rFonts w:hint="eastAsia" w:ascii="宋体" w:hAnsi="宋体" w:eastAsia="宋体" w:cs="宋体"/>
          <w:color w:val="000000" w:themeColor="text1"/>
          <w:spacing w:val="-6"/>
          <w:kern w:val="0"/>
          <w:sz w:val="28"/>
          <w:szCs w:val="28"/>
          <w14:textFill>
            <w14:solidFill>
              <w14:schemeClr w14:val="tx1"/>
            </w14:solidFill>
          </w14:textFill>
        </w:rPr>
        <w:t>10.5 评审标准</w:t>
      </w:r>
    </w:p>
    <w:p w14:paraId="041EDEFA">
      <w:pPr>
        <w:autoSpaceDE w:val="0"/>
        <w:autoSpaceDN w:val="0"/>
        <w:adjustRightInd w:val="0"/>
        <w:spacing w:before="184"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6磋商文件格式</w:t>
      </w:r>
    </w:p>
    <w:p w14:paraId="46294E31">
      <w:pPr>
        <w:autoSpaceDE w:val="0"/>
        <w:autoSpaceDN w:val="0"/>
        <w:adjustRightInd w:val="0"/>
        <w:spacing w:before="184"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竞争性磋商文件的澄清与修改</w:t>
      </w:r>
    </w:p>
    <w:p w14:paraId="3B411715">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采购代理机构对已发出的竞争性磋商文件进行必要澄清、修改或补充</w:t>
      </w:r>
      <w:r>
        <w:rPr>
          <w:rFonts w:hint="eastAsia" w:ascii="宋体" w:hAnsi="宋体" w:eastAsia="宋体" w:cs="宋体"/>
          <w:color w:val="000000" w:themeColor="text1"/>
          <w:spacing w:val="-6"/>
          <w:kern w:val="0"/>
          <w:sz w:val="28"/>
          <w:szCs w:val="28"/>
          <w14:textFill>
            <w14:solidFill>
              <w14:schemeClr w14:val="tx1"/>
            </w14:solidFill>
          </w14:textFill>
        </w:rPr>
        <w:t>的，应当在竞争性磋商文件要求提交响应性文件截止时间5日（如至原定</w:t>
      </w:r>
      <w:r>
        <w:rPr>
          <w:rFonts w:hint="eastAsia" w:ascii="宋体" w:hAnsi="宋体" w:eastAsia="宋体" w:cs="宋体"/>
          <w:color w:val="000000" w:themeColor="text1"/>
          <w:spacing w:val="-4"/>
          <w:kern w:val="0"/>
          <w:sz w:val="28"/>
          <w:szCs w:val="28"/>
          <w14:textFill>
            <w14:solidFill>
              <w14:schemeClr w14:val="tx1"/>
            </w14:solidFill>
          </w14:textFill>
        </w:rPr>
        <w:t>截止时间不足5日，则需延长磋商开始时间）前，在</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河南省政府采购网</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Calibri" w:hAnsi="Calibri" w:eastAsia="宋体" w:cs="Times New Roman"/>
          <w:color w:val="000000" w:themeColor="text1"/>
          <w:sz w:val="28"/>
          <w:szCs w:val="28"/>
          <w:lang w:eastAsia="zh-CN"/>
          <w14:textFill>
            <w14:solidFill>
              <w14:schemeClr w14:val="tx1"/>
            </w14:solidFill>
          </w14:textFill>
        </w:rPr>
        <w:t>、</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Calibri" w:hAnsi="Calibri" w:eastAsia="宋体" w:cs="Times New Roman"/>
          <w:color w:val="000000" w:themeColor="text1"/>
          <w:sz w:val="28"/>
          <w:szCs w:val="28"/>
          <w:lang w:eastAsia="zh-CN"/>
          <w14:textFill>
            <w14:solidFill>
              <w14:schemeClr w14:val="tx1"/>
            </w14:solidFill>
          </w14:textFill>
        </w:rPr>
        <w:t>河南招标采购综合网</w:t>
      </w:r>
      <w:r>
        <w:rPr>
          <w:rFonts w:hint="eastAsia" w:ascii="Calibri" w:hAnsi="Calibri" w:eastAsia="宋体" w:cs="Times New Roman"/>
          <w:color w:val="000000" w:themeColor="text1"/>
          <w:sz w:val="28"/>
          <w:szCs w:val="28"/>
          <w14:textFill>
            <w14:solidFill>
              <w14:schemeClr w14:val="tx1"/>
            </w14:solidFill>
          </w14:textFill>
        </w:rPr>
        <w:t>》和《三门峡市公共资源交易中心网》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r>
        <w:rPr>
          <w:rFonts w:hint="eastAsia" w:ascii="宋体" w:hAnsi="宋体" w:eastAsia="宋体" w:cs="宋体"/>
          <w:color w:val="000000" w:themeColor="text1"/>
          <w:spacing w:val="-3"/>
          <w:kern w:val="0"/>
          <w:sz w:val="28"/>
          <w:szCs w:val="28"/>
          <w14:textFill>
            <w14:solidFill>
              <w14:schemeClr w14:val="tx1"/>
            </w14:solidFill>
          </w14:textFill>
        </w:rPr>
        <w:t>。竞争性磋商文件公示期间对竞争性磋商文件进行的澄清、修改或补充不受上述限制。</w:t>
      </w:r>
    </w:p>
    <w:p w14:paraId="4B9F2323">
      <w:pPr>
        <w:autoSpaceDE w:val="0"/>
        <w:autoSpaceDN w:val="0"/>
        <w:adjustRightInd w:val="0"/>
        <w:spacing w:before="163" w:line="360" w:lineRule="auto"/>
        <w:jc w:val="left"/>
        <w:rPr>
          <w:rFonts w:ascii="宋体" w:hAnsi="Calibri"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竞争性磋商文件澄清、修改或补充的内容为竞争性磋商文件的组成部分。</w:t>
      </w:r>
    </w:p>
    <w:p w14:paraId="00E0CA0C">
      <w:pPr>
        <w:autoSpaceDE w:val="0"/>
        <w:autoSpaceDN w:val="0"/>
        <w:adjustRightInd w:val="0"/>
        <w:spacing w:before="20" w:line="360" w:lineRule="auto"/>
        <w:ind w:right="-58"/>
        <w:rPr>
          <w:rFonts w:ascii="宋体" w:hAnsi="宋体" w:eastAsia="宋体" w:cs="宋体"/>
          <w:color w:val="000000" w:themeColor="text1"/>
          <w:spacing w:val="-5"/>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.3 </w:t>
      </w:r>
      <w:r>
        <w:rPr>
          <w:rFonts w:hint="eastAsia" w:ascii="宋体" w:hAnsi="宋体" w:eastAsia="宋体" w:cs="宋体"/>
          <w:color w:val="000000" w:themeColor="text1"/>
          <w:spacing w:val="-3"/>
          <w:kern w:val="0"/>
          <w:sz w:val="28"/>
          <w:szCs w:val="28"/>
          <w14:textFill>
            <w14:solidFill>
              <w14:schemeClr w14:val="tx1"/>
            </w14:solidFill>
          </w14:textFill>
        </w:rPr>
        <w:t>竞争性磋商文件的澄清、修改或补充都应通过本代理机构以法定形式</w:t>
      </w:r>
      <w:r>
        <w:rPr>
          <w:rFonts w:hint="eastAsia" w:ascii="宋体" w:hAnsi="宋体" w:eastAsia="宋体" w:cs="宋体"/>
          <w:color w:val="000000" w:themeColor="text1"/>
          <w:spacing w:val="-5"/>
          <w:kern w:val="0"/>
          <w:sz w:val="28"/>
          <w:szCs w:val="28"/>
          <w14:textFill>
            <w14:solidFill>
              <w14:schemeClr w14:val="tx1"/>
            </w14:solidFill>
          </w14:textFill>
        </w:rPr>
        <w:t>发布。采购人未通过本采购理机构对竞争性磋商文件进行的澄清、修改或补充无效，磋商时不予认可。</w:t>
      </w:r>
    </w:p>
    <w:p w14:paraId="5D097260">
      <w:pPr>
        <w:autoSpaceDE w:val="0"/>
        <w:autoSpaceDN w:val="0"/>
        <w:adjustRightInd w:val="0"/>
        <w:spacing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.4 </w:t>
      </w:r>
      <w:r>
        <w:rPr>
          <w:rFonts w:hint="eastAsia" w:ascii="宋体" w:hAnsi="宋体" w:eastAsia="宋体" w:cs="宋体"/>
          <w:color w:val="000000" w:themeColor="text1"/>
          <w:spacing w:val="-3"/>
          <w:kern w:val="0"/>
          <w:sz w:val="28"/>
          <w:szCs w:val="28"/>
          <w14:textFill>
            <w14:solidFill>
              <w14:schemeClr w14:val="tx1"/>
            </w14:solidFill>
          </w14:textFill>
        </w:rPr>
        <w:t>采购代理机构可以视采购具体情况，延长递交响应性文件截止时间和</w:t>
      </w:r>
      <w:r>
        <w:rPr>
          <w:rFonts w:hint="eastAsia" w:ascii="宋体" w:hAnsi="宋体" w:eastAsia="宋体" w:cs="宋体"/>
          <w:color w:val="000000" w:themeColor="text1"/>
          <w:spacing w:val="-4"/>
          <w:kern w:val="0"/>
          <w:sz w:val="28"/>
          <w:szCs w:val="28"/>
          <w14:textFill>
            <w14:solidFill>
              <w14:schemeClr w14:val="tx1"/>
            </w14:solidFill>
          </w14:textFill>
        </w:rPr>
        <w:t>开始磋商时间，但至少应当在竞争性磋商文件要求提交响应性文件的截止时间5日前，在</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Calibri" w:hAnsi="Calibri" w:eastAsia="宋体" w:cs="Times New Roman"/>
          <w:color w:val="000000" w:themeColor="text1"/>
          <w:sz w:val="28"/>
          <w:szCs w:val="28"/>
          <w:lang w:val="en-US" w:eastAsia="zh-CN"/>
          <w14:textFill>
            <w14:solidFill>
              <w14:schemeClr w14:val="tx1"/>
            </w14:solidFill>
          </w14:textFill>
        </w:rPr>
        <w:t>河南省政府采购网</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Calibri" w:hAnsi="Calibri" w:eastAsia="宋体" w:cs="Times New Roman"/>
          <w:color w:val="000000" w:themeColor="text1"/>
          <w:sz w:val="28"/>
          <w:szCs w:val="28"/>
          <w:lang w:eastAsia="zh-CN"/>
          <w14:textFill>
            <w14:solidFill>
              <w14:schemeClr w14:val="tx1"/>
            </w14:solidFill>
          </w14:textFill>
        </w:rPr>
        <w:t>河南招标采购综合网</w:t>
      </w:r>
      <w:r>
        <w:rPr>
          <w:rFonts w:hint="eastAsia" w:ascii="Calibri" w:hAnsi="Calibri" w:eastAsia="宋体" w:cs="Times New Roman"/>
          <w:color w:val="000000" w:themeColor="text1"/>
          <w:sz w:val="28"/>
          <w:szCs w:val="28"/>
          <w14:textFill>
            <w14:solidFill>
              <w14:schemeClr w14:val="tx1"/>
            </w14:solidFill>
          </w14:textFill>
        </w:rPr>
        <w:t>》和《三门峡市公共资源交易中心网》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p>
    <w:p w14:paraId="47CAFBFF">
      <w:pPr>
        <w:autoSpaceDE w:val="0"/>
        <w:autoSpaceDN w:val="0"/>
        <w:adjustRightInd w:val="0"/>
        <w:spacing w:before="32" w:line="360" w:lineRule="auto"/>
        <w:ind w:right="-58"/>
        <w:jc w:val="center"/>
        <w:outlineLvl w:val="1"/>
        <w:rPr>
          <w:rFonts w:ascii="宋体" w:hAnsi="Calibri" w:eastAsia="宋体" w:cs="宋体"/>
          <w:color w:val="000000" w:themeColor="text1"/>
          <w:spacing w:val="-3"/>
          <w:kern w:val="0"/>
          <w:sz w:val="28"/>
          <w:szCs w:val="28"/>
          <w14:textFill>
            <w14:solidFill>
              <w14:schemeClr w14:val="tx1"/>
            </w14:solidFill>
          </w14:textFill>
        </w:rPr>
      </w:pPr>
      <w:bookmarkStart w:id="5" w:name="_Toc518571705"/>
      <w:bookmarkStart w:id="6" w:name="_Toc109675035"/>
      <w:r>
        <w:rPr>
          <w:rFonts w:hint="eastAsia" w:ascii="宋体" w:hAnsi="宋体" w:eastAsia="宋体" w:cs="宋体"/>
          <w:color w:val="000000" w:themeColor="text1"/>
          <w:spacing w:val="-3"/>
          <w:kern w:val="0"/>
          <w:sz w:val="28"/>
          <w:szCs w:val="28"/>
          <w14:textFill>
            <w14:solidFill>
              <w14:schemeClr w14:val="tx1"/>
            </w14:solidFill>
          </w14:textFill>
        </w:rPr>
        <w:t>三、响应性文件的编制</w:t>
      </w:r>
      <w:bookmarkEnd w:id="5"/>
      <w:bookmarkEnd w:id="6"/>
    </w:p>
    <w:p w14:paraId="0ABCA0DC">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要求</w:t>
      </w:r>
    </w:p>
    <w:p w14:paraId="0A12DCA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供应商应仔细阅读竞争性磋商文件的所有内容，按照竞争性磋商文件提供的格式编写响应性文件，不得缺少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20D5DBA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响应性文件的语言和计量单位</w:t>
      </w:r>
    </w:p>
    <w:p w14:paraId="60D1EDE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响应性文件以及供应商与采购、代理机构就有关磋商事宜的所有来往函电均应使用简体中文书写。</w:t>
      </w:r>
    </w:p>
    <w:p w14:paraId="1AE8F26F">
      <w:pPr>
        <w:autoSpaceDE w:val="0"/>
        <w:autoSpaceDN w:val="0"/>
        <w:adjustRightInd w:val="0"/>
        <w:spacing w:before="32" w:line="360" w:lineRule="auto"/>
        <w:ind w:right="-58"/>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关于计量单位，竞争性磋商文件已有明确规定的，使用竞争性磋商文件规定的计量单位；竞争性磋商文件没有规定的，应采用中华人民共和国法定计量单位。</w:t>
      </w:r>
    </w:p>
    <w:p w14:paraId="7A3170F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4</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响应性文件的组成。响应性文件应包括下列部分：</w:t>
      </w:r>
    </w:p>
    <w:p w14:paraId="340FE28C">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一、法定代表人身份证明书</w:t>
      </w:r>
    </w:p>
    <w:p w14:paraId="16ABAEFD">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二、授权委托书</w:t>
      </w:r>
    </w:p>
    <w:p w14:paraId="4FE8CE3F">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三、磋 商 函</w:t>
      </w:r>
    </w:p>
    <w:p w14:paraId="15BA6EC2">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四、投标函附表</w:t>
      </w:r>
    </w:p>
    <w:p w14:paraId="793DAADB">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五、资格证明文件</w:t>
      </w:r>
    </w:p>
    <w:p w14:paraId="0EE46EF9">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六、磋商</w:t>
      </w:r>
      <w:r>
        <w:rPr>
          <w:rFonts w:hint="eastAsia" w:ascii="宋体" w:hAnsi="宋体" w:eastAsia="宋体" w:cs="宋体"/>
          <w:color w:val="000000" w:themeColor="text1"/>
          <w:spacing w:val="-4"/>
          <w:kern w:val="0"/>
          <w:sz w:val="28"/>
          <w:szCs w:val="28"/>
          <w14:textFill>
            <w14:solidFill>
              <w14:schemeClr w14:val="tx1"/>
            </w14:solidFill>
          </w14:textFill>
        </w:rPr>
        <w:t>承诺函</w:t>
      </w:r>
    </w:p>
    <w:p w14:paraId="0E412901">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七、</w:t>
      </w:r>
      <w:r>
        <w:rPr>
          <w:rFonts w:hint="eastAsia" w:ascii="宋体" w:hAnsi="宋体" w:eastAsia="宋体" w:cs="宋体"/>
          <w:color w:val="000000" w:themeColor="text1"/>
          <w:spacing w:val="-4"/>
          <w:kern w:val="0"/>
          <w:sz w:val="28"/>
          <w:szCs w:val="28"/>
          <w14:textFill>
            <w14:solidFill>
              <w14:schemeClr w14:val="tx1"/>
            </w14:solidFill>
          </w14:textFill>
        </w:rPr>
        <w:t>投标供应商资格声明函</w:t>
      </w:r>
    </w:p>
    <w:p w14:paraId="5DA9EE02">
      <w:pPr>
        <w:autoSpaceDE w:val="0"/>
        <w:autoSpaceDN w:val="0"/>
        <w:adjustRightInd w:val="0"/>
        <w:spacing w:before="32" w:line="360" w:lineRule="auto"/>
        <w:ind w:right="-58"/>
        <w:rPr>
          <w:rFonts w:hint="default"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八、技术部分（根据评分办法编制，格式自拟）</w:t>
      </w:r>
    </w:p>
    <w:p w14:paraId="773A9935">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九、商务部分（根据评分办法编制，格式自拟）</w:t>
      </w:r>
    </w:p>
    <w:p w14:paraId="0C01AA94">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十、其他资料</w:t>
      </w:r>
    </w:p>
    <w:p w14:paraId="1726F143">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响应性文件从所规定的递交响应性文件截止期之后开始生效，有效期不足将导致其响应性文件被拒绝。成交供应商的响应性文件有效期至合同完全履行止。</w:t>
      </w:r>
    </w:p>
    <w:p w14:paraId="63E805CB">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特殊情况下采购代理机构可于响应性文件有效期满之前书面要求供应商同意延长有效期，供应商应在采购代理机构规定的期限内以书面形式予以答复。供应商可以拒绝上述要求而其磋商保证金可按规定予以退还。供应商答复不明确或者逾期未答复的，均视为拒绝上述要求。对于接受该要求的供应商，既不要求也不允许其修改响应性文件，但将要求其相应延长磋商保证金有效期，有关退还和不予退还磋商保证金的规定在响应性文件有效期延长期内继续有效。</w:t>
      </w:r>
    </w:p>
    <w:p w14:paraId="150F0552">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磋商报价</w:t>
      </w:r>
    </w:p>
    <w:p w14:paraId="31F8B29C">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所有磋商报价均以人民币元为计算单位。供应商的报价为项目实施所需的人工费、服务费、运输费、税费、服务费及完成项目所需其他一切费用。</w:t>
      </w:r>
    </w:p>
    <w:p w14:paraId="77DF0F21">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.2供应商</w:t>
      </w:r>
      <w:r>
        <w:rPr>
          <w:rFonts w:hint="eastAsia" w:ascii="宋体" w:hAnsi="宋体" w:eastAsia="宋体" w:cs="宋体"/>
          <w:color w:val="000000" w:themeColor="text1"/>
          <w:spacing w:val="-4"/>
          <w:kern w:val="0"/>
          <w:sz w:val="28"/>
          <w:szCs w:val="28"/>
          <w14:textFill>
            <w14:solidFill>
              <w14:schemeClr w14:val="tx1"/>
            </w14:solidFill>
          </w14:textFill>
        </w:rPr>
        <w:t>要按磋商函附表的内容填写。</w:t>
      </w:r>
    </w:p>
    <w:p w14:paraId="10817E3B">
      <w:pPr>
        <w:autoSpaceDE w:val="0"/>
        <w:autoSpaceDN w:val="0"/>
        <w:adjustRightInd w:val="0"/>
        <w:spacing w:before="32" w:line="360" w:lineRule="auto"/>
        <w:ind w:right="-58"/>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 xml:space="preserve"> 本次磋商应以人民币报价，分两次进行报价。</w:t>
      </w:r>
    </w:p>
    <w:p w14:paraId="4578FAA0">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7、磋商保证金</w:t>
      </w:r>
    </w:p>
    <w:p w14:paraId="180F19EB">
      <w:pPr>
        <w:spacing w:line="360" w:lineRule="auto"/>
        <w:rPr>
          <w:rFonts w:ascii="Calibri" w:hAnsi="Calibri" w:eastAsia="宋体" w:cs="Times New Roman"/>
          <w:color w:val="000000" w:themeColor="text1"/>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Calibri" w:hAnsi="Calibri" w:eastAsia="宋体" w:cs="Times New Roman"/>
          <w:color w:val="000000" w:themeColor="text1"/>
          <w:sz w:val="28"/>
          <w:szCs w:val="28"/>
          <w14:textFill>
            <w14:solidFill>
              <w14:schemeClr w14:val="tx1"/>
            </w14:solidFill>
          </w14:textFill>
        </w:rPr>
        <w:t>根据《河南省财政厅关于优化政府采购营商环境有关问题的通知》（豫财购【2019】4号）第6条的规定，保证金不再收取。</w:t>
      </w:r>
    </w:p>
    <w:p w14:paraId="3BC18AA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 响应性文件的签署</w:t>
      </w:r>
    </w:p>
    <w:p w14:paraId="25C5F517">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792F0D9C">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7" w:name="_Toc109675036"/>
      <w:bookmarkStart w:id="8" w:name="_Toc518571706"/>
      <w:r>
        <w:rPr>
          <w:rFonts w:hint="eastAsia" w:ascii="宋体" w:hAnsi="宋体" w:eastAsia="宋体" w:cs="宋体"/>
          <w:color w:val="000000" w:themeColor="text1"/>
          <w:spacing w:val="-4"/>
          <w:kern w:val="0"/>
          <w:sz w:val="28"/>
          <w:szCs w:val="28"/>
          <w14:textFill>
            <w14:solidFill>
              <w14:schemeClr w14:val="tx1"/>
            </w14:solidFill>
          </w14:textFill>
        </w:rPr>
        <w:t>四、响应性文件的递交</w:t>
      </w:r>
      <w:bookmarkEnd w:id="7"/>
      <w:bookmarkEnd w:id="8"/>
    </w:p>
    <w:p w14:paraId="7BCE5943">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19.响应性文件的递交</w:t>
      </w:r>
    </w:p>
    <w:p w14:paraId="633DE56A">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在响应文件截止时间前上传至三门峡市公共资源交易中心系统平台。</w:t>
      </w:r>
    </w:p>
    <w:p w14:paraId="76892D7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20.响应性文件的修改和撤回</w:t>
      </w:r>
    </w:p>
    <w:p w14:paraId="10363E38">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20.1 供应商在递交竞争性磋商文件截止时间前，可以对所提交的响应性文件进行补充、修改或者撤回。</w:t>
      </w:r>
    </w:p>
    <w:p w14:paraId="065BF65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 供应商有下列情形之一的，采购人或采购代理机构将拒绝接受其响应性文件：</w:t>
      </w:r>
    </w:p>
    <w:p w14:paraId="7E17F47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 1 在竞争性磋商文件规定的递交竞争性磋商文件截止时间之后上传竞争性磋商文件的。</w:t>
      </w:r>
    </w:p>
    <w:p w14:paraId="5D510497">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9" w:name="_Toc518571707"/>
      <w:bookmarkStart w:id="10" w:name="_Toc109675037"/>
      <w:r>
        <w:rPr>
          <w:rFonts w:hint="eastAsia" w:ascii="宋体" w:hAnsi="宋体" w:eastAsia="宋体" w:cs="宋体"/>
          <w:color w:val="000000" w:themeColor="text1"/>
          <w:spacing w:val="-4"/>
          <w:kern w:val="0"/>
          <w:sz w:val="28"/>
          <w:szCs w:val="28"/>
          <w14:textFill>
            <w14:solidFill>
              <w14:schemeClr w14:val="tx1"/>
            </w14:solidFill>
          </w14:textFill>
        </w:rPr>
        <w:t>五、磋商</w:t>
      </w:r>
      <w:bookmarkEnd w:id="9"/>
      <w:bookmarkEnd w:id="10"/>
    </w:p>
    <w:p w14:paraId="7EA5377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2、磋商仪式</w:t>
      </w:r>
    </w:p>
    <w:p w14:paraId="1D02A3B3">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w:t>
      </w:r>
    </w:p>
    <w:p w14:paraId="28EC1667">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3、磋商小组</w:t>
      </w:r>
    </w:p>
    <w:p w14:paraId="7132DB21">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采购代理机构根据采购项目的特点依法组建磋商小组。磋商小组由采购人代表和有关技术、经济等方面的专家组成，成员为</w:t>
      </w:r>
      <w:r>
        <w:rPr>
          <w:rFonts w:ascii="宋体" w:hAnsi="宋体" w:eastAsia="宋体" w:cs="宋体"/>
          <w:color w:val="000000" w:themeColor="text1"/>
          <w:spacing w:val="-4"/>
          <w:kern w:val="0"/>
          <w:sz w:val="28"/>
          <w:szCs w:val="28"/>
          <w14:textFill>
            <w14:solidFill>
              <w14:schemeClr w14:val="tx1"/>
            </w14:solidFill>
          </w14:textFill>
        </w:rPr>
        <w:t xml:space="preserve"> 3 </w:t>
      </w:r>
      <w:r>
        <w:rPr>
          <w:rFonts w:hint="eastAsia" w:ascii="宋体" w:hAnsi="宋体" w:eastAsia="宋体" w:cs="宋体"/>
          <w:color w:val="000000" w:themeColor="text1"/>
          <w:spacing w:val="-4"/>
          <w:kern w:val="0"/>
          <w:sz w:val="28"/>
          <w:szCs w:val="28"/>
          <w14:textFill>
            <w14:solidFill>
              <w14:schemeClr w14:val="tx1"/>
            </w14:solidFill>
          </w14:textFill>
        </w:rPr>
        <w:t>人。其中：技术、经济等方面的专家</w:t>
      </w:r>
      <w:r>
        <w:rPr>
          <w:rFonts w:ascii="宋体" w:hAnsi="宋体" w:eastAsia="宋体" w:cs="宋体"/>
          <w:color w:val="000000" w:themeColor="text1"/>
          <w:spacing w:val="-4"/>
          <w:kern w:val="0"/>
          <w:sz w:val="28"/>
          <w:szCs w:val="28"/>
          <w14:textFill>
            <w14:solidFill>
              <w14:schemeClr w14:val="tx1"/>
            </w14:solidFill>
          </w14:textFill>
        </w:rPr>
        <w:t xml:space="preserve"> 2 </w:t>
      </w:r>
      <w:r>
        <w:rPr>
          <w:rFonts w:hint="eastAsia" w:ascii="宋体" w:hAnsi="宋体" w:eastAsia="宋体" w:cs="宋体"/>
          <w:color w:val="000000" w:themeColor="text1"/>
          <w:spacing w:val="-4"/>
          <w:kern w:val="0"/>
          <w:sz w:val="28"/>
          <w:szCs w:val="28"/>
          <w14:textFill>
            <w14:solidFill>
              <w14:schemeClr w14:val="tx1"/>
            </w14:solidFill>
          </w14:textFill>
        </w:rPr>
        <w:t>名，采购人代表</w:t>
      </w:r>
      <w:r>
        <w:rPr>
          <w:rFonts w:ascii="宋体" w:hAnsi="宋体" w:eastAsia="宋体" w:cs="宋体"/>
          <w:color w:val="000000" w:themeColor="text1"/>
          <w:spacing w:val="-4"/>
          <w:kern w:val="0"/>
          <w:sz w:val="28"/>
          <w:szCs w:val="28"/>
          <w14:textFill>
            <w14:solidFill>
              <w14:schemeClr w14:val="tx1"/>
            </w14:solidFill>
          </w14:textFill>
        </w:rPr>
        <w:t xml:space="preserve"> 1 </w:t>
      </w:r>
      <w:r>
        <w:rPr>
          <w:rFonts w:hint="eastAsia" w:ascii="宋体" w:hAnsi="宋体" w:eastAsia="宋体" w:cs="宋体"/>
          <w:color w:val="000000" w:themeColor="text1"/>
          <w:spacing w:val="-4"/>
          <w:kern w:val="0"/>
          <w:sz w:val="28"/>
          <w:szCs w:val="28"/>
          <w14:textFill>
            <w14:solidFill>
              <w14:schemeClr w14:val="tx1"/>
            </w14:solidFill>
          </w14:textFill>
        </w:rPr>
        <w:t>名。采购人代表不得担任磋商小组组长。</w:t>
      </w:r>
    </w:p>
    <w:p w14:paraId="6915CE07">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4、磋商工作纪律及保密</w:t>
      </w:r>
    </w:p>
    <w:p w14:paraId="43A3653E">
      <w:pPr>
        <w:autoSpaceDE w:val="0"/>
        <w:autoSpaceDN w:val="0"/>
        <w:adjustRightInd w:val="0"/>
        <w:spacing w:before="32" w:line="360" w:lineRule="auto"/>
        <w:ind w:right="-58"/>
        <w:rPr>
          <w:rFonts w:ascii="宋体" w:hAnsi="Calibri"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评审专家应当遵守评审工作纪律，不得泄露评审情况和评审中获悉的商业秘密。</w:t>
      </w:r>
    </w:p>
    <w:p w14:paraId="14E1EC0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5、磋商小组工作原则</w:t>
      </w:r>
    </w:p>
    <w:p w14:paraId="4D55E9A8">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8062F8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6、响应文件审查</w:t>
      </w:r>
    </w:p>
    <w:p w14:paraId="375E8E1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66902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7、供应商澄清</w:t>
      </w:r>
    </w:p>
    <w:p w14:paraId="00B4875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磋商小组要求供应商澄清、说明或者更正响应文件将在电子系统作出。</w:t>
      </w:r>
    </w:p>
    <w:p w14:paraId="50042384">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8、磋商程序、最后报价、综合评分</w:t>
      </w:r>
    </w:p>
    <w:p w14:paraId="03F7A00E">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磋商小组所有成员应当集中与单一供应商分别进行磋商，并给予所有参加磋商的供应商平等的磋商机会。</w:t>
      </w:r>
    </w:p>
    <w:p w14:paraId="098851B7">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3CAF857B">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磋商文件能够详细列明采购的的技术、服务要求的，磋商结束后，磋商小组将要求所有实质性响应的供应商提交最后报价。最后报价是供应商响应文件的有效组成部分。</w:t>
      </w:r>
    </w:p>
    <w:p w14:paraId="31AB0C77">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已提交响应文件的供应商，在提交最后报价之前，可以根据情况退出磋商。</w:t>
      </w:r>
    </w:p>
    <w:p w14:paraId="30284B3E">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0E3A09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评审时，磋商小组各成员独立对每个有效响应的文件进行评价、打分，然后汇总每个供应商每项评分因素的得分。</w:t>
      </w:r>
    </w:p>
    <w:p w14:paraId="7B072882">
      <w:pPr>
        <w:autoSpaceDE w:val="0"/>
        <w:autoSpaceDN w:val="0"/>
        <w:adjustRightInd w:val="0"/>
        <w:spacing w:before="32" w:line="360" w:lineRule="auto"/>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0D8F0F00">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出现下列情形之一的，将终止竞争性磋商采购活动，发布项目终止公告并说明原因，重新开展采购活动：</w:t>
      </w:r>
    </w:p>
    <w:p w14:paraId="6617CCF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、不符合法律、法规和竞争性磋商文件中规定的其他实质性要求的</w:t>
      </w:r>
    </w:p>
    <w:p w14:paraId="3601FEF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、其他法律、法规及本竞争性磋商文件规定的属响应无效的情形。终止竞争性磋商采购活动的条款</w:t>
      </w:r>
    </w:p>
    <w:p w14:paraId="72E63408">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、因情况变化，不再符合规定的竞争性磋商采购方式适用情形的；出现影响采购公正的违法、违规行为的；</w:t>
      </w:r>
    </w:p>
    <w:p w14:paraId="6299B81C">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11" w:name="_Toc518571708"/>
      <w:bookmarkStart w:id="12" w:name="_Toc109675038"/>
      <w:r>
        <w:rPr>
          <w:rFonts w:hint="eastAsia" w:ascii="宋体" w:hAnsi="宋体" w:eastAsia="宋体" w:cs="宋体"/>
          <w:color w:val="000000" w:themeColor="text1"/>
          <w:spacing w:val="-4"/>
          <w:kern w:val="0"/>
          <w:sz w:val="28"/>
          <w:szCs w:val="28"/>
          <w14:textFill>
            <w14:solidFill>
              <w14:schemeClr w14:val="tx1"/>
            </w14:solidFill>
          </w14:textFill>
        </w:rPr>
        <w:t>六、确定成交</w:t>
      </w:r>
      <w:bookmarkEnd w:id="11"/>
      <w:bookmarkEnd w:id="12"/>
    </w:p>
    <w:p w14:paraId="59D11BBC">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采购人在收到评审报告后2个工作日内，从评审报告提出的成交候选供应商中，按照排序由高到低的原则确定成交供应商。</w:t>
      </w:r>
    </w:p>
    <w:p w14:paraId="5CE28EF4">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13" w:name="_Toc109675039"/>
      <w:bookmarkStart w:id="14" w:name="_Toc518571709"/>
      <w:r>
        <w:rPr>
          <w:rFonts w:hint="eastAsia" w:ascii="宋体" w:hAnsi="宋体" w:eastAsia="宋体" w:cs="宋体"/>
          <w:color w:val="000000" w:themeColor="text1"/>
          <w:spacing w:val="-4"/>
          <w:kern w:val="0"/>
          <w:sz w:val="28"/>
          <w:szCs w:val="28"/>
          <w14:textFill>
            <w14:solidFill>
              <w14:schemeClr w14:val="tx1"/>
            </w14:solidFill>
          </w14:textFill>
        </w:rPr>
        <w:t>七、授予合同</w:t>
      </w:r>
      <w:bookmarkEnd w:id="13"/>
      <w:bookmarkEnd w:id="14"/>
    </w:p>
    <w:p w14:paraId="332EBF2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5AC69E03">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6BA52867">
      <w:pPr>
        <w:autoSpaceDE w:val="0"/>
        <w:autoSpaceDN w:val="0"/>
        <w:adjustRightInd w:val="0"/>
        <w:spacing w:before="32" w:line="360" w:lineRule="auto"/>
        <w:ind w:right="-58"/>
        <w:rPr>
          <w:rFonts w:hint="eastAsia" w:eastAsia="宋体"/>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pacing w:val="-4"/>
          <w:kern w:val="0"/>
          <w:sz w:val="28"/>
          <w:szCs w:val="28"/>
          <w14:textFill>
            <w14:solidFill>
              <w14:schemeClr w14:val="tx1"/>
            </w14:solidFill>
          </w14:textFill>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采购。</w:t>
      </w:r>
    </w:p>
    <w:p w14:paraId="695F8238">
      <w:pPr>
        <w:keepNext/>
        <w:keepLines/>
        <w:numPr>
          <w:ilvl w:val="0"/>
          <w:numId w:val="2"/>
        </w:numPr>
        <w:spacing w:before="240" w:after="200"/>
        <w:ind w:left="1594" w:leftChars="759" w:firstLine="173"/>
        <w:jc w:val="left"/>
        <w:outlineLvl w:val="0"/>
        <w:rPr>
          <w:rFonts w:hint="eastAsia" w:ascii="宋体" w:hAnsi="宋体" w:eastAsia="宋体" w:cs="Times New Roman"/>
          <w:b/>
          <w:color w:val="000000" w:themeColor="text1"/>
          <w:sz w:val="36"/>
          <w:szCs w:val="36"/>
          <w14:textFill>
            <w14:solidFill>
              <w14:schemeClr w14:val="tx1"/>
            </w14:solidFill>
          </w14:textFill>
        </w:rPr>
      </w:pPr>
      <w:bookmarkStart w:id="15" w:name="_Toc522547233"/>
      <w:r>
        <w:rPr>
          <w:rFonts w:hint="eastAsia" w:ascii="宋体" w:hAnsi="宋体" w:eastAsia="宋体" w:cs="黑体"/>
          <w:b/>
          <w:color w:val="000000" w:themeColor="text1"/>
          <w:w w:val="97"/>
          <w:kern w:val="0"/>
          <w:sz w:val="36"/>
          <w:szCs w:val="36"/>
          <w:lang w:val="en-US" w:eastAsia="zh-CN"/>
          <w14:textFill>
            <w14:solidFill>
              <w14:schemeClr w14:val="tx1"/>
            </w14:solidFill>
          </w14:textFill>
        </w:rPr>
        <w:t>服务</w:t>
      </w:r>
      <w:r>
        <w:rPr>
          <w:rFonts w:hint="eastAsia" w:ascii="宋体" w:hAnsi="宋体" w:eastAsia="宋体" w:cs="黑体"/>
          <w:b/>
          <w:color w:val="000000" w:themeColor="text1"/>
          <w:w w:val="97"/>
          <w:kern w:val="0"/>
          <w:sz w:val="36"/>
          <w:szCs w:val="36"/>
          <w14:textFill>
            <w14:solidFill>
              <w14:schemeClr w14:val="tx1"/>
            </w14:solidFill>
          </w14:textFill>
        </w:rPr>
        <w:t>内容及要求</w:t>
      </w:r>
    </w:p>
    <w:p w14:paraId="58082376">
      <w:pPr>
        <w:jc w:val="center"/>
        <w:rPr>
          <w:rFonts w:hint="eastAsia"/>
          <w:sz w:val="24"/>
          <w:szCs w:val="32"/>
          <w:lang w:eastAsia="zh-CN"/>
        </w:rPr>
      </w:pPr>
      <w:r>
        <w:rPr>
          <w:rFonts w:hint="eastAsia"/>
          <w:sz w:val="24"/>
          <w:szCs w:val="32"/>
        </w:rPr>
        <w:t>三门峡市中心医院病理科外送检测项目控制价</w:t>
      </w:r>
      <w:r>
        <w:rPr>
          <w:rFonts w:hint="eastAsia"/>
          <w:sz w:val="24"/>
          <w:szCs w:val="32"/>
          <w:lang w:eastAsia="zh-CN"/>
        </w:rPr>
        <w:t>（</w:t>
      </w:r>
      <w:r>
        <w:rPr>
          <w:rFonts w:hint="eastAsia"/>
          <w:sz w:val="24"/>
          <w:szCs w:val="32"/>
          <w:lang w:val="en-US" w:eastAsia="zh-CN"/>
        </w:rPr>
        <w:t>一标段</w:t>
      </w:r>
      <w:r>
        <w:rPr>
          <w:rFonts w:hint="eastAsia"/>
          <w:sz w:val="24"/>
          <w:szCs w:val="32"/>
          <w:lang w:eastAsia="zh-CN"/>
        </w:rPr>
        <w:t>）</w:t>
      </w:r>
    </w:p>
    <w:tbl>
      <w:tblPr>
        <w:tblStyle w:val="12"/>
        <w:tblW w:w="9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882"/>
        <w:gridCol w:w="2875"/>
        <w:gridCol w:w="970"/>
        <w:gridCol w:w="1476"/>
        <w:gridCol w:w="1082"/>
        <w:gridCol w:w="1645"/>
      </w:tblGrid>
      <w:tr w14:paraId="2130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3A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包段</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10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组合名称</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EE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检测项目名称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94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方法学</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90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出报告时间</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7A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价格（元）</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F8A9">
            <w:pPr>
              <w:keepNext w:val="0"/>
              <w:keepLines w:val="0"/>
              <w:widowControl/>
              <w:suppressLineNumbers w:val="0"/>
              <w:jc w:val="center"/>
              <w:textAlignment w:val="center"/>
              <w:rPr>
                <w:rFonts w:hint="default"/>
                <w:lang w:val="en-US" w:eastAsia="zh-CN"/>
              </w:rPr>
            </w:pPr>
            <w:r>
              <w:rPr>
                <w:rFonts w:hint="eastAsia" w:ascii="宋体" w:hAnsi="宋体" w:cs="宋体"/>
                <w:b/>
                <w:bCs/>
                <w:i w:val="0"/>
                <w:iCs w:val="0"/>
                <w:color w:val="000000"/>
                <w:kern w:val="0"/>
                <w:sz w:val="20"/>
                <w:szCs w:val="20"/>
                <w:u w:val="none"/>
                <w:lang w:val="en-US" w:eastAsia="zh-CN" w:bidi="ar"/>
              </w:rPr>
              <w:t>备注</w:t>
            </w:r>
          </w:p>
        </w:tc>
      </w:tr>
      <w:tr w14:paraId="7CAB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3E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一标段</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49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疑难病理会诊</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D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疑难病理专家远程会诊（省级及以上专家团队）</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2E5F">
            <w:pPr>
              <w:jc w:val="center"/>
              <w:rPr>
                <w:rFonts w:hint="eastAsia" w:ascii="宋体" w:hAnsi="宋体" w:eastAsia="宋体" w:cs="宋体"/>
                <w:i w:val="0"/>
                <w:iCs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0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E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1C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270800006（30）*4,270800007（129）*1，11100000402（200）*1</w:t>
            </w:r>
          </w:p>
        </w:tc>
      </w:tr>
      <w:tr w14:paraId="3949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D98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0EAE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C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免疫组织化学检测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B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免疫组织化学法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5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5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27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270500002（140）*1，2705000020（96）*1</w:t>
            </w:r>
          </w:p>
        </w:tc>
      </w:tr>
      <w:tr w14:paraId="5BED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63A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6C8B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8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肺癌NCCN指南基因检测(NGS)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7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6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4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E6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6921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8CB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179A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B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肺癌靶向基因检测14基因（NGS）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E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5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9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52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250308011（390）*20</w:t>
            </w:r>
          </w:p>
        </w:tc>
      </w:tr>
      <w:tr w14:paraId="2362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C6B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D67E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C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非小细胞肺癌组织TMB检测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1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3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F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08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44F25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B90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BF03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8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肺癌用药指导(靶向+化疗+耐药)套餐139基因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B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F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7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BE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1209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572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7A3A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2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结直肠靶向基因检测15基因（NGS）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1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8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2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1A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250308011（390）*20</w:t>
            </w:r>
          </w:p>
        </w:tc>
      </w:tr>
      <w:tr w14:paraId="0630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A74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D7AC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5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结直肠癌靶向基因检测95基因（NGS）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0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E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F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A5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6FFE7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662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0FEE1">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3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肠癌52基因检测(NGS)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0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C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5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1D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17D8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1AB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9DC89">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E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肝胆肿瘤59基因套餐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6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0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A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D3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5C17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4DB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2EC2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A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实体瘤泛癌种基因检测(NGS)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0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7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D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AD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7950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07C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AE13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C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乳腺癌21基因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0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F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5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F8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250308011（390）*19</w:t>
            </w:r>
          </w:p>
        </w:tc>
      </w:tr>
      <w:tr w14:paraId="1598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522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753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C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乳腺癌PAM50 Plus基因检测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A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9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C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A0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4EED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3A9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29E5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0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子宫内膜癌分子诊断套餐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F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E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2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54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250308011（390）*23</w:t>
            </w:r>
          </w:p>
        </w:tc>
      </w:tr>
      <w:tr w14:paraId="38A5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73E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74D5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1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妇科肿瘤70基因检测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4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B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D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93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0976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CB9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CA71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8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胃癌60基因检测套餐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D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7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A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BC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6DF7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E51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045C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1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食道癌58基因检测套餐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4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F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F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B0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6C48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698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AB16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D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肝癌胆管癌靶向药物免疫药物全指导套餐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B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8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D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39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7334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E3F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4FEA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E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胰腺癌靶向药物免疫药物全指导套餐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E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3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B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3F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250308011（390）*51</w:t>
            </w:r>
          </w:p>
        </w:tc>
      </w:tr>
      <w:tr w14:paraId="7762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E11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77B2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3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肾癌88基因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2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A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9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A9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3573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07D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AFB6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3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尿路上皮癌88基因套餐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B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A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8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96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6FE3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41A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DD6F9">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E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前列腺癌88基因套餐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9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A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0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01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2942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295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50EF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4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泌尿肿瘤42基因套餐（体系+胚系版）</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F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D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1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20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250308011（390）*31</w:t>
            </w:r>
          </w:p>
        </w:tc>
      </w:tr>
      <w:tr w14:paraId="49041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104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EC0A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3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卵巢癌80基因套餐（卵巢癌、输卵管癌、原发腹膜癌）</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D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6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1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D9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1D19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B9E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583E9">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C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胃肠间质瘤47基因套餐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F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8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4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C3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0922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099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9016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9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胰腺癌56基因套餐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4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0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4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71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0824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D51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E69D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6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泌尿系统肿瘤61基因套餐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E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6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2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6D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4F237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422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DA3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C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前列腺癌69基因套餐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C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5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D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4F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00C2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EF1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E5BC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3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黑色素肿瘤82基因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C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8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6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F4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323E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3A0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72DC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A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黑色素瘤52基因套餐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4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3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B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02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1A17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A33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6BED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D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脑胶质瘤8项</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9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E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A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C4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250308011（390）*16</w:t>
            </w:r>
          </w:p>
        </w:tc>
      </w:tr>
      <w:tr w14:paraId="61FF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285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EEB4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6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脑胶质瘤12项套餐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0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1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0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1A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1417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460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86CA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B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神经系统肿瘤143基因套餐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3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C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B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CF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09AE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0E4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32C6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1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神经系统肿瘤535基因套餐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6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5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A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F6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250308011（390）*51</w:t>
            </w:r>
          </w:p>
        </w:tc>
      </w:tr>
      <w:tr w14:paraId="2E55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C3B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2D44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5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甲状腺54基因套餐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8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8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6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7B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02D1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7BB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B37D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C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BRCA1/2基因检测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9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1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6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A8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4199E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253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4D58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6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实体瘤放疗486基因套餐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D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A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F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61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00BB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547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E6F3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D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实体瘤117融合相关基因套餐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2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0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8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24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250308011（390）*20</w:t>
            </w:r>
          </w:p>
        </w:tc>
      </w:tr>
      <w:tr w14:paraId="0F91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55C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4C2E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5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血液肿瘤475基因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3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E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7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00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250308011（390）*51</w:t>
            </w:r>
          </w:p>
        </w:tc>
      </w:tr>
      <w:tr w14:paraId="265B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B5A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597C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D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B细胞淋巴瘤121基因检测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E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D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C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91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55DD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811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3630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8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T细胞淋巴瘤103基因检测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A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8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5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21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6529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C92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2987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D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肉瘤129基因检测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8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3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5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2E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6C13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BE4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7427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0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肉瘤506基因DNA检测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7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4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8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EC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6C5CC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2F1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C929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C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肉瘤201靶向RNA基因检测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1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B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3A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4912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74D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9131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A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男性遗传123基因套餐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8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6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A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E6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41E2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FDA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66B3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D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女性遗传127基因套餐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6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4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2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43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7082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691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46D1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B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泛癌肿早筛检测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E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B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8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2E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250308011（390）*14</w:t>
            </w:r>
          </w:p>
        </w:tc>
      </w:tr>
      <w:tr w14:paraId="311C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521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BCEB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2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头颈部肿瘤82基因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A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9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7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92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057BE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CE9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FFE3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8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甲状腺7基因套餐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6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D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F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C1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250308011（390）*9</w:t>
            </w:r>
          </w:p>
        </w:tc>
      </w:tr>
      <w:tr w14:paraId="1076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CA7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BC28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C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非小细胞肺癌靶向治疗（易瑞沙、特罗凯等）</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6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E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E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E4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s250700006（162）*15</w:t>
            </w:r>
          </w:p>
        </w:tc>
      </w:tr>
      <w:tr w14:paraId="08DB1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8AE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2523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8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非小细胞肺癌靶向治疗（奥希替尼）</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3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8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B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35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s250700006（162）*17</w:t>
            </w:r>
          </w:p>
        </w:tc>
      </w:tr>
      <w:tr w14:paraId="71BD9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793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BAE3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2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非小细胞肺癌靶向治疗（克唑替尼）</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B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7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B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6C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s250700006（162）*17</w:t>
            </w:r>
          </w:p>
        </w:tc>
      </w:tr>
      <w:tr w14:paraId="3DDBC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D15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D539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C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非小细胞肺癌靶向治疗（易瑞沙、特罗凯、克唑替尼等）</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9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F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9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5508</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6F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s250700006（162）*34</w:t>
            </w:r>
          </w:p>
        </w:tc>
      </w:tr>
      <w:tr w14:paraId="37DC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11F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8373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8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NCCN指南肺癌核心基因检测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0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1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B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9882</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79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s250700006（162）*61</w:t>
            </w:r>
          </w:p>
        </w:tc>
      </w:tr>
      <w:tr w14:paraId="5926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F9E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B205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5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NCCN指南结直肠核心基因检测（KRAS、NRAS、BRAF、MSI）</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8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F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9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64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s250700006（162）*52</w:t>
            </w:r>
          </w:p>
        </w:tc>
      </w:tr>
      <w:tr w14:paraId="4269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142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62BF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6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结直肠靶向基因检测（爱必妥/帕尼单抗）</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D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0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9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16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s250700006（162）*17</w:t>
            </w:r>
          </w:p>
        </w:tc>
      </w:tr>
      <w:tr w14:paraId="6A597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78C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879B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A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结直肠癌靶向基因检测（KRAS/NRAS）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5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1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5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BE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s250700006（162）*17</w:t>
            </w:r>
          </w:p>
        </w:tc>
      </w:tr>
      <w:tr w14:paraId="5E5C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276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4248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D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甲状腺乳头状癌检测（维罗非尼）</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9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C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9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FC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w:t>
            </w:r>
          </w:p>
        </w:tc>
      </w:tr>
      <w:tr w14:paraId="01BC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564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5FE5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EC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微卫星不稳定检测(MSI)</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18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33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A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C4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s250700006（162）*22</w:t>
            </w:r>
          </w:p>
        </w:tc>
      </w:tr>
      <w:tr w14:paraId="51CF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13E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42A2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E5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C-kit基因突变检测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7F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B5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E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28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193D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8C7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D3B0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C0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PDGFRa基因突变检测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55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4F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1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C0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73A6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A80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E849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47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DICER1基因突变检测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B8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07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9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95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77F46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1EF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2B63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B1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FOXL2基因突变检测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E2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82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1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D7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2F8A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F98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6C77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0F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H3F3A K27M突变检测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61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9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E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C8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59AD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873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807B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14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HER2基因第20外显子插入突变</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D8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98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7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63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3881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26D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0750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5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IDH1/IDH2基因突变检测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52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4B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D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2A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654AB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205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7266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90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MET基因第14外显子跳跃突变</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3F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0C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6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3C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7B91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EB6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158C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A5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MyD88 L265P突变检测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78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37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C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1B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007B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CEA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6E57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3C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P53基因4个外显子突变检测(sanger测序)</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1E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A6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5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E6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17010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9F6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EBB9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3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TERT启动子突变检测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B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C3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5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51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6156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43C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076C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27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UGT1A1*28(伊立替康用药）</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A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E7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4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3F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w:t>
            </w:r>
          </w:p>
        </w:tc>
      </w:tr>
      <w:tr w14:paraId="4A1A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3E9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7E68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E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UGT1A1*6(伊立替康用药）</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CF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8A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6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FF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7EFA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FAD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29B7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D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B-catenin(E3)基因突变检测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C8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1B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5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B6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514C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CB7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0A17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66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微卫星不稳定检测(MSI)</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D9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89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5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0E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6236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706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AA54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AF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胃肠道间质瘤基因突变检测(C-kit/PDGFRa)</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F6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1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2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EE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250308011（390）*16</w:t>
            </w:r>
          </w:p>
        </w:tc>
      </w:tr>
      <w:tr w14:paraId="3CB0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766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F943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A6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雌激素受体1(ESR1)突变检测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00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7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1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2A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2AD9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442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EFF0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C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基因重排(IGH/IGK)</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87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91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E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B5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4E85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49F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FC10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4A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基因重排(TCR)</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A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3F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5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B1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54CE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25D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40AE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CF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葡萄胎STR分子分型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87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E9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9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44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250308011（390）*10</w:t>
            </w:r>
          </w:p>
        </w:tc>
      </w:tr>
      <w:tr w14:paraId="54A3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F57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D612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3B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结直肠癌PIK3CA基因突变检测(sanger测序）</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1B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8E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1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D4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w:t>
            </w:r>
          </w:p>
        </w:tc>
      </w:tr>
      <w:tr w14:paraId="10EE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EC9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ADCF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DC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SDHB基因外显子测序分析(外显子1-8）</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C7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4A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7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67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250308011（390）*9</w:t>
            </w:r>
          </w:p>
        </w:tc>
      </w:tr>
      <w:tr w14:paraId="14A4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69A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678F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24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子宫内膜癌分子分型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A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B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6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AD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250308011（390）*16</w:t>
            </w:r>
          </w:p>
        </w:tc>
      </w:tr>
      <w:tr w14:paraId="1A68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860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57E0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A4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POLE基因突变检测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A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35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C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DD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7AEB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51C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220C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4C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延胡索酸水合酶(FH)</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A4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1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8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04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6521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B60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B8C9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0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ITK/SYK（融）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A9A198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C0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7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5C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A57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C64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B8AA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E1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C-myc/IGH（融）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6DA97C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7D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3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44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5D1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B9C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0563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15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IGH/CCND1（融）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9F8BCB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4E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D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97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B03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5ED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5253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1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AP12/MALT1（融）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A55727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C2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3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C1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3C1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60D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47B6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2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MALT1（断）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BFD3E3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56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A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88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698F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300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5786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8F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Bcl2（断）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6FAA15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59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0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86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693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ADF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ACBC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6F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Bcl6（断）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13EB06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A5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E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16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6B9A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8AF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EEB8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06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IGH（断）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7386B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15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0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09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281A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A03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CAA8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8D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BCR/ABL（融）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995B0B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A0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D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08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9FF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085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CD91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67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11q23.3扩增及11q24.3（缺）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D1602D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94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2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B0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1A8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57C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C50F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6A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RB1(13q14)（缺）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21E181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3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F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57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F02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4B9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7913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66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Y染色体计数探针</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B87A72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F3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A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E1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2150D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0D2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B4D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C7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CCND1（断）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8477F5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D3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B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21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1F9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32C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DCCE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4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IRF4（断）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73F8ED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F4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0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92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F75E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3CE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8E49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0E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IGH/Bcl-2（融）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A55B8D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02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C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27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A2C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A23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9880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B1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Bcl-6（断）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8BC2A7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C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1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CD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0A1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DF1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8FB5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33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C-myc（断）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BD871B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F8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B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75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941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F9C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72FE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42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Bcl-2（断）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A05CC5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2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5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CA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709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29A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9C56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AD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CTNNB1（缺）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C87B3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0F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A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97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295F5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DA9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3EE6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DE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PAX3（断）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AFB36A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9A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3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73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164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6D8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2899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A5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BCOR/CCNB3（融）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84027B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52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A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7D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1B8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CCF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C97C9">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8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ASPSCR1/TFE3（融）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8CD517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59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6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C0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A2F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BA7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9B15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F5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MYB/NFIB（融）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E4D766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39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1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ED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EA1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555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438B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2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EWSR1/WT1（融）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CAE682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6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4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B1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1BF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E0C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4C97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B6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EWSR1/FLI1（融）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E545C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B3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E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26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E78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D67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0F88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C9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ETV6（断）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C0C945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23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A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D2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55B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AA6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FDEB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62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FKHR(FOXO1)（断）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8918BB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6E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0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5B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343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632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00DB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02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BCOR（Xp11.4）（断）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537F09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9D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A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26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841E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8DE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C47E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B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EWSR1/ATF1（融）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FAFBD5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0B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0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89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706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5AD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3C4E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AF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P16(CDKN2A)（缺）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ACE064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DF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C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1F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A2D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A17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990A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4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MYB（断）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83C27B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52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1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1C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130A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547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5C99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93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CHOP（断）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DD85BB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7F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F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81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740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E67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19121">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66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MAML2（断）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6BC6CB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0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8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21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422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DE8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D6C2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EE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CIC（断）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B0B807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58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0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1E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9FD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487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3A4E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8F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ETV6（断）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B6E2FA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AF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A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C3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240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453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6867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3C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PLAG1（断）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79D211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8E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6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16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DCE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1CD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FC6E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B8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COL1A1/PDGFB（融）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57FAFB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8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5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D7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071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442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2689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06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SYT（断）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196E28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6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5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3A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112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067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D483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B6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USP6（断）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0B1E2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A4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C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2D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EDC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DEF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D80F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03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EWSR1（断）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AE79A8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1C73BE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5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F8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D4E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887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DB71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F3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MDM2（扩）</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53E42A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C8B56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F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73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7A8A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774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CF36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AE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FUS（断）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4F824C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7A92F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0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02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371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F21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AF7E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E2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BRAF/KIAA1549（融）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150B2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B06B9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C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0C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235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813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F76B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0F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1P/19q（缺）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2C4952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3B18B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B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6E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2675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D97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8072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4B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N-MYC（扩）</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AC703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33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1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07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DD7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F78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ADBD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C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RELA(11q13)（断）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52E10B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D3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D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6C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9EA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1D0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92C2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CB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C19MC（扩）</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82F949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43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4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95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1E4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845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44B4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4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NUT（断）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05F07E3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E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1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CB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2CE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D4E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A913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7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SMARCB1（缺）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0E176A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3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9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23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5ACC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447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E24F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9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ALK（断）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1C50ED7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F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1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E9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10D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A30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8D80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2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膀胱癌细胞基因异常</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14ED13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E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3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B1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281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F12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9166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2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ROS1（断）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4C80550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A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A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21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86E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4FC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6ADB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BRAF(7q34)（断）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728AD9C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5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F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0B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E32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ED3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6790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8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C-MET基因扩增</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4ECA3C6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9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C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1D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6A1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481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660A1">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D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RET（断）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7B4BB50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9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6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28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EFD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4B6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A25F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6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TERC基因异常</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29D9348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1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1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23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7A2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046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A3CF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6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TOP2A基因异常</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458B78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E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5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A1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F16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3AC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314A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7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17号染色体计数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4C156C3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7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1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34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93A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BD0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F11B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4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7号染色体计数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0B2B4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0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4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B1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CA1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ECC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6AED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C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3号染色体计数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342F31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6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E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95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8D6C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A84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791D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6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EGR/TMPRSS2/ETV1/ETV4基因异常</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660E1EE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B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F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A5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BB1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BC3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4164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8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ETV6/NTRK3（融）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1C7AE5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3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6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74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5C7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827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BEDB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0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63647C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8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0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87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952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E74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BEB1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1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TFB(6p21)（断）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077535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0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5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77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D0A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F96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66AD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6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TFE3（断）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0F2C8AD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A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5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FB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BEA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44E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4BD9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2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EGFR（扩）</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04A2100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C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6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D0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862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24D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C716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5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NTRK1/NTRK2/NTRK3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BA9D24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0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1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79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2E5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0E4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61B8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4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Her-2荧光原位杂交</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D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5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D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41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26BA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69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CB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C2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727459</w:t>
            </w:r>
          </w:p>
        </w:tc>
      </w:tr>
      <w:tr w14:paraId="01B77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69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81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折扣率：</w:t>
            </w: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B5C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w:t>
            </w:r>
          </w:p>
        </w:tc>
      </w:tr>
    </w:tbl>
    <w:p w14:paraId="1D6A718D">
      <w:pPr>
        <w:pStyle w:val="10"/>
        <w:rPr>
          <w:rFonts w:hint="eastAsia" w:ascii="宋体" w:hAnsi="宋体" w:eastAsia="宋体" w:cs="Times New Roman"/>
          <w:b/>
          <w:color w:val="000000" w:themeColor="text1"/>
          <w:sz w:val="36"/>
          <w:szCs w:val="36"/>
          <w14:textFill>
            <w14:solidFill>
              <w14:schemeClr w14:val="tx1"/>
            </w14:solidFill>
          </w14:textFill>
        </w:rPr>
      </w:pPr>
    </w:p>
    <w:p w14:paraId="4E68885A">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3D8A3C3A">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58F3E2CB">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1C9DA184">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16035D1E">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31CE1656">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45D409CB">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0ECCC5DA">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796D17D2">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2F50E581">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4D4D8E3F">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5EB576CF">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27D6F161">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22140312">
      <w:pPr>
        <w:pStyle w:val="10"/>
        <w:rPr>
          <w:rFonts w:hint="eastAsia" w:ascii="宋体" w:hAnsi="宋体" w:eastAsia="宋体" w:cs="Times New Roman"/>
          <w:b/>
          <w:color w:val="000000" w:themeColor="text1"/>
          <w:sz w:val="36"/>
          <w:szCs w:val="36"/>
          <w14:textFill>
            <w14:solidFill>
              <w14:schemeClr w14:val="tx1"/>
            </w14:solidFill>
          </w14:textFill>
        </w:rPr>
      </w:pPr>
    </w:p>
    <w:p w14:paraId="52D9E12F">
      <w:pPr>
        <w:pStyle w:val="11"/>
        <w:ind w:left="0" w:leftChars="0" w:firstLine="0" w:firstLineChars="0"/>
        <w:jc w:val="center"/>
        <w:rPr>
          <w:rFonts w:hint="eastAsia"/>
          <w:sz w:val="24"/>
          <w:szCs w:val="32"/>
        </w:rPr>
      </w:pPr>
    </w:p>
    <w:p w14:paraId="62EE6C43">
      <w:pPr>
        <w:pStyle w:val="11"/>
        <w:ind w:left="0" w:leftChars="0" w:firstLine="0" w:firstLineChars="0"/>
        <w:jc w:val="center"/>
        <w:rPr>
          <w:rFonts w:hint="eastAsia"/>
          <w:sz w:val="24"/>
          <w:szCs w:val="32"/>
        </w:rPr>
      </w:pPr>
      <w:r>
        <w:rPr>
          <w:rFonts w:hint="eastAsia"/>
          <w:sz w:val="24"/>
          <w:szCs w:val="32"/>
        </w:rPr>
        <w:t>三门峡市中心医院病理科外送检测项目（二标段）控制价</w:t>
      </w:r>
    </w:p>
    <w:tbl>
      <w:tblPr>
        <w:tblStyle w:val="12"/>
        <w:tblW w:w="10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945"/>
        <w:gridCol w:w="3283"/>
        <w:gridCol w:w="1260"/>
        <w:gridCol w:w="1275"/>
        <w:gridCol w:w="1095"/>
        <w:gridCol w:w="1845"/>
      </w:tblGrid>
      <w:tr w14:paraId="34A1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13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包段</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B0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组合名称</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81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FB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方法学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6C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出报告时间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65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价格（元）</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7248">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14:paraId="4809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6A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二标段</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78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遗传相关检测项目</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A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全基因组测序（WGS）（二代测序）（一人）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5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9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D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64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250308011（390）*79</w:t>
            </w:r>
          </w:p>
        </w:tc>
      </w:tr>
      <w:tr w14:paraId="50F4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D429">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4911">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2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全基因组测序（WGS）（长度长测序）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3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5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0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06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250308011（390）*51</w:t>
            </w:r>
          </w:p>
        </w:tc>
      </w:tr>
      <w:tr w14:paraId="55E1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DEAC">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07DC8">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1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面肩肱型肌营养不良FSHD（OGM）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B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9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B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18330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D1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250308011（390）*47</w:t>
            </w:r>
          </w:p>
        </w:tc>
      </w:tr>
      <w:tr w14:paraId="6B23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5F2F">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BF984">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B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全外显子测序（WES）（一人）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C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5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4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DA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250308011（390）*14</w:t>
            </w:r>
          </w:p>
        </w:tc>
      </w:tr>
      <w:tr w14:paraId="5868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59F2">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DBA04">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0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全外显子测序（WES）（家系）</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B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3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2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DE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250308011（390）*34</w:t>
            </w:r>
          </w:p>
        </w:tc>
      </w:tr>
      <w:tr w14:paraId="4D050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A342">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02341">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F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染色体基因芯片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6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1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3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F6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3F22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895C">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127B4">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D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单系统检测Panel</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1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F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C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0C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2D30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DF15">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877C1">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9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全基因组染色体拷贝数检测（100K）</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5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8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4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B6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1E85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E09A">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C21B2">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D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遗传性肿瘤基因检测套餐</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A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3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E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EF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250308011（390）*31</w:t>
            </w:r>
          </w:p>
        </w:tc>
      </w:tr>
      <w:tr w14:paraId="0286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BF10">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543D0">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5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不孕不育</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E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F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4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87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250308011（390）*10</w:t>
            </w:r>
          </w:p>
        </w:tc>
      </w:tr>
      <w:tr w14:paraId="2B0D7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A562">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BE59A">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6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脊髓性肌萎缩症SMN1基因一代测序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1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6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4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2B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250308011（390）*4</w:t>
            </w:r>
          </w:p>
        </w:tc>
      </w:tr>
      <w:tr w14:paraId="37DB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0BC1">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37C63">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9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假肥大肌营养不良DMD（P034/P035）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9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7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1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E1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w:t>
            </w:r>
          </w:p>
        </w:tc>
      </w:tr>
      <w:tr w14:paraId="0866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5235">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5ED4C">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2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携带者筛查-扩展版486（一人）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9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5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3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3D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250308011（390）*9</w:t>
            </w:r>
          </w:p>
        </w:tc>
      </w:tr>
      <w:tr w14:paraId="7FD1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A7C7">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82B2F">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6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携带者筛查-扩展版486（二人）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B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1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6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5F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250308011（390）*14</w:t>
            </w:r>
          </w:p>
        </w:tc>
      </w:tr>
      <w:tr w14:paraId="227E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6844">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D1135">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9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新生儿（重症）筛查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6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D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2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85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1A82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AEEF">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F0645">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4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糖尿病全基因检测及内分泌相关罕见病基因检测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9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2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C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E1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250308011（390）*10</w:t>
            </w:r>
          </w:p>
        </w:tc>
      </w:tr>
      <w:tr w14:paraId="33EFC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FEDD">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863D9">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C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遗传性疾病基因检测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2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9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2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ED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250308011（390）*10</w:t>
            </w:r>
          </w:p>
        </w:tc>
      </w:tr>
      <w:tr w14:paraId="73F0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C0A6">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B1EEA">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5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线粒体环基因组（mtDNA）检测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E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C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C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6A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0DCD6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55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1B4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81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140400</w:t>
            </w:r>
          </w:p>
        </w:tc>
      </w:tr>
      <w:tr w14:paraId="683D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55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A98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折扣率：</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0FF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w:t>
            </w:r>
          </w:p>
        </w:tc>
      </w:tr>
    </w:tbl>
    <w:p w14:paraId="01F7D25E">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2DE5FA6F">
      <w:pPr>
        <w:pStyle w:val="11"/>
        <w:ind w:left="0" w:leftChars="0" w:firstLine="0" w:firstLineChars="0"/>
        <w:jc w:val="center"/>
        <w:rPr>
          <w:rFonts w:hint="eastAsia"/>
          <w:lang w:eastAsia="zh-CN"/>
        </w:rPr>
      </w:pPr>
      <w:r>
        <w:rPr>
          <w:rFonts w:hint="eastAsia"/>
          <w:lang w:eastAsia="zh-CN"/>
        </w:rPr>
        <w:t>三门峡市中心医院病理科外送检测项目（三标段）控制价</w:t>
      </w:r>
    </w:p>
    <w:tbl>
      <w:tblPr>
        <w:tblStyle w:val="12"/>
        <w:tblW w:w="106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945"/>
        <w:gridCol w:w="3058"/>
        <w:gridCol w:w="1200"/>
        <w:gridCol w:w="1395"/>
        <w:gridCol w:w="1035"/>
        <w:gridCol w:w="2175"/>
      </w:tblGrid>
      <w:tr w14:paraId="7B00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tcBorders>
              <w:top w:val="single" w:color="auto" w:sz="4" w:space="0"/>
              <w:left w:val="single" w:color="auto" w:sz="4" w:space="0"/>
              <w:bottom w:val="nil"/>
              <w:right w:val="single" w:color="auto" w:sz="4" w:space="0"/>
            </w:tcBorders>
            <w:shd w:val="clear" w:color="auto" w:fill="auto"/>
            <w:vAlign w:val="center"/>
          </w:tcPr>
          <w:p w14:paraId="7876F7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包段</w:t>
            </w:r>
          </w:p>
        </w:tc>
        <w:tc>
          <w:tcPr>
            <w:tcW w:w="945" w:type="dxa"/>
            <w:tcBorders>
              <w:top w:val="single" w:color="auto" w:sz="4" w:space="0"/>
              <w:left w:val="single" w:color="auto" w:sz="4" w:space="0"/>
              <w:bottom w:val="nil"/>
              <w:right w:val="single" w:color="auto" w:sz="4" w:space="0"/>
            </w:tcBorders>
            <w:shd w:val="clear" w:color="auto" w:fill="auto"/>
            <w:vAlign w:val="center"/>
          </w:tcPr>
          <w:p w14:paraId="56F830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组合名称</w:t>
            </w:r>
          </w:p>
        </w:tc>
        <w:tc>
          <w:tcPr>
            <w:tcW w:w="3058" w:type="dxa"/>
            <w:tcBorders>
              <w:top w:val="single" w:color="auto" w:sz="4" w:space="0"/>
              <w:left w:val="single" w:color="auto" w:sz="4" w:space="0"/>
              <w:bottom w:val="nil"/>
              <w:right w:val="single" w:color="auto" w:sz="4" w:space="0"/>
            </w:tcBorders>
            <w:shd w:val="clear" w:color="auto" w:fill="auto"/>
            <w:vAlign w:val="center"/>
          </w:tcPr>
          <w:p w14:paraId="353258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检测项目名称</w:t>
            </w:r>
          </w:p>
        </w:tc>
        <w:tc>
          <w:tcPr>
            <w:tcW w:w="1200" w:type="dxa"/>
            <w:tcBorders>
              <w:top w:val="single" w:color="auto" w:sz="4" w:space="0"/>
              <w:left w:val="single" w:color="auto" w:sz="4" w:space="0"/>
              <w:bottom w:val="nil"/>
              <w:right w:val="single" w:color="auto" w:sz="4" w:space="0"/>
            </w:tcBorders>
            <w:shd w:val="clear" w:color="auto" w:fill="auto"/>
            <w:vAlign w:val="center"/>
          </w:tcPr>
          <w:p w14:paraId="1A59E4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方法学</w:t>
            </w:r>
          </w:p>
        </w:tc>
        <w:tc>
          <w:tcPr>
            <w:tcW w:w="1395" w:type="dxa"/>
            <w:tcBorders>
              <w:top w:val="single" w:color="auto" w:sz="4" w:space="0"/>
              <w:left w:val="single" w:color="auto" w:sz="4" w:space="0"/>
              <w:bottom w:val="nil"/>
              <w:right w:val="single" w:color="auto" w:sz="4" w:space="0"/>
            </w:tcBorders>
            <w:shd w:val="clear" w:color="auto" w:fill="auto"/>
            <w:vAlign w:val="center"/>
          </w:tcPr>
          <w:p w14:paraId="64EBA0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出报告时间</w:t>
            </w:r>
          </w:p>
        </w:tc>
        <w:tc>
          <w:tcPr>
            <w:tcW w:w="1035" w:type="dxa"/>
            <w:tcBorders>
              <w:top w:val="single" w:color="auto" w:sz="4" w:space="0"/>
              <w:left w:val="single" w:color="auto" w:sz="4" w:space="0"/>
              <w:bottom w:val="nil"/>
              <w:right w:val="single" w:color="auto" w:sz="4" w:space="0"/>
            </w:tcBorders>
            <w:shd w:val="clear" w:color="auto" w:fill="auto"/>
            <w:vAlign w:val="center"/>
          </w:tcPr>
          <w:p w14:paraId="4E6C8C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价格（元）</w:t>
            </w:r>
          </w:p>
        </w:tc>
        <w:tc>
          <w:tcPr>
            <w:tcW w:w="2175" w:type="dxa"/>
            <w:tcBorders>
              <w:top w:val="single" w:color="auto" w:sz="4" w:space="0"/>
              <w:left w:val="single" w:color="auto" w:sz="4" w:space="0"/>
              <w:bottom w:val="nil"/>
              <w:right w:val="single" w:color="auto" w:sz="4" w:space="0"/>
            </w:tcBorders>
            <w:shd w:val="clear" w:color="auto" w:fill="auto"/>
            <w:vAlign w:val="center"/>
          </w:tcPr>
          <w:p w14:paraId="2E1C14ED">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14:paraId="4817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7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三标段</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99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肿瘤相关基因检测</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E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肺癌多基因检测（组织）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2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0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6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FE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250308011（390）*17</w:t>
            </w:r>
          </w:p>
        </w:tc>
      </w:tr>
      <w:tr w14:paraId="4D1CB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3DF0">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66B8F">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B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肺癌多基因检测（血液）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8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A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8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66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250308011（390）*19</w:t>
            </w:r>
          </w:p>
        </w:tc>
      </w:tr>
      <w:tr w14:paraId="4CD87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E5BE">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20083">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B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消化道肿瘤多基因检测（组织）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F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B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D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70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250308011（390）*17</w:t>
            </w:r>
          </w:p>
        </w:tc>
      </w:tr>
      <w:tr w14:paraId="34EE1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AA6D">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E20EB">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9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消化道肿瘤多基因检测（血液）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F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E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8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98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250308011（390）*19</w:t>
            </w:r>
          </w:p>
        </w:tc>
      </w:tr>
      <w:tr w14:paraId="2C873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47D9">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BD693">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6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甲状腺癌多基因检测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6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5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C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C9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250308011（390）*17</w:t>
            </w:r>
          </w:p>
        </w:tc>
      </w:tr>
      <w:tr w14:paraId="0D95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367B">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8C9C2">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C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子宫内膜癌分子分型检测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A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B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8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0C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7021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03B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D9976">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8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脑胶质瘤精准分型基因检测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D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5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6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75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440A9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E2A5">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31219">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F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乳腺癌21基因检测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7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0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9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62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（s250700006）162*33</w:t>
            </w:r>
          </w:p>
        </w:tc>
      </w:tr>
      <w:tr w14:paraId="2BF3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1956">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45144">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E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BRCA1/2基因检测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2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2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6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31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3D6DB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8EFE">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A16C0">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8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实体瘤综合遗传检测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5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7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F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58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250308011（390）*20</w:t>
            </w:r>
          </w:p>
        </w:tc>
      </w:tr>
      <w:tr w14:paraId="1B2F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0D8A">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A0652">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7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实体瘤多基因检测（组织）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8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C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6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22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250308011（390）*17</w:t>
            </w:r>
          </w:p>
        </w:tc>
      </w:tr>
      <w:tr w14:paraId="59CD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05E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F774C">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B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实体瘤多基因检测（血液）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5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9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5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EB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250308011（390）*19</w:t>
            </w:r>
          </w:p>
        </w:tc>
      </w:tr>
      <w:tr w14:paraId="145D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D489">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E1CF6">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C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同源重组缺陷（HRD）基因检测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4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9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0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E4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6A78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A70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EDCC8">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9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全外显子组测序分析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E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F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9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29640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BE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250308011（390）*76</w:t>
            </w:r>
          </w:p>
        </w:tc>
      </w:tr>
      <w:tr w14:paraId="6CA03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0428">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06CF0">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E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微卫星不稳定MSI检测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5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D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3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5E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（s250700006）162*21</w:t>
            </w:r>
          </w:p>
        </w:tc>
      </w:tr>
      <w:tr w14:paraId="642F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4FE3">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3BFD7">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D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3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2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D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12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4EE6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568B">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B1EAD">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F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食管癌相关基因甲基化检测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F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B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7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42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7C90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64D5">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BC47C">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C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B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F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7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58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5753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F654">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EFB34">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3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1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2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A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5C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35DB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0FEC">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4109E">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B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膀胱癌相关基因甲基化检测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4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6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D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0C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275E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8B2C">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87139">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0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卵巢癌相关基因甲基化检测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0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0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2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6A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7490D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73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39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6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137622</w:t>
            </w:r>
          </w:p>
        </w:tc>
      </w:tr>
      <w:tr w14:paraId="77E0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3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77A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折扣率：</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21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bl>
    <w:p w14:paraId="505CBA77">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30F2AEDF">
      <w:pPr>
        <w:pStyle w:val="11"/>
        <w:ind w:left="0" w:leftChars="0" w:firstLine="0" w:firstLineChars="0"/>
        <w:jc w:val="center"/>
        <w:rPr>
          <w:rFonts w:hint="eastAsia"/>
          <w:sz w:val="24"/>
          <w:szCs w:val="32"/>
        </w:rPr>
      </w:pPr>
      <w:r>
        <w:rPr>
          <w:rFonts w:hint="eastAsia"/>
          <w:sz w:val="24"/>
          <w:szCs w:val="32"/>
        </w:rPr>
        <w:t>三门峡市中心医院病理科外送检测项目（四标段）控制价</w:t>
      </w:r>
    </w:p>
    <w:tbl>
      <w:tblPr>
        <w:tblStyle w:val="12"/>
        <w:tblW w:w="103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945"/>
        <w:gridCol w:w="2953"/>
        <w:gridCol w:w="1230"/>
        <w:gridCol w:w="1365"/>
        <w:gridCol w:w="1170"/>
        <w:gridCol w:w="1875"/>
      </w:tblGrid>
      <w:tr w14:paraId="71AC8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nil"/>
              <w:right w:val="single" w:color="auto" w:sz="4" w:space="0"/>
            </w:tcBorders>
            <w:shd w:val="clear" w:color="auto" w:fill="auto"/>
            <w:vAlign w:val="center"/>
          </w:tcPr>
          <w:p w14:paraId="24C40B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包段</w:t>
            </w:r>
          </w:p>
        </w:tc>
        <w:tc>
          <w:tcPr>
            <w:tcW w:w="945" w:type="dxa"/>
            <w:tcBorders>
              <w:top w:val="single" w:color="auto" w:sz="4" w:space="0"/>
              <w:left w:val="single" w:color="auto" w:sz="4" w:space="0"/>
              <w:bottom w:val="nil"/>
              <w:right w:val="single" w:color="auto" w:sz="4" w:space="0"/>
            </w:tcBorders>
            <w:shd w:val="clear" w:color="auto" w:fill="auto"/>
            <w:vAlign w:val="center"/>
          </w:tcPr>
          <w:p w14:paraId="759090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组合名称</w:t>
            </w:r>
          </w:p>
        </w:tc>
        <w:tc>
          <w:tcPr>
            <w:tcW w:w="2953" w:type="dxa"/>
            <w:tcBorders>
              <w:top w:val="single" w:color="auto" w:sz="4" w:space="0"/>
              <w:left w:val="single" w:color="auto" w:sz="4" w:space="0"/>
              <w:bottom w:val="nil"/>
              <w:right w:val="single" w:color="auto" w:sz="4" w:space="0"/>
            </w:tcBorders>
            <w:shd w:val="clear" w:color="auto" w:fill="auto"/>
            <w:vAlign w:val="center"/>
          </w:tcPr>
          <w:p w14:paraId="33D5BC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检测项目名称</w:t>
            </w:r>
          </w:p>
        </w:tc>
        <w:tc>
          <w:tcPr>
            <w:tcW w:w="1230" w:type="dxa"/>
            <w:tcBorders>
              <w:top w:val="single" w:color="auto" w:sz="4" w:space="0"/>
              <w:left w:val="single" w:color="auto" w:sz="4" w:space="0"/>
              <w:bottom w:val="nil"/>
              <w:right w:val="single" w:color="auto" w:sz="4" w:space="0"/>
            </w:tcBorders>
            <w:shd w:val="clear" w:color="auto" w:fill="auto"/>
            <w:vAlign w:val="center"/>
          </w:tcPr>
          <w:p w14:paraId="3464B1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方法学</w:t>
            </w:r>
          </w:p>
        </w:tc>
        <w:tc>
          <w:tcPr>
            <w:tcW w:w="1365" w:type="dxa"/>
            <w:tcBorders>
              <w:top w:val="single" w:color="auto" w:sz="4" w:space="0"/>
              <w:left w:val="single" w:color="auto" w:sz="4" w:space="0"/>
              <w:bottom w:val="nil"/>
              <w:right w:val="single" w:color="auto" w:sz="4" w:space="0"/>
            </w:tcBorders>
            <w:shd w:val="clear" w:color="auto" w:fill="auto"/>
            <w:vAlign w:val="center"/>
          </w:tcPr>
          <w:p w14:paraId="70A729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出报告时间</w:t>
            </w:r>
          </w:p>
        </w:tc>
        <w:tc>
          <w:tcPr>
            <w:tcW w:w="1170" w:type="dxa"/>
            <w:tcBorders>
              <w:top w:val="single" w:color="auto" w:sz="4" w:space="0"/>
              <w:left w:val="single" w:color="auto" w:sz="4" w:space="0"/>
              <w:bottom w:val="nil"/>
              <w:right w:val="single" w:color="auto" w:sz="4" w:space="0"/>
            </w:tcBorders>
            <w:shd w:val="clear" w:color="auto" w:fill="auto"/>
            <w:vAlign w:val="center"/>
          </w:tcPr>
          <w:p w14:paraId="1E6325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价格（元）</w:t>
            </w:r>
          </w:p>
        </w:tc>
        <w:tc>
          <w:tcPr>
            <w:tcW w:w="1875" w:type="dxa"/>
            <w:tcBorders>
              <w:top w:val="single" w:color="auto" w:sz="4" w:space="0"/>
              <w:left w:val="single" w:color="auto" w:sz="4" w:space="0"/>
              <w:bottom w:val="nil"/>
              <w:right w:val="single" w:color="auto" w:sz="4" w:space="0"/>
            </w:tcBorders>
            <w:shd w:val="clear" w:color="auto" w:fill="auto"/>
            <w:vAlign w:val="center"/>
          </w:tcPr>
          <w:p w14:paraId="13E6E77F">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14:paraId="2E6F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3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四标段</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50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药物基因检测</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2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UGT1A1基因多态性检测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8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A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A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24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w:t>
            </w:r>
          </w:p>
        </w:tc>
      </w:tr>
      <w:tr w14:paraId="48BFF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13A8">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692E">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7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人CYP3A5基因分型检测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5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B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B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6F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59CD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0EF6">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4A587">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0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人CYP2D6*10基因分型检测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C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4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8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EE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01EF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E793">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1DECA">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F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人类 AGTR1、ACE、ADRB1、CYP2D6、CYP2C9基因检测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8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7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6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DE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（s250700006）162*8</w:t>
            </w:r>
          </w:p>
        </w:tc>
      </w:tr>
      <w:tr w14:paraId="687C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966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46244">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9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人ApoE基因多态性核酸检测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5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0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3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E6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2307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1AC6">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527A1">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8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人ALDH2基因多态性核酸检测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F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5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0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0B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4B0A6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5BBD">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B7E67">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5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人CYP2C9基因和VKORC1基因多态性核酸检测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2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7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7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FE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w:t>
            </w:r>
          </w:p>
        </w:tc>
      </w:tr>
      <w:tr w14:paraId="46CC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F36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F4AE1">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4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人CYP2C19基因多态性核酸检测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1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F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A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CD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w:t>
            </w:r>
          </w:p>
        </w:tc>
      </w:tr>
      <w:tr w14:paraId="18B8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3109">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9F709">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F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人SLCO1B1基因多态性核酸检测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C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4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2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31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3706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3A90">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5242">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D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人MTHFR基因多态性核酸检测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5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8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8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A9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130B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2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6EF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62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6642</w:t>
            </w:r>
          </w:p>
        </w:tc>
      </w:tr>
      <w:tr w14:paraId="25ED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2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7F7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折扣率：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5C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bl>
    <w:p w14:paraId="43F21BEA">
      <w:pPr>
        <w:pStyle w:val="10"/>
        <w:ind w:left="0" w:leftChars="0" w:firstLine="0" w:firstLineChars="0"/>
        <w:rPr>
          <w:rFonts w:hint="eastAsia" w:ascii="宋体" w:eastAsia="宋体" w:cs="Times New Roman"/>
          <w:b/>
          <w:color w:val="000000" w:themeColor="text1"/>
          <w:sz w:val="24"/>
          <w:szCs w:val="24"/>
          <w:lang w:val="en-US" w:eastAsia="zh-CN"/>
          <w14:textFill>
            <w14:solidFill>
              <w14:schemeClr w14:val="tx1"/>
            </w14:solidFill>
          </w14:textFill>
        </w:rPr>
      </w:pPr>
      <w:r>
        <w:rPr>
          <w:rFonts w:hint="eastAsia" w:ascii="宋体" w:eastAsia="宋体" w:cs="Times New Roman"/>
          <w:b/>
          <w:color w:val="000000" w:themeColor="text1"/>
          <w:sz w:val="24"/>
          <w:szCs w:val="24"/>
          <w:lang w:val="en-US" w:eastAsia="zh-CN"/>
          <w14:textFill>
            <w14:solidFill>
              <w14:schemeClr w14:val="tx1"/>
            </w14:solidFill>
          </w14:textFill>
        </w:rPr>
        <w:t>注：如供应商未能在期限内完成检测的该项费用不予支付。</w:t>
      </w:r>
    </w:p>
    <w:p w14:paraId="6F0355E9">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0DF313B1">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4D7BA19D">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03714382">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74FDB663">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72898C83">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6AD02FC7">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43D3C309">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1126B83F">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478441DC">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222CE021">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15D30458">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309D9041">
      <w:pPr>
        <w:pStyle w:val="10"/>
        <w:ind w:left="0" w:leftChars="0" w:firstLine="0" w:firstLineChars="0"/>
        <w:rPr>
          <w:rFonts w:hint="default" w:ascii="宋体" w:eastAsia="宋体" w:cs="Times New Roman"/>
          <w:b/>
          <w:color w:val="000000" w:themeColor="text1"/>
          <w:sz w:val="24"/>
          <w:szCs w:val="24"/>
          <w:lang w:val="en-US" w:eastAsia="zh-CN"/>
          <w14:textFill>
            <w14:solidFill>
              <w14:schemeClr w14:val="tx1"/>
            </w14:solidFill>
          </w14:textFill>
        </w:rPr>
      </w:pPr>
    </w:p>
    <w:p w14:paraId="10B74A63">
      <w:pPr>
        <w:widowControl/>
        <w:numPr>
          <w:ilvl w:val="0"/>
          <w:numId w:val="2"/>
        </w:numPr>
        <w:ind w:left="1594" w:leftChars="759" w:firstLine="173" w:firstLineChars="0"/>
        <w:jc w:val="both"/>
        <w:rPr>
          <w:rFonts w:hint="eastAsia" w:ascii="宋体" w:hAnsi="宋体" w:eastAsia="宋体" w:cs="Times New Roman"/>
          <w:b/>
          <w:color w:val="000000" w:themeColor="text1"/>
          <w:sz w:val="36"/>
          <w:szCs w:val="36"/>
          <w14:textFill>
            <w14:solidFill>
              <w14:schemeClr w14:val="tx1"/>
            </w14:solidFill>
          </w14:textFill>
        </w:rPr>
      </w:pPr>
      <w:r>
        <w:rPr>
          <w:rFonts w:hint="eastAsia" w:ascii="宋体" w:hAnsi="宋体" w:eastAsia="宋体" w:cs="Times New Roman"/>
          <w:b/>
          <w:color w:val="000000" w:themeColor="text1"/>
          <w:sz w:val="36"/>
          <w:szCs w:val="36"/>
          <w14:textFill>
            <w14:solidFill>
              <w14:schemeClr w14:val="tx1"/>
            </w14:solidFill>
          </w14:textFill>
        </w:rPr>
        <w:t xml:space="preserve"> 合同条款及合同文件格式</w:t>
      </w:r>
      <w:bookmarkEnd w:id="15"/>
    </w:p>
    <w:p w14:paraId="6459002D">
      <w:pPr>
        <w:spacing w:line="560" w:lineRule="exact"/>
        <w:jc w:val="both"/>
        <w:rPr>
          <w:rFonts w:ascii="宋体" w:hAnsi="宋体"/>
          <w:color w:val="000000" w:themeColor="text1"/>
          <w:sz w:val="44"/>
          <w:szCs w:val="44"/>
          <w14:textFill>
            <w14:solidFill>
              <w14:schemeClr w14:val="tx1"/>
            </w14:solidFill>
          </w14:textFill>
        </w:rPr>
      </w:pPr>
    </w:p>
    <w:p w14:paraId="7EACD473">
      <w:pPr>
        <w:spacing w:line="384" w:lineRule="auto"/>
        <w:jc w:val="center"/>
        <w:rPr>
          <w:rFonts w:ascii="宋体" w:hAnsi="宋体"/>
          <w:b/>
          <w:bCs/>
          <w:color w:val="auto"/>
          <w:sz w:val="44"/>
          <w:szCs w:val="44"/>
        </w:rPr>
      </w:pPr>
      <w:r>
        <w:rPr>
          <w:rFonts w:hint="eastAsia" w:ascii="宋体" w:hAnsi="宋体"/>
          <w:b/>
          <w:bCs/>
          <w:color w:val="auto"/>
          <w:sz w:val="44"/>
          <w:szCs w:val="44"/>
        </w:rPr>
        <w:t>三门峡市中心医院</w:t>
      </w:r>
    </w:p>
    <w:p w14:paraId="329F8AF0">
      <w:pPr>
        <w:spacing w:line="384" w:lineRule="auto"/>
        <w:jc w:val="center"/>
        <w:rPr>
          <w:rFonts w:ascii="宋体" w:hAnsi="宋体"/>
          <w:b/>
          <w:bCs/>
          <w:color w:val="auto"/>
          <w:sz w:val="44"/>
          <w:szCs w:val="44"/>
        </w:rPr>
      </w:pPr>
      <w:r>
        <w:rPr>
          <w:rFonts w:hint="eastAsia" w:ascii="宋体" w:hAnsi="宋体"/>
          <w:b/>
          <w:bCs/>
          <w:color w:val="auto"/>
          <w:sz w:val="44"/>
          <w:szCs w:val="44"/>
          <w:lang w:val="en-US" w:eastAsia="zh-CN"/>
        </w:rPr>
        <w:t>病理</w:t>
      </w:r>
      <w:r>
        <w:rPr>
          <w:rFonts w:hint="eastAsia" w:ascii="宋体" w:hAnsi="宋体"/>
          <w:b/>
          <w:bCs/>
          <w:color w:val="auto"/>
          <w:sz w:val="44"/>
          <w:szCs w:val="44"/>
        </w:rPr>
        <w:t>科外送</w:t>
      </w:r>
      <w:r>
        <w:rPr>
          <w:rFonts w:hint="eastAsia" w:ascii="宋体" w:hAnsi="宋体"/>
          <w:b/>
          <w:bCs/>
          <w:color w:val="auto"/>
          <w:sz w:val="44"/>
          <w:szCs w:val="44"/>
          <w:lang w:val="en-US" w:eastAsia="zh-CN"/>
        </w:rPr>
        <w:t>检测</w:t>
      </w:r>
      <w:r>
        <w:rPr>
          <w:rFonts w:hint="eastAsia" w:ascii="宋体" w:hAnsi="宋体"/>
          <w:b/>
          <w:bCs/>
          <w:color w:val="auto"/>
          <w:sz w:val="44"/>
          <w:szCs w:val="44"/>
        </w:rPr>
        <w:t>采购合同</w:t>
      </w:r>
    </w:p>
    <w:p w14:paraId="7F2CA7D4">
      <w:pPr>
        <w:spacing w:line="360" w:lineRule="auto"/>
        <w:jc w:val="center"/>
        <w:rPr>
          <w:rFonts w:hint="eastAsia"/>
          <w:color w:val="auto"/>
          <w:szCs w:val="21"/>
        </w:rPr>
      </w:pPr>
      <w:r>
        <w:rPr>
          <w:rFonts w:hint="eastAsia" w:ascii="宋体" w:hAnsi="宋体"/>
          <w:b/>
          <w:bCs/>
          <w:color w:val="000000"/>
          <w:sz w:val="28"/>
          <w:szCs w:val="28"/>
        </w:rPr>
        <w:t>（此格式仅供参考）</w:t>
      </w:r>
    </w:p>
    <w:p w14:paraId="029CBBE1">
      <w:pPr>
        <w:spacing w:line="480" w:lineRule="auto"/>
        <w:rPr>
          <w:rFonts w:hint="eastAsia" w:ascii="宋体" w:hAnsi="宋体" w:cs="宋体"/>
          <w:b/>
          <w:color w:val="auto"/>
          <w:sz w:val="24"/>
          <w:szCs w:val="24"/>
        </w:rPr>
      </w:pPr>
      <w:r>
        <w:rPr>
          <w:rFonts w:hint="eastAsia" w:ascii="宋体" w:hAnsi="宋体" w:cs="宋体"/>
          <w:b/>
          <w:color w:val="auto"/>
          <w:sz w:val="24"/>
          <w:szCs w:val="24"/>
        </w:rPr>
        <w:t>甲方：三门峡市中心医院</w:t>
      </w:r>
    </w:p>
    <w:p w14:paraId="60B069BC">
      <w:pPr>
        <w:spacing w:line="480" w:lineRule="auto"/>
        <w:rPr>
          <w:rFonts w:hint="eastAsia" w:ascii="宋体" w:hAnsi="宋体" w:cs="宋体"/>
          <w:b/>
          <w:color w:val="auto"/>
          <w:sz w:val="24"/>
          <w:szCs w:val="24"/>
        </w:rPr>
      </w:pPr>
      <w:r>
        <w:rPr>
          <w:rFonts w:hint="eastAsia" w:ascii="宋体" w:hAnsi="宋体" w:cs="宋体"/>
          <w:b/>
          <w:color w:val="auto"/>
          <w:sz w:val="24"/>
          <w:szCs w:val="24"/>
        </w:rPr>
        <w:t xml:space="preserve">乙方： </w:t>
      </w:r>
    </w:p>
    <w:p w14:paraId="4302E6B4">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为推动三门峡地区医疗卫生事业健康、持续、快速发展，实现医疗资源共享，更好的为患者提供优质、便捷、高效的医疗服务。经甲、乙方双方友好协商，本着平等互助、互惠互利的原则，就共同开展医疗</w:t>
      </w:r>
      <w:r>
        <w:rPr>
          <w:rFonts w:hint="eastAsia" w:ascii="宋体" w:hAnsi="宋体" w:cs="宋体"/>
          <w:color w:val="auto"/>
          <w:sz w:val="24"/>
          <w:szCs w:val="24"/>
          <w:lang w:val="en-US" w:eastAsia="zh-CN"/>
        </w:rPr>
        <w:t>病理检测</w:t>
      </w:r>
      <w:r>
        <w:rPr>
          <w:rFonts w:hint="eastAsia" w:ascii="宋体" w:hAnsi="宋体" w:cs="宋体"/>
          <w:color w:val="auto"/>
          <w:sz w:val="24"/>
          <w:szCs w:val="24"/>
        </w:rPr>
        <w:t>服务相关事宜，达成以下合作条款：</w:t>
      </w:r>
    </w:p>
    <w:p w14:paraId="1CF1C7D1">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一、委托方式：</w:t>
      </w:r>
    </w:p>
    <w:p w14:paraId="11BBC725">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甲方将临床需要但暂未开展的临床</w:t>
      </w:r>
      <w:r>
        <w:rPr>
          <w:rFonts w:hint="eastAsia" w:ascii="宋体" w:hAnsi="宋体" w:cs="宋体"/>
          <w:color w:val="auto"/>
          <w:sz w:val="24"/>
          <w:szCs w:val="24"/>
          <w:lang w:val="en-US" w:eastAsia="zh-CN"/>
        </w:rPr>
        <w:t>病理检测</w:t>
      </w:r>
      <w:r>
        <w:rPr>
          <w:rFonts w:hint="eastAsia" w:ascii="宋体" w:hAnsi="宋体" w:cs="宋体"/>
          <w:color w:val="auto"/>
          <w:sz w:val="24"/>
          <w:szCs w:val="24"/>
        </w:rPr>
        <w:t>项目委托乙方进行检</w:t>
      </w:r>
      <w:r>
        <w:rPr>
          <w:rFonts w:hint="eastAsia" w:ascii="宋体" w:hAnsi="宋体" w:cs="宋体"/>
          <w:color w:val="auto"/>
          <w:sz w:val="24"/>
          <w:szCs w:val="24"/>
          <w:lang w:val="en-US" w:eastAsia="zh-CN"/>
        </w:rPr>
        <w:t>测</w:t>
      </w:r>
      <w:r>
        <w:rPr>
          <w:rFonts w:hint="eastAsia" w:ascii="宋体" w:hAnsi="宋体" w:cs="宋体"/>
          <w:color w:val="auto"/>
          <w:sz w:val="24"/>
          <w:szCs w:val="24"/>
        </w:rPr>
        <w:t>；乙方为甲方提供检</w:t>
      </w:r>
      <w:r>
        <w:rPr>
          <w:rFonts w:hint="eastAsia" w:ascii="宋体" w:hAnsi="宋体" w:cs="宋体"/>
          <w:color w:val="auto"/>
          <w:sz w:val="24"/>
          <w:szCs w:val="24"/>
          <w:lang w:val="en-US" w:eastAsia="zh-CN"/>
        </w:rPr>
        <w:t>测</w:t>
      </w:r>
      <w:r>
        <w:rPr>
          <w:rFonts w:hint="eastAsia" w:ascii="宋体" w:hAnsi="宋体" w:cs="宋体"/>
          <w:color w:val="auto"/>
          <w:sz w:val="24"/>
          <w:szCs w:val="24"/>
        </w:rPr>
        <w:t>报告，并收取甲方服务费。</w:t>
      </w:r>
    </w:p>
    <w:p w14:paraId="746F4550">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二、委托期限：</w:t>
      </w:r>
    </w:p>
    <w:p w14:paraId="40D8ABDA">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委托期限为壹年，自</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日至</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日止。</w:t>
      </w:r>
    </w:p>
    <w:p w14:paraId="560CC1B7">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三、委托范围：</w:t>
      </w:r>
    </w:p>
    <w:p w14:paraId="54BB70F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委托范围详见《三门峡市中心医院</w:t>
      </w:r>
      <w:r>
        <w:rPr>
          <w:rFonts w:hint="eastAsia" w:ascii="宋体" w:hAnsi="宋体" w:cs="宋体"/>
          <w:color w:val="auto"/>
          <w:sz w:val="24"/>
          <w:szCs w:val="24"/>
          <w:lang w:val="en-US" w:eastAsia="zh-CN"/>
        </w:rPr>
        <w:t>病理</w:t>
      </w:r>
      <w:r>
        <w:rPr>
          <w:rFonts w:hint="eastAsia" w:ascii="宋体" w:hAnsi="宋体" w:cs="宋体"/>
          <w:color w:val="auto"/>
          <w:sz w:val="24"/>
          <w:szCs w:val="24"/>
        </w:rPr>
        <w:t>科外送</w:t>
      </w:r>
      <w:r>
        <w:rPr>
          <w:rFonts w:hint="eastAsia" w:ascii="宋体" w:hAnsi="宋体" w:cs="宋体"/>
          <w:color w:val="auto"/>
          <w:sz w:val="24"/>
          <w:szCs w:val="24"/>
          <w:lang w:val="en-US" w:eastAsia="zh-CN"/>
        </w:rPr>
        <w:t>检测</w:t>
      </w:r>
      <w:r>
        <w:rPr>
          <w:rFonts w:hint="eastAsia" w:ascii="宋体" w:hAnsi="宋体" w:cs="宋体"/>
          <w:color w:val="auto"/>
          <w:sz w:val="24"/>
          <w:szCs w:val="24"/>
        </w:rPr>
        <w:t>机构采购项目明细》和乙方投标文件响应《项目明细》内甲方需要但暂未开展的临床检</w:t>
      </w:r>
      <w:r>
        <w:rPr>
          <w:rFonts w:hint="eastAsia" w:ascii="宋体" w:hAnsi="宋体" w:cs="宋体"/>
          <w:color w:val="auto"/>
          <w:sz w:val="24"/>
          <w:szCs w:val="24"/>
          <w:lang w:val="en-US" w:eastAsia="zh-CN"/>
        </w:rPr>
        <w:t>测</w:t>
      </w:r>
      <w:r>
        <w:rPr>
          <w:rFonts w:hint="eastAsia" w:ascii="宋体" w:hAnsi="宋体" w:cs="宋体"/>
          <w:color w:val="auto"/>
          <w:sz w:val="24"/>
          <w:szCs w:val="24"/>
        </w:rPr>
        <w:t>项目。</w:t>
      </w:r>
    </w:p>
    <w:p w14:paraId="08959752">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四、双方的权利与义务：</w:t>
      </w:r>
    </w:p>
    <w:p w14:paraId="09B2E92F">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（一）甲方的权利和义务：</w:t>
      </w:r>
    </w:p>
    <w:p w14:paraId="72DA8AE2">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1、负责组织医生按照乙方提供的《项目明细》中的要求和规定开检</w:t>
      </w:r>
      <w:r>
        <w:rPr>
          <w:rFonts w:hint="eastAsia" w:ascii="宋体" w:hAnsi="宋体" w:cs="宋体"/>
          <w:color w:val="auto"/>
          <w:sz w:val="24"/>
          <w:szCs w:val="24"/>
          <w:lang w:val="en-US" w:eastAsia="zh-CN"/>
        </w:rPr>
        <w:t>测</w:t>
      </w:r>
      <w:r>
        <w:rPr>
          <w:rFonts w:hint="eastAsia" w:ascii="宋体" w:hAnsi="宋体" w:cs="宋体"/>
          <w:color w:val="auto"/>
          <w:sz w:val="24"/>
          <w:szCs w:val="24"/>
        </w:rPr>
        <w:t>申请。</w:t>
      </w:r>
    </w:p>
    <w:p w14:paraId="59AB0E1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2、甲方有责任按乙方提供的样本采样要求提供合格的样本给乙方，并对不合格样本负责。</w:t>
      </w:r>
      <w:r>
        <w:rPr>
          <w:rFonts w:hint="eastAsia" w:ascii="宋体" w:hAnsi="宋体" w:cs="宋体"/>
          <w:color w:val="auto"/>
          <w:sz w:val="24"/>
          <w:szCs w:val="24"/>
          <w:highlight w:val="none"/>
          <w:lang w:val="en-US" w:eastAsia="zh-CN"/>
        </w:rPr>
        <w:t>甲方采集样本和项目内容等需遵守《中华人民共和国人类遗传资源管理条例》等法律法规的规定及伦理规范；甲方送检的样本为其合法取得，在采集过程中已经取得了样本提供者的同意，不存在损害样本提供者合法权益的情形。</w:t>
      </w:r>
    </w:p>
    <w:p w14:paraId="744503C8">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3、甲方安排人员与乙方在以下环节进行签字确认：标本交接、申请单交接、特殊物品交接、报告单交接、结算票据、发票签收、回执交接等。</w:t>
      </w:r>
    </w:p>
    <w:p w14:paraId="43C62C1D">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4、甲方向乙方交付</w:t>
      </w:r>
      <w:r>
        <w:rPr>
          <w:rFonts w:hint="eastAsia" w:ascii="宋体" w:hAnsi="宋体" w:cs="宋体"/>
          <w:color w:val="auto"/>
          <w:sz w:val="24"/>
          <w:szCs w:val="24"/>
          <w:lang w:eastAsia="zh-CN"/>
        </w:rPr>
        <w:t>检测</w:t>
      </w:r>
      <w:r>
        <w:rPr>
          <w:rFonts w:hint="eastAsia" w:ascii="宋体" w:hAnsi="宋体" w:cs="宋体"/>
          <w:color w:val="auto"/>
          <w:sz w:val="24"/>
          <w:szCs w:val="24"/>
        </w:rPr>
        <w:t>申请单后需要更改</w:t>
      </w:r>
      <w:r>
        <w:rPr>
          <w:rFonts w:hint="eastAsia" w:ascii="宋体" w:hAnsi="宋体" w:cs="宋体"/>
          <w:color w:val="auto"/>
          <w:sz w:val="24"/>
          <w:szCs w:val="24"/>
          <w:lang w:eastAsia="zh-CN"/>
        </w:rPr>
        <w:t>检测</w:t>
      </w:r>
      <w:r>
        <w:rPr>
          <w:rFonts w:hint="eastAsia" w:ascii="宋体" w:hAnsi="宋体" w:cs="宋体"/>
          <w:color w:val="auto"/>
          <w:sz w:val="24"/>
          <w:szCs w:val="24"/>
        </w:rPr>
        <w:t>内容的，需在口头申请后</w:t>
      </w:r>
      <w:r>
        <w:rPr>
          <w:rFonts w:hint="eastAsia" w:ascii="宋体" w:hAnsi="宋体" w:cs="宋体"/>
          <w:color w:val="auto"/>
          <w:sz w:val="24"/>
          <w:szCs w:val="24"/>
          <w:u w:val="single"/>
          <w:lang w:val="en-US" w:eastAsia="zh-CN"/>
        </w:rPr>
        <w:t xml:space="preserve">3 </w:t>
      </w:r>
      <w:r>
        <w:rPr>
          <w:rFonts w:hint="eastAsia" w:ascii="宋体" w:hAnsi="宋体" w:cs="宋体"/>
          <w:color w:val="auto"/>
          <w:sz w:val="24"/>
          <w:szCs w:val="24"/>
          <w:u w:val="single"/>
        </w:rPr>
        <w:t xml:space="preserve"> </w:t>
      </w:r>
      <w:r>
        <w:rPr>
          <w:rFonts w:hint="eastAsia" w:ascii="宋体" w:hAnsi="宋体" w:cs="宋体"/>
          <w:color w:val="auto"/>
          <w:sz w:val="24"/>
          <w:szCs w:val="24"/>
        </w:rPr>
        <w:t>日内向乙方补充</w:t>
      </w:r>
      <w:r>
        <w:rPr>
          <w:rFonts w:hint="eastAsia" w:ascii="宋体" w:hAnsi="宋体" w:cs="宋体"/>
          <w:color w:val="auto"/>
          <w:sz w:val="24"/>
          <w:szCs w:val="24"/>
          <w:lang w:eastAsia="zh-CN"/>
        </w:rPr>
        <w:t>检测</w:t>
      </w:r>
      <w:r>
        <w:rPr>
          <w:rFonts w:hint="eastAsia" w:ascii="宋体" w:hAnsi="宋体" w:cs="宋体"/>
          <w:color w:val="auto"/>
          <w:sz w:val="24"/>
          <w:szCs w:val="24"/>
        </w:rPr>
        <w:t>申请单。</w:t>
      </w:r>
    </w:p>
    <w:p w14:paraId="1D49DB0A">
      <w:pPr>
        <w:spacing w:line="48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5、乙方定期或不定期发送对账单到甲方指定联系人员（甲方联系人：</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电话：</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），甲方应在</w:t>
      </w:r>
      <w:r>
        <w:rPr>
          <w:rFonts w:hint="eastAsia" w:ascii="宋体" w:hAnsi="宋体" w:cs="宋体"/>
          <w:color w:val="auto"/>
          <w:sz w:val="24"/>
          <w:szCs w:val="24"/>
          <w:u w:val="single"/>
        </w:rPr>
        <w:t>10个</w:t>
      </w:r>
      <w:r>
        <w:rPr>
          <w:rFonts w:hint="eastAsia" w:ascii="宋体" w:hAnsi="宋体" w:cs="宋体"/>
          <w:color w:val="auto"/>
          <w:sz w:val="24"/>
          <w:szCs w:val="24"/>
        </w:rPr>
        <w:t>工作日予以回复。</w:t>
      </w:r>
    </w:p>
    <w:p w14:paraId="289AF896">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（二）乙方的权利和义务：</w:t>
      </w:r>
    </w:p>
    <w:p w14:paraId="33DC7C4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1、乙方联系快递公司到甲方指定地方收取标本，并按照协议约定时间出具</w:t>
      </w:r>
      <w:r>
        <w:rPr>
          <w:rFonts w:hint="eastAsia" w:ascii="宋体" w:hAnsi="宋体" w:cs="宋体"/>
          <w:color w:val="auto"/>
          <w:sz w:val="24"/>
          <w:szCs w:val="24"/>
          <w:lang w:eastAsia="zh-CN"/>
        </w:rPr>
        <w:t>检测</w:t>
      </w:r>
      <w:r>
        <w:rPr>
          <w:rFonts w:hint="eastAsia" w:ascii="宋体" w:hAnsi="宋体" w:cs="宋体"/>
          <w:color w:val="auto"/>
          <w:sz w:val="24"/>
          <w:szCs w:val="24"/>
        </w:rPr>
        <w:t>报告单，</w:t>
      </w:r>
      <w:r>
        <w:rPr>
          <w:rFonts w:hint="eastAsia" w:ascii="宋体" w:hAnsi="宋体" w:cs="宋体"/>
          <w:color w:val="auto"/>
          <w:sz w:val="24"/>
          <w:szCs w:val="24"/>
          <w:lang w:eastAsia="zh-CN"/>
        </w:rPr>
        <w:t>检测</w:t>
      </w:r>
      <w:r>
        <w:rPr>
          <w:rFonts w:hint="eastAsia" w:ascii="宋体" w:hAnsi="宋体" w:cs="宋体"/>
          <w:color w:val="auto"/>
          <w:sz w:val="24"/>
          <w:szCs w:val="24"/>
        </w:rPr>
        <w:t>项目的试剂，耗材和标本运输费用，由乙方承担。</w:t>
      </w:r>
    </w:p>
    <w:p w14:paraId="7DE07CE9">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2、甲方未按乙方提供的《项目明细》中所述要求和规定进行申请单填写、标本采集的，乙方可以拒收标本、要求甲方重新采样。</w:t>
      </w:r>
    </w:p>
    <w:p w14:paraId="49E5F493">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3、乙方保证按国家</w:t>
      </w:r>
      <w:r>
        <w:rPr>
          <w:rFonts w:hint="eastAsia" w:ascii="宋体" w:hAnsi="宋体" w:cs="宋体"/>
          <w:color w:val="auto"/>
          <w:sz w:val="24"/>
          <w:szCs w:val="24"/>
          <w:lang w:eastAsia="zh-CN"/>
        </w:rPr>
        <w:t>检测</w:t>
      </w:r>
      <w:r>
        <w:rPr>
          <w:rFonts w:hint="eastAsia" w:ascii="宋体" w:hAnsi="宋体" w:cs="宋体"/>
          <w:color w:val="auto"/>
          <w:sz w:val="24"/>
          <w:szCs w:val="24"/>
        </w:rPr>
        <w:t>规范进行操作，承诺在相应的项目检测周期内完成检</w:t>
      </w:r>
      <w:r>
        <w:rPr>
          <w:rFonts w:ascii="宋体" w:hAnsi="宋体" w:cs="宋体"/>
          <w:color w:val="auto"/>
          <w:sz w:val="24"/>
          <w:szCs w:val="24"/>
        </w:rPr>
        <w:t>测工作，向甲方提供客观准确的检测报告，并对标本的</w:t>
      </w:r>
      <w:r>
        <w:rPr>
          <w:rFonts w:hint="eastAsia" w:ascii="宋体" w:hAnsi="宋体" w:cs="宋体"/>
          <w:color w:val="auto"/>
          <w:sz w:val="24"/>
          <w:szCs w:val="24"/>
          <w:lang w:eastAsia="zh-CN"/>
        </w:rPr>
        <w:t>检测</w:t>
      </w:r>
      <w:r>
        <w:rPr>
          <w:rFonts w:ascii="宋体" w:hAnsi="宋体" w:cs="宋体"/>
          <w:color w:val="auto"/>
          <w:sz w:val="24"/>
          <w:szCs w:val="24"/>
        </w:rPr>
        <w:t>报告承担全部的</w:t>
      </w:r>
      <w:r>
        <w:rPr>
          <w:rFonts w:hint="eastAsia" w:ascii="宋体" w:hAnsi="宋体" w:cs="宋体"/>
          <w:color w:val="auto"/>
          <w:sz w:val="24"/>
          <w:szCs w:val="24"/>
        </w:rPr>
        <w:t>责任。因乙方原因导致结果延迟或报告错误，给医院造成的不良影响，引起患者投诉及医患纠纷等情况，由乙方处理</w:t>
      </w:r>
      <w:r>
        <w:rPr>
          <w:rFonts w:ascii="宋体" w:hAnsi="宋体" w:cs="宋体"/>
          <w:color w:val="auto"/>
          <w:sz w:val="24"/>
          <w:szCs w:val="24"/>
        </w:rPr>
        <w:t>，并承担全部责任，因此给甲方造成的</w:t>
      </w:r>
      <w:r>
        <w:rPr>
          <w:rFonts w:hint="eastAsia" w:ascii="宋体" w:hAnsi="宋体" w:cs="宋体"/>
          <w:color w:val="auto"/>
          <w:sz w:val="24"/>
          <w:szCs w:val="24"/>
        </w:rPr>
        <w:t>损失、</w:t>
      </w:r>
      <w:r>
        <w:rPr>
          <w:rFonts w:ascii="宋体" w:hAnsi="宋体" w:cs="宋体"/>
          <w:color w:val="auto"/>
          <w:sz w:val="24"/>
          <w:szCs w:val="24"/>
        </w:rPr>
        <w:t>律师费、诉讼费、由乙方承担，甲方有权利向乙方追偿。</w:t>
      </w:r>
    </w:p>
    <w:p w14:paraId="487D6811">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4、乙方有为甲方保密的义务，在未经甲方同意或授权前提下，乙方不得向甲方工作人员以外的任何单位或个人泄露甲方委托检测的项目、检测的内容、检测的结果。 </w:t>
      </w:r>
    </w:p>
    <w:p w14:paraId="5F993645">
      <w:pPr>
        <w:spacing w:line="48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5、乙方如需召回</w:t>
      </w:r>
      <w:r>
        <w:rPr>
          <w:rFonts w:hint="eastAsia" w:ascii="宋体" w:hAnsi="宋体" w:cs="宋体"/>
          <w:color w:val="auto"/>
          <w:sz w:val="24"/>
          <w:szCs w:val="24"/>
          <w:lang w:eastAsia="zh-CN"/>
        </w:rPr>
        <w:t>检测</w:t>
      </w:r>
      <w:r>
        <w:rPr>
          <w:rFonts w:hint="eastAsia" w:ascii="宋体" w:hAnsi="宋体" w:cs="宋体"/>
          <w:color w:val="auto"/>
          <w:sz w:val="24"/>
          <w:szCs w:val="24"/>
        </w:rPr>
        <w:t>报告的，应立即通过电话通知甲方（甲方的联系电话:</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)，并免费提供新的</w:t>
      </w:r>
      <w:r>
        <w:rPr>
          <w:rFonts w:hint="eastAsia" w:ascii="宋体" w:hAnsi="宋体" w:cs="宋体"/>
          <w:color w:val="auto"/>
          <w:sz w:val="24"/>
          <w:szCs w:val="24"/>
          <w:lang w:eastAsia="zh-CN"/>
        </w:rPr>
        <w:t>检测</w:t>
      </w:r>
      <w:r>
        <w:rPr>
          <w:rFonts w:hint="eastAsia" w:ascii="宋体" w:hAnsi="宋体" w:cs="宋体"/>
          <w:color w:val="auto"/>
          <w:sz w:val="24"/>
          <w:szCs w:val="24"/>
        </w:rPr>
        <w:t>报告，甲方应在收到最新</w:t>
      </w:r>
      <w:r>
        <w:rPr>
          <w:rFonts w:hint="eastAsia" w:ascii="宋体" w:hAnsi="宋体" w:cs="宋体"/>
          <w:color w:val="auto"/>
          <w:sz w:val="24"/>
          <w:szCs w:val="24"/>
          <w:lang w:eastAsia="zh-CN"/>
        </w:rPr>
        <w:t>检测</w:t>
      </w:r>
      <w:r>
        <w:rPr>
          <w:rFonts w:hint="eastAsia" w:ascii="宋体" w:hAnsi="宋体" w:cs="宋体"/>
          <w:color w:val="auto"/>
          <w:sz w:val="24"/>
          <w:szCs w:val="24"/>
        </w:rPr>
        <w:t>报告单后及时告知受检者。已发出的需召回报告引起的各种不良事件由乙方进行处理并承担全部责任，</w:t>
      </w:r>
      <w:r>
        <w:rPr>
          <w:rFonts w:ascii="宋体" w:hAnsi="宋体" w:cs="宋体"/>
          <w:color w:val="auto"/>
          <w:sz w:val="24"/>
          <w:szCs w:val="24"/>
        </w:rPr>
        <w:t>因此给甲方造成的</w:t>
      </w:r>
      <w:r>
        <w:rPr>
          <w:rFonts w:hint="eastAsia" w:ascii="宋体" w:hAnsi="宋体" w:cs="宋体"/>
          <w:color w:val="auto"/>
          <w:sz w:val="24"/>
          <w:szCs w:val="24"/>
        </w:rPr>
        <w:t>损失也</w:t>
      </w:r>
      <w:r>
        <w:rPr>
          <w:rFonts w:ascii="宋体" w:hAnsi="宋体" w:cs="宋体"/>
          <w:color w:val="auto"/>
          <w:sz w:val="24"/>
          <w:szCs w:val="24"/>
        </w:rPr>
        <w:t>由乙方承担</w:t>
      </w:r>
      <w:r>
        <w:rPr>
          <w:rFonts w:hint="eastAsia" w:ascii="宋体" w:hAnsi="宋体" w:cs="宋体"/>
          <w:color w:val="auto"/>
          <w:sz w:val="24"/>
          <w:szCs w:val="24"/>
        </w:rPr>
        <w:t>。</w:t>
      </w:r>
    </w:p>
    <w:p w14:paraId="06C7C373">
      <w:pPr>
        <w:spacing w:line="480" w:lineRule="auto"/>
        <w:ind w:firstLine="480" w:firstLineChars="200"/>
        <w:jc w:val="left"/>
        <w:rPr>
          <w:rFonts w:hint="eastAsia" w:ascii="宋体" w:hAnsi="宋体" w:eastAsia="宋体" w:cs="宋体"/>
          <w:color w:val="auto"/>
          <w:sz w:val="24"/>
          <w:szCs w:val="24"/>
          <w:lang w:eastAsia="zh-CN"/>
        </w:rPr>
      </w:pPr>
      <w:r>
        <w:rPr>
          <w:rFonts w:hint="eastAsia" w:ascii="宋体" w:hAnsi="宋体" w:cs="宋体"/>
          <w:color w:val="auto"/>
          <w:sz w:val="24"/>
          <w:szCs w:val="24"/>
        </w:rPr>
        <w:t>6、乙方应遵循甲方制定的危急值管理制度，当出现危急值时，乙方应以立即通过电话方式将检测结果报送至甲方指定的联系电话（甲方的联系电话:</w:t>
      </w:r>
      <w:r>
        <w:rPr>
          <w:rFonts w:hint="eastAsia" w:ascii="宋体" w:hAnsi="宋体" w:cs="宋体"/>
          <w:color w:val="auto"/>
          <w:sz w:val="24"/>
          <w:szCs w:val="24"/>
          <w:u w:val="single"/>
        </w:rPr>
        <w:t xml:space="preserve"> 0398-311</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/311</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 xml:space="preserve"> )，甲方应按流程规定立即通知临床科室及相关医师。</w:t>
      </w:r>
    </w:p>
    <w:p w14:paraId="22FD879F">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7、剩余标本(如有)由乙方依据相关法律法规及规定保存、处置，甲方如对检测结果有异议的，应在标本保存期限内提出，同时乙方有义务进行再次免费检测以确保结果的可靠性。 </w:t>
      </w:r>
    </w:p>
    <w:p w14:paraId="2F1C5898">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五、</w:t>
      </w:r>
      <w:r>
        <w:rPr>
          <w:rFonts w:hint="eastAsia" w:ascii="宋体" w:hAnsi="宋体" w:cs="宋体"/>
          <w:color w:val="auto"/>
          <w:sz w:val="24"/>
          <w:szCs w:val="24"/>
          <w:lang w:eastAsia="zh-CN"/>
        </w:rPr>
        <w:t>检测</w:t>
      </w:r>
      <w:r>
        <w:rPr>
          <w:rFonts w:hint="eastAsia" w:ascii="宋体" w:hAnsi="宋体" w:cs="宋体"/>
          <w:color w:val="auto"/>
          <w:sz w:val="24"/>
          <w:szCs w:val="24"/>
        </w:rPr>
        <w:t>费用</w:t>
      </w:r>
    </w:p>
    <w:p w14:paraId="2B89417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1、甲方负责向病人收取</w:t>
      </w:r>
      <w:r>
        <w:rPr>
          <w:rFonts w:hint="eastAsia" w:ascii="宋体" w:hAnsi="宋体" w:cs="宋体"/>
          <w:color w:val="auto"/>
          <w:sz w:val="24"/>
          <w:szCs w:val="24"/>
          <w:lang w:eastAsia="zh-CN"/>
        </w:rPr>
        <w:t>检测</w:t>
      </w:r>
      <w:r>
        <w:rPr>
          <w:rFonts w:hint="eastAsia" w:ascii="宋体" w:hAnsi="宋体" w:cs="宋体"/>
          <w:color w:val="auto"/>
          <w:sz w:val="24"/>
          <w:szCs w:val="24"/>
        </w:rPr>
        <w:t>费，乙方按照甲方收费标准并根据本条款第二条收费比例向甲方收取委托</w:t>
      </w:r>
      <w:r>
        <w:rPr>
          <w:rFonts w:hint="eastAsia" w:ascii="宋体" w:hAnsi="宋体" w:cs="宋体"/>
          <w:color w:val="auto"/>
          <w:sz w:val="24"/>
          <w:szCs w:val="24"/>
          <w:lang w:eastAsia="zh-CN"/>
        </w:rPr>
        <w:t>检测</w:t>
      </w:r>
      <w:r>
        <w:rPr>
          <w:rFonts w:hint="eastAsia" w:ascii="宋体" w:hAnsi="宋体" w:cs="宋体"/>
          <w:color w:val="auto"/>
          <w:sz w:val="24"/>
          <w:szCs w:val="24"/>
        </w:rPr>
        <w:t>服务费；（甲方收费标准参照《河南省医疗服务价格汇编》和《三门峡市医疗服务价格汇编》执行）</w:t>
      </w:r>
    </w:p>
    <w:p w14:paraId="0F3911C8">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2、各类</w:t>
      </w:r>
      <w:r>
        <w:rPr>
          <w:rFonts w:hint="eastAsia" w:ascii="宋体" w:hAnsi="宋体" w:cs="宋体"/>
          <w:color w:val="auto"/>
          <w:sz w:val="24"/>
          <w:szCs w:val="24"/>
          <w:lang w:eastAsia="zh-CN"/>
        </w:rPr>
        <w:t>检测</w:t>
      </w:r>
      <w:r>
        <w:rPr>
          <w:rFonts w:hint="eastAsia" w:ascii="宋体" w:hAnsi="宋体" w:cs="宋体"/>
          <w:color w:val="auto"/>
          <w:sz w:val="24"/>
          <w:szCs w:val="24"/>
        </w:rPr>
        <w:t>项目的收费比例为：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0AB38FA9">
      <w:pPr>
        <w:spacing w:line="480" w:lineRule="auto"/>
        <w:ind w:firstLine="480" w:firstLineChars="200"/>
        <w:rPr>
          <w:rFonts w:ascii="宋体" w:hAnsi="宋体" w:cs="宋体"/>
          <w:color w:val="auto"/>
          <w:sz w:val="24"/>
          <w:szCs w:val="24"/>
        </w:rPr>
      </w:pPr>
      <w:r>
        <w:rPr>
          <w:rFonts w:ascii="宋体" w:hAnsi="宋体" w:cs="宋体"/>
          <w:color w:val="auto"/>
          <w:sz w:val="24"/>
          <w:szCs w:val="24"/>
        </w:rPr>
        <w:t>六、付款方式</w:t>
      </w:r>
    </w:p>
    <w:p w14:paraId="7DCF3ACD">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结算周期:</w:t>
      </w:r>
      <w:r>
        <w:rPr>
          <w:rFonts w:hint="eastAsia" w:ascii="宋体" w:hAnsi="宋体" w:cs="宋体"/>
          <w:color w:val="auto"/>
          <w:sz w:val="24"/>
          <w:szCs w:val="24"/>
          <w:lang w:eastAsia="zh-CN"/>
        </w:rPr>
        <w:t>检测</w:t>
      </w:r>
      <w:r>
        <w:rPr>
          <w:rFonts w:ascii="宋体" w:hAnsi="宋体" w:cs="宋体"/>
          <w:color w:val="auto"/>
          <w:sz w:val="24"/>
          <w:szCs w:val="24"/>
        </w:rPr>
        <w:t>费用每</w:t>
      </w:r>
      <w:r>
        <w:rPr>
          <w:rFonts w:hint="eastAsia" w:ascii="宋体" w:hAnsi="宋体" w:cs="宋体"/>
          <w:color w:val="auto"/>
          <w:sz w:val="24"/>
          <w:szCs w:val="24"/>
        </w:rPr>
        <w:t>两个</w:t>
      </w:r>
      <w:r>
        <w:rPr>
          <w:rFonts w:ascii="宋体" w:hAnsi="宋体" w:cs="宋体"/>
          <w:color w:val="auto"/>
          <w:sz w:val="24"/>
          <w:szCs w:val="24"/>
        </w:rPr>
        <w:t xml:space="preserve">月结算一次。  </w:t>
      </w:r>
    </w:p>
    <w:p w14:paraId="4ED07821">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乙方根据</w:t>
      </w:r>
      <w:r>
        <w:rPr>
          <w:rFonts w:hint="eastAsia" w:ascii="宋体" w:hAnsi="宋体" w:cs="宋体"/>
          <w:color w:val="auto"/>
          <w:sz w:val="24"/>
          <w:szCs w:val="24"/>
        </w:rPr>
        <w:t>双方确认的结算票据</w:t>
      </w:r>
      <w:r>
        <w:rPr>
          <w:rFonts w:ascii="宋体" w:hAnsi="宋体" w:cs="宋体"/>
          <w:color w:val="auto"/>
          <w:sz w:val="24"/>
          <w:szCs w:val="24"/>
        </w:rPr>
        <w:t>数据，按约定比例核算</w:t>
      </w:r>
      <w:r>
        <w:rPr>
          <w:rFonts w:hint="eastAsia" w:ascii="宋体" w:hAnsi="宋体" w:cs="宋体"/>
          <w:color w:val="auto"/>
          <w:sz w:val="24"/>
          <w:szCs w:val="24"/>
          <w:lang w:eastAsia="zh-CN"/>
        </w:rPr>
        <w:t>检测</w:t>
      </w:r>
      <w:r>
        <w:rPr>
          <w:rFonts w:ascii="宋体" w:hAnsi="宋体" w:cs="宋体"/>
          <w:color w:val="auto"/>
          <w:sz w:val="24"/>
          <w:szCs w:val="24"/>
        </w:rPr>
        <w:t>费用总额，按照甲方名称作为开票抬头开具相应金额的发票，</w:t>
      </w:r>
      <w:r>
        <w:rPr>
          <w:rFonts w:hint="eastAsia" w:ascii="宋体" w:hAnsi="宋体" w:cs="宋体"/>
          <w:b/>
          <w:color w:val="auto"/>
          <w:sz w:val="24"/>
          <w:szCs w:val="24"/>
        </w:rPr>
        <w:t>甲方</w:t>
      </w:r>
      <w:r>
        <w:rPr>
          <w:rFonts w:ascii="宋体" w:hAnsi="宋体" w:cs="宋体"/>
          <w:color w:val="auto"/>
          <w:sz w:val="24"/>
          <w:szCs w:val="24"/>
        </w:rPr>
        <w:t>在开票日期后</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30 </w:t>
      </w:r>
      <w:r>
        <w:rPr>
          <w:rFonts w:ascii="宋体" w:hAnsi="宋体" w:cs="宋体"/>
          <w:color w:val="auto"/>
          <w:sz w:val="24"/>
          <w:szCs w:val="24"/>
        </w:rPr>
        <w:t>日内将</w:t>
      </w:r>
      <w:r>
        <w:rPr>
          <w:rFonts w:hint="eastAsia" w:ascii="宋体" w:hAnsi="宋体" w:cs="宋体"/>
          <w:color w:val="auto"/>
          <w:sz w:val="24"/>
          <w:szCs w:val="24"/>
          <w:lang w:eastAsia="zh-CN"/>
        </w:rPr>
        <w:t>检测</w:t>
      </w:r>
      <w:r>
        <w:rPr>
          <w:rFonts w:ascii="宋体" w:hAnsi="宋体" w:cs="宋体"/>
          <w:color w:val="auto"/>
          <w:sz w:val="24"/>
          <w:szCs w:val="24"/>
        </w:rPr>
        <w:t xml:space="preserve">费用支付至乙方指定的银行账户。 </w:t>
      </w:r>
    </w:p>
    <w:p w14:paraId="04BFF0E3">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eastAsia="zh-CN"/>
        </w:rPr>
        <w:t>检测</w:t>
      </w:r>
      <w:r>
        <w:rPr>
          <w:rFonts w:ascii="宋体" w:hAnsi="宋体" w:cs="宋体"/>
          <w:color w:val="auto"/>
          <w:sz w:val="24"/>
          <w:szCs w:val="24"/>
        </w:rPr>
        <w:t>费用支付时间以账款到达乙方账户时间为准。甲方未按规定期限内将</w:t>
      </w:r>
      <w:r>
        <w:rPr>
          <w:rFonts w:hint="eastAsia" w:ascii="宋体" w:hAnsi="宋体" w:cs="宋体"/>
          <w:color w:val="auto"/>
          <w:sz w:val="24"/>
          <w:szCs w:val="24"/>
          <w:lang w:eastAsia="zh-CN"/>
        </w:rPr>
        <w:t>检测</w:t>
      </w:r>
      <w:r>
        <w:rPr>
          <w:rFonts w:ascii="宋体" w:hAnsi="宋体" w:cs="宋体"/>
          <w:color w:val="auto"/>
          <w:sz w:val="24"/>
          <w:szCs w:val="24"/>
        </w:rPr>
        <w:t>费用汇入乙方指定账户的，乙方有权中止标本</w:t>
      </w:r>
      <w:r>
        <w:rPr>
          <w:rFonts w:hint="eastAsia" w:ascii="宋体" w:hAnsi="宋体" w:cs="宋体"/>
          <w:color w:val="auto"/>
          <w:sz w:val="24"/>
          <w:szCs w:val="24"/>
          <w:lang w:eastAsia="zh-CN"/>
        </w:rPr>
        <w:t>检测</w:t>
      </w:r>
      <w:r>
        <w:rPr>
          <w:rFonts w:ascii="宋体" w:hAnsi="宋体" w:cs="宋体"/>
          <w:color w:val="auto"/>
          <w:sz w:val="24"/>
          <w:szCs w:val="24"/>
        </w:rPr>
        <w:t xml:space="preserve">服务，因乙方中止服务产生的损失由甲方承担。 </w:t>
      </w:r>
    </w:p>
    <w:p w14:paraId="47F3E293">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双方业务往来以对公账号为准，甲方不得以现金、转账等任何方式将</w:t>
      </w:r>
      <w:r>
        <w:rPr>
          <w:rFonts w:hint="eastAsia" w:ascii="宋体" w:hAnsi="宋体" w:cs="宋体"/>
          <w:color w:val="auto"/>
          <w:sz w:val="24"/>
          <w:szCs w:val="24"/>
          <w:lang w:eastAsia="zh-CN"/>
        </w:rPr>
        <w:t>检测</w:t>
      </w:r>
      <w:r>
        <w:rPr>
          <w:rFonts w:ascii="宋体" w:hAnsi="宋体" w:cs="宋体"/>
          <w:color w:val="auto"/>
          <w:sz w:val="24"/>
          <w:szCs w:val="24"/>
        </w:rPr>
        <w:t xml:space="preserve">费支付到乙方员工等非乙方账户。 </w:t>
      </w:r>
    </w:p>
    <w:p w14:paraId="164859E7">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七、协议终止。双方同意在发生以下情况时，本协议终止：</w:t>
      </w:r>
    </w:p>
    <w:p w14:paraId="72F68031">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1、甲方不按乙方的规定提供</w:t>
      </w:r>
      <w:r>
        <w:rPr>
          <w:rFonts w:hint="eastAsia" w:ascii="宋体" w:hAnsi="宋体" w:cs="宋体"/>
          <w:color w:val="auto"/>
          <w:sz w:val="24"/>
          <w:szCs w:val="24"/>
          <w:lang w:eastAsia="zh-CN"/>
        </w:rPr>
        <w:t>检测</w:t>
      </w:r>
      <w:r>
        <w:rPr>
          <w:rFonts w:hint="eastAsia" w:ascii="宋体" w:hAnsi="宋体" w:cs="宋体"/>
          <w:color w:val="auto"/>
          <w:sz w:val="24"/>
          <w:szCs w:val="24"/>
        </w:rPr>
        <w:t>样本，经双方多次协商后仍不予改正；</w:t>
      </w:r>
    </w:p>
    <w:p w14:paraId="341C0EB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2、乙方因国家政策或其它原因不能提供相应的服务。</w:t>
      </w:r>
    </w:p>
    <w:p w14:paraId="3166F317">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八、违约责任：</w:t>
      </w:r>
    </w:p>
    <w:p w14:paraId="5B00AA8D">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1、如果任何一方未能按照本协议的规定执行，另一方有权要求违约方赔偿由此造成的损失。</w:t>
      </w:r>
    </w:p>
    <w:p w14:paraId="7BE5E15E">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2、因乙方原因造成报告错误导致出现医患纠纷的，由乙方承担全部责任，同时乙方应当按照当月需付款总额</w:t>
      </w:r>
      <w:r>
        <w:rPr>
          <w:rFonts w:ascii="宋体" w:hAnsi="宋体" w:cs="宋体"/>
          <w:color w:val="auto"/>
          <w:sz w:val="24"/>
          <w:szCs w:val="24"/>
        </w:rPr>
        <w:t>5</w:t>
      </w:r>
      <w:r>
        <w:rPr>
          <w:rFonts w:hint="eastAsia" w:ascii="宋体" w:hAnsi="宋体" w:cs="宋体"/>
          <w:color w:val="auto"/>
          <w:sz w:val="24"/>
          <w:szCs w:val="24"/>
        </w:rPr>
        <w:t>%的比例向甲方支付违约金，甲方有权直接从</w:t>
      </w:r>
      <w:r>
        <w:rPr>
          <w:rFonts w:hint="eastAsia" w:ascii="宋体" w:hAnsi="宋体" w:cs="宋体"/>
          <w:color w:val="auto"/>
          <w:sz w:val="24"/>
          <w:szCs w:val="24"/>
          <w:lang w:eastAsia="zh-CN"/>
        </w:rPr>
        <w:t>检测</w:t>
      </w:r>
      <w:r>
        <w:rPr>
          <w:rFonts w:hint="eastAsia" w:ascii="宋体" w:hAnsi="宋体" w:cs="宋体"/>
          <w:color w:val="auto"/>
          <w:sz w:val="24"/>
          <w:szCs w:val="24"/>
        </w:rPr>
        <w:t>费用中扣除乙方应承担的违约金。合同期限之内，累计出现3次及以上类似情况的，甲方有权直接终止合同，并要求乙方支付5万元违约金。</w:t>
      </w:r>
    </w:p>
    <w:p w14:paraId="5255157F">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3、因乙方原因导致</w:t>
      </w:r>
      <w:r>
        <w:rPr>
          <w:rFonts w:hint="eastAsia" w:ascii="宋体" w:hAnsi="宋体" w:cs="宋体"/>
          <w:color w:val="auto"/>
          <w:sz w:val="24"/>
          <w:szCs w:val="24"/>
          <w:lang w:eastAsia="zh-CN"/>
        </w:rPr>
        <w:t>检测</w:t>
      </w:r>
      <w:r>
        <w:rPr>
          <w:rFonts w:hint="eastAsia" w:ascii="宋体" w:hAnsi="宋体" w:cs="宋体"/>
          <w:color w:val="auto"/>
          <w:sz w:val="24"/>
          <w:szCs w:val="24"/>
        </w:rPr>
        <w:t>报告周期延迟的，由乙方承担全部责任，同时乙方应免收本次</w:t>
      </w:r>
      <w:r>
        <w:rPr>
          <w:rFonts w:hint="eastAsia" w:ascii="宋体" w:hAnsi="宋体" w:cs="宋体"/>
          <w:color w:val="auto"/>
          <w:sz w:val="24"/>
          <w:szCs w:val="24"/>
          <w:lang w:eastAsia="zh-CN"/>
        </w:rPr>
        <w:t>检测</w:t>
      </w:r>
      <w:r>
        <w:rPr>
          <w:rFonts w:hint="eastAsia" w:ascii="宋体" w:hAnsi="宋体" w:cs="宋体"/>
          <w:color w:val="auto"/>
          <w:sz w:val="24"/>
          <w:szCs w:val="24"/>
        </w:rPr>
        <w:t>费用；因</w:t>
      </w:r>
      <w:r>
        <w:rPr>
          <w:rFonts w:hint="eastAsia" w:ascii="宋体" w:hAnsi="宋体" w:cs="宋体"/>
          <w:color w:val="auto"/>
          <w:sz w:val="24"/>
          <w:szCs w:val="24"/>
          <w:lang w:eastAsia="zh-CN"/>
        </w:rPr>
        <w:t>检测</w:t>
      </w:r>
      <w:r>
        <w:rPr>
          <w:rFonts w:hint="eastAsia" w:ascii="宋体" w:hAnsi="宋体" w:cs="宋体"/>
          <w:color w:val="auto"/>
          <w:sz w:val="24"/>
          <w:szCs w:val="24"/>
        </w:rPr>
        <w:t>报告周期延迟，引起患者投诉及医患纠纷等情况的，给医院造成不良影响，按违约责任第2款执行。</w:t>
      </w:r>
    </w:p>
    <w:p w14:paraId="0045F717">
      <w:pPr>
        <w:spacing w:line="480" w:lineRule="auto"/>
        <w:ind w:firstLine="424" w:firstLineChars="177"/>
        <w:rPr>
          <w:rFonts w:hint="eastAsia" w:ascii="宋体" w:hAnsi="宋体" w:cs="宋体"/>
          <w:color w:val="auto"/>
          <w:sz w:val="24"/>
          <w:szCs w:val="24"/>
        </w:rPr>
      </w:pPr>
      <w:r>
        <w:rPr>
          <w:rFonts w:hint="eastAsia" w:ascii="宋体" w:hAnsi="宋体" w:cs="宋体"/>
          <w:color w:val="auto"/>
          <w:sz w:val="24"/>
          <w:szCs w:val="24"/>
        </w:rPr>
        <w:t>九、纠纷的解决：</w:t>
      </w:r>
    </w:p>
    <w:p w14:paraId="1E129DCC">
      <w:pPr>
        <w:spacing w:line="56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本合同如发生纠纷，当事人双方应当及时协商解决，协商不成时，双方一致同意请甲方业务主管机关仲裁委员会申请仲裁，或直接向甲方人民法院起诉。</w:t>
      </w:r>
    </w:p>
    <w:p w14:paraId="0D075A19">
      <w:pPr>
        <w:spacing w:line="480" w:lineRule="auto"/>
        <w:ind w:firstLine="424" w:firstLineChars="177"/>
        <w:rPr>
          <w:rFonts w:ascii="宋体" w:hAnsi="宋体" w:cs="宋体"/>
          <w:color w:val="auto"/>
          <w:sz w:val="24"/>
          <w:szCs w:val="24"/>
        </w:rPr>
      </w:pPr>
      <w:r>
        <w:rPr>
          <w:rFonts w:hint="eastAsia" w:ascii="宋体" w:hAnsi="宋体" w:cs="宋体"/>
          <w:color w:val="auto"/>
          <w:sz w:val="24"/>
          <w:szCs w:val="24"/>
        </w:rPr>
        <w:t>十、协议的效力</w:t>
      </w:r>
    </w:p>
    <w:p w14:paraId="0F4789AA">
      <w:pPr>
        <w:spacing w:line="480" w:lineRule="auto"/>
        <w:ind w:left="425"/>
        <w:rPr>
          <w:rFonts w:hint="eastAsia" w:ascii="宋体" w:hAnsi="宋体" w:cs="宋体"/>
          <w:color w:val="auto"/>
          <w:sz w:val="24"/>
          <w:szCs w:val="24"/>
        </w:rPr>
      </w:pPr>
      <w:r>
        <w:rPr>
          <w:rFonts w:hint="eastAsia" w:ascii="宋体" w:hAnsi="宋体" w:cs="宋体"/>
          <w:color w:val="auto"/>
          <w:sz w:val="24"/>
          <w:szCs w:val="24"/>
        </w:rPr>
        <w:t>乙方投标文件为本合同附加条款，与本合同具有同等法律效力。</w:t>
      </w:r>
    </w:p>
    <w:p w14:paraId="0E5535A7">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本协议一式伍份，甲方肆份，乙方壹份，自双方签字盖章后生效。</w:t>
      </w:r>
    </w:p>
    <w:p w14:paraId="553C8BC2">
      <w:pPr>
        <w:spacing w:line="480" w:lineRule="auto"/>
        <w:ind w:firstLine="480" w:firstLineChars="200"/>
        <w:rPr>
          <w:rFonts w:ascii="宋体" w:hAnsi="宋体" w:cs="宋体"/>
          <w:color w:val="auto"/>
          <w:sz w:val="24"/>
          <w:szCs w:val="24"/>
        </w:rPr>
      </w:pPr>
    </w:p>
    <w:p w14:paraId="5180A92E">
      <w:pPr>
        <w:spacing w:line="480" w:lineRule="auto"/>
        <w:ind w:firstLine="480" w:firstLineChars="200"/>
        <w:rPr>
          <w:rFonts w:ascii="宋体" w:hAnsi="宋体" w:cs="宋体"/>
          <w:color w:val="auto"/>
          <w:sz w:val="24"/>
          <w:szCs w:val="24"/>
        </w:rPr>
      </w:pPr>
    </w:p>
    <w:p w14:paraId="14C08C57">
      <w:pPr>
        <w:spacing w:line="480" w:lineRule="auto"/>
        <w:ind w:firstLine="480" w:firstLineChars="200"/>
        <w:rPr>
          <w:rFonts w:ascii="宋体" w:hAnsi="宋体" w:cs="宋体"/>
          <w:color w:val="auto"/>
          <w:sz w:val="24"/>
          <w:szCs w:val="24"/>
        </w:rPr>
      </w:pPr>
    </w:p>
    <w:p w14:paraId="05829929">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（此页无正文）</w:t>
      </w:r>
    </w:p>
    <w:p w14:paraId="09BD499E">
      <w:pPr>
        <w:spacing w:line="480" w:lineRule="auto"/>
        <w:ind w:firstLine="480" w:firstLineChars="200"/>
        <w:rPr>
          <w:rFonts w:hint="eastAsia" w:ascii="宋体" w:hAnsi="宋体" w:cs="宋体"/>
          <w:color w:val="auto"/>
          <w:sz w:val="24"/>
          <w:szCs w:val="24"/>
        </w:rPr>
      </w:pPr>
    </w:p>
    <w:p w14:paraId="49D11299">
      <w:pPr>
        <w:spacing w:line="50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 xml:space="preserve">甲 </w:t>
      </w:r>
      <w:r>
        <w:rPr>
          <w:rFonts w:ascii="宋体" w:hAnsi="宋体" w:cs="宋体"/>
          <w:color w:val="auto"/>
          <w:sz w:val="24"/>
          <w:szCs w:val="24"/>
        </w:rPr>
        <w:t xml:space="preserve"> </w:t>
      </w:r>
      <w:r>
        <w:rPr>
          <w:rFonts w:hint="eastAsia" w:ascii="宋体" w:hAnsi="宋体" w:cs="宋体"/>
          <w:color w:val="auto"/>
          <w:sz w:val="24"/>
          <w:szCs w:val="24"/>
        </w:rPr>
        <w:t xml:space="preserve">方：三门峡市中心医院     </w:t>
      </w:r>
      <w:r>
        <w:rPr>
          <w:rFonts w:ascii="宋体" w:hAnsi="宋体" w:cs="宋体"/>
          <w:color w:val="auto"/>
          <w:sz w:val="24"/>
          <w:szCs w:val="24"/>
        </w:rPr>
        <w:t xml:space="preserve">  </w:t>
      </w:r>
      <w:r>
        <w:rPr>
          <w:rFonts w:hint="eastAsia" w:ascii="宋体" w:hAnsi="宋体" w:cs="宋体"/>
          <w:color w:val="auto"/>
          <w:sz w:val="24"/>
          <w:szCs w:val="24"/>
        </w:rPr>
        <w:t xml:space="preserve">  乙 </w:t>
      </w:r>
      <w:r>
        <w:rPr>
          <w:rFonts w:ascii="宋体" w:hAnsi="宋体" w:cs="宋体"/>
          <w:color w:val="auto"/>
          <w:sz w:val="24"/>
          <w:szCs w:val="24"/>
        </w:rPr>
        <w:t xml:space="preserve"> </w:t>
      </w:r>
      <w:r>
        <w:rPr>
          <w:rFonts w:hint="eastAsia" w:ascii="宋体" w:hAnsi="宋体" w:cs="宋体"/>
          <w:color w:val="auto"/>
          <w:sz w:val="24"/>
          <w:szCs w:val="24"/>
        </w:rPr>
        <w:t xml:space="preserve">方： </w:t>
      </w:r>
    </w:p>
    <w:p w14:paraId="5EA77E09">
      <w:pPr>
        <w:spacing w:line="560" w:lineRule="exact"/>
        <w:rPr>
          <w:rFonts w:hint="eastAsia" w:ascii="宋体" w:hAnsi="宋体" w:cs="宋体"/>
          <w:color w:val="auto"/>
          <w:sz w:val="24"/>
          <w:szCs w:val="24"/>
        </w:rPr>
      </w:pPr>
      <w:r>
        <w:rPr>
          <w:rFonts w:hint="eastAsia" w:ascii="宋体" w:hAnsi="宋体" w:cs="宋体"/>
          <w:color w:val="auto"/>
          <w:sz w:val="24"/>
          <w:szCs w:val="24"/>
        </w:rPr>
        <w:t xml:space="preserve">  地  址：三门峡市崤山路中段       地  址：</w:t>
      </w:r>
    </w:p>
    <w:p w14:paraId="0EB25050">
      <w:pPr>
        <w:spacing w:line="560" w:lineRule="exact"/>
        <w:rPr>
          <w:rFonts w:ascii="宋体" w:hAnsi="宋体" w:cs="宋体"/>
          <w:color w:val="auto"/>
          <w:sz w:val="24"/>
          <w:szCs w:val="24"/>
        </w:rPr>
      </w:pPr>
      <w:r>
        <w:rPr>
          <w:rFonts w:hint="eastAsia" w:ascii="宋体" w:hAnsi="宋体" w:cs="宋体"/>
          <w:color w:val="auto"/>
          <w:sz w:val="24"/>
          <w:szCs w:val="24"/>
        </w:rPr>
        <w:t xml:space="preserve">  电  话：0398-3118093             电  话：</w:t>
      </w:r>
    </w:p>
    <w:p w14:paraId="619F35F2">
      <w:pPr>
        <w:spacing w:line="560" w:lineRule="exact"/>
        <w:ind w:left="5040" w:hanging="5040" w:hangingChars="2100"/>
        <w:rPr>
          <w:rFonts w:hint="eastAsia" w:ascii="宋体" w:hAnsi="宋体" w:cs="宋体"/>
          <w:color w:val="auto"/>
          <w:sz w:val="24"/>
          <w:szCs w:val="24"/>
        </w:rPr>
      </w:pPr>
      <w:r>
        <w:rPr>
          <w:rFonts w:hint="eastAsia" w:ascii="宋体" w:hAnsi="宋体" w:cs="宋体"/>
          <w:color w:val="auto"/>
          <w:sz w:val="24"/>
          <w:szCs w:val="24"/>
        </w:rPr>
        <w:t xml:space="preserve">  开户行：                         开户行：</w:t>
      </w:r>
    </w:p>
    <w:p w14:paraId="34A6C41B">
      <w:pPr>
        <w:spacing w:line="560" w:lineRule="exact"/>
        <w:rPr>
          <w:rFonts w:hint="eastAsia" w:ascii="宋体" w:hAnsi="宋体" w:cs="宋体"/>
          <w:color w:val="auto"/>
          <w:sz w:val="24"/>
          <w:szCs w:val="24"/>
        </w:rPr>
      </w:pPr>
      <w:r>
        <w:rPr>
          <w:rFonts w:hint="eastAsia" w:ascii="宋体" w:hAnsi="宋体" w:cs="宋体"/>
          <w:color w:val="auto"/>
          <w:sz w:val="24"/>
          <w:szCs w:val="24"/>
        </w:rPr>
        <w:t xml:space="preserve">  帐  号：                         帐  号：  </w:t>
      </w:r>
    </w:p>
    <w:p w14:paraId="1E3326D9">
      <w:pPr>
        <w:spacing w:line="56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法人或委托人签字：               法人或委托人签字：</w:t>
      </w:r>
    </w:p>
    <w:p w14:paraId="2165958A">
      <w:pPr>
        <w:spacing w:line="560" w:lineRule="exact"/>
        <w:ind w:firstLine="240" w:firstLineChars="100"/>
        <w:rPr>
          <w:rFonts w:hint="eastAsia" w:ascii="宋体" w:hAnsi="宋体" w:cs="宋体"/>
          <w:color w:val="auto"/>
          <w:sz w:val="24"/>
          <w:szCs w:val="24"/>
        </w:rPr>
      </w:pPr>
    </w:p>
    <w:p w14:paraId="2B2168EC">
      <w:pPr>
        <w:spacing w:line="560" w:lineRule="exact"/>
        <w:ind w:firstLine="240" w:firstLineChars="100"/>
        <w:rPr>
          <w:rFonts w:ascii="宋体" w:hAnsi="宋体" w:cs="宋体"/>
          <w:color w:val="auto"/>
          <w:sz w:val="24"/>
          <w:szCs w:val="24"/>
        </w:rPr>
      </w:pPr>
      <w:r>
        <w:rPr>
          <w:rFonts w:hint="eastAsia" w:ascii="宋体" w:hAnsi="宋体" w:cs="宋体"/>
          <w:color w:val="auto"/>
          <w:sz w:val="24"/>
          <w:szCs w:val="24"/>
        </w:rPr>
        <w:t>主管院领导签字：</w:t>
      </w:r>
    </w:p>
    <w:p w14:paraId="0EBA3210">
      <w:pPr>
        <w:spacing w:line="560" w:lineRule="exact"/>
        <w:ind w:firstLine="4560" w:firstLineChars="1900"/>
        <w:rPr>
          <w:rFonts w:hint="eastAsia" w:ascii="宋体" w:hAnsi="宋体" w:cs="宋体"/>
          <w:color w:val="auto"/>
          <w:sz w:val="24"/>
          <w:szCs w:val="24"/>
        </w:rPr>
      </w:pPr>
      <w:r>
        <w:rPr>
          <w:rFonts w:hint="eastAsia" w:ascii="宋体" w:hAnsi="宋体" w:cs="宋体"/>
          <w:color w:val="auto"/>
          <w:sz w:val="24"/>
          <w:szCs w:val="24"/>
        </w:rPr>
        <w:t>签订时间：202</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14:paraId="49944BFF">
      <w:pPr>
        <w:spacing w:line="560" w:lineRule="exact"/>
        <w:rPr>
          <w:rFonts w:hint="eastAsia" w:ascii="宋体" w:hAnsi="宋体" w:cs="宋体"/>
          <w:color w:val="auto"/>
          <w:sz w:val="24"/>
          <w:szCs w:val="24"/>
        </w:rPr>
      </w:pPr>
    </w:p>
    <w:p w14:paraId="45BA9432">
      <w:pPr>
        <w:spacing w:line="560" w:lineRule="exact"/>
        <w:rPr>
          <w:rFonts w:hint="eastAsia" w:ascii="宋体" w:hAnsi="宋体" w:cs="宋体"/>
          <w:color w:val="auto"/>
          <w:sz w:val="24"/>
          <w:szCs w:val="24"/>
        </w:rPr>
      </w:pPr>
      <w:r>
        <w:rPr>
          <w:rFonts w:hint="eastAsia" w:ascii="宋体" w:hAnsi="宋体" w:cs="宋体"/>
          <w:color w:val="auto"/>
          <w:sz w:val="24"/>
          <w:szCs w:val="24"/>
        </w:rPr>
        <w:t>附件：《廉政协议书》</w:t>
      </w:r>
    </w:p>
    <w:p w14:paraId="24E865A0">
      <w:pPr>
        <w:spacing w:line="500" w:lineRule="exact"/>
        <w:jc w:val="left"/>
        <w:rPr>
          <w:rFonts w:ascii="仿宋" w:hAnsi="仿宋" w:eastAsia="仿宋" w:cs="仿宋"/>
          <w:color w:val="auto"/>
          <w:sz w:val="28"/>
          <w:szCs w:val="28"/>
        </w:rPr>
      </w:pPr>
    </w:p>
    <w:p w14:paraId="61EECCF5">
      <w:pPr>
        <w:spacing w:line="500" w:lineRule="exact"/>
        <w:jc w:val="left"/>
        <w:rPr>
          <w:rFonts w:ascii="仿宋" w:hAnsi="仿宋" w:eastAsia="仿宋" w:cs="仿宋"/>
          <w:color w:val="000000"/>
          <w:sz w:val="28"/>
          <w:szCs w:val="28"/>
        </w:rPr>
      </w:pPr>
    </w:p>
    <w:p w14:paraId="19F99F3C">
      <w:pPr>
        <w:spacing w:line="500" w:lineRule="exact"/>
        <w:jc w:val="left"/>
        <w:rPr>
          <w:rFonts w:ascii="仿宋" w:hAnsi="仿宋" w:eastAsia="仿宋" w:cs="仿宋"/>
          <w:color w:val="000000"/>
          <w:sz w:val="28"/>
          <w:szCs w:val="28"/>
        </w:rPr>
      </w:pPr>
    </w:p>
    <w:p w14:paraId="03F1467A">
      <w:pPr>
        <w:spacing w:line="500" w:lineRule="exact"/>
        <w:jc w:val="left"/>
        <w:rPr>
          <w:rFonts w:ascii="仿宋" w:hAnsi="仿宋" w:eastAsia="仿宋" w:cs="仿宋"/>
          <w:color w:val="000000"/>
          <w:sz w:val="28"/>
          <w:szCs w:val="28"/>
        </w:rPr>
      </w:pPr>
    </w:p>
    <w:p w14:paraId="16CC972D">
      <w:pPr>
        <w:spacing w:line="500" w:lineRule="exact"/>
        <w:jc w:val="left"/>
        <w:rPr>
          <w:rFonts w:ascii="仿宋" w:hAnsi="仿宋" w:eastAsia="仿宋" w:cs="仿宋"/>
          <w:color w:val="000000"/>
          <w:sz w:val="28"/>
          <w:szCs w:val="28"/>
        </w:rPr>
      </w:pPr>
    </w:p>
    <w:p w14:paraId="4529E588">
      <w:pPr>
        <w:pStyle w:val="11"/>
        <w:ind w:left="0" w:leftChars="0" w:firstLine="0" w:firstLineChars="0"/>
        <w:rPr>
          <w:rFonts w:ascii="仿宋" w:hAnsi="仿宋" w:eastAsia="仿宋" w:cs="仿宋"/>
          <w:color w:val="000000"/>
          <w:sz w:val="28"/>
          <w:szCs w:val="28"/>
        </w:rPr>
      </w:pPr>
    </w:p>
    <w:p w14:paraId="15585542">
      <w:pPr>
        <w:spacing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附件</w:t>
      </w:r>
      <w:r>
        <w:rPr>
          <w:rFonts w:ascii="仿宋" w:hAnsi="仿宋" w:eastAsia="仿宋" w:cs="仿宋"/>
          <w:color w:val="000000"/>
          <w:sz w:val="28"/>
          <w:szCs w:val="28"/>
        </w:rPr>
        <w:t>:</w:t>
      </w:r>
    </w:p>
    <w:p w14:paraId="2A36EDBC">
      <w:pPr>
        <w:jc w:val="center"/>
        <w:rPr>
          <w:rFonts w:hint="eastAsia" w:ascii="宋体" w:hAnsi="宋体" w:cs="宋体"/>
          <w:b/>
          <w:bCs/>
          <w:color w:val="000000"/>
          <w:sz w:val="44"/>
          <w:szCs w:val="44"/>
        </w:rPr>
      </w:pPr>
      <w:r>
        <w:rPr>
          <w:rFonts w:hint="eastAsia" w:ascii="宋体" w:hAnsi="宋体" w:cs="宋体"/>
          <w:b/>
          <w:bCs/>
          <w:color w:val="000000"/>
          <w:sz w:val="44"/>
          <w:szCs w:val="44"/>
        </w:rPr>
        <w:t>廉 政 协 议 书</w:t>
      </w:r>
    </w:p>
    <w:p w14:paraId="1E2695DC">
      <w:pPr>
        <w:jc w:val="center"/>
        <w:rPr>
          <w:rFonts w:hint="eastAsia" w:ascii="宋体" w:hAnsi="宋体" w:cs="宋体"/>
          <w:b/>
          <w:bCs/>
          <w:color w:val="000000"/>
          <w:sz w:val="13"/>
          <w:szCs w:val="13"/>
        </w:rPr>
      </w:pPr>
    </w:p>
    <w:p w14:paraId="7CA3C2BC">
      <w:pPr>
        <w:spacing w:line="24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甲方：三门峡市中心医院</w:t>
      </w:r>
    </w:p>
    <w:p w14:paraId="2B5E24C4">
      <w:pPr>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乙方： </w:t>
      </w:r>
    </w:p>
    <w:p w14:paraId="28EC8FBC">
      <w:pPr>
        <w:spacing w:line="500" w:lineRule="exact"/>
        <w:ind w:firstLine="708" w:firstLineChars="253"/>
        <w:rPr>
          <w:rFonts w:hint="eastAsia" w:ascii="仿宋" w:hAnsi="仿宋"/>
          <w:b/>
          <w:color w:val="000000"/>
          <w:sz w:val="28"/>
          <w:szCs w:val="28"/>
        </w:rPr>
      </w:pPr>
      <w:r>
        <w:rPr>
          <w:rFonts w:hint="eastAsia" w:ascii="仿宋" w:hAnsi="仿宋" w:eastAsia="仿宋" w:cs="仿宋"/>
          <w:color w:val="000000"/>
          <w:sz w:val="28"/>
          <w:szCs w:val="28"/>
        </w:rPr>
        <w:t>为了进一步规范医院物资采购（招投标）工作，认真贯彻公平、公正、公开的原则，建立有效的反商业贿赂机制，加强党风廉政建设，防止经营活动中不正之风和腐败现象的发生，经双方协商同意，签订本协议。</w:t>
      </w:r>
    </w:p>
    <w:p w14:paraId="76D95E84">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第一条  协议双方须严格遵守国家法律和廉政建设各项规定及物资采购、基建工程等各类合同。双方有相互监督、遵纪守法、履行合同的义务和权利。</w:t>
      </w:r>
    </w:p>
    <w:p w14:paraId="1DEAA4A0">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14:paraId="12F624E6">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14:paraId="4A3C716D">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第四条  乙方对甲方及有关工作人员的违法违纪行为和不正当要求，可及时据实向甲方纪检、监察科室投诉和举报。</w:t>
      </w:r>
    </w:p>
    <w:p w14:paraId="0EAB0001">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第五条  对违反本协议者，根据其后果和违纪程度，可以作出以下处理：批评、诫勉；党纪政纪处分；追究法律责任；追究违约方经济责任；中止合同。   </w:t>
      </w:r>
    </w:p>
    <w:p w14:paraId="07710A20">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第六条  本协议贯穿于物资采购、招投标全过程，在工程竣工、货物验收时：应一并考核本协议的履行结果。</w:t>
      </w:r>
    </w:p>
    <w:p w14:paraId="67EECD89">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第七条  三门峡市中心医院纪委、监察室负责本合同的廉政监督，投诉、举报受理和违法违纪行为的查处。</w:t>
      </w:r>
    </w:p>
    <w:p w14:paraId="1293A785">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第八条  本协议作为双方合同的附件，经双方签署后生效。</w:t>
      </w:r>
    </w:p>
    <w:p w14:paraId="17FBB791">
      <w:pPr>
        <w:spacing w:line="240" w:lineRule="atLeast"/>
        <w:ind w:firstLine="638" w:firstLineChars="228"/>
        <w:rPr>
          <w:rFonts w:hint="eastAsia" w:ascii="仿宋" w:hAnsi="仿宋" w:eastAsia="仿宋" w:cs="仿宋"/>
          <w:color w:val="000000"/>
          <w:sz w:val="28"/>
          <w:szCs w:val="28"/>
        </w:rPr>
      </w:pPr>
    </w:p>
    <w:p w14:paraId="644256EF">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监督电话：0398-3118019</w:t>
      </w:r>
    </w:p>
    <w:p w14:paraId="228F43BE">
      <w:pPr>
        <w:spacing w:line="240" w:lineRule="atLeast"/>
        <w:ind w:firstLine="638" w:firstLineChars="228"/>
        <w:rPr>
          <w:rFonts w:hint="eastAsia" w:ascii="仿宋" w:hAnsi="仿宋" w:eastAsia="仿宋" w:cs="仿宋"/>
          <w:color w:val="000000"/>
          <w:sz w:val="28"/>
          <w:szCs w:val="28"/>
        </w:rPr>
      </w:pPr>
    </w:p>
    <w:p w14:paraId="148FE9EB">
      <w:pPr>
        <w:shd w:val="clear" w:color="auto" w:fill="FFFFFF"/>
        <w:spacing w:after="288" w:line="640" w:lineRule="exact"/>
        <w:ind w:left="6860" w:hanging="6860" w:hangingChars="2450"/>
        <w:rPr>
          <w:rFonts w:ascii="仿宋" w:hAnsi="仿宋" w:eastAsia="仿宋" w:cs="仿宋"/>
          <w:color w:val="000000"/>
          <w:sz w:val="28"/>
          <w:szCs w:val="28"/>
        </w:rPr>
      </w:pPr>
      <w:r>
        <w:rPr>
          <w:rFonts w:hint="eastAsia" w:ascii="仿宋" w:hAnsi="仿宋" w:eastAsia="仿宋" w:cs="仿宋"/>
          <w:color w:val="000000"/>
          <w:sz w:val="28"/>
          <w:szCs w:val="28"/>
        </w:rPr>
        <w:t xml:space="preserve">甲方(盖章) 三门峡市中心医院     </w:t>
      </w:r>
    </w:p>
    <w:p w14:paraId="3B1AA8D7">
      <w:pPr>
        <w:shd w:val="clear" w:color="auto" w:fill="FFFFFF"/>
        <w:spacing w:after="288" w:line="640" w:lineRule="exact"/>
        <w:ind w:left="6860" w:hanging="6860" w:hangingChars="2450"/>
        <w:rPr>
          <w:rFonts w:ascii="仿宋" w:hAnsi="仿宋" w:eastAsia="仿宋" w:cs="仿宋"/>
          <w:color w:val="000000"/>
          <w:sz w:val="28"/>
          <w:szCs w:val="28"/>
        </w:rPr>
      </w:pPr>
    </w:p>
    <w:p w14:paraId="0632094C">
      <w:pPr>
        <w:shd w:val="clear" w:color="auto" w:fill="FFFFFF"/>
        <w:spacing w:after="288" w:line="640" w:lineRule="exact"/>
        <w:ind w:left="6860" w:hanging="6860" w:hangingChars="2450"/>
        <w:rPr>
          <w:rFonts w:ascii="仿宋" w:hAnsi="仿宋" w:eastAsia="仿宋" w:cs="仿宋"/>
          <w:color w:val="000000"/>
          <w:sz w:val="28"/>
          <w:szCs w:val="28"/>
        </w:rPr>
      </w:pPr>
    </w:p>
    <w:p w14:paraId="6D319E1B">
      <w:pPr>
        <w:spacing w:line="500" w:lineRule="exact"/>
        <w:rPr>
          <w:rFonts w:hint="eastAsia" w:ascii="仿宋" w:hAnsi="仿宋"/>
          <w:b/>
          <w:color w:val="000000"/>
          <w:sz w:val="28"/>
          <w:szCs w:val="28"/>
        </w:rPr>
      </w:pPr>
      <w:r>
        <w:rPr>
          <w:rFonts w:hint="eastAsia" w:ascii="仿宋" w:hAnsi="仿宋" w:eastAsia="仿宋" w:cs="仿宋"/>
          <w:color w:val="000000"/>
          <w:sz w:val="28"/>
          <w:szCs w:val="28"/>
        </w:rPr>
        <w:t>乙方(盖章、签字)</w:t>
      </w:r>
      <w:r>
        <w:rPr>
          <w:rFonts w:hint="eastAsia" w:ascii="仿宋" w:hAnsi="仿宋" w:eastAsia="仿宋"/>
          <w:color w:val="000000"/>
          <w:sz w:val="28"/>
          <w:szCs w:val="28"/>
        </w:rPr>
        <w:t xml:space="preserve"> </w:t>
      </w:r>
    </w:p>
    <w:p w14:paraId="36EF2514">
      <w:pPr>
        <w:spacing w:line="500" w:lineRule="exact"/>
        <w:rPr>
          <w:rFonts w:hint="eastAsia" w:ascii="仿宋" w:hAnsi="仿宋"/>
          <w:color w:val="000000"/>
          <w:sz w:val="28"/>
          <w:szCs w:val="28"/>
        </w:rPr>
      </w:pPr>
    </w:p>
    <w:p w14:paraId="772D714E">
      <w:pPr>
        <w:spacing w:line="480" w:lineRule="auto"/>
        <w:rPr>
          <w:rFonts w:hint="eastAsia" w:ascii="宋体" w:hAnsi="宋体" w:cs="宋体"/>
          <w:color w:val="000000"/>
          <w:sz w:val="24"/>
          <w:szCs w:val="24"/>
        </w:rPr>
      </w:pPr>
    </w:p>
    <w:p w14:paraId="618771BA">
      <w:pPr>
        <w:pStyle w:val="10"/>
        <w:rPr>
          <w:rFonts w:hint="eastAsia" w:ascii="宋体" w:hAnsi="宋体" w:cs="宋体"/>
          <w:color w:val="000000"/>
          <w:sz w:val="24"/>
          <w:szCs w:val="24"/>
        </w:rPr>
      </w:pPr>
    </w:p>
    <w:p w14:paraId="36C597B0">
      <w:pPr>
        <w:pStyle w:val="11"/>
        <w:rPr>
          <w:rFonts w:hint="eastAsia" w:ascii="宋体" w:hAnsi="宋体" w:cs="宋体"/>
          <w:color w:val="000000"/>
          <w:sz w:val="24"/>
          <w:szCs w:val="24"/>
        </w:rPr>
      </w:pPr>
    </w:p>
    <w:p w14:paraId="458C96AE">
      <w:pPr>
        <w:pStyle w:val="11"/>
        <w:rPr>
          <w:rFonts w:hint="eastAsia" w:ascii="宋体" w:hAnsi="宋体" w:cs="宋体"/>
          <w:color w:val="000000"/>
          <w:sz w:val="24"/>
          <w:szCs w:val="24"/>
        </w:rPr>
      </w:pPr>
    </w:p>
    <w:p w14:paraId="4084A4EA">
      <w:pPr>
        <w:pStyle w:val="11"/>
        <w:rPr>
          <w:rFonts w:hint="eastAsia" w:ascii="宋体" w:hAnsi="宋体" w:cs="宋体"/>
          <w:color w:val="000000"/>
          <w:sz w:val="24"/>
          <w:szCs w:val="24"/>
        </w:rPr>
      </w:pPr>
    </w:p>
    <w:p w14:paraId="14273210">
      <w:pPr>
        <w:pStyle w:val="11"/>
        <w:rPr>
          <w:rFonts w:hint="eastAsia" w:ascii="宋体" w:hAnsi="宋体" w:cs="宋体"/>
          <w:color w:val="000000"/>
          <w:sz w:val="24"/>
          <w:szCs w:val="24"/>
        </w:rPr>
      </w:pPr>
    </w:p>
    <w:p w14:paraId="7F761F46">
      <w:pPr>
        <w:pStyle w:val="11"/>
        <w:rPr>
          <w:rFonts w:hint="eastAsia" w:ascii="宋体" w:hAnsi="宋体" w:cs="宋体"/>
          <w:color w:val="000000"/>
          <w:sz w:val="24"/>
          <w:szCs w:val="24"/>
        </w:rPr>
      </w:pPr>
    </w:p>
    <w:p w14:paraId="345C8DBA">
      <w:pPr>
        <w:pStyle w:val="11"/>
        <w:rPr>
          <w:rFonts w:hint="eastAsia" w:ascii="宋体" w:hAnsi="宋体" w:cs="宋体"/>
          <w:color w:val="000000"/>
          <w:sz w:val="24"/>
          <w:szCs w:val="24"/>
        </w:rPr>
      </w:pPr>
    </w:p>
    <w:p w14:paraId="1D862773">
      <w:pPr>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第五章  评审标准</w:t>
      </w:r>
    </w:p>
    <w:tbl>
      <w:tblPr>
        <w:tblStyle w:val="12"/>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171"/>
        <w:gridCol w:w="2546"/>
        <w:gridCol w:w="6012"/>
      </w:tblGrid>
      <w:tr w14:paraId="538C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48" w:type="dxa"/>
            <w:gridSpan w:val="2"/>
            <w:tcBorders>
              <w:top w:val="single" w:color="auto" w:sz="4" w:space="0"/>
              <w:left w:val="single" w:color="auto" w:sz="4" w:space="0"/>
              <w:bottom w:val="single" w:color="auto" w:sz="4" w:space="0"/>
              <w:right w:val="single" w:color="auto" w:sz="4" w:space="0"/>
            </w:tcBorders>
            <w:vAlign w:val="center"/>
          </w:tcPr>
          <w:p w14:paraId="35FC5A76">
            <w:pPr>
              <w:spacing w:line="360" w:lineRule="auto"/>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条款号</w:t>
            </w:r>
          </w:p>
        </w:tc>
        <w:tc>
          <w:tcPr>
            <w:tcW w:w="2546" w:type="dxa"/>
            <w:tcBorders>
              <w:top w:val="single" w:color="auto" w:sz="4" w:space="0"/>
              <w:left w:val="single" w:color="auto" w:sz="4" w:space="0"/>
              <w:bottom w:val="single" w:color="auto" w:sz="4" w:space="0"/>
              <w:right w:val="single" w:color="auto" w:sz="4" w:space="0"/>
            </w:tcBorders>
            <w:vAlign w:val="center"/>
          </w:tcPr>
          <w:p w14:paraId="641CB0DE">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评审因素</w:t>
            </w:r>
          </w:p>
        </w:tc>
        <w:tc>
          <w:tcPr>
            <w:tcW w:w="6012" w:type="dxa"/>
            <w:tcBorders>
              <w:top w:val="single" w:color="auto" w:sz="4" w:space="0"/>
              <w:left w:val="single" w:color="auto" w:sz="4" w:space="0"/>
              <w:bottom w:val="single" w:color="auto" w:sz="4" w:space="0"/>
              <w:right w:val="single" w:color="auto" w:sz="4" w:space="0"/>
            </w:tcBorders>
            <w:vAlign w:val="center"/>
          </w:tcPr>
          <w:p w14:paraId="2C3523BF">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评审标准</w:t>
            </w:r>
          </w:p>
        </w:tc>
      </w:tr>
      <w:tr w14:paraId="21A0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77" w:type="dxa"/>
            <w:vMerge w:val="restart"/>
            <w:tcBorders>
              <w:top w:val="single" w:color="auto" w:sz="4" w:space="0"/>
              <w:left w:val="single" w:color="auto" w:sz="4" w:space="0"/>
              <w:right w:val="single" w:color="auto" w:sz="4" w:space="0"/>
            </w:tcBorders>
            <w:vAlign w:val="center"/>
          </w:tcPr>
          <w:p w14:paraId="7A03C2D0">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2.1.1</w:t>
            </w:r>
          </w:p>
        </w:tc>
        <w:tc>
          <w:tcPr>
            <w:tcW w:w="1171" w:type="dxa"/>
            <w:vMerge w:val="restart"/>
            <w:tcBorders>
              <w:top w:val="single" w:color="auto" w:sz="4" w:space="0"/>
              <w:left w:val="single" w:color="auto" w:sz="4" w:space="0"/>
              <w:right w:val="single" w:color="auto" w:sz="4" w:space="0"/>
            </w:tcBorders>
            <w:vAlign w:val="center"/>
          </w:tcPr>
          <w:p w14:paraId="3233EEF1">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资格性</w:t>
            </w:r>
          </w:p>
          <w:p w14:paraId="1F81E61E">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审查</w:t>
            </w:r>
          </w:p>
          <w:p w14:paraId="7429777B">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标准</w:t>
            </w:r>
          </w:p>
        </w:tc>
        <w:tc>
          <w:tcPr>
            <w:tcW w:w="2546" w:type="dxa"/>
            <w:tcBorders>
              <w:top w:val="single" w:color="auto" w:sz="4" w:space="0"/>
              <w:left w:val="single" w:color="auto" w:sz="4" w:space="0"/>
              <w:right w:val="single" w:color="auto" w:sz="4" w:space="0"/>
            </w:tcBorders>
            <w:vAlign w:val="center"/>
          </w:tcPr>
          <w:p w14:paraId="50AF475D">
            <w:pPr>
              <w:spacing w:line="360" w:lineRule="auto"/>
              <w:jc w:val="center"/>
              <w:rPr>
                <w:rFonts w:ascii="宋体" w:hAnsi="宋体" w:eastAsia="宋体" w:cs="Times New Roman"/>
                <w:color w:val="000000" w:themeColor="text1"/>
                <w:sz w:val="28"/>
                <w:szCs w:val="28"/>
                <w:highlight w:val="yellow"/>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营业执照</w:t>
            </w:r>
          </w:p>
        </w:tc>
        <w:tc>
          <w:tcPr>
            <w:tcW w:w="6012" w:type="dxa"/>
            <w:tcBorders>
              <w:top w:val="single" w:color="auto" w:sz="4" w:space="0"/>
              <w:left w:val="single" w:color="auto" w:sz="4" w:space="0"/>
              <w:right w:val="single" w:color="auto" w:sz="4" w:space="0"/>
            </w:tcBorders>
            <w:vAlign w:val="center"/>
          </w:tcPr>
          <w:p w14:paraId="4F2808A5">
            <w:pPr>
              <w:spacing w:line="720" w:lineRule="auto"/>
              <w:rPr>
                <w:rFonts w:ascii="宋体" w:hAnsi="宋体" w:eastAsia="宋体" w:cs="MingLiU"/>
                <w:color w:val="000000" w:themeColor="text1"/>
                <w:sz w:val="28"/>
                <w:szCs w:val="28"/>
                <w:highlight w:val="yellow"/>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投标供应商须具有合法有效的营业执照</w:t>
            </w:r>
          </w:p>
        </w:tc>
      </w:tr>
      <w:tr w14:paraId="2D06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77" w:type="dxa"/>
            <w:vMerge w:val="continue"/>
            <w:tcBorders>
              <w:left w:val="single" w:color="auto" w:sz="4" w:space="0"/>
              <w:right w:val="single" w:color="auto" w:sz="4" w:space="0"/>
            </w:tcBorders>
            <w:vAlign w:val="center"/>
          </w:tcPr>
          <w:p w14:paraId="68EF4232">
            <w:pPr>
              <w:spacing w:line="360" w:lineRule="auto"/>
              <w:jc w:val="center"/>
              <w:rPr>
                <w:rFonts w:hint="eastAsia"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5294D66A">
            <w:pPr>
              <w:spacing w:line="360" w:lineRule="auto"/>
              <w:jc w:val="center"/>
              <w:rPr>
                <w:rFonts w:hint="eastAsia"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6AEB8D4A">
            <w:pPr>
              <w:spacing w:line="360" w:lineRule="auto"/>
              <w:jc w:val="center"/>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医疗机构执业许可证</w:t>
            </w:r>
          </w:p>
        </w:tc>
        <w:tc>
          <w:tcPr>
            <w:tcW w:w="6012" w:type="dxa"/>
            <w:tcBorders>
              <w:top w:val="single" w:color="auto" w:sz="4" w:space="0"/>
              <w:left w:val="single" w:color="auto" w:sz="4" w:space="0"/>
              <w:right w:val="single" w:color="auto" w:sz="4" w:space="0"/>
            </w:tcBorders>
            <w:vAlign w:val="center"/>
          </w:tcPr>
          <w:p w14:paraId="213DEF7F">
            <w:pPr>
              <w:spacing w:line="720" w:lineRule="auto"/>
              <w:rPr>
                <w:rFonts w:hint="eastAsia" w:ascii="宋体" w:hAnsi="宋体" w:eastAsia="宋体" w:cs="MingLiU"/>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具有行政主管部门颁发的在有效期内《医疗机构执业许可证</w:t>
            </w:r>
          </w:p>
        </w:tc>
      </w:tr>
      <w:tr w14:paraId="141D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49A77C46">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37FDB309">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2B85A64C">
            <w:pPr>
              <w:spacing w:line="276"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无商业贿赂和不正当竞争行为</w:t>
            </w:r>
          </w:p>
        </w:tc>
        <w:tc>
          <w:tcPr>
            <w:tcW w:w="6012" w:type="dxa"/>
            <w:tcBorders>
              <w:top w:val="single" w:color="auto" w:sz="4" w:space="0"/>
              <w:left w:val="single" w:color="auto" w:sz="4" w:space="0"/>
              <w:right w:val="single" w:color="auto" w:sz="4" w:space="0"/>
            </w:tcBorders>
            <w:vAlign w:val="center"/>
          </w:tcPr>
          <w:p w14:paraId="314A9865">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供应商须承诺本企业无商业贿赂和不正当竞争行为</w:t>
            </w:r>
          </w:p>
        </w:tc>
      </w:tr>
      <w:tr w14:paraId="4410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3FFCF4C9">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53023373">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58D37CEB">
            <w:pPr>
              <w:spacing w:line="276"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信用查询</w:t>
            </w:r>
          </w:p>
        </w:tc>
        <w:tc>
          <w:tcPr>
            <w:tcW w:w="6012" w:type="dxa"/>
            <w:tcBorders>
              <w:top w:val="single" w:color="auto" w:sz="4" w:space="0"/>
              <w:left w:val="single" w:color="auto" w:sz="4" w:space="0"/>
              <w:right w:val="single" w:color="auto" w:sz="4" w:space="0"/>
            </w:tcBorders>
            <w:vAlign w:val="center"/>
          </w:tcPr>
          <w:p w14:paraId="2859763C">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tc>
      </w:tr>
      <w:tr w14:paraId="18D6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7BADE9D2">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2F952A8D">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5C78C997">
            <w:pPr>
              <w:spacing w:line="276"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lang w:eastAsia="zh-CN"/>
                <w14:textFill>
                  <w14:solidFill>
                    <w14:schemeClr w14:val="tx1"/>
                  </w14:solidFill>
                </w14:textFill>
              </w:rPr>
              <w:t>本项目不接受联合体投标。</w:t>
            </w:r>
          </w:p>
        </w:tc>
        <w:tc>
          <w:tcPr>
            <w:tcW w:w="6012" w:type="dxa"/>
            <w:tcBorders>
              <w:top w:val="single" w:color="auto" w:sz="4" w:space="0"/>
              <w:left w:val="single" w:color="auto" w:sz="4" w:space="0"/>
              <w:right w:val="single" w:color="auto" w:sz="4" w:space="0"/>
            </w:tcBorders>
            <w:vAlign w:val="center"/>
          </w:tcPr>
          <w:p w14:paraId="76E5A81A">
            <w:pPr>
              <w:spacing w:line="500" w:lineRule="exact"/>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lang w:eastAsia="zh-CN"/>
                <w14:textFill>
                  <w14:solidFill>
                    <w14:schemeClr w14:val="tx1"/>
                  </w14:solidFill>
                </w14:textFill>
              </w:rPr>
              <w:t>本项目不接受联合体投标。提供非联合体承诺书，格式自拟。</w:t>
            </w:r>
          </w:p>
        </w:tc>
      </w:tr>
      <w:tr w14:paraId="0209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514F94AF">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5ABF9EEA">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0EB24F4D">
            <w:pPr>
              <w:spacing w:line="276"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单位负责人为同一人或者存在直接控股、管理关系的不同供应商，不得参加同一合同项下的政府采购活动</w:t>
            </w:r>
          </w:p>
        </w:tc>
        <w:tc>
          <w:tcPr>
            <w:tcW w:w="6012" w:type="dxa"/>
            <w:tcBorders>
              <w:top w:val="single" w:color="auto" w:sz="4" w:space="0"/>
              <w:left w:val="single" w:color="auto" w:sz="4" w:space="0"/>
              <w:right w:val="single" w:color="auto" w:sz="4" w:space="0"/>
            </w:tcBorders>
            <w:vAlign w:val="center"/>
          </w:tcPr>
          <w:p w14:paraId="0FC9FF48">
            <w:pPr>
              <w:spacing w:line="500" w:lineRule="exact"/>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单位负责人为同一人或者存在直接控股、管理关系的不同供应商，不得参加同一合同项下的政府采购活动；（供应商自行承诺，格式自拟）；</w:t>
            </w:r>
          </w:p>
        </w:tc>
      </w:tr>
      <w:tr w14:paraId="0046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806" w:type="dxa"/>
            <w:gridSpan w:val="4"/>
            <w:tcBorders>
              <w:left w:val="single" w:color="auto" w:sz="4" w:space="0"/>
              <w:right w:val="single" w:color="auto" w:sz="4" w:space="0"/>
            </w:tcBorders>
            <w:vAlign w:val="center"/>
          </w:tcPr>
          <w:p w14:paraId="4472E404">
            <w:pPr>
              <w:tabs>
                <w:tab w:val="left" w:pos="1868"/>
              </w:tabs>
              <w:jc w:val="left"/>
              <w:rPr>
                <w:rFonts w:ascii="宋体" w:hAnsi="宋体" w:eastAsia="宋体" w:cs="MingLiU"/>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资格评审以响应文件为准，其上传资料真实性由投标人自行承担，同时，投标人要完善主体库。</w:t>
            </w:r>
          </w:p>
        </w:tc>
      </w:tr>
      <w:tr w14:paraId="7F8C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7" w:type="dxa"/>
            <w:vMerge w:val="restart"/>
            <w:tcBorders>
              <w:left w:val="single" w:color="auto" w:sz="4" w:space="0"/>
              <w:right w:val="single" w:color="auto" w:sz="4" w:space="0"/>
            </w:tcBorders>
            <w:vAlign w:val="center"/>
          </w:tcPr>
          <w:p w14:paraId="7386781E">
            <w:pPr>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2.1.</w:t>
            </w:r>
            <w:r>
              <w:rPr>
                <w:rFonts w:hint="eastAsia" w:ascii="宋体" w:hAnsi="宋体" w:eastAsia="宋体" w:cs="Times New Roman"/>
                <w:bCs/>
                <w:color w:val="000000" w:themeColor="text1"/>
                <w:sz w:val="28"/>
                <w:szCs w:val="28"/>
                <w:lang w:val="en-US" w:eastAsia="zh-CN"/>
                <w14:textFill>
                  <w14:solidFill>
                    <w14:schemeClr w14:val="tx1"/>
                  </w14:solidFill>
                </w14:textFill>
              </w:rPr>
              <w:t>2</w:t>
            </w:r>
          </w:p>
        </w:tc>
        <w:tc>
          <w:tcPr>
            <w:tcW w:w="1171" w:type="dxa"/>
            <w:vMerge w:val="restart"/>
            <w:tcBorders>
              <w:left w:val="single" w:color="auto" w:sz="4" w:space="0"/>
              <w:right w:val="single" w:color="auto" w:sz="4" w:space="0"/>
            </w:tcBorders>
            <w:vAlign w:val="center"/>
          </w:tcPr>
          <w:p w14:paraId="200BF245">
            <w:pPr>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符合性</w:t>
            </w:r>
          </w:p>
          <w:p w14:paraId="1D03F182">
            <w:pPr>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审查</w:t>
            </w:r>
          </w:p>
          <w:p w14:paraId="5CBA801B">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标准</w:t>
            </w:r>
          </w:p>
        </w:tc>
        <w:tc>
          <w:tcPr>
            <w:tcW w:w="2546" w:type="dxa"/>
            <w:tcBorders>
              <w:top w:val="single" w:color="auto" w:sz="4" w:space="0"/>
              <w:left w:val="single" w:color="auto" w:sz="4" w:space="0"/>
              <w:bottom w:val="single" w:color="auto" w:sz="4" w:space="0"/>
              <w:right w:val="single" w:color="auto" w:sz="4" w:space="0"/>
            </w:tcBorders>
            <w:vAlign w:val="center"/>
          </w:tcPr>
          <w:p w14:paraId="013623E0">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质量要求</w:t>
            </w:r>
          </w:p>
        </w:tc>
        <w:tc>
          <w:tcPr>
            <w:tcW w:w="6012" w:type="dxa"/>
            <w:tcBorders>
              <w:top w:val="single" w:color="auto" w:sz="4" w:space="0"/>
              <w:left w:val="single" w:color="auto" w:sz="4" w:space="0"/>
              <w:bottom w:val="single" w:color="auto" w:sz="4" w:space="0"/>
              <w:right w:val="single" w:color="auto" w:sz="4" w:space="0"/>
            </w:tcBorders>
            <w:vAlign w:val="center"/>
          </w:tcPr>
          <w:p w14:paraId="5C8D0D59">
            <w:pPr>
              <w:spacing w:line="720"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符合国家的法律法规和行业技术要求</w:t>
            </w:r>
          </w:p>
        </w:tc>
      </w:tr>
      <w:tr w14:paraId="129F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7" w:type="dxa"/>
            <w:vMerge w:val="continue"/>
            <w:tcBorders>
              <w:left w:val="single" w:color="auto" w:sz="4" w:space="0"/>
              <w:right w:val="single" w:color="auto" w:sz="4" w:space="0"/>
            </w:tcBorders>
            <w:vAlign w:val="center"/>
          </w:tcPr>
          <w:p w14:paraId="16FF22D1">
            <w:pPr>
              <w:rPr>
                <w:rFonts w:ascii="宋体" w:hAnsi="宋体" w:eastAsia="宋体" w:cs="Times New Roman"/>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4630F85F">
            <w:pP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bottom w:val="single" w:color="auto" w:sz="4" w:space="0"/>
              <w:right w:val="single" w:color="auto" w:sz="4" w:space="0"/>
            </w:tcBorders>
            <w:vAlign w:val="center"/>
          </w:tcPr>
          <w:p w14:paraId="3ED34D87">
            <w:pPr>
              <w:spacing w:line="72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服务期限</w:t>
            </w:r>
          </w:p>
        </w:tc>
        <w:tc>
          <w:tcPr>
            <w:tcW w:w="6012" w:type="dxa"/>
            <w:tcBorders>
              <w:top w:val="single" w:color="auto" w:sz="4" w:space="0"/>
              <w:left w:val="single" w:color="auto" w:sz="4" w:space="0"/>
              <w:bottom w:val="single" w:color="auto" w:sz="4" w:space="0"/>
              <w:right w:val="single" w:color="auto" w:sz="4" w:space="0"/>
            </w:tcBorders>
            <w:vAlign w:val="center"/>
          </w:tcPr>
          <w:p w14:paraId="704ADDAF">
            <w:pPr>
              <w:spacing w:line="72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自签订合同之日起一年，一年内根据采购人实际需求进行供货。</w:t>
            </w:r>
          </w:p>
        </w:tc>
      </w:tr>
      <w:tr w14:paraId="287D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exact"/>
          <w:jc w:val="center"/>
        </w:trPr>
        <w:tc>
          <w:tcPr>
            <w:tcW w:w="1077" w:type="dxa"/>
            <w:vMerge w:val="continue"/>
            <w:tcBorders>
              <w:left w:val="single" w:color="auto" w:sz="4" w:space="0"/>
              <w:bottom w:val="single" w:color="auto" w:sz="4" w:space="0"/>
              <w:right w:val="single" w:color="auto" w:sz="4" w:space="0"/>
            </w:tcBorders>
            <w:vAlign w:val="center"/>
          </w:tcPr>
          <w:p w14:paraId="6B852BB8">
            <w:pPr>
              <w:rPr>
                <w:rFonts w:ascii="宋体" w:hAnsi="宋体" w:eastAsia="宋体" w:cs="Times New Roman"/>
                <w:color w:val="000000" w:themeColor="text1"/>
                <w:sz w:val="28"/>
                <w:szCs w:val="28"/>
                <w14:textFill>
                  <w14:solidFill>
                    <w14:schemeClr w14:val="tx1"/>
                  </w14:solidFill>
                </w14:textFill>
              </w:rPr>
            </w:pPr>
          </w:p>
        </w:tc>
        <w:tc>
          <w:tcPr>
            <w:tcW w:w="1171" w:type="dxa"/>
            <w:vMerge w:val="continue"/>
            <w:tcBorders>
              <w:left w:val="single" w:color="auto" w:sz="4" w:space="0"/>
              <w:bottom w:val="single" w:color="auto" w:sz="4" w:space="0"/>
              <w:right w:val="single" w:color="auto" w:sz="4" w:space="0"/>
            </w:tcBorders>
            <w:vAlign w:val="center"/>
          </w:tcPr>
          <w:p w14:paraId="5410FCE9">
            <w:pP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bottom w:val="single" w:color="auto" w:sz="4" w:space="0"/>
              <w:right w:val="single" w:color="auto" w:sz="4" w:space="0"/>
            </w:tcBorders>
            <w:vAlign w:val="center"/>
          </w:tcPr>
          <w:p w14:paraId="59D97071">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报价</w:t>
            </w:r>
          </w:p>
        </w:tc>
        <w:tc>
          <w:tcPr>
            <w:tcW w:w="6012" w:type="dxa"/>
            <w:tcBorders>
              <w:top w:val="single" w:color="auto" w:sz="4" w:space="0"/>
              <w:left w:val="single" w:color="auto" w:sz="4" w:space="0"/>
              <w:bottom w:val="single" w:color="auto" w:sz="4" w:space="0"/>
              <w:right w:val="single" w:color="auto" w:sz="4" w:space="0"/>
            </w:tcBorders>
            <w:vAlign w:val="center"/>
          </w:tcPr>
          <w:p w14:paraId="20F2F025">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响应人磋商总报价不得高于采购人的预算价，否则其投标将予否决。</w:t>
            </w:r>
          </w:p>
        </w:tc>
      </w:tr>
    </w:tbl>
    <w:p w14:paraId="2563C651">
      <w:pPr>
        <w:spacing w:line="440" w:lineRule="exact"/>
        <w:rPr>
          <w:rFonts w:ascii="宋体" w:hAnsi="宋体" w:eastAsia="宋体" w:cs="宋体"/>
          <w:b/>
          <w:color w:val="000000" w:themeColor="text1"/>
          <w:sz w:val="28"/>
          <w:szCs w:val="28"/>
          <w14:textFill>
            <w14:solidFill>
              <w14:schemeClr w14:val="tx1"/>
            </w14:solidFill>
          </w14:textFill>
        </w:rPr>
      </w:pPr>
    </w:p>
    <w:p w14:paraId="1CBE87B1">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 磋商文件的评审、比较和否决</w:t>
      </w:r>
    </w:p>
    <w:p w14:paraId="0E770011">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磋商小组将按照竞争性磋商文件的规定，仅对在实质上响应竞争性磋商文件要求的响应文件进行评估和比较。</w:t>
      </w:r>
    </w:p>
    <w:p w14:paraId="6FC599B3">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38D319A3">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在磋商过程中，磋商小组可以以书面形式要求磋商供应商就响应文件中含义不明确的内容进行书面说明并提供相关材料；</w:t>
      </w:r>
      <w:r>
        <w:rPr>
          <w:rFonts w:hint="eastAsia" w:ascii="宋体" w:hAnsi="宋体" w:eastAsia="宋体" w:cs="宋体"/>
          <w:color w:val="000000" w:themeColor="text1"/>
          <w:spacing w:val="-12"/>
          <w:sz w:val="28"/>
          <w:szCs w:val="28"/>
          <w14:textFill>
            <w14:solidFill>
              <w14:schemeClr w14:val="tx1"/>
            </w14:solidFill>
          </w14:textFill>
        </w:rPr>
        <w:t>凡遇到响应文件中无界定或界定不清、前后不一致使评委会成员</w:t>
      </w:r>
      <w:r>
        <w:rPr>
          <w:rFonts w:hint="eastAsia" w:ascii="宋体" w:hAnsi="宋体" w:eastAsia="宋体" w:cs="宋体"/>
          <w:color w:val="000000" w:themeColor="text1"/>
          <w:sz w:val="28"/>
          <w:szCs w:val="28"/>
          <w14:textFill>
            <w14:solidFill>
              <w14:schemeClr w14:val="tx1"/>
            </w14:solidFill>
          </w14:textFill>
        </w:rPr>
        <w:t>意见</w:t>
      </w:r>
      <w:r>
        <w:rPr>
          <w:rFonts w:hint="eastAsia" w:ascii="宋体" w:hAnsi="宋体" w:eastAsia="宋体" w:cs="宋体"/>
          <w:color w:val="000000" w:themeColor="text1"/>
          <w:spacing w:val="-12"/>
          <w:sz w:val="28"/>
          <w:szCs w:val="28"/>
          <w14:textFill>
            <w14:solidFill>
              <w14:schemeClr w14:val="tx1"/>
            </w14:solidFill>
          </w14:textFill>
        </w:rPr>
        <w:t>有分歧且又难于协商一致的问题，均由评委会予以表决，获半数以上同意的即为通过，未获半数同意的即为否决</w:t>
      </w:r>
      <w:r>
        <w:rPr>
          <w:rFonts w:hint="eastAsia" w:ascii="宋体" w:hAnsi="宋体" w:eastAsia="宋体" w:cs="宋体"/>
          <w:color w:val="000000" w:themeColor="text1"/>
          <w:sz w:val="28"/>
          <w:szCs w:val="28"/>
          <w14:textFill>
            <w14:solidFill>
              <w14:schemeClr w14:val="tx1"/>
            </w14:solidFill>
          </w14:textFill>
        </w:rPr>
        <w:t>。</w:t>
      </w:r>
    </w:p>
    <w:p w14:paraId="4EF82917">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w:t>
      </w:r>
      <w:r>
        <w:rPr>
          <w:rFonts w:hint="eastAsia" w:ascii="宋体" w:hAnsi="宋体" w:eastAsia="宋体" w:cs="宋体"/>
          <w:color w:val="000000" w:themeColor="text1"/>
          <w:sz w:val="28"/>
          <w:szCs w:val="28"/>
          <w14:textFill>
            <w14:solidFill>
              <w14:schemeClr w14:val="tx1"/>
            </w14:solidFill>
          </w14:textFill>
        </w:rPr>
        <w:t>磋商时，磋商报价是磋商的重要依据，但不是唯一依据，采购人不承诺将合同授予报价最低或最高的磋商供应商。</w:t>
      </w:r>
    </w:p>
    <w:p w14:paraId="71A3CD29">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w:t>
      </w:r>
      <w:r>
        <w:rPr>
          <w:rFonts w:hint="eastAsia" w:ascii="宋体" w:hAnsi="宋体" w:eastAsia="宋体" w:cs="宋体"/>
          <w:b/>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磋商小组依据竞争性磋商文件中规定的磋商标准和方法，对响应文件进行评审和比较，向采购人提出书面磋商报告，并推荐</w:t>
      </w:r>
      <w:r>
        <w:rPr>
          <w:rFonts w:hint="eastAsia" w:ascii="宋体" w:hAnsi="宋体" w:eastAsia="宋体" w:cs="宋体"/>
          <w:color w:val="000000" w:themeColor="text1"/>
          <w:sz w:val="28"/>
          <w:szCs w:val="28"/>
          <w:lang w:eastAsia="zh-CN"/>
          <w14:textFill>
            <w14:solidFill>
              <w14:schemeClr w14:val="tx1"/>
            </w14:solidFill>
          </w14:textFill>
        </w:rPr>
        <w:t>符合国家的法律法规和行业技术要求</w:t>
      </w:r>
      <w:r>
        <w:rPr>
          <w:rFonts w:hint="eastAsia" w:ascii="宋体" w:hAnsi="宋体" w:eastAsia="宋体" w:cs="宋体"/>
          <w:color w:val="000000" w:themeColor="text1"/>
          <w:sz w:val="28"/>
          <w:szCs w:val="28"/>
          <w14:textFill>
            <w14:solidFill>
              <w14:schemeClr w14:val="tx1"/>
            </w14:solidFill>
          </w14:textFill>
        </w:rPr>
        <w:t>的成交候选人。采购人根据磋商小组提出的书面磋商报告和推荐的成交候选人按序确定成交人。</w:t>
      </w:r>
    </w:p>
    <w:p w14:paraId="6447914C">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 磋商程序</w:t>
      </w:r>
    </w:p>
    <w:p w14:paraId="71235AB3">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 资格审查</w:t>
      </w:r>
    </w:p>
    <w:p w14:paraId="7382CC89">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本项目采用资格后审</w:t>
      </w:r>
    </w:p>
    <w:p w14:paraId="1D5ED864">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磋商小组按照竞争性磋商文件供应商资格要求，对磋商供应商的响应文件进行资格和符合性审查，有一项不符合的，按废标处理，符合的进入下一磋商程序。</w:t>
      </w:r>
    </w:p>
    <w:p w14:paraId="70D86B5A">
      <w:pPr>
        <w:spacing w:line="500" w:lineRule="exact"/>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3.磋商具体方法和标准</w:t>
      </w:r>
    </w:p>
    <w:p w14:paraId="635920F3">
      <w:pPr>
        <w:spacing w:line="500" w:lineRule="exact"/>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磋商小组根据磋商原则和办法对所有响应文件进行集中审核，分别评价。</w:t>
      </w:r>
    </w:p>
    <w:tbl>
      <w:tblPr>
        <w:tblStyle w:val="12"/>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275"/>
        <w:gridCol w:w="6121"/>
        <w:gridCol w:w="838"/>
      </w:tblGrid>
      <w:tr w14:paraId="36CB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0" w:type="dxa"/>
            <w:noWrap w:val="0"/>
            <w:vAlign w:val="center"/>
          </w:tcPr>
          <w:p w14:paraId="3EC92E35">
            <w:pPr>
              <w:spacing w:line="400" w:lineRule="exact"/>
              <w:rPr>
                <w:rFonts w:hint="eastAsia" w:ascii="宋体" w:hAnsi="宋体" w:cs="宋体"/>
                <w:sz w:val="24"/>
                <w:szCs w:val="24"/>
              </w:rPr>
            </w:pPr>
            <w:r>
              <w:rPr>
                <w:rFonts w:hint="eastAsia" w:ascii="宋体" w:hAnsi="宋体" w:cs="宋体"/>
                <w:sz w:val="24"/>
                <w:szCs w:val="24"/>
              </w:rPr>
              <w:t>评分</w:t>
            </w:r>
          </w:p>
          <w:p w14:paraId="1916B318">
            <w:pPr>
              <w:spacing w:line="400" w:lineRule="exact"/>
              <w:rPr>
                <w:rFonts w:hint="eastAsia" w:ascii="宋体" w:hAnsi="宋体" w:cs="宋体"/>
                <w:sz w:val="24"/>
                <w:szCs w:val="24"/>
              </w:rPr>
            </w:pPr>
            <w:r>
              <w:rPr>
                <w:rFonts w:hint="eastAsia" w:ascii="宋体" w:hAnsi="宋体" w:cs="宋体"/>
                <w:sz w:val="24"/>
                <w:szCs w:val="24"/>
              </w:rPr>
              <w:t>因素</w:t>
            </w:r>
          </w:p>
        </w:tc>
        <w:tc>
          <w:tcPr>
            <w:tcW w:w="1275" w:type="dxa"/>
            <w:noWrap w:val="0"/>
            <w:vAlign w:val="center"/>
          </w:tcPr>
          <w:p w14:paraId="053EE93D">
            <w:pPr>
              <w:spacing w:line="400" w:lineRule="exact"/>
              <w:rPr>
                <w:rFonts w:hint="eastAsia" w:ascii="宋体" w:hAnsi="宋体" w:cs="宋体"/>
                <w:sz w:val="24"/>
                <w:szCs w:val="24"/>
              </w:rPr>
            </w:pPr>
            <w:r>
              <w:rPr>
                <w:rFonts w:hint="eastAsia" w:ascii="宋体" w:hAnsi="宋体" w:cs="宋体"/>
                <w:sz w:val="24"/>
                <w:szCs w:val="24"/>
              </w:rPr>
              <w:t>评分</w:t>
            </w:r>
          </w:p>
          <w:p w14:paraId="4FD3AF63">
            <w:pPr>
              <w:spacing w:line="400" w:lineRule="exact"/>
              <w:rPr>
                <w:rFonts w:hint="eastAsia" w:ascii="宋体" w:hAnsi="宋体" w:cs="宋体"/>
                <w:sz w:val="24"/>
                <w:szCs w:val="24"/>
              </w:rPr>
            </w:pPr>
            <w:r>
              <w:rPr>
                <w:rFonts w:hint="eastAsia" w:ascii="宋体" w:hAnsi="宋体" w:cs="宋体"/>
                <w:sz w:val="24"/>
                <w:szCs w:val="24"/>
              </w:rPr>
              <w:t>内容</w:t>
            </w:r>
          </w:p>
        </w:tc>
        <w:tc>
          <w:tcPr>
            <w:tcW w:w="6121" w:type="dxa"/>
            <w:noWrap w:val="0"/>
            <w:vAlign w:val="center"/>
          </w:tcPr>
          <w:p w14:paraId="601EDFB9">
            <w:pPr>
              <w:spacing w:line="400" w:lineRule="exact"/>
              <w:jc w:val="center"/>
              <w:rPr>
                <w:rFonts w:hint="eastAsia" w:ascii="宋体" w:hAnsi="宋体" w:cs="宋体"/>
                <w:sz w:val="24"/>
                <w:szCs w:val="24"/>
              </w:rPr>
            </w:pPr>
            <w:r>
              <w:rPr>
                <w:rFonts w:hint="eastAsia" w:ascii="宋体" w:hAnsi="宋体" w:cs="宋体"/>
                <w:sz w:val="24"/>
                <w:szCs w:val="24"/>
              </w:rPr>
              <w:t>评分标准</w:t>
            </w:r>
          </w:p>
        </w:tc>
        <w:tc>
          <w:tcPr>
            <w:tcW w:w="838" w:type="dxa"/>
            <w:noWrap w:val="0"/>
            <w:vAlign w:val="center"/>
          </w:tcPr>
          <w:p w14:paraId="2BBCFB6B">
            <w:pPr>
              <w:spacing w:line="400" w:lineRule="exact"/>
              <w:rPr>
                <w:rFonts w:hint="eastAsia" w:ascii="宋体" w:hAnsi="宋体" w:cs="宋体"/>
                <w:sz w:val="24"/>
                <w:szCs w:val="24"/>
              </w:rPr>
            </w:pPr>
            <w:r>
              <w:rPr>
                <w:rFonts w:hint="eastAsia" w:ascii="宋体" w:hAnsi="宋体" w:cs="宋体"/>
                <w:sz w:val="24"/>
                <w:szCs w:val="24"/>
              </w:rPr>
              <w:t>分值</w:t>
            </w:r>
          </w:p>
        </w:tc>
      </w:tr>
      <w:tr w14:paraId="4BB4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noWrap w:val="0"/>
            <w:vAlign w:val="center"/>
          </w:tcPr>
          <w:p w14:paraId="18AE5E3D">
            <w:pPr>
              <w:spacing w:line="400" w:lineRule="exact"/>
              <w:jc w:val="center"/>
              <w:rPr>
                <w:rFonts w:hint="eastAsia" w:ascii="宋体" w:hAnsi="宋体" w:cs="宋体"/>
                <w:sz w:val="24"/>
                <w:szCs w:val="24"/>
              </w:rPr>
            </w:pPr>
            <w:r>
              <w:rPr>
                <w:rFonts w:hint="eastAsia" w:ascii="宋体" w:hAnsi="宋体" w:cs="宋体"/>
                <w:sz w:val="24"/>
                <w:szCs w:val="24"/>
              </w:rPr>
              <w:t>磋商</w:t>
            </w:r>
          </w:p>
          <w:p w14:paraId="2F9D4B03">
            <w:pPr>
              <w:spacing w:line="400" w:lineRule="exact"/>
              <w:jc w:val="center"/>
              <w:rPr>
                <w:rFonts w:hint="eastAsia" w:ascii="宋体" w:hAnsi="宋体" w:cs="宋体"/>
                <w:sz w:val="24"/>
                <w:szCs w:val="24"/>
              </w:rPr>
            </w:pPr>
            <w:r>
              <w:rPr>
                <w:rFonts w:hint="eastAsia" w:ascii="宋体" w:hAnsi="宋体" w:cs="宋体"/>
                <w:sz w:val="24"/>
                <w:szCs w:val="24"/>
              </w:rPr>
              <w:t>报价</w:t>
            </w:r>
          </w:p>
          <w:p w14:paraId="19FF589E">
            <w:pPr>
              <w:spacing w:line="400" w:lineRule="exact"/>
              <w:jc w:val="center"/>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25</w:t>
            </w:r>
            <w:r>
              <w:rPr>
                <w:rFonts w:hint="eastAsia" w:ascii="宋体" w:hAnsi="宋体" w:cs="宋体"/>
                <w:sz w:val="24"/>
                <w:szCs w:val="24"/>
              </w:rPr>
              <w:t>分）</w:t>
            </w:r>
          </w:p>
          <w:p w14:paraId="43A63E76">
            <w:pPr>
              <w:spacing w:line="400" w:lineRule="exact"/>
              <w:jc w:val="center"/>
              <w:rPr>
                <w:rFonts w:hint="eastAsia" w:ascii="宋体" w:hAnsi="宋体" w:cs="宋体"/>
                <w:sz w:val="24"/>
                <w:szCs w:val="24"/>
              </w:rPr>
            </w:pPr>
          </w:p>
        </w:tc>
        <w:tc>
          <w:tcPr>
            <w:tcW w:w="1275" w:type="dxa"/>
            <w:noWrap w:val="0"/>
            <w:vAlign w:val="center"/>
          </w:tcPr>
          <w:p w14:paraId="783CB791">
            <w:pPr>
              <w:spacing w:line="400" w:lineRule="exact"/>
              <w:jc w:val="center"/>
              <w:rPr>
                <w:rFonts w:hint="eastAsia" w:ascii="宋体" w:hAnsi="宋体" w:cs="宋体"/>
                <w:sz w:val="24"/>
                <w:szCs w:val="24"/>
              </w:rPr>
            </w:pPr>
            <w:r>
              <w:rPr>
                <w:rFonts w:hint="eastAsia" w:ascii="宋体" w:hAnsi="宋体" w:cs="宋体"/>
                <w:sz w:val="24"/>
                <w:szCs w:val="24"/>
              </w:rPr>
              <w:t>磋商报价</w:t>
            </w:r>
          </w:p>
        </w:tc>
        <w:tc>
          <w:tcPr>
            <w:tcW w:w="6121" w:type="dxa"/>
            <w:noWrap w:val="0"/>
            <w:vAlign w:val="center"/>
          </w:tcPr>
          <w:p w14:paraId="022FBE01">
            <w:pPr>
              <w:spacing w:line="400" w:lineRule="exact"/>
              <w:rPr>
                <w:rFonts w:hint="eastAsia" w:ascii="宋体" w:hAnsi="宋体" w:cs="宋体"/>
                <w:sz w:val="24"/>
                <w:szCs w:val="24"/>
              </w:rPr>
            </w:pPr>
            <w:r>
              <w:rPr>
                <w:rFonts w:hint="eastAsia" w:ascii="宋体" w:hAnsi="宋体" w:cs="宋体"/>
                <w:sz w:val="24"/>
                <w:szCs w:val="24"/>
              </w:rPr>
              <w:t>本项目磋商报价超出控制价的，采购人不予接受，且磋商为无效标。磋商报价得分：价格分采用低价优先法计算，即满足竞争性磋商文件要求且磋商价格最低的磋商报价为磋商基准价，得</w:t>
            </w:r>
            <w:r>
              <w:rPr>
                <w:rFonts w:hint="eastAsia" w:ascii="宋体" w:hAnsi="宋体" w:cs="宋体"/>
                <w:sz w:val="24"/>
                <w:szCs w:val="24"/>
                <w:lang w:val="en-US" w:eastAsia="zh-CN"/>
              </w:rPr>
              <w:t>25</w:t>
            </w:r>
            <w:r>
              <w:rPr>
                <w:rFonts w:hint="eastAsia" w:ascii="宋体" w:hAnsi="宋体" w:cs="宋体"/>
                <w:sz w:val="24"/>
                <w:szCs w:val="24"/>
              </w:rPr>
              <w:t>分，其他磋商供应商的价格分按照下列公式计算：</w:t>
            </w:r>
          </w:p>
          <w:p w14:paraId="1F31E9F4">
            <w:pPr>
              <w:spacing w:line="400" w:lineRule="exact"/>
              <w:rPr>
                <w:rFonts w:hint="eastAsia" w:ascii="宋体" w:hAnsi="宋体" w:cs="宋体"/>
                <w:sz w:val="24"/>
                <w:szCs w:val="24"/>
              </w:rPr>
            </w:pPr>
            <w:r>
              <w:rPr>
                <w:rFonts w:hint="eastAsia" w:ascii="宋体" w:hAnsi="宋体" w:cs="宋体"/>
                <w:sz w:val="24"/>
                <w:szCs w:val="24"/>
              </w:rPr>
              <w:t>报价得分=（磋商基准价/最后磋商报价）×</w:t>
            </w:r>
            <w:r>
              <w:rPr>
                <w:rFonts w:hint="eastAsia" w:ascii="宋体" w:hAnsi="宋体" w:cs="宋体"/>
                <w:sz w:val="24"/>
                <w:szCs w:val="24"/>
                <w:lang w:val="en-US" w:eastAsia="zh-CN"/>
              </w:rPr>
              <w:t>25</w:t>
            </w:r>
            <w:r>
              <w:rPr>
                <w:rFonts w:hint="eastAsia" w:ascii="宋体" w:hAnsi="宋体" w:cs="宋体"/>
                <w:sz w:val="24"/>
                <w:szCs w:val="24"/>
              </w:rPr>
              <w:t>×100%</w:t>
            </w:r>
          </w:p>
          <w:p w14:paraId="558307D8">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注：1.根据《政府采购促进中小企业发展管理办法》（财库﹝2020﹞46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按20%扣除。对于中型企业产品的价格不予扣除。</w:t>
            </w:r>
          </w:p>
          <w:p w14:paraId="50FE3225">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所投小微企业产品报价=所投小微企业产品报价×（1-20%）</w:t>
            </w:r>
          </w:p>
          <w:p w14:paraId="5284444A">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 xml:space="preserve"> 2.根据财政部司法部《关于政府采购支持监狱企业发展有关问题的通知》（财库〔2014〕68号）规定，对于监狱企业视同为小型、微型企业，价格给予20%的扣除。</w:t>
            </w:r>
          </w:p>
          <w:p w14:paraId="7509C835">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所投监狱企业产品报价=所投监狱企业产品报价×（1-20%）</w:t>
            </w:r>
          </w:p>
          <w:p w14:paraId="7A45DF4C">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3.根据财政部民政部中国残疾人联合会《关于促进残疾人就业政府采购政策的通知》（财库〔2017〕141号）规定，对于残疾人福利性单位视同为小型、微型企业，价格给予20%的扣除。</w:t>
            </w:r>
          </w:p>
          <w:p w14:paraId="766D6146">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所投残疾人福利性单位企业产品报价=所投残疾人福利性单位企业产品报价×（1-20%）</w:t>
            </w:r>
          </w:p>
          <w:p w14:paraId="0D8147EB">
            <w:pPr>
              <w:spacing w:line="400" w:lineRule="exact"/>
              <w:rPr>
                <w:rFonts w:hint="eastAsia" w:ascii="宋体" w:hAnsi="宋体" w:cs="宋体"/>
                <w:sz w:val="24"/>
                <w:szCs w:val="24"/>
              </w:rPr>
            </w:pPr>
            <w:r>
              <w:rPr>
                <w:rFonts w:hint="eastAsia" w:ascii="宋体" w:hAnsi="宋体" w:eastAsia="宋体" w:cs="Arial"/>
                <w:b/>
                <w:bCs/>
                <w:color w:val="auto"/>
                <w:sz w:val="24"/>
                <w:szCs w:val="24"/>
              </w:rPr>
              <w:t>同一供应商，中小微企业产品、监狱企业产品、残疾人福利性单位产品的价格扣除优惠只享受一次，不得重复享受。</w:t>
            </w:r>
          </w:p>
        </w:tc>
        <w:tc>
          <w:tcPr>
            <w:tcW w:w="838" w:type="dxa"/>
            <w:noWrap w:val="0"/>
            <w:vAlign w:val="center"/>
          </w:tcPr>
          <w:p w14:paraId="6128C95E">
            <w:pPr>
              <w:spacing w:line="400" w:lineRule="exact"/>
              <w:jc w:val="center"/>
              <w:rPr>
                <w:rFonts w:hint="eastAsia" w:ascii="宋体" w:hAnsi="宋体" w:cs="宋体"/>
                <w:sz w:val="24"/>
                <w:szCs w:val="24"/>
              </w:rPr>
            </w:pPr>
            <w:r>
              <w:rPr>
                <w:rFonts w:hint="eastAsia" w:ascii="宋体" w:hAnsi="宋体" w:cs="宋体"/>
                <w:sz w:val="24"/>
                <w:szCs w:val="24"/>
                <w:lang w:val="en-US" w:eastAsia="zh-CN"/>
              </w:rPr>
              <w:t>25</w:t>
            </w:r>
            <w:r>
              <w:rPr>
                <w:rFonts w:hint="eastAsia" w:ascii="宋体" w:hAnsi="宋体" w:cs="宋体"/>
                <w:sz w:val="24"/>
                <w:szCs w:val="24"/>
              </w:rPr>
              <w:t>分</w:t>
            </w:r>
          </w:p>
        </w:tc>
      </w:tr>
      <w:tr w14:paraId="22AE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150" w:type="dxa"/>
            <w:vMerge w:val="restart"/>
            <w:noWrap w:val="0"/>
            <w:vAlign w:val="center"/>
          </w:tcPr>
          <w:p w14:paraId="03F8FFFE">
            <w:pPr>
              <w:spacing w:line="400" w:lineRule="exact"/>
              <w:jc w:val="center"/>
              <w:rPr>
                <w:rFonts w:hint="eastAsia" w:ascii="宋体" w:hAnsi="宋体" w:cs="宋体"/>
                <w:sz w:val="24"/>
                <w:szCs w:val="24"/>
              </w:rPr>
            </w:pPr>
            <w:bookmarkStart w:id="16" w:name="_Hlk136874748"/>
            <w:r>
              <w:rPr>
                <w:rFonts w:hint="eastAsia" w:ascii="宋体" w:hAnsi="宋体" w:cs="宋体"/>
                <w:sz w:val="24"/>
                <w:szCs w:val="24"/>
              </w:rPr>
              <w:t>技术</w:t>
            </w:r>
          </w:p>
          <w:p w14:paraId="01757750">
            <w:pPr>
              <w:spacing w:line="400" w:lineRule="exact"/>
              <w:jc w:val="center"/>
              <w:rPr>
                <w:rFonts w:hint="eastAsia" w:ascii="宋体" w:hAnsi="宋体" w:cs="宋体"/>
                <w:sz w:val="24"/>
                <w:szCs w:val="24"/>
              </w:rPr>
            </w:pPr>
            <w:r>
              <w:rPr>
                <w:rFonts w:hint="eastAsia" w:ascii="宋体" w:hAnsi="宋体" w:cs="宋体"/>
                <w:sz w:val="24"/>
                <w:szCs w:val="24"/>
              </w:rPr>
              <w:t>部分</w:t>
            </w:r>
          </w:p>
          <w:p w14:paraId="54961F54">
            <w:pPr>
              <w:spacing w:line="400" w:lineRule="exac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60</w:t>
            </w:r>
            <w:r>
              <w:rPr>
                <w:rFonts w:hint="eastAsia" w:ascii="宋体" w:hAnsi="宋体" w:cs="宋体"/>
                <w:sz w:val="24"/>
                <w:szCs w:val="24"/>
              </w:rPr>
              <w:t>分）</w:t>
            </w:r>
          </w:p>
        </w:tc>
        <w:tc>
          <w:tcPr>
            <w:tcW w:w="1275" w:type="dxa"/>
            <w:noWrap w:val="0"/>
            <w:vAlign w:val="center"/>
          </w:tcPr>
          <w:p w14:paraId="6CBAE8CD">
            <w:pPr>
              <w:snapToGrid w:val="0"/>
              <w:spacing w:line="360" w:lineRule="auto"/>
              <w:jc w:val="center"/>
              <w:rPr>
                <w:rFonts w:hint="eastAsia" w:ascii="宋体" w:hAnsi="宋体" w:cs="宋体"/>
                <w:sz w:val="24"/>
                <w:szCs w:val="24"/>
              </w:rPr>
            </w:pPr>
            <w:r>
              <w:rPr>
                <w:rFonts w:hint="eastAsia" w:ascii="宋体" w:hAnsi="宋体" w:cs="宋体"/>
                <w:sz w:val="24"/>
                <w:szCs w:val="24"/>
              </w:rPr>
              <w:t>项目总体服务方案</w:t>
            </w:r>
          </w:p>
        </w:tc>
        <w:tc>
          <w:tcPr>
            <w:tcW w:w="6121" w:type="dxa"/>
            <w:noWrap w:val="0"/>
            <w:vAlign w:val="center"/>
          </w:tcPr>
          <w:p w14:paraId="62003879">
            <w:pPr>
              <w:spacing w:line="420" w:lineRule="exact"/>
              <w:jc w:val="left"/>
              <w:rPr>
                <w:rFonts w:hint="eastAsia" w:ascii="宋体" w:hAnsi="宋体" w:cs="宋体"/>
                <w:sz w:val="24"/>
                <w:szCs w:val="24"/>
              </w:rPr>
            </w:pPr>
            <w:r>
              <w:rPr>
                <w:rFonts w:hint="eastAsia" w:ascii="宋体" w:hAnsi="宋体" w:cs="宋体"/>
                <w:sz w:val="24"/>
                <w:szCs w:val="24"/>
              </w:rPr>
              <w:t>项目总体服务方案的完整性、合理性及针对性，包含实施步骤、实施周期、保障措施等，对项目进度计划、对服务需求的响应程度的完整性、合理性、可操作性等进行综合评分：</w:t>
            </w:r>
          </w:p>
          <w:p w14:paraId="38182814">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服务工作方案、内容理解程度及进度计划非常合理、安全维护方案及措施完善，能极大程度满足采购人需求的得1</w:t>
            </w:r>
            <w:r>
              <w:rPr>
                <w:rFonts w:hint="eastAsia" w:ascii="宋体" w:hAnsi="宋体" w:cs="宋体"/>
                <w:sz w:val="24"/>
                <w:szCs w:val="24"/>
                <w:lang w:val="en-US" w:eastAsia="zh-CN"/>
              </w:rPr>
              <w:t>5</w:t>
            </w:r>
            <w:r>
              <w:rPr>
                <w:rFonts w:hint="eastAsia" w:ascii="宋体" w:hAnsi="宋体" w:cs="宋体"/>
                <w:sz w:val="24"/>
                <w:szCs w:val="24"/>
              </w:rPr>
              <w:t>分；</w:t>
            </w:r>
          </w:p>
          <w:p w14:paraId="71B6EF28">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服务工作方案、内容理解程度及进度计划较合理、安全维护方案及措施较完善，较能满足采购人需求的得</w:t>
            </w:r>
            <w:r>
              <w:rPr>
                <w:rFonts w:hint="eastAsia" w:ascii="宋体" w:hAnsi="宋体" w:cs="宋体"/>
                <w:sz w:val="24"/>
                <w:szCs w:val="24"/>
                <w:lang w:val="en-US" w:eastAsia="zh-CN"/>
              </w:rPr>
              <w:t>10</w:t>
            </w:r>
            <w:r>
              <w:rPr>
                <w:rFonts w:hint="eastAsia" w:ascii="宋体" w:hAnsi="宋体" w:cs="宋体"/>
                <w:sz w:val="24"/>
                <w:szCs w:val="24"/>
              </w:rPr>
              <w:t>分；（内容包含实施步骤、实施周期、保障措施等，对项目进度计划、对服务需求的响应程度，但是内容不够详尽或者其中某项描述欠缺的）</w:t>
            </w:r>
          </w:p>
          <w:p w14:paraId="5F195AB8">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服务工作方案、内容理解程度及进度计划基本合、安全维护方案及措施基本完善，基本能满足采购人需求的得</w:t>
            </w:r>
            <w:r>
              <w:rPr>
                <w:rFonts w:hint="eastAsia" w:ascii="宋体" w:hAnsi="宋体" w:cs="宋体"/>
                <w:sz w:val="24"/>
                <w:szCs w:val="24"/>
                <w:lang w:val="en-US" w:eastAsia="zh-CN"/>
              </w:rPr>
              <w:t>5</w:t>
            </w:r>
            <w:r>
              <w:rPr>
                <w:rFonts w:hint="eastAsia" w:ascii="宋体" w:hAnsi="宋体" w:cs="宋体"/>
                <w:sz w:val="24"/>
                <w:szCs w:val="24"/>
              </w:rPr>
              <w:t>分；（实施步骤、实施周期、保障措施等，对项目进度计划、对服务需求的响应程度内容缺少一项或多项的）</w:t>
            </w:r>
          </w:p>
          <w:p w14:paraId="1C59AB11">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服务工作方案、内容理解程度及进度计划不合理、安全维护方案及措施不完善，不能满足采购人需求的得1分；</w:t>
            </w:r>
          </w:p>
          <w:p w14:paraId="5728BA16">
            <w:pPr>
              <w:spacing w:line="420" w:lineRule="exact"/>
              <w:jc w:val="left"/>
              <w:rPr>
                <w:rFonts w:hint="eastAsia" w:ascii="宋体" w:hAnsi="宋体" w:cs="宋体"/>
                <w:sz w:val="24"/>
                <w:szCs w:val="24"/>
              </w:rPr>
            </w:pPr>
            <w:r>
              <w:rPr>
                <w:rFonts w:hint="eastAsia" w:ascii="宋体" w:hAnsi="宋体" w:cs="宋体"/>
                <w:sz w:val="24"/>
                <w:szCs w:val="24"/>
              </w:rPr>
              <w:t>不提供或描述不清晰的得0分</w:t>
            </w:r>
          </w:p>
        </w:tc>
        <w:tc>
          <w:tcPr>
            <w:tcW w:w="838" w:type="dxa"/>
            <w:noWrap w:val="0"/>
            <w:vAlign w:val="center"/>
          </w:tcPr>
          <w:p w14:paraId="25380104">
            <w:pPr>
              <w:spacing w:line="400" w:lineRule="exact"/>
              <w:jc w:val="center"/>
              <w:rPr>
                <w:rFonts w:hint="eastAsia" w:ascii="宋体" w:hAnsi="宋体" w:cs="宋体"/>
                <w:sz w:val="24"/>
                <w:szCs w:val="24"/>
              </w:rPr>
            </w:pPr>
            <w:r>
              <w:rPr>
                <w:rFonts w:hint="eastAsia" w:ascii="宋体" w:hAnsi="宋体" w:cs="宋体"/>
                <w:sz w:val="24"/>
                <w:szCs w:val="24"/>
                <w:lang w:val="en-US" w:eastAsia="zh-CN"/>
              </w:rPr>
              <w:t>15</w:t>
            </w:r>
            <w:r>
              <w:rPr>
                <w:rFonts w:hint="eastAsia" w:ascii="宋体" w:hAnsi="宋体" w:cs="宋体"/>
                <w:sz w:val="24"/>
                <w:szCs w:val="24"/>
              </w:rPr>
              <w:t>分</w:t>
            </w:r>
          </w:p>
        </w:tc>
      </w:tr>
      <w:tr w14:paraId="2838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150" w:type="dxa"/>
            <w:vMerge w:val="continue"/>
            <w:noWrap w:val="0"/>
            <w:vAlign w:val="center"/>
          </w:tcPr>
          <w:p w14:paraId="45A2EE66">
            <w:pPr>
              <w:spacing w:line="400" w:lineRule="exact"/>
              <w:rPr>
                <w:rFonts w:hint="eastAsia" w:ascii="宋体" w:hAnsi="宋体" w:cs="宋体"/>
                <w:sz w:val="24"/>
                <w:szCs w:val="24"/>
              </w:rPr>
            </w:pPr>
          </w:p>
        </w:tc>
        <w:tc>
          <w:tcPr>
            <w:tcW w:w="1275" w:type="dxa"/>
            <w:noWrap w:val="0"/>
            <w:vAlign w:val="center"/>
          </w:tcPr>
          <w:p w14:paraId="6A9458CB">
            <w:pPr>
              <w:spacing w:line="420" w:lineRule="exact"/>
              <w:jc w:val="center"/>
              <w:rPr>
                <w:rFonts w:hint="eastAsia" w:ascii="宋体" w:hAnsi="宋体" w:cs="宋体"/>
                <w:spacing w:val="1"/>
                <w:kern w:val="0"/>
                <w:sz w:val="24"/>
                <w:szCs w:val="24"/>
              </w:rPr>
            </w:pPr>
            <w:r>
              <w:rPr>
                <w:rFonts w:hint="eastAsia" w:ascii="宋体" w:hAnsi="宋体" w:cs="宋体"/>
                <w:spacing w:val="1"/>
                <w:kern w:val="0"/>
                <w:sz w:val="24"/>
                <w:szCs w:val="24"/>
              </w:rPr>
              <w:t>机构设置、人员</w:t>
            </w:r>
          </w:p>
          <w:p w14:paraId="39FBE315">
            <w:pPr>
              <w:spacing w:line="420" w:lineRule="exact"/>
              <w:jc w:val="center"/>
              <w:rPr>
                <w:rFonts w:hint="eastAsia" w:ascii="宋体" w:hAnsi="宋体" w:cs="宋体"/>
                <w:spacing w:val="1"/>
                <w:kern w:val="0"/>
                <w:sz w:val="24"/>
                <w:szCs w:val="24"/>
              </w:rPr>
            </w:pPr>
            <w:r>
              <w:rPr>
                <w:rFonts w:hint="eastAsia" w:ascii="宋体" w:hAnsi="宋体" w:cs="宋体"/>
                <w:spacing w:val="1"/>
                <w:kern w:val="0"/>
                <w:sz w:val="24"/>
                <w:szCs w:val="24"/>
              </w:rPr>
              <w:t>分工及管理制度情况</w:t>
            </w:r>
          </w:p>
        </w:tc>
        <w:tc>
          <w:tcPr>
            <w:tcW w:w="6121" w:type="dxa"/>
            <w:noWrap w:val="0"/>
            <w:vAlign w:val="center"/>
          </w:tcPr>
          <w:p w14:paraId="2E266D9E">
            <w:pPr>
              <w:spacing w:line="420" w:lineRule="exact"/>
              <w:jc w:val="left"/>
              <w:rPr>
                <w:rFonts w:hint="eastAsia" w:ascii="宋体" w:hAnsi="宋体" w:cs="宋体"/>
                <w:sz w:val="24"/>
                <w:szCs w:val="24"/>
              </w:rPr>
            </w:pPr>
            <w:r>
              <w:rPr>
                <w:rFonts w:hint="eastAsia" w:ascii="宋体" w:hAnsi="宋体" w:cs="宋体"/>
                <w:sz w:val="24"/>
                <w:szCs w:val="24"/>
              </w:rPr>
              <w:t>供应商企业机构设置、人员分工、各个环节均设置有相应的管理制度等进行综合评分：</w:t>
            </w:r>
          </w:p>
          <w:p w14:paraId="2012A5FA">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企业机构设置合理、人员分工明确、各个环节均设置有相应的管理制度的，得10分；</w:t>
            </w:r>
          </w:p>
          <w:p w14:paraId="4DE28DBD">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企业机构设置相对合理、人员分工相对明确、各个环节基本设置有相应的管理制度的，得5分；（内容包含机构设置、人员分工、管理制度，但是内容不够详尽或者其中某项描述欠缺的）</w:t>
            </w:r>
          </w:p>
          <w:p w14:paraId="571834B5">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企业机构设置基本合理、人员分工基本明确、各个环节基本设置有相应的管理制度的，得2分；（机构设置、人员分工、管理制度内容缺少一项或多项的）</w:t>
            </w:r>
          </w:p>
          <w:p w14:paraId="4759DE19">
            <w:pPr>
              <w:spacing w:line="420" w:lineRule="exact"/>
              <w:jc w:val="left"/>
              <w:rPr>
                <w:rFonts w:hint="eastAsia" w:ascii="宋体" w:hAnsi="宋体" w:cs="宋体"/>
                <w:sz w:val="24"/>
                <w:szCs w:val="24"/>
              </w:rPr>
            </w:pPr>
            <w:r>
              <w:rPr>
                <w:rFonts w:hint="eastAsia" w:ascii="宋体" w:hAnsi="宋体" w:cs="宋体"/>
                <w:sz w:val="24"/>
                <w:szCs w:val="24"/>
              </w:rPr>
              <w:t>不提供或描述不清晰的得0分</w:t>
            </w:r>
          </w:p>
        </w:tc>
        <w:tc>
          <w:tcPr>
            <w:tcW w:w="838" w:type="dxa"/>
            <w:noWrap w:val="0"/>
            <w:vAlign w:val="center"/>
          </w:tcPr>
          <w:p w14:paraId="7556E517">
            <w:pPr>
              <w:spacing w:line="400" w:lineRule="exact"/>
              <w:jc w:val="center"/>
              <w:rPr>
                <w:rFonts w:hint="eastAsia" w:ascii="宋体" w:hAnsi="宋体" w:cs="宋体"/>
                <w:sz w:val="24"/>
                <w:szCs w:val="24"/>
              </w:rPr>
            </w:pPr>
            <w:r>
              <w:rPr>
                <w:rFonts w:ascii="宋体" w:hAnsi="宋体" w:cs="宋体"/>
                <w:sz w:val="24"/>
                <w:szCs w:val="24"/>
              </w:rPr>
              <w:t>10</w:t>
            </w:r>
            <w:r>
              <w:rPr>
                <w:rFonts w:hint="eastAsia" w:ascii="宋体" w:hAnsi="宋体" w:cs="宋体"/>
                <w:sz w:val="24"/>
                <w:szCs w:val="24"/>
              </w:rPr>
              <w:t>分</w:t>
            </w:r>
          </w:p>
        </w:tc>
      </w:tr>
      <w:tr w14:paraId="45CE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150" w:type="dxa"/>
            <w:vMerge w:val="continue"/>
            <w:noWrap w:val="0"/>
            <w:vAlign w:val="center"/>
          </w:tcPr>
          <w:p w14:paraId="7D515782">
            <w:pPr>
              <w:spacing w:line="400" w:lineRule="exact"/>
              <w:rPr>
                <w:rFonts w:hint="eastAsia" w:ascii="宋体" w:hAnsi="宋体" w:cs="宋体"/>
                <w:sz w:val="24"/>
                <w:szCs w:val="24"/>
              </w:rPr>
            </w:pPr>
          </w:p>
        </w:tc>
        <w:tc>
          <w:tcPr>
            <w:tcW w:w="1275" w:type="dxa"/>
            <w:noWrap w:val="0"/>
            <w:vAlign w:val="center"/>
          </w:tcPr>
          <w:p w14:paraId="112693E2">
            <w:pPr>
              <w:spacing w:line="420" w:lineRule="exact"/>
              <w:jc w:val="center"/>
              <w:rPr>
                <w:rFonts w:hint="eastAsia" w:ascii="宋体" w:hAnsi="宋体" w:cs="宋体"/>
                <w:spacing w:val="1"/>
                <w:kern w:val="0"/>
                <w:sz w:val="24"/>
                <w:szCs w:val="24"/>
              </w:rPr>
            </w:pPr>
            <w:r>
              <w:rPr>
                <w:rFonts w:hint="eastAsia" w:ascii="宋体" w:hAnsi="宋体" w:cs="宋体"/>
                <w:spacing w:val="1"/>
                <w:kern w:val="0"/>
                <w:sz w:val="24"/>
                <w:szCs w:val="24"/>
              </w:rPr>
              <w:t>拟投入本项目的所必需的仪</w:t>
            </w:r>
          </w:p>
          <w:p w14:paraId="4E79BCE9">
            <w:pPr>
              <w:spacing w:line="420" w:lineRule="exact"/>
              <w:jc w:val="center"/>
              <w:rPr>
                <w:rFonts w:hint="eastAsia" w:ascii="宋体" w:hAnsi="宋体" w:cs="宋体"/>
                <w:sz w:val="24"/>
                <w:szCs w:val="24"/>
              </w:rPr>
            </w:pPr>
            <w:r>
              <w:rPr>
                <w:rFonts w:hint="eastAsia" w:ascii="宋体" w:hAnsi="宋体" w:cs="宋体"/>
                <w:spacing w:val="1"/>
                <w:kern w:val="0"/>
                <w:sz w:val="24"/>
                <w:szCs w:val="24"/>
              </w:rPr>
              <w:t>器设备</w:t>
            </w:r>
          </w:p>
        </w:tc>
        <w:tc>
          <w:tcPr>
            <w:tcW w:w="6121" w:type="dxa"/>
            <w:noWrap w:val="0"/>
            <w:vAlign w:val="center"/>
          </w:tcPr>
          <w:p w14:paraId="43A2C62E">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供应商实验室配备的仪器设备齐全、有适用性和实用性、性能可靠、能满足采购人要求，得7分；</w:t>
            </w:r>
          </w:p>
          <w:p w14:paraId="04FE1B16">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供应商实验室配备的仪器设备基本齐全、性能基本可靠、基本能满足采购人要求，但是内容不够详尽或者其中某项描述欠缺的，得4分</w:t>
            </w:r>
          </w:p>
          <w:p w14:paraId="3CEDFA6E">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供应商实验室配备的仪器设备不齐全，部分满足采购人要求，得2分</w:t>
            </w:r>
          </w:p>
          <w:p w14:paraId="4E66F1EF">
            <w:pPr>
              <w:spacing w:line="420" w:lineRule="exact"/>
              <w:jc w:val="left"/>
              <w:rPr>
                <w:rFonts w:hint="eastAsia" w:ascii="宋体" w:hAnsi="宋体" w:cs="宋体"/>
                <w:sz w:val="24"/>
                <w:szCs w:val="24"/>
              </w:rPr>
            </w:pPr>
            <w:r>
              <w:rPr>
                <w:rFonts w:hint="eastAsia" w:ascii="宋体" w:hAnsi="宋体" w:cs="宋体"/>
                <w:sz w:val="24"/>
                <w:szCs w:val="24"/>
              </w:rPr>
              <w:t>注：设备如为自有的，须提供购买方名称为投标人</w:t>
            </w:r>
          </w:p>
          <w:p w14:paraId="170516AB">
            <w:pPr>
              <w:spacing w:line="420" w:lineRule="exact"/>
              <w:jc w:val="left"/>
              <w:rPr>
                <w:rFonts w:hint="eastAsia" w:ascii="宋体" w:hAnsi="宋体" w:cs="宋体"/>
                <w:sz w:val="24"/>
                <w:szCs w:val="24"/>
              </w:rPr>
            </w:pPr>
            <w:r>
              <w:rPr>
                <w:rFonts w:hint="eastAsia" w:ascii="宋体" w:hAnsi="宋体" w:cs="宋体"/>
                <w:sz w:val="24"/>
                <w:szCs w:val="24"/>
              </w:rPr>
              <w:t>名称的购置证明（购置发票及实物图片）；设备如为租</w:t>
            </w:r>
          </w:p>
          <w:p w14:paraId="394C1F0C">
            <w:pPr>
              <w:spacing w:line="420" w:lineRule="exact"/>
              <w:jc w:val="left"/>
              <w:rPr>
                <w:rFonts w:hint="eastAsia" w:ascii="宋体" w:hAnsi="宋体" w:cs="宋体"/>
                <w:sz w:val="24"/>
                <w:szCs w:val="24"/>
              </w:rPr>
            </w:pPr>
            <w:r>
              <w:rPr>
                <w:rFonts w:hint="eastAsia" w:ascii="宋体" w:hAnsi="宋体" w:cs="宋体"/>
                <w:sz w:val="24"/>
                <w:szCs w:val="24"/>
              </w:rPr>
              <w:t>赁的，须提供承租方名称为投标人名称的租赁证明（租</w:t>
            </w:r>
          </w:p>
          <w:p w14:paraId="661CBD14">
            <w:pPr>
              <w:spacing w:line="420" w:lineRule="exact"/>
              <w:jc w:val="left"/>
              <w:rPr>
                <w:rFonts w:hint="eastAsia" w:ascii="宋体" w:hAnsi="宋体" w:cs="宋体"/>
                <w:sz w:val="24"/>
                <w:szCs w:val="24"/>
              </w:rPr>
            </w:pPr>
            <w:r>
              <w:rPr>
                <w:rFonts w:hint="eastAsia" w:ascii="宋体" w:hAnsi="宋体" w:cs="宋体"/>
                <w:sz w:val="24"/>
                <w:szCs w:val="24"/>
              </w:rPr>
              <w:t>赁合同、租赁发票及实物图片）。未按要求提供证明材</w:t>
            </w:r>
          </w:p>
          <w:p w14:paraId="53685A04">
            <w:pPr>
              <w:spacing w:line="420" w:lineRule="exact"/>
              <w:jc w:val="left"/>
              <w:rPr>
                <w:rFonts w:hint="eastAsia" w:ascii="宋体" w:hAnsi="宋体" w:cs="宋体"/>
                <w:sz w:val="24"/>
                <w:szCs w:val="24"/>
              </w:rPr>
            </w:pPr>
            <w:r>
              <w:rPr>
                <w:rFonts w:hint="eastAsia" w:ascii="宋体" w:hAnsi="宋体" w:cs="宋体"/>
                <w:sz w:val="24"/>
                <w:szCs w:val="24"/>
              </w:rPr>
              <w:t>料或提供的证明材料不完整的，不得分。</w:t>
            </w:r>
          </w:p>
        </w:tc>
        <w:tc>
          <w:tcPr>
            <w:tcW w:w="838" w:type="dxa"/>
            <w:noWrap w:val="0"/>
            <w:vAlign w:val="center"/>
          </w:tcPr>
          <w:p w14:paraId="11AF014E">
            <w:pPr>
              <w:spacing w:line="400" w:lineRule="exact"/>
              <w:jc w:val="center"/>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分</w:t>
            </w:r>
          </w:p>
        </w:tc>
      </w:tr>
      <w:tr w14:paraId="42A0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vMerge w:val="continue"/>
            <w:noWrap w:val="0"/>
            <w:vAlign w:val="center"/>
          </w:tcPr>
          <w:p w14:paraId="702C3E05">
            <w:pPr>
              <w:spacing w:line="400" w:lineRule="exact"/>
              <w:rPr>
                <w:rFonts w:hint="eastAsia" w:ascii="宋体" w:hAnsi="宋体" w:cs="宋体"/>
                <w:sz w:val="24"/>
                <w:szCs w:val="24"/>
              </w:rPr>
            </w:pPr>
          </w:p>
        </w:tc>
        <w:tc>
          <w:tcPr>
            <w:tcW w:w="1275" w:type="dxa"/>
            <w:noWrap w:val="0"/>
            <w:vAlign w:val="center"/>
          </w:tcPr>
          <w:p w14:paraId="696795B8">
            <w:pPr>
              <w:spacing w:line="420" w:lineRule="exact"/>
              <w:jc w:val="center"/>
              <w:rPr>
                <w:rFonts w:hint="eastAsia" w:ascii="宋体" w:hAnsi="宋体" w:cs="宋体"/>
                <w:sz w:val="24"/>
                <w:szCs w:val="24"/>
              </w:rPr>
            </w:pPr>
            <w:r>
              <w:rPr>
                <w:rFonts w:hint="eastAsia" w:ascii="宋体" w:hAnsi="宋体" w:cs="宋体"/>
                <w:sz w:val="24"/>
                <w:szCs w:val="24"/>
              </w:rPr>
              <w:t>应急预案和应急保障机制</w:t>
            </w:r>
          </w:p>
        </w:tc>
        <w:tc>
          <w:tcPr>
            <w:tcW w:w="6121" w:type="dxa"/>
            <w:noWrap w:val="0"/>
            <w:vAlign w:val="center"/>
          </w:tcPr>
          <w:p w14:paraId="466C9ED4">
            <w:pPr>
              <w:spacing w:line="420" w:lineRule="exact"/>
              <w:jc w:val="left"/>
              <w:rPr>
                <w:rFonts w:hint="eastAsia" w:ascii="宋体" w:hAnsi="宋体" w:cs="宋体"/>
                <w:sz w:val="24"/>
                <w:szCs w:val="24"/>
              </w:rPr>
            </w:pPr>
            <w:r>
              <w:rPr>
                <w:rFonts w:hint="eastAsia" w:ascii="宋体" w:hAnsi="宋体" w:cs="宋体"/>
                <w:sz w:val="24"/>
                <w:szCs w:val="24"/>
              </w:rPr>
              <w:t>供应商制定了详细的应急预案和应急保障机制，对项目本地环境了解，并制定了能够预见可能发生的突发事件的应对措施等方面进行综合评分：</w:t>
            </w:r>
          </w:p>
          <w:p w14:paraId="68DDF464">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对应急工作进行了合理规划，并制定完善的应急预案和预防措施，列出各种应急情景、应急的方法、解决方案，严谨性、可行性、有效性强的得7分；</w:t>
            </w:r>
          </w:p>
          <w:p w14:paraId="34226E13">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对应急工作进行了合理规划，并制定应急预案和预防措施，应急预案较为严谨、可行性、有效性较强的得4分；</w:t>
            </w:r>
          </w:p>
          <w:p w14:paraId="295B038B">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对应急工作进行了规划，应急预案内容不够详尽，可行性、有效性一般的得2分；</w:t>
            </w:r>
          </w:p>
          <w:p w14:paraId="4EEBD22A">
            <w:pPr>
              <w:spacing w:line="420" w:lineRule="exact"/>
              <w:jc w:val="left"/>
              <w:rPr>
                <w:rFonts w:hint="eastAsia" w:ascii="宋体" w:hAnsi="宋体" w:cs="宋体"/>
                <w:sz w:val="24"/>
                <w:szCs w:val="24"/>
              </w:rPr>
            </w:pPr>
            <w:r>
              <w:rPr>
                <w:rFonts w:hint="eastAsia" w:ascii="宋体" w:hAnsi="宋体" w:cs="宋体"/>
                <w:sz w:val="24"/>
                <w:szCs w:val="24"/>
              </w:rPr>
              <w:t>不提供得0分。</w:t>
            </w:r>
          </w:p>
        </w:tc>
        <w:tc>
          <w:tcPr>
            <w:tcW w:w="838" w:type="dxa"/>
            <w:noWrap w:val="0"/>
            <w:vAlign w:val="center"/>
          </w:tcPr>
          <w:p w14:paraId="658BD25F">
            <w:pPr>
              <w:spacing w:line="400" w:lineRule="exact"/>
              <w:jc w:val="center"/>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分</w:t>
            </w:r>
          </w:p>
        </w:tc>
      </w:tr>
      <w:tr w14:paraId="1C42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vMerge w:val="continue"/>
            <w:noWrap w:val="0"/>
            <w:vAlign w:val="center"/>
          </w:tcPr>
          <w:p w14:paraId="63625445">
            <w:pPr>
              <w:spacing w:line="400" w:lineRule="exact"/>
              <w:rPr>
                <w:rFonts w:hint="eastAsia" w:ascii="宋体" w:hAnsi="宋体" w:cs="宋体"/>
                <w:sz w:val="24"/>
                <w:szCs w:val="24"/>
              </w:rPr>
            </w:pPr>
          </w:p>
        </w:tc>
        <w:tc>
          <w:tcPr>
            <w:tcW w:w="1275" w:type="dxa"/>
            <w:noWrap w:val="0"/>
            <w:vAlign w:val="center"/>
          </w:tcPr>
          <w:p w14:paraId="6AE599CE">
            <w:pPr>
              <w:spacing w:line="420" w:lineRule="exact"/>
              <w:jc w:val="center"/>
              <w:rPr>
                <w:rFonts w:hint="eastAsia" w:ascii="宋体" w:hAnsi="宋体" w:cs="宋体"/>
                <w:sz w:val="24"/>
                <w:szCs w:val="24"/>
              </w:rPr>
            </w:pPr>
            <w:r>
              <w:rPr>
                <w:rFonts w:hint="eastAsia" w:ascii="宋体" w:hAnsi="宋体" w:cs="宋体"/>
                <w:sz w:val="24"/>
                <w:szCs w:val="24"/>
              </w:rPr>
              <w:t>标本运</w:t>
            </w:r>
          </w:p>
          <w:p w14:paraId="3D8B0F07">
            <w:pPr>
              <w:spacing w:line="420" w:lineRule="exact"/>
              <w:jc w:val="center"/>
              <w:rPr>
                <w:rFonts w:hint="eastAsia" w:ascii="宋体" w:hAnsi="宋体" w:cs="宋体"/>
                <w:sz w:val="24"/>
                <w:szCs w:val="24"/>
              </w:rPr>
            </w:pPr>
            <w:r>
              <w:rPr>
                <w:rFonts w:hint="eastAsia" w:ascii="宋体" w:hAnsi="宋体" w:cs="宋体"/>
                <w:sz w:val="24"/>
                <w:szCs w:val="24"/>
              </w:rPr>
              <w:t>输</w:t>
            </w:r>
          </w:p>
        </w:tc>
        <w:tc>
          <w:tcPr>
            <w:tcW w:w="6121" w:type="dxa"/>
            <w:noWrap w:val="0"/>
            <w:vAlign w:val="center"/>
          </w:tcPr>
          <w:p w14:paraId="07F10EEE">
            <w:pPr>
              <w:spacing w:line="420" w:lineRule="exact"/>
              <w:jc w:val="left"/>
              <w:rPr>
                <w:rFonts w:hint="eastAsia" w:ascii="宋体" w:hAnsi="宋体" w:cs="宋体"/>
                <w:sz w:val="24"/>
                <w:szCs w:val="24"/>
              </w:rPr>
            </w:pPr>
            <w:r>
              <w:rPr>
                <w:rFonts w:hint="eastAsia" w:ascii="宋体" w:hAnsi="宋体" w:cs="宋体"/>
                <w:sz w:val="24"/>
                <w:szCs w:val="24"/>
              </w:rPr>
              <w:t>根据物流运输方案、物流质控、物流安全保障、标本转运物流流程规章制度、物流配送设施综合评分：</w:t>
            </w:r>
          </w:p>
          <w:p w14:paraId="3EE9A770">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方案及制度等内容完善且合理，完全满足要求。得7分；</w:t>
            </w:r>
          </w:p>
          <w:p w14:paraId="3EE250E8">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内容一般但涵盖上述全部内容，但是内容不够详尽或者其中某项描述欠缺的，得4分；</w:t>
            </w:r>
          </w:p>
          <w:p w14:paraId="430C0876">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内容不全面，内容缺少一项或多项的，得2分；</w:t>
            </w:r>
          </w:p>
          <w:p w14:paraId="41A94D63">
            <w:pPr>
              <w:spacing w:line="420" w:lineRule="exact"/>
              <w:jc w:val="left"/>
              <w:rPr>
                <w:rFonts w:hint="eastAsia" w:ascii="宋体" w:hAnsi="宋体" w:cs="宋体"/>
                <w:sz w:val="24"/>
                <w:szCs w:val="24"/>
              </w:rPr>
            </w:pPr>
            <w:r>
              <w:rPr>
                <w:rFonts w:hint="eastAsia" w:ascii="宋体" w:hAnsi="宋体" w:cs="宋体"/>
                <w:sz w:val="24"/>
                <w:szCs w:val="24"/>
              </w:rPr>
              <w:t>不提供得0分。</w:t>
            </w:r>
          </w:p>
        </w:tc>
        <w:tc>
          <w:tcPr>
            <w:tcW w:w="838" w:type="dxa"/>
            <w:noWrap w:val="0"/>
            <w:vAlign w:val="center"/>
          </w:tcPr>
          <w:p w14:paraId="5EF4E7C5">
            <w:pPr>
              <w:spacing w:line="400" w:lineRule="exact"/>
              <w:jc w:val="center"/>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分</w:t>
            </w:r>
          </w:p>
        </w:tc>
      </w:tr>
      <w:tr w14:paraId="3EFF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vMerge w:val="continue"/>
            <w:noWrap w:val="0"/>
            <w:vAlign w:val="center"/>
          </w:tcPr>
          <w:p w14:paraId="0EEBAD72">
            <w:pPr>
              <w:spacing w:line="400" w:lineRule="exact"/>
              <w:rPr>
                <w:rFonts w:hint="eastAsia" w:ascii="宋体" w:hAnsi="宋体" w:cs="宋体"/>
                <w:sz w:val="24"/>
                <w:szCs w:val="24"/>
              </w:rPr>
            </w:pPr>
          </w:p>
        </w:tc>
        <w:tc>
          <w:tcPr>
            <w:tcW w:w="1275" w:type="dxa"/>
            <w:noWrap w:val="0"/>
            <w:vAlign w:val="center"/>
          </w:tcPr>
          <w:p w14:paraId="01DA7FCA">
            <w:pPr>
              <w:spacing w:line="420" w:lineRule="exact"/>
              <w:jc w:val="center"/>
              <w:rPr>
                <w:rFonts w:hint="eastAsia" w:ascii="宋体" w:hAnsi="宋体" w:cs="宋体"/>
                <w:sz w:val="24"/>
                <w:szCs w:val="24"/>
              </w:rPr>
            </w:pPr>
            <w:r>
              <w:rPr>
                <w:rFonts w:hint="eastAsia" w:ascii="宋体" w:hAnsi="宋体" w:cs="宋体"/>
                <w:sz w:val="24"/>
                <w:szCs w:val="24"/>
              </w:rPr>
              <w:t>检测项目结果报送方案</w:t>
            </w:r>
          </w:p>
        </w:tc>
        <w:tc>
          <w:tcPr>
            <w:tcW w:w="6121" w:type="dxa"/>
            <w:noWrap w:val="0"/>
            <w:vAlign w:val="center"/>
          </w:tcPr>
          <w:p w14:paraId="6DD1BFBF">
            <w:pPr>
              <w:spacing w:line="420" w:lineRule="exact"/>
              <w:jc w:val="left"/>
              <w:rPr>
                <w:rFonts w:hint="eastAsia" w:ascii="宋体" w:hAnsi="宋体" w:cs="宋体"/>
                <w:sz w:val="24"/>
                <w:szCs w:val="24"/>
              </w:rPr>
            </w:pPr>
            <w:r>
              <w:rPr>
                <w:rFonts w:hint="eastAsia" w:ascii="宋体" w:hAnsi="宋体" w:cs="宋体"/>
                <w:sz w:val="24"/>
                <w:szCs w:val="24"/>
              </w:rPr>
              <w:t>根据检测结果报送方案，包含报送时间计划、报送方式、报送过程中出现问题的处理方案等内容评分：</w:t>
            </w:r>
          </w:p>
          <w:p w14:paraId="7FDCFAF3">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标本检测及检测报告出具等方面，进度计划完整有序合理、可行性强，完全满足要求的，得7分；</w:t>
            </w:r>
          </w:p>
          <w:p w14:paraId="24269570">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标本检测及检测报告出具等方面，进度计划完整、可行性一般，涵盖上述全部内容，但是内容不够详尽或者其中某项描述欠缺的，得4分；</w:t>
            </w:r>
          </w:p>
          <w:p w14:paraId="3E52B13E">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标本检测及检测报告出具等方面，进度计划基本完</w:t>
            </w:r>
          </w:p>
          <w:p w14:paraId="09453560">
            <w:pPr>
              <w:spacing w:line="420" w:lineRule="exact"/>
              <w:jc w:val="left"/>
              <w:rPr>
                <w:rFonts w:hint="eastAsia" w:ascii="宋体" w:hAnsi="宋体" w:cs="宋体"/>
                <w:sz w:val="24"/>
                <w:szCs w:val="24"/>
              </w:rPr>
            </w:pPr>
            <w:r>
              <w:rPr>
                <w:rFonts w:hint="eastAsia" w:ascii="宋体" w:hAnsi="宋体" w:cs="宋体"/>
                <w:sz w:val="24"/>
                <w:szCs w:val="24"/>
              </w:rPr>
              <w:t>整、基本可行，内容缺少一项或多项的，得2分；</w:t>
            </w:r>
          </w:p>
          <w:p w14:paraId="3BCFBE9D">
            <w:pPr>
              <w:spacing w:line="420" w:lineRule="exact"/>
              <w:jc w:val="left"/>
              <w:rPr>
                <w:rFonts w:hint="eastAsia" w:ascii="宋体" w:hAnsi="宋体" w:cs="宋体"/>
                <w:sz w:val="24"/>
                <w:szCs w:val="24"/>
              </w:rPr>
            </w:pPr>
            <w:r>
              <w:rPr>
                <w:rFonts w:hint="eastAsia" w:ascii="宋体" w:hAnsi="宋体" w:cs="宋体"/>
                <w:sz w:val="24"/>
                <w:szCs w:val="24"/>
              </w:rPr>
              <w:t>不提供得0分</w:t>
            </w:r>
          </w:p>
        </w:tc>
        <w:tc>
          <w:tcPr>
            <w:tcW w:w="838" w:type="dxa"/>
            <w:noWrap w:val="0"/>
            <w:vAlign w:val="center"/>
          </w:tcPr>
          <w:p w14:paraId="4E95B826">
            <w:pPr>
              <w:spacing w:line="400" w:lineRule="exact"/>
              <w:jc w:val="center"/>
              <w:rPr>
                <w:rFonts w:hint="eastAsia" w:ascii="宋体" w:hAnsi="宋体" w:cs="宋体"/>
                <w:sz w:val="24"/>
                <w:szCs w:val="24"/>
                <w:lang w:val="en-US" w:eastAsia="zh-CN"/>
              </w:rPr>
            </w:pPr>
            <w:r>
              <w:rPr>
                <w:rFonts w:hint="eastAsia" w:ascii="宋体" w:hAnsi="宋体" w:cs="宋体"/>
                <w:sz w:val="24"/>
                <w:szCs w:val="24"/>
              </w:rPr>
              <w:t>7分</w:t>
            </w:r>
          </w:p>
        </w:tc>
      </w:tr>
      <w:tr w14:paraId="1F2E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vMerge w:val="continue"/>
            <w:noWrap w:val="0"/>
            <w:vAlign w:val="center"/>
          </w:tcPr>
          <w:p w14:paraId="53C68B7C">
            <w:pPr>
              <w:spacing w:line="400" w:lineRule="exact"/>
              <w:rPr>
                <w:rFonts w:hint="eastAsia" w:ascii="宋体" w:hAnsi="宋体" w:cs="宋体"/>
                <w:sz w:val="24"/>
                <w:szCs w:val="24"/>
              </w:rPr>
            </w:pPr>
          </w:p>
        </w:tc>
        <w:tc>
          <w:tcPr>
            <w:tcW w:w="1275" w:type="dxa"/>
            <w:noWrap w:val="0"/>
            <w:vAlign w:val="center"/>
          </w:tcPr>
          <w:p w14:paraId="1E2A1CF1">
            <w:pPr>
              <w:spacing w:line="420" w:lineRule="exact"/>
              <w:jc w:val="center"/>
              <w:rPr>
                <w:rFonts w:hint="eastAsia" w:ascii="宋体" w:hAnsi="宋体" w:cs="宋体"/>
                <w:sz w:val="24"/>
                <w:szCs w:val="24"/>
              </w:rPr>
            </w:pPr>
            <w:r>
              <w:rPr>
                <w:rFonts w:hint="eastAsia" w:ascii="宋体" w:hAnsi="宋体" w:cs="宋体"/>
                <w:sz w:val="24"/>
                <w:szCs w:val="24"/>
              </w:rPr>
              <w:t>质量保证措施</w:t>
            </w:r>
          </w:p>
        </w:tc>
        <w:tc>
          <w:tcPr>
            <w:tcW w:w="6121" w:type="dxa"/>
            <w:noWrap w:val="0"/>
            <w:vAlign w:val="center"/>
          </w:tcPr>
          <w:p w14:paraId="09FE195A">
            <w:pPr>
              <w:spacing w:line="420" w:lineRule="exact"/>
              <w:jc w:val="left"/>
              <w:rPr>
                <w:rFonts w:hint="eastAsia" w:ascii="宋体" w:hAnsi="宋体" w:cs="宋体"/>
                <w:sz w:val="24"/>
                <w:szCs w:val="24"/>
              </w:rPr>
            </w:pPr>
            <w:r>
              <w:rPr>
                <w:rFonts w:hint="eastAsia" w:ascii="宋体" w:hAnsi="宋体" w:cs="宋体"/>
                <w:sz w:val="24"/>
                <w:szCs w:val="24"/>
              </w:rPr>
              <w:t>根据对供应商的质量保证措施和程序的合理、完善</w:t>
            </w:r>
          </w:p>
          <w:p w14:paraId="533D7CF0">
            <w:pPr>
              <w:spacing w:line="420" w:lineRule="exact"/>
              <w:jc w:val="left"/>
              <w:rPr>
                <w:rFonts w:hint="eastAsia" w:ascii="宋体" w:hAnsi="宋体" w:cs="宋体"/>
                <w:sz w:val="24"/>
                <w:szCs w:val="24"/>
              </w:rPr>
            </w:pPr>
            <w:r>
              <w:rPr>
                <w:rFonts w:hint="eastAsia" w:ascii="宋体" w:hAnsi="宋体" w:cs="宋体"/>
                <w:sz w:val="24"/>
                <w:szCs w:val="24"/>
              </w:rPr>
              <w:t>性等进行综合评分：</w:t>
            </w:r>
          </w:p>
          <w:p w14:paraId="6E3025EF">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质量保障方案制定详实、切实可行，质量保障制度制定完善、可操作性强，质量保障人员配备齐全、分工明确、团队力量强，有专门的的质量保障规划，质量保障设施设备配备齐全，得7分；</w:t>
            </w:r>
          </w:p>
          <w:p w14:paraId="2E98B4BD">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质量保障方案制定、质量保障制度制定、质量保障人员配备、质量保障设施设备配备，涵盖上述全部内容，但是内容不够详尽或者其中某项描述欠缺的，得4分；</w:t>
            </w:r>
          </w:p>
          <w:p w14:paraId="4BDCEFF1">
            <w:pPr>
              <w:spacing w:line="420" w:lineRule="exact"/>
              <w:jc w:val="left"/>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质量保障方案制定、质量保障制度制定、质量保障人员配备、质量保障设施设备配备，内容缺少一项或多项的，得2分；</w:t>
            </w:r>
          </w:p>
          <w:p w14:paraId="019067C1">
            <w:pPr>
              <w:spacing w:line="420" w:lineRule="exact"/>
              <w:jc w:val="left"/>
              <w:rPr>
                <w:rFonts w:hint="eastAsia" w:ascii="宋体" w:hAnsi="宋体" w:cs="宋体"/>
                <w:sz w:val="24"/>
                <w:szCs w:val="24"/>
              </w:rPr>
            </w:pPr>
            <w:r>
              <w:rPr>
                <w:rFonts w:hint="eastAsia" w:ascii="宋体" w:hAnsi="宋体" w:cs="宋体"/>
                <w:sz w:val="24"/>
                <w:szCs w:val="24"/>
              </w:rPr>
              <w:t>不提供或描述不清晰的得0分。</w:t>
            </w:r>
          </w:p>
        </w:tc>
        <w:tc>
          <w:tcPr>
            <w:tcW w:w="838" w:type="dxa"/>
            <w:noWrap w:val="0"/>
            <w:vAlign w:val="center"/>
          </w:tcPr>
          <w:p w14:paraId="21B686AD">
            <w:pPr>
              <w:spacing w:line="400" w:lineRule="exact"/>
              <w:jc w:val="center"/>
              <w:rPr>
                <w:rFonts w:hint="eastAsia" w:ascii="宋体" w:hAnsi="宋体" w:cs="宋体"/>
                <w:sz w:val="24"/>
                <w:szCs w:val="24"/>
              </w:rPr>
            </w:pPr>
            <w:r>
              <w:rPr>
                <w:rFonts w:hint="eastAsia" w:ascii="宋体" w:hAnsi="宋体" w:cs="宋体"/>
                <w:sz w:val="24"/>
                <w:szCs w:val="24"/>
              </w:rPr>
              <w:t>7分</w:t>
            </w:r>
          </w:p>
        </w:tc>
      </w:tr>
      <w:tr w14:paraId="1495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vMerge w:val="restart"/>
            <w:noWrap w:val="0"/>
            <w:vAlign w:val="center"/>
          </w:tcPr>
          <w:p w14:paraId="6F5A2EA1">
            <w:pPr>
              <w:spacing w:line="400" w:lineRule="exact"/>
              <w:rPr>
                <w:rFonts w:hint="eastAsia" w:ascii="宋体" w:hAnsi="宋体" w:cs="宋体"/>
                <w:sz w:val="24"/>
                <w:szCs w:val="24"/>
              </w:rPr>
            </w:pPr>
            <w:r>
              <w:rPr>
                <w:rFonts w:hint="eastAsia" w:ascii="宋体" w:hAnsi="宋体" w:cs="宋体"/>
                <w:sz w:val="24"/>
                <w:szCs w:val="24"/>
              </w:rPr>
              <w:t>商务</w:t>
            </w:r>
            <w:r>
              <w:rPr>
                <w:rFonts w:hint="eastAsia" w:ascii="宋体" w:hAnsi="宋体" w:cs="宋体"/>
                <w:sz w:val="24"/>
                <w:szCs w:val="24"/>
                <w:lang w:val="en-US" w:eastAsia="zh-CN"/>
              </w:rPr>
              <w:t>部分</w:t>
            </w:r>
            <w:r>
              <w:rPr>
                <w:rFonts w:hint="eastAsia" w:ascii="宋体" w:hAnsi="宋体" w:cs="宋体"/>
                <w:sz w:val="24"/>
                <w:szCs w:val="24"/>
              </w:rPr>
              <w:t>（</w:t>
            </w:r>
            <w:r>
              <w:rPr>
                <w:rFonts w:hint="eastAsia" w:ascii="宋体" w:hAnsi="宋体" w:cs="宋体"/>
                <w:sz w:val="24"/>
                <w:szCs w:val="24"/>
                <w:lang w:val="en-US" w:eastAsia="zh-CN"/>
              </w:rPr>
              <w:t>15</w:t>
            </w:r>
            <w:r>
              <w:rPr>
                <w:rFonts w:hint="eastAsia" w:ascii="宋体" w:hAnsi="宋体" w:cs="宋体"/>
                <w:sz w:val="24"/>
                <w:szCs w:val="24"/>
              </w:rPr>
              <w:t>分）</w:t>
            </w:r>
          </w:p>
        </w:tc>
        <w:tc>
          <w:tcPr>
            <w:tcW w:w="1275" w:type="dxa"/>
            <w:noWrap w:val="0"/>
            <w:vAlign w:val="center"/>
          </w:tcPr>
          <w:p w14:paraId="061E353B">
            <w:pPr>
              <w:spacing w:line="400" w:lineRule="exact"/>
              <w:jc w:val="center"/>
              <w:rPr>
                <w:rFonts w:hint="eastAsia" w:ascii="宋体" w:hAnsi="宋体" w:cs="宋体"/>
                <w:sz w:val="24"/>
                <w:szCs w:val="24"/>
              </w:rPr>
            </w:pPr>
            <w:r>
              <w:rPr>
                <w:rFonts w:hint="eastAsia" w:ascii="宋体" w:hAnsi="宋体" w:cs="宋体"/>
                <w:sz w:val="24"/>
                <w:szCs w:val="24"/>
              </w:rPr>
              <w:t>企业业绩</w:t>
            </w:r>
          </w:p>
        </w:tc>
        <w:tc>
          <w:tcPr>
            <w:tcW w:w="6121" w:type="dxa"/>
            <w:noWrap w:val="0"/>
            <w:vAlign w:val="center"/>
          </w:tcPr>
          <w:p w14:paraId="0876DF34">
            <w:pPr>
              <w:spacing w:line="400" w:lineRule="exact"/>
              <w:rPr>
                <w:rFonts w:hint="eastAsia" w:ascii="宋体" w:hAnsi="宋体" w:cs="宋体"/>
                <w:sz w:val="24"/>
                <w:szCs w:val="24"/>
              </w:rPr>
            </w:pPr>
            <w:r>
              <w:rPr>
                <w:rFonts w:hint="eastAsia" w:ascii="宋体" w:hAnsi="宋体" w:cs="宋体"/>
                <w:sz w:val="24"/>
                <w:szCs w:val="24"/>
              </w:rPr>
              <w:t>供应商自202</w:t>
            </w:r>
            <w:r>
              <w:rPr>
                <w:rFonts w:hint="eastAsia" w:ascii="宋体" w:hAnsi="宋体" w:cs="宋体"/>
                <w:sz w:val="24"/>
                <w:szCs w:val="24"/>
                <w:lang w:val="en-US" w:eastAsia="zh-CN"/>
              </w:rPr>
              <w:t>2</w:t>
            </w:r>
            <w:r>
              <w:rPr>
                <w:rFonts w:hint="eastAsia" w:ascii="宋体" w:hAnsi="宋体" w:cs="宋体"/>
                <w:sz w:val="24"/>
                <w:szCs w:val="24"/>
              </w:rPr>
              <w:t>年1月1日以来完成的类似项目业绩的，每提供一项得2</w:t>
            </w:r>
            <w:r>
              <w:rPr>
                <w:rFonts w:hint="eastAsia" w:ascii="宋体" w:hAnsi="宋体" w:cs="宋体"/>
                <w:sz w:val="24"/>
                <w:szCs w:val="24"/>
                <w:lang w:val="en-US" w:eastAsia="zh-CN"/>
              </w:rPr>
              <w:t>.5</w:t>
            </w:r>
            <w:r>
              <w:rPr>
                <w:rFonts w:hint="eastAsia" w:ascii="宋体" w:hAnsi="宋体" w:cs="宋体"/>
                <w:sz w:val="24"/>
                <w:szCs w:val="24"/>
              </w:rPr>
              <w:t>分，最多得</w:t>
            </w:r>
            <w:r>
              <w:rPr>
                <w:rFonts w:hint="eastAsia" w:ascii="宋体" w:hAnsi="宋体" w:cs="宋体"/>
                <w:sz w:val="24"/>
                <w:szCs w:val="24"/>
                <w:lang w:val="en-US" w:eastAsia="zh-CN"/>
              </w:rPr>
              <w:t>5</w:t>
            </w:r>
            <w:r>
              <w:rPr>
                <w:rFonts w:hint="eastAsia" w:ascii="宋体" w:hAnsi="宋体" w:cs="宋体"/>
                <w:sz w:val="24"/>
                <w:szCs w:val="24"/>
              </w:rPr>
              <w:t>分。（以中标通知书或合同协议书为准，磋商响应文件附扫描件）。</w:t>
            </w:r>
          </w:p>
        </w:tc>
        <w:tc>
          <w:tcPr>
            <w:tcW w:w="838" w:type="dxa"/>
            <w:noWrap w:val="0"/>
            <w:vAlign w:val="center"/>
          </w:tcPr>
          <w:p w14:paraId="1EC4D3B5">
            <w:pPr>
              <w:spacing w:line="400" w:lineRule="exact"/>
              <w:jc w:val="center"/>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分</w:t>
            </w:r>
          </w:p>
        </w:tc>
      </w:tr>
      <w:tr w14:paraId="5AE0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50" w:type="dxa"/>
            <w:vMerge w:val="continue"/>
            <w:noWrap w:val="0"/>
            <w:vAlign w:val="center"/>
          </w:tcPr>
          <w:p w14:paraId="2557BB35">
            <w:pPr>
              <w:spacing w:line="400" w:lineRule="exact"/>
              <w:rPr>
                <w:rFonts w:hint="eastAsia" w:ascii="宋体" w:hAnsi="宋体" w:cs="宋体"/>
                <w:sz w:val="24"/>
                <w:szCs w:val="24"/>
              </w:rPr>
            </w:pPr>
          </w:p>
        </w:tc>
        <w:tc>
          <w:tcPr>
            <w:tcW w:w="1275" w:type="dxa"/>
            <w:noWrap w:val="0"/>
            <w:vAlign w:val="center"/>
          </w:tcPr>
          <w:p w14:paraId="2341D2BB">
            <w:pPr>
              <w:spacing w:line="360" w:lineRule="auto"/>
              <w:jc w:val="center"/>
              <w:rPr>
                <w:rFonts w:hint="eastAsia" w:ascii="宋体" w:hAnsi="宋体" w:cs="宋体"/>
                <w:sz w:val="24"/>
                <w:szCs w:val="24"/>
              </w:rPr>
            </w:pPr>
            <w:r>
              <w:rPr>
                <w:rFonts w:hint="eastAsia" w:ascii="宋体" w:hAnsi="宋体" w:cs="宋体"/>
                <w:sz w:val="24"/>
                <w:szCs w:val="24"/>
              </w:rPr>
              <w:t>售后服</w:t>
            </w:r>
          </w:p>
          <w:p w14:paraId="3680FA5F">
            <w:pPr>
              <w:spacing w:line="360" w:lineRule="auto"/>
              <w:jc w:val="center"/>
              <w:rPr>
                <w:rFonts w:hint="eastAsia" w:ascii="宋体" w:hAnsi="宋体" w:cs="宋体"/>
                <w:sz w:val="24"/>
                <w:szCs w:val="24"/>
              </w:rPr>
            </w:pPr>
            <w:r>
              <w:rPr>
                <w:rFonts w:hint="eastAsia" w:ascii="宋体" w:hAnsi="宋体" w:cs="宋体"/>
                <w:sz w:val="24"/>
                <w:szCs w:val="24"/>
              </w:rPr>
              <w:t>务能力</w:t>
            </w:r>
          </w:p>
        </w:tc>
        <w:tc>
          <w:tcPr>
            <w:tcW w:w="6121" w:type="dxa"/>
            <w:noWrap w:val="0"/>
            <w:vAlign w:val="center"/>
          </w:tcPr>
          <w:p w14:paraId="2D9AF7EA">
            <w:pPr>
              <w:spacing w:line="360" w:lineRule="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根据供应商承诺的售后服务内容、形式、等进行打分：</w:t>
            </w:r>
          </w:p>
          <w:p w14:paraId="70B2BEA5">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售后服务内容、形式具有针对性、完善、合理得3分；</w:t>
            </w:r>
          </w:p>
          <w:p w14:paraId="14A3E579">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内容、形式、基本满足甲方需求，但在针对性和合理性上有欠缺得1.5分；</w:t>
            </w:r>
          </w:p>
          <w:p w14:paraId="61093214">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不提供或描述不清晰的得0分。</w:t>
            </w:r>
          </w:p>
          <w:p w14:paraId="4A09B5A7">
            <w:pPr>
              <w:spacing w:line="360" w:lineRule="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根据供应商的本地化服务能力等进行打分：</w:t>
            </w:r>
          </w:p>
          <w:p w14:paraId="4D96A0A8">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本地化服务能力具有针对性、完善、合理得3分；</w:t>
            </w:r>
          </w:p>
          <w:p w14:paraId="7C7F2F6C">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基本满足甲方需求，但在针对性和合理性上有欠缺得1.5分；</w:t>
            </w:r>
          </w:p>
          <w:p w14:paraId="7BE27B25">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不提供或描述不清晰的得0分。</w:t>
            </w:r>
          </w:p>
          <w:p w14:paraId="73D72D72">
            <w:pPr>
              <w:spacing w:line="360" w:lineRule="auto"/>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根据供应商服务承诺中问题解决、质量响应时间科学</w:t>
            </w:r>
          </w:p>
          <w:p w14:paraId="53CAAC72">
            <w:pPr>
              <w:spacing w:line="360" w:lineRule="auto"/>
              <w:rPr>
                <w:rFonts w:hint="eastAsia" w:ascii="宋体" w:hAnsi="宋体" w:cs="宋体"/>
                <w:sz w:val="24"/>
                <w:szCs w:val="24"/>
              </w:rPr>
            </w:pPr>
            <w:r>
              <w:rPr>
                <w:rFonts w:hint="eastAsia" w:ascii="宋体" w:hAnsi="宋体" w:cs="宋体"/>
                <w:sz w:val="24"/>
                <w:szCs w:val="24"/>
              </w:rPr>
              <w:t>合理性、对检测项目的报告周期的承诺等进行打分：</w:t>
            </w:r>
          </w:p>
          <w:p w14:paraId="10CFE318">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方案具有针对性、完善、合理的，得4分；</w:t>
            </w:r>
          </w:p>
          <w:p w14:paraId="60D09AF7">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基本满足甲方需求，但在针对性和合理性上有欠缺，得2分；</w:t>
            </w:r>
          </w:p>
          <w:p w14:paraId="12B498C7">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不提供或描述不清晰的得0分</w:t>
            </w:r>
          </w:p>
        </w:tc>
        <w:tc>
          <w:tcPr>
            <w:tcW w:w="838" w:type="dxa"/>
            <w:noWrap w:val="0"/>
            <w:vAlign w:val="center"/>
          </w:tcPr>
          <w:p w14:paraId="0E13214C">
            <w:pPr>
              <w:spacing w:line="400" w:lineRule="exact"/>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0</w:t>
            </w:r>
            <w:r>
              <w:rPr>
                <w:rFonts w:hint="eastAsia" w:ascii="宋体" w:hAnsi="宋体" w:cs="宋体"/>
                <w:sz w:val="24"/>
                <w:szCs w:val="24"/>
              </w:rPr>
              <w:t>分</w:t>
            </w:r>
          </w:p>
        </w:tc>
      </w:tr>
      <w:bookmarkEnd w:id="16"/>
    </w:tbl>
    <w:p w14:paraId="48DE5D63">
      <w:pPr>
        <w:spacing w:line="520" w:lineRule="exact"/>
        <w:rPr>
          <w:rFonts w:hint="eastAsia" w:ascii="Calibri" w:hAnsi="宋体" w:eastAsia="宋体" w:cs="Times New Roman"/>
          <w:b/>
          <w:color w:val="000000" w:themeColor="text1"/>
          <w:sz w:val="32"/>
          <w:szCs w:val="32"/>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注：评标过程中涉及到资格审查、企业荣誉、人员业绩、企业业绩等计分部分时，以投标单位自行上传到响应文件中的相应内容为准。</w:t>
      </w:r>
    </w:p>
    <w:p w14:paraId="06FAA999">
      <w:pPr>
        <w:spacing w:line="360" w:lineRule="auto"/>
        <w:jc w:val="center"/>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t>第六章</w:t>
      </w:r>
      <w:r>
        <w:rPr>
          <w:rFonts w:hint="eastAsia" w:ascii="Calibri" w:hAnsi="宋体" w:eastAsia="宋体" w:cs="Times New Roman"/>
          <w:b/>
          <w:color w:val="000000" w:themeColor="text1"/>
          <w:sz w:val="32"/>
          <w:szCs w:val="32"/>
          <w:lang w:val="en-US" w:eastAsia="zh-CN"/>
          <w14:textFill>
            <w14:solidFill>
              <w14:schemeClr w14:val="tx1"/>
            </w14:solidFill>
          </w14:textFill>
        </w:rPr>
        <w:t xml:space="preserve"> </w:t>
      </w:r>
      <w:r>
        <w:rPr>
          <w:rFonts w:hint="eastAsia" w:ascii="Calibri" w:hAnsi="宋体" w:eastAsia="宋体" w:cs="Times New Roman"/>
          <w:b/>
          <w:color w:val="000000" w:themeColor="text1"/>
          <w:sz w:val="32"/>
          <w:szCs w:val="32"/>
          <w14:textFill>
            <w14:solidFill>
              <w14:schemeClr w14:val="tx1"/>
            </w14:solidFill>
          </w14:textFill>
        </w:rPr>
        <w:t>磋商文件格式</w:t>
      </w:r>
    </w:p>
    <w:p w14:paraId="25E44A08">
      <w:pPr>
        <w:spacing w:line="360" w:lineRule="auto"/>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t>封面</w:t>
      </w:r>
    </w:p>
    <w:p w14:paraId="596E32C7">
      <w:pPr>
        <w:jc w:val="center"/>
        <w:rPr>
          <w:rFonts w:ascii="黑体" w:hAnsi="Calibri" w:eastAsia="黑体" w:cs="黑体"/>
          <w:b/>
          <w:color w:val="000000" w:themeColor="text1"/>
          <w:sz w:val="48"/>
          <w:szCs w:val="48"/>
          <w14:textFill>
            <w14:solidFill>
              <w14:schemeClr w14:val="tx1"/>
            </w14:solidFill>
          </w14:textFill>
        </w:rPr>
      </w:pPr>
    </w:p>
    <w:p w14:paraId="32070096">
      <w:pPr>
        <w:widowControl/>
        <w:jc w:val="center"/>
        <w:rPr>
          <w:rFonts w:hint="eastAsia" w:ascii="黑体" w:hAnsi="黑体" w:eastAsia="黑体" w:cs="Times New Roman"/>
          <w:bCs/>
          <w:color w:val="000000" w:themeColor="text1"/>
          <w:sz w:val="48"/>
          <w:szCs w:val="48"/>
          <w:lang w:eastAsia="zh-CN"/>
          <w14:textFill>
            <w14:solidFill>
              <w14:schemeClr w14:val="tx1"/>
            </w14:solidFill>
          </w14:textFill>
        </w:rPr>
      </w:pPr>
      <w:r>
        <w:rPr>
          <w:rFonts w:hint="eastAsia" w:ascii="黑体" w:hAnsi="黑体" w:eastAsia="黑体" w:cs="Times New Roman"/>
          <w:bCs/>
          <w:color w:val="000000" w:themeColor="text1"/>
          <w:sz w:val="48"/>
          <w:szCs w:val="48"/>
          <w:lang w:eastAsia="zh-CN"/>
          <w14:textFill>
            <w14:solidFill>
              <w14:schemeClr w14:val="tx1"/>
            </w14:solidFill>
          </w14:textFill>
        </w:rPr>
        <w:t>三门峡市中心医院病理科外送检测项目</w:t>
      </w:r>
    </w:p>
    <w:p w14:paraId="29C37999">
      <w:pPr>
        <w:widowControl/>
        <w:jc w:val="center"/>
        <w:rPr>
          <w:rFonts w:hint="eastAsia" w:ascii="宋体" w:hAnsi="宋体" w:eastAsia="宋体" w:cs="Times New Roman"/>
          <w:b/>
          <w:bCs/>
          <w:color w:val="000000" w:themeColor="text1"/>
          <w:kern w:val="0"/>
          <w:sz w:val="72"/>
          <w:szCs w:val="72"/>
          <w14:textFill>
            <w14:solidFill>
              <w14:schemeClr w14:val="tx1"/>
            </w14:solidFill>
          </w14:textFill>
        </w:rPr>
      </w:pPr>
    </w:p>
    <w:p w14:paraId="2DC1092A">
      <w:pPr>
        <w:widowControl/>
        <w:jc w:val="center"/>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b/>
          <w:bCs/>
          <w:color w:val="000000" w:themeColor="text1"/>
          <w:kern w:val="0"/>
          <w:sz w:val="72"/>
          <w:szCs w:val="72"/>
          <w14:textFill>
            <w14:solidFill>
              <w14:schemeClr w14:val="tx1"/>
            </w14:solidFill>
          </w14:textFill>
        </w:rPr>
        <w:t>响 应 文 件</w:t>
      </w:r>
      <w:bookmarkStart w:id="17" w:name="_Toc171073207"/>
      <w:bookmarkEnd w:id="17"/>
      <w:bookmarkStart w:id="18" w:name="_Toc171073042"/>
      <w:bookmarkEnd w:id="18"/>
      <w:bookmarkStart w:id="19" w:name="_Toc169921407"/>
      <w:bookmarkEnd w:id="19"/>
      <w:bookmarkStart w:id="20" w:name="_Toc223432387"/>
      <w:bookmarkEnd w:id="20"/>
    </w:p>
    <w:p w14:paraId="3459016F">
      <w:pPr>
        <w:widowControl/>
        <w:jc w:val="center"/>
        <w:rPr>
          <w:rFonts w:ascii="宋体" w:hAnsi="宋体" w:eastAsia="宋体" w:cs="Times New Roman"/>
          <w:color w:val="000000" w:themeColor="text1"/>
          <w:kern w:val="0"/>
          <w:sz w:val="72"/>
          <w:szCs w:val="72"/>
          <w14:textFill>
            <w14:solidFill>
              <w14:schemeClr w14:val="tx1"/>
            </w14:solidFill>
          </w14:textFill>
        </w:rPr>
      </w:pPr>
    </w:p>
    <w:p w14:paraId="03764F0F">
      <w:pPr>
        <w:widowControl/>
        <w:jc w:val="center"/>
        <w:rPr>
          <w:rFonts w:ascii="Calibri" w:hAnsi="Calibri" w:eastAsia="宋体" w:cs="Times New Roman"/>
          <w:color w:val="000000" w:themeColor="text1"/>
          <w:kern w:val="0"/>
          <w:sz w:val="20"/>
          <w:szCs w:val="20"/>
          <w14:textFill>
            <w14:solidFill>
              <w14:schemeClr w14:val="tx1"/>
            </w14:solidFill>
          </w14:textFill>
        </w:rPr>
      </w:pPr>
    </w:p>
    <w:p w14:paraId="4A09EEC7">
      <w:pPr>
        <w:widowControl/>
        <w:jc w:val="center"/>
        <w:rPr>
          <w:rFonts w:ascii="宋体" w:hAnsi="宋体" w:eastAsia="宋体" w:cs="Times New Roman"/>
          <w:color w:val="000000" w:themeColor="text1"/>
          <w:kern w:val="0"/>
          <w:sz w:val="72"/>
          <w:szCs w:val="72"/>
          <w14:textFill>
            <w14:solidFill>
              <w14:schemeClr w14:val="tx1"/>
            </w14:solidFill>
          </w14:textFill>
        </w:rPr>
      </w:pPr>
    </w:p>
    <w:p w14:paraId="74843722">
      <w:pPr>
        <w:widowControl/>
        <w:jc w:val="center"/>
        <w:rPr>
          <w:rFonts w:ascii="Calibri" w:hAnsi="Calibri" w:eastAsia="宋体" w:cs="Times New Roman"/>
          <w:color w:val="000000" w:themeColor="text1"/>
          <w:kern w:val="0"/>
          <w:sz w:val="20"/>
          <w:szCs w:val="20"/>
          <w14:textFill>
            <w14:solidFill>
              <w14:schemeClr w14:val="tx1"/>
            </w14:solidFill>
          </w14:textFill>
        </w:rPr>
      </w:pPr>
    </w:p>
    <w:p w14:paraId="72E5230B">
      <w:pPr>
        <w:widowControl/>
        <w:jc w:val="left"/>
        <w:rPr>
          <w:rFonts w:ascii="宋体" w:hAnsi="宋体" w:eastAsia="宋体" w:cs="Times New Roman"/>
          <w:b/>
          <w:bCs/>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项目编号：</w:t>
      </w:r>
    </w:p>
    <w:p w14:paraId="76C345F4">
      <w:pPr>
        <w:widowControl/>
        <w:spacing w:line="660" w:lineRule="auto"/>
        <w:rPr>
          <w:rFonts w:ascii="Calibri" w:hAnsi="Calibri" w:eastAsia="宋体" w:cs="Times New Roman"/>
          <w:color w:val="000000" w:themeColor="text1"/>
          <w:kern w:val="0"/>
          <w:sz w:val="27"/>
          <w:szCs w:val="27"/>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 </w:t>
      </w:r>
    </w:p>
    <w:p w14:paraId="7DDF43CA">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w:t>
      </w:r>
    </w:p>
    <w:p w14:paraId="0CC129B9">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p>
    <w:p w14:paraId="075FBCA4">
      <w:pPr>
        <w:widowControl/>
        <w:spacing w:line="480" w:lineRule="auto"/>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磋商供应商名称</w:t>
      </w:r>
      <w:r>
        <w:rPr>
          <w:rFonts w:hint="eastAsia" w:ascii="宋体" w:hAnsi="宋体" w:eastAsia="宋体" w:cs="Times New Roman"/>
          <w:color w:val="000000" w:themeColor="text1"/>
          <w:kern w:val="0"/>
          <w:sz w:val="28"/>
          <w:szCs w:val="28"/>
          <w:lang w:eastAsia="zh-CN"/>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（盖章）</w:t>
      </w:r>
    </w:p>
    <w:p w14:paraId="7782B45D">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法定代表人：（</w:t>
      </w:r>
      <w:r>
        <w:rPr>
          <w:rFonts w:hint="eastAsia" w:ascii="宋体" w:hAnsi="宋体" w:eastAsia="宋体" w:cs="Times New Roman"/>
          <w:color w:val="000000" w:themeColor="text1"/>
          <w:sz w:val="28"/>
          <w14:textFill>
            <w14:solidFill>
              <w14:schemeClr w14:val="tx1"/>
            </w14:solidFill>
          </w14:textFill>
        </w:rPr>
        <w:t>电子签章</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 </w:t>
      </w:r>
    </w:p>
    <w:p w14:paraId="1A42D708">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日       期：</w:t>
      </w:r>
    </w:p>
    <w:p w14:paraId="20DE1097">
      <w:pPr>
        <w:rPr>
          <w:rFonts w:ascii="Calibri" w:hAnsi="Calibri" w:eastAsia="宋体" w:cs="Times New Roman"/>
          <w:color w:val="000000" w:themeColor="text1"/>
          <w14:textFill>
            <w14:solidFill>
              <w14:schemeClr w14:val="tx1"/>
            </w14:solidFill>
          </w14:textFill>
        </w:rPr>
      </w:pPr>
    </w:p>
    <w:p w14:paraId="51AE3A0C">
      <w:pPr>
        <w:pStyle w:val="10"/>
        <w:rPr>
          <w:rFonts w:ascii="Calibri" w:hAnsi="Calibri" w:eastAsia="宋体" w:cs="Times New Roman"/>
          <w:color w:val="000000" w:themeColor="text1"/>
          <w14:textFill>
            <w14:solidFill>
              <w14:schemeClr w14:val="tx1"/>
            </w14:solidFill>
          </w14:textFill>
        </w:rPr>
      </w:pPr>
    </w:p>
    <w:p w14:paraId="2F19752B">
      <w:pPr>
        <w:pStyle w:val="10"/>
        <w:rPr>
          <w:rFonts w:ascii="Calibri" w:hAnsi="Calibri" w:eastAsia="宋体" w:cs="Times New Roman"/>
          <w:color w:val="000000" w:themeColor="text1"/>
          <w14:textFill>
            <w14:solidFill>
              <w14:schemeClr w14:val="tx1"/>
            </w14:solidFill>
          </w14:textFill>
        </w:rPr>
      </w:pPr>
    </w:p>
    <w:p w14:paraId="0E5945B1">
      <w:pPr>
        <w:rPr>
          <w:rFonts w:ascii="Calibri" w:hAnsi="Calibri" w:eastAsia="宋体" w:cs="Times New Roman"/>
          <w:color w:val="000000" w:themeColor="text1"/>
          <w14:textFill>
            <w14:solidFill>
              <w14:schemeClr w14:val="tx1"/>
            </w14:solidFill>
          </w14:textFill>
        </w:rPr>
      </w:pPr>
    </w:p>
    <w:p w14:paraId="390D4EE6">
      <w:pPr>
        <w:pStyle w:val="24"/>
        <w:ind w:left="0" w:leftChars="0" w:firstLine="0" w:firstLineChars="0"/>
        <w:rPr>
          <w:color w:val="000000" w:themeColor="text1"/>
          <w14:textFill>
            <w14:solidFill>
              <w14:schemeClr w14:val="tx1"/>
            </w14:solidFill>
          </w14:textFill>
        </w:rPr>
      </w:pPr>
    </w:p>
    <w:p w14:paraId="5AF43CBB">
      <w:pPr>
        <w:widowControl/>
        <w:spacing w:line="480" w:lineRule="auto"/>
        <w:jc w:val="center"/>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一、法定代表人身份证明书</w:t>
      </w:r>
    </w:p>
    <w:p w14:paraId="073689BD">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单位名称：</w:t>
      </w:r>
    </w:p>
    <w:p w14:paraId="2BD320E3">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单位性质：</w:t>
      </w:r>
    </w:p>
    <w:p w14:paraId="40A6084D">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地    址：</w:t>
      </w:r>
    </w:p>
    <w:p w14:paraId="4A3872AD">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成立时间：年 月日</w:t>
      </w:r>
    </w:p>
    <w:p w14:paraId="0BE127EE">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经营期限：</w:t>
      </w:r>
    </w:p>
    <w:p w14:paraId="6BDE02B4">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姓    名：</w:t>
      </w:r>
    </w:p>
    <w:p w14:paraId="47A24A75">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性    别：</w:t>
      </w:r>
    </w:p>
    <w:p w14:paraId="4F76754F">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年    龄：</w:t>
      </w:r>
    </w:p>
    <w:p w14:paraId="77474568">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职    务：</w:t>
      </w:r>
    </w:p>
    <w:p w14:paraId="4881AA4E">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系（</w:t>
      </w:r>
      <w:r>
        <w:rPr>
          <w:rFonts w:hint="eastAsia" w:ascii="宋体" w:hAnsi="宋体" w:eastAsia="宋体" w:cs="Times New Roman"/>
          <w:color w:val="000000" w:themeColor="text1"/>
          <w:kern w:val="0"/>
          <w:sz w:val="28"/>
          <w:szCs w:val="28"/>
          <w:u w:val="single"/>
          <w14:textFill>
            <w14:solidFill>
              <w14:schemeClr w14:val="tx1"/>
            </w14:solidFill>
          </w14:textFill>
        </w:rPr>
        <w:t>供应商单位名称</w:t>
      </w:r>
      <w:r>
        <w:rPr>
          <w:rFonts w:hint="eastAsia" w:ascii="宋体" w:hAnsi="宋体" w:eastAsia="宋体" w:cs="Times New Roman"/>
          <w:color w:val="000000" w:themeColor="text1"/>
          <w:kern w:val="0"/>
          <w:sz w:val="28"/>
          <w:szCs w:val="28"/>
          <w14:textFill>
            <w14:solidFill>
              <w14:schemeClr w14:val="tx1"/>
            </w14:solidFill>
          </w14:textFill>
        </w:rPr>
        <w:t>）的法定代表人。</w:t>
      </w:r>
    </w:p>
    <w:p w14:paraId="389F0DDB">
      <w:pPr>
        <w:spacing w:line="480" w:lineRule="auto"/>
        <w:rPr>
          <w:rFonts w:ascii="宋体" w:hAnsi="宋体" w:eastAsia="宋体" w:cs="Times New Roman"/>
          <w:color w:val="000000" w:themeColor="text1"/>
          <w:kern w:val="0"/>
          <w:sz w:val="28"/>
          <w:szCs w:val="28"/>
          <w14:textFill>
            <w14:solidFill>
              <w14:schemeClr w14:val="tx1"/>
            </w14:solidFill>
          </w14:textFill>
        </w:rPr>
      </w:pPr>
    </w:p>
    <w:p w14:paraId="010B57FE">
      <w:pPr>
        <w:spacing w:line="480" w:lineRule="auto"/>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特此证明。</w:t>
      </w:r>
    </w:p>
    <w:p w14:paraId="3EB59702">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磋商供应商：(盖章)</w:t>
      </w:r>
    </w:p>
    <w:p w14:paraId="308AD656">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日  期：   年</w:t>
      </w:r>
      <w:r>
        <w:rPr>
          <w:rFonts w:hint="eastAsia" w:ascii="宋体" w:hAnsi="宋体" w:eastAsia="宋体" w:cs="Times New Roman"/>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月</w:t>
      </w:r>
      <w:r>
        <w:rPr>
          <w:rFonts w:hint="eastAsia" w:ascii="宋体" w:hAnsi="宋体" w:eastAsia="宋体" w:cs="Times New Roman"/>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日</w:t>
      </w:r>
    </w:p>
    <w:p w14:paraId="36A8F0D4">
      <w:pPr>
        <w:spacing w:line="480" w:lineRule="auto"/>
        <w:rPr>
          <w:rFonts w:ascii="宋体" w:hAnsi="宋体" w:eastAsia="宋体" w:cs="Times New Roman"/>
          <w:color w:val="000000" w:themeColor="text1"/>
          <w:kern w:val="0"/>
          <w:sz w:val="24"/>
          <w:szCs w:val="24"/>
          <w14:textFill>
            <w14:solidFill>
              <w14:schemeClr w14:val="tx1"/>
            </w14:solidFill>
          </w14:textFill>
        </w:rPr>
      </w:pPr>
    </w:p>
    <w:p w14:paraId="1CE4A38D">
      <w:pPr>
        <w:spacing w:line="360" w:lineRule="auto"/>
        <w:outlineLvl w:val="1"/>
        <w:rPr>
          <w:rFonts w:ascii="宋体" w:hAnsi="Calibri" w:eastAsia="宋体" w:cs="Times New Roman"/>
          <w:bCs/>
          <w:color w:val="000000" w:themeColor="text1"/>
          <w:sz w:val="28"/>
          <w:szCs w:val="28"/>
          <w14:textFill>
            <w14:solidFill>
              <w14:schemeClr w14:val="tx1"/>
            </w14:solidFill>
          </w14:textFill>
        </w:rPr>
      </w:pPr>
    </w:p>
    <w:p w14:paraId="1DEF48B5">
      <w:pPr>
        <w:pStyle w:val="3"/>
        <w:ind w:left="0" w:leftChars="0" w:firstLine="0" w:firstLineChars="0"/>
      </w:pPr>
    </w:p>
    <w:p w14:paraId="0B7B30E4">
      <w:pPr>
        <w:spacing w:line="360" w:lineRule="auto"/>
        <w:outlineLvl w:val="1"/>
        <w:rPr>
          <w:rFonts w:ascii="宋体" w:hAnsi="Calibri" w:eastAsia="宋体" w:cs="Times New Roman"/>
          <w:bCs/>
          <w:color w:val="000000" w:themeColor="text1"/>
          <w:sz w:val="28"/>
          <w:szCs w:val="28"/>
          <w14:textFill>
            <w14:solidFill>
              <w14:schemeClr w14:val="tx1"/>
            </w14:solidFill>
          </w14:textFill>
        </w:rPr>
      </w:pPr>
      <w:bookmarkStart w:id="21" w:name="_Toc109675041"/>
      <w:r>
        <w:rPr>
          <w:rFonts w:hint="eastAsia" w:ascii="宋体" w:hAnsi="宋体" w:eastAsia="宋体" w:cs="宋体"/>
          <w:color w:val="000000" w:themeColor="text1"/>
          <w:sz w:val="24"/>
          <w14:textFill>
            <w14:solidFill>
              <w14:schemeClr w14:val="tx1"/>
            </w14:solidFill>
          </w14:textFill>
        </w:rPr>
        <w:t>（后附法定代表人身份证正反面原件扫描件）</w:t>
      </w:r>
      <w:bookmarkEnd w:id="21"/>
    </w:p>
    <w:p w14:paraId="13894304">
      <w:pPr>
        <w:widowControl/>
        <w:spacing w:line="480" w:lineRule="auto"/>
        <w:jc w:val="center"/>
        <w:rPr>
          <w:rFonts w:ascii="宋体" w:hAnsi="宋体" w:eastAsia="宋体" w:cs="Times New Roman"/>
          <w:color w:val="000000" w:themeColor="text1"/>
          <w:kern w:val="0"/>
          <w:sz w:val="28"/>
          <w:szCs w:val="28"/>
          <w14:textFill>
            <w14:solidFill>
              <w14:schemeClr w14:val="tx1"/>
            </w14:solidFill>
          </w14:textFill>
        </w:rPr>
      </w:pPr>
      <w:r>
        <w:rPr>
          <w:rFonts w:ascii="宋体" w:hAnsi="宋体" w:eastAsia="宋体" w:cs="Times New Roman"/>
          <w:color w:val="000000" w:themeColor="text1"/>
          <w:kern w:val="0"/>
          <w:sz w:val="28"/>
          <w:szCs w:val="28"/>
          <w14:textFill>
            <w14:solidFill>
              <w14:schemeClr w14:val="tx1"/>
            </w14:solidFill>
          </w14:textFill>
        </w:rPr>
        <w:br w:type="page"/>
      </w:r>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二、授权委托书</w:t>
      </w:r>
    </w:p>
    <w:p w14:paraId="611ADDBB">
      <w:pPr>
        <w:widowControl/>
        <w:spacing w:line="480" w:lineRule="auto"/>
        <w:ind w:firstLine="560" w:firstLineChars="200"/>
        <w:rPr>
          <w:rFonts w:ascii="Calibri" w:hAnsi="Calibri"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本授权委托书声明：我</w:t>
      </w:r>
      <w:r>
        <w:rPr>
          <w:rFonts w:hint="eastAsia" w:ascii="宋体" w:hAnsi="宋体" w:eastAsia="宋体" w:cs="Times New Roman"/>
          <w:color w:val="000000" w:themeColor="text1"/>
          <w:kern w:val="0"/>
          <w:sz w:val="28"/>
          <w:szCs w:val="28"/>
          <w:u w:val="single"/>
          <w14:textFill>
            <w14:solidFill>
              <w14:schemeClr w14:val="tx1"/>
            </w14:solidFill>
          </w14:textFill>
        </w:rPr>
        <w:t>（法定代表人）</w:t>
      </w:r>
      <w:r>
        <w:rPr>
          <w:rFonts w:hint="eastAsia" w:ascii="宋体" w:hAnsi="宋体" w:eastAsia="宋体" w:cs="Times New Roman"/>
          <w:color w:val="000000" w:themeColor="text1"/>
          <w:kern w:val="0"/>
          <w:sz w:val="28"/>
          <w:szCs w:val="28"/>
          <w14:textFill>
            <w14:solidFill>
              <w14:schemeClr w14:val="tx1"/>
            </w14:solidFill>
          </w14:textFill>
        </w:rPr>
        <w:t>（姓名）系</w:t>
      </w:r>
      <w:r>
        <w:rPr>
          <w:rFonts w:hint="eastAsia" w:ascii="宋体" w:hAnsi="宋体" w:eastAsia="宋体" w:cs="Times New Roman"/>
          <w:color w:val="000000" w:themeColor="text1"/>
          <w:kern w:val="0"/>
          <w:sz w:val="28"/>
          <w:szCs w:val="28"/>
          <w:u w:val="single"/>
          <w14:textFill>
            <w14:solidFill>
              <w14:schemeClr w14:val="tx1"/>
            </w14:solidFill>
          </w14:textFill>
        </w:rPr>
        <w:t>（投 标 人 名 称）</w:t>
      </w:r>
      <w:r>
        <w:rPr>
          <w:rFonts w:hint="eastAsia" w:ascii="宋体" w:hAnsi="宋体" w:eastAsia="宋体" w:cs="Times New Roman"/>
          <w:color w:val="000000" w:themeColor="text1"/>
          <w:kern w:val="0"/>
          <w:sz w:val="28"/>
          <w:szCs w:val="28"/>
          <w14:textFill>
            <w14:solidFill>
              <w14:schemeClr w14:val="tx1"/>
            </w14:solidFill>
          </w14:textFill>
        </w:rPr>
        <w:t>的法定代表人，现授权委托</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（单 位 名 称） </w:t>
      </w:r>
      <w:r>
        <w:rPr>
          <w:rFonts w:hint="eastAsia" w:ascii="宋体" w:hAnsi="宋体" w:eastAsia="宋体" w:cs="Times New Roman"/>
          <w:color w:val="000000" w:themeColor="text1"/>
          <w:kern w:val="0"/>
          <w:sz w:val="28"/>
          <w:szCs w:val="28"/>
          <w14:textFill>
            <w14:solidFill>
              <w14:schemeClr w14:val="tx1"/>
            </w14:solidFill>
          </w14:textFill>
        </w:rPr>
        <w:t>的</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（姓名） </w:t>
      </w:r>
      <w:r>
        <w:rPr>
          <w:rFonts w:hint="eastAsia" w:ascii="宋体" w:hAnsi="宋体" w:eastAsia="宋体" w:cs="Times New Roman"/>
          <w:color w:val="000000" w:themeColor="text1"/>
          <w:kern w:val="0"/>
          <w:sz w:val="28"/>
          <w:szCs w:val="28"/>
          <w14:textFill>
            <w14:solidFill>
              <w14:schemeClr w14:val="tx1"/>
            </w14:solidFill>
          </w14:textFill>
        </w:rPr>
        <w:t>为我公司签署本项目的响应文件的法定代表人授权委托代理人，我承认代理人全权代表我所签署的项目的响应文件的内容。同时授权委托该同志代表我公司参加本项目的磋商、合同、处理有关事务等并有权签署有关文件。</w:t>
      </w:r>
    </w:p>
    <w:p w14:paraId="18057C6F">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67ACEE49">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代理人无转委托权，特此委托。</w:t>
      </w:r>
    </w:p>
    <w:p w14:paraId="69C7864F">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4AD4E276">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0EFA38D3">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（盖章）</w:t>
      </w:r>
    </w:p>
    <w:p w14:paraId="7E6927E5">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12E6946E">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法定代表人：</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（电子签章）</w:t>
      </w:r>
    </w:p>
    <w:p w14:paraId="1690A9C1">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743A0D42">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授权委托日期：年  月  日</w:t>
      </w:r>
    </w:p>
    <w:p w14:paraId="6F3966C3">
      <w:pPr>
        <w:widowControl/>
        <w:jc w:val="center"/>
        <w:rPr>
          <w:rFonts w:ascii="宋体" w:hAnsi="宋体" w:eastAsia="宋体" w:cs="Times New Roman"/>
          <w:b/>
          <w:bCs/>
          <w:color w:val="000000" w:themeColor="text1"/>
          <w:kern w:val="0"/>
          <w:sz w:val="24"/>
          <w:szCs w:val="24"/>
          <w14:textFill>
            <w14:solidFill>
              <w14:schemeClr w14:val="tx1"/>
            </w14:solidFill>
          </w14:textFill>
        </w:rPr>
      </w:pPr>
      <w:bookmarkStart w:id="22" w:name="_Toc223432391"/>
      <w:bookmarkEnd w:id="22"/>
      <w:bookmarkStart w:id="23" w:name="_Toc171073046"/>
      <w:bookmarkEnd w:id="23"/>
      <w:bookmarkStart w:id="24" w:name="_Toc171073211"/>
      <w:bookmarkEnd w:id="24"/>
      <w:bookmarkStart w:id="25" w:name="_Toc169921411"/>
      <w:bookmarkEnd w:id="25"/>
    </w:p>
    <w:p w14:paraId="0C5C4C07">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55ED78C5">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23D7570B">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17E4800F">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64764B76">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7877FCB1">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31BE1BF0">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6B947E16">
      <w:pPr>
        <w:widowControl/>
        <w:jc w:val="center"/>
        <w:rPr>
          <w:rFonts w:ascii="Calibri" w:hAnsi="Calibri" w:eastAsia="宋体" w:cs="Times New Roman"/>
          <w:color w:val="000000" w:themeColor="text1"/>
          <w:kern w:val="0"/>
          <w:sz w:val="32"/>
          <w:szCs w:val="32"/>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附：法人和被授权人身份证复印件</w:t>
      </w:r>
      <w:r>
        <w:rPr>
          <w:rFonts w:ascii="Calibri" w:hAnsi="Calibri" w:eastAsia="宋体" w:cs="Times New Roman"/>
          <w:color w:val="000000" w:themeColor="text1"/>
          <w:szCs w:val="21"/>
          <w14:textFill>
            <w14:solidFill>
              <w14:schemeClr w14:val="tx1"/>
            </w14:solidFill>
          </w14:textFill>
        </w:rPr>
        <w:br w:type="page"/>
      </w:r>
      <w:bookmarkStart w:id="26" w:name="_Toc438305223"/>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三、磋 商 函</w:t>
      </w:r>
    </w:p>
    <w:p w14:paraId="12F8A6A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Calibri" w:hAnsi="Calibri" w:eastAsia="宋体" w:cs="Times New Roman"/>
          <w:color w:val="000000" w:themeColor="text1"/>
          <w:kern w:val="0"/>
          <w:sz w:val="28"/>
          <w:szCs w:val="28"/>
          <w14:textFill>
            <w14:solidFill>
              <w14:schemeClr w14:val="tx1"/>
            </w14:solidFill>
          </w14:textFill>
        </w:rPr>
      </w:pPr>
      <w:bookmarkStart w:id="27" w:name="OLE_LINK11"/>
      <w:bookmarkEnd w:id="27"/>
      <w:bookmarkStart w:id="28" w:name="OLE_LINK7"/>
      <w:r>
        <w:rPr>
          <w:rFonts w:hint="eastAsia" w:ascii="宋体" w:hAnsi="宋体" w:eastAsia="宋体" w:cs="Times New Roman"/>
          <w:color w:val="000000" w:themeColor="text1"/>
          <w:spacing w:val="46"/>
          <w:kern w:val="0"/>
          <w:sz w:val="28"/>
          <w:szCs w:val="28"/>
          <w14:textFill>
            <w14:solidFill>
              <w14:schemeClr w14:val="tx1"/>
            </w14:solidFill>
          </w14:textFill>
        </w:rPr>
        <w:t>致</w:t>
      </w:r>
      <w:bookmarkEnd w:id="28"/>
      <w:r>
        <w:rPr>
          <w:rFonts w:hint="eastAsia" w:ascii="宋体" w:hAnsi="宋体" w:eastAsia="宋体" w:cs="Times New Roman"/>
          <w:color w:val="000000" w:themeColor="text1"/>
          <w:spacing w:val="46"/>
          <w:kern w:val="0"/>
          <w:sz w:val="28"/>
          <w:szCs w:val="28"/>
          <w:u w:val="single"/>
          <w14:textFill>
            <w14:solidFill>
              <w14:schemeClr w14:val="tx1"/>
            </w14:solidFill>
          </w14:textFill>
        </w:rPr>
        <w:t xml:space="preserve"> （采购人） </w:t>
      </w:r>
      <w:r>
        <w:rPr>
          <w:rFonts w:hint="eastAsia" w:ascii="宋体" w:hAnsi="宋体" w:eastAsia="宋体" w:cs="Times New Roman"/>
          <w:color w:val="000000" w:themeColor="text1"/>
          <w:spacing w:val="46"/>
          <w:kern w:val="0"/>
          <w:sz w:val="28"/>
          <w:szCs w:val="28"/>
          <w14:textFill>
            <w14:solidFill>
              <w14:schemeClr w14:val="tx1"/>
            </w14:solidFill>
          </w14:textFill>
        </w:rPr>
        <w:t>：</w:t>
      </w:r>
    </w:p>
    <w:p w14:paraId="106DED15">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根据已收到贵方的</w:t>
      </w:r>
      <w:r>
        <w:rPr>
          <w:rFonts w:hint="eastAsia" w:ascii="宋体" w:hAnsi="宋体" w:eastAsia="宋体" w:cs="Times New Roman"/>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（项目名称）竞争性磋商文件，遵照《中华人民共和国政府采购法》等有关规定，我单位经考察现场和研究上述竞争性磋商文件的供应商须知、合同条款、技术规范及其它有关文件后，我方愿以：</w:t>
      </w:r>
      <w:r>
        <w:rPr>
          <w:rFonts w:hint="eastAsia" w:ascii="宋体" w:hAnsi="宋体" w:eastAsia="宋体" w:cs="Times New Roman"/>
          <w:color w:val="000000" w:themeColor="text1"/>
          <w:kern w:val="0"/>
          <w:sz w:val="28"/>
          <w:szCs w:val="28"/>
          <w:lang w:val="en-US" w:eastAsia="zh-CN"/>
          <w14:textFill>
            <w14:solidFill>
              <w14:schemeClr w14:val="tx1"/>
            </w14:solidFill>
          </w14:textFill>
        </w:rPr>
        <w:t>服务</w:t>
      </w:r>
      <w:r>
        <w:rPr>
          <w:rFonts w:hint="eastAsia" w:ascii="宋体" w:hAnsi="宋体" w:eastAsia="宋体" w:cs="Times New Roman"/>
          <w:color w:val="000000" w:themeColor="text1"/>
          <w:kern w:val="0"/>
          <w:sz w:val="28"/>
          <w:szCs w:val="28"/>
          <w14:textFill>
            <w14:solidFill>
              <w14:schemeClr w14:val="tx1"/>
            </w14:solidFill>
          </w14:textFill>
        </w:rPr>
        <w:t>内容及要求中各控制价的大写百分之</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，小写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%的磋商报价</w:t>
      </w:r>
      <w:r>
        <w:rPr>
          <w:rFonts w:hint="eastAsia" w:ascii="宋体" w:hAnsi="宋体" w:eastAsia="宋体" w:cs="Times New Roman"/>
          <w:color w:val="000000" w:themeColor="text1"/>
          <w:kern w:val="0"/>
          <w:sz w:val="28"/>
          <w:szCs w:val="28"/>
          <w:lang w:val="en-US" w:eastAsia="zh-CN"/>
          <w14:textFill>
            <w14:solidFill>
              <w14:schemeClr w14:val="tx1"/>
            </w14:solidFill>
          </w14:textFill>
        </w:rPr>
        <w:t>,承包上述项目的检验检测服务</w:t>
      </w:r>
      <w:r>
        <w:rPr>
          <w:rFonts w:hint="eastAsia" w:ascii="宋体" w:hAnsi="宋体" w:eastAsia="宋体" w:cs="Times New Roman"/>
          <w:color w:val="000000" w:themeColor="text1"/>
          <w:kern w:val="0"/>
          <w:sz w:val="28"/>
          <w:szCs w:val="28"/>
          <w14:textFill>
            <w14:solidFill>
              <w14:schemeClr w14:val="tx1"/>
            </w14:solidFill>
          </w14:textFill>
        </w:rPr>
        <w:t>。</w:t>
      </w:r>
    </w:p>
    <w:p w14:paraId="4DE7A4F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Calibri" w:hAnsi="Calibri" w:eastAsia="宋体" w:cs="Times New Roman"/>
          <w:color w:val="000000" w:themeColor="text1"/>
          <w:kern w:val="0"/>
          <w:sz w:val="28"/>
          <w:szCs w:val="28"/>
          <w14:textFill>
            <w14:solidFill>
              <w14:schemeClr w14:val="tx1"/>
            </w14:solidFill>
          </w14:textFill>
        </w:rPr>
      </w:pPr>
      <w:r>
        <w:rPr>
          <w:rFonts w:ascii="Calibri" w:hAnsi="Calibri" w:eastAsia="宋体" w:cs="Times New Roman"/>
          <w:color w:val="000000" w:themeColor="text1"/>
          <w:kern w:val="0"/>
          <w:sz w:val="28"/>
          <w:szCs w:val="28"/>
          <w14:textFill>
            <w14:solidFill>
              <w14:schemeClr w14:val="tx1"/>
            </w14:solidFill>
          </w14:textFill>
        </w:rPr>
        <w:t>1</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我方已详细审阅全部竞争性磋商文件，包括修改文件（如果有的话），及有关附件，我方完全知道必须放弃提出含糊不清或误解的权力。</w:t>
      </w:r>
    </w:p>
    <w:p w14:paraId="58FFB37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Calibri" w:hAnsi="Calibri"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14:textFill>
            <w14:solidFill>
              <w14:schemeClr w14:val="tx1"/>
            </w14:solidFill>
          </w14:textFill>
        </w:rPr>
        <w:t>2、</w:t>
      </w:r>
      <w:r>
        <w:rPr>
          <w:rFonts w:hint="eastAsia" w:ascii="宋体" w:hAnsi="宋体" w:eastAsia="宋体" w:cs="Times New Roman"/>
          <w:color w:val="000000" w:themeColor="text1"/>
          <w:kern w:val="0"/>
          <w:sz w:val="28"/>
          <w:szCs w:val="28"/>
          <w14:textFill>
            <w14:solidFill>
              <w14:schemeClr w14:val="tx1"/>
            </w14:solidFill>
          </w14:textFill>
        </w:rPr>
        <w:t>一旦我方成交，我们将按照</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中规定的各项要求和我们的响应文件中的表述和承诺，按期、按质、按量完成。</w:t>
      </w:r>
    </w:p>
    <w:p w14:paraId="5152E29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lang w:val="en-US" w:eastAsia="zh-CN"/>
          <w14:textFill>
            <w14:solidFill>
              <w14:schemeClr w14:val="tx1"/>
            </w14:solidFill>
          </w14:textFill>
        </w:rPr>
        <w:t>3</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我方同意所递交的响应文件在</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规定的磋商有效期</w:t>
      </w:r>
    </w:p>
    <w:p w14:paraId="66D9F86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u w:val="single"/>
          <w:lang w:val="en-US" w:eastAsia="zh-CN"/>
          <w14:textFill>
            <w14:solidFill>
              <w14:schemeClr w14:val="tx1"/>
            </w14:solidFill>
          </w14:textFill>
        </w:rPr>
        <w:t xml:space="preserve">       </w:t>
      </w:r>
      <w:r>
        <w:rPr>
          <w:rFonts w:hint="eastAsia" w:ascii="Calibri" w:hAnsi="宋体" w:eastAsia="宋体" w:cs="Times New Roman"/>
          <w:color w:val="000000" w:themeColor="text1"/>
          <w:spacing w:val="6"/>
          <w:sz w:val="28"/>
          <w:szCs w:val="28"/>
          <w14:textFill>
            <w14:solidFill>
              <w14:schemeClr w14:val="tx1"/>
            </w14:solidFill>
          </w14:textFill>
        </w:rPr>
        <w:t>日历天</w:t>
      </w:r>
      <w:r>
        <w:rPr>
          <w:rFonts w:hint="eastAsia" w:ascii="宋体" w:hAnsi="宋体" w:eastAsia="宋体" w:cs="Times New Roman"/>
          <w:color w:val="000000" w:themeColor="text1"/>
          <w:kern w:val="0"/>
          <w:sz w:val="28"/>
          <w:szCs w:val="28"/>
          <w14:textFill>
            <w14:solidFill>
              <w14:schemeClr w14:val="tx1"/>
            </w14:solidFill>
          </w14:textFill>
        </w:rPr>
        <w:t>内有效，在此期间我方有可能成交，我方将受此约束。</w:t>
      </w:r>
    </w:p>
    <w:p w14:paraId="22FCFF6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lang w:val="en-US" w:eastAsia="zh-CN"/>
          <w14:textFill>
            <w14:solidFill>
              <w14:schemeClr w14:val="tx1"/>
            </w14:solidFill>
          </w14:textFill>
        </w:rPr>
        <w:t>4</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除非另外达成协议并生效，贵方的成交通知书和本响应文件将构成约束我们双方的合同。</w:t>
      </w:r>
    </w:p>
    <w:p w14:paraId="683B40F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xml:space="preserve">磋商供应商：（盖章） </w:t>
      </w:r>
    </w:p>
    <w:p w14:paraId="7381A22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法定代表人：（电子签章）</w:t>
      </w:r>
    </w:p>
    <w:p w14:paraId="3500ECA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联系人：</w:t>
      </w:r>
    </w:p>
    <w:p w14:paraId="0010D97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联系电话：</w:t>
      </w:r>
    </w:p>
    <w:p w14:paraId="3FF32B50">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xml:space="preserve">日 期： 年 月 日 </w:t>
      </w:r>
    </w:p>
    <w:p w14:paraId="0C2A92C2">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bCs/>
          <w:color w:val="000000" w:themeColor="text1"/>
          <w:szCs w:val="21"/>
          <w14:textFill>
            <w14:solidFill>
              <w14:schemeClr w14:val="tx1"/>
            </w14:solidFill>
          </w14:textFill>
        </w:rPr>
        <w:br w:type="page"/>
      </w:r>
      <w:bookmarkStart w:id="29" w:name="_Toc109675042"/>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四、</w:t>
      </w:r>
      <w:bookmarkEnd w:id="26"/>
      <w:bookmarkEnd w:id="29"/>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投标函附表</w:t>
      </w:r>
    </w:p>
    <w:tbl>
      <w:tblPr>
        <w:tblStyle w:val="12"/>
        <w:tblW w:w="8865" w:type="dxa"/>
        <w:jc w:val="center"/>
        <w:tblLayout w:type="fixed"/>
        <w:tblCellMar>
          <w:top w:w="0" w:type="dxa"/>
          <w:left w:w="0" w:type="dxa"/>
          <w:bottom w:w="0" w:type="dxa"/>
          <w:right w:w="0" w:type="dxa"/>
        </w:tblCellMar>
      </w:tblPr>
      <w:tblGrid>
        <w:gridCol w:w="2265"/>
        <w:gridCol w:w="2200"/>
        <w:gridCol w:w="2200"/>
        <w:gridCol w:w="2200"/>
      </w:tblGrid>
      <w:tr w14:paraId="79F3278E">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7FAAE48B">
            <w:pPr>
              <w:autoSpaceDE w:val="0"/>
              <w:autoSpaceDN w:val="0"/>
              <w:spacing w:line="500" w:lineRule="exact"/>
              <w:jc w:val="center"/>
              <w:rPr>
                <w:rFonts w:hint="eastAsia" w:ascii="宋体" w:hAnsi="宋体" w:cs="宋体"/>
                <w:kern w:val="0"/>
                <w:sz w:val="24"/>
                <w:szCs w:val="24"/>
              </w:rPr>
            </w:pPr>
            <w:bookmarkStart w:id="30" w:name="_Toc365647229"/>
            <w:r>
              <w:rPr>
                <w:rFonts w:hint="eastAsia" w:ascii="宋体" w:hAnsi="宋体" w:cs="宋体"/>
                <w:kern w:val="0"/>
                <w:sz w:val="24"/>
                <w:szCs w:val="24"/>
              </w:rPr>
              <w:t>项目名称</w:t>
            </w:r>
            <w:bookmarkEnd w:id="30"/>
          </w:p>
        </w:tc>
        <w:tc>
          <w:tcPr>
            <w:tcW w:w="6600" w:type="dxa"/>
            <w:gridSpan w:val="3"/>
            <w:tcBorders>
              <w:top w:val="single" w:color="auto" w:sz="4" w:space="0"/>
              <w:left w:val="nil"/>
              <w:bottom w:val="single" w:color="auto" w:sz="4" w:space="0"/>
              <w:right w:val="single" w:color="auto" w:sz="4" w:space="0"/>
            </w:tcBorders>
            <w:noWrap w:val="0"/>
            <w:vAlign w:val="center"/>
          </w:tcPr>
          <w:p w14:paraId="20ECF277">
            <w:pPr>
              <w:autoSpaceDE w:val="0"/>
              <w:autoSpaceDN w:val="0"/>
              <w:spacing w:line="500" w:lineRule="exact"/>
              <w:jc w:val="center"/>
              <w:rPr>
                <w:rFonts w:hint="eastAsia" w:ascii="宋体" w:hAnsi="宋体" w:cs="宋体"/>
                <w:kern w:val="0"/>
                <w:sz w:val="24"/>
                <w:szCs w:val="24"/>
              </w:rPr>
            </w:pPr>
          </w:p>
        </w:tc>
      </w:tr>
      <w:tr w14:paraId="64906B25">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2A5C6472">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响应供应商</w:t>
            </w:r>
          </w:p>
        </w:tc>
        <w:tc>
          <w:tcPr>
            <w:tcW w:w="6600" w:type="dxa"/>
            <w:gridSpan w:val="3"/>
            <w:tcBorders>
              <w:top w:val="single" w:color="auto" w:sz="4" w:space="0"/>
              <w:left w:val="nil"/>
              <w:bottom w:val="single" w:color="auto" w:sz="4" w:space="0"/>
              <w:right w:val="single" w:color="auto" w:sz="4" w:space="0"/>
            </w:tcBorders>
            <w:noWrap w:val="0"/>
            <w:vAlign w:val="center"/>
          </w:tcPr>
          <w:p w14:paraId="7C77F45E">
            <w:pPr>
              <w:autoSpaceDE w:val="0"/>
              <w:autoSpaceDN w:val="0"/>
              <w:spacing w:line="500" w:lineRule="exact"/>
              <w:jc w:val="center"/>
              <w:rPr>
                <w:rFonts w:hint="eastAsia" w:ascii="宋体" w:hAnsi="宋体" w:cs="宋体"/>
                <w:kern w:val="0"/>
                <w:sz w:val="24"/>
                <w:szCs w:val="24"/>
              </w:rPr>
            </w:pPr>
          </w:p>
        </w:tc>
      </w:tr>
      <w:tr w14:paraId="7755909B">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03B60E97">
            <w:pPr>
              <w:autoSpaceDE w:val="0"/>
              <w:autoSpaceDN w:val="0"/>
              <w:spacing w:line="500" w:lineRule="exact"/>
              <w:jc w:val="center"/>
              <w:rPr>
                <w:rFonts w:ascii="宋体" w:hAnsi="宋体" w:cs="宋体"/>
                <w:kern w:val="0"/>
                <w:sz w:val="24"/>
                <w:szCs w:val="24"/>
              </w:rPr>
            </w:pPr>
            <w:r>
              <w:rPr>
                <w:rFonts w:hint="eastAsia" w:ascii="宋体" w:hAnsi="宋体" w:cs="宋体"/>
                <w:kern w:val="0"/>
                <w:sz w:val="24"/>
                <w:szCs w:val="24"/>
              </w:rPr>
              <w:t>磋商报价</w:t>
            </w:r>
          </w:p>
          <w:p w14:paraId="3EC9BBA2">
            <w:pPr>
              <w:autoSpaceDE w:val="0"/>
              <w:autoSpaceDN w:val="0"/>
              <w:spacing w:line="500" w:lineRule="exact"/>
              <w:jc w:val="center"/>
              <w:rPr>
                <w:rFonts w:hint="eastAsia" w:ascii="宋体" w:hAnsi="宋体" w:eastAsia="宋体" w:cs="宋体"/>
                <w:kern w:val="0"/>
                <w:sz w:val="24"/>
                <w:szCs w:val="24"/>
                <w:lang w:eastAsia="zh-CN"/>
              </w:rPr>
            </w:pPr>
            <w:r>
              <w:rPr>
                <w:rFonts w:hint="eastAsia" w:ascii="宋体" w:hAnsi="宋体" w:eastAsia="宋体" w:cs="Arial"/>
                <w:kern w:val="0"/>
                <w:sz w:val="24"/>
                <w:szCs w:val="24"/>
                <w:lang w:eastAsia="zh-CN"/>
              </w:rPr>
              <w:t>（</w:t>
            </w:r>
            <w:r>
              <w:rPr>
                <w:rFonts w:hint="eastAsia" w:ascii="宋体" w:hAnsi="宋体" w:eastAsia="宋体" w:cs="Arial"/>
                <w:kern w:val="0"/>
                <w:sz w:val="24"/>
                <w:szCs w:val="24"/>
                <w:lang w:val="en-US" w:eastAsia="zh-CN"/>
              </w:rPr>
              <w:t>服务</w:t>
            </w:r>
            <w:r>
              <w:rPr>
                <w:rFonts w:hint="eastAsia" w:ascii="宋体" w:hAnsi="宋体" w:eastAsia="宋体" w:cs="Arial"/>
                <w:kern w:val="0"/>
                <w:sz w:val="24"/>
                <w:szCs w:val="24"/>
              </w:rPr>
              <w:t>内容及要求中各控制价的</w:t>
            </w:r>
            <w:r>
              <w:rPr>
                <w:rFonts w:hint="eastAsia" w:ascii="宋体" w:hAnsi="宋体" w:eastAsia="宋体" w:cs="Arial"/>
                <w:kern w:val="0"/>
                <w:sz w:val="24"/>
                <w:szCs w:val="24"/>
                <w:lang w:eastAsia="zh-CN"/>
              </w:rPr>
              <w:t>）</w:t>
            </w:r>
          </w:p>
        </w:tc>
        <w:tc>
          <w:tcPr>
            <w:tcW w:w="6600" w:type="dxa"/>
            <w:gridSpan w:val="3"/>
            <w:tcBorders>
              <w:top w:val="single" w:color="auto" w:sz="4" w:space="0"/>
              <w:left w:val="nil"/>
              <w:bottom w:val="single" w:color="auto" w:sz="4" w:space="0"/>
              <w:right w:val="single" w:color="auto" w:sz="4" w:space="0"/>
            </w:tcBorders>
            <w:noWrap w:val="0"/>
            <w:vAlign w:val="center"/>
          </w:tcPr>
          <w:p w14:paraId="31DF801A">
            <w:pPr>
              <w:autoSpaceDE w:val="0"/>
              <w:autoSpaceDN w:val="0"/>
              <w:spacing w:line="500" w:lineRule="exact"/>
              <w:ind w:firstLine="840" w:firstLineChars="350"/>
              <w:rPr>
                <w:rFonts w:ascii="宋体" w:hAnsi="宋体" w:eastAsia="宋体" w:cs="Arial"/>
                <w:kern w:val="0"/>
                <w:sz w:val="24"/>
                <w:szCs w:val="24"/>
              </w:rPr>
            </w:pPr>
            <w:r>
              <w:rPr>
                <w:rFonts w:hint="eastAsia" w:ascii="宋体" w:hAnsi="宋体" w:eastAsia="宋体" w:cs="Arial"/>
                <w:kern w:val="0"/>
                <w:sz w:val="24"/>
                <w:szCs w:val="24"/>
              </w:rPr>
              <w:t xml:space="preserve">大写：百分之 </w:t>
            </w:r>
            <w:r>
              <w:rPr>
                <w:rFonts w:ascii="宋体" w:hAnsi="宋体" w:eastAsia="宋体" w:cs="Arial"/>
                <w:kern w:val="0"/>
                <w:sz w:val="24"/>
                <w:szCs w:val="24"/>
              </w:rPr>
              <w:t xml:space="preserve">     </w:t>
            </w:r>
          </w:p>
          <w:p w14:paraId="1F1F7B89">
            <w:pPr>
              <w:autoSpaceDE w:val="0"/>
              <w:autoSpaceDN w:val="0"/>
              <w:spacing w:line="500" w:lineRule="exact"/>
              <w:ind w:firstLine="720" w:firstLineChars="300"/>
              <w:rPr>
                <w:rFonts w:hint="eastAsia" w:ascii="宋体" w:hAnsi="宋体" w:cs="宋体"/>
                <w:kern w:val="0"/>
                <w:sz w:val="24"/>
                <w:szCs w:val="24"/>
              </w:rPr>
            </w:pPr>
            <w:r>
              <w:rPr>
                <w:rFonts w:hint="eastAsia" w:ascii="宋体" w:hAnsi="宋体" w:eastAsia="宋体" w:cs="Arial"/>
                <w:kern w:val="0"/>
                <w:sz w:val="24"/>
                <w:szCs w:val="24"/>
              </w:rPr>
              <w:t xml:space="preserve">小写： </w:t>
            </w:r>
            <w:r>
              <w:rPr>
                <w:rFonts w:ascii="宋体" w:hAnsi="宋体" w:eastAsia="宋体" w:cs="Arial"/>
                <w:kern w:val="0"/>
                <w:sz w:val="24"/>
                <w:szCs w:val="24"/>
              </w:rPr>
              <w:t xml:space="preserve">      </w:t>
            </w:r>
            <w:r>
              <w:rPr>
                <w:rFonts w:hint="eastAsia" w:ascii="宋体" w:hAnsi="宋体" w:eastAsia="宋体" w:cs="Arial"/>
                <w:kern w:val="0"/>
                <w:sz w:val="24"/>
                <w:szCs w:val="24"/>
              </w:rPr>
              <w:t>%</w:t>
            </w:r>
          </w:p>
        </w:tc>
      </w:tr>
      <w:tr w14:paraId="35458365">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27EBEF1F">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服务期限</w:t>
            </w:r>
          </w:p>
        </w:tc>
        <w:tc>
          <w:tcPr>
            <w:tcW w:w="6600" w:type="dxa"/>
            <w:gridSpan w:val="3"/>
            <w:tcBorders>
              <w:top w:val="single" w:color="auto" w:sz="4" w:space="0"/>
              <w:left w:val="nil"/>
              <w:bottom w:val="single" w:color="auto" w:sz="4" w:space="0"/>
              <w:right w:val="single" w:color="auto" w:sz="4" w:space="0"/>
            </w:tcBorders>
            <w:noWrap w:val="0"/>
            <w:vAlign w:val="center"/>
          </w:tcPr>
          <w:p w14:paraId="15B3AE2E">
            <w:pPr>
              <w:autoSpaceDE w:val="0"/>
              <w:autoSpaceDN w:val="0"/>
              <w:spacing w:line="500" w:lineRule="exact"/>
              <w:ind w:firstLine="120" w:firstLineChars="50"/>
              <w:rPr>
                <w:rFonts w:hint="eastAsia" w:ascii="宋体" w:hAnsi="宋体" w:cs="宋体"/>
                <w:kern w:val="0"/>
                <w:sz w:val="24"/>
                <w:szCs w:val="24"/>
              </w:rPr>
            </w:pPr>
          </w:p>
        </w:tc>
      </w:tr>
      <w:tr w14:paraId="235D0E44">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4B664040">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质量要求</w:t>
            </w:r>
          </w:p>
        </w:tc>
        <w:tc>
          <w:tcPr>
            <w:tcW w:w="6600" w:type="dxa"/>
            <w:gridSpan w:val="3"/>
            <w:tcBorders>
              <w:top w:val="single" w:color="auto" w:sz="4" w:space="0"/>
              <w:left w:val="nil"/>
              <w:bottom w:val="single" w:color="auto" w:sz="4" w:space="0"/>
              <w:right w:val="single" w:color="auto" w:sz="4" w:space="0"/>
            </w:tcBorders>
            <w:noWrap w:val="0"/>
            <w:vAlign w:val="center"/>
          </w:tcPr>
          <w:p w14:paraId="647CEE14">
            <w:pPr>
              <w:autoSpaceDE w:val="0"/>
              <w:autoSpaceDN w:val="0"/>
              <w:spacing w:line="500" w:lineRule="exact"/>
              <w:ind w:firstLine="120" w:firstLineChars="50"/>
              <w:jc w:val="center"/>
              <w:rPr>
                <w:rFonts w:hint="eastAsia" w:ascii="宋体" w:hAnsi="宋体" w:cs="宋体"/>
                <w:kern w:val="0"/>
                <w:sz w:val="24"/>
                <w:szCs w:val="24"/>
              </w:rPr>
            </w:pPr>
          </w:p>
        </w:tc>
      </w:tr>
      <w:tr w14:paraId="48A4AE9B">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4A1A72F0">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磋商有效期</w:t>
            </w:r>
          </w:p>
        </w:tc>
        <w:tc>
          <w:tcPr>
            <w:tcW w:w="6600" w:type="dxa"/>
            <w:gridSpan w:val="3"/>
            <w:tcBorders>
              <w:top w:val="single" w:color="auto" w:sz="4" w:space="0"/>
              <w:left w:val="nil"/>
              <w:bottom w:val="single" w:color="auto" w:sz="4" w:space="0"/>
              <w:right w:val="single" w:color="auto" w:sz="4" w:space="0"/>
            </w:tcBorders>
            <w:noWrap w:val="0"/>
            <w:vAlign w:val="center"/>
          </w:tcPr>
          <w:p w14:paraId="34BF4647">
            <w:pPr>
              <w:autoSpaceDE w:val="0"/>
              <w:autoSpaceDN w:val="0"/>
              <w:spacing w:line="500" w:lineRule="exact"/>
              <w:jc w:val="center"/>
              <w:rPr>
                <w:rFonts w:hint="eastAsia" w:ascii="宋体" w:hAnsi="宋体" w:cs="宋体"/>
                <w:kern w:val="0"/>
                <w:sz w:val="24"/>
                <w:szCs w:val="24"/>
              </w:rPr>
            </w:pPr>
            <w:r>
              <w:rPr>
                <w:rFonts w:hint="eastAsia" w:ascii="宋体" w:hAnsi="宋体" w:cs="宋体"/>
                <w:sz w:val="24"/>
                <w:szCs w:val="24"/>
              </w:rPr>
              <w:t>响应文件</w:t>
            </w:r>
            <w:r>
              <w:rPr>
                <w:rFonts w:ascii="宋体" w:hAnsi="宋体" w:cs="宋体"/>
                <w:sz w:val="24"/>
                <w:szCs w:val="24"/>
              </w:rPr>
              <w:t>递交截止之日起</w:t>
            </w:r>
            <w:r>
              <w:rPr>
                <w:rFonts w:hint="eastAsia" w:ascii="宋体" w:hAnsi="宋体" w:cs="宋体"/>
                <w:sz w:val="24"/>
                <w:szCs w:val="24"/>
              </w:rPr>
              <w:t>60日历天</w:t>
            </w:r>
          </w:p>
        </w:tc>
      </w:tr>
      <w:tr w14:paraId="2F57E7AD">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09753260">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联系人</w:t>
            </w:r>
          </w:p>
        </w:tc>
        <w:tc>
          <w:tcPr>
            <w:tcW w:w="2200" w:type="dxa"/>
            <w:tcBorders>
              <w:top w:val="single" w:color="auto" w:sz="4" w:space="0"/>
              <w:left w:val="nil"/>
              <w:bottom w:val="single" w:color="auto" w:sz="4" w:space="0"/>
              <w:right w:val="single" w:color="auto" w:sz="4" w:space="0"/>
            </w:tcBorders>
            <w:noWrap w:val="0"/>
            <w:vAlign w:val="center"/>
          </w:tcPr>
          <w:p w14:paraId="3F4EA997">
            <w:pPr>
              <w:autoSpaceDE w:val="0"/>
              <w:autoSpaceDN w:val="0"/>
              <w:spacing w:line="500" w:lineRule="exact"/>
              <w:jc w:val="center"/>
              <w:rPr>
                <w:rFonts w:hint="eastAsia" w:ascii="宋体" w:hAnsi="宋体" w:cs="宋体"/>
                <w:sz w:val="24"/>
                <w:szCs w:val="24"/>
              </w:rPr>
            </w:pPr>
          </w:p>
        </w:tc>
        <w:tc>
          <w:tcPr>
            <w:tcW w:w="2200" w:type="dxa"/>
            <w:tcBorders>
              <w:top w:val="single" w:color="auto" w:sz="4" w:space="0"/>
              <w:left w:val="nil"/>
              <w:bottom w:val="single" w:color="auto" w:sz="4" w:space="0"/>
              <w:right w:val="single" w:color="auto" w:sz="4" w:space="0"/>
            </w:tcBorders>
            <w:noWrap w:val="0"/>
            <w:vAlign w:val="center"/>
          </w:tcPr>
          <w:p w14:paraId="5A378277">
            <w:pPr>
              <w:autoSpaceDE w:val="0"/>
              <w:autoSpaceDN w:val="0"/>
              <w:spacing w:line="500" w:lineRule="exact"/>
              <w:jc w:val="center"/>
              <w:rPr>
                <w:rFonts w:hint="eastAsia" w:ascii="宋体" w:hAnsi="宋体" w:cs="宋体"/>
                <w:sz w:val="24"/>
                <w:szCs w:val="24"/>
              </w:rPr>
            </w:pPr>
            <w:r>
              <w:rPr>
                <w:rFonts w:hint="eastAsia" w:ascii="宋体" w:hAnsi="宋体" w:cs="宋体"/>
                <w:sz w:val="24"/>
                <w:szCs w:val="24"/>
              </w:rPr>
              <w:t>联系电话</w:t>
            </w:r>
          </w:p>
        </w:tc>
        <w:tc>
          <w:tcPr>
            <w:tcW w:w="2200" w:type="dxa"/>
            <w:tcBorders>
              <w:top w:val="single" w:color="auto" w:sz="4" w:space="0"/>
              <w:left w:val="nil"/>
              <w:bottom w:val="single" w:color="auto" w:sz="4" w:space="0"/>
              <w:right w:val="single" w:color="auto" w:sz="4" w:space="0"/>
            </w:tcBorders>
            <w:noWrap w:val="0"/>
            <w:vAlign w:val="center"/>
          </w:tcPr>
          <w:p w14:paraId="7956C8B5">
            <w:pPr>
              <w:autoSpaceDE w:val="0"/>
              <w:autoSpaceDN w:val="0"/>
              <w:spacing w:line="500" w:lineRule="exact"/>
              <w:jc w:val="center"/>
              <w:rPr>
                <w:rFonts w:hint="eastAsia" w:ascii="宋体" w:hAnsi="宋体" w:cs="宋体"/>
                <w:sz w:val="24"/>
                <w:szCs w:val="24"/>
              </w:rPr>
            </w:pPr>
          </w:p>
        </w:tc>
      </w:tr>
      <w:tr w14:paraId="7A256B9D">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62CBDDB2">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备  注</w:t>
            </w:r>
          </w:p>
        </w:tc>
        <w:tc>
          <w:tcPr>
            <w:tcW w:w="6600" w:type="dxa"/>
            <w:gridSpan w:val="3"/>
            <w:tcBorders>
              <w:top w:val="single" w:color="auto" w:sz="4" w:space="0"/>
              <w:left w:val="nil"/>
              <w:bottom w:val="single" w:color="auto" w:sz="4" w:space="0"/>
              <w:right w:val="single" w:color="auto" w:sz="4" w:space="0"/>
            </w:tcBorders>
            <w:noWrap w:val="0"/>
            <w:vAlign w:val="center"/>
          </w:tcPr>
          <w:p w14:paraId="3CB29710">
            <w:pPr>
              <w:autoSpaceDE w:val="0"/>
              <w:autoSpaceDN w:val="0"/>
              <w:spacing w:line="500" w:lineRule="exact"/>
              <w:jc w:val="center"/>
              <w:rPr>
                <w:rFonts w:hint="eastAsia" w:ascii="宋体" w:hAnsi="宋体" w:cs="宋体"/>
                <w:kern w:val="0"/>
                <w:sz w:val="24"/>
                <w:szCs w:val="24"/>
              </w:rPr>
            </w:pPr>
          </w:p>
        </w:tc>
      </w:tr>
    </w:tbl>
    <w:p w14:paraId="2C90060E">
      <w:pPr>
        <w:autoSpaceDE w:val="0"/>
        <w:autoSpaceDN w:val="0"/>
        <w:adjustRightInd w:val="0"/>
        <w:spacing w:line="500" w:lineRule="exact"/>
        <w:rPr>
          <w:rFonts w:hint="eastAsia" w:ascii="宋体" w:hAnsi="宋体" w:cs="宋体"/>
          <w:kern w:val="0"/>
          <w:sz w:val="24"/>
          <w:szCs w:val="24"/>
        </w:rPr>
      </w:pPr>
    </w:p>
    <w:p w14:paraId="1A4F9D0A">
      <w:pPr>
        <w:autoSpaceDE w:val="0"/>
        <w:autoSpaceDN w:val="0"/>
        <w:adjustRightInd w:val="0"/>
        <w:spacing w:line="500" w:lineRule="exact"/>
        <w:rPr>
          <w:rFonts w:hint="eastAsia" w:ascii="宋体" w:hAnsi="宋体" w:cs="宋体"/>
          <w:kern w:val="0"/>
          <w:sz w:val="24"/>
          <w:szCs w:val="24"/>
        </w:rPr>
      </w:pPr>
    </w:p>
    <w:p w14:paraId="610AAFAC">
      <w:pPr>
        <w:spacing w:line="480" w:lineRule="auto"/>
        <w:ind w:firstLine="3967" w:firstLineChars="1653"/>
        <w:jc w:val="left"/>
        <w:rPr>
          <w:rFonts w:hint="eastAsia" w:ascii="宋体" w:hAnsi="宋体" w:cs="宋体"/>
          <w:sz w:val="24"/>
          <w:szCs w:val="24"/>
          <w:u w:val="single"/>
        </w:rPr>
      </w:pPr>
      <w:r>
        <w:rPr>
          <w:rFonts w:hint="eastAsia" w:ascii="宋体" w:hAnsi="宋体" w:cs="宋体"/>
          <w:sz w:val="24"/>
          <w:szCs w:val="24"/>
        </w:rPr>
        <w:t>响应供应商(盖章)：</w:t>
      </w:r>
    </w:p>
    <w:p w14:paraId="077AF396">
      <w:pPr>
        <w:spacing w:line="480" w:lineRule="auto"/>
        <w:ind w:firstLine="3967" w:firstLineChars="1653"/>
        <w:jc w:val="left"/>
        <w:rPr>
          <w:rFonts w:hint="eastAsia" w:ascii="宋体" w:hAnsi="宋体" w:cs="宋体"/>
          <w:sz w:val="24"/>
          <w:szCs w:val="24"/>
          <w:u w:val="single"/>
        </w:rPr>
      </w:pPr>
      <w:r>
        <w:rPr>
          <w:rFonts w:hint="eastAsia" w:ascii="宋体" w:hAnsi="宋体" w:cs="宋体"/>
          <w:sz w:val="24"/>
          <w:szCs w:val="24"/>
        </w:rPr>
        <w:t>法定代表人 (签字或盖章)：</w:t>
      </w:r>
    </w:p>
    <w:p w14:paraId="79F3EC06">
      <w:pPr>
        <w:widowControl/>
        <w:jc w:val="cente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cs="宋体"/>
          <w:sz w:val="24"/>
          <w:szCs w:val="24"/>
          <w:lang w:val="en-US" w:eastAsia="zh-CN"/>
        </w:rPr>
        <w:t xml:space="preserve">       </w:t>
      </w:r>
      <w:r>
        <w:rPr>
          <w:rFonts w:hint="eastAsia" w:ascii="宋体" w:hAnsi="宋体" w:cs="宋体"/>
          <w:sz w:val="24"/>
          <w:szCs w:val="24"/>
        </w:rPr>
        <w:t>日期：  年  月   日</w:t>
      </w:r>
    </w:p>
    <w:p w14:paraId="4F442596">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bookmarkStart w:id="31" w:name="_Toc25552"/>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五、资格证明文件</w:t>
      </w:r>
    </w:p>
    <w:p w14:paraId="195FE4A2">
      <w:pPr>
        <w:autoSpaceDE w:val="0"/>
        <w:autoSpaceDN w:val="0"/>
        <w:spacing w:line="500" w:lineRule="exact"/>
        <w:jc w:val="left"/>
        <w:rPr>
          <w:rFonts w:hint="eastAsia" w:ascii="宋体" w:hAnsi="宋体" w:cs="宋体"/>
          <w:sz w:val="24"/>
          <w:szCs w:val="24"/>
        </w:rPr>
      </w:pPr>
    </w:p>
    <w:p w14:paraId="29DA0FE2">
      <w:pPr>
        <w:pStyle w:val="10"/>
        <w:rPr>
          <w:rFonts w:hint="eastAsia" w:ascii="宋体" w:hAnsi="宋体" w:cs="宋体"/>
          <w:sz w:val="24"/>
          <w:szCs w:val="24"/>
        </w:rPr>
      </w:pPr>
    </w:p>
    <w:p w14:paraId="34110AA8">
      <w:pPr>
        <w:pStyle w:val="10"/>
        <w:rPr>
          <w:rFonts w:hint="eastAsia" w:ascii="宋体" w:hAnsi="宋体" w:cs="宋体"/>
          <w:sz w:val="24"/>
          <w:szCs w:val="24"/>
        </w:rPr>
      </w:pPr>
    </w:p>
    <w:p w14:paraId="3E67E6FC">
      <w:pPr>
        <w:pStyle w:val="10"/>
        <w:rPr>
          <w:rFonts w:hint="eastAsia" w:ascii="宋体" w:hAnsi="宋体" w:cs="宋体"/>
          <w:sz w:val="24"/>
          <w:szCs w:val="24"/>
        </w:rPr>
      </w:pPr>
    </w:p>
    <w:p w14:paraId="241DAEEF">
      <w:pPr>
        <w:pStyle w:val="10"/>
        <w:rPr>
          <w:rFonts w:hint="eastAsia" w:ascii="宋体" w:hAnsi="宋体" w:cs="宋体"/>
          <w:sz w:val="24"/>
          <w:szCs w:val="24"/>
        </w:rPr>
      </w:pPr>
    </w:p>
    <w:p w14:paraId="00CB466D">
      <w:pPr>
        <w:pStyle w:val="10"/>
        <w:rPr>
          <w:rFonts w:hint="eastAsia" w:ascii="宋体" w:hAnsi="宋体" w:cs="宋体"/>
          <w:sz w:val="24"/>
          <w:szCs w:val="24"/>
        </w:rPr>
      </w:pPr>
    </w:p>
    <w:p w14:paraId="2BCC284D">
      <w:pPr>
        <w:pStyle w:val="10"/>
        <w:rPr>
          <w:rFonts w:hint="eastAsia" w:ascii="宋体" w:hAnsi="宋体" w:cs="宋体"/>
          <w:sz w:val="24"/>
          <w:szCs w:val="24"/>
        </w:rPr>
      </w:pPr>
    </w:p>
    <w:p w14:paraId="0EF6AE90">
      <w:pPr>
        <w:pStyle w:val="10"/>
        <w:rPr>
          <w:rFonts w:hint="eastAsia" w:ascii="宋体" w:hAnsi="宋体" w:cs="宋体"/>
          <w:sz w:val="24"/>
          <w:szCs w:val="24"/>
        </w:rPr>
      </w:pPr>
    </w:p>
    <w:p w14:paraId="7C9C6EB4">
      <w:pPr>
        <w:pStyle w:val="10"/>
        <w:rPr>
          <w:rFonts w:hint="eastAsia" w:ascii="宋体" w:hAnsi="宋体" w:cs="宋体"/>
          <w:sz w:val="24"/>
          <w:szCs w:val="24"/>
        </w:rPr>
      </w:pPr>
    </w:p>
    <w:p w14:paraId="7FFC6474">
      <w:pPr>
        <w:pStyle w:val="10"/>
        <w:rPr>
          <w:rFonts w:hint="eastAsia" w:ascii="宋体" w:hAnsi="宋体" w:cs="宋体"/>
          <w:sz w:val="24"/>
          <w:szCs w:val="24"/>
        </w:rPr>
      </w:pPr>
    </w:p>
    <w:p w14:paraId="4992B1F1">
      <w:pPr>
        <w:pStyle w:val="10"/>
        <w:rPr>
          <w:rFonts w:hint="eastAsia" w:ascii="宋体" w:hAnsi="宋体" w:cs="宋体"/>
          <w:sz w:val="24"/>
          <w:szCs w:val="24"/>
        </w:rPr>
      </w:pPr>
    </w:p>
    <w:p w14:paraId="06D39242">
      <w:pPr>
        <w:pStyle w:val="10"/>
        <w:rPr>
          <w:rFonts w:hint="eastAsia" w:ascii="宋体" w:hAnsi="宋体" w:cs="宋体"/>
          <w:sz w:val="24"/>
          <w:szCs w:val="24"/>
        </w:rPr>
      </w:pPr>
    </w:p>
    <w:p w14:paraId="605425F0">
      <w:pPr>
        <w:pStyle w:val="10"/>
        <w:rPr>
          <w:rFonts w:hint="eastAsia" w:ascii="宋体" w:hAnsi="宋体" w:cs="宋体"/>
          <w:sz w:val="24"/>
          <w:szCs w:val="24"/>
        </w:rPr>
      </w:pPr>
    </w:p>
    <w:p w14:paraId="1CAF8B48">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102B0193">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871CA77">
      <w:pPr>
        <w:pStyle w:val="3"/>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FDBE4D3">
      <w:pP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74EDA1F1">
      <w:pPr>
        <w:pStyle w:val="2"/>
        <w:rPr>
          <w:rFonts w:hint="eastAsia"/>
          <w:lang w:val="en-US" w:eastAsia="zh-CN"/>
        </w:rPr>
      </w:pPr>
    </w:p>
    <w:p w14:paraId="78AAAB95">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7A5CB65B">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A0255B2">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1D75526">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六、磋商承诺函</w:t>
      </w:r>
    </w:p>
    <w:p w14:paraId="480DB8B7">
      <w:pPr>
        <w:widowControl/>
        <w:spacing w:line="360" w:lineRule="auto"/>
        <w:ind w:firstLine="480"/>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致：（采购人）</w:t>
      </w:r>
    </w:p>
    <w:p w14:paraId="3E228D48">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我单位承诺：</w:t>
      </w:r>
    </w:p>
    <w:p w14:paraId="4D79C6D1">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（1）在磋商文件规定的磋商有效期内不撤销投标；</w:t>
      </w:r>
    </w:p>
    <w:p w14:paraId="59DC1F5E">
      <w:pPr>
        <w:widowControl/>
        <w:spacing w:line="360" w:lineRule="auto"/>
        <w:ind w:firstLine="48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在成交通知书规定的时间内与采购人签订合同；</w:t>
      </w:r>
    </w:p>
    <w:p w14:paraId="0932A46D">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磋商文件规定按时向采购代理机构交纳成交服务费；</w:t>
      </w:r>
    </w:p>
    <w:p w14:paraId="79789A2A">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成交</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，我单位出现以上情况，造成采购人经济损失，我单位向采购人缴纳经济补偿，自觉承担违约责任。</w:t>
      </w:r>
    </w:p>
    <w:p w14:paraId="39477517">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041E827C">
      <w:pPr>
        <w:widowControl/>
        <w:spacing w:line="360" w:lineRule="auto"/>
        <w:ind w:firstLine="2160" w:firstLineChars="9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法定代表人：（电子签章）</w:t>
      </w:r>
    </w:p>
    <w:p w14:paraId="2B7B43A3">
      <w:pPr>
        <w:widowControl/>
        <w:spacing w:line="360" w:lineRule="auto"/>
        <w:ind w:firstLine="1920" w:firstLineChars="8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供应商名称</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：（盖章）</w:t>
      </w:r>
    </w:p>
    <w:p w14:paraId="55DD47A6">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年  月  日</w:t>
      </w:r>
    </w:p>
    <w:p w14:paraId="11DF92A7">
      <w:pPr>
        <w:widowControl/>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7C8A16B4">
      <w:pPr>
        <w:widowControl/>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011EE1AD">
      <w:pPr>
        <w:widowControl/>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7E881C1B">
      <w:pPr>
        <w:widowControl/>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6BF9720E">
      <w:pPr>
        <w:widowControl/>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3B5B4EC5">
      <w:pPr>
        <w:widowControl/>
        <w:jc w:val="left"/>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br w:type="page"/>
      </w:r>
    </w:p>
    <w:p w14:paraId="270E19F7">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七、投标供应商资格声明函</w:t>
      </w:r>
    </w:p>
    <w:p w14:paraId="6BF18982">
      <w:pPr>
        <w:widowControl/>
        <w:jc w:val="cente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pPr>
    </w:p>
    <w:p w14:paraId="60C21732">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致：（采购人名称）</w:t>
      </w:r>
    </w:p>
    <w:p w14:paraId="3C3ED395">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我方在此声明，我方具备并满足《中华人民共和国政府采购法》二十二条及实施条例第十七条所规定的投标供应商的条件：</w:t>
      </w:r>
    </w:p>
    <w:p w14:paraId="3972A8DE">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（1）具有独立承担民事责任的能力；</w:t>
      </w:r>
    </w:p>
    <w:p w14:paraId="508F92E9">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（2）具有良好的商业信誉和健全的财务会计制度；</w:t>
      </w:r>
    </w:p>
    <w:p w14:paraId="717A820D">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（3）具有履行合同所必需的设备和专业技术能力；</w:t>
      </w:r>
    </w:p>
    <w:p w14:paraId="3194E5D0">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（4）有依法缴纳税收和社会保障资金的良好记录；</w:t>
      </w:r>
    </w:p>
    <w:p w14:paraId="366D30CB">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（5）参加本次政府采购活动前三年内，在经营活动中没有重大违法记录。</w:t>
      </w:r>
    </w:p>
    <w:p w14:paraId="4856F13C">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p>
    <w:p w14:paraId="3E63C81E">
      <w:pPr>
        <w:rPr>
          <w:rFonts w:hint="eastAsia" w:asciiTheme="minorEastAsia" w:hAnsiTheme="minorEastAsia" w:eastAsiaTheme="minorEastAsia" w:cstheme="minorEastAsia"/>
          <w:color w:val="000000" w:themeColor="text1"/>
          <w:sz w:val="28"/>
          <w14:textFill>
            <w14:solidFill>
              <w14:schemeClr w14:val="tx1"/>
            </w14:solidFill>
          </w14:textFill>
        </w:rPr>
      </w:pPr>
    </w:p>
    <w:p w14:paraId="13207574">
      <w:pPr>
        <w:widowControl/>
        <w:spacing w:line="360" w:lineRule="auto"/>
        <w:ind w:firstLine="2040" w:firstLineChars="85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法定代表人：（电子签章）</w:t>
      </w:r>
    </w:p>
    <w:p w14:paraId="4CC951BF">
      <w:pPr>
        <w:widowControl/>
        <w:spacing w:line="360" w:lineRule="auto"/>
        <w:ind w:firstLine="1920" w:firstLineChars="8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供应商名称</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：（盖章）</w:t>
      </w:r>
    </w:p>
    <w:p w14:paraId="0F435199">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年  月  日</w:t>
      </w:r>
    </w:p>
    <w:p w14:paraId="26CC28E1">
      <w:pPr>
        <w:widowControl/>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23B95EDD">
      <w:pPr>
        <w:spacing w:line="360" w:lineRule="auto"/>
        <w:jc w:val="center"/>
        <w:outlineLvl w:val="1"/>
        <w:rPr>
          <w:rFonts w:hint="eastAsia" w:asciiTheme="minorEastAsia" w:hAnsiTheme="minorEastAsia" w:eastAsiaTheme="minorEastAsia" w:cstheme="minorEastAsia"/>
          <w:color w:val="000000" w:themeColor="text1"/>
          <w:sz w:val="28"/>
          <w14:textFill>
            <w14:solidFill>
              <w14:schemeClr w14:val="tx1"/>
            </w14:solidFill>
          </w14:textFill>
        </w:rPr>
      </w:pPr>
    </w:p>
    <w:p w14:paraId="7AA619FC">
      <w:pPr>
        <w:spacing w:line="360" w:lineRule="auto"/>
        <w:jc w:val="center"/>
        <w:outlineLvl w:val="1"/>
        <w:rPr>
          <w:rFonts w:hint="eastAsia" w:asciiTheme="minorEastAsia" w:hAnsiTheme="minorEastAsia" w:eastAsiaTheme="minorEastAsia" w:cstheme="minorEastAsia"/>
          <w:color w:val="000000" w:themeColor="text1"/>
          <w:sz w:val="28"/>
          <w14:textFill>
            <w14:solidFill>
              <w14:schemeClr w14:val="tx1"/>
            </w14:solidFill>
          </w14:textFill>
        </w:rPr>
      </w:pPr>
    </w:p>
    <w:p w14:paraId="1E508EF5">
      <w:pPr>
        <w:spacing w:line="360" w:lineRule="auto"/>
        <w:jc w:val="center"/>
        <w:outlineLvl w:val="1"/>
        <w:rPr>
          <w:rFonts w:hint="eastAsia" w:asciiTheme="minorEastAsia" w:hAnsiTheme="minorEastAsia" w:eastAsiaTheme="minorEastAsia" w:cstheme="minorEastAsia"/>
          <w:color w:val="000000" w:themeColor="text1"/>
          <w:sz w:val="28"/>
          <w14:textFill>
            <w14:solidFill>
              <w14:schemeClr w14:val="tx1"/>
            </w14:solidFill>
          </w14:textFill>
        </w:rPr>
      </w:pPr>
    </w:p>
    <w:p w14:paraId="697DA81F">
      <w:pPr>
        <w:spacing w:line="360" w:lineRule="auto"/>
        <w:outlineLvl w:val="1"/>
        <w:rPr>
          <w:rFonts w:hint="eastAsia" w:asciiTheme="minorEastAsia" w:hAnsiTheme="minorEastAsia" w:eastAsiaTheme="minorEastAsia" w:cstheme="minorEastAsia"/>
          <w:color w:val="000000" w:themeColor="text1"/>
          <w:sz w:val="28"/>
          <w14:textFill>
            <w14:solidFill>
              <w14:schemeClr w14:val="tx1"/>
            </w14:solidFill>
          </w14:textFill>
        </w:rPr>
      </w:pPr>
    </w:p>
    <w:p w14:paraId="4915A75E">
      <w:pPr>
        <w:pStyle w:val="4"/>
        <w:rPr>
          <w:rFonts w:hint="eastAsia" w:asciiTheme="minorEastAsia" w:hAnsiTheme="minorEastAsia" w:eastAsiaTheme="minorEastAsia" w:cstheme="minorEastAsia"/>
          <w:color w:val="000000" w:themeColor="text1"/>
          <w:sz w:val="28"/>
          <w14:textFill>
            <w14:solidFill>
              <w14:schemeClr w14:val="tx1"/>
            </w14:solidFill>
          </w14:textFill>
        </w:rPr>
      </w:pPr>
    </w:p>
    <w:p w14:paraId="71A3DC59">
      <w:pPr>
        <w:pStyle w:val="4"/>
        <w:rPr>
          <w:rFonts w:hint="eastAsia" w:asciiTheme="minorEastAsia" w:hAnsiTheme="minorEastAsia" w:eastAsiaTheme="minorEastAsia" w:cstheme="minorEastAsia"/>
          <w:color w:val="000000" w:themeColor="text1"/>
          <w:sz w:val="28"/>
          <w14:textFill>
            <w14:solidFill>
              <w14:schemeClr w14:val="tx1"/>
            </w14:solidFill>
          </w14:textFill>
        </w:rPr>
      </w:pPr>
    </w:p>
    <w:p w14:paraId="77447960">
      <w:pPr>
        <w:spacing w:line="360" w:lineRule="auto"/>
        <w:jc w:val="center"/>
        <w:rPr>
          <w:rFonts w:hint="eastAsia" w:ascii="宋体" w:hAnsi="宋体" w:eastAsia="宋体" w:cs="Courier New"/>
          <w:b/>
          <w:sz w:val="32"/>
          <w:szCs w:val="32"/>
        </w:rPr>
      </w:pPr>
      <w:bookmarkStart w:id="32" w:name="_Hlk136943297"/>
      <w:r>
        <w:rPr>
          <w:rFonts w:hint="eastAsia" w:ascii="宋体" w:hAnsi="宋体" w:eastAsia="宋体" w:cs="Courier New"/>
          <w:b/>
          <w:sz w:val="32"/>
          <w:szCs w:val="32"/>
          <w:lang w:val="en-US" w:eastAsia="zh-CN"/>
        </w:rPr>
        <w:t>八</w:t>
      </w:r>
      <w:r>
        <w:rPr>
          <w:rFonts w:hint="eastAsia" w:ascii="宋体" w:hAnsi="宋体" w:eastAsia="宋体" w:cs="Courier New"/>
          <w:b/>
          <w:sz w:val="32"/>
          <w:szCs w:val="32"/>
        </w:rPr>
        <w:t>、技术部分</w:t>
      </w:r>
    </w:p>
    <w:bookmarkEnd w:id="32"/>
    <w:p w14:paraId="01F7687E">
      <w:pPr>
        <w:snapToGrid w:val="0"/>
        <w:spacing w:line="520" w:lineRule="exact"/>
        <w:ind w:left="-2" w:leftChars="-72" w:right="-817" w:rightChars="-389" w:hanging="149" w:hangingChars="62"/>
        <w:jc w:val="center"/>
        <w:rPr>
          <w:rFonts w:ascii="宋体" w:hAnsi="宋体" w:eastAsia="宋体" w:cs="Courier New"/>
          <w:b/>
          <w:sz w:val="24"/>
          <w:szCs w:val="24"/>
        </w:rPr>
      </w:pPr>
      <w:r>
        <w:rPr>
          <w:rFonts w:hint="eastAsia" w:ascii="宋体" w:hAnsi="宋体" w:eastAsia="宋体" w:cs="Courier New"/>
          <w:b/>
          <w:sz w:val="24"/>
          <w:szCs w:val="24"/>
        </w:rPr>
        <w:t>（根据评分办法编制，格式自拟）</w:t>
      </w:r>
    </w:p>
    <w:p w14:paraId="48E83FA5">
      <w:pPr>
        <w:rPr>
          <w:rFonts w:ascii="宋体" w:hAnsi="宋体" w:eastAsia="宋体"/>
        </w:rPr>
      </w:pPr>
    </w:p>
    <w:p w14:paraId="5E83F052">
      <w:pPr>
        <w:rPr>
          <w:rFonts w:ascii="宋体" w:hAnsi="宋体" w:eastAsia="宋体"/>
        </w:rPr>
      </w:pPr>
    </w:p>
    <w:p w14:paraId="47E84986">
      <w:pPr>
        <w:rPr>
          <w:rFonts w:ascii="宋体" w:hAnsi="宋体" w:eastAsia="宋体"/>
        </w:rPr>
      </w:pPr>
    </w:p>
    <w:p w14:paraId="22AE185C">
      <w:pPr>
        <w:rPr>
          <w:rFonts w:hint="eastAsia" w:ascii="宋体" w:hAnsi="宋体" w:eastAsia="宋体"/>
        </w:rPr>
      </w:pPr>
      <w:r>
        <w:rPr>
          <w:rFonts w:ascii="宋体" w:hAnsi="宋体" w:eastAsia="宋体"/>
        </w:rPr>
        <w:cr/>
      </w:r>
    </w:p>
    <w:p w14:paraId="68BC8E3B">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2FD9894">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609611C8">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1F5800E7">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4FB958DD">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68631270">
      <w:pPr>
        <w:pStyle w:val="3"/>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18907C9">
      <w:pP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DE84A16">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8662F08">
      <w:pPr>
        <w:pStyle w:val="3"/>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6D950F4">
      <w:pP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BCD3BA7">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4C9627AA">
      <w:pPr>
        <w:pStyle w:val="3"/>
        <w:rPr>
          <w:rFonts w:hint="eastAsia"/>
          <w:lang w:val="en-US" w:eastAsia="zh-CN"/>
        </w:rPr>
      </w:pPr>
    </w:p>
    <w:p w14:paraId="356F9BF1">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1261C40">
      <w:pPr>
        <w:numPr>
          <w:ilvl w:val="0"/>
          <w:numId w:val="3"/>
        </w:numPr>
        <w:spacing w:after="156" w:afterLines="50" w:line="520" w:lineRule="exact"/>
        <w:jc w:val="center"/>
        <w:rPr>
          <w:rFonts w:hint="eastAsia" w:ascii="宋体" w:hAnsi="宋体" w:eastAsia="宋体" w:cs="Courier New"/>
          <w:b/>
          <w:bCs/>
          <w:sz w:val="32"/>
          <w:szCs w:val="32"/>
          <w:lang w:val="en-US" w:eastAsia="zh-CN"/>
        </w:rPr>
      </w:pPr>
      <w:bookmarkStart w:id="33" w:name="_Hlk136943301"/>
      <w:r>
        <w:rPr>
          <w:rFonts w:hint="eastAsia" w:ascii="宋体" w:hAnsi="宋体" w:eastAsia="宋体" w:cs="Courier New"/>
          <w:b/>
          <w:bCs/>
          <w:sz w:val="32"/>
          <w:szCs w:val="32"/>
          <w:lang w:val="en-US" w:eastAsia="zh-CN"/>
        </w:rPr>
        <w:t>商务部分</w:t>
      </w:r>
    </w:p>
    <w:bookmarkEnd w:id="33"/>
    <w:p w14:paraId="7979E6EC">
      <w:pPr>
        <w:snapToGrid w:val="0"/>
        <w:spacing w:line="520" w:lineRule="exact"/>
        <w:ind w:left="-2" w:leftChars="-72" w:right="-817" w:rightChars="-389" w:hanging="149" w:hangingChars="62"/>
        <w:jc w:val="center"/>
        <w:rPr>
          <w:rFonts w:ascii="宋体" w:hAnsi="宋体" w:eastAsia="宋体" w:cs="Courier New"/>
          <w:b/>
          <w:sz w:val="24"/>
          <w:szCs w:val="24"/>
        </w:rPr>
      </w:pPr>
      <w:r>
        <w:rPr>
          <w:rFonts w:hint="eastAsia" w:ascii="宋体" w:hAnsi="宋体" w:eastAsia="宋体" w:cs="Courier New"/>
          <w:b/>
          <w:sz w:val="24"/>
          <w:szCs w:val="24"/>
        </w:rPr>
        <w:t>（根据评分办法编制，格式自拟）</w:t>
      </w:r>
    </w:p>
    <w:p w14:paraId="31CE931A">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79859CBC">
      <w:pPr>
        <w:widowControl/>
        <w:spacing w:line="560" w:lineRule="atLeast"/>
        <w:jc w:val="both"/>
        <w:rPr>
          <w:color w:val="000000" w:themeColor="text1"/>
          <w14:textFill>
            <w14:solidFill>
              <w14:schemeClr w14:val="tx1"/>
            </w14:solidFill>
          </w14:textFill>
        </w:rPr>
      </w:pPr>
    </w:p>
    <w:p w14:paraId="7E8361E3">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6AAC4CF">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6D78E8E1">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620A11B">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90D24F5">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1A415318">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6798F9C6">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4567577">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B527C23">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E9D515A">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9067121">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95315C8">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8BC466B">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C1E4F58">
      <w:pPr>
        <w:pStyle w:val="3"/>
        <w:rPr>
          <w:rFonts w:hint="eastAsia"/>
          <w:lang w:val="en-US" w:eastAsia="zh-CN"/>
        </w:rPr>
      </w:pPr>
    </w:p>
    <w:p w14:paraId="41616026">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105939B">
      <w:pPr>
        <w:pStyle w:val="10"/>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F7C2D04">
      <w:pPr>
        <w:pStyle w:val="10"/>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B4F9488">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十、其他资料</w:t>
      </w:r>
    </w:p>
    <w:p w14:paraId="7FCB3466">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4FACECBE">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122B9B8D">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r>
        <w:rPr>
          <w:rFonts w:hint="eastAsia" w:asciiTheme="minorEastAsia" w:hAnsiTheme="minorEastAsia" w:eastAsiaTheme="minorEastAsia" w:cstheme="minorEastAsia"/>
          <w:bCs/>
          <w:color w:val="000000" w:themeColor="text1"/>
          <w:kern w:val="0"/>
          <w:szCs w:val="28"/>
          <w14:textFill>
            <w14:solidFill>
              <w14:schemeClr w14:val="tx1"/>
            </w14:solidFill>
          </w14:textFill>
        </w:rPr>
        <w:t>供应商认为应附的其它相关资料。</w:t>
      </w:r>
    </w:p>
    <w:p w14:paraId="73F5A502">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1947F5D0">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606569F2">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4708879B">
      <w:pPr>
        <w:pStyle w:val="11"/>
        <w:ind w:left="0" w:leftChars="0" w:firstLine="0" w:firstLineChars="0"/>
        <w:jc w:val="both"/>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bookmarkEnd w:id="31"/>
    <w:p w14:paraId="49B8EFF6">
      <w:pPr>
        <w:rPr>
          <w:color w:val="000000" w:themeColor="text1"/>
          <w14:textFill>
            <w14:solidFill>
              <w14:schemeClr w14:val="tx1"/>
            </w14:solidFill>
          </w14:textFill>
        </w:rPr>
      </w:pPr>
    </w:p>
    <w:p w14:paraId="78B6AAB7">
      <w:pPr>
        <w:pStyle w:val="2"/>
        <w:rPr>
          <w:color w:val="000000" w:themeColor="text1"/>
          <w14:textFill>
            <w14:solidFill>
              <w14:schemeClr w14:val="tx1"/>
            </w14:solidFill>
          </w14:textFill>
        </w:rPr>
      </w:pPr>
    </w:p>
    <w:p w14:paraId="72F06B6E">
      <w:pPr>
        <w:pStyle w:val="3"/>
        <w:rPr>
          <w:color w:val="000000" w:themeColor="text1"/>
          <w14:textFill>
            <w14:solidFill>
              <w14:schemeClr w14:val="tx1"/>
            </w14:solidFill>
          </w14:textFill>
        </w:rPr>
      </w:pPr>
    </w:p>
    <w:p w14:paraId="0536460B">
      <w:pPr>
        <w:rPr>
          <w:color w:val="000000" w:themeColor="text1"/>
          <w14:textFill>
            <w14:solidFill>
              <w14:schemeClr w14:val="tx1"/>
            </w14:solidFill>
          </w14:textFill>
        </w:rPr>
      </w:pPr>
    </w:p>
    <w:p w14:paraId="0C7AEF84">
      <w:pPr>
        <w:pStyle w:val="2"/>
        <w:rPr>
          <w:color w:val="000000" w:themeColor="text1"/>
          <w14:textFill>
            <w14:solidFill>
              <w14:schemeClr w14:val="tx1"/>
            </w14:solidFill>
          </w14:textFill>
        </w:rPr>
      </w:pPr>
    </w:p>
    <w:p w14:paraId="2C92B101">
      <w:pPr>
        <w:pStyle w:val="3"/>
        <w:rPr>
          <w:color w:val="000000" w:themeColor="text1"/>
          <w14:textFill>
            <w14:solidFill>
              <w14:schemeClr w14:val="tx1"/>
            </w14:solidFill>
          </w14:textFill>
        </w:rPr>
      </w:pPr>
    </w:p>
    <w:p w14:paraId="0FF83BF0">
      <w:pPr>
        <w:rPr>
          <w:color w:val="000000" w:themeColor="text1"/>
          <w14:textFill>
            <w14:solidFill>
              <w14:schemeClr w14:val="tx1"/>
            </w14:solidFill>
          </w14:textFill>
        </w:rPr>
      </w:pPr>
    </w:p>
    <w:p w14:paraId="04002EC2">
      <w:pPr>
        <w:pStyle w:val="2"/>
        <w:rPr>
          <w:color w:val="000000" w:themeColor="text1"/>
          <w14:textFill>
            <w14:solidFill>
              <w14:schemeClr w14:val="tx1"/>
            </w14:solidFill>
          </w14:textFill>
        </w:rPr>
      </w:pPr>
    </w:p>
    <w:p w14:paraId="0BD799D7">
      <w:pPr>
        <w:pStyle w:val="3"/>
        <w:rPr>
          <w:color w:val="000000" w:themeColor="text1"/>
          <w14:textFill>
            <w14:solidFill>
              <w14:schemeClr w14:val="tx1"/>
            </w14:solidFill>
          </w14:textFill>
        </w:rPr>
      </w:pPr>
    </w:p>
    <w:p w14:paraId="3934A6B8">
      <w:pPr>
        <w:rPr>
          <w:color w:val="000000" w:themeColor="text1"/>
          <w14:textFill>
            <w14:solidFill>
              <w14:schemeClr w14:val="tx1"/>
            </w14:solidFill>
          </w14:textFill>
        </w:rPr>
      </w:pPr>
    </w:p>
    <w:p w14:paraId="1F56A46B">
      <w:pPr>
        <w:pStyle w:val="2"/>
        <w:rPr>
          <w:color w:val="000000" w:themeColor="text1"/>
          <w14:textFill>
            <w14:solidFill>
              <w14:schemeClr w14:val="tx1"/>
            </w14:solidFill>
          </w14:textFill>
        </w:rPr>
      </w:pPr>
    </w:p>
    <w:p w14:paraId="3D6D1285">
      <w:pPr>
        <w:pStyle w:val="3"/>
      </w:pPr>
    </w:p>
    <w:p w14:paraId="789AF279">
      <w:pPr>
        <w:pStyle w:val="3"/>
        <w:rPr>
          <w:color w:val="000000" w:themeColor="text1"/>
          <w14:textFill>
            <w14:solidFill>
              <w14:schemeClr w14:val="tx1"/>
            </w14:solidFill>
          </w14:textFill>
        </w:rPr>
      </w:pPr>
    </w:p>
    <w:p w14:paraId="7048285D">
      <w:pPr>
        <w:rPr>
          <w:color w:val="000000" w:themeColor="text1"/>
          <w14:textFill>
            <w14:solidFill>
              <w14:schemeClr w14:val="tx1"/>
            </w14:solidFill>
          </w14:textFill>
        </w:rPr>
      </w:pPr>
    </w:p>
    <w:p w14:paraId="521A2108">
      <w:pPr>
        <w:spacing w:line="360" w:lineRule="auto"/>
        <w:jc w:val="both"/>
        <w:rPr>
          <w:rFonts w:hint="eastAsia" w:ascii="宋体" w:hAnsi="宋体" w:eastAsia="宋体" w:cs="Courier New"/>
          <w:b/>
          <w:color w:val="auto"/>
          <w:sz w:val="32"/>
          <w:szCs w:val="32"/>
        </w:rPr>
      </w:pPr>
      <w:bookmarkStart w:id="34" w:name="_Hlk136943279"/>
      <w:r>
        <w:rPr>
          <w:rFonts w:hint="eastAsia" w:ascii="宋体" w:hAnsi="宋体" w:eastAsia="宋体" w:cs="Courier New"/>
          <w:b/>
          <w:color w:val="auto"/>
          <w:sz w:val="32"/>
          <w:szCs w:val="32"/>
          <w:lang w:val="en-US" w:eastAsia="zh-CN"/>
        </w:rPr>
        <w:t>附件</w:t>
      </w:r>
      <w:r>
        <w:rPr>
          <w:rFonts w:hint="eastAsia" w:ascii="宋体" w:hAnsi="宋体" w:eastAsia="宋体" w:cs="Courier New"/>
          <w:b/>
          <w:color w:val="auto"/>
          <w:sz w:val="32"/>
          <w:szCs w:val="32"/>
        </w:rPr>
        <w:t>、</w:t>
      </w:r>
    </w:p>
    <w:bookmarkEnd w:id="34"/>
    <w:p w14:paraId="518F76E7">
      <w:pPr>
        <w:widowControl/>
        <w:spacing w:line="360" w:lineRule="auto"/>
        <w:jc w:val="center"/>
        <w:rPr>
          <w:rFonts w:ascii="宋体" w:hAnsi="宋体" w:eastAsia="宋体" w:cs="宋体"/>
          <w:b/>
          <w:bCs/>
          <w:kern w:val="0"/>
          <w:sz w:val="32"/>
          <w:szCs w:val="32"/>
        </w:rPr>
      </w:pPr>
      <w:r>
        <w:rPr>
          <w:rFonts w:hint="eastAsia" w:ascii="宋体" w:hAnsi="宋体" w:eastAsia="宋体" w:cs="宋体"/>
          <w:b/>
          <w:bCs/>
          <w:kern w:val="0"/>
          <w:sz w:val="32"/>
          <w:szCs w:val="32"/>
        </w:rPr>
        <w:t>中小企业声明函（服务）</w:t>
      </w:r>
    </w:p>
    <w:p w14:paraId="5C5F65D1">
      <w:pPr>
        <w:widowControl/>
        <w:spacing w:line="360" w:lineRule="auto"/>
        <w:jc w:val="left"/>
        <w:rPr>
          <w:rFonts w:ascii="宋体" w:hAnsi="宋体" w:eastAsia="宋体" w:cs="宋体"/>
          <w:kern w:val="0"/>
          <w:sz w:val="28"/>
          <w:szCs w:val="28"/>
          <w:u w:val="single"/>
        </w:rPr>
      </w:pPr>
    </w:p>
    <w:p w14:paraId="38E4D036">
      <w:pPr>
        <w:widowControl/>
        <w:spacing w:line="600" w:lineRule="exact"/>
        <w:ind w:firstLine="560" w:firstLineChars="200"/>
        <w:jc w:val="left"/>
        <w:rPr>
          <w:rFonts w:ascii="宋体" w:hAnsi="宋体" w:eastAsia="宋体" w:cs="宋体"/>
          <w:kern w:val="0"/>
          <w:sz w:val="28"/>
          <w:szCs w:val="28"/>
        </w:rPr>
      </w:pPr>
      <w:r>
        <w:rPr>
          <w:rFonts w:ascii="宋体" w:hAnsi="宋体" w:eastAsia="宋体" w:cs="宋体"/>
          <w:kern w:val="0"/>
          <w:sz w:val="28"/>
          <w:szCs w:val="28"/>
        </w:rPr>
        <w:t>本公司郑重声明，根据《政府采购促进中小企业发展管理办法》（财库</w:t>
      </w:r>
      <w:r>
        <w:rPr>
          <w:rFonts w:hint="eastAsia" w:ascii="宋体" w:hAnsi="宋体" w:eastAsia="宋体" w:cs="宋体"/>
          <w:kern w:val="0"/>
          <w:sz w:val="28"/>
          <w:szCs w:val="28"/>
        </w:rPr>
        <w:t>(</w:t>
      </w:r>
      <w:r>
        <w:rPr>
          <w:rFonts w:ascii="宋体" w:hAnsi="宋体" w:eastAsia="宋体" w:cs="宋体"/>
          <w:kern w:val="0"/>
          <w:sz w:val="28"/>
          <w:szCs w:val="28"/>
        </w:rPr>
        <w:t>2020</w:t>
      </w:r>
      <w:r>
        <w:rPr>
          <w:rFonts w:hint="eastAsia" w:ascii="宋体" w:hAnsi="宋体" w:eastAsia="宋体" w:cs="宋体"/>
          <w:kern w:val="0"/>
          <w:sz w:val="28"/>
          <w:szCs w:val="28"/>
        </w:rPr>
        <w:t>)</w:t>
      </w:r>
      <w:r>
        <w:rPr>
          <w:rFonts w:ascii="宋体" w:hAnsi="宋体" w:eastAsia="宋体" w:cs="宋体"/>
          <w:kern w:val="0"/>
          <w:sz w:val="28"/>
          <w:szCs w:val="28"/>
        </w:rPr>
        <w:t>46号）的规定，本公司参加</w:t>
      </w:r>
      <w:r>
        <w:rPr>
          <w:rFonts w:ascii="宋体" w:hAnsi="宋体" w:eastAsia="宋体" w:cs="宋体"/>
          <w:kern w:val="0"/>
          <w:sz w:val="28"/>
          <w:szCs w:val="28"/>
          <w:u w:val="single"/>
        </w:rPr>
        <w:t>（单位名称）</w:t>
      </w:r>
      <w:r>
        <w:rPr>
          <w:rFonts w:ascii="宋体" w:hAnsi="宋体" w:eastAsia="宋体" w:cs="宋体"/>
          <w:kern w:val="0"/>
          <w:sz w:val="28"/>
          <w:szCs w:val="28"/>
        </w:rPr>
        <w:t>的</w:t>
      </w:r>
      <w:r>
        <w:rPr>
          <w:rFonts w:ascii="宋体" w:hAnsi="宋体" w:eastAsia="宋体" w:cs="宋体"/>
          <w:kern w:val="0"/>
          <w:sz w:val="28"/>
          <w:szCs w:val="28"/>
          <w:u w:val="single"/>
        </w:rPr>
        <w:t>（项目名称）</w:t>
      </w:r>
      <w:r>
        <w:rPr>
          <w:rFonts w:ascii="宋体" w:hAnsi="宋体" w:eastAsia="宋体" w:cs="宋体"/>
          <w:kern w:val="0"/>
          <w:sz w:val="28"/>
          <w:szCs w:val="28"/>
        </w:rPr>
        <w:t>采购</w:t>
      </w:r>
      <w:r>
        <w:rPr>
          <w:rFonts w:hint="eastAsia" w:ascii="宋体" w:hAnsi="宋体" w:eastAsia="宋体" w:cs="宋体"/>
          <w:kern w:val="0"/>
          <w:sz w:val="28"/>
          <w:szCs w:val="28"/>
        </w:rPr>
        <w:t>活动</w:t>
      </w:r>
      <w:r>
        <w:rPr>
          <w:rFonts w:ascii="宋体" w:hAnsi="宋体" w:eastAsia="宋体" w:cs="宋体"/>
          <w:kern w:val="0"/>
          <w:sz w:val="28"/>
          <w:szCs w:val="28"/>
        </w:rPr>
        <w:t>，服务全部由符合政策要求的中小企业承接</w:t>
      </w:r>
      <w:r>
        <w:rPr>
          <w:rFonts w:hint="eastAsia" w:ascii="宋体" w:hAnsi="宋体" w:eastAsia="宋体" w:cs="宋体"/>
          <w:kern w:val="0"/>
          <w:sz w:val="28"/>
          <w:szCs w:val="28"/>
        </w:rPr>
        <w:t>。</w:t>
      </w:r>
      <w:r>
        <w:rPr>
          <w:rFonts w:ascii="宋体" w:hAnsi="宋体" w:eastAsia="宋体" w:cs="宋体"/>
          <w:kern w:val="0"/>
          <w:sz w:val="28"/>
          <w:szCs w:val="28"/>
        </w:rPr>
        <w:t>相关企业的具体情况如下</w:t>
      </w:r>
      <w:r>
        <w:rPr>
          <w:rFonts w:hint="eastAsia" w:ascii="宋体" w:hAnsi="宋体" w:eastAsia="宋体" w:cs="宋体"/>
          <w:kern w:val="0"/>
          <w:sz w:val="28"/>
          <w:szCs w:val="28"/>
        </w:rPr>
        <w:t>：</w:t>
      </w:r>
    </w:p>
    <w:p w14:paraId="2518C587">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u w:val="single"/>
        </w:rPr>
        <w:t>（标的名称）</w:t>
      </w:r>
      <w:r>
        <w:rPr>
          <w:rFonts w:hint="eastAsia" w:ascii="宋体" w:hAnsi="宋体" w:eastAsia="宋体" w:cs="宋体"/>
          <w:kern w:val="0"/>
          <w:sz w:val="28"/>
          <w:szCs w:val="28"/>
        </w:rPr>
        <w:t>，属于</w:t>
      </w:r>
      <w:r>
        <w:rPr>
          <w:rFonts w:hint="eastAsia" w:ascii="宋体" w:hAnsi="宋体" w:eastAsia="宋体" w:cs="宋体"/>
          <w:kern w:val="0"/>
          <w:sz w:val="28"/>
          <w:szCs w:val="28"/>
          <w:u w:val="single"/>
        </w:rPr>
        <w:t>（采购文件中明确的所属行业）</w:t>
      </w:r>
      <w:r>
        <w:rPr>
          <w:rFonts w:hint="eastAsia" w:ascii="宋体" w:hAnsi="宋体" w:eastAsia="宋体" w:cs="宋体"/>
          <w:kern w:val="0"/>
          <w:sz w:val="28"/>
          <w:szCs w:val="28"/>
        </w:rPr>
        <w:t>；承接企业为</w:t>
      </w:r>
      <w:r>
        <w:rPr>
          <w:rFonts w:hint="eastAsia" w:ascii="宋体" w:hAnsi="宋体" w:eastAsia="宋体" w:cs="宋体"/>
          <w:kern w:val="0"/>
          <w:sz w:val="28"/>
          <w:szCs w:val="28"/>
          <w:u w:val="single"/>
        </w:rPr>
        <w:t>（企业名称）</w:t>
      </w:r>
      <w:r>
        <w:rPr>
          <w:rFonts w:hint="eastAsia" w:ascii="宋体" w:hAnsi="宋体" w:eastAsia="宋体" w:cs="宋体"/>
          <w:kern w:val="0"/>
          <w:sz w:val="28"/>
          <w:szCs w:val="28"/>
        </w:rPr>
        <w:t>，从业人员</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人，营业收入为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万元，资产总额为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万元，属于</w:t>
      </w:r>
      <w:r>
        <w:rPr>
          <w:rFonts w:hint="eastAsia" w:ascii="宋体" w:hAnsi="宋体" w:eastAsia="宋体" w:cs="宋体"/>
          <w:kern w:val="0"/>
          <w:sz w:val="28"/>
          <w:szCs w:val="28"/>
          <w:u w:val="single"/>
        </w:rPr>
        <w:t>（中型企业、小型企业、微型企业）</w:t>
      </w:r>
      <w:r>
        <w:rPr>
          <w:rFonts w:hint="eastAsia" w:ascii="宋体" w:hAnsi="宋体" w:eastAsia="宋体" w:cs="宋体"/>
          <w:kern w:val="0"/>
          <w:sz w:val="28"/>
          <w:szCs w:val="28"/>
        </w:rPr>
        <w:t>；</w:t>
      </w:r>
    </w:p>
    <w:p w14:paraId="5984A794">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以上企业，不属于大企业的分支机构，不存在控股股东为大企业的情形，也不存在与大企业的负责人为同一人的情形。</w:t>
      </w:r>
    </w:p>
    <w:p w14:paraId="3B078697">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本企业对上述声明内容的真实性负责。如有虚假，将依法承担相应责任。</w:t>
      </w:r>
    </w:p>
    <w:p w14:paraId="552346D2">
      <w:pPr>
        <w:widowControl/>
        <w:spacing w:line="600" w:lineRule="exact"/>
        <w:ind w:right="560" w:firstLine="560" w:firstLineChars="200"/>
        <w:rPr>
          <w:rFonts w:ascii="宋体" w:hAnsi="宋体" w:eastAsia="宋体" w:cs="宋体"/>
          <w:kern w:val="0"/>
          <w:sz w:val="28"/>
          <w:szCs w:val="28"/>
        </w:rPr>
      </w:pPr>
    </w:p>
    <w:p w14:paraId="6CD06A0F">
      <w:pPr>
        <w:widowControl/>
        <w:spacing w:line="600" w:lineRule="exact"/>
        <w:ind w:right="560" w:firstLine="560" w:firstLineChars="200"/>
        <w:rPr>
          <w:rFonts w:ascii="宋体" w:hAnsi="宋体" w:eastAsia="宋体" w:cs="宋体"/>
          <w:kern w:val="0"/>
          <w:sz w:val="28"/>
          <w:szCs w:val="28"/>
        </w:rPr>
      </w:pPr>
    </w:p>
    <w:p w14:paraId="70DFBE86">
      <w:pPr>
        <w:widowControl/>
        <w:spacing w:line="600" w:lineRule="exact"/>
        <w:ind w:right="560" w:firstLine="560" w:firstLineChars="200"/>
        <w:rPr>
          <w:rFonts w:ascii="宋体" w:hAnsi="宋体" w:eastAsia="宋体" w:cs="宋体"/>
          <w:kern w:val="0"/>
          <w:sz w:val="28"/>
          <w:szCs w:val="28"/>
        </w:rPr>
      </w:pPr>
      <w:r>
        <w:rPr>
          <w:rFonts w:hint="eastAsia" w:ascii="宋体" w:hAnsi="宋体" w:eastAsia="宋体" w:cs="宋体"/>
          <w:kern w:val="0"/>
          <w:sz w:val="28"/>
          <w:szCs w:val="28"/>
        </w:rPr>
        <w:t>企业名称（盖章）：</w:t>
      </w:r>
    </w:p>
    <w:p w14:paraId="1309C069">
      <w:pPr>
        <w:widowControl/>
        <w:spacing w:line="600" w:lineRule="exact"/>
        <w:ind w:right="560" w:firstLine="560" w:firstLineChars="200"/>
        <w:rPr>
          <w:rFonts w:ascii="宋体" w:hAnsi="宋体" w:eastAsia="宋体" w:cs="宋体"/>
          <w:kern w:val="0"/>
          <w:sz w:val="28"/>
          <w:szCs w:val="28"/>
        </w:rPr>
      </w:pPr>
      <w:r>
        <w:rPr>
          <w:rFonts w:hint="eastAsia" w:ascii="宋体" w:hAnsi="宋体" w:eastAsia="宋体" w:cs="宋体"/>
          <w:kern w:val="0"/>
          <w:sz w:val="28"/>
          <w:szCs w:val="28"/>
        </w:rPr>
        <w:t>日期：</w:t>
      </w:r>
    </w:p>
    <w:p w14:paraId="2EAA0878">
      <w:pPr>
        <w:widowControl/>
        <w:spacing w:line="360" w:lineRule="auto"/>
        <w:ind w:right="560" w:firstLine="420" w:firstLineChars="200"/>
        <w:rPr>
          <w:rFonts w:ascii="宋体" w:hAnsi="宋体" w:eastAsia="宋体" w:cs="宋体"/>
          <w:kern w:val="0"/>
          <w:szCs w:val="28"/>
        </w:rPr>
      </w:pPr>
    </w:p>
    <w:p w14:paraId="73C3AAB9">
      <w:pPr>
        <w:widowControl/>
        <w:spacing w:line="360" w:lineRule="auto"/>
        <w:ind w:right="560" w:firstLine="420" w:firstLineChars="200"/>
        <w:rPr>
          <w:rFonts w:ascii="宋体" w:hAnsi="宋体" w:eastAsia="宋体" w:cs="宋体"/>
          <w:kern w:val="0"/>
          <w:szCs w:val="28"/>
        </w:rPr>
      </w:pPr>
    </w:p>
    <w:p w14:paraId="24B5E9C3">
      <w:pPr>
        <w:widowControl/>
        <w:spacing w:line="360" w:lineRule="auto"/>
        <w:ind w:right="560" w:firstLine="420" w:firstLineChars="200"/>
        <w:rPr>
          <w:rFonts w:ascii="宋体" w:hAnsi="宋体" w:eastAsia="宋体" w:cs="宋体"/>
          <w:kern w:val="0"/>
          <w:szCs w:val="28"/>
        </w:rPr>
      </w:pPr>
      <w:r>
        <w:rPr>
          <w:rFonts w:hint="eastAsia" w:ascii="宋体" w:hAnsi="宋体" w:eastAsia="宋体" w:cs="宋体"/>
          <w:kern w:val="0"/>
          <w:szCs w:val="28"/>
        </w:rPr>
        <w:t>注：从业人员、营业收入、资产总额填报上一年度数据，无上一年度数据的新成立企业可不填报。</w:t>
      </w:r>
    </w:p>
    <w:p w14:paraId="79ADBC0E">
      <w:pPr>
        <w:widowControl/>
        <w:spacing w:line="360" w:lineRule="auto"/>
        <w:jc w:val="center"/>
        <w:rPr>
          <w:rFonts w:ascii="宋体" w:hAnsi="宋体" w:eastAsia="宋体" w:cs="宋体"/>
          <w:color w:val="000000"/>
          <w:kern w:val="0"/>
          <w:szCs w:val="21"/>
        </w:rPr>
      </w:pPr>
    </w:p>
    <w:p w14:paraId="4B1AAB7E">
      <w:pPr>
        <w:widowControl/>
        <w:spacing w:line="400" w:lineRule="exact"/>
        <w:jc w:val="left"/>
        <w:rPr>
          <w:rFonts w:ascii="宋体" w:hAnsi="宋体" w:eastAsia="宋体" w:cs="宋体"/>
          <w:color w:val="000000"/>
          <w:kern w:val="0"/>
          <w:szCs w:val="21"/>
        </w:rPr>
      </w:pPr>
    </w:p>
    <w:p w14:paraId="12C2E26C">
      <w:pPr>
        <w:widowControl/>
        <w:spacing w:line="500" w:lineRule="exact"/>
        <w:jc w:val="center"/>
        <w:rPr>
          <w:rFonts w:hint="eastAsia" w:ascii="宋体" w:hAnsi="宋体" w:eastAsia="宋体"/>
          <w:color w:val="auto"/>
          <w:sz w:val="28"/>
          <w:szCs w:val="28"/>
        </w:rPr>
      </w:pPr>
      <w:r>
        <w:rPr>
          <w:rFonts w:hint="eastAsia" w:ascii="宋体" w:hAnsi="宋体" w:eastAsia="宋体"/>
          <w:color w:val="auto"/>
          <w:sz w:val="28"/>
          <w:szCs w:val="28"/>
        </w:rPr>
        <w:t>工业和信息化部、国家统计局、国家发展和改革委员会、财政部</w:t>
      </w:r>
    </w:p>
    <w:p w14:paraId="2A9B0D80">
      <w:pPr>
        <w:widowControl/>
        <w:spacing w:line="500" w:lineRule="exact"/>
        <w:jc w:val="center"/>
        <w:rPr>
          <w:rFonts w:hint="eastAsia" w:ascii="宋体" w:hAnsi="宋体" w:eastAsia="宋体"/>
          <w:color w:val="auto"/>
          <w:sz w:val="28"/>
          <w:szCs w:val="28"/>
        </w:rPr>
      </w:pPr>
      <w:r>
        <w:rPr>
          <w:rFonts w:hint="eastAsia" w:ascii="宋体" w:hAnsi="宋体" w:eastAsia="宋体"/>
          <w:color w:val="auto"/>
          <w:sz w:val="28"/>
          <w:szCs w:val="28"/>
        </w:rPr>
        <w:t>《关于印发中小企业划型标准规定的通知》</w:t>
      </w:r>
    </w:p>
    <w:p w14:paraId="62E3E7C7">
      <w:pPr>
        <w:widowControl/>
        <w:spacing w:line="500" w:lineRule="exact"/>
        <w:jc w:val="center"/>
        <w:rPr>
          <w:rFonts w:hint="eastAsia" w:ascii="宋体" w:hAnsi="宋体" w:eastAsia="宋体"/>
          <w:color w:val="auto"/>
          <w:sz w:val="28"/>
          <w:szCs w:val="28"/>
        </w:rPr>
      </w:pPr>
      <w:r>
        <w:rPr>
          <w:rFonts w:hint="eastAsia" w:ascii="宋体" w:hAnsi="宋体" w:eastAsia="宋体"/>
          <w:color w:val="auto"/>
          <w:sz w:val="28"/>
          <w:szCs w:val="28"/>
        </w:rPr>
        <w:t>工信部联企业〔2011〕300号</w:t>
      </w:r>
    </w:p>
    <w:p w14:paraId="4DB501BB">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各省、自治区、直辖市人民政府，国务院各部委、各直属机构及有关单位： </w:t>
      </w:r>
    </w:p>
    <w:p w14:paraId="77B96040">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C3A67B5">
      <w:pPr>
        <w:widowControl/>
        <w:spacing w:line="500" w:lineRule="exact"/>
        <w:jc w:val="right"/>
        <w:rPr>
          <w:rFonts w:hint="eastAsia" w:ascii="宋体" w:hAnsi="宋体" w:eastAsia="宋体"/>
          <w:color w:val="auto"/>
          <w:sz w:val="24"/>
          <w:szCs w:val="24"/>
        </w:rPr>
      </w:pPr>
      <w:r>
        <w:rPr>
          <w:rFonts w:hint="eastAsia" w:ascii="宋体" w:hAnsi="宋体" w:eastAsia="宋体"/>
          <w:color w:val="auto"/>
          <w:sz w:val="24"/>
          <w:szCs w:val="24"/>
        </w:rPr>
        <w:t xml:space="preserve">工业和信息化部 国家统计局 国家发展和改革委员会 财政部 </w:t>
      </w:r>
    </w:p>
    <w:p w14:paraId="0C71A80C">
      <w:pPr>
        <w:widowControl/>
        <w:spacing w:line="500" w:lineRule="exact"/>
        <w:jc w:val="right"/>
        <w:rPr>
          <w:rFonts w:hint="eastAsia" w:ascii="宋体" w:hAnsi="宋体" w:eastAsia="宋体"/>
          <w:color w:val="auto"/>
          <w:sz w:val="24"/>
          <w:szCs w:val="24"/>
        </w:rPr>
      </w:pPr>
      <w:r>
        <w:rPr>
          <w:rFonts w:hint="eastAsia" w:ascii="宋体" w:hAnsi="宋体" w:eastAsia="宋体"/>
          <w:color w:val="auto"/>
          <w:sz w:val="24"/>
          <w:szCs w:val="24"/>
        </w:rPr>
        <w:t xml:space="preserve">二○一一年六月十八日 </w:t>
      </w:r>
    </w:p>
    <w:p w14:paraId="7C817FA1">
      <w:pPr>
        <w:widowControl/>
        <w:spacing w:line="500" w:lineRule="exact"/>
        <w:jc w:val="center"/>
        <w:rPr>
          <w:rFonts w:hint="eastAsia" w:ascii="宋体" w:hAnsi="宋体" w:eastAsia="宋体"/>
          <w:b/>
          <w:bCs/>
          <w:color w:val="auto"/>
          <w:sz w:val="24"/>
          <w:szCs w:val="24"/>
        </w:rPr>
      </w:pPr>
      <w:r>
        <w:rPr>
          <w:rFonts w:hint="eastAsia" w:ascii="宋体" w:hAnsi="宋体" w:eastAsia="宋体"/>
          <w:b/>
          <w:bCs/>
          <w:color w:val="auto"/>
          <w:sz w:val="24"/>
          <w:szCs w:val="24"/>
        </w:rPr>
        <w:t>中小企业划型标准规定</w:t>
      </w:r>
    </w:p>
    <w:p w14:paraId="08373A83">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 xml:space="preserve">一、根据《中华人民共和国中小企业促进法》和《国务院关于进一步促进中小企业发展的若干意见》(国发〔2009〕36号)，制定本规定。 </w:t>
      </w:r>
    </w:p>
    <w:p w14:paraId="6E45F7C7">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 xml:space="preserve">二、中小企业划分为中型、小型、微型三种类型，具体标准根据企业从业人员、营业收入、资产总额等指标，结合行业特点制定。 </w:t>
      </w:r>
    </w:p>
    <w:p w14:paraId="4991A14F">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5D40A64D">
      <w:pPr>
        <w:widowControl/>
        <w:spacing w:line="500" w:lineRule="exact"/>
        <w:ind w:firstLine="480" w:firstLineChars="200"/>
        <w:jc w:val="left"/>
        <w:outlineLvl w:val="1"/>
        <w:rPr>
          <w:rFonts w:hint="eastAsia" w:ascii="宋体" w:hAnsi="宋体" w:eastAsia="宋体"/>
          <w:color w:val="auto"/>
          <w:sz w:val="24"/>
          <w:szCs w:val="24"/>
        </w:rPr>
      </w:pPr>
      <w:bookmarkStart w:id="35" w:name="_Toc29770"/>
      <w:bookmarkStart w:id="36" w:name="_Toc13041"/>
      <w:r>
        <w:rPr>
          <w:rFonts w:hint="eastAsia" w:ascii="宋体" w:hAnsi="宋体" w:eastAsia="宋体"/>
          <w:color w:val="auto"/>
          <w:sz w:val="24"/>
          <w:szCs w:val="24"/>
        </w:rPr>
        <w:t>四、各行业划型标准为</w:t>
      </w:r>
      <w:bookmarkEnd w:id="35"/>
      <w:bookmarkEnd w:id="36"/>
    </w:p>
    <w:p w14:paraId="01D68D93">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s="Courier New"/>
          <w:color w:val="auto"/>
          <w:sz w:val="24"/>
          <w:szCs w:val="24"/>
          <w:shd w:val="clear" w:color="auto" w:fill="FFFFFF"/>
        </w:rPr>
        <w:t>（一）农、林、牧、渔业。营业收入20000万元以下的为中小微型企业。其中，营业收入500万元及以上的为中型企业，营业收入50万元及以上的为小型企业，营业收入50万元以下的为微型企业。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w:t>
      </w:r>
      <w:r>
        <w:rPr>
          <w:rFonts w:hint="eastAsia" w:ascii="宋体" w:hAnsi="宋体" w:eastAsia="宋体" w:cs="Courier New"/>
          <w:b/>
          <w:color w:val="auto"/>
          <w:sz w:val="24"/>
          <w:szCs w:val="24"/>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（十六）其他未列明行业。从业人员300人以下的为中小微型企业。其中，从业人员100人及以上的为中型企业；从业人员10人及以上的为小型企业；从业人员10人以下的为微型企业。</w:t>
      </w:r>
    </w:p>
    <w:p w14:paraId="0071DF2F">
      <w:pPr>
        <w:widowControl/>
        <w:spacing w:line="500" w:lineRule="exact"/>
        <w:jc w:val="left"/>
        <w:outlineLvl w:val="1"/>
        <w:rPr>
          <w:rFonts w:hint="eastAsia" w:ascii="宋体" w:hAnsi="宋体" w:eastAsia="宋体"/>
          <w:color w:val="auto"/>
          <w:sz w:val="24"/>
          <w:szCs w:val="24"/>
        </w:rPr>
      </w:pPr>
      <w:bookmarkStart w:id="37" w:name="_Toc16515"/>
      <w:bookmarkStart w:id="38" w:name="_Toc12766"/>
      <w:r>
        <w:rPr>
          <w:rFonts w:hint="eastAsia" w:ascii="宋体" w:hAnsi="宋体" w:eastAsia="宋体"/>
          <w:color w:val="auto"/>
          <w:sz w:val="24"/>
          <w:szCs w:val="24"/>
        </w:rPr>
        <w:t>五、企业类型的划分以统计部门的统计数据为依据。</w:t>
      </w:r>
      <w:bookmarkEnd w:id="37"/>
      <w:bookmarkEnd w:id="38"/>
      <w:r>
        <w:rPr>
          <w:rFonts w:hint="eastAsia" w:ascii="宋体" w:hAnsi="宋体" w:eastAsia="宋体"/>
          <w:color w:val="auto"/>
          <w:sz w:val="24"/>
          <w:szCs w:val="24"/>
        </w:rPr>
        <w:t xml:space="preserve"> </w:t>
      </w:r>
    </w:p>
    <w:p w14:paraId="3466D8D9">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六、本规定适用于在中华人民共和国境内依法设立的各类所有制和各种组织形式的企业。个体工商户和本规定以外的行业，参照本规定进行划型。 </w:t>
      </w:r>
    </w:p>
    <w:p w14:paraId="39AAE771">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4E2134A8">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八、本规定由工业和信息化部、国家统计局会同有关部门根据《国民经济行业分类》修订情况和企业发展变化情况适时修订。 </w:t>
      </w:r>
    </w:p>
    <w:p w14:paraId="627F8A76">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九、本规定由工业和信息化部、国家统计局会同有关部门负责解释。 </w:t>
      </w:r>
    </w:p>
    <w:p w14:paraId="32E77E5B">
      <w:pPr>
        <w:widowControl/>
        <w:spacing w:line="500" w:lineRule="exact"/>
        <w:rPr>
          <w:rFonts w:hint="eastAsia" w:ascii="宋体" w:hAnsi="宋体" w:eastAsia="宋体"/>
          <w:color w:val="auto"/>
          <w:sz w:val="24"/>
          <w:szCs w:val="24"/>
        </w:rPr>
      </w:pPr>
      <w:r>
        <w:rPr>
          <w:rFonts w:hint="eastAsia" w:ascii="宋体" w:hAnsi="宋体" w:eastAsia="宋体"/>
          <w:color w:val="auto"/>
          <w:sz w:val="24"/>
          <w:szCs w:val="24"/>
        </w:rPr>
        <w:t xml:space="preserve">十、本规定自发布之日起执行，原国家经贸委、原国家计委、财政部和国家统计局2003年颁布的《中小企业标准暂行规定》同时废止。 </w:t>
      </w:r>
    </w:p>
    <w:p w14:paraId="641D0B4D">
      <w:pPr>
        <w:spacing w:line="360" w:lineRule="auto"/>
        <w:jc w:val="center"/>
        <w:rPr>
          <w:rFonts w:hint="eastAsia" w:ascii="宋体" w:hAnsi="宋体" w:eastAsia="宋体" w:cs="Courier New"/>
          <w:b/>
          <w:bCs/>
          <w:color w:val="auto"/>
          <w:sz w:val="32"/>
          <w:szCs w:val="32"/>
        </w:rPr>
      </w:pPr>
      <w:r>
        <w:rPr>
          <w:rFonts w:hint="eastAsia" w:ascii="宋体" w:hAnsi="宋体" w:eastAsia="宋体" w:cs="Courier New"/>
          <w:b/>
          <w:bCs/>
          <w:color w:val="auto"/>
          <w:sz w:val="32"/>
          <w:szCs w:val="32"/>
        </w:rPr>
        <w:br w:type="page"/>
      </w:r>
      <w:r>
        <w:rPr>
          <w:rFonts w:hint="eastAsia" w:ascii="宋体" w:hAnsi="宋体" w:eastAsia="宋体" w:cs="Courier New"/>
          <w:b/>
          <w:bCs/>
          <w:color w:val="auto"/>
          <w:sz w:val="32"/>
          <w:szCs w:val="32"/>
        </w:rPr>
        <w:br w:type="textWrapping"/>
      </w:r>
      <w:bookmarkStart w:id="39" w:name="_Hlk136943287"/>
      <w:r>
        <w:rPr>
          <w:rFonts w:hint="eastAsia" w:ascii="宋体" w:hAnsi="宋体" w:eastAsia="宋体" w:cs="Courier New"/>
          <w:b/>
          <w:bCs/>
          <w:color w:val="auto"/>
          <w:sz w:val="32"/>
          <w:szCs w:val="32"/>
          <w:lang w:val="en-US" w:eastAsia="zh-CN"/>
        </w:rPr>
        <w:t>2</w:t>
      </w:r>
      <w:r>
        <w:rPr>
          <w:rFonts w:hint="eastAsia" w:ascii="宋体" w:hAnsi="宋体" w:eastAsia="宋体" w:cs="Courier New"/>
          <w:b/>
          <w:bCs/>
          <w:color w:val="auto"/>
          <w:sz w:val="32"/>
          <w:szCs w:val="32"/>
        </w:rPr>
        <w:t>、残疾人福利性单位声明函</w:t>
      </w:r>
    </w:p>
    <w:bookmarkEnd w:id="39"/>
    <w:p w14:paraId="76B2493F">
      <w:pPr>
        <w:jc w:val="center"/>
        <w:rPr>
          <w:rFonts w:hint="eastAsia" w:ascii="宋体" w:hAnsi="宋体" w:eastAsia="宋体" w:cs="Courier New"/>
          <w:color w:val="auto"/>
          <w:sz w:val="32"/>
          <w:szCs w:val="32"/>
        </w:rPr>
      </w:pPr>
      <w:r>
        <w:rPr>
          <w:rFonts w:hint="eastAsia" w:ascii="宋体" w:hAnsi="宋体" w:eastAsia="宋体" w:cs="Courier New"/>
          <w:b/>
          <w:bCs/>
          <w:iCs/>
          <w:color w:val="auto"/>
          <w:sz w:val="24"/>
          <w:szCs w:val="24"/>
        </w:rPr>
        <w:t>（属于残疾人福利性单位的填写，不属于的无需填写此项内容）</w:t>
      </w:r>
    </w:p>
    <w:p w14:paraId="7418940A">
      <w:pPr>
        <w:spacing w:line="360" w:lineRule="auto"/>
        <w:ind w:firstLine="480" w:firstLineChars="200"/>
        <w:rPr>
          <w:rFonts w:hint="eastAsia" w:ascii="宋体" w:hAnsi="宋体" w:eastAsia="宋体" w:cs="Courier New"/>
          <w:color w:val="auto"/>
          <w:sz w:val="24"/>
          <w:szCs w:val="24"/>
        </w:rPr>
      </w:pPr>
      <w:r>
        <w:rPr>
          <w:rFonts w:hint="eastAsia" w:ascii="宋体" w:hAnsi="宋体" w:eastAsia="宋体" w:cs="Courier New"/>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4B6364C9">
      <w:pPr>
        <w:spacing w:line="360" w:lineRule="auto"/>
        <w:ind w:firstLine="480" w:firstLineChars="200"/>
        <w:rPr>
          <w:rFonts w:hint="eastAsia" w:ascii="宋体" w:hAnsi="宋体" w:eastAsia="宋体" w:cs="Courier New"/>
          <w:b/>
          <w:bCs/>
          <w:color w:val="auto"/>
          <w:sz w:val="32"/>
          <w:szCs w:val="32"/>
        </w:rPr>
      </w:pPr>
      <w:r>
        <w:rPr>
          <w:rFonts w:hint="eastAsia" w:ascii="宋体" w:hAnsi="宋体" w:eastAsia="宋体" w:cs="Courier New"/>
          <w:color w:val="auto"/>
          <w:sz w:val="24"/>
          <w:szCs w:val="24"/>
        </w:rPr>
        <w:t>本单位对上述声明的真实性负责。如有虚假，将依法承担相应责任。</w:t>
      </w:r>
    </w:p>
    <w:p w14:paraId="066066B4">
      <w:pPr>
        <w:spacing w:line="360" w:lineRule="auto"/>
        <w:jc w:val="center"/>
        <w:rPr>
          <w:rFonts w:hint="eastAsia" w:ascii="宋体" w:hAnsi="宋体" w:eastAsia="宋体" w:cs="Courier New"/>
          <w:b/>
          <w:bCs/>
          <w:color w:val="auto"/>
          <w:sz w:val="32"/>
          <w:szCs w:val="32"/>
        </w:rPr>
      </w:pPr>
    </w:p>
    <w:p w14:paraId="02487099">
      <w:pPr>
        <w:spacing w:line="360" w:lineRule="auto"/>
        <w:ind w:firstLine="480" w:firstLineChars="200"/>
        <w:rPr>
          <w:rFonts w:hint="eastAsia" w:ascii="宋体" w:hAnsi="宋体" w:eastAsia="宋体" w:cs="Courier New"/>
          <w:color w:val="auto"/>
          <w:sz w:val="24"/>
          <w:szCs w:val="24"/>
        </w:rPr>
      </w:pPr>
      <w:r>
        <w:rPr>
          <w:rFonts w:hint="eastAsia" w:ascii="宋体" w:hAnsi="宋体" w:eastAsia="宋体" w:cs="Courier New"/>
          <w:color w:val="auto"/>
          <w:sz w:val="24"/>
          <w:szCs w:val="24"/>
        </w:rPr>
        <w:t>企业名称（盖章）：</w:t>
      </w:r>
    </w:p>
    <w:p w14:paraId="1F937CC1">
      <w:pPr>
        <w:spacing w:line="360" w:lineRule="auto"/>
        <w:ind w:firstLine="480" w:firstLineChars="200"/>
        <w:rPr>
          <w:rFonts w:hint="eastAsia" w:ascii="宋体" w:hAnsi="宋体" w:eastAsia="宋体" w:cs="Courier New"/>
          <w:color w:val="auto"/>
          <w:sz w:val="24"/>
          <w:szCs w:val="24"/>
        </w:rPr>
      </w:pPr>
      <w:r>
        <w:rPr>
          <w:rFonts w:hint="eastAsia" w:ascii="宋体" w:hAnsi="宋体" w:eastAsia="宋体" w:cs="Courier New"/>
          <w:color w:val="auto"/>
          <w:sz w:val="24"/>
          <w:szCs w:val="24"/>
        </w:rPr>
        <w:t>日 期：</w:t>
      </w:r>
    </w:p>
    <w:p w14:paraId="4CE8DED9">
      <w:pPr>
        <w:widowControl/>
        <w:spacing w:line="360" w:lineRule="auto"/>
        <w:rPr>
          <w:rFonts w:hint="eastAsia" w:ascii="宋体" w:hAnsi="宋体" w:eastAsia="宋体" w:cs="Courier New"/>
          <w:b/>
          <w:color w:val="auto"/>
          <w:sz w:val="24"/>
          <w:szCs w:val="24"/>
        </w:rPr>
      </w:pPr>
      <w:bookmarkStart w:id="40" w:name="_Hlk136874993"/>
      <w:r>
        <w:rPr>
          <w:rFonts w:hint="eastAsia" w:ascii="宋体" w:hAnsi="宋体" w:eastAsia="宋体" w:cs="Courier New"/>
          <w:b/>
          <w:color w:val="auto"/>
          <w:szCs w:val="24"/>
        </w:rPr>
        <w:t>（注：如果供应商</w:t>
      </w:r>
      <w:r>
        <w:rPr>
          <w:rFonts w:hint="eastAsia" w:ascii="宋体" w:hAnsi="宋体" w:eastAsia="宋体" w:cs="Courier New"/>
          <w:b/>
          <w:color w:val="auto"/>
          <w:spacing w:val="10"/>
          <w:kern w:val="0"/>
          <w:szCs w:val="24"/>
        </w:rPr>
        <w:t>不是残疾人福利性单位</w:t>
      </w:r>
      <w:r>
        <w:rPr>
          <w:rFonts w:hint="eastAsia" w:ascii="宋体" w:hAnsi="宋体" w:eastAsia="宋体" w:cs="Courier New"/>
          <w:b/>
          <w:color w:val="auto"/>
          <w:szCs w:val="24"/>
        </w:rPr>
        <w:t>，则不需要填写《残疾人福利性单位声明函》。否则，因此导致虚假投标的后果由供应商自行承担。）</w:t>
      </w:r>
      <w:bookmarkEnd w:id="40"/>
    </w:p>
    <w:p w14:paraId="59981A55">
      <w:pPr>
        <w:spacing w:line="360" w:lineRule="auto"/>
        <w:rPr>
          <w:rFonts w:hint="eastAsia" w:ascii="宋体" w:hAnsi="宋体" w:eastAsia="宋体" w:cs="Courier New"/>
          <w:color w:val="auto"/>
          <w:szCs w:val="24"/>
        </w:rPr>
      </w:pPr>
      <w:bookmarkStart w:id="41" w:name="_Hlk136874973"/>
      <w:r>
        <w:rPr>
          <w:rFonts w:hint="eastAsia" w:ascii="宋体" w:hAnsi="宋体" w:eastAsia="宋体" w:cs="Courier New"/>
          <w:color w:val="auto"/>
          <w:szCs w:val="24"/>
        </w:rPr>
        <w:t>《财政部民政部中国残疾人联合会关于促进残疾人就业政府采购政策的通知》（财库2017〔141〕号）的规定：</w:t>
      </w:r>
    </w:p>
    <w:p w14:paraId="4467FDBF">
      <w:pPr>
        <w:spacing w:line="360" w:lineRule="auto"/>
        <w:ind w:firstLine="420" w:firstLineChars="200"/>
        <w:rPr>
          <w:rFonts w:hint="eastAsia" w:ascii="宋体" w:hAnsi="宋体" w:eastAsia="宋体" w:cs="Courier New"/>
          <w:color w:val="auto"/>
          <w:szCs w:val="24"/>
        </w:rPr>
      </w:pPr>
      <w:r>
        <w:rPr>
          <w:rFonts w:hint="eastAsia" w:ascii="宋体" w:hAnsi="宋体" w:eastAsia="宋体" w:cs="Courier New"/>
          <w:color w:val="auto"/>
          <w:szCs w:val="24"/>
        </w:rPr>
        <w:t>1. 享受政府采购支持政策的残疾人福利性单位应当同时满足以下条件：</w:t>
      </w:r>
    </w:p>
    <w:p w14:paraId="0CF92672">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（1）安置的残疾人占本单位在职职工人数的比例不低于25%（含25%），并且安置的残疾人人数不少于10人（含10人）；</w:t>
      </w:r>
    </w:p>
    <w:p w14:paraId="07252D15">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（2）依法与安置的每位残疾人签订了一年以上（含一年）的劳动合同或服务协议；</w:t>
      </w:r>
    </w:p>
    <w:p w14:paraId="14AB45D4">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（3）为安置的每位残疾人按月足额缴纳了基本养老保险、基本医疗保险、失业保险、工伤保险和生育保险等社会保险费；</w:t>
      </w:r>
    </w:p>
    <w:p w14:paraId="5986D532">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（4）通过银行等金融机构向安置的每位残疾人，按月支付了不低于单位所在区县适用的经省级人民政府批准的月最低工资标准的工资；</w:t>
      </w:r>
    </w:p>
    <w:p w14:paraId="696910BC">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（5）提供本单位制造的货物、承担的工程或者服务（以下简称产品），或者提供其他残疾人福利性单位制造的货物（不包括使用非残疾人福利性单位注册商标的货物）。</w:t>
      </w:r>
    </w:p>
    <w:p w14:paraId="064CD5D2">
      <w:pPr>
        <w:spacing w:line="360" w:lineRule="auto"/>
        <w:ind w:firstLine="420" w:firstLineChars="200"/>
        <w:rPr>
          <w:rFonts w:hint="eastAsia" w:ascii="宋体" w:hAnsi="宋体" w:eastAsia="宋体" w:cs="Courier New"/>
          <w:b/>
          <w:color w:val="auto"/>
          <w:sz w:val="24"/>
          <w:szCs w:val="24"/>
        </w:rPr>
      </w:pPr>
      <w:r>
        <w:rPr>
          <w:rFonts w:hint="eastAsia" w:ascii="宋体" w:hAnsi="宋体" w:eastAsia="宋体" w:cs="Courier New"/>
          <w:color w:val="auto"/>
          <w:szCs w:val="24"/>
        </w:rPr>
        <w:t>2. 成交人为残疾人福利性单位的，采购人或者其委托的采购代理机构应当随成交、成交结果同时公告其《残疾人福利性单位声明函》，接受社会监督。</w:t>
      </w:r>
      <w:bookmarkEnd w:id="41"/>
    </w:p>
    <w:p w14:paraId="1285E8F0">
      <w:pPr>
        <w:spacing w:line="360" w:lineRule="auto"/>
        <w:jc w:val="center"/>
        <w:rPr>
          <w:rFonts w:hint="eastAsia" w:ascii="宋体" w:hAnsi="宋体" w:eastAsia="宋体" w:cs="Courier New"/>
          <w:b/>
          <w:bCs/>
          <w:color w:val="auto"/>
          <w:sz w:val="32"/>
          <w:szCs w:val="32"/>
        </w:rPr>
      </w:pPr>
      <w:r>
        <w:rPr>
          <w:rFonts w:hint="eastAsia" w:ascii="宋体" w:hAnsi="宋体" w:eastAsia="宋体" w:cs="Courier New"/>
          <w:b/>
          <w:bCs/>
          <w:color w:val="auto"/>
          <w:sz w:val="32"/>
          <w:szCs w:val="32"/>
        </w:rPr>
        <w:br w:type="page"/>
      </w:r>
      <w:bookmarkStart w:id="42" w:name="_Hlk136943292"/>
      <w:r>
        <w:rPr>
          <w:rFonts w:hint="eastAsia" w:ascii="宋体" w:hAnsi="宋体" w:eastAsia="宋体" w:cs="Courier New"/>
          <w:b/>
          <w:bCs/>
          <w:color w:val="auto"/>
          <w:sz w:val="32"/>
          <w:szCs w:val="32"/>
          <w:lang w:val="en-US" w:eastAsia="zh-CN"/>
        </w:rPr>
        <w:t>3</w:t>
      </w:r>
      <w:r>
        <w:rPr>
          <w:rFonts w:hint="eastAsia" w:ascii="宋体" w:hAnsi="宋体" w:eastAsia="宋体" w:cs="Courier New"/>
          <w:b/>
          <w:bCs/>
          <w:color w:val="auto"/>
          <w:sz w:val="32"/>
          <w:szCs w:val="32"/>
        </w:rPr>
        <w:t>、监狱企业证明文件</w:t>
      </w:r>
    </w:p>
    <w:bookmarkEnd w:id="42"/>
    <w:p w14:paraId="41CC2FD9">
      <w:pPr>
        <w:jc w:val="center"/>
        <w:rPr>
          <w:rFonts w:hint="eastAsia" w:ascii="宋体" w:hAnsi="宋体" w:eastAsia="宋体" w:cs="Courier New"/>
          <w:b/>
          <w:bCs/>
          <w:iCs/>
          <w:color w:val="auto"/>
          <w:sz w:val="24"/>
          <w:szCs w:val="24"/>
        </w:rPr>
      </w:pPr>
      <w:r>
        <w:rPr>
          <w:rFonts w:hint="eastAsia" w:ascii="宋体" w:hAnsi="宋体" w:eastAsia="宋体" w:cs="Courier New"/>
          <w:b/>
          <w:bCs/>
          <w:iCs/>
          <w:color w:val="auto"/>
          <w:sz w:val="24"/>
          <w:szCs w:val="24"/>
        </w:rPr>
        <w:t>（属于监狱企业的提供，不属于的无需填写提供此项内容）</w:t>
      </w:r>
    </w:p>
    <w:p w14:paraId="743BAD79">
      <w:pPr>
        <w:spacing w:line="360" w:lineRule="auto"/>
        <w:rPr>
          <w:rFonts w:hint="eastAsia" w:ascii="宋体" w:hAnsi="宋体" w:eastAsia="宋体" w:cs="Courier New"/>
          <w:b/>
          <w:bCs/>
          <w:color w:val="auto"/>
          <w:sz w:val="32"/>
          <w:szCs w:val="32"/>
        </w:rPr>
      </w:pPr>
    </w:p>
    <w:p w14:paraId="6113C946">
      <w:pPr>
        <w:spacing w:line="360" w:lineRule="auto"/>
        <w:ind w:firstLine="480" w:firstLineChars="200"/>
        <w:jc w:val="left"/>
        <w:rPr>
          <w:rFonts w:hint="eastAsia" w:ascii="宋体" w:hAnsi="宋体" w:eastAsia="宋体" w:cs="Courier New"/>
          <w:bCs/>
          <w:color w:val="auto"/>
          <w:sz w:val="24"/>
          <w:szCs w:val="24"/>
        </w:rPr>
      </w:pPr>
      <w:r>
        <w:rPr>
          <w:rFonts w:hint="eastAsia" w:ascii="宋体" w:hAnsi="宋体" w:eastAsia="宋体" w:cs="Courier New"/>
          <w:bCs/>
          <w:color w:val="auto"/>
          <w:sz w:val="24"/>
          <w:szCs w:val="24"/>
        </w:rPr>
        <w:t>（监狱企业参加政府采购活动时，应当提供由省级以上监狱管理局、戒毒管理局(含新疆生产建设兵团)出具的属于监狱企业的证明文件。</w:t>
      </w:r>
    </w:p>
    <w:p w14:paraId="10E91342">
      <w:pPr>
        <w:spacing w:line="360" w:lineRule="auto"/>
        <w:ind w:firstLine="720" w:firstLineChars="300"/>
        <w:jc w:val="left"/>
        <w:rPr>
          <w:rFonts w:hint="eastAsia" w:ascii="宋体" w:hAnsi="宋体" w:eastAsia="宋体" w:cs="Courier New"/>
          <w:bCs/>
          <w:color w:val="auto"/>
          <w:sz w:val="24"/>
          <w:szCs w:val="24"/>
        </w:rPr>
      </w:pPr>
    </w:p>
    <w:p w14:paraId="767B6B84">
      <w:pPr>
        <w:spacing w:line="360" w:lineRule="auto"/>
        <w:ind w:firstLine="720" w:firstLineChars="300"/>
        <w:jc w:val="left"/>
        <w:rPr>
          <w:rFonts w:hint="eastAsia" w:ascii="宋体" w:hAnsi="宋体" w:eastAsia="宋体" w:cs="Courier New"/>
          <w:bCs/>
          <w:color w:val="auto"/>
          <w:sz w:val="24"/>
          <w:szCs w:val="24"/>
        </w:rPr>
      </w:pPr>
      <w:r>
        <w:rPr>
          <w:rFonts w:hint="eastAsia" w:ascii="宋体" w:hAnsi="宋体" w:eastAsia="宋体" w:cs="Courier New"/>
          <w:bCs/>
          <w:color w:val="auto"/>
          <w:sz w:val="24"/>
          <w:szCs w:val="24"/>
        </w:rPr>
        <w:t>注：在磋商响应文件中附扫描件。</w:t>
      </w:r>
    </w:p>
    <w:p w14:paraId="39028AE8">
      <w:pPr>
        <w:pStyle w:val="2"/>
        <w:rPr>
          <w:color w:val="auto"/>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8D9A">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C1A723">
                          <w:pPr>
                            <w:pStyle w:val="8"/>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5C1A723">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35E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08102C">
                          <w:pPr>
                            <w:pStyle w:val="8"/>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608102C">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48652"/>
    <w:multiLevelType w:val="singleLevel"/>
    <w:tmpl w:val="BEF48652"/>
    <w:lvl w:ilvl="0" w:tentative="0">
      <w:start w:val="9"/>
      <w:numFmt w:val="chineseCounting"/>
      <w:suff w:val="space"/>
      <w:lvlText w:val="%1、"/>
      <w:lvlJc w:val="left"/>
      <w:rPr>
        <w:rFonts w:hint="eastAsia"/>
      </w:rPr>
    </w:lvl>
  </w:abstractNum>
  <w:abstractNum w:abstractNumId="1">
    <w:nsid w:val="60D49BAC"/>
    <w:multiLevelType w:val="singleLevel"/>
    <w:tmpl w:val="60D49BAC"/>
    <w:lvl w:ilvl="0" w:tentative="0">
      <w:start w:val="3"/>
      <w:numFmt w:val="chineseCounting"/>
      <w:suff w:val="space"/>
      <w:lvlText w:val="第%1章"/>
      <w:lvlJc w:val="left"/>
      <w:rPr>
        <w:rFonts w:hint="eastAsia"/>
      </w:rPr>
    </w:lvl>
  </w:abstractNum>
  <w:abstractNum w:abstractNumId="2">
    <w:nsid w:val="64172593"/>
    <w:multiLevelType w:val="multilevel"/>
    <w:tmpl w:val="64172593"/>
    <w:lvl w:ilvl="0" w:tentative="0">
      <w:start w:val="1"/>
      <w:numFmt w:val="japaneseCounting"/>
      <w:lvlText w:val="第%1章"/>
      <w:lvlJc w:val="left"/>
      <w:pPr>
        <w:ind w:left="2252" w:hanging="1710"/>
      </w:pPr>
      <w:rPr>
        <w:rFonts w:hint="default"/>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9vK7Ckt2Ps1BhqkVJ+odIZ6RkLs=" w:salt="a7NnotQe2wcAAKF87sPeA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jOWRlY2VlOWMyMzMyYjY0MGU0N2YxZjM4NjJhODgifQ=="/>
  </w:docVars>
  <w:rsids>
    <w:rsidRoot w:val="00000000"/>
    <w:rsid w:val="02813C31"/>
    <w:rsid w:val="02EB5981"/>
    <w:rsid w:val="04254ECF"/>
    <w:rsid w:val="04447FDF"/>
    <w:rsid w:val="0530362B"/>
    <w:rsid w:val="05EC2443"/>
    <w:rsid w:val="07044348"/>
    <w:rsid w:val="07980770"/>
    <w:rsid w:val="086D1B82"/>
    <w:rsid w:val="08C4278F"/>
    <w:rsid w:val="0B1B1342"/>
    <w:rsid w:val="0DDF2AFB"/>
    <w:rsid w:val="10011462"/>
    <w:rsid w:val="1006487C"/>
    <w:rsid w:val="11CC68F0"/>
    <w:rsid w:val="13257C1D"/>
    <w:rsid w:val="139645AB"/>
    <w:rsid w:val="15041865"/>
    <w:rsid w:val="17865ADE"/>
    <w:rsid w:val="18DA6CE0"/>
    <w:rsid w:val="1A60690C"/>
    <w:rsid w:val="1A732F49"/>
    <w:rsid w:val="1B9146AF"/>
    <w:rsid w:val="1C493E78"/>
    <w:rsid w:val="1CCD2635"/>
    <w:rsid w:val="1F6A393C"/>
    <w:rsid w:val="20631369"/>
    <w:rsid w:val="20933276"/>
    <w:rsid w:val="20CF21AC"/>
    <w:rsid w:val="21156B08"/>
    <w:rsid w:val="215672C1"/>
    <w:rsid w:val="22205764"/>
    <w:rsid w:val="22CD0257"/>
    <w:rsid w:val="26211AAB"/>
    <w:rsid w:val="26C30DB4"/>
    <w:rsid w:val="2B675A83"/>
    <w:rsid w:val="2DF11BBB"/>
    <w:rsid w:val="2E2C09A3"/>
    <w:rsid w:val="2F0410E1"/>
    <w:rsid w:val="2F0670B4"/>
    <w:rsid w:val="2F2F15F8"/>
    <w:rsid w:val="2FA8336D"/>
    <w:rsid w:val="32936E99"/>
    <w:rsid w:val="3377365F"/>
    <w:rsid w:val="34497342"/>
    <w:rsid w:val="34BB30CA"/>
    <w:rsid w:val="35CF32D1"/>
    <w:rsid w:val="3914074B"/>
    <w:rsid w:val="3AB74334"/>
    <w:rsid w:val="3B1A681D"/>
    <w:rsid w:val="3CAD74A7"/>
    <w:rsid w:val="3F091972"/>
    <w:rsid w:val="41590DEA"/>
    <w:rsid w:val="41E92B22"/>
    <w:rsid w:val="42287F3F"/>
    <w:rsid w:val="42FC76D0"/>
    <w:rsid w:val="452F7C37"/>
    <w:rsid w:val="47F16A4C"/>
    <w:rsid w:val="49247038"/>
    <w:rsid w:val="4C127BC5"/>
    <w:rsid w:val="4CD60F91"/>
    <w:rsid w:val="4D1D44CA"/>
    <w:rsid w:val="4F9A62A6"/>
    <w:rsid w:val="50F60038"/>
    <w:rsid w:val="50F73284"/>
    <w:rsid w:val="536E4AD8"/>
    <w:rsid w:val="56360571"/>
    <w:rsid w:val="576D3B57"/>
    <w:rsid w:val="57F83CDE"/>
    <w:rsid w:val="58186898"/>
    <w:rsid w:val="58F44C79"/>
    <w:rsid w:val="59036C6A"/>
    <w:rsid w:val="590D47E9"/>
    <w:rsid w:val="59C46324"/>
    <w:rsid w:val="5B800A39"/>
    <w:rsid w:val="5D7E7207"/>
    <w:rsid w:val="5F441D8B"/>
    <w:rsid w:val="5F724D0A"/>
    <w:rsid w:val="62F9344E"/>
    <w:rsid w:val="6313559C"/>
    <w:rsid w:val="659841E1"/>
    <w:rsid w:val="66DF77BB"/>
    <w:rsid w:val="684F56F9"/>
    <w:rsid w:val="696848C8"/>
    <w:rsid w:val="6A927E4E"/>
    <w:rsid w:val="6D4E3484"/>
    <w:rsid w:val="713D4098"/>
    <w:rsid w:val="72873436"/>
    <w:rsid w:val="73D87232"/>
    <w:rsid w:val="74FA2837"/>
    <w:rsid w:val="7573284E"/>
    <w:rsid w:val="75B91B38"/>
    <w:rsid w:val="782A2FE2"/>
    <w:rsid w:val="787B63C5"/>
    <w:rsid w:val="78A6284A"/>
    <w:rsid w:val="7AE15E8E"/>
    <w:rsid w:val="7B551026"/>
    <w:rsid w:val="7C0A2A41"/>
    <w:rsid w:val="7C32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qFormat/>
    <w:uiPriority w:val="0"/>
    <w:pPr>
      <w:keepNext/>
      <w:keepLines/>
      <w:spacing w:before="160" w:after="160" w:line="240" w:lineRule="atLeast"/>
      <w:ind w:left="851" w:hanging="284"/>
      <w:textAlignment w:val="baseline"/>
      <w:outlineLvl w:val="1"/>
    </w:pPr>
    <w:rPr>
      <w:rFonts w:ascii="黑体" w:hAnsi="Arial" w:eastAsia="黑体" w:cs="Times New Roman"/>
      <w:kern w:val="0"/>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line="520" w:lineRule="exact"/>
    </w:pPr>
    <w:rPr>
      <w:rFonts w:ascii="仿宋_GB2312" w:hAnsi="宋体" w:eastAsia="仿宋_GB2312" w:cs="Times New Roman"/>
      <w:color w:val="008000"/>
      <w:kern w:val="0"/>
      <w:sz w:val="24"/>
      <w:szCs w:val="24"/>
    </w:rPr>
  </w:style>
  <w:style w:type="paragraph" w:styleId="5">
    <w:name w:val="Body Text Indent"/>
    <w:basedOn w:val="1"/>
    <w:qFormat/>
    <w:uiPriority w:val="0"/>
    <w:pPr>
      <w:adjustRightInd w:val="0"/>
      <w:ind w:left="960"/>
      <w:textAlignment w:val="baseline"/>
    </w:pPr>
    <w:rPr>
      <w:rFonts w:ascii="楷体_GB2312" w:eastAsia="楷体_GB2312"/>
      <w:sz w:val="28"/>
      <w:szCs w:val="20"/>
    </w:rPr>
  </w:style>
  <w:style w:type="paragraph" w:styleId="6">
    <w:name w:val="Plain Text"/>
    <w:basedOn w:val="1"/>
    <w:qFormat/>
    <w:uiPriority w:val="99"/>
    <w:rPr>
      <w:rFonts w:ascii="宋体" w:hAnsi="Courier New" w:eastAsia="华文宋体" w:cs="Times New Roman"/>
      <w:kern w:val="0"/>
      <w:sz w:val="28"/>
      <w:szCs w:val="28"/>
    </w:rPr>
  </w:style>
  <w:style w:type="paragraph" w:styleId="7">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Body Text 2"/>
    <w:basedOn w:val="1"/>
    <w:next w:val="6"/>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0">
    <w:name w:val="Body Text First Indent"/>
    <w:basedOn w:val="4"/>
    <w:qFormat/>
    <w:uiPriority w:val="99"/>
    <w:pPr>
      <w:spacing w:line="360" w:lineRule="auto"/>
      <w:ind w:firstLine="420"/>
    </w:pPr>
    <w:rPr>
      <w:rFonts w:eastAsia="Arial Unicode MS" w:cs="Arial Unicode MS"/>
      <w:color w:val="000000"/>
      <w:sz w:val="28"/>
      <w:szCs w:val="28"/>
      <w:u w:color="000000"/>
    </w:rPr>
  </w:style>
  <w:style w:type="paragraph" w:styleId="11">
    <w:name w:val="Body Text First Indent 2"/>
    <w:basedOn w:val="1"/>
    <w:qFormat/>
    <w:uiPriority w:val="0"/>
    <w:pPr>
      <w:ind w:firstLine="420" w:firstLineChars="200"/>
    </w:pPr>
  </w:style>
  <w:style w:type="character" w:styleId="14">
    <w:name w:val="FollowedHyperlink"/>
    <w:basedOn w:val="13"/>
    <w:qFormat/>
    <w:uiPriority w:val="0"/>
    <w:rPr>
      <w:color w:val="800080"/>
      <w:u w:val="none"/>
    </w:rPr>
  </w:style>
  <w:style w:type="character" w:styleId="15">
    <w:name w:val="HTML Definition"/>
    <w:basedOn w:val="13"/>
    <w:qFormat/>
    <w:uiPriority w:val="0"/>
  </w:style>
  <w:style w:type="character" w:styleId="16">
    <w:name w:val="HTML Typewriter"/>
    <w:basedOn w:val="13"/>
    <w:qFormat/>
    <w:uiPriority w:val="0"/>
    <w:rPr>
      <w:rFonts w:hint="default" w:ascii="monospace" w:hAnsi="monospace" w:eastAsia="monospace" w:cs="monospace"/>
      <w:sz w:val="20"/>
    </w:rPr>
  </w:style>
  <w:style w:type="character" w:styleId="17">
    <w:name w:val="HTML Acronym"/>
    <w:basedOn w:val="13"/>
    <w:qFormat/>
    <w:uiPriority w:val="0"/>
  </w:style>
  <w:style w:type="character" w:styleId="18">
    <w:name w:val="HTML Variable"/>
    <w:basedOn w:val="13"/>
    <w:qFormat/>
    <w:uiPriority w:val="0"/>
  </w:style>
  <w:style w:type="character" w:styleId="19">
    <w:name w:val="Hyperlink"/>
    <w:basedOn w:val="13"/>
    <w:qFormat/>
    <w:uiPriority w:val="0"/>
    <w:rPr>
      <w:color w:val="0000FF"/>
      <w:u w:val="none"/>
    </w:rPr>
  </w:style>
  <w:style w:type="character" w:styleId="20">
    <w:name w:val="HTML Code"/>
    <w:basedOn w:val="13"/>
    <w:qFormat/>
    <w:uiPriority w:val="0"/>
    <w:rPr>
      <w:rFonts w:ascii="monospace" w:hAnsi="monospace" w:eastAsia="monospace" w:cs="monospace"/>
      <w:sz w:val="20"/>
    </w:rPr>
  </w:style>
  <w:style w:type="character" w:styleId="21">
    <w:name w:val="HTML Cite"/>
    <w:basedOn w:val="13"/>
    <w:qFormat/>
    <w:uiPriority w:val="0"/>
  </w:style>
  <w:style w:type="character" w:styleId="22">
    <w:name w:val="HTML Keyboard"/>
    <w:basedOn w:val="13"/>
    <w:qFormat/>
    <w:uiPriority w:val="0"/>
    <w:rPr>
      <w:rFonts w:hint="default" w:ascii="monospace" w:hAnsi="monospace" w:eastAsia="monospace" w:cs="monospace"/>
      <w:sz w:val="20"/>
    </w:rPr>
  </w:style>
  <w:style w:type="character" w:styleId="23">
    <w:name w:val="HTML Sample"/>
    <w:basedOn w:val="13"/>
    <w:qFormat/>
    <w:uiPriority w:val="0"/>
    <w:rPr>
      <w:rFonts w:hint="default" w:ascii="monospace" w:hAnsi="monospace" w:eastAsia="monospace" w:cs="monospace"/>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5">
    <w:name w:val="layui-layer-tabnow"/>
    <w:basedOn w:val="13"/>
    <w:qFormat/>
    <w:uiPriority w:val="0"/>
    <w:rPr>
      <w:bdr w:val="single" w:color="CCCCCC" w:sz="6" w:space="0"/>
      <w:shd w:val="clear" w:fill="FFFFFF"/>
    </w:rPr>
  </w:style>
  <w:style w:type="character" w:customStyle="1" w:styleId="26">
    <w:name w:val="first-child"/>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13485</Words>
  <Characters>17766</Characters>
  <Lines>0</Lines>
  <Paragraphs>0</Paragraphs>
  <TotalTime>0</TotalTime>
  <ScaleCrop>false</ScaleCrop>
  <LinksUpToDate>false</LinksUpToDate>
  <CharactersWithSpaces>17909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2024-11-12T02:51:00Z</dcterms:created>
  <dc:creator>admin</dc:creator>
  <cp:lastModifiedBy>admin</cp:lastModifiedBy>
  <cp:lastPrinted>2025-02-25T08:36:00Z</cp:lastPrinted>
  <dcterms:modified xsi:type="dcterms:W3CDTF">2025-05-16T08:34:02Z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FD26E51B79DC49148087C84FEB9DE43A_13</vt:lpwstr>
  </property>
  <property fmtid="{D5CDD505-2E9C-101B-9397-08002B2CF9AE}" pid="4" name="KSOTemplateDocerSaveRecord">
    <vt:lpwstr>eyJoZGlkIjoiYWUyZTkxY2MwOTJmZmM1MmFkNGMzZTFjYzI1NGQ2MzQiLCJ1c2VySWQiOiIzNDUwNzQ5MTEifQ==</vt:lpwstr>
  </property>
</Properties>
</file>