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bCs/>
          <w:color w:val="auto"/>
          <w:sz w:val="56"/>
          <w:szCs w:val="24"/>
          <w:highlight w:val="none"/>
          <w:lang w:eastAsia="zh-CN"/>
        </w:rPr>
      </w:pPr>
      <w:r>
        <w:rPr>
          <w:rFonts w:hint="eastAsia" w:ascii="宋体" w:hAnsi="宋体" w:cs="黑体"/>
          <w:b/>
          <w:color w:val="auto"/>
          <w:sz w:val="56"/>
          <w:szCs w:val="56"/>
          <w:highlight w:val="none"/>
          <w:lang w:eastAsia="zh-CN"/>
        </w:rPr>
        <w:t>灵宝市寺河乡人民政府2024年灵宝市寺河乡烟叶电烤房项目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rPr>
          <w:rFonts w:hint="eastAsia" w:ascii="宋体" w:hAnsi="宋体" w:cs="黑体"/>
          <w:b/>
          <w:bCs/>
          <w:color w:val="auto"/>
          <w:sz w:val="84"/>
          <w:szCs w:val="8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cs="Yu Mincho Light"/>
          <w:b/>
          <w:color w:val="auto"/>
          <w:spacing w:val="60"/>
          <w:kern w:val="0"/>
          <w:sz w:val="120"/>
          <w:szCs w:val="120"/>
          <w:highlight w:val="none"/>
        </w:rPr>
      </w:pPr>
      <w:r>
        <w:rPr>
          <w:rFonts w:hint="eastAsia" w:ascii="宋体" w:hAnsi="宋体" w:cs="Yu Mincho Light"/>
          <w:b/>
          <w:color w:val="auto"/>
          <w:spacing w:val="60"/>
          <w:kern w:val="0"/>
          <w:sz w:val="120"/>
          <w:szCs w:val="120"/>
          <w:highlight w:val="none"/>
        </w:rPr>
        <w:t>招标文件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988" w:firstLineChars="550"/>
        <w:textAlignment w:val="auto"/>
        <w:rPr>
          <w:rFonts w:hint="eastAsia" w:ascii="宋体" w:hAnsi="宋体" w:cs="Courier New"/>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cs="Courier New"/>
          <w:b/>
          <w:color w:val="auto"/>
          <w:sz w:val="36"/>
          <w:szCs w:val="36"/>
          <w:highlight w:val="none"/>
          <w:lang w:val="en-US" w:eastAsia="zh-CN"/>
        </w:rPr>
      </w:pPr>
      <w:r>
        <w:rPr>
          <w:rFonts w:hint="eastAsia" w:ascii="宋体" w:hAnsi="宋体" w:cs="Courier New"/>
          <w:b/>
          <w:color w:val="auto"/>
          <w:sz w:val="36"/>
          <w:szCs w:val="36"/>
          <w:highlight w:val="none"/>
        </w:rPr>
        <w:t>项目编号：</w:t>
      </w:r>
      <w:r>
        <w:rPr>
          <w:rFonts w:hint="eastAsia" w:ascii="宋体" w:hAnsi="宋体" w:cs="Courier New"/>
          <w:b/>
          <w:color w:val="auto"/>
          <w:sz w:val="36"/>
          <w:szCs w:val="36"/>
          <w:highlight w:val="none"/>
          <w:lang w:val="en-US" w:eastAsia="zh-CN"/>
        </w:rPr>
        <w:t>灵宝公开采购-2024-35；LBGZ[2024]142-ZC093</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cs="Courier New"/>
          <w:b/>
          <w:color w:val="auto"/>
          <w:sz w:val="36"/>
          <w:szCs w:val="36"/>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Style w:val="3"/>
        <w:pageBreakBefore w:val="0"/>
        <w:kinsoku/>
        <w:overflowPunct/>
        <w:bidi w:val="0"/>
        <w:adjustRightInd w:val="0"/>
        <w:snapToGrid w:val="0"/>
        <w:spacing w:before="0" w:beforeAutospacing="0" w:after="0" w:afterAutospacing="0" w:line="360" w:lineRule="auto"/>
        <w:ind w:left="0" w:leftChars="0" w:right="0" w:rightChars="0" w:firstLine="1807" w:firstLineChars="500"/>
        <w:rPr>
          <w:rFonts w:hint="eastAsia" w:ascii="宋体" w:hAnsi="宋体" w:eastAsia="宋体" w:cs="Courier New"/>
          <w:b/>
          <w:color w:val="auto"/>
          <w:kern w:val="2"/>
          <w:sz w:val="36"/>
          <w:szCs w:val="36"/>
          <w:highlight w:val="none"/>
          <w:lang w:val="en-US" w:eastAsia="zh-CN" w:bidi="ar-SA"/>
        </w:rPr>
      </w:pPr>
      <w:r>
        <w:rPr>
          <w:rFonts w:hint="eastAsia" w:ascii="宋体" w:hAnsi="宋体" w:eastAsia="宋体" w:cs="Courier New"/>
          <w:b/>
          <w:color w:val="auto"/>
          <w:kern w:val="2"/>
          <w:sz w:val="36"/>
          <w:szCs w:val="36"/>
          <w:highlight w:val="none"/>
          <w:lang w:val="en-US" w:eastAsia="zh-CN" w:bidi="ar-SA"/>
        </w:rPr>
        <w:t>招 标 人：灵宝市寺河乡人民政府</w:t>
      </w:r>
    </w:p>
    <w:p>
      <w:pPr>
        <w:pageBreakBefore w:val="0"/>
        <w:kinsoku/>
        <w:overflowPunct/>
        <w:bidi w:val="0"/>
        <w:adjustRightInd w:val="0"/>
        <w:snapToGrid w:val="0"/>
        <w:spacing w:beforeAutospacing="0" w:afterAutospacing="0" w:line="360" w:lineRule="auto"/>
        <w:ind w:left="0" w:leftChars="0" w:right="0" w:rightChars="0" w:firstLine="1807" w:firstLineChars="500"/>
        <w:rPr>
          <w:rFonts w:hint="eastAsia" w:ascii="宋体" w:hAnsi="宋体" w:eastAsia="宋体" w:cs="Courier New"/>
          <w:b/>
          <w:color w:val="auto"/>
          <w:kern w:val="2"/>
          <w:sz w:val="36"/>
          <w:szCs w:val="36"/>
          <w:highlight w:val="none"/>
          <w:lang w:val="en-US" w:eastAsia="zh-CN" w:bidi="ar-SA"/>
        </w:rPr>
      </w:pPr>
      <w:r>
        <w:rPr>
          <w:rFonts w:hint="eastAsia" w:ascii="宋体" w:hAnsi="宋体" w:eastAsia="宋体" w:cs="Courier New"/>
          <w:b/>
          <w:color w:val="auto"/>
          <w:kern w:val="2"/>
          <w:sz w:val="36"/>
          <w:szCs w:val="36"/>
          <w:highlight w:val="none"/>
          <w:lang w:val="en-US" w:eastAsia="zh-CN" w:bidi="ar-SA"/>
        </w:rPr>
        <w:t>代理机构：建达国信工程管理有限公司</w:t>
      </w:r>
    </w:p>
    <w:p>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s="Courier New"/>
          <w:b/>
          <w:color w:val="auto"/>
          <w:kern w:val="2"/>
          <w:sz w:val="36"/>
          <w:szCs w:val="36"/>
          <w:highlight w:val="none"/>
          <w:lang w:val="en-US" w:eastAsia="zh-CN" w:bidi="ar-SA"/>
        </w:rPr>
      </w:pPr>
      <w:r>
        <w:rPr>
          <w:rFonts w:hint="eastAsia" w:ascii="宋体" w:hAnsi="宋体" w:cs="Courier New"/>
          <w:b/>
          <w:color w:val="auto"/>
          <w:kern w:val="2"/>
          <w:sz w:val="36"/>
          <w:szCs w:val="36"/>
          <w:highlight w:val="none"/>
          <w:lang w:val="en-US" w:eastAsia="zh-CN" w:bidi="ar-SA"/>
        </w:rPr>
        <w:t xml:space="preserve">          </w:t>
      </w:r>
      <w:r>
        <w:rPr>
          <w:rFonts w:hint="eastAsia" w:ascii="宋体" w:hAnsi="宋体" w:eastAsia="宋体" w:cs="Courier New"/>
          <w:b/>
          <w:color w:val="auto"/>
          <w:kern w:val="2"/>
          <w:sz w:val="36"/>
          <w:szCs w:val="36"/>
          <w:highlight w:val="none"/>
          <w:lang w:val="en-US" w:eastAsia="zh-CN" w:bidi="ar-SA"/>
        </w:rPr>
        <w:t>日</w:t>
      </w:r>
      <w:r>
        <w:rPr>
          <w:rFonts w:hint="eastAsia" w:ascii="宋体" w:hAnsi="宋体" w:cs="Courier New"/>
          <w:b/>
          <w:color w:val="auto"/>
          <w:kern w:val="2"/>
          <w:sz w:val="36"/>
          <w:szCs w:val="36"/>
          <w:highlight w:val="none"/>
          <w:lang w:val="en-US" w:eastAsia="zh-CN" w:bidi="ar-SA"/>
        </w:rPr>
        <w:t xml:space="preserve">   </w:t>
      </w:r>
      <w:r>
        <w:rPr>
          <w:rFonts w:hint="eastAsia" w:ascii="宋体" w:hAnsi="宋体" w:eastAsia="宋体" w:cs="Courier New"/>
          <w:b/>
          <w:color w:val="auto"/>
          <w:kern w:val="2"/>
          <w:sz w:val="36"/>
          <w:szCs w:val="36"/>
          <w:highlight w:val="none"/>
          <w:lang w:val="en-US" w:eastAsia="zh-CN" w:bidi="ar-SA"/>
        </w:rPr>
        <w:t>期：</w:t>
      </w:r>
      <w:r>
        <w:rPr>
          <w:rFonts w:hint="eastAsia" w:ascii="宋体" w:hAnsi="宋体" w:cs="Courier New"/>
          <w:b/>
          <w:color w:val="auto"/>
          <w:kern w:val="2"/>
          <w:sz w:val="36"/>
          <w:szCs w:val="36"/>
          <w:highlight w:val="none"/>
          <w:lang w:val="en-US" w:eastAsia="zh-CN" w:bidi="ar-SA"/>
        </w:rPr>
        <w:t>二0二四 年 六 月</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Courier New"/>
          <w:b/>
          <w:color w:val="auto"/>
          <w:kern w:val="2"/>
          <w:sz w:val="36"/>
          <w:szCs w:val="36"/>
          <w:highlight w:val="none"/>
          <w:lang w:val="en-US" w:eastAsia="zh-CN" w:bidi="ar-SA"/>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color w:val="auto"/>
          <w:sz w:val="36"/>
          <w:szCs w:val="36"/>
          <w:highlight w:val="none"/>
        </w:rPr>
      </w:pPr>
      <w:r>
        <w:rPr>
          <w:rFonts w:hint="eastAsia" w:ascii="宋体" w:hAnsi="宋体" w:cs="黑体"/>
          <w:color w:val="auto"/>
          <w:sz w:val="36"/>
          <w:szCs w:val="36"/>
          <w:highlight w:val="none"/>
        </w:rPr>
        <w:t>目  录</w:t>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TOC \o "1-3" \h \z \u </w:instrText>
      </w:r>
      <w:r>
        <w:rPr>
          <w:rFonts w:ascii="宋体" w:hAnsi="宋体"/>
          <w:color w:val="auto"/>
          <w:sz w:val="32"/>
          <w:szCs w:val="48"/>
          <w:highlight w:val="none"/>
        </w:rPr>
        <w:fldChar w:fldCharType="separate"/>
      </w: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_Toc23973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第一章  招标公告</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_Toc23973 \h </w:instrText>
      </w:r>
      <w:r>
        <w:rPr>
          <w:rFonts w:ascii="宋体" w:hAnsi="宋体"/>
          <w:color w:val="auto"/>
          <w:sz w:val="32"/>
          <w:szCs w:val="48"/>
          <w:highlight w:val="none"/>
        </w:rPr>
        <w:fldChar w:fldCharType="separate"/>
      </w:r>
      <w:r>
        <w:rPr>
          <w:rFonts w:ascii="宋体" w:hAnsi="宋体"/>
          <w:color w:val="auto"/>
          <w:sz w:val="32"/>
          <w:szCs w:val="48"/>
          <w:highlight w:val="none"/>
        </w:rPr>
        <w:t>1</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_Toc9342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第二章  投标人须知</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_Toc9342 \h </w:instrText>
      </w:r>
      <w:r>
        <w:rPr>
          <w:rFonts w:ascii="宋体" w:hAnsi="宋体"/>
          <w:color w:val="auto"/>
          <w:sz w:val="32"/>
          <w:szCs w:val="48"/>
          <w:highlight w:val="none"/>
        </w:rPr>
        <w:fldChar w:fldCharType="separate"/>
      </w:r>
      <w:r>
        <w:rPr>
          <w:rFonts w:ascii="宋体" w:hAnsi="宋体"/>
          <w:color w:val="auto"/>
          <w:sz w:val="32"/>
          <w:szCs w:val="48"/>
          <w:highlight w:val="none"/>
        </w:rPr>
        <w:t>7</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_Toc20932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第三章  评标办法</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_Toc20932 \h </w:instrText>
      </w:r>
      <w:r>
        <w:rPr>
          <w:rFonts w:ascii="宋体" w:hAnsi="宋体"/>
          <w:color w:val="auto"/>
          <w:sz w:val="32"/>
          <w:szCs w:val="48"/>
          <w:highlight w:val="none"/>
        </w:rPr>
        <w:fldChar w:fldCharType="separate"/>
      </w:r>
      <w:r>
        <w:rPr>
          <w:rFonts w:ascii="宋体" w:hAnsi="宋体"/>
          <w:color w:val="auto"/>
          <w:sz w:val="32"/>
          <w:szCs w:val="48"/>
          <w:highlight w:val="none"/>
        </w:rPr>
        <w:t>2</w:t>
      </w:r>
      <w:r>
        <w:rPr>
          <w:rFonts w:hint="eastAsia" w:ascii="宋体" w:hAnsi="宋体"/>
          <w:color w:val="auto"/>
          <w:sz w:val="32"/>
          <w:szCs w:val="48"/>
          <w:highlight w:val="none"/>
          <w:lang w:val="en-US" w:eastAsia="zh-CN"/>
        </w:rPr>
        <w:t>7</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_Toc23927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第四章  合同主要条款及格式</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_Toc23927 \h </w:instrText>
      </w:r>
      <w:r>
        <w:rPr>
          <w:rFonts w:ascii="宋体" w:hAnsi="宋体"/>
          <w:color w:val="auto"/>
          <w:sz w:val="32"/>
          <w:szCs w:val="48"/>
          <w:highlight w:val="none"/>
        </w:rPr>
        <w:fldChar w:fldCharType="separate"/>
      </w:r>
      <w:r>
        <w:rPr>
          <w:rFonts w:ascii="宋体" w:hAnsi="宋体"/>
          <w:color w:val="auto"/>
          <w:sz w:val="32"/>
          <w:szCs w:val="48"/>
          <w:highlight w:val="none"/>
        </w:rPr>
        <w:t>3</w:t>
      </w:r>
      <w:r>
        <w:rPr>
          <w:rFonts w:hint="eastAsia" w:ascii="宋体" w:hAnsi="宋体"/>
          <w:color w:val="auto"/>
          <w:sz w:val="32"/>
          <w:szCs w:val="48"/>
          <w:highlight w:val="none"/>
          <w:lang w:val="en-US" w:eastAsia="zh-CN"/>
        </w:rPr>
        <w:t>6</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_Toc1478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第五章  招标内容及技术要求</w:t>
      </w:r>
      <w:r>
        <w:rPr>
          <w:rFonts w:ascii="宋体" w:hAnsi="宋体"/>
          <w:color w:val="auto"/>
          <w:sz w:val="32"/>
          <w:szCs w:val="48"/>
          <w:highlight w:val="none"/>
        </w:rPr>
        <w:tab/>
      </w:r>
      <w:r>
        <w:rPr>
          <w:rFonts w:hint="eastAsia" w:ascii="宋体" w:hAnsi="宋体"/>
          <w:color w:val="auto"/>
          <w:sz w:val="32"/>
          <w:szCs w:val="48"/>
          <w:highlight w:val="none"/>
          <w:lang w:val="en-US" w:eastAsia="zh-CN"/>
        </w:rPr>
        <w:t>5</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3</w:t>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_Toc16596 </w:instrText>
      </w:r>
      <w:r>
        <w:rPr>
          <w:rFonts w:ascii="宋体" w:hAnsi="宋体"/>
          <w:color w:val="auto"/>
          <w:sz w:val="32"/>
          <w:szCs w:val="48"/>
          <w:highlight w:val="none"/>
        </w:rPr>
        <w:fldChar w:fldCharType="separate"/>
      </w:r>
      <w:r>
        <w:rPr>
          <w:rFonts w:ascii="宋体" w:hAnsi="宋体"/>
          <w:color w:val="auto"/>
          <w:sz w:val="32"/>
          <w:szCs w:val="48"/>
          <w:highlight w:val="none"/>
        </w:rPr>
        <w:t>第</w:t>
      </w:r>
      <w:r>
        <w:rPr>
          <w:rFonts w:hint="eastAsia" w:ascii="宋体" w:hAnsi="宋体"/>
          <w:color w:val="auto"/>
          <w:sz w:val="32"/>
          <w:szCs w:val="48"/>
          <w:highlight w:val="none"/>
        </w:rPr>
        <w:t>六</w:t>
      </w:r>
      <w:r>
        <w:rPr>
          <w:rFonts w:ascii="宋体" w:hAnsi="宋体"/>
          <w:color w:val="auto"/>
          <w:sz w:val="32"/>
          <w:szCs w:val="48"/>
          <w:highlight w:val="none"/>
        </w:rPr>
        <w:t xml:space="preserve">章 </w:t>
      </w:r>
      <w:r>
        <w:rPr>
          <w:rFonts w:hint="eastAsia" w:ascii="宋体" w:hAnsi="宋体"/>
          <w:color w:val="auto"/>
          <w:sz w:val="32"/>
          <w:szCs w:val="48"/>
          <w:highlight w:val="none"/>
        </w:rPr>
        <w:t xml:space="preserve"> </w:t>
      </w:r>
      <w:r>
        <w:rPr>
          <w:rFonts w:ascii="宋体" w:hAnsi="宋体"/>
          <w:color w:val="auto"/>
          <w:sz w:val="32"/>
          <w:szCs w:val="48"/>
          <w:highlight w:val="none"/>
        </w:rPr>
        <w:t>投标</w:t>
      </w:r>
      <w:r>
        <w:rPr>
          <w:rFonts w:hint="eastAsia" w:ascii="宋体" w:hAnsi="宋体"/>
          <w:color w:val="auto"/>
          <w:sz w:val="32"/>
          <w:szCs w:val="48"/>
          <w:highlight w:val="none"/>
        </w:rPr>
        <w:t>文件</w:t>
      </w:r>
      <w:r>
        <w:rPr>
          <w:rFonts w:ascii="宋体" w:hAnsi="宋体"/>
          <w:color w:val="auto"/>
          <w:sz w:val="32"/>
          <w:szCs w:val="48"/>
          <w:highlight w:val="none"/>
        </w:rPr>
        <w:t>格式</w:t>
      </w:r>
      <w:r>
        <w:rPr>
          <w:rFonts w:ascii="宋体" w:hAnsi="宋体"/>
          <w:color w:val="auto"/>
          <w:sz w:val="32"/>
          <w:szCs w:val="48"/>
          <w:highlight w:val="none"/>
        </w:rPr>
        <w:tab/>
      </w:r>
      <w:r>
        <w:rPr>
          <w:rFonts w:hint="eastAsia" w:ascii="宋体" w:hAnsi="宋体"/>
          <w:color w:val="auto"/>
          <w:sz w:val="32"/>
          <w:szCs w:val="48"/>
          <w:highlight w:val="none"/>
          <w:lang w:val="en-US" w:eastAsia="zh-CN"/>
        </w:rPr>
        <w:t>6</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2</w:t>
      </w:r>
    </w:p>
    <w:p>
      <w:pPr>
        <w:pStyle w:val="15"/>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highlight w:val="none"/>
        </w:rPr>
        <w:sectPr>
          <w:footerReference r:id="rId5" w:type="first"/>
          <w:headerReference r:id="rId3" w:type="default"/>
          <w:footerReference r:id="rId4" w:type="default"/>
          <w:pgSz w:w="11907" w:h="16840"/>
          <w:pgMar w:top="1417" w:right="1304" w:bottom="1417" w:left="1304" w:header="850" w:footer="992" w:gutter="0"/>
          <w:pgNumType w:fmt="decimal" w:start="0"/>
          <w:cols w:space="720" w:num="1"/>
          <w:titlePg/>
          <w:docGrid w:linePitch="303" w:charSpace="0"/>
        </w:sectPr>
      </w:pPr>
      <w:r>
        <w:rPr>
          <w:rFonts w:ascii="宋体" w:hAnsi="宋体"/>
          <w:color w:val="auto"/>
          <w:sz w:val="32"/>
          <w:szCs w:val="48"/>
          <w:highlight w:val="none"/>
        </w:rPr>
        <w:fldChar w:fldCharType="end"/>
      </w:r>
      <w:bookmarkStart w:id="0" w:name="_Toc17887"/>
      <w:bookmarkStart w:id="1" w:name="_Toc11128"/>
      <w:bookmarkStart w:id="2" w:name="_Toc405210263"/>
      <w:bookmarkStart w:id="3" w:name="_Toc8987"/>
      <w:bookmarkStart w:id="4" w:name="_Toc405210977"/>
      <w:bookmarkStart w:id="5" w:name="_Toc374376332"/>
      <w:bookmarkStart w:id="6" w:name="_Toc375647564"/>
      <w:bookmarkStart w:id="7" w:name="_Toc247965798"/>
      <w:bookmarkStart w:id="8" w:name="_Toc257107751"/>
      <w:bookmarkStart w:id="9" w:name="_Toc235706388"/>
    </w:p>
    <w:p>
      <w:pPr>
        <w:pageBreakBefore w:val="0"/>
        <w:kinsoku/>
        <w:overflowPunct/>
        <w:bidi w:val="0"/>
        <w:adjustRightInd w:val="0"/>
        <w:snapToGrid w:val="0"/>
        <w:spacing w:beforeAutospacing="0" w:afterAutospacing="0" w:line="360" w:lineRule="auto"/>
        <w:ind w:left="0" w:leftChars="0" w:right="0" w:rightChars="0"/>
        <w:jc w:val="center"/>
        <w:rPr>
          <w:rFonts w:hint="eastAsia"/>
          <w:b/>
          <w:bCs/>
          <w:color w:val="auto"/>
          <w:sz w:val="32"/>
          <w:szCs w:val="36"/>
          <w:highlight w:val="none"/>
        </w:rPr>
      </w:pPr>
      <w:bookmarkStart w:id="10" w:name="_Toc23973"/>
      <w:r>
        <w:rPr>
          <w:rFonts w:hint="eastAsia"/>
          <w:b/>
          <w:bCs/>
          <w:color w:val="auto"/>
          <w:sz w:val="32"/>
          <w:szCs w:val="36"/>
          <w:highlight w:val="none"/>
        </w:rPr>
        <w:t>第一章  招标公告</w:t>
      </w:r>
      <w:bookmarkEnd w:id="0"/>
      <w:bookmarkEnd w:id="1"/>
      <w:bookmarkEnd w:id="2"/>
      <w:bookmarkEnd w:id="3"/>
      <w:bookmarkEnd w:id="4"/>
      <w:bookmarkEnd w:id="10"/>
      <w:bookmarkStart w:id="11" w:name="_Toc177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一、招标条件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建达国信工程管理有限公司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lang w:eastAsia="zh-CN"/>
        </w:rPr>
        <w:t>灵宝市寺河乡人民政府</w:t>
      </w:r>
      <w:r>
        <w:rPr>
          <w:rFonts w:hint="eastAsia" w:ascii="宋体" w:hAnsi="宋体" w:eastAsia="宋体" w:cs="宋体"/>
          <w:color w:val="auto"/>
          <w:sz w:val="24"/>
          <w:szCs w:val="24"/>
          <w:highlight w:val="none"/>
        </w:rPr>
        <w:t>的委托，就其</w:t>
      </w:r>
      <w:r>
        <w:rPr>
          <w:rFonts w:hint="eastAsia" w:ascii="宋体" w:hAnsi="宋体" w:cs="宋体"/>
          <w:color w:val="auto"/>
          <w:sz w:val="24"/>
          <w:szCs w:val="24"/>
          <w:highlight w:val="none"/>
          <w:lang w:eastAsia="zh-CN"/>
        </w:rPr>
        <w:t>灵宝市寺河乡人民政府2024年</w:t>
      </w:r>
      <w:r>
        <w:rPr>
          <w:rFonts w:hint="eastAsia" w:ascii="宋体" w:hAnsi="宋体" w:eastAsia="宋体" w:cs="宋体"/>
          <w:color w:val="auto"/>
          <w:sz w:val="24"/>
          <w:szCs w:val="24"/>
          <w:highlight w:val="none"/>
          <w:lang w:eastAsia="zh-CN"/>
        </w:rPr>
        <w:t>灵宝市寺河乡烟叶电烤房项目</w:t>
      </w:r>
      <w:r>
        <w:rPr>
          <w:rFonts w:hint="eastAsia" w:ascii="宋体" w:hAnsi="宋体" w:eastAsia="宋体" w:cs="宋体"/>
          <w:color w:val="auto"/>
          <w:sz w:val="24"/>
          <w:szCs w:val="24"/>
          <w:highlight w:val="none"/>
        </w:rPr>
        <w:t>进行公开招标，欢迎符合相关条件的潜在投标人参加投标，现将有关事项公告如下：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二、项目概况</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1、项目名称：</w:t>
      </w:r>
      <w:r>
        <w:rPr>
          <w:rFonts w:hint="eastAsia" w:ascii="宋体" w:hAnsi="宋体" w:cs="宋体"/>
          <w:color w:val="auto"/>
          <w:sz w:val="24"/>
          <w:szCs w:val="24"/>
          <w:highlight w:val="none"/>
          <w:lang w:eastAsia="zh-CN"/>
        </w:rPr>
        <w:t>灵宝市寺河乡人民政府2024年灵宝</w:t>
      </w:r>
      <w:r>
        <w:rPr>
          <w:rFonts w:hint="eastAsia" w:ascii="宋体" w:hAnsi="宋体" w:eastAsia="宋体" w:cs="宋体"/>
          <w:color w:val="auto"/>
          <w:sz w:val="24"/>
          <w:szCs w:val="24"/>
          <w:highlight w:val="none"/>
          <w:lang w:eastAsia="zh-CN"/>
        </w:rPr>
        <w:t>市寺河乡烟叶电烤房项目</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2、项目编号：</w:t>
      </w:r>
      <w:r>
        <w:rPr>
          <w:rFonts w:hint="eastAsia" w:ascii="宋体" w:hAnsi="宋体" w:eastAsia="宋体" w:cs="宋体"/>
          <w:color w:val="auto"/>
          <w:kern w:val="0"/>
          <w:sz w:val="24"/>
          <w:szCs w:val="24"/>
          <w:highlight w:val="none"/>
          <w:lang w:val="en-US" w:eastAsia="zh-CN"/>
        </w:rPr>
        <w:t>灵宝公开采购-2024-35</w:t>
      </w:r>
      <w:r>
        <w:rPr>
          <w:rFonts w:hint="eastAsia" w:ascii="宋体" w:hAnsi="宋体" w:cs="宋体"/>
          <w:color w:val="auto"/>
          <w:kern w:val="0"/>
          <w:sz w:val="24"/>
          <w:szCs w:val="24"/>
          <w:highlight w:val="none"/>
          <w:lang w:val="en-US" w:eastAsia="zh-CN"/>
        </w:rPr>
        <w:t>；LBGZ[2024]142-ZC093</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rPr>
        <w:t>3、资金来源：</w:t>
      </w:r>
      <w:r>
        <w:rPr>
          <w:rFonts w:hint="eastAsia" w:ascii="宋体" w:hAnsi="宋体" w:eastAsia="宋体" w:cs="宋体"/>
          <w:color w:val="auto"/>
          <w:sz w:val="24"/>
          <w:szCs w:val="24"/>
          <w:highlight w:val="none"/>
          <w:lang w:eastAsia="zh-CN"/>
        </w:rPr>
        <w:t>财政资金</w:t>
      </w:r>
      <w:r>
        <w:rPr>
          <w:rFonts w:hint="eastAsia" w:ascii="宋体" w:hAnsi="宋体" w:cs="宋体"/>
          <w:color w:val="auto"/>
          <w:sz w:val="24"/>
          <w:szCs w:val="24"/>
          <w:highlight w:val="none"/>
          <w:lang w:val="en-US" w:eastAsia="zh-CN"/>
        </w:rPr>
        <w:t>300万元，自筹资金7万元</w:t>
      </w:r>
      <w:r>
        <w:rPr>
          <w:rFonts w:hint="eastAsia" w:ascii="宋体" w:hAnsi="宋体" w:eastAsia="宋体" w:cs="宋体"/>
          <w:color w:val="auto"/>
          <w:sz w:val="24"/>
          <w:szCs w:val="24"/>
          <w:highlight w:val="none"/>
        </w:rPr>
        <w:t>，已落实。</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4、招标内容：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一标段：</w:t>
      </w:r>
      <w:r>
        <w:rPr>
          <w:rFonts w:hint="eastAsia" w:ascii="宋体" w:hAnsi="宋体" w:eastAsia="宋体" w:cs="宋体"/>
          <w:color w:val="auto"/>
          <w:kern w:val="0"/>
          <w:sz w:val="24"/>
          <w:szCs w:val="24"/>
          <w:highlight w:val="none"/>
          <w:lang w:eastAsia="zh-CN"/>
        </w:rPr>
        <w:t>在</w:t>
      </w:r>
      <w:r>
        <w:rPr>
          <w:rFonts w:hint="eastAsia" w:ascii="宋体" w:hAnsi="宋体" w:cs="宋体"/>
          <w:color w:val="auto"/>
          <w:kern w:val="0"/>
          <w:sz w:val="24"/>
          <w:szCs w:val="24"/>
          <w:highlight w:val="none"/>
          <w:lang w:val="en-US" w:eastAsia="zh-CN"/>
        </w:rPr>
        <w:t>寺河乡寺河村、朝阳村</w:t>
      </w:r>
      <w:r>
        <w:rPr>
          <w:rFonts w:hint="eastAsia" w:ascii="宋体" w:hAnsi="宋体" w:eastAsia="宋体" w:cs="宋体"/>
          <w:color w:val="auto"/>
          <w:kern w:val="0"/>
          <w:sz w:val="24"/>
          <w:szCs w:val="24"/>
          <w:highlight w:val="none"/>
          <w:lang w:eastAsia="zh-CN"/>
        </w:rPr>
        <w:t>新建内室长8米、宽2.78米、高4.2米电能烤房</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0座。其中</w:t>
      </w:r>
      <w:r>
        <w:rPr>
          <w:rFonts w:hint="eastAsia" w:ascii="宋体" w:hAnsi="宋体" w:cs="宋体"/>
          <w:color w:val="auto"/>
          <w:kern w:val="0"/>
          <w:sz w:val="24"/>
          <w:szCs w:val="24"/>
          <w:highlight w:val="none"/>
          <w:lang w:val="en-US" w:eastAsia="zh-CN"/>
        </w:rPr>
        <w:t>寺河</w:t>
      </w:r>
      <w:r>
        <w:rPr>
          <w:rFonts w:hint="eastAsia" w:ascii="宋体" w:hAnsi="宋体" w:eastAsia="宋体" w:cs="宋体"/>
          <w:color w:val="auto"/>
          <w:kern w:val="0"/>
          <w:sz w:val="24"/>
          <w:szCs w:val="24"/>
          <w:highlight w:val="none"/>
          <w:lang w:eastAsia="zh-CN"/>
        </w:rPr>
        <w:t>村</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eastAsia="zh-CN"/>
        </w:rPr>
        <w:t>座、</w:t>
      </w:r>
      <w:r>
        <w:rPr>
          <w:rFonts w:hint="eastAsia" w:ascii="宋体" w:hAnsi="宋体" w:cs="宋体"/>
          <w:color w:val="auto"/>
          <w:kern w:val="0"/>
          <w:sz w:val="24"/>
          <w:szCs w:val="24"/>
          <w:highlight w:val="none"/>
          <w:lang w:val="en-US" w:eastAsia="zh-CN"/>
        </w:rPr>
        <w:t>朝阳</w:t>
      </w:r>
      <w:r>
        <w:rPr>
          <w:rFonts w:hint="eastAsia" w:ascii="宋体" w:hAnsi="宋体" w:eastAsia="宋体" w:cs="宋体"/>
          <w:color w:val="auto"/>
          <w:kern w:val="0"/>
          <w:sz w:val="24"/>
          <w:szCs w:val="24"/>
          <w:highlight w:val="none"/>
          <w:lang w:eastAsia="zh-CN"/>
        </w:rPr>
        <w:t>村</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座。</w:t>
      </w:r>
    </w:p>
    <w:p>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textAlignment w:val="auto"/>
        <w:rPr>
          <w:rFonts w:hint="default"/>
          <w:b w:val="0"/>
          <w:bCs w:val="0"/>
          <w:highlight w:val="none"/>
          <w:lang w:val="en-US" w:eastAsia="zh-CN"/>
        </w:rPr>
      </w:pPr>
      <w:r>
        <w:rPr>
          <w:rFonts w:hint="eastAsia" w:ascii="宋体" w:hAnsi="宋体" w:eastAsia="宋体" w:cs="宋体"/>
          <w:b w:val="0"/>
          <w:bCs w:val="0"/>
          <w:color w:val="auto"/>
          <w:kern w:val="0"/>
          <w:sz w:val="24"/>
          <w:szCs w:val="24"/>
          <w:highlight w:val="none"/>
          <w:lang w:val="en-US" w:eastAsia="zh-CN"/>
        </w:rPr>
        <w:t>二标段：在寺河乡寺河村、朝阳村分别安装配套变压器800KVA1台、400KVA 1台，共2台。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5、实施地点：</w:t>
      </w:r>
      <w:r>
        <w:rPr>
          <w:rFonts w:hint="eastAsia" w:ascii="宋体" w:hAnsi="宋体" w:eastAsia="宋体" w:cs="宋体"/>
          <w:color w:val="auto"/>
          <w:sz w:val="24"/>
          <w:szCs w:val="24"/>
          <w:highlight w:val="none"/>
          <w:lang w:eastAsia="zh-CN"/>
        </w:rPr>
        <w:t>灵宝市</w:t>
      </w:r>
      <w:r>
        <w:rPr>
          <w:rFonts w:hint="eastAsia" w:ascii="宋体" w:hAnsi="宋体" w:cs="宋体"/>
          <w:color w:val="auto"/>
          <w:sz w:val="24"/>
          <w:szCs w:val="24"/>
          <w:highlight w:val="none"/>
          <w:lang w:val="en-US" w:eastAsia="zh-CN"/>
        </w:rPr>
        <w:t>寺河乡</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6、交货期：自合同签订之日起45日历天内交货并安装调试完毕。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7、质量要求：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一标段：</w:t>
      </w:r>
      <w:r>
        <w:rPr>
          <w:rFonts w:hint="eastAsia" w:ascii="宋体" w:hAnsi="宋体" w:eastAsia="宋体" w:cs="宋体"/>
          <w:color w:val="auto"/>
          <w:sz w:val="24"/>
          <w:szCs w:val="24"/>
          <w:highlight w:val="none"/>
        </w:rPr>
        <w:t>达到国家相关法律、法规规定的生产、制造、验收合格标准，并符合《空气源热泵密集烤房》（Q/HNYC 050-2020）要求及满足需方使用要求。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符合国家规定，达到正常运行使用条件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8、标段划分：本项目共</w:t>
      </w:r>
      <w:r>
        <w:rPr>
          <w:rFonts w:hint="eastAsia" w:ascii="宋体" w:hAnsi="宋体" w:eastAsia="宋体" w:cs="宋体"/>
          <w:color w:val="auto"/>
          <w:kern w:val="0"/>
          <w:sz w:val="24"/>
          <w:szCs w:val="24"/>
          <w:highlight w:val="none"/>
          <w:lang w:eastAsia="zh-CN"/>
        </w:rPr>
        <w:t>划分为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个标段</w:t>
      </w:r>
    </w:p>
    <w:tbl>
      <w:tblPr>
        <w:tblStyle w:val="19"/>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420"/>
        <w:gridCol w:w="758"/>
        <w:gridCol w:w="2474"/>
        <w:gridCol w:w="1601"/>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914"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标段</w:t>
            </w:r>
          </w:p>
        </w:tc>
        <w:tc>
          <w:tcPr>
            <w:tcW w:w="242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项目内容及建设地点</w:t>
            </w:r>
          </w:p>
        </w:tc>
        <w:tc>
          <w:tcPr>
            <w:tcW w:w="758"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数量</w:t>
            </w:r>
          </w:p>
        </w:tc>
        <w:tc>
          <w:tcPr>
            <w:tcW w:w="2474"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招标控制单价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含税）</w:t>
            </w:r>
          </w:p>
        </w:tc>
        <w:tc>
          <w:tcPr>
            <w:tcW w:w="160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71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914"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标段</w:t>
            </w:r>
          </w:p>
        </w:tc>
        <w:tc>
          <w:tcPr>
            <w:tcW w:w="242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新建</w:t>
            </w:r>
            <w:r>
              <w:rPr>
                <w:rFonts w:hint="eastAsia" w:ascii="宋体" w:hAnsi="宋体" w:eastAsia="宋体" w:cs="宋体"/>
                <w:color w:val="auto"/>
                <w:kern w:val="0"/>
                <w:sz w:val="24"/>
                <w:szCs w:val="24"/>
                <w:highlight w:val="none"/>
                <w:lang w:eastAsia="zh-CN"/>
              </w:rPr>
              <w:t>内室长8米、宽2.78米、高4.2米电能烤房</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0座。其中</w:t>
            </w:r>
            <w:r>
              <w:rPr>
                <w:rFonts w:hint="eastAsia" w:ascii="宋体" w:hAnsi="宋体" w:cs="宋体"/>
                <w:color w:val="auto"/>
                <w:kern w:val="0"/>
                <w:sz w:val="24"/>
                <w:szCs w:val="24"/>
                <w:highlight w:val="none"/>
                <w:lang w:val="en-US" w:eastAsia="zh-CN"/>
              </w:rPr>
              <w:t>寺河乡20</w:t>
            </w:r>
            <w:r>
              <w:rPr>
                <w:rFonts w:hint="eastAsia" w:ascii="宋体" w:hAnsi="宋体" w:eastAsia="宋体" w:cs="宋体"/>
                <w:color w:val="auto"/>
                <w:kern w:val="0"/>
                <w:sz w:val="24"/>
                <w:szCs w:val="24"/>
                <w:highlight w:val="none"/>
                <w:lang w:eastAsia="zh-CN"/>
              </w:rPr>
              <w:t>座、</w:t>
            </w:r>
            <w:r>
              <w:rPr>
                <w:rFonts w:hint="eastAsia" w:ascii="宋体" w:hAnsi="宋体" w:cs="宋体"/>
                <w:color w:val="auto"/>
                <w:kern w:val="0"/>
                <w:sz w:val="24"/>
                <w:szCs w:val="24"/>
                <w:highlight w:val="none"/>
                <w:lang w:val="en-US" w:eastAsia="zh-CN"/>
              </w:rPr>
              <w:t>朝阳</w:t>
            </w:r>
            <w:r>
              <w:rPr>
                <w:rFonts w:hint="eastAsia" w:ascii="宋体" w:hAnsi="宋体" w:eastAsia="宋体" w:cs="宋体"/>
                <w:color w:val="auto"/>
                <w:kern w:val="0"/>
                <w:sz w:val="24"/>
                <w:szCs w:val="24"/>
                <w:highlight w:val="none"/>
                <w:lang w:eastAsia="zh-CN"/>
              </w:rPr>
              <w:t>村</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座。</w:t>
            </w:r>
          </w:p>
        </w:tc>
        <w:tc>
          <w:tcPr>
            <w:tcW w:w="758"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sz w:val="24"/>
                <w:szCs w:val="24"/>
                <w:highlight w:val="none"/>
              </w:rPr>
              <w:t>座</w:t>
            </w:r>
          </w:p>
        </w:tc>
        <w:tc>
          <w:tcPr>
            <w:tcW w:w="2474"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92000.00</w:t>
            </w:r>
            <w:r>
              <w:rPr>
                <w:rFonts w:hint="eastAsia" w:ascii="宋体" w:hAnsi="宋体" w:eastAsia="宋体" w:cs="宋体"/>
                <w:b w:val="0"/>
                <w:bCs w:val="0"/>
                <w:color w:val="auto"/>
                <w:sz w:val="24"/>
                <w:szCs w:val="24"/>
                <w:highlight w:val="none"/>
              </w:rPr>
              <w:t>元/座</w:t>
            </w:r>
          </w:p>
        </w:tc>
        <w:tc>
          <w:tcPr>
            <w:tcW w:w="160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276</w:t>
            </w:r>
            <w:r>
              <w:rPr>
                <w:rFonts w:hint="eastAsia" w:ascii="宋体" w:hAnsi="宋体" w:eastAsia="宋体" w:cs="宋体"/>
                <w:b w:val="0"/>
                <w:bCs w:val="0"/>
                <w:color w:val="auto"/>
                <w:kern w:val="0"/>
                <w:sz w:val="24"/>
                <w:szCs w:val="24"/>
                <w:highlight w:val="none"/>
                <w:lang w:val="en-US" w:eastAsia="zh-CN"/>
              </w:rPr>
              <w:t>0000</w:t>
            </w:r>
            <w:r>
              <w:rPr>
                <w:rFonts w:hint="eastAsia" w:ascii="宋体" w:hAnsi="宋体" w:cs="宋体"/>
                <w:b w:val="0"/>
                <w:bCs w:val="0"/>
                <w:color w:val="auto"/>
                <w:kern w:val="0"/>
                <w:sz w:val="24"/>
                <w:szCs w:val="24"/>
                <w:highlight w:val="none"/>
                <w:lang w:val="en-US" w:eastAsia="zh-CN"/>
              </w:rPr>
              <w:t>.00元</w:t>
            </w:r>
          </w:p>
        </w:tc>
        <w:tc>
          <w:tcPr>
            <w:tcW w:w="710"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具体内容详见招标文件第五章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exact"/>
          <w:jc w:val="center"/>
        </w:trPr>
        <w:tc>
          <w:tcPr>
            <w:tcW w:w="914"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val="en-US" w:eastAsia="zh-CN"/>
              </w:rPr>
              <w:t>标段</w:t>
            </w:r>
          </w:p>
        </w:tc>
        <w:tc>
          <w:tcPr>
            <w:tcW w:w="242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在寺河乡寺河村、朝阳村分别安装配套变压器800KVA1台、400KVA 1台</w:t>
            </w:r>
          </w:p>
        </w:tc>
        <w:tc>
          <w:tcPr>
            <w:tcW w:w="758"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台</w:t>
            </w:r>
          </w:p>
        </w:tc>
        <w:tc>
          <w:tcPr>
            <w:tcW w:w="2474" w:type="dxa"/>
            <w:vAlign w:val="center"/>
          </w:tcPr>
          <w:p>
            <w:pPr>
              <w:pStyle w:val="3"/>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400KVA：125000.00元/台</w:t>
            </w:r>
          </w:p>
          <w:p>
            <w:pPr>
              <w:pStyle w:val="3"/>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800KVA：185000.00元/台</w:t>
            </w:r>
          </w:p>
        </w:tc>
        <w:tc>
          <w:tcPr>
            <w:tcW w:w="160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310000.00元</w:t>
            </w:r>
          </w:p>
        </w:tc>
        <w:tc>
          <w:tcPr>
            <w:tcW w:w="710"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6566" w:type="dxa"/>
            <w:gridSpan w:val="4"/>
            <w:vAlign w:val="center"/>
          </w:tcPr>
          <w:p>
            <w:pPr>
              <w:pStyle w:val="3"/>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160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3070000.00元</w:t>
            </w:r>
          </w:p>
        </w:tc>
        <w:tc>
          <w:tcPr>
            <w:tcW w:w="71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bl>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kern w:val="0"/>
          <w:sz w:val="24"/>
          <w:szCs w:val="24"/>
          <w:highlight w:val="none"/>
          <w:u w:val="none"/>
          <w:lang w:val="en-US" w:eastAsia="zh-CN"/>
        </w:rPr>
        <w:t>9、质保期：</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kern w:val="0"/>
          <w:sz w:val="24"/>
          <w:szCs w:val="24"/>
          <w:highlight w:val="none"/>
          <w:u w:val="none"/>
          <w:lang w:val="en-US" w:eastAsia="zh-CN"/>
        </w:rPr>
        <w:t>一标段：</w:t>
      </w:r>
      <w:r>
        <w:rPr>
          <w:rFonts w:hint="eastAsia" w:ascii="宋体" w:hAnsi="宋体" w:eastAsia="宋体" w:cs="宋体"/>
          <w:color w:val="auto"/>
          <w:kern w:val="0"/>
          <w:sz w:val="24"/>
          <w:szCs w:val="24"/>
          <w:highlight w:val="none"/>
          <w:u w:val="none"/>
          <w:lang w:val="en-US" w:eastAsia="zh-CN"/>
        </w:rPr>
        <w:t>质保期</w:t>
      </w:r>
      <w:r>
        <w:rPr>
          <w:rFonts w:hint="eastAsia" w:ascii="宋体" w:hAnsi="宋体" w:eastAsia="宋体" w:cs="宋体"/>
          <w:color w:val="auto"/>
          <w:sz w:val="24"/>
          <w:szCs w:val="24"/>
          <w:highlight w:val="none"/>
          <w:u w:val="none"/>
        </w:rPr>
        <w:t>自验收合格之日起</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sz w:val="24"/>
          <w:szCs w:val="24"/>
          <w:highlight w:val="none"/>
          <w:u w:val="none"/>
          <w:lang w:val="en-US" w:eastAsia="zh-CN"/>
        </w:rPr>
        <w:t>二标段：</w:t>
      </w:r>
      <w:r>
        <w:rPr>
          <w:rFonts w:hint="eastAsia" w:ascii="宋体" w:hAnsi="宋体" w:eastAsia="宋体" w:cs="宋体"/>
          <w:color w:val="auto"/>
          <w:sz w:val="24"/>
          <w:szCs w:val="24"/>
          <w:highlight w:val="none"/>
          <w:u w:val="none"/>
          <w:lang w:val="en-US" w:eastAsia="zh-CN"/>
        </w:rPr>
        <w:t>质保期自验收合格之日起</w:t>
      </w:r>
      <w:r>
        <w:rPr>
          <w:rFonts w:hint="eastAsia" w:ascii="宋体" w:hAnsi="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val="en-US" w:eastAsia="zh-CN"/>
        </w:rPr>
        <w:t>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10、是否接受进口产品：否。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、落实政府采购政策满足的资格要求：本项目非专门面向中小企业、监狱企业及残疾人福利性单位采购项目</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执行促进中小型企业发展政策（残疾人福利性企业、监狱企业视同小微企业）、优先采购节能环保产品等政府采购政策。</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1、投标人须为具备承担民事责任能力的独立法人，具有有效的营业执照</w:t>
      </w:r>
      <w:r>
        <w:rPr>
          <w:rFonts w:hint="eastAsia" w:ascii="宋体" w:hAnsi="宋体" w:eastAsia="宋体" w:cs="宋体"/>
          <w:b/>
          <w:bCs/>
          <w:color w:val="auto"/>
          <w:sz w:val="24"/>
          <w:szCs w:val="24"/>
          <w:highlight w:val="none"/>
        </w:rPr>
        <w:t>（提供有效的营业执照）</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2、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w:t>
      </w:r>
      <w:r>
        <w:rPr>
          <w:rFonts w:hint="eastAsia" w:ascii="宋体" w:hAnsi="宋体" w:eastAsia="宋体" w:cs="宋体"/>
          <w:b/>
          <w:bCs/>
          <w:color w:val="auto"/>
          <w:sz w:val="24"/>
          <w:szCs w:val="24"/>
          <w:highlight w:val="none"/>
        </w:rPr>
        <w:t>提供网站的查询信息截图，查询时间自公告发布之日起</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投标人须通过“中国裁判文书网”网站查询“投标人及其法定代表人”行贿犯罪情况，经司法机关裁定存在行贿犯罪记录的，不得参与本项目投标；【查询指南：进入网站首页注册登录→点击高级搜索→打开案由→选择刑事案由→贪污贿赂罪→选择“单位行贿罪”，在“当事人”一栏输入单位全称进行查询；选择“行贿罪”，在“当事人”一栏输入法定代表人姓名进行查询】，</w:t>
      </w:r>
      <w:r>
        <w:rPr>
          <w:rFonts w:hint="eastAsia" w:ascii="宋体" w:hAnsi="宋体" w:eastAsia="宋体" w:cs="宋体"/>
          <w:b/>
          <w:bCs/>
          <w:color w:val="auto"/>
          <w:kern w:val="0"/>
          <w:sz w:val="24"/>
          <w:szCs w:val="24"/>
          <w:highlight w:val="none"/>
        </w:rPr>
        <w:t>（提供查询结果网页截图，如不存在行贿犯罪，只是查询记录中存在重名或名称信息披露，须同时提供被查询主体无行贿记录的承诺函，承诺函格式自拟，如果发现存在有行贿犯罪记录，则视为弄虚作假）</w:t>
      </w:r>
      <w:r>
        <w:rPr>
          <w:rFonts w:hint="eastAsia" w:ascii="宋体" w:hAnsi="宋体" w:eastAsia="宋体" w:cs="宋体"/>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4、投标人法定代表人或单位负责人为同一人或者存在控股、管理关系的不同单位，不得参加同一标段投标或者未划分标段的同一招标项目的投标。</w:t>
      </w:r>
      <w:r>
        <w:rPr>
          <w:rFonts w:hint="eastAsia" w:ascii="宋体" w:hAnsi="宋体" w:eastAsia="宋体" w:cs="宋体"/>
          <w:color w:val="auto"/>
          <w:sz w:val="24"/>
          <w:szCs w:val="24"/>
          <w:highlight w:val="none"/>
          <w:lang w:val="en-US" w:eastAsia="zh-CN"/>
        </w:rPr>
        <w:t>提供投标人在“国家企业信用信息公示系统”中公示的公司信息、股东或投资人信息”。</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一标段</w:t>
      </w:r>
      <w:r>
        <w:rPr>
          <w:rFonts w:hint="eastAsia" w:ascii="宋体" w:hAnsi="宋体" w:eastAsia="宋体" w:cs="宋体"/>
          <w:color w:val="auto"/>
          <w:sz w:val="24"/>
          <w:szCs w:val="24"/>
          <w:highlight w:val="none"/>
        </w:rPr>
        <w:t>投标人须具有独立自主的</w:t>
      </w:r>
      <w:bookmarkStart w:id="12" w:name="_Hlk97711537"/>
      <w:r>
        <w:rPr>
          <w:rFonts w:hint="eastAsia" w:ascii="宋体" w:hAnsi="宋体" w:eastAsia="宋体" w:cs="宋体"/>
          <w:color w:val="auto"/>
          <w:sz w:val="24"/>
          <w:szCs w:val="24"/>
          <w:highlight w:val="none"/>
        </w:rPr>
        <w:t>空气源</w:t>
      </w:r>
      <w:bookmarkEnd w:id="12"/>
      <w:r>
        <w:rPr>
          <w:rFonts w:hint="eastAsia" w:ascii="宋体" w:hAnsi="宋体" w:eastAsia="宋体" w:cs="宋体"/>
          <w:color w:val="auto"/>
          <w:sz w:val="24"/>
          <w:szCs w:val="24"/>
          <w:highlight w:val="none"/>
        </w:rPr>
        <w:t>热泵机组生产装配线（提供空气源热泵机组生产装配线图片），不允许租赁其他公司的空气源热泵机组生产装配线；能出具场地所有权证明材料或场地使用租赁证明材料（如为自有场地，须提供所有权证或其他证明材料的原件扫描件或图片；如为租赁场地，须提供租赁合同及出租方所有权证或其他证明材料的原件扫描件或图片）</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6、投标人须满足书面声明中的内容的要求（</w:t>
      </w:r>
      <w:r>
        <w:rPr>
          <w:rFonts w:hint="eastAsia" w:ascii="宋体" w:hAnsi="宋体" w:eastAsia="宋体" w:cs="宋体"/>
          <w:b/>
          <w:bCs/>
          <w:color w:val="auto"/>
          <w:sz w:val="24"/>
          <w:szCs w:val="24"/>
          <w:highlight w:val="none"/>
        </w:rPr>
        <w:t>按招标公告后附格式提供书面声明）</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7、本项目不接受联合体投标，中标后不得分包或转包。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bookmarkStart w:id="13" w:name="_Toc15614"/>
      <w:r>
        <w:rPr>
          <w:rFonts w:hint="eastAsia" w:ascii="宋体" w:hAnsi="宋体" w:eastAsia="宋体" w:cs="宋体"/>
          <w:b/>
          <w:bCs/>
          <w:color w:val="auto"/>
          <w:sz w:val="24"/>
          <w:szCs w:val="24"/>
          <w:highlight w:val="none"/>
        </w:rPr>
        <w:t>四、招标文件的获取方式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招标文件获取方式：本项目没有报名环节，投标人凭CA数字证书通过三门峡市公共资源交易中心网（网址：http://gzjy.smx.gov.cn），点击交易平台选择“市场主体登录”，在所参与项目右侧点击参与投标，即可直接下载本项目招标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具体操作请查看以下链接：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三门峡市公共资源交易平台操作手册：http://gzjy.smx.gov.cn/fwzn/004003/20200325/2b5a3a5a-f987-405c-993f-88f43e1d1ac3.html</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办理CA证书：http://gzjy.smx.gov.cn/bzzx/008001/20211105/57b16af9-ab87-4395-a723-7758c628a3f8.html</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2、招标文件下载时间：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eastAsia="zh-CN"/>
        </w:rPr>
        <w:t>年0</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22</w:t>
      </w:r>
      <w:r>
        <w:rPr>
          <w:rFonts w:hint="eastAsia" w:ascii="宋体" w:hAnsi="宋体" w:cs="宋体"/>
          <w:b/>
          <w:bCs/>
          <w:color w:val="auto"/>
          <w:kern w:val="0"/>
          <w:sz w:val="24"/>
          <w:szCs w:val="24"/>
          <w:highlight w:val="none"/>
          <w:lang w:eastAsia="zh-CN"/>
        </w:rPr>
        <w:t>日</w:t>
      </w:r>
      <w:r>
        <w:rPr>
          <w:rFonts w:hint="eastAsia" w:ascii="宋体" w:hAnsi="宋体" w:eastAsia="宋体" w:cs="宋体"/>
          <w:b/>
          <w:bCs/>
          <w:color w:val="auto"/>
          <w:kern w:val="0"/>
          <w:sz w:val="24"/>
          <w:szCs w:val="24"/>
          <w:highlight w:val="none"/>
        </w:rPr>
        <w:t>至</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eastAsia="zh-CN"/>
        </w:rPr>
        <w:t>年0</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12</w:t>
      </w:r>
      <w:r>
        <w:rPr>
          <w:rFonts w:hint="eastAsia" w:ascii="宋体" w:hAnsi="宋体" w:cs="宋体"/>
          <w:b/>
          <w:bCs/>
          <w:color w:val="auto"/>
          <w:kern w:val="0"/>
          <w:sz w:val="24"/>
          <w:szCs w:val="24"/>
          <w:highlight w:val="none"/>
          <w:lang w:eastAsia="zh-CN"/>
        </w:rPr>
        <w:t>日</w:t>
      </w: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eastAsia="宋体" w:cs="宋体"/>
          <w:b/>
          <w:bCs/>
          <w:color w:val="auto"/>
          <w:kern w:val="0"/>
          <w:sz w:val="24"/>
          <w:szCs w:val="24"/>
          <w:highlight w:val="none"/>
        </w:rPr>
        <w:t>分</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完成。因投标人原因未能解密、解密失败或解密超时的将不予接受。</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4、根据《关于进一步加强公共资源交易管理持续优化营商环境的通知》（三公管办〔2020〕2号）文件的要求,招标文件费用不再收取。</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五、投标保证金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按照《河南省财政厅关于优化政府招标营商环境有关问题的通知》（豫财购[2019]4号文）的要求本项目不再收取投标保证金。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1、投标文件递交截止时间：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eastAsia="zh-CN"/>
        </w:rPr>
        <w:t>年0</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12</w:t>
      </w:r>
      <w:r>
        <w:rPr>
          <w:rFonts w:hint="eastAsia" w:ascii="宋体" w:hAnsi="宋体" w:cs="宋体"/>
          <w:b/>
          <w:bCs/>
          <w:color w:val="auto"/>
          <w:kern w:val="0"/>
          <w:sz w:val="24"/>
          <w:szCs w:val="24"/>
          <w:highlight w:val="none"/>
          <w:lang w:eastAsia="zh-CN"/>
        </w:rPr>
        <w:t>日</w:t>
      </w:r>
      <w:r>
        <w:rPr>
          <w:rFonts w:hint="eastAsia" w:ascii="宋体" w:hAnsi="宋体" w:cs="宋体"/>
          <w:b/>
          <w:bCs/>
          <w:color w:val="auto"/>
          <w:kern w:val="0"/>
          <w:sz w:val="24"/>
          <w:szCs w:val="24"/>
          <w:highlight w:val="none"/>
          <w:lang w:val="en-US" w:eastAsia="zh-CN"/>
        </w:rPr>
        <w:t>08</w:t>
      </w:r>
      <w:r>
        <w:rPr>
          <w:rFonts w:hint="eastAsia" w:ascii="宋体" w:hAnsi="宋体" w:eastAsia="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eastAsia="宋体" w:cs="宋体"/>
          <w:b/>
          <w:bCs/>
          <w:color w:val="auto"/>
          <w:kern w:val="0"/>
          <w:sz w:val="24"/>
          <w:szCs w:val="24"/>
          <w:highlight w:val="none"/>
        </w:rPr>
        <w:t>分（北京时间）</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2、投标文件应为电子投标文件。投标人应在投标文件递交截止时间前，通过互联网使用CA数字证书登录“电子交易平台”，将电子投标文件上传。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3、投标文件递交地点：</w:t>
      </w:r>
      <w:r>
        <w:rPr>
          <w:rFonts w:hint="eastAsia" w:ascii="宋体" w:hAnsi="宋体" w:eastAsia="宋体" w:cs="宋体"/>
          <w:b/>
          <w:color w:val="auto"/>
          <w:sz w:val="24"/>
          <w:szCs w:val="24"/>
          <w:highlight w:val="none"/>
        </w:rPr>
        <w:t>加密的电子投标文件上传至三门峡市公共资源交易中心系统。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七、开标时间及地点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eastAsia="zh-CN"/>
        </w:rPr>
        <w:t>年0</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12</w:t>
      </w:r>
      <w:r>
        <w:rPr>
          <w:rFonts w:hint="eastAsia" w:ascii="宋体" w:hAnsi="宋体" w:cs="宋体"/>
          <w:b/>
          <w:bCs/>
          <w:color w:val="auto"/>
          <w:kern w:val="0"/>
          <w:sz w:val="24"/>
          <w:szCs w:val="24"/>
          <w:highlight w:val="none"/>
          <w:lang w:eastAsia="zh-CN"/>
        </w:rPr>
        <w:t>日</w:t>
      </w:r>
      <w:r>
        <w:rPr>
          <w:rFonts w:hint="eastAsia" w:ascii="宋体" w:hAnsi="宋体" w:cs="宋体"/>
          <w:b/>
          <w:bCs/>
          <w:color w:val="auto"/>
          <w:kern w:val="0"/>
          <w:sz w:val="24"/>
          <w:szCs w:val="24"/>
          <w:highlight w:val="none"/>
          <w:lang w:val="en-US" w:eastAsia="zh-CN"/>
        </w:rPr>
        <w:t>08</w:t>
      </w:r>
      <w:r>
        <w:rPr>
          <w:rFonts w:hint="eastAsia" w:ascii="宋体" w:hAnsi="宋体" w:eastAsia="宋体" w:cs="宋体"/>
          <w:b/>
          <w:bCs/>
          <w:color w:val="auto"/>
          <w:kern w:val="0"/>
          <w:sz w:val="24"/>
          <w:szCs w:val="24"/>
          <w:highlight w:val="none"/>
        </w:rPr>
        <w:t>时</w:t>
      </w:r>
      <w:r>
        <w:rPr>
          <w:rFonts w:hint="eastAsia" w:ascii="宋体" w:hAnsi="宋体" w:cs="宋体"/>
          <w:b/>
          <w:bCs/>
          <w:color w:val="auto"/>
          <w:kern w:val="0"/>
          <w:sz w:val="24"/>
          <w:szCs w:val="24"/>
          <w:highlight w:val="none"/>
          <w:lang w:val="en-US" w:eastAsia="zh-CN"/>
        </w:rPr>
        <w:t>30</w:t>
      </w:r>
      <w:r>
        <w:rPr>
          <w:rFonts w:hint="eastAsia" w:ascii="宋体" w:hAnsi="宋体" w:eastAsia="宋体" w:cs="宋体"/>
          <w:b/>
          <w:bCs/>
          <w:color w:val="auto"/>
          <w:kern w:val="0"/>
          <w:sz w:val="24"/>
          <w:szCs w:val="24"/>
          <w:highlight w:val="none"/>
        </w:rPr>
        <w:t>分</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2、开标地点：</w:t>
      </w:r>
      <w:r>
        <w:rPr>
          <w:rFonts w:hint="eastAsia" w:ascii="宋体" w:hAnsi="宋体" w:eastAsia="宋体" w:cs="宋体"/>
          <w:color w:val="auto"/>
          <w:kern w:val="0"/>
          <w:sz w:val="24"/>
          <w:szCs w:val="24"/>
          <w:highlight w:val="none"/>
          <w:lang w:eastAsia="zh-CN"/>
        </w:rPr>
        <w:t>灵宝市公共资源交易中心</w:t>
      </w:r>
      <w:r>
        <w:rPr>
          <w:rFonts w:hint="eastAsia" w:ascii="宋体" w:hAnsi="宋体" w:cs="宋体"/>
          <w:b/>
          <w:bCs/>
          <w:color w:val="auto"/>
          <w:kern w:val="0"/>
          <w:sz w:val="24"/>
          <w:szCs w:val="24"/>
          <w:highlight w:val="none"/>
          <w:lang w:eastAsia="zh-CN"/>
        </w:rPr>
        <w:t>开标</w:t>
      </w:r>
      <w:r>
        <w:rPr>
          <w:rFonts w:hint="eastAsia" w:ascii="宋体" w:hAnsi="宋体" w:cs="宋体"/>
          <w:b/>
          <w:bCs/>
          <w:color w:val="auto"/>
          <w:kern w:val="0"/>
          <w:sz w:val="24"/>
          <w:szCs w:val="24"/>
          <w:highlight w:val="none"/>
          <w:lang w:val="en-US" w:eastAsia="zh-CN"/>
        </w:rPr>
        <w:t>一</w:t>
      </w:r>
      <w:r>
        <w:rPr>
          <w:rFonts w:hint="eastAsia" w:ascii="宋体" w:hAnsi="宋体" w:cs="宋体"/>
          <w:b/>
          <w:bCs/>
          <w:color w:val="auto"/>
          <w:kern w:val="0"/>
          <w:sz w:val="24"/>
          <w:szCs w:val="24"/>
          <w:highlight w:val="none"/>
          <w:lang w:eastAsia="zh-CN"/>
        </w:rPr>
        <w:t>室、评标</w:t>
      </w:r>
      <w:r>
        <w:rPr>
          <w:rFonts w:hint="eastAsia" w:ascii="宋体" w:hAnsi="宋体" w:cs="宋体"/>
          <w:b/>
          <w:bCs/>
          <w:color w:val="auto"/>
          <w:kern w:val="0"/>
          <w:sz w:val="24"/>
          <w:szCs w:val="24"/>
          <w:highlight w:val="none"/>
          <w:lang w:val="en-US" w:eastAsia="zh-CN"/>
        </w:rPr>
        <w:t>一</w:t>
      </w:r>
      <w:r>
        <w:rPr>
          <w:rFonts w:hint="eastAsia" w:ascii="宋体" w:hAnsi="宋体" w:cs="宋体"/>
          <w:b/>
          <w:bCs/>
          <w:color w:val="auto"/>
          <w:kern w:val="0"/>
          <w:sz w:val="24"/>
          <w:szCs w:val="24"/>
          <w:highlight w:val="none"/>
          <w:lang w:eastAsia="zh-CN"/>
        </w:rPr>
        <w:t>室</w:t>
      </w:r>
      <w:r>
        <w:rPr>
          <w:rFonts w:hint="eastAsia" w:ascii="宋体" w:hAnsi="宋体" w:eastAsia="宋体" w:cs="宋体"/>
          <w:color w:val="auto"/>
          <w:kern w:val="0"/>
          <w:sz w:val="24"/>
          <w:szCs w:val="24"/>
          <w:highlight w:val="none"/>
          <w:lang w:eastAsia="zh-CN"/>
        </w:rPr>
        <w:t>（灵宝市金城大道农村信用联社12楼）</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八、其他事项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本项目实行资格后审，根据优化营商环境的要求，评标时审查内容以投标（响应）文件为准：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（1）资格评（预）审部分：资格评（预）审以投标（响应）文件为准，其上传资料真实性由投标人自行承担，同时，投标人要完善主体库。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（2）评标打分部分：评标打分部分仍按照100分制原则进行，涉及到资格审查、企业荣誉、人员业绩、企业业绩等计分部分时，以投标人自行上传到投标（响应）文件中的相应内容为准。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编制部分：在招标文件中要求投标人按照投标（响应）文件格式进行投标文件编制，在投标文件编制时，应明确将投标单位企业基本情况、资质情况、人员情况、财务情况、业绩情况编入投标文件，便于进行资格审查及评标打分，可使用电子营业执照</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2、投标人递交的资料和投标（响应）文件不论成交与否均不予退还；</w:t>
      </w:r>
      <w:r>
        <w:rPr>
          <w:rFonts w:hint="eastAsia" w:ascii="宋体" w:hAnsi="宋体" w:eastAsia="宋体" w:cs="宋体"/>
          <w:color w:val="auto"/>
          <w:sz w:val="24"/>
          <w:szCs w:val="24"/>
          <w:highlight w:val="none"/>
        </w:rPr>
        <w:t>投标所发生一切费用由各投标人自行承担，并承担相应的风险和责任。</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同一投标单位可以同时对多个标段进行投标，但最多取得其中一个标段的第一中标候选人资格。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本项目为电子化、无纸化交易项目，开标时不再接受任何纸质资料，为保证您能投标成功，请需仔细阅读招标文件和三门峡市公共资源交易中心官网业务办理指南。</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九、发布公告的媒介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本次招标公告在《河南省政府采购网》《中国采购与招标网》、《三门峡市公共资源交易中心网》上发布， 招标公告期限为五个工作日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十、联系方式</w:t>
      </w:r>
    </w:p>
    <w:bookmarkEnd w:id="13"/>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监督单位：</w:t>
      </w:r>
      <w:r>
        <w:rPr>
          <w:rFonts w:hint="eastAsia" w:ascii="宋体" w:hAnsi="宋体" w:eastAsia="宋体" w:cs="宋体"/>
          <w:color w:val="auto"/>
          <w:sz w:val="24"/>
          <w:szCs w:val="24"/>
          <w:highlight w:val="none"/>
          <w:lang w:eastAsia="zh-CN"/>
        </w:rPr>
        <w:t>灵宝市财政局政府采购监督管理科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0398-8852670</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监督单位：</w:t>
      </w:r>
      <w:r>
        <w:rPr>
          <w:rFonts w:hint="eastAsia" w:ascii="宋体" w:hAnsi="宋体" w:eastAsia="宋体" w:cs="宋体"/>
          <w:color w:val="000000"/>
          <w:sz w:val="24"/>
          <w:szCs w:val="24"/>
          <w:highlight w:val="none"/>
          <w:lang w:val="en-US" w:eastAsia="zh-CN"/>
        </w:rPr>
        <w:t>中共灵宝市</w:t>
      </w:r>
      <w:r>
        <w:rPr>
          <w:rFonts w:hint="eastAsia" w:ascii="宋体" w:hAnsi="宋体" w:cs="宋体"/>
          <w:color w:val="000000"/>
          <w:sz w:val="24"/>
          <w:szCs w:val="24"/>
          <w:highlight w:val="none"/>
          <w:lang w:val="en-US" w:eastAsia="zh-CN"/>
        </w:rPr>
        <w:t>寺河乡</w:t>
      </w:r>
      <w:r>
        <w:rPr>
          <w:rFonts w:hint="eastAsia" w:ascii="宋体" w:hAnsi="宋体" w:eastAsia="宋体" w:cs="宋体"/>
          <w:color w:val="000000"/>
          <w:sz w:val="24"/>
          <w:szCs w:val="24"/>
          <w:highlight w:val="none"/>
          <w:lang w:val="en-US" w:eastAsia="zh-CN"/>
        </w:rPr>
        <w:t>纪律检查委员会</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0398-6368806</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eastAsia="zh-CN"/>
        </w:rPr>
        <w:t>灵宝市寺河乡人民政府</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eastAsia="zh-CN"/>
        </w:rPr>
        <w:t>灵宝市寺河乡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张先生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val="en-US" w:eastAsia="zh-CN"/>
        </w:rPr>
        <w:t>13569618136</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建达国信工程管理有限公司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cs="宋体"/>
          <w:color w:val="auto"/>
          <w:sz w:val="24"/>
          <w:szCs w:val="24"/>
          <w:highlight w:val="none"/>
          <w:lang w:val="en-US" w:eastAsia="zh-CN"/>
        </w:rPr>
        <w:t>河南省郑州市高新技术产业开发区翠竹街1号72幢10层10号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梁女士</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val="en-US" w:eastAsia="zh-CN"/>
        </w:rPr>
        <w:t>15239802001</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rFonts w:hint="eastAsia"/>
          <w:b/>
          <w:bCs/>
          <w:color w:val="auto"/>
          <w:highlight w:val="none"/>
        </w:rPr>
        <w:t>附件格式：</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书面声明</w:t>
      </w: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灵宝市寺河乡人民政府</w:t>
      </w: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我公司具有履行合同所须的资金、设备及能力,具有健全的财务会计制度,没有处于被责令停业、无法清偿到期债务或破产状态,且企业或企业资产未被重组、接管和冻结；</w:t>
      </w: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我公司三年内没有重大违法犯罪记录和重大失信行为；三年内没有经司法机关裁定存在组织或个人行贿行为；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我公司符合本项目规定的投标人资格所有要求；</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在相关案件查办时，我公司积极配合提供证据、作证的义务，如果发生拒不配合调查工作的情形，招标人有权采取警示约谈、降低考核评价分数、降低供货份额、缩短服务期限、终止或解除合同等多种处理措施。</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特此声明</w:t>
      </w:r>
    </w:p>
    <w:p>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u w:val="singl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pPr>
        <w:pageBreakBefore w:val="0"/>
        <w:kinsoku/>
        <w:overflowPunct/>
        <w:bidi w:val="0"/>
        <w:adjustRightInd w:val="0"/>
        <w:snapToGrid w:val="0"/>
        <w:spacing w:beforeAutospacing="0" w:afterAutospacing="0" w:line="360" w:lineRule="auto"/>
        <w:ind w:left="0" w:leftChars="0" w:right="0" w:rightChars="0"/>
        <w:jc w:val="center"/>
        <w:rPr>
          <w:b/>
          <w:bCs/>
          <w:color w:val="auto"/>
          <w:sz w:val="32"/>
          <w:szCs w:val="32"/>
          <w:highlight w:val="none"/>
        </w:rPr>
      </w:pPr>
      <w:r>
        <w:rPr>
          <w:rFonts w:hint="eastAsia" w:ascii="宋体" w:hAnsi="宋体" w:eastAsia="宋体" w:cs="宋体"/>
          <w:color w:val="auto"/>
          <w:sz w:val="24"/>
          <w:szCs w:val="24"/>
          <w:highlight w:val="none"/>
        </w:rPr>
        <w:br w:type="page"/>
      </w:r>
      <w:bookmarkStart w:id="14" w:name="_Toc9342"/>
      <w:r>
        <w:rPr>
          <w:rFonts w:hint="eastAsia"/>
          <w:b/>
          <w:bCs/>
          <w:color w:val="auto"/>
          <w:sz w:val="32"/>
          <w:szCs w:val="32"/>
          <w:highlight w:val="none"/>
        </w:rPr>
        <w:t>第二章  投标人须知</w:t>
      </w:r>
      <w:bookmarkEnd w:id="11"/>
      <w:bookmarkEnd w:id="14"/>
    </w:p>
    <w:bookmarkEnd w:id="5"/>
    <w:bookmarkEnd w:id="6"/>
    <w:bookmarkEnd w:id="7"/>
    <w:bookmarkEnd w:id="8"/>
    <w:bookmarkEnd w:id="9"/>
    <w:p>
      <w:pPr>
        <w:pageBreakBefore w:val="0"/>
        <w:kinsoku/>
        <w:overflowPunct/>
        <w:bidi w:val="0"/>
        <w:adjustRightInd w:val="0"/>
        <w:snapToGrid w:val="0"/>
        <w:spacing w:beforeAutospacing="0" w:afterAutospacing="0" w:line="360" w:lineRule="auto"/>
        <w:ind w:left="0" w:leftChars="0" w:right="0" w:rightChars="0"/>
        <w:jc w:val="both"/>
        <w:rPr>
          <w:b/>
          <w:bCs/>
          <w:color w:val="auto"/>
          <w:sz w:val="32"/>
          <w:szCs w:val="32"/>
          <w:highlight w:val="none"/>
        </w:rPr>
      </w:pPr>
      <w:bookmarkStart w:id="15" w:name="_Toc32538"/>
      <w:bookmarkStart w:id="16" w:name="_Toc375647565"/>
      <w:bookmarkStart w:id="17" w:name="_Toc257107752"/>
      <w:bookmarkStart w:id="18" w:name="_Toc235706389"/>
      <w:bookmarkStart w:id="19" w:name="_Toc247965799"/>
      <w:bookmarkStart w:id="20" w:name="_Toc374376333"/>
      <w:r>
        <w:rPr>
          <w:rFonts w:hint="eastAsia"/>
          <w:b/>
          <w:bCs/>
          <w:color w:val="auto"/>
          <w:sz w:val="32"/>
          <w:szCs w:val="32"/>
          <w:highlight w:val="none"/>
        </w:rPr>
        <w:t>投标人须知前附表</w:t>
      </w:r>
      <w:bookmarkEnd w:id="15"/>
      <w:bookmarkEnd w:id="16"/>
      <w:bookmarkEnd w:id="17"/>
      <w:bookmarkEnd w:id="18"/>
      <w:bookmarkEnd w:id="19"/>
      <w:bookmarkEnd w:id="2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946"/>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招标人：灵宝市寺河乡人民政府</w:t>
            </w:r>
          </w:p>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地址：灵宝市寺河乡</w:t>
            </w:r>
          </w:p>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联系人：张先生</w:t>
            </w:r>
          </w:p>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电话：13569618136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招标代理机构：建达国信工程管理有限公司</w:t>
            </w:r>
          </w:p>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地址：河南省郑州市高新技术产业开发区翠竹街1号72幢10层10号</w:t>
            </w:r>
          </w:p>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联系人：梁女士</w:t>
            </w:r>
          </w:p>
          <w:p>
            <w:pPr>
              <w:pageBreakBefore w:val="0"/>
              <w:kinsoku/>
              <w:overflowPunct/>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电话：15239802001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olor w:val="auto"/>
                <w:sz w:val="24"/>
                <w:szCs w:val="24"/>
                <w:highlight w:val="none"/>
                <w:lang w:eastAsia="zh-CN"/>
              </w:rPr>
              <w:t>灵宝市寺河乡人民政府2024年灵宝市寺河乡烟叶电烤房项目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实施地点</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灵宝市</w:t>
            </w:r>
            <w:r>
              <w:rPr>
                <w:rFonts w:hint="eastAsia" w:ascii="宋体" w:hAnsi="宋体" w:cs="宋体"/>
                <w:color w:val="auto"/>
                <w:sz w:val="24"/>
                <w:szCs w:val="24"/>
                <w:highlight w:val="none"/>
                <w:lang w:val="en-US" w:eastAsia="zh-CN"/>
              </w:rPr>
              <w:t>寺河乡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财政资金</w:t>
            </w:r>
            <w:r>
              <w:rPr>
                <w:rFonts w:hint="eastAsia" w:ascii="宋体" w:hAnsi="宋体" w:cs="宋体"/>
                <w:color w:val="auto"/>
                <w:sz w:val="24"/>
                <w:szCs w:val="24"/>
                <w:highlight w:val="none"/>
                <w:lang w:val="en-US" w:eastAsia="zh-CN"/>
              </w:rPr>
              <w:t>加自筹资金</w:t>
            </w:r>
            <w:r>
              <w:rPr>
                <w:rFonts w:hint="eastAsia" w:ascii="宋体" w:hAnsi="宋体" w:cs="宋体"/>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招标内容</w:t>
            </w:r>
          </w:p>
        </w:tc>
        <w:tc>
          <w:tcPr>
            <w:tcW w:w="65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一标段：在寺河乡寺河村、朝阳村新建内室长8米、宽2.78米、高4.2米电能烤房30座。其中寺河村20座、朝阳村10座。</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二标段：在寺河乡寺河村、朝阳村分别安装配套变压器800KVA1台、400KVA 1台，共2台。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交货期</w:t>
            </w:r>
          </w:p>
        </w:tc>
        <w:tc>
          <w:tcPr>
            <w:tcW w:w="65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自合同签订之日起45日历天内交货并安装调试完毕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5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eastAsia="zh-CN"/>
              </w:rPr>
              <w:t>一标段：</w:t>
            </w:r>
            <w:r>
              <w:rPr>
                <w:rFonts w:hint="eastAsia" w:ascii="宋体" w:hAnsi="宋体"/>
                <w:color w:val="auto"/>
                <w:sz w:val="24"/>
                <w:szCs w:val="24"/>
                <w:highlight w:val="none"/>
              </w:rPr>
              <w:t>达到国家相关法律、法规规定的生产、制造、验收合格标准，并符合《空气源热泵密集烤房》（Q/HNYC 050-2020）要求及满足需方使用要求。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标段：</w:t>
            </w:r>
            <w:r>
              <w:rPr>
                <w:rFonts w:hint="eastAsia" w:ascii="宋体" w:hAnsi="宋体"/>
                <w:color w:val="auto"/>
                <w:sz w:val="24"/>
                <w:szCs w:val="24"/>
                <w:highlight w:val="none"/>
              </w:rPr>
              <w:t>符合国家规定，达到正常运行使用条件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65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eastAsia="zh-CN"/>
              </w:rPr>
              <w:t>一标段</w:t>
            </w:r>
            <w:r>
              <w:rPr>
                <w:rFonts w:hint="eastAsia" w:ascii="宋体" w:hAnsi="宋体"/>
                <w:color w:val="auto"/>
                <w:sz w:val="24"/>
                <w:szCs w:val="24"/>
                <w:highlight w:val="none"/>
              </w:rPr>
              <w:t>质保期自验收合格之日起</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标段</w:t>
            </w:r>
            <w:r>
              <w:rPr>
                <w:rFonts w:hint="eastAsia" w:ascii="宋体" w:hAnsi="宋体"/>
                <w:color w:val="auto"/>
                <w:sz w:val="24"/>
                <w:szCs w:val="24"/>
                <w:highlight w:val="none"/>
              </w:rPr>
              <w:t>质保期自验收合格之日起1年。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投标人资格要求</w:t>
            </w:r>
          </w:p>
        </w:tc>
        <w:tc>
          <w:tcPr>
            <w:tcW w:w="65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详见招标文件第一章招标公告“三、投标人资格要求”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946" w:type="dxa"/>
            <w:tcMar>
              <w:top w:w="0" w:type="dxa"/>
              <w:left w:w="0" w:type="dxa"/>
              <w:bottom w:w="0" w:type="dxa"/>
              <w:right w:w="0" w:type="dxa"/>
            </w:tcMar>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946" w:type="dxa"/>
            <w:tcMar>
              <w:top w:w="0" w:type="dxa"/>
              <w:left w:w="0" w:type="dxa"/>
              <w:bottom w:w="0" w:type="dxa"/>
              <w:right w:w="0" w:type="dxa"/>
            </w:tcMar>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招标人不组织投标人踏勘现场，投标人自行踏勘现场。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分包或转包</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允许正偏离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的其他材料</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补充、答疑文件（如有）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投标人要求澄清招标文件的截止时间</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投标截止时间</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94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招标文件修改发出的形式</w:t>
            </w:r>
          </w:p>
        </w:tc>
        <w:tc>
          <w:tcPr>
            <w:tcW w:w="65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b/>
                <w:color w:val="auto"/>
                <w:sz w:val="24"/>
                <w:szCs w:val="24"/>
                <w:highlight w:val="none"/>
              </w:rPr>
            </w:pPr>
            <w:r>
              <w:rPr>
                <w:rFonts w:hint="eastAsia" w:ascii="宋体" w:hAnsi="宋体" w:cs="MingLiU"/>
                <w:color w:val="auto"/>
                <w:kern w:val="0"/>
                <w:sz w:val="24"/>
                <w:highlight w:val="none"/>
              </w:rPr>
              <w:t>在三门峡市公共资源交易中心电子招标投标平台上</w:t>
            </w:r>
            <w:r>
              <w:rPr>
                <w:rFonts w:hint="eastAsia" w:ascii="宋体" w:hAnsi="宋体" w:cs="宋体"/>
                <w:color w:val="auto"/>
                <w:kern w:val="0"/>
                <w:sz w:val="24"/>
                <w:szCs w:val="24"/>
                <w:highlight w:val="none"/>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194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招标文件的异议提出时间</w:t>
            </w:r>
          </w:p>
        </w:tc>
        <w:tc>
          <w:tcPr>
            <w:tcW w:w="65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的其他材料</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招标文件中要求提交和投标人认为有利于其投标的其他资料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招标控制价</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（含税）</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1标段：</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olor w:val="auto"/>
                <w:sz w:val="24"/>
                <w:szCs w:val="24"/>
                <w:highlight w:val="none"/>
              </w:rPr>
              <w:t>招标控制总价：</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lang w:val="en-US" w:eastAsia="zh-CN"/>
              </w:rPr>
              <w:t>贰佰柒拾陆万元整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2760000.00</w:t>
            </w:r>
            <w:r>
              <w:rPr>
                <w:rFonts w:hint="eastAsia" w:ascii="宋体" w:hAnsi="宋体" w:cs="宋体"/>
                <w:color w:val="auto"/>
                <w:sz w:val="24"/>
                <w:szCs w:val="24"/>
                <w:highlight w:val="none"/>
              </w:rPr>
              <w:t>元）。</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2标段：</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招标控制总价：人民币</w:t>
            </w:r>
            <w:r>
              <w:rPr>
                <w:rFonts w:hint="eastAsia" w:ascii="宋体" w:hAnsi="宋体" w:cs="宋体"/>
                <w:color w:val="auto"/>
                <w:sz w:val="24"/>
                <w:szCs w:val="24"/>
                <w:highlight w:val="none"/>
                <w:lang w:val="en-US" w:eastAsia="zh-CN"/>
              </w:rPr>
              <w:t>叁拾壹万元整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310000.00元</w:t>
            </w:r>
            <w:r>
              <w:rPr>
                <w:rFonts w:hint="eastAsia" w:ascii="宋体" w:hAnsi="宋体" w:cs="宋体"/>
                <w:color w:val="auto"/>
                <w:sz w:val="24"/>
                <w:szCs w:val="24"/>
                <w:highlight w:val="none"/>
              </w:rPr>
              <w:t>）。</w:t>
            </w:r>
            <w:bookmarkStart w:id="21" w:name="_Hlk97812264"/>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s="宋体"/>
                <w:color w:val="auto"/>
                <w:sz w:val="24"/>
                <w:szCs w:val="24"/>
                <w:highlight w:val="none"/>
              </w:rPr>
              <w:t>招标控制价为投标最高限价，投标人投标报价超过所投标段招标控制价的，投标文件按无效标处理。</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自投标文件递交截止之日起60日历天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投标保证金</w:t>
            </w:r>
          </w:p>
        </w:tc>
        <w:tc>
          <w:tcPr>
            <w:tcW w:w="6596" w:type="dxa"/>
          </w:tcPr>
          <w:p>
            <w:pPr>
              <w:pageBreakBefore w:val="0"/>
              <w:kinsoku/>
              <w:overflowPunct/>
              <w:bidi w:val="0"/>
              <w:adjustRightInd w:val="0"/>
              <w:snapToGrid w:val="0"/>
              <w:spacing w:beforeAutospacing="0" w:afterAutospacing="0" w:line="360" w:lineRule="auto"/>
              <w:ind w:left="0" w:leftChars="0" w:right="0" w:rightChars="0" w:firstLine="240" w:firstLineChars="100"/>
              <w:rPr>
                <w:rFonts w:hint="eastAsia"/>
                <w:color w:val="auto"/>
                <w:highlight w:val="none"/>
              </w:rPr>
            </w:pPr>
            <w:r>
              <w:rPr>
                <w:rFonts w:hint="eastAsia" w:ascii="宋体" w:hAnsi="宋体" w:eastAsia="宋体" w:cs="宋体"/>
                <w:color w:val="auto"/>
                <w:kern w:val="0"/>
                <w:sz w:val="24"/>
                <w:szCs w:val="24"/>
                <w:highlight w:val="none"/>
              </w:rPr>
              <w:t>按照《河南省财政厅关于优化政府招标营商环境有关问题的通知》（豫财购[2019]4号文）的要求本项目不再收取投标保证金。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签字或盖章要求</w:t>
            </w:r>
          </w:p>
        </w:tc>
        <w:tc>
          <w:tcPr>
            <w:tcW w:w="6596" w:type="dxa"/>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sz w:val="24"/>
                <w:szCs w:val="24"/>
                <w:highlight w:val="none"/>
              </w:rPr>
            </w:pPr>
            <w:r>
              <w:rPr>
                <w:rFonts w:hint="eastAsia" w:ascii="宋体" w:hAnsi="宋体" w:cs="Courier New"/>
                <w:color w:val="auto"/>
                <w:sz w:val="24"/>
                <w:szCs w:val="24"/>
                <w:highlight w:val="none"/>
              </w:rPr>
              <w:t>1．</w:t>
            </w:r>
            <w:bookmarkStart w:id="207" w:name="_GoBack"/>
            <w:r>
              <w:rPr>
                <w:rFonts w:hint="eastAsia" w:ascii="宋体" w:hAnsi="宋体" w:cs="Courier New"/>
                <w:color w:val="auto"/>
                <w:sz w:val="24"/>
                <w:szCs w:val="24"/>
                <w:highlight w:val="none"/>
              </w:rPr>
              <w:t>投标人在生成电子化投标文件后，应对电子化投标文件进行签章，未进行签章的视为无效投标。</w:t>
            </w:r>
            <w:bookmarkEnd w:id="207"/>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sz w:val="24"/>
                <w:szCs w:val="24"/>
                <w:highlight w:val="none"/>
              </w:rPr>
            </w:pPr>
            <w:r>
              <w:rPr>
                <w:rFonts w:hint="eastAsia" w:ascii="宋体" w:hAnsi="宋体" w:cs="Courier New"/>
                <w:color w:val="auto"/>
                <w:sz w:val="24"/>
                <w:szCs w:val="24"/>
                <w:highlight w:val="none"/>
              </w:rPr>
              <w:t>2．投标文件中须加盖公章的地方均应使用投标人企业的 CA 印章进行签章；所有要求法定代表人盖章的地方均应使用投标人法定代表人的CA 印章进行签章。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default" w:ascii="宋体" w:hAnsi="宋体" w:eastAsia="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27</w:t>
            </w:r>
          </w:p>
        </w:tc>
        <w:tc>
          <w:tcPr>
            <w:tcW w:w="194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Courier New"/>
                <w:b w:val="0"/>
                <w:bCs w:val="0"/>
                <w:color w:val="auto"/>
                <w:kern w:val="0"/>
                <w:sz w:val="24"/>
                <w:szCs w:val="24"/>
                <w:highlight w:val="none"/>
              </w:rPr>
            </w:pPr>
            <w:r>
              <w:rPr>
                <w:rFonts w:hint="eastAsia" w:ascii="宋体" w:hAnsi="宋体" w:cs="Courier New"/>
                <w:b w:val="0"/>
                <w:bCs w:val="0"/>
                <w:color w:val="auto"/>
                <w:sz w:val="24"/>
                <w:szCs w:val="24"/>
                <w:highlight w:val="none"/>
              </w:rPr>
              <w:t>电子投标文件要求</w:t>
            </w:r>
          </w:p>
        </w:tc>
        <w:tc>
          <w:tcPr>
            <w:tcW w:w="65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1．投标人所上传的电子化投标文件，应是通过中心投标文件制作系统制作的（投标文件制作工具下载地址：</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ascii="宋体" w:hAnsi="宋体" w:cs="Courier New"/>
                <w:b w:val="0"/>
                <w:bCs w:val="0"/>
                <w:color w:val="auto"/>
                <w:kern w:val="0"/>
                <w:sz w:val="24"/>
                <w:szCs w:val="24"/>
                <w:highlight w:val="none"/>
              </w:rPr>
              <w:t>https://download.bqpoint.com/download/downloadlist.html?SoftTypeCode=03</w:t>
            </w:r>
            <w:r>
              <w:rPr>
                <w:rFonts w:hint="eastAsia" w:ascii="宋体" w:hAnsi="宋体" w:cs="Courier New"/>
                <w:b w:val="0"/>
                <w:bCs w:val="0"/>
                <w:color w:val="auto"/>
                <w:kern w:val="0"/>
                <w:sz w:val="24"/>
                <w:szCs w:val="24"/>
                <w:highlight w:val="none"/>
              </w:rPr>
              <w:t>），经过签章和加密后生成的电子版投标文件。其中包含用于投标文件上传的主文件（后缀为.smxtf）和用于应急补救的投标文件备份文件（后缀为.nsmxtf）。</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2．电子化投标文件应在投标截止时间前成功上传至三门峡市公共资源电子化交易系统。至投标截止时间止，仍未上传成功的电子化投标文件将不予接收。</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注：（1）投标人报多个标段的，每个标段都要生成独立的电子投标文件。</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如按照电子化投标操作教材制作完成的电子化投标文件无法上传的，投标人应在投标截止时间前尽早的联系中心技术人员（0398-3117871），以便有充分的时间进行处理。投标人应充分考虑到处理技术问题和上传数据等工作所需的时间问题，投标文件未在投标截止时间前成功上传的，其投标文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递交投标文件地点</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加密的电子投标文件上传至</w:t>
            </w:r>
            <w:r>
              <w:rPr>
                <w:rFonts w:hint="eastAsia" w:ascii="宋体" w:hAnsi="宋体" w:cs="宋体"/>
                <w:b w:val="0"/>
                <w:bCs w:val="0"/>
                <w:color w:val="auto"/>
                <w:kern w:val="0"/>
                <w:sz w:val="24"/>
                <w:szCs w:val="24"/>
                <w:highlight w:val="none"/>
              </w:rPr>
              <w:t>三门峡市公共资源交易中心系统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是否退还投标文件</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开标时间</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和地点</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开标程序及注意事项</w:t>
            </w:r>
          </w:p>
        </w:tc>
        <w:tc>
          <w:tcPr>
            <w:tcW w:w="6596" w:type="dxa"/>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auto"/>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2．电子化投标文件采用一次加密方式。开标时，由投标人使用CA 证书，在规定时间内对其电子化投标文件进行解密。每位投标人的解密时间为开标时间起30分钟，因投标人原因未能解密、解密失败或解密超时的将不予接受。</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3．电子化投标文件解密异常的处理</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如出现投标人的电子投标文件无法解密等异常情况，投标人应及时致电招标代理机构说明。投标文件异常，按以下步骤进行处理：</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（1）首先由技术人员进行问题排查。</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（2）经技术人员排查后，是投标人文件自身问题导致投标文件无法解密的，该投标文件将不予接收、解密和唱标。开标会议继续进行。</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3）经技术人员排查后，如果是电子化交易系统问题造成投标文件无法解密的，将由技术人员对问题进行处理。如短时间内问题无法解决的，将由招标代理机构向监督部门申请，经监督部门同意后，暂停开标会议，待问题解决后继续开标。</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4．待所有投标人投标文件解密完成后，由招标代理机构操作，对所有已解密投标文件进行唱标。</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5．开标时投标人可登录到交易系统中在开标解密栏中点击报价一览表查看自己的投标报价。如对自己的唱标内容有异议的，应在投标人解密成功后10分钟内向</w:t>
            </w:r>
            <w:r>
              <w:rPr>
                <w:rFonts w:hint="eastAsia" w:ascii="宋体" w:hAnsi="宋体" w:cs="宋体"/>
                <w:b w:val="0"/>
                <w:bCs w:val="0"/>
                <w:color w:val="auto"/>
                <w:sz w:val="24"/>
                <w:highlight w:val="none"/>
              </w:rPr>
              <w:t>招标代理机构</w:t>
            </w:r>
            <w:r>
              <w:rPr>
                <w:rFonts w:hint="eastAsia" w:ascii="宋体" w:hAnsi="宋体" w:cs="Courier New"/>
                <w:b w:val="0"/>
                <w:bCs w:val="0"/>
                <w:color w:val="auto"/>
                <w:kern w:val="0"/>
                <w:sz w:val="24"/>
                <w:szCs w:val="24"/>
                <w:highlight w:val="none"/>
              </w:rPr>
              <w:t>电话质疑。招标代理机构应在监督人员的监督下进行免提通话接受投标人的质疑并做好书面记录。投标人未在规定时间内提出质疑的，视为认可唱标内容。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596" w:type="dxa"/>
            <w:vAlign w:val="center"/>
          </w:tcPr>
          <w:p>
            <w:pPr>
              <w:pageBreakBefore w:val="0"/>
              <w:tabs>
                <w:tab w:val="left" w:pos="1240"/>
                <w:tab w:val="left" w:pos="2720"/>
              </w:tabs>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color w:val="auto"/>
                <w:kern w:val="0"/>
                <w:sz w:val="24"/>
                <w:szCs w:val="24"/>
                <w:highlight w:val="none"/>
              </w:rPr>
            </w:pPr>
            <w:r>
              <w:rPr>
                <w:rFonts w:hint="eastAsia" w:ascii="宋体" w:hAnsi="宋体" w:cs="宋体"/>
                <w:color w:val="auto"/>
                <w:spacing w:val="2"/>
                <w:kern w:val="0"/>
                <w:sz w:val="24"/>
                <w:szCs w:val="24"/>
                <w:highlight w:val="none"/>
              </w:rPr>
              <w:t>评标</w:t>
            </w:r>
            <w:r>
              <w:rPr>
                <w:rFonts w:hint="eastAsia" w:ascii="宋体" w:hAnsi="宋体" w:cs="宋体"/>
                <w:color w:val="auto"/>
                <w:spacing w:val="4"/>
                <w:kern w:val="0"/>
                <w:sz w:val="24"/>
                <w:szCs w:val="24"/>
                <w:highlight w:val="none"/>
              </w:rPr>
              <w:t>委</w:t>
            </w:r>
            <w:r>
              <w:rPr>
                <w:rFonts w:hint="eastAsia" w:ascii="宋体" w:hAnsi="宋体" w:cs="宋体"/>
                <w:color w:val="auto"/>
                <w:spacing w:val="2"/>
                <w:kern w:val="0"/>
                <w:sz w:val="24"/>
                <w:szCs w:val="24"/>
                <w:highlight w:val="none"/>
              </w:rPr>
              <w:t>员</w:t>
            </w:r>
            <w:r>
              <w:rPr>
                <w:rFonts w:hint="eastAsia" w:ascii="宋体" w:hAnsi="宋体" w:cs="宋体"/>
                <w:color w:val="auto"/>
                <w:spacing w:val="4"/>
                <w:kern w:val="0"/>
                <w:sz w:val="24"/>
                <w:szCs w:val="24"/>
                <w:highlight w:val="none"/>
              </w:rPr>
              <w:t>会</w:t>
            </w:r>
            <w:r>
              <w:rPr>
                <w:rFonts w:hint="eastAsia" w:ascii="宋体" w:hAnsi="宋体" w:cs="宋体"/>
                <w:color w:val="auto"/>
                <w:spacing w:val="2"/>
                <w:kern w:val="0"/>
                <w:sz w:val="24"/>
                <w:szCs w:val="24"/>
                <w:highlight w:val="none"/>
              </w:rPr>
              <w:t>构成：</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rPr>
              <w:t>人，</w:t>
            </w:r>
            <w:r>
              <w:rPr>
                <w:rFonts w:hint="eastAsia" w:ascii="宋体" w:hAnsi="宋体" w:cs="宋体"/>
                <w:color w:val="auto"/>
                <w:sz w:val="24"/>
                <w:szCs w:val="24"/>
                <w:highlight w:val="none"/>
              </w:rPr>
              <w:t>由招标人代表</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人及</w:t>
            </w:r>
            <w:r>
              <w:rPr>
                <w:rFonts w:hint="eastAsia" w:ascii="宋体" w:hAnsi="宋体" w:cs="宋体"/>
                <w:color w:val="auto"/>
                <w:kern w:val="0"/>
                <w:sz w:val="24"/>
                <w:szCs w:val="24"/>
                <w:highlight w:val="none"/>
              </w:rPr>
              <w:t>技术、经济方面的专家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人组成；</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技术、经济方面评标专家确定方式：</w:t>
            </w:r>
            <w:r>
              <w:rPr>
                <w:rFonts w:hint="eastAsia" w:ascii="宋体" w:hAnsi="宋体" w:cs="Courier New"/>
                <w:color w:val="auto"/>
                <w:kern w:val="0"/>
                <w:sz w:val="24"/>
                <w:szCs w:val="24"/>
                <w:highlight w:val="none"/>
              </w:rPr>
              <w:t>在开标前由监督人代表及招标人代表从综合评标专家库中随机抽取</w:t>
            </w:r>
            <w:r>
              <w:rPr>
                <w:rFonts w:hint="eastAsia" w:ascii="宋体" w:hAnsi="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是否授权评标委员会确定</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中标人</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否，评标委员会按照下列要求，从高分到低分顺序向招标人每标段推荐1-3名中标候选人。</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同一投标单位可以同时对多个标段进行投标，但最多取得其中一个标段的第一中标候选人资格。</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排名第一的成交候选人若放弃中标、因不可抗力提出不能履行合同，招标人可以确定排名第二的成交候选人为中标人。排名第二的成交候选人因前款原因不能签订合同的，招标人可以确定排名第三的成交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履约能力审查</w:t>
            </w:r>
          </w:p>
        </w:tc>
        <w:tc>
          <w:tcPr>
            <w:tcW w:w="6596"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有权对中标候选人投标文件中所附的相关证明材料、证件等真实性进行实地考察，如发现与投标文件所提供的相关资料不符、存在弄虚作假行为，将根据相关法律、法规的规定，取消其中标资格，顺延至其它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r>
              <w:rPr>
                <w:rFonts w:hint="eastAsia" w:ascii="宋体" w:hAnsi="宋体"/>
                <w:color w:val="auto"/>
                <w:sz w:val="24"/>
                <w:szCs w:val="24"/>
                <w:highlight w:val="none"/>
              </w:rPr>
              <w:t>其他定标情形</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ascii="宋体" w:hAnsi="宋体" w:cs="宋体"/>
                <w:color w:val="auto"/>
                <w:sz w:val="24"/>
                <w:szCs w:val="24"/>
                <w:highlight w:val="none"/>
              </w:rPr>
              <w:t>排名第一的中标候选人放弃中标、因不可抗力不能履行合同、不按照招标文件要求提交履约保证金，</w:t>
            </w:r>
            <w:r>
              <w:rPr>
                <w:rFonts w:hint="eastAsia" w:ascii="宋体" w:hAnsi="宋体" w:cs="宋体"/>
                <w:color w:val="auto"/>
                <w:sz w:val="24"/>
                <w:szCs w:val="24"/>
                <w:highlight w:val="none"/>
              </w:rPr>
              <w:t>未通过中标候选人履约能力审查的</w:t>
            </w:r>
            <w:r>
              <w:rPr>
                <w:rFonts w:ascii="宋体" w:hAnsi="宋体" w:cs="宋体"/>
                <w:color w:val="auto"/>
                <w:sz w:val="24"/>
                <w:szCs w:val="24"/>
                <w:highlight w:val="none"/>
              </w:rPr>
              <w:t>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履约担保</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甲乙双方协商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1946" w:type="dxa"/>
            <w:vAlign w:val="center"/>
          </w:tcPr>
          <w:p>
            <w:pPr>
              <w:pStyle w:val="17"/>
              <w:pageBreakBefore w:val="0"/>
              <w:tabs>
                <w:tab w:val="left" w:pos="219"/>
              </w:tabs>
              <w:kinsoku/>
              <w:overflowPunct/>
              <w:bidi w:val="0"/>
              <w:adjustRightInd w:val="0"/>
              <w:snapToGrid w:val="0"/>
              <w:spacing w:beforeAutospacing="0" w:after="0" w:afterAutospacing="0" w:line="360" w:lineRule="auto"/>
              <w:ind w:left="0" w:leftChars="0" w:right="0" w:righ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jc w:val="both"/>
              <w:rPr>
                <w:rFonts w:hint="eastAsia" w:ascii="宋体" w:hAnsi="宋体" w:eastAsia="宋体"/>
                <w:b/>
                <w:bCs/>
                <w:color w:val="auto"/>
                <w:sz w:val="24"/>
                <w:szCs w:val="24"/>
                <w:highlight w:val="none"/>
                <w:lang w:val="en-US" w:eastAsia="zh-CN"/>
              </w:rPr>
            </w:pPr>
            <w:r>
              <w:rPr>
                <w:rFonts w:hint="eastAsia" w:ascii="宋体" w:hAnsi="宋体" w:cs="宋体"/>
                <w:color w:val="auto"/>
                <w:sz w:val="24"/>
                <w:szCs w:val="24"/>
                <w:highlight w:val="none"/>
                <w:lang w:val="en-US" w:eastAsia="zh-CN"/>
              </w:rPr>
              <w:t>甲乙双方协商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1946" w:type="dxa"/>
            <w:vAlign w:val="center"/>
          </w:tcPr>
          <w:p>
            <w:pPr>
              <w:pageBreakBefore w:val="0"/>
              <w:kinsoku/>
              <w:wordWrap w:val="0"/>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中标结果公告媒介及期限</w:t>
            </w:r>
          </w:p>
        </w:tc>
        <w:tc>
          <w:tcPr>
            <w:tcW w:w="6596" w:type="dxa"/>
            <w:vAlign w:val="center"/>
          </w:tcPr>
          <w:p>
            <w:pPr>
              <w:pageBreakBefore w:val="0"/>
              <w:kinsoku/>
              <w:wordWrap w:val="0"/>
              <w:overflowPunct/>
              <w:bidi w:val="0"/>
              <w:adjustRightInd w:val="0"/>
              <w:snapToGrid w:val="0"/>
              <w:spacing w:beforeAutospacing="0" w:afterAutospacing="0" w:line="360" w:lineRule="auto"/>
              <w:ind w:left="0" w:leftChars="0" w:right="0" w:rightChars="0"/>
              <w:jc w:val="both"/>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公示媒介：《中国采购与招标网》、《三门峡市公共资源交易中心平台网》、《河南省政府采购网》公示期限：不少于3日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39</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r>
              <w:rPr>
                <w:rFonts w:hint="eastAsia" w:ascii="宋体" w:hAnsi="宋体"/>
                <w:color w:val="auto"/>
                <w:sz w:val="24"/>
                <w:szCs w:val="24"/>
                <w:highlight w:val="none"/>
              </w:rPr>
              <w:t>重新招标的其他情形</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招标人需要补充的其他内容</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（1）投标人所投的设备必须符合国家和行业标准，并达到设计要求，满足项目需要，且所有部件均应为全新的合格产品。</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（2）招标人有权对中标人的设备采购过程进行监督。</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3）投标人必须提供有关投标货物符合招标文件要求的证明文件，这些文件可以是说明书、技术白皮书、产品彩页、检测报告等；投标设备有强制性认证要求的，须提供设备的3C认证证书（如有）。投标货物功能及用途详见“第五章 招标内容及技术要求”。</w:t>
            </w:r>
          </w:p>
          <w:p>
            <w:pPr>
              <w:pageBreakBefore w:val="0"/>
              <w:kinsoku/>
              <w:overflowPunct/>
              <w:bidi w:val="0"/>
              <w:adjustRightInd w:val="0"/>
              <w:snapToGrid w:val="0"/>
              <w:spacing w:beforeAutospacing="0" w:afterAutospacing="0" w:line="360" w:lineRule="auto"/>
              <w:ind w:left="0" w:leftChars="0" w:right="0" w:rightChars="0" w:firstLine="1"/>
              <w:rPr>
                <w:rFonts w:hint="eastAsia" w:ascii="宋体" w:hAnsi="宋体" w:cs="宋体"/>
                <w:color w:val="auto"/>
                <w:sz w:val="24"/>
                <w:szCs w:val="24"/>
                <w:highlight w:val="none"/>
              </w:rPr>
            </w:pPr>
            <w:r>
              <w:rPr>
                <w:rFonts w:hint="eastAsia" w:ascii="宋体" w:hAnsi="宋体"/>
                <w:color w:val="auto"/>
                <w:sz w:val="24"/>
                <w:szCs w:val="24"/>
                <w:highlight w:val="none"/>
              </w:rPr>
              <w:t>（4）中标人对合同义务全面全责；对本项目供货范围内的采购、安装、调试、验收、培训、质保期内外服务、与货物有关的运输和保险及其他伴随服务等全面负责。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其他事项</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参与采购活动的采购人，经调查并报经“三项工作”管理委员会认定有下列行为之一的，即列入河南省烟草公司“黑名单”: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（一）弄虚作假、隐瞒真实情况，骗取认证资格或骗取中标的；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（二）提供虚假材料或采用不正当手段诋毁、排挤其他供应商的；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三）被行业纪检监察部门通报或禁止投标的，包括但不限于以下行为：经审判机关依法判决的行贿行为，被检察机关等执法部门查证属实的行贿行为，烟草行业纪检监察部门在办理信访或案件中查证属实的行贿行为；</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（四）与采购单位、招标代理机构或者其他供应商恶意串通的；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（五）发生围标、串标行为的；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（六）转包或者非法分包的；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（七）中标后无正当理由不与采购单位签订采购合同的；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（八）擅自变更或者终止采购合同的；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（九）采购货物在使用后发现存有质量缺陷造成较大经济损失或安全事故，被采购实施部门或使用单位认定情节严重的；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（十）向采购单位、采购代理机构等行贿或者提供其他不正当利益的；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（十一）未按合同及时交货2次（含）及以上的；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（十二）无正当理由质疑或投诉他人2次（含）及以上的；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（十三）拒绝采购单位监督检查或者提供虚假情况的；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（十四）被省外烟草企业列入“黑名单”的；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（十五）投标产品3年内在工商、质监、行业主管部门抽检中不合格的；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（十六）法律法规规定的其他供应商不良行为的。</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（十七）中标人及其工作人员在监委调查相关案件查办时，有配合提供证据、作证的义务。</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highlight w:val="none"/>
              </w:rPr>
              <w:t>（十八）中标人及其工作人员发生拒不配合监委调查工作的情形，招标人有权采取警示约谈、降低考核评价分数、降低供货份额、缩短服务期限、终止或解除合同等多种处理措施。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194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异议</w:t>
            </w:r>
          </w:p>
        </w:tc>
        <w:tc>
          <w:tcPr>
            <w:tcW w:w="65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1.对招标文件的异议：投标人应仔细阅读招标文件所有内容，如有异议应当在招标文件规定的时间（即投标截止时间10日前）内在三门峡市公共资源交易中心平台一次性提出答疑问题并将异议相应的问题可编辑word版本和盖章后的扫描件发送至招标代理机构邮箱</w:t>
            </w:r>
            <w:r>
              <w:rPr>
                <w:rFonts w:hint="eastAsia" w:ascii="宋体" w:hAnsi="宋体" w:cs="宋体"/>
                <w:color w:val="auto"/>
                <w:sz w:val="24"/>
                <w:szCs w:val="24"/>
                <w:highlight w:val="none"/>
                <w:lang w:eastAsia="zh-CN"/>
              </w:rPr>
              <w:t>645589804@qq.com</w:t>
            </w:r>
            <w:r>
              <w:rPr>
                <w:rFonts w:hint="eastAsia" w:ascii="宋体" w:hAnsi="宋体" w:cs="宋体"/>
                <w:color w:val="auto"/>
                <w:sz w:val="24"/>
                <w:szCs w:val="24"/>
                <w:highlight w:val="none"/>
              </w:rPr>
              <w:t>（下同），招标人或招标代理机构将在收到异议之日起3日内作出答复。在规定时间内，若投标人未提出异议的，则视同投标人理解并认可招标文件，招标人或招标代理机构将不再接收涉及招标文件的异议。</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的异议：投标人或其他利害关系人对本次招标项目的</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有异议的，应当在</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公示期间在三门峡市公共资源交易中心平台线上提出并按照要求发至招标代理机构邮箱，逾期提出的将不予受理。</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（1）投标人提出异议时，应提交异议函和必要的证明材料（质疑函应当包含投标人名称、地址、联系人及联系电话、邮箱；质疑项目的名称、编号；提出异议的日期）。</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异议投标人若委托代理人进行异议的，异议函应列明“授权代表”的有关内容，并在异议函中提交由质疑函投标人签署的授权委托书（法定代表人签字或盖章，并加盖单位公章）。授权委托书应载明委托代理人的姓名、代理事项、具体权限、期限和相关事项。</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（3）异议函的异议事项应具体、明确，并有必要的事实依据和法律依据。</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4）异议投标人若存在捏造事实、伪造材料、以非法手段取得的证明材料（异议投标人无法证明其取得方式合法的，视为非法手段取得的证明材料）将被招标人列入不良行为记录名单，造成损失的应依法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c>
          <w:tcPr>
            <w:tcW w:w="194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olor w:val="auto"/>
                <w:sz w:val="24"/>
                <w:szCs w:val="24"/>
                <w:highlight w:val="none"/>
              </w:rPr>
              <w:t>电子化交易注意事项</w:t>
            </w:r>
          </w:p>
        </w:tc>
        <w:tc>
          <w:tcPr>
            <w:tcW w:w="65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b/>
                <w:color w:val="auto"/>
                <w:kern w:val="0"/>
                <w:sz w:val="24"/>
                <w:szCs w:val="24"/>
                <w:highlight w:val="none"/>
              </w:rPr>
              <w:t>温馨提示：本项目为电子化、无纸化交易项目，为保证您能投标成功，请需仔细阅读以下条款。</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一、电子化项目评标</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1.</w:t>
            </w:r>
            <w:r>
              <w:rPr>
                <w:rFonts w:hint="eastAsia" w:ascii="宋体" w:hAnsi="宋体" w:cs="宋体"/>
                <w:color w:val="auto"/>
                <w:sz w:val="24"/>
                <w:highlight w:val="none"/>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r>
              <w:rPr>
                <w:rFonts w:hint="eastAsia" w:ascii="宋体" w:hAnsi="宋体" w:cs="Courier New"/>
                <w:color w:val="auto"/>
                <w:kern w:val="0"/>
                <w:sz w:val="24"/>
                <w:szCs w:val="24"/>
                <w:highlight w:val="none"/>
              </w:rPr>
              <w:t>。</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2.如评标委员会对需要回复的投标人连续三次致电未接通的，视为投标人放弃回复，评标委员会将自行对需要回复的内容进行认定。</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bCs/>
                <w:color w:val="auto"/>
                <w:kern w:val="0"/>
                <w:sz w:val="24"/>
                <w:szCs w:val="24"/>
                <w:highlight w:val="none"/>
              </w:rPr>
            </w:pPr>
            <w:r>
              <w:rPr>
                <w:rFonts w:hint="eastAsia" w:ascii="宋体" w:hAnsi="宋体" w:cs="Courier New"/>
                <w:b/>
                <w:bCs/>
                <w:color w:val="auto"/>
                <w:kern w:val="0"/>
                <w:sz w:val="24"/>
                <w:szCs w:val="24"/>
                <w:highlight w:val="none"/>
              </w:rPr>
              <w:t>二、相关证书原件的上传</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资格评审部分：</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本项目实行资格后审，</w:t>
            </w:r>
            <w:r>
              <w:rPr>
                <w:rFonts w:hint="eastAsia" w:ascii="宋体" w:hAnsi="宋体" w:cs="Courier New"/>
                <w:b/>
                <w:color w:val="auto"/>
                <w:kern w:val="0"/>
                <w:sz w:val="24"/>
                <w:szCs w:val="24"/>
                <w:highlight w:val="none"/>
              </w:rPr>
              <w:t>资格评审资料以投标文件为准，其上传资料真实性由投标人自行承担，同时，投标人要完善主体库。</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三门峡市公共资源交易平台主体信息库</w:t>
            </w:r>
          </w:p>
          <w:p>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ascii="宋体" w:hAnsi="宋体" w:cs="Courier New"/>
                <w:color w:val="auto"/>
                <w:kern w:val="0"/>
                <w:sz w:val="24"/>
                <w:szCs w:val="24"/>
                <w:highlight w:val="none"/>
              </w:rPr>
            </w:pPr>
            <w:r>
              <w:rPr>
                <w:rFonts w:hint="eastAsia" w:ascii="宋体" w:hAnsi="宋体" w:cs="Courier New"/>
                <w:color w:val="auto"/>
                <w:kern w:val="0"/>
                <w:sz w:val="24"/>
                <w:szCs w:val="24"/>
                <w:highlight w:val="none"/>
              </w:rPr>
              <w:t>（1）具体操作详见《三门峡市公共资源交易平台主体信息库操作手册》。</w:t>
            </w:r>
          </w:p>
          <w:p>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链接地址：http://gzjy.smx.gov.cn/fwzn/004003/20200325/b13aa3fa-a543-403f-b537-82cb417132bd.html</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注：（</w:t>
            </w:r>
            <w:r>
              <w:rPr>
                <w:rFonts w:ascii="宋体" w:hAnsi="宋体" w:cs="Courier New"/>
                <w:color w:val="auto"/>
                <w:kern w:val="0"/>
                <w:sz w:val="24"/>
                <w:szCs w:val="24"/>
                <w:highlight w:val="none"/>
              </w:rPr>
              <w:t>1</w:t>
            </w:r>
            <w:r>
              <w:rPr>
                <w:rFonts w:hint="eastAsia" w:ascii="宋体" w:hAnsi="宋体" w:cs="Courier New"/>
                <w:color w:val="auto"/>
                <w:kern w:val="0"/>
                <w:sz w:val="24"/>
                <w:szCs w:val="24"/>
                <w:highlight w:val="none"/>
              </w:rPr>
              <w:t>）项目中标结果公告时，将同时公示中标候选人主体信息库信息，接受社会监督。</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w:t>
            </w:r>
            <w:r>
              <w:rPr>
                <w:rFonts w:ascii="宋体" w:hAnsi="宋体" w:cs="Courier New"/>
                <w:color w:val="auto"/>
                <w:kern w:val="0"/>
                <w:sz w:val="24"/>
                <w:szCs w:val="24"/>
                <w:highlight w:val="none"/>
              </w:rPr>
              <w:t>2</w:t>
            </w:r>
            <w:r>
              <w:rPr>
                <w:rFonts w:hint="eastAsia" w:ascii="宋体" w:hAnsi="宋体" w:cs="Courier New"/>
                <w:color w:val="auto"/>
                <w:kern w:val="0"/>
                <w:sz w:val="24"/>
                <w:szCs w:val="24"/>
                <w:highlight w:val="none"/>
              </w:rPr>
              <w:t>）投标人需应仔细阅读操作手册，保证上传内容齐全，真实有效，原件扫描件或图片清晰可辨。</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120" w:firstLineChars="5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评标打分部分：</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评标打分部分仍按照100分制原则进行，涉及到资格审查、企业荣誉、企业业绩等计分部分时，以投标单位自行上传到投标文件中的相应内容为准。</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投标文件编制部分：</w:t>
            </w:r>
          </w:p>
          <w:p>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在招标文件中要求投标人按照投标文件格式进行投标文件编制，在投标文件编制时，应将投标单位企业基本情况（如本项目要求）、资质情况（如本项目要求）、人员情况（如本项目要求）、财务情况（如本项目要求）、业绩情况编入投标文件，便于进行资格审查及评标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中标人须补充投标文件要求</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各标段中标人收到中标通知书后三日内，向招标人提供与上传三门峡公共资源交易中心系统一致的电子投标文件的纸质版投标文件4份，电子版1份。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招标代理服务费</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highlight w:val="none"/>
              </w:rPr>
            </w:pPr>
            <w:r>
              <w:rPr>
                <w:rFonts w:hint="eastAsia" w:ascii="宋体" w:hAnsi="宋体" w:cs="Courier New"/>
                <w:color w:val="auto"/>
                <w:kern w:val="0"/>
                <w:sz w:val="24"/>
                <w:szCs w:val="24"/>
                <w:highlight w:val="none"/>
              </w:rPr>
              <w:t>本次招标项目的招标代理服务费</w:t>
            </w:r>
            <w:r>
              <w:rPr>
                <w:rFonts w:hint="eastAsia" w:ascii="宋体" w:hAnsi="宋体" w:cs="Courier New"/>
                <w:color w:val="auto"/>
                <w:kern w:val="0"/>
                <w:sz w:val="24"/>
                <w:szCs w:val="24"/>
                <w:highlight w:val="none"/>
                <w:lang w:eastAsia="zh-CN"/>
              </w:rPr>
              <w:t>，按</w:t>
            </w:r>
            <w:r>
              <w:rPr>
                <w:rFonts w:hint="eastAsia" w:ascii="宋体" w:hAnsi="宋体" w:cs="Courier New"/>
                <w:color w:val="auto"/>
                <w:kern w:val="0"/>
                <w:sz w:val="24"/>
                <w:szCs w:val="24"/>
                <w:highlight w:val="none"/>
                <w:lang w:val="en-US" w:eastAsia="zh-CN"/>
              </w:rPr>
              <w:t>豫招协[2023]002号河南省招标投标协会关于印发《河南省招标代理服务收费指导意见》规定的收费标准收取，</w:t>
            </w:r>
            <w:r>
              <w:rPr>
                <w:rFonts w:hint="eastAsia" w:ascii="宋体" w:hAnsi="宋体" w:cs="Courier New"/>
                <w:color w:val="auto"/>
                <w:kern w:val="0"/>
                <w:sz w:val="24"/>
                <w:szCs w:val="24"/>
                <w:highlight w:val="none"/>
              </w:rPr>
              <w:t>由中标人缴纳中标服务费。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1946" w:type="dxa"/>
            <w:vAlign w:val="center"/>
          </w:tcPr>
          <w:p>
            <w:pPr>
              <w:pageBreakBefore w:val="0"/>
              <w:kinsoku/>
              <w:wordWrap w:val="0"/>
              <w:overflowPunct/>
              <w:bidi w:val="0"/>
              <w:adjustRightInd w:val="0"/>
              <w:snapToGrid w:val="0"/>
              <w:spacing w:beforeAutospacing="0" w:afterAutospacing="0" w:line="360" w:lineRule="auto"/>
              <w:ind w:left="0" w:leftChars="0" w:right="0" w:rightChars="0"/>
              <w:jc w:val="both"/>
              <w:rPr>
                <w:rFonts w:ascii="宋体" w:hAnsi="宋体" w:eastAsia="宋体"/>
                <w:color w:val="auto"/>
                <w:kern w:val="10"/>
                <w:sz w:val="24"/>
                <w:szCs w:val="24"/>
                <w:highlight w:val="none"/>
                <w:lang w:eastAsia="zh-CN"/>
              </w:rPr>
            </w:pPr>
            <w:r>
              <w:rPr>
                <w:rFonts w:hint="eastAsia" w:ascii="宋体" w:hAnsi="宋体" w:eastAsia="宋体"/>
                <w:color w:val="auto"/>
                <w:sz w:val="24"/>
                <w:szCs w:val="24"/>
                <w:highlight w:val="none"/>
                <w:lang w:eastAsia="zh-CN"/>
              </w:rPr>
              <w:t>政府采购政策</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p>
        </w:tc>
        <w:tc>
          <w:tcPr>
            <w:tcW w:w="6596" w:type="dxa"/>
            <w:vAlign w:val="center"/>
          </w:tcPr>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1、供应商应优先采购“节能产品政府采购清单”中的产品，供应商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供应商优先采用该产品。</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2、关于计算机办公设备，必须执行国家版权局、信息产业部、财政部等部门规定，供应商所投货物必须是国家信息部、版权局、商务部等部门认可的预装正版操作系统软件的计算机产品。</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3、优先采购本国产品。采购进口产品应符合《中华人民共和国政府采购法》并依法办理论证、公示、审批手续。</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4、供应商应优先采购“环境标志产品政府采购清单”中的产品时，供应商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供应商优先采用该产品。</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5、（1）根据财政部、工业和信息化部《政府采购促进中小企业发展管理办法》（财库〔2020〕46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 xml:space="preserve">在政府采购活动中，供应商提供的货物、工程或者服务符合下列情形的，享受本办法规定的中小企业扶持政策： </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b/>
                <w:bCs/>
                <w:color w:val="auto"/>
                <w:kern w:val="10"/>
                <w:sz w:val="24"/>
                <w:szCs w:val="24"/>
                <w:highlight w:val="none"/>
                <w:lang w:eastAsia="zh-CN"/>
              </w:rPr>
              <w:t>（一）在货物采购项目中，货物由中小企业制造，即货物由中小企业生产且使用该中小企业商号或者注册商标；</w:t>
            </w:r>
            <w:r>
              <w:rPr>
                <w:rFonts w:hint="eastAsia" w:ascii="宋体" w:hAnsi="宋体" w:eastAsia="宋体"/>
                <w:color w:val="auto"/>
                <w:kern w:val="10"/>
                <w:sz w:val="24"/>
                <w:szCs w:val="24"/>
                <w:highlight w:val="none"/>
                <w:lang w:eastAsia="zh-CN"/>
              </w:rPr>
              <w:t xml:space="preserve"> </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 xml:space="preserve">（二）在工程采购项目中，工程由中小企业承建，即工程施工单位为中小企业； </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（2）根据财政部、工业和信息化部《政府采购促进中小企业发展管理办法》（财库﹝2020﹞46 号）的规定，如本采购项目或本采购包非专门面向中小企业采购，供应商所提供的货物全部由小微企业制造的，对其报价给予</w:t>
            </w:r>
            <w:r>
              <w:rPr>
                <w:rFonts w:hint="eastAsia" w:ascii="宋体" w:hAnsi="宋体"/>
                <w:color w:val="auto"/>
                <w:kern w:val="10"/>
                <w:sz w:val="24"/>
                <w:szCs w:val="24"/>
                <w:highlight w:val="none"/>
                <w:lang w:val="en-US" w:eastAsia="zh-CN"/>
              </w:rPr>
              <w:t>2</w:t>
            </w:r>
            <w:r>
              <w:rPr>
                <w:rFonts w:hint="eastAsia" w:ascii="宋体" w:hAnsi="宋体" w:eastAsia="宋体"/>
                <w:color w:val="auto"/>
                <w:kern w:val="10"/>
                <w:sz w:val="24"/>
                <w:szCs w:val="24"/>
                <w:highlight w:val="none"/>
                <w:lang w:eastAsia="zh-CN"/>
              </w:rPr>
              <w:t>0%的扣除，用扣除后的价格参加评审。供应商提供的货物既有中小企业制造货物，也有大型企业制造货物的，不享受价格扣除。</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中小企业参加政府采购活动时，应当出具《中小企业声明函》（本次采购标的对应的中小企业划分标准依据《中小企业划型标准规定》（工信部联企业〔2011〕300 号）），否则不享受相关中小企业扶持政策。</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（3）国务院5月31日印发《扎实稳住经济的一揽子政策措施》，加大政府采购支持中小企业力度。将对所投标的小型和微型企业制造的产品的价格给予</w:t>
            </w:r>
            <w:r>
              <w:rPr>
                <w:rFonts w:hint="eastAsia" w:ascii="宋体" w:hAnsi="宋体"/>
                <w:b w:val="0"/>
                <w:bCs w:val="0"/>
                <w:color w:val="auto"/>
                <w:kern w:val="10"/>
                <w:sz w:val="24"/>
                <w:szCs w:val="24"/>
                <w:highlight w:val="none"/>
                <w:lang w:val="en-US" w:eastAsia="zh-CN"/>
              </w:rPr>
              <w:t>20%</w:t>
            </w:r>
            <w:r>
              <w:rPr>
                <w:rFonts w:hint="eastAsia" w:ascii="宋体" w:hAnsi="宋体" w:eastAsia="宋体"/>
                <w:color w:val="auto"/>
                <w:kern w:val="10"/>
                <w:sz w:val="24"/>
                <w:szCs w:val="24"/>
                <w:highlight w:val="none"/>
                <w:lang w:eastAsia="zh-CN"/>
              </w:rPr>
              <w:t>的扣除，用扣除后的价格参与评审。</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（4）根据财政部司法部《关于政府采购支持监狱企业发展有关问题的通知》（财库〔2014〕68号）规定，监狱企业视同小型、微型企业，享受评审中价格扣除等政府采购促进中小企业发展的政府采购政策。</w:t>
            </w:r>
          </w:p>
          <w:p>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5）根据财政部民政部中国残疾人联合会《关于促进残疾人就业政府采购政策的通知》（财库〔2017〕141号）规定，残疾人福利性单位视同小型、微型企业，享受评审中价格扣除等政府采购促进中小企业发展的政府采购政策。</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eastAsia="宋体"/>
                <w:color w:val="auto"/>
                <w:kern w:val="10"/>
                <w:sz w:val="24"/>
                <w:szCs w:val="24"/>
                <w:highlight w:val="none"/>
                <w:lang w:eastAsia="zh-CN"/>
              </w:rPr>
              <w:t>（6）同一供应商（包括联合体），中小微企业产品、监狱企业产品、残疾人福利性单位产品价格扣除优惠只享受一次，不得重复享受。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说明</w:t>
            </w:r>
          </w:p>
        </w:tc>
        <w:tc>
          <w:tcPr>
            <w:tcW w:w="6596" w:type="dxa"/>
            <w:vAlign w:val="center"/>
          </w:tcPr>
          <w:p>
            <w:pPr>
              <w:pageBreakBefore w:val="0"/>
              <w:numPr>
                <w:ilvl w:val="0"/>
                <w:numId w:val="1"/>
              </w:numPr>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招标文件其他部分内容与投标人须知前附表不一致的部分，以投标人须知前附表为准</w:t>
            </w:r>
            <w:r>
              <w:rPr>
                <w:rFonts w:hint="eastAsia" w:ascii="宋体" w:hAnsi="宋体" w:cs="宋体"/>
                <w:bCs/>
                <w:color w:val="auto"/>
                <w:sz w:val="24"/>
                <w:szCs w:val="24"/>
                <w:highlight w:val="none"/>
                <w:lang w:eastAsia="zh-CN"/>
              </w:rPr>
              <w:t>。</w:t>
            </w:r>
          </w:p>
          <w:p>
            <w:pPr>
              <w:pageBreakBefore w:val="0"/>
              <w:numPr>
                <w:ilvl w:val="0"/>
                <w:numId w:val="0"/>
              </w:numPr>
              <w:kinsoku/>
              <w:overflowPunct/>
              <w:bidi w:val="0"/>
              <w:adjustRightInd w:val="0"/>
              <w:snapToGrid w:val="0"/>
              <w:spacing w:beforeAutospacing="0" w:afterAutospacing="0" w:line="360" w:lineRule="auto"/>
              <w:ind w:left="0" w:leftChars="0" w:right="0" w:rightChars="0"/>
              <w:rPr>
                <w:rFonts w:ascii="宋体" w:hAnsi="宋体" w:cs="宋体"/>
                <w:bCs/>
                <w:color w:val="auto"/>
                <w:sz w:val="24"/>
                <w:szCs w:val="24"/>
                <w:highlight w:val="none"/>
              </w:rPr>
            </w:pPr>
            <w:r>
              <w:rPr>
                <w:rFonts w:hint="eastAsia" w:ascii="宋体" w:hAnsi="宋体" w:cs="宋体"/>
                <w:bCs/>
                <w:color w:val="auto"/>
                <w:sz w:val="24"/>
                <w:szCs w:val="24"/>
                <w:highlight w:val="none"/>
              </w:rPr>
              <w:t>2.招标文件最终解释权归招标人。</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rPr>
            </w:pPr>
            <w:r>
              <w:rPr>
                <w:rFonts w:hint="eastAsia" w:ascii="宋体" w:hAnsi="宋体" w:cs="宋体"/>
                <w:bCs/>
                <w:color w:val="auto"/>
                <w:sz w:val="24"/>
                <w:szCs w:val="24"/>
                <w:highlight w:val="none"/>
              </w:rPr>
              <w:t>3.评标时，若出现招标文件无明确说明和处理的情况时，由评标委员会讨论确定处理方案；评标委员会成员之间对处理方案有争议时，采取少数服从多数的投票方式确定。</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194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行业分类</w:t>
            </w:r>
          </w:p>
        </w:tc>
        <w:tc>
          <w:tcPr>
            <w:tcW w:w="6596"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一标段所属行业为通用设备制造业</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eastAsia="zh-CN"/>
              </w:rPr>
              <w:t>标段所属行业为</w:t>
            </w:r>
            <w:r>
              <w:rPr>
                <w:rFonts w:hint="eastAsia" w:ascii="宋体" w:hAnsi="宋体" w:cs="宋体"/>
                <w:bCs/>
                <w:color w:val="auto"/>
                <w:sz w:val="24"/>
                <w:szCs w:val="24"/>
                <w:highlight w:val="none"/>
              </w:rPr>
              <w:t>电气机械和器材制造业</w:t>
            </w:r>
          </w:p>
        </w:tc>
      </w:tr>
    </w:tbl>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22" w:name="_Toc257107753"/>
      <w:bookmarkStart w:id="23" w:name="_Toc374376334"/>
      <w:bookmarkStart w:id="24" w:name="_Toc29886"/>
      <w:bookmarkStart w:id="25" w:name="_Toc247965800"/>
      <w:bookmarkStart w:id="26" w:name="_Toc375647566"/>
      <w:r>
        <w:rPr>
          <w:rFonts w:hint="eastAsia" w:ascii="宋体" w:hAnsi="宋体" w:cs="宋体"/>
          <w:b/>
          <w:color w:val="auto"/>
          <w:sz w:val="24"/>
          <w:szCs w:val="24"/>
          <w:highlight w:val="none"/>
        </w:rPr>
        <w:t>1.总则</w:t>
      </w:r>
      <w:bookmarkEnd w:id="22"/>
      <w:bookmarkEnd w:id="23"/>
      <w:bookmarkEnd w:id="24"/>
      <w:bookmarkEnd w:id="25"/>
      <w:bookmarkEnd w:id="26"/>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7" w:name="_Toc375647567"/>
      <w:r>
        <w:rPr>
          <w:rFonts w:hint="eastAsia" w:ascii="宋体" w:hAnsi="宋体" w:cs="宋体"/>
          <w:b/>
          <w:color w:val="auto"/>
          <w:sz w:val="24"/>
          <w:szCs w:val="24"/>
          <w:highlight w:val="none"/>
        </w:rPr>
        <w:t>1.1 项目概况</w:t>
      </w:r>
      <w:bookmarkEnd w:id="27"/>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 根据《中华人民共和国政府采购法》、《中华人民共和国政府采购法实施条例》等有关法律、法规和规章的规定，本招标项目已具备招标条件，现对本项目进行公开招标。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招标人：见投标人须知前附表。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招标代理机构：见投标人须知前附表。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 项目名称：见投标人须知前附表。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 实施地点：见投标人须知前附表。</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8" w:name="_Toc375647568"/>
      <w:r>
        <w:rPr>
          <w:rFonts w:hint="eastAsia" w:ascii="宋体" w:hAnsi="宋体" w:cs="宋体"/>
          <w:b/>
          <w:color w:val="auto"/>
          <w:sz w:val="24"/>
          <w:szCs w:val="24"/>
          <w:highlight w:val="none"/>
        </w:rPr>
        <w:t>1.2 资金来源</w:t>
      </w:r>
      <w:bookmarkEnd w:id="28"/>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本招标项目的资金来源：见投标人须知前附表。</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color w:val="auto"/>
          <w:sz w:val="24"/>
          <w:szCs w:val="24"/>
          <w:highlight w:val="none"/>
        </w:rPr>
      </w:pPr>
      <w:bookmarkStart w:id="29" w:name="_Toc375647569"/>
      <w:r>
        <w:rPr>
          <w:rFonts w:hint="eastAsia" w:ascii="宋体" w:hAnsi="宋体" w:cs="宋体"/>
          <w:b/>
          <w:color w:val="auto"/>
          <w:sz w:val="24"/>
          <w:szCs w:val="24"/>
          <w:highlight w:val="none"/>
        </w:rPr>
        <w:t>1.3 招标内容、交货期、质量要求</w:t>
      </w:r>
      <w:bookmarkEnd w:id="29"/>
      <w:r>
        <w:rPr>
          <w:rFonts w:hint="eastAsia" w:ascii="宋体" w:hAnsi="宋体" w:cs="宋体"/>
          <w:b/>
          <w:color w:val="auto"/>
          <w:sz w:val="24"/>
          <w:szCs w:val="24"/>
          <w:highlight w:val="none"/>
        </w:rPr>
        <w:t>和质保期</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本次招标内容：见投标人须知前附表。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本次招标的交货期：见投标人须知前附表。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本次招标的质量要求：见投标人须知前附表。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 本次招标的质保期：见投标人须知前附表。</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0" w:name="_Toc375647570"/>
      <w:r>
        <w:rPr>
          <w:rFonts w:hint="eastAsia" w:ascii="宋体" w:hAnsi="宋体" w:cs="宋体"/>
          <w:b/>
          <w:color w:val="auto"/>
          <w:sz w:val="24"/>
          <w:szCs w:val="24"/>
          <w:highlight w:val="none"/>
        </w:rPr>
        <w:t>1.4 投标人资格要求</w:t>
      </w:r>
      <w:bookmarkEnd w:id="30"/>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31" w:name="_Toc375647571"/>
      <w:r>
        <w:rPr>
          <w:rFonts w:hint="eastAsia" w:ascii="宋体" w:hAnsi="宋体" w:cs="宋体"/>
          <w:color w:val="auto"/>
          <w:sz w:val="24"/>
          <w:szCs w:val="24"/>
          <w:highlight w:val="none"/>
        </w:rPr>
        <w:t>1.4.1 投标人应具备承担本招标项目的资质条件，具体要求见投标人须知前附表；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 本项目不接受联合体投标。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p>
    <w:p>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（1）与采购人存在利害关系且可能影响招标公正性；</w:t>
      </w:r>
    </w:p>
    <w:p>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（2）与本招标项目的其他供应商为同一个单位负责人；</w:t>
      </w:r>
    </w:p>
    <w:p>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（3）与本招标项目的其他供应商存在控股、管理关系；</w:t>
      </w:r>
    </w:p>
    <w:p>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（4）被依法暂停或者取消投标资格；</w:t>
      </w:r>
    </w:p>
    <w:p>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eastAsia="宋体"/>
          <w:color w:val="auto"/>
          <w:sz w:val="24"/>
          <w:szCs w:val="24"/>
          <w:highlight w:val="none"/>
          <w:lang w:eastAsia="zh-CN"/>
        </w:rPr>
        <w:t>（5）被责令停产停业、暂扣或者吊销许可证、暂扣或者吊销执照；</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1.5 费用承担</w:t>
      </w:r>
      <w:bookmarkEnd w:id="31"/>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2" w:name="_Toc375647572"/>
      <w:r>
        <w:rPr>
          <w:rFonts w:hint="eastAsia" w:ascii="宋体" w:hAnsi="宋体" w:cs="宋体"/>
          <w:b/>
          <w:color w:val="auto"/>
          <w:sz w:val="24"/>
          <w:szCs w:val="24"/>
          <w:highlight w:val="none"/>
        </w:rPr>
        <w:t>1.6 保密</w:t>
      </w:r>
      <w:bookmarkEnd w:id="32"/>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参与招标投标活动的各方应对招标文件和投标文件中的商业和技术等秘密保密，违者应对由此造成的后果承担法律责任。</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3" w:name="_Toc375647573"/>
      <w:r>
        <w:rPr>
          <w:rFonts w:hint="eastAsia" w:ascii="宋体" w:hAnsi="宋体" w:cs="宋体"/>
          <w:b/>
          <w:color w:val="auto"/>
          <w:sz w:val="24"/>
          <w:szCs w:val="24"/>
          <w:highlight w:val="none"/>
        </w:rPr>
        <w:t>1.7 语言文字</w:t>
      </w:r>
      <w:bookmarkEnd w:id="33"/>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除专用术语外，与招标投标有关的语言均使用中文。必要时专用术语应附有中文注释。</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4" w:name="_Toc375647574"/>
      <w:r>
        <w:rPr>
          <w:rFonts w:hint="eastAsia" w:ascii="宋体" w:hAnsi="宋体" w:cs="宋体"/>
          <w:b/>
          <w:color w:val="auto"/>
          <w:sz w:val="24"/>
          <w:szCs w:val="24"/>
          <w:highlight w:val="none"/>
        </w:rPr>
        <w:t>1.8 计量单位</w:t>
      </w:r>
      <w:bookmarkEnd w:id="34"/>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5" w:name="_Toc375647575"/>
      <w:r>
        <w:rPr>
          <w:rFonts w:hint="eastAsia" w:ascii="宋体" w:hAnsi="宋体" w:cs="宋体"/>
          <w:b/>
          <w:color w:val="auto"/>
          <w:sz w:val="24"/>
          <w:szCs w:val="24"/>
          <w:highlight w:val="none"/>
        </w:rPr>
        <w:t>1.9 踏勘现场</w:t>
      </w:r>
      <w:bookmarkEnd w:id="35"/>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36" w:name="_Toc375647576"/>
      <w:r>
        <w:rPr>
          <w:rFonts w:hint="eastAsia" w:ascii="宋体" w:hAnsi="宋体" w:cs="宋体"/>
          <w:color w:val="auto"/>
          <w:sz w:val="24"/>
          <w:szCs w:val="24"/>
          <w:highlight w:val="none"/>
        </w:rPr>
        <w:t>招标人不组织投标人踏勘现场，投标人自行踏勘现场。</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1.10 投标预备会</w:t>
      </w:r>
      <w:bookmarkEnd w:id="36"/>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本项目不召开投标预备会。</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7" w:name="_Toc375647577"/>
      <w:r>
        <w:rPr>
          <w:rFonts w:hint="eastAsia" w:ascii="宋体" w:hAnsi="宋体" w:cs="宋体"/>
          <w:b/>
          <w:color w:val="auto"/>
          <w:sz w:val="24"/>
          <w:szCs w:val="24"/>
          <w:highlight w:val="none"/>
        </w:rPr>
        <w:t>1.11 分包</w:t>
      </w:r>
      <w:bookmarkEnd w:id="37"/>
      <w:r>
        <w:rPr>
          <w:rFonts w:hint="eastAsia" w:ascii="宋体" w:hAnsi="宋体" w:cs="宋体"/>
          <w:b/>
          <w:color w:val="auto"/>
          <w:sz w:val="24"/>
          <w:szCs w:val="24"/>
          <w:highlight w:val="none"/>
        </w:rPr>
        <w:t>或转包</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本项目不允许分包或转包。</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8" w:name="_Toc375647578"/>
      <w:r>
        <w:rPr>
          <w:rFonts w:hint="eastAsia" w:ascii="宋体" w:hAnsi="宋体" w:cs="宋体"/>
          <w:b/>
          <w:color w:val="auto"/>
          <w:sz w:val="24"/>
          <w:szCs w:val="24"/>
          <w:highlight w:val="none"/>
        </w:rPr>
        <w:t>1.12 偏离</w:t>
      </w:r>
      <w:bookmarkEnd w:id="38"/>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允许优于招标文件的正偏离。</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39" w:name="_Toc257107754"/>
      <w:bookmarkStart w:id="40" w:name="_Toc247965801"/>
      <w:bookmarkStart w:id="41" w:name="_Toc2714"/>
      <w:bookmarkStart w:id="42" w:name="_Toc374376335"/>
      <w:bookmarkStart w:id="43" w:name="_Toc375647579"/>
      <w:r>
        <w:rPr>
          <w:rFonts w:hint="eastAsia" w:ascii="宋体" w:hAnsi="宋体" w:cs="宋体"/>
          <w:b/>
          <w:color w:val="auto"/>
          <w:sz w:val="24"/>
          <w:szCs w:val="24"/>
          <w:highlight w:val="none"/>
        </w:rPr>
        <w:t>2.招标文件</w:t>
      </w:r>
      <w:bookmarkEnd w:id="39"/>
      <w:bookmarkEnd w:id="40"/>
      <w:bookmarkEnd w:id="41"/>
      <w:bookmarkEnd w:id="42"/>
      <w:bookmarkEnd w:id="43"/>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44" w:name="_Toc375647580"/>
      <w:r>
        <w:rPr>
          <w:rFonts w:hint="eastAsia" w:ascii="宋体" w:hAnsi="宋体" w:cs="宋体"/>
          <w:b/>
          <w:color w:val="auto"/>
          <w:sz w:val="24"/>
          <w:szCs w:val="24"/>
          <w:highlight w:val="none"/>
        </w:rPr>
        <w:t>2.1 招标文件的组成</w:t>
      </w:r>
      <w:bookmarkEnd w:id="44"/>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（1）招标公告； </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（3）评标办法；</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（4）合同主要条款及格式；</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（5）招标内容及技术要求；</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根据本章第2.2款和第2.3款对招标文件所作的澄清、修改，构成招标文件的组成部分。</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45" w:name="_Toc375647581"/>
      <w:r>
        <w:rPr>
          <w:rFonts w:hint="eastAsia" w:ascii="宋体" w:hAnsi="宋体" w:cs="宋体"/>
          <w:b/>
          <w:color w:val="auto"/>
          <w:sz w:val="24"/>
          <w:szCs w:val="24"/>
          <w:highlight w:val="none"/>
        </w:rPr>
        <w:t>2.2 招标文件的澄清</w:t>
      </w:r>
      <w:bookmarkEnd w:id="45"/>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bookmarkStart w:id="46" w:name="_Toc375647582"/>
      <w:r>
        <w:rPr>
          <w:rFonts w:hint="eastAsia" w:ascii="宋体" w:hAnsi="宋体" w:cs="MingLiU"/>
          <w:color w:val="auto"/>
          <w:kern w:val="0"/>
          <w:sz w:val="24"/>
          <w:szCs w:val="24"/>
          <w:highlight w:val="none"/>
        </w:rPr>
        <w:t>2.2.1投标人应仔细阅读和检查招标文件的全部内容。如发现缺页或附件不全，应及时向招标人提出，以便补齐。如有疑问，应在投标人须知前附表规定的时间前在三门峡市公共资源交易中心网上一次性提出澄清内容并将相应问题的可编辑word版本和盖章后的扫描件发送至招标代理机构邮箱</w:t>
      </w:r>
      <w:r>
        <w:rPr>
          <w:rFonts w:hint="eastAsia" w:ascii="宋体" w:hAnsi="宋体" w:cs="宋体"/>
          <w:color w:val="auto"/>
          <w:sz w:val="24"/>
          <w:szCs w:val="24"/>
          <w:highlight w:val="none"/>
          <w:lang w:eastAsia="zh-CN"/>
        </w:rPr>
        <w:t>645589804@qq.com</w:t>
      </w:r>
      <w:r>
        <w:rPr>
          <w:rFonts w:hint="eastAsia" w:ascii="宋体" w:hAnsi="宋体" w:cs="MingLiU"/>
          <w:color w:val="auto"/>
          <w:kern w:val="0"/>
          <w:sz w:val="24"/>
          <w:szCs w:val="24"/>
          <w:highlight w:val="none"/>
        </w:rPr>
        <w:t>，要求招标人对招标文件予以澄清。</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ascii="宋体" w:hAnsi="宋体"/>
          <w:color w:val="auto"/>
          <w:kern w:val="0"/>
          <w:sz w:val="24"/>
          <w:highlight w:val="none"/>
        </w:rPr>
        <w:t>2.2.2</w:t>
      </w:r>
      <w:r>
        <w:rPr>
          <w:rFonts w:hint="eastAsia" w:ascii="宋体" w:hAnsi="宋体" w:cs="MingLiU"/>
          <w:color w:val="auto"/>
          <w:kern w:val="0"/>
          <w:sz w:val="24"/>
          <w:highlight w:val="none"/>
        </w:rPr>
        <w:t>招标文件的澄清将在投标人须知前附表规定的投标截止时间</w:t>
      </w:r>
      <w:r>
        <w:rPr>
          <w:rFonts w:ascii="宋体" w:hAnsi="宋体" w:cs="MingLiU"/>
          <w:color w:val="auto"/>
          <w:kern w:val="0"/>
          <w:sz w:val="24"/>
          <w:highlight w:val="none"/>
        </w:rPr>
        <w:t>1</w:t>
      </w:r>
      <w:r>
        <w:rPr>
          <w:rFonts w:hint="eastAsia" w:ascii="宋体" w:hAnsi="宋体" w:cs="MingLiU"/>
          <w:color w:val="auto"/>
          <w:kern w:val="0"/>
          <w:sz w:val="24"/>
          <w:highlight w:val="none"/>
        </w:rPr>
        <w:t>5天前澄清内容在三门峡市公共资源交易中心电子招标投标平台上发给购买招标文件的各投标人，但不指明澄清问题的来源。如果澄清内容可能影响投标文件的编制，发出的时间距投标截止时间不足</w:t>
      </w:r>
      <w:r>
        <w:rPr>
          <w:rFonts w:ascii="宋体" w:hAnsi="宋体" w:cs="MingLiU"/>
          <w:color w:val="auto"/>
          <w:kern w:val="0"/>
          <w:sz w:val="24"/>
          <w:highlight w:val="none"/>
        </w:rPr>
        <w:t>1</w:t>
      </w:r>
      <w:r>
        <w:rPr>
          <w:rFonts w:hint="eastAsia" w:ascii="宋体" w:hAnsi="宋体" w:cs="MingLiU"/>
          <w:color w:val="auto"/>
          <w:kern w:val="0"/>
          <w:sz w:val="24"/>
          <w:highlight w:val="none"/>
        </w:rPr>
        <w:t>5天，相应延长投标截止时间。</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r>
        <w:rPr>
          <w:rFonts w:hint="eastAsia" w:ascii="宋体" w:hAnsi="宋体" w:cs="宋体"/>
          <w:color w:val="auto"/>
          <w:sz w:val="24"/>
          <w:szCs w:val="24"/>
          <w:highlight w:val="none"/>
        </w:rPr>
        <w:t>2.2.3投标人在投标截止时间前须自行查看项目进展、澄清及回复，因投标人未及时查看而造成的后果自负。</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2.3 招标文件的修改</w:t>
      </w:r>
      <w:bookmarkEnd w:id="46"/>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hint="eastAsia" w:ascii="宋体" w:hAnsi="宋体" w:cs="宋体"/>
          <w:color w:val="auto"/>
          <w:kern w:val="0"/>
          <w:sz w:val="24"/>
          <w:highlight w:val="none"/>
        </w:rPr>
        <w:t>2.3.1</w:t>
      </w:r>
      <w:r>
        <w:rPr>
          <w:rFonts w:hint="eastAsia" w:ascii="宋体" w:hAnsi="宋体" w:cs="MingLiU"/>
          <w:color w:val="auto"/>
          <w:kern w:val="0"/>
          <w:sz w:val="24"/>
          <w:highlight w:val="none"/>
        </w:rPr>
        <w:t>在投标截止时间</w:t>
      </w:r>
      <w:r>
        <w:rPr>
          <w:rFonts w:ascii="宋体" w:hAnsi="宋体"/>
          <w:color w:val="auto"/>
          <w:kern w:val="0"/>
          <w:sz w:val="24"/>
          <w:highlight w:val="none"/>
        </w:rPr>
        <w:t>15</w:t>
      </w:r>
      <w:r>
        <w:rPr>
          <w:rFonts w:hint="eastAsia" w:ascii="宋体" w:hAnsi="宋体" w:cs="MingLiU"/>
          <w:color w:val="auto"/>
          <w:kern w:val="0"/>
          <w:sz w:val="24"/>
          <w:highlight w:val="none"/>
        </w:rPr>
        <w:t>天前，招标人将修改内容在三门峡市公共资源交易中心电子招标投标平台上发给购买招标文件的各投标人，如果修改招标文件的内容可能影响投标文件的编制，修改时间距投标截止时间不足</w:t>
      </w:r>
      <w:r>
        <w:rPr>
          <w:rFonts w:ascii="宋体" w:hAnsi="宋体"/>
          <w:color w:val="auto"/>
          <w:kern w:val="0"/>
          <w:sz w:val="24"/>
          <w:highlight w:val="none"/>
        </w:rPr>
        <w:t xml:space="preserve"> </w:t>
      </w:r>
      <w:r>
        <w:rPr>
          <w:rFonts w:hint="eastAsia" w:ascii="宋体" w:hAnsi="宋体"/>
          <w:color w:val="auto"/>
          <w:kern w:val="0"/>
          <w:sz w:val="24"/>
          <w:highlight w:val="none"/>
        </w:rPr>
        <w:t>15</w:t>
      </w:r>
      <w:r>
        <w:rPr>
          <w:rFonts w:hint="eastAsia" w:ascii="宋体" w:hAnsi="宋体" w:cs="MingLiU"/>
          <w:color w:val="auto"/>
          <w:kern w:val="0"/>
          <w:sz w:val="24"/>
          <w:highlight w:val="none"/>
        </w:rPr>
        <w:t>天，相应延长投标截止时间。</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2.3.2投标人在投标截止时间前须自行查看项目进展、修改及变更通知等，因投标人未及时查看而造成的后果自负。</w:t>
      </w:r>
    </w:p>
    <w:p>
      <w:pPr>
        <w:pageBreakBefore w:val="0"/>
        <w:widowControl/>
        <w:tabs>
          <w:tab w:val="left" w:pos="170"/>
        </w:tabs>
        <w:kinsoku/>
        <w:overflowPunct/>
        <w:bidi w:val="0"/>
        <w:adjustRightInd w:val="0"/>
        <w:snapToGrid w:val="0"/>
        <w:spacing w:beforeAutospacing="0" w:afterAutospacing="0" w:line="360" w:lineRule="auto"/>
        <w:ind w:left="0" w:leftChars="0" w:right="0" w:right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2.4招标文件的异议</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r>
        <w:rPr>
          <w:rFonts w:hint="eastAsia" w:ascii="宋体" w:hAnsi="宋体" w:cs="宋体"/>
          <w:color w:val="auto"/>
          <w:sz w:val="24"/>
          <w:szCs w:val="24"/>
          <w:highlight w:val="none"/>
        </w:rPr>
        <w:t>投标人或者其他利害关系人对招标文件有异议的，</w:t>
      </w:r>
      <w:r>
        <w:rPr>
          <w:rFonts w:hint="eastAsia" w:ascii="宋体" w:hAnsi="宋体" w:cs="MingLiU"/>
          <w:color w:val="auto"/>
          <w:kern w:val="0"/>
          <w:sz w:val="24"/>
          <w:szCs w:val="24"/>
          <w:highlight w:val="none"/>
        </w:rPr>
        <w:t>应在投标人须知前附表规定的时间前在三门峡市公共资源交易中心网上一次性提出异议内容并将相应问题的可编辑word版本和盖章后的扫描件发送至招标代理机构邮箱，</w:t>
      </w:r>
      <w:r>
        <w:rPr>
          <w:rFonts w:hint="eastAsia" w:ascii="宋体" w:hAnsi="宋体" w:cs="宋体"/>
          <w:color w:val="auto"/>
          <w:sz w:val="24"/>
          <w:szCs w:val="24"/>
          <w:highlight w:val="none"/>
        </w:rPr>
        <w:t>招标人将在收到异议之日起 3 日内作出答复；作出答复前，将暂停招标投标活动。在规定时间内，若投标人未提出异议的，则视同投标人理解并认可招标文件，招标人将不再接收涉及招标文件的异议。</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47" w:name="_Toc3870"/>
      <w:bookmarkStart w:id="48" w:name="_Toc374376336"/>
      <w:bookmarkStart w:id="49" w:name="_Toc375647584"/>
      <w:bookmarkStart w:id="50" w:name="_Toc257107755"/>
      <w:bookmarkStart w:id="51" w:name="_Toc247965802"/>
      <w:r>
        <w:rPr>
          <w:rFonts w:hint="eastAsia" w:ascii="宋体" w:hAnsi="宋体" w:cs="宋体"/>
          <w:b/>
          <w:color w:val="auto"/>
          <w:sz w:val="24"/>
          <w:szCs w:val="24"/>
          <w:highlight w:val="none"/>
        </w:rPr>
        <w:t>3.投标文件</w:t>
      </w:r>
      <w:bookmarkEnd w:id="47"/>
      <w:bookmarkEnd w:id="48"/>
      <w:bookmarkEnd w:id="49"/>
      <w:bookmarkEnd w:id="50"/>
      <w:bookmarkEnd w:id="51"/>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2" w:name="_Toc375647585"/>
      <w:r>
        <w:rPr>
          <w:rFonts w:hint="eastAsia" w:ascii="宋体" w:hAnsi="宋体" w:cs="宋体"/>
          <w:b/>
          <w:color w:val="auto"/>
          <w:sz w:val="24"/>
          <w:szCs w:val="24"/>
          <w:highlight w:val="none"/>
        </w:rPr>
        <w:t>3.1 投标文件的组成</w:t>
      </w:r>
      <w:bookmarkEnd w:id="52"/>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3.1.1 投标文件应包括内容</w:t>
      </w:r>
      <w:r>
        <w:rPr>
          <w:rFonts w:hint="eastAsia" w:ascii="宋体" w:hAnsi="宋体" w:cs="宋体"/>
          <w:color w:val="auto"/>
          <w:sz w:val="24"/>
          <w:szCs w:val="24"/>
          <w:highlight w:val="none"/>
          <w:lang w:val="en-US" w:eastAsia="zh-CN"/>
        </w:rPr>
        <w:t>详见第六章  投标文件格式</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3" w:name="_Toc375647586"/>
      <w:r>
        <w:rPr>
          <w:rFonts w:hint="eastAsia" w:ascii="宋体" w:hAnsi="宋体" w:cs="宋体"/>
          <w:b/>
          <w:color w:val="auto"/>
          <w:sz w:val="24"/>
          <w:szCs w:val="24"/>
          <w:highlight w:val="none"/>
        </w:rPr>
        <w:t>3.2 投标报价</w:t>
      </w:r>
      <w:bookmarkEnd w:id="53"/>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54" w:name="_Toc375647587"/>
      <w:r>
        <w:rPr>
          <w:rFonts w:hint="eastAsia" w:ascii="宋体" w:hAnsi="宋体" w:cs="宋体"/>
          <w:color w:val="auto"/>
          <w:sz w:val="24"/>
          <w:szCs w:val="24"/>
          <w:highlight w:val="none"/>
        </w:rPr>
        <w:t>3.2.1投标人应按第六章“投标文件格式”的相关要求认真编制，填写相应表格。</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3.2.2投标人可以在投标截止时间前修改投标函中的投标报价。此修改须符合本章第4.2款的有关要求。</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3.2.3投标价格包含材料的运输、卸装、加工、制作、安装、基础部分的施工、税金等与此项目相关的所有费用。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3.2.4本项目的招标控制价见投标人须知前附表</w:t>
      </w:r>
      <w:r>
        <w:rPr>
          <w:rFonts w:hint="eastAsia" w:ascii="宋体" w:hAnsi="宋体" w:cs="宋体"/>
          <w:b/>
          <w:bCs/>
          <w:color w:val="auto"/>
          <w:sz w:val="24"/>
          <w:szCs w:val="24"/>
          <w:highlight w:val="none"/>
        </w:rPr>
        <w:t>。</w:t>
      </w:r>
    </w:p>
    <w:p>
      <w:pPr>
        <w:pageBreakBefore w:val="0"/>
        <w:kinsoku/>
        <w:overflowPunct/>
        <w:bidi w:val="0"/>
        <w:adjustRightInd w:val="0"/>
        <w:snapToGrid w:val="0"/>
        <w:spacing w:beforeAutospacing="0" w:afterAutospacing="0" w:line="360" w:lineRule="auto"/>
        <w:ind w:left="0" w:leftChars="0" w:right="0" w:rightChars="0"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3.3 投标有效期</w:t>
      </w:r>
      <w:bookmarkEnd w:id="54"/>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3.3.1 </w:t>
      </w:r>
      <w:r>
        <w:rPr>
          <w:rFonts w:hint="eastAsia" w:ascii="宋体" w:hAnsi="宋体" w:cs="宋体"/>
          <w:color w:val="auto"/>
          <w:spacing w:val="-6"/>
          <w:sz w:val="24"/>
          <w:szCs w:val="24"/>
          <w:highlight w:val="none"/>
        </w:rPr>
        <w:t>在投标人须知前附表规定的投标有效期内，投标人不得要求撤销或修改其投标文件</w:t>
      </w:r>
      <w:r>
        <w:rPr>
          <w:rFonts w:hint="eastAsia" w:ascii="宋体" w:hAnsi="宋体" w:cs="宋体"/>
          <w:color w:val="auto"/>
          <w:sz w:val="24"/>
          <w:szCs w:val="24"/>
          <w:highlight w:val="none"/>
        </w:rPr>
        <w:t>。</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5" w:name="_Toc375647588"/>
      <w:r>
        <w:rPr>
          <w:rFonts w:hint="eastAsia" w:ascii="宋体" w:hAnsi="宋体" w:cs="宋体"/>
          <w:b/>
          <w:color w:val="auto"/>
          <w:sz w:val="24"/>
          <w:szCs w:val="24"/>
          <w:highlight w:val="none"/>
        </w:rPr>
        <w:t>3.4 投标保证金</w:t>
      </w:r>
      <w:bookmarkEnd w:id="55"/>
    </w:p>
    <w:p>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3.4.1 </w:t>
      </w:r>
      <w:r>
        <w:rPr>
          <w:rFonts w:hint="eastAsia" w:ascii="宋体" w:hAnsi="宋体" w:eastAsia="宋体"/>
          <w:color w:val="auto"/>
          <w:sz w:val="24"/>
          <w:szCs w:val="24"/>
          <w:highlight w:val="none"/>
          <w:lang w:eastAsia="zh-CN"/>
        </w:rPr>
        <w:t>.根据《河南省财政厅关于优化政府采购营商环境有关问题的通知》（豫财购【2019】4号）第6条的规定，投标保证金不再收取。</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6" w:name="_Toc375647589"/>
      <w:r>
        <w:rPr>
          <w:rFonts w:hint="eastAsia" w:ascii="宋体" w:hAnsi="宋体" w:cs="宋体"/>
          <w:b/>
          <w:color w:val="auto"/>
          <w:sz w:val="24"/>
          <w:szCs w:val="24"/>
          <w:highlight w:val="none"/>
        </w:rPr>
        <w:t>3.5 资格审查资料</w:t>
      </w:r>
      <w:bookmarkEnd w:id="56"/>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bookmarkStart w:id="57" w:name="_Toc375647590"/>
      <w:r>
        <w:rPr>
          <w:rFonts w:hint="eastAsia" w:ascii="宋体" w:hAnsi="宋体"/>
          <w:color w:val="auto"/>
          <w:sz w:val="24"/>
          <w:szCs w:val="24"/>
          <w:highlight w:val="none"/>
        </w:rPr>
        <w:t>3.5.1提供</w:t>
      </w:r>
      <w:r>
        <w:rPr>
          <w:rFonts w:hint="eastAsia" w:ascii="宋体" w:hAnsi="宋体" w:cs="宋体"/>
          <w:color w:val="auto"/>
          <w:sz w:val="24"/>
          <w:szCs w:val="20"/>
          <w:highlight w:val="none"/>
        </w:rPr>
        <w:t>符合招标文件要求的资格证明文件；</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rPr>
      </w:pPr>
      <w:r>
        <w:rPr>
          <w:rFonts w:hint="eastAsia" w:ascii="宋体" w:hAnsi="宋体"/>
          <w:color w:val="auto"/>
          <w:sz w:val="24"/>
          <w:szCs w:val="24"/>
          <w:highlight w:val="none"/>
        </w:rPr>
        <w:t>3.5.2投标人认为还需要提供的其他资料。</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3.6 备选投标方案</w:t>
      </w:r>
      <w:bookmarkEnd w:id="57"/>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8" w:name="_Toc375647591"/>
      <w:r>
        <w:rPr>
          <w:rFonts w:hint="eastAsia" w:ascii="宋体" w:hAnsi="宋体" w:cs="宋体"/>
          <w:b/>
          <w:color w:val="auto"/>
          <w:sz w:val="24"/>
          <w:szCs w:val="24"/>
          <w:highlight w:val="none"/>
        </w:rPr>
        <w:t>3.7 投标文件的编制</w:t>
      </w:r>
      <w:bookmarkEnd w:id="58"/>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ascii="宋体" w:hAnsi="宋体"/>
          <w:color w:val="auto"/>
          <w:kern w:val="0"/>
          <w:sz w:val="24"/>
          <w:highlight w:val="none"/>
        </w:rPr>
        <w:t>3.7.1</w:t>
      </w:r>
      <w:r>
        <w:rPr>
          <w:rFonts w:hint="eastAsia" w:ascii="宋体" w:hAnsi="宋体"/>
          <w:color w:val="auto"/>
          <w:kern w:val="0"/>
          <w:sz w:val="24"/>
          <w:highlight w:val="none"/>
        </w:rPr>
        <w:t>投标文件应按第六章“投标文件格式”使用三门峡市公共资源交易系统投标文件制作专用工具软件编制</w:t>
      </w:r>
      <w:r>
        <w:rPr>
          <w:rFonts w:hint="eastAsia" w:ascii="宋体" w:hAnsi="宋体" w:cs="MingLiU"/>
          <w:color w:val="auto"/>
          <w:kern w:val="0"/>
          <w:sz w:val="24"/>
          <w:highlight w:val="none"/>
        </w:rPr>
        <w:t>投标文件。其中，投标函附录在满足招标文件实质性要求的基础上，可以提出比招标文件要求更有利于招标人的承诺。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3.7.2</w:t>
      </w:r>
      <w:r>
        <w:rPr>
          <w:rFonts w:hint="eastAsia" w:ascii="宋体" w:hAnsi="宋体" w:cs="MingLiU"/>
          <w:color w:val="auto"/>
          <w:kern w:val="0"/>
          <w:sz w:val="24"/>
          <w:highlight w:val="none"/>
        </w:rPr>
        <w:t>投标文件应当对招标文件有关交货期、投标有效期、质量要求、技术要求、招标范围等实质性内容作出响应。</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3.7.</w:t>
      </w:r>
      <w:r>
        <w:rPr>
          <w:rFonts w:hint="eastAsia" w:ascii="宋体" w:hAnsi="宋体" w:cs="MingLiU"/>
          <w:color w:val="auto"/>
          <w:kern w:val="0"/>
          <w:sz w:val="24"/>
          <w:highlight w:val="none"/>
        </w:rPr>
        <w:t>3投标文件签字或盖章要求见投标人须知前附表。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黑体"/>
          <w:color w:val="auto"/>
          <w:sz w:val="24"/>
          <w:szCs w:val="20"/>
          <w:highlight w:val="none"/>
        </w:rPr>
      </w:pPr>
      <w:r>
        <w:rPr>
          <w:rFonts w:hint="eastAsia" w:ascii="宋体" w:hAnsi="宋体" w:cs="宋体"/>
          <w:color w:val="auto"/>
          <w:sz w:val="24"/>
          <w:szCs w:val="20"/>
          <w:highlight w:val="none"/>
        </w:rPr>
        <w:t>3.7.4</w:t>
      </w:r>
      <w:bookmarkStart w:id="59" w:name="_Toc375647592"/>
      <w:bookmarkStart w:id="60" w:name="_Toc374376337"/>
      <w:bookmarkStart w:id="61" w:name="_Toc257107756"/>
      <w:bookmarkStart w:id="62" w:name="_Toc247965805"/>
      <w:r>
        <w:rPr>
          <w:rFonts w:hint="eastAsia" w:ascii="宋体" w:hAnsi="宋体" w:cs="黑体"/>
          <w:color w:val="auto"/>
          <w:kern w:val="0"/>
          <w:sz w:val="24"/>
          <w:szCs w:val="24"/>
          <w:highlight w:val="none"/>
        </w:rPr>
        <w:t>电子投标文件要求详见投标人须知前附表规定</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63" w:name="_Toc28663"/>
      <w:r>
        <w:rPr>
          <w:rFonts w:hint="eastAsia" w:ascii="宋体" w:hAnsi="宋体" w:cs="宋体"/>
          <w:b/>
          <w:color w:val="auto"/>
          <w:sz w:val="24"/>
          <w:szCs w:val="24"/>
          <w:highlight w:val="none"/>
        </w:rPr>
        <w:t>4.投标</w:t>
      </w:r>
      <w:bookmarkEnd w:id="59"/>
      <w:bookmarkEnd w:id="60"/>
      <w:bookmarkEnd w:id="61"/>
      <w:bookmarkEnd w:id="62"/>
      <w:bookmarkEnd w:id="63"/>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bookmarkStart w:id="64" w:name="_Toc375647596"/>
      <w:bookmarkStart w:id="65" w:name="_Toc247965806"/>
      <w:bookmarkStart w:id="66" w:name="_Toc257107757"/>
      <w:bookmarkStart w:id="67" w:name="_Toc374376338"/>
      <w:r>
        <w:rPr>
          <w:rFonts w:hint="eastAsia" w:ascii="宋体" w:hAnsi="宋体"/>
          <w:b/>
          <w:color w:val="auto"/>
          <w:kern w:val="0"/>
          <w:sz w:val="24"/>
          <w:highlight w:val="none"/>
        </w:rPr>
        <w:t>4.1 投标文件的递交</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1</w:t>
      </w:r>
      <w:r>
        <w:rPr>
          <w:rFonts w:ascii="宋体" w:hAnsi="宋体"/>
          <w:color w:val="auto"/>
          <w:kern w:val="0"/>
          <w:sz w:val="24"/>
          <w:highlight w:val="none"/>
        </w:rPr>
        <w:t>.1</w:t>
      </w:r>
      <w:r>
        <w:rPr>
          <w:rFonts w:hint="eastAsia" w:ascii="宋体" w:hAnsi="宋体" w:cs="MingLiU"/>
          <w:color w:val="auto"/>
          <w:kern w:val="0"/>
          <w:sz w:val="24"/>
          <w:highlight w:val="none"/>
        </w:rPr>
        <w:t>电子化投标文件应在投标截止时间前成功上传至三门峡市公共资源电子化交易系统。至投标截止时间止，仍未上传成功的电子化投标文件将不予接收。</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hint="eastAsia" w:ascii="宋体" w:hAnsi="宋体" w:cs="MingLiU"/>
          <w:color w:val="auto"/>
          <w:kern w:val="0"/>
          <w:sz w:val="24"/>
          <w:highlight w:val="none"/>
        </w:rPr>
        <w:t>4.1.2如按照电子化投标操作教材制作完成的电子化投标文件无法上传的，投标人应在投标截止时间前尽早的联系三门峡市公共资源交易中心信息科0398-3117095，国泰新点软件股份有限公司0398-3117871，以便有充分的时间进行处理。投标人应充分考虑到处理技术问题和上传数据等工作所需的时间问题，投标文件未在投标截止时间前成功上传的，其投标文件不予接收。</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MingLiU"/>
          <w:b/>
          <w:color w:val="auto"/>
          <w:kern w:val="0"/>
          <w:sz w:val="24"/>
          <w:highlight w:val="none"/>
        </w:rPr>
      </w:pPr>
      <w:r>
        <w:rPr>
          <w:rFonts w:ascii="宋体" w:hAnsi="宋体"/>
          <w:b/>
          <w:color w:val="auto"/>
          <w:kern w:val="0"/>
          <w:sz w:val="24"/>
          <w:highlight w:val="none"/>
        </w:rPr>
        <w:t>4.</w:t>
      </w:r>
      <w:r>
        <w:rPr>
          <w:rFonts w:hint="eastAsia" w:ascii="宋体" w:hAnsi="宋体"/>
          <w:b/>
          <w:color w:val="auto"/>
          <w:kern w:val="0"/>
          <w:sz w:val="24"/>
          <w:highlight w:val="none"/>
        </w:rPr>
        <w:t>2</w:t>
      </w:r>
      <w:r>
        <w:rPr>
          <w:rFonts w:ascii="宋体" w:hAnsi="宋体"/>
          <w:b/>
          <w:color w:val="auto"/>
          <w:kern w:val="0"/>
          <w:sz w:val="24"/>
          <w:highlight w:val="none"/>
        </w:rPr>
        <w:t xml:space="preserve"> </w:t>
      </w:r>
      <w:r>
        <w:rPr>
          <w:rFonts w:hint="eastAsia" w:ascii="宋体" w:hAnsi="宋体" w:cs="MingLiU"/>
          <w:b/>
          <w:color w:val="auto"/>
          <w:kern w:val="0"/>
          <w:sz w:val="24"/>
          <w:highlight w:val="none"/>
        </w:rPr>
        <w:t>投标文件的修改与撤回</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.1</w:t>
      </w:r>
      <w:r>
        <w:rPr>
          <w:rFonts w:hint="eastAsia" w:ascii="宋体" w:hAnsi="宋体" w:cs="MingLiU"/>
          <w:color w:val="auto"/>
          <w:kern w:val="0"/>
          <w:sz w:val="24"/>
          <w:highlight w:val="none"/>
        </w:rPr>
        <w:t>在本章第2.2.2项规定的投标截止时间前，投标人可以多次修改或撤回已递交的投标文件，最终投标文件以投标截止时间前完成上传至三门峡市公共资源交易中心交易系统最后一份投标文件为准。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w:t>
      </w:r>
      <w:r>
        <w:rPr>
          <w:rFonts w:hint="eastAsia" w:ascii="宋体" w:hAnsi="宋体"/>
          <w:color w:val="auto"/>
          <w:kern w:val="0"/>
          <w:sz w:val="24"/>
          <w:highlight w:val="none"/>
        </w:rPr>
        <w:t>2</w:t>
      </w:r>
      <w:r>
        <w:rPr>
          <w:rFonts w:hint="eastAsia" w:ascii="宋体" w:hAnsi="宋体" w:cs="宋体"/>
          <w:color w:val="auto"/>
          <w:sz w:val="24"/>
          <w:szCs w:val="24"/>
          <w:highlight w:val="none"/>
        </w:rPr>
        <w:t>递交投标文件地点</w:t>
      </w:r>
      <w:r>
        <w:rPr>
          <w:rFonts w:hint="eastAsia" w:ascii="宋体" w:hAnsi="宋体" w:cs="MingLiU"/>
          <w:color w:val="auto"/>
          <w:kern w:val="0"/>
          <w:sz w:val="24"/>
          <w:highlight w:val="none"/>
        </w:rPr>
        <w:t>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w:t>
      </w:r>
      <w:r>
        <w:rPr>
          <w:rFonts w:hint="eastAsia" w:ascii="宋体" w:hAnsi="宋体"/>
          <w:color w:val="auto"/>
          <w:kern w:val="0"/>
          <w:sz w:val="24"/>
          <w:highlight w:val="none"/>
        </w:rPr>
        <w:t>3是否退还</w:t>
      </w:r>
      <w:r>
        <w:rPr>
          <w:rFonts w:hint="eastAsia" w:ascii="宋体" w:hAnsi="宋体" w:cs="宋体"/>
          <w:color w:val="auto"/>
          <w:sz w:val="24"/>
          <w:szCs w:val="24"/>
          <w:highlight w:val="none"/>
        </w:rPr>
        <w:t>投标文件</w:t>
      </w:r>
      <w:r>
        <w:rPr>
          <w:rFonts w:hint="eastAsia" w:ascii="宋体" w:hAnsi="宋体" w:cs="MingLiU"/>
          <w:color w:val="auto"/>
          <w:kern w:val="0"/>
          <w:sz w:val="24"/>
          <w:highlight w:val="none"/>
        </w:rPr>
        <w:t>见投标人须知前附表。</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68" w:name="_Toc40"/>
      <w:r>
        <w:rPr>
          <w:rFonts w:hint="eastAsia" w:ascii="宋体" w:hAnsi="宋体" w:cs="宋体"/>
          <w:b/>
          <w:color w:val="auto"/>
          <w:sz w:val="24"/>
          <w:szCs w:val="24"/>
          <w:highlight w:val="none"/>
        </w:rPr>
        <w:t>5.开标</w:t>
      </w:r>
      <w:bookmarkEnd w:id="64"/>
      <w:bookmarkEnd w:id="65"/>
      <w:bookmarkEnd w:id="66"/>
      <w:bookmarkEnd w:id="67"/>
      <w:bookmarkEnd w:id="68"/>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bookmarkStart w:id="69" w:name="_Toc375647599"/>
      <w:bookmarkStart w:id="70" w:name="_Toc247965807"/>
      <w:bookmarkStart w:id="71" w:name="_Toc257107758"/>
      <w:bookmarkStart w:id="72" w:name="_Toc374376339"/>
      <w:r>
        <w:rPr>
          <w:rFonts w:hint="eastAsia" w:ascii="宋体" w:hAnsi="宋体"/>
          <w:b/>
          <w:color w:val="auto"/>
          <w:kern w:val="0"/>
          <w:sz w:val="24"/>
          <w:highlight w:val="none"/>
        </w:rPr>
        <w:t>5.1 开标时间和地点</w:t>
      </w:r>
    </w:p>
    <w:p>
      <w:pPr>
        <w:pageBreakBefore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cs="MingLiU"/>
          <w:color w:val="auto"/>
          <w:kern w:val="0"/>
          <w:sz w:val="24"/>
          <w:highlight w:val="none"/>
        </w:rPr>
      </w:pPr>
      <w:r>
        <w:rPr>
          <w:rFonts w:hint="eastAsia" w:ascii="宋体" w:hAnsi="宋体" w:cs="MingLiU"/>
          <w:color w:val="auto"/>
          <w:kern w:val="0"/>
          <w:sz w:val="24"/>
          <w:highlight w:val="none"/>
        </w:rPr>
        <w:t>5.1.1本项目采用“远程不见面”开标方式，远程开标大厅网址为http://120.194.249.36:10094/BidOpening/bidopeninghallaction/hall/login,投标人应当在本章第 2.2.2 项规定的投标截止时间（开标时间）前登录远程开标大厅，在线准时参加开标活动并按业务系统要求在规定时间进行投标文件解密等，无需到三门峡市公共资源交易中心现场参加开标会议。</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MingLiU"/>
          <w:color w:val="auto"/>
          <w:kern w:val="0"/>
          <w:sz w:val="24"/>
          <w:highlight w:val="none"/>
        </w:rPr>
      </w:pPr>
      <w:r>
        <w:rPr>
          <w:rFonts w:hint="eastAsia" w:ascii="宋体" w:hAnsi="宋体" w:cs="MingLiU"/>
          <w:color w:val="auto"/>
          <w:kern w:val="0"/>
          <w:sz w:val="24"/>
          <w:highlight w:val="none"/>
        </w:rPr>
        <w:t>5.1.2不见面服务的具体事宜请查阅三门峡市公共资源交易中心网站“帮助中心”下载资料中下载《三门峡市公共资源交易中心不见面开标大厅操作手册》。</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MingLiU"/>
          <w:b/>
          <w:color w:val="auto"/>
          <w:kern w:val="0"/>
          <w:sz w:val="24"/>
          <w:highlight w:val="none"/>
        </w:rPr>
      </w:pPr>
      <w:r>
        <w:rPr>
          <w:rFonts w:ascii="宋体" w:hAnsi="宋体"/>
          <w:b/>
          <w:color w:val="auto"/>
          <w:kern w:val="0"/>
          <w:sz w:val="24"/>
          <w:highlight w:val="none"/>
        </w:rPr>
        <w:t xml:space="preserve">5.2 </w:t>
      </w:r>
      <w:r>
        <w:rPr>
          <w:rFonts w:hint="eastAsia" w:ascii="宋体" w:hAnsi="宋体" w:cs="MingLiU"/>
          <w:b/>
          <w:color w:val="auto"/>
          <w:kern w:val="0"/>
          <w:sz w:val="24"/>
          <w:highlight w:val="none"/>
        </w:rPr>
        <w:t>开标程序及注意事项</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hint="eastAsia" w:ascii="宋体" w:hAnsi="宋体" w:cs="MingLiU"/>
          <w:color w:val="auto"/>
          <w:kern w:val="0"/>
          <w:sz w:val="24"/>
          <w:highlight w:val="none"/>
        </w:rPr>
        <w:t>见投标人须知前附表。</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73" w:name="_Toc32147"/>
      <w:r>
        <w:rPr>
          <w:rFonts w:hint="eastAsia" w:ascii="宋体" w:hAnsi="宋体" w:cs="宋体"/>
          <w:b/>
          <w:color w:val="auto"/>
          <w:sz w:val="24"/>
          <w:szCs w:val="24"/>
          <w:highlight w:val="none"/>
        </w:rPr>
        <w:t>6.评标</w:t>
      </w:r>
      <w:bookmarkEnd w:id="69"/>
      <w:bookmarkEnd w:id="70"/>
      <w:bookmarkEnd w:id="71"/>
      <w:bookmarkEnd w:id="72"/>
      <w:bookmarkEnd w:id="73"/>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4" w:name="_Toc375647600"/>
      <w:r>
        <w:rPr>
          <w:rFonts w:hint="eastAsia" w:ascii="宋体" w:hAnsi="宋体" w:cs="宋体"/>
          <w:b/>
          <w:color w:val="auto"/>
          <w:sz w:val="24"/>
          <w:szCs w:val="24"/>
          <w:highlight w:val="none"/>
        </w:rPr>
        <w:t>6.1 评标委员会</w:t>
      </w:r>
      <w:bookmarkEnd w:id="74"/>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评标由招标人依法组建的评标委员会负责。评标委员会由招标人代表以及有关技术、经济等方面的专家组成。评标委员会成员人数以及技术、经济等方面专家的确定方式及数量见投标人须知前附表。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（1）招标人或投标人的主要负责人的近亲属；</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5" w:name="_Toc375647601"/>
      <w:r>
        <w:rPr>
          <w:rFonts w:hint="eastAsia" w:ascii="宋体" w:hAnsi="宋体" w:cs="宋体"/>
          <w:b/>
          <w:color w:val="auto"/>
          <w:sz w:val="24"/>
          <w:szCs w:val="24"/>
          <w:highlight w:val="none"/>
        </w:rPr>
        <w:t>6.2 评标原则</w:t>
      </w:r>
      <w:bookmarkEnd w:id="75"/>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6" w:name="_Toc375647602"/>
      <w:r>
        <w:rPr>
          <w:rFonts w:hint="eastAsia" w:ascii="宋体" w:hAnsi="宋体" w:cs="宋体"/>
          <w:b/>
          <w:color w:val="auto"/>
          <w:sz w:val="24"/>
          <w:szCs w:val="24"/>
          <w:highlight w:val="none"/>
        </w:rPr>
        <w:t>6.3 评标</w:t>
      </w:r>
      <w:bookmarkEnd w:id="76"/>
    </w:p>
    <w:p>
      <w:pPr>
        <w:pageBreakBefore w:val="0"/>
        <w:kinsoku/>
        <w:overflowPunct/>
        <w:bidi w:val="0"/>
        <w:adjustRightInd w:val="0"/>
        <w:snapToGrid w:val="0"/>
        <w:spacing w:beforeAutospacing="0" w:afterAutospacing="0" w:line="360" w:lineRule="auto"/>
        <w:ind w:left="0" w:leftChars="0" w:right="0" w:rightChars="0"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auto"/>
          <w:sz w:val="24"/>
          <w:szCs w:val="24"/>
          <w:highlight w:val="none"/>
        </w:rPr>
        <w:t>。</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77" w:name="_Toc374376340"/>
      <w:bookmarkStart w:id="78" w:name="_Toc26830"/>
      <w:bookmarkStart w:id="79" w:name="_Toc247965808"/>
      <w:bookmarkStart w:id="80" w:name="_Toc375647603"/>
      <w:bookmarkStart w:id="81" w:name="_Toc257107759"/>
      <w:r>
        <w:rPr>
          <w:rFonts w:hint="eastAsia" w:ascii="宋体" w:hAnsi="宋体" w:cs="宋体"/>
          <w:b/>
          <w:color w:val="auto"/>
          <w:sz w:val="24"/>
          <w:szCs w:val="24"/>
          <w:highlight w:val="none"/>
        </w:rPr>
        <w:t>7.合同授予</w:t>
      </w:r>
      <w:bookmarkEnd w:id="77"/>
      <w:bookmarkEnd w:id="78"/>
      <w:bookmarkEnd w:id="79"/>
      <w:bookmarkEnd w:id="80"/>
      <w:bookmarkEnd w:id="81"/>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2" w:name="_Toc375647604"/>
      <w:r>
        <w:rPr>
          <w:rFonts w:hint="eastAsia" w:ascii="宋体" w:hAnsi="宋体" w:cs="宋体"/>
          <w:b/>
          <w:color w:val="auto"/>
          <w:sz w:val="24"/>
          <w:szCs w:val="24"/>
          <w:highlight w:val="none"/>
        </w:rPr>
        <w:t>7.1 定标方式</w:t>
      </w:r>
      <w:bookmarkEnd w:id="82"/>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7.1.1确定中标人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除投标人须知前附表规定评标委员会直接确定中标人外，招标人依据评标委员会推荐的中标候选人确定中标人，</w:t>
      </w:r>
      <w:r>
        <w:rPr>
          <w:rFonts w:ascii="宋体" w:hAnsi="宋体" w:cs="宋体"/>
          <w:color w:val="auto"/>
          <w:sz w:val="24"/>
          <w:szCs w:val="24"/>
          <w:highlight w:val="none"/>
        </w:rPr>
        <w:t>招标人应当确定排名第一的中标候选人为中标人</w:t>
      </w:r>
      <w:r>
        <w:rPr>
          <w:rFonts w:hint="eastAsia" w:ascii="宋体" w:hAnsi="宋体" w:cs="宋体"/>
          <w:color w:val="auto"/>
          <w:sz w:val="24"/>
          <w:szCs w:val="24"/>
          <w:highlight w:val="none"/>
        </w:rPr>
        <w:t>，评标委员会推荐中标候选人的人数见投标人须知前附表。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7.1.2中标候选人履约能力审查</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bookmarkStart w:id="83" w:name="_Toc375647605"/>
      <w:r>
        <w:rPr>
          <w:rFonts w:hint="eastAsia" w:ascii="宋体" w:hAnsi="宋体" w:cs="宋体"/>
          <w:color w:val="auto"/>
          <w:sz w:val="24"/>
          <w:szCs w:val="24"/>
          <w:highlight w:val="none"/>
        </w:rPr>
        <w:t>见投标人须知前附表。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7.1.3其他定标情形</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color w:val="auto"/>
          <w:highlight w:val="none"/>
        </w:rPr>
      </w:pPr>
      <w:r>
        <w:rPr>
          <w:rFonts w:ascii="宋体" w:hAnsi="宋体" w:cs="宋体"/>
          <w:color w:val="auto"/>
          <w:sz w:val="24"/>
          <w:szCs w:val="24"/>
          <w:highlight w:val="none"/>
        </w:rPr>
        <w:t>排名第一的中标候选人放弃中标、因不可抗力不能履行合同、不按照招标文件要求提交履约保证金，</w:t>
      </w:r>
      <w:r>
        <w:rPr>
          <w:rFonts w:hint="eastAsia" w:ascii="宋体" w:hAnsi="宋体" w:cs="宋体"/>
          <w:color w:val="auto"/>
          <w:sz w:val="24"/>
          <w:szCs w:val="24"/>
          <w:highlight w:val="none"/>
        </w:rPr>
        <w:t>未通过中标候选人履约能力审查的</w:t>
      </w:r>
      <w:r>
        <w:rPr>
          <w:rFonts w:ascii="宋体" w:hAnsi="宋体" w:cs="宋体"/>
          <w:color w:val="auto"/>
          <w:sz w:val="24"/>
          <w:szCs w:val="24"/>
          <w:highlight w:val="none"/>
        </w:rPr>
        <w:t>或者被查实存在影响中标结果的违法行为等情形，不符合中标条件的，招标人可以按照评标委员会提出的中标候选人名单排序依次确定其他中标候选人为中标人，也可以重新招标。</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7.2 中标通知</w:t>
      </w:r>
      <w:bookmarkEnd w:id="83"/>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 款规定的投标有效期内，招标人以书面形式向中标人发出中标通知书，同时将中标结果通知未中标的投标人。</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4" w:name="_Toc375647606"/>
      <w:r>
        <w:rPr>
          <w:rFonts w:hint="eastAsia" w:ascii="宋体" w:hAnsi="宋体" w:cs="宋体"/>
          <w:b/>
          <w:color w:val="auto"/>
          <w:sz w:val="24"/>
          <w:szCs w:val="24"/>
          <w:highlight w:val="none"/>
        </w:rPr>
        <w:t>7.3 履约担保</w:t>
      </w:r>
      <w:bookmarkEnd w:id="84"/>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7.3.1 在签订合同前，中标人应按投标人须知前附表规定的金额、担保形式和招标文件第四章“合同主要条款及格式”规定的履约担保格式向招标人提交履约担保。</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7.3.2 中标人不能按本章第7.3.1项要求提交履约担保的，视为放弃中标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给招标人造成的损失超过投标保证金数额的，中标人还应当对超过部分予以赔偿。</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5" w:name="_Toc375647607"/>
      <w:r>
        <w:rPr>
          <w:rFonts w:hint="eastAsia" w:ascii="宋体" w:hAnsi="宋体" w:cs="宋体"/>
          <w:b/>
          <w:color w:val="auto"/>
          <w:sz w:val="24"/>
          <w:szCs w:val="24"/>
          <w:highlight w:val="none"/>
        </w:rPr>
        <w:t>7.4 签订合同</w:t>
      </w:r>
      <w:bookmarkEnd w:id="85"/>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7.4.1 招标人和中标人应当自中标通知书发出之日起</w:t>
      </w:r>
      <w:r>
        <w:rPr>
          <w:rFonts w:hint="eastAsia" w:ascii="宋体" w:hAnsi="宋体" w:cs="宋体"/>
          <w:color w:val="auto"/>
          <w:sz w:val="24"/>
          <w:szCs w:val="24"/>
          <w:highlight w:val="none"/>
          <w:lang w:val="en-US" w:eastAsia="zh-CN"/>
        </w:rPr>
        <w:t>5个工作日</w:t>
      </w:r>
      <w:r>
        <w:rPr>
          <w:rFonts w:hint="eastAsia" w:ascii="宋体" w:hAnsi="宋体" w:cs="宋体"/>
          <w:color w:val="auto"/>
          <w:sz w:val="24"/>
          <w:szCs w:val="24"/>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7.4.2 发出中标通知书后，招标人无正当理由拒签合同的，给中标人造成损失的，还应当赔偿损失。</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86" w:name="_Toc247965809"/>
      <w:bookmarkStart w:id="87" w:name="_Toc374376341"/>
      <w:bookmarkStart w:id="88" w:name="_Toc375647608"/>
      <w:bookmarkStart w:id="89" w:name="_Toc257107760"/>
      <w:bookmarkStart w:id="90" w:name="_Toc29790"/>
      <w:r>
        <w:rPr>
          <w:rFonts w:hint="eastAsia" w:ascii="宋体" w:hAnsi="宋体" w:cs="宋体"/>
          <w:b/>
          <w:color w:val="auto"/>
          <w:sz w:val="24"/>
          <w:szCs w:val="24"/>
          <w:highlight w:val="none"/>
        </w:rPr>
        <w:t>8.</w:t>
      </w:r>
      <w:bookmarkEnd w:id="86"/>
      <w:bookmarkEnd w:id="87"/>
      <w:bookmarkEnd w:id="88"/>
      <w:bookmarkEnd w:id="89"/>
      <w:r>
        <w:rPr>
          <w:rFonts w:hint="eastAsia" w:ascii="宋体" w:hAnsi="宋体" w:cs="MingLiU"/>
          <w:b/>
          <w:color w:val="auto"/>
          <w:kern w:val="0"/>
          <w:sz w:val="24"/>
          <w:highlight w:val="none"/>
        </w:rPr>
        <w:t>重新招标和不再招标</w:t>
      </w:r>
      <w:bookmarkEnd w:id="90"/>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ascii="宋体" w:hAnsi="宋体"/>
          <w:b/>
          <w:color w:val="auto"/>
          <w:kern w:val="0"/>
          <w:sz w:val="24"/>
          <w:highlight w:val="none"/>
        </w:rPr>
        <w:t xml:space="preserve">8.1  </w:t>
      </w:r>
      <w:r>
        <w:rPr>
          <w:rFonts w:hint="eastAsia" w:ascii="宋体" w:hAnsi="宋体" w:cs="MingLiU"/>
          <w:b/>
          <w:color w:val="auto"/>
          <w:kern w:val="0"/>
          <w:sz w:val="24"/>
          <w:highlight w:val="none"/>
        </w:rPr>
        <w:t>重新招标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有下列情形之一的，招标人将重新招标：</w:t>
      </w:r>
    </w:p>
    <w:p>
      <w:pPr>
        <w:pageBreakBefore w:val="0"/>
        <w:numPr>
          <w:ilvl w:val="0"/>
          <w:numId w:val="2"/>
        </w:numPr>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投标截止时间止，投标人少于3个的；</w:t>
      </w:r>
    </w:p>
    <w:p>
      <w:pPr>
        <w:pageBreakBefore w:val="0"/>
        <w:numPr>
          <w:ilvl w:val="0"/>
          <w:numId w:val="2"/>
        </w:numPr>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MingLiU"/>
          <w:color w:val="auto"/>
          <w:kern w:val="0"/>
          <w:sz w:val="24"/>
          <w:highlight w:val="none"/>
        </w:rPr>
        <w:t>经评标委员会评审后有效投标人少于3个的；</w:t>
      </w:r>
    </w:p>
    <w:p>
      <w:pPr>
        <w:pageBreakBefore w:val="0"/>
        <w:numPr>
          <w:ilvl w:val="0"/>
          <w:numId w:val="2"/>
        </w:numPr>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经评标委员会评审后否决所有投标的。</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r>
        <w:rPr>
          <w:rFonts w:ascii="宋体" w:hAnsi="宋体"/>
          <w:b/>
          <w:color w:val="auto"/>
          <w:kern w:val="0"/>
          <w:sz w:val="24"/>
          <w:highlight w:val="none"/>
        </w:rPr>
        <w:t xml:space="preserve">8.2  </w:t>
      </w:r>
      <w:r>
        <w:rPr>
          <w:rFonts w:hint="eastAsia" w:ascii="宋体" w:hAnsi="宋体"/>
          <w:b/>
          <w:color w:val="auto"/>
          <w:kern w:val="0"/>
          <w:sz w:val="24"/>
          <w:highlight w:val="none"/>
        </w:rPr>
        <w:t>不再招标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olor w:val="auto"/>
          <w:kern w:val="0"/>
          <w:sz w:val="24"/>
          <w:highlight w:val="none"/>
        </w:rPr>
        <w:t>重新招标后投标人仍少于</w:t>
      </w:r>
      <w:r>
        <w:rPr>
          <w:rFonts w:ascii="宋体" w:hAnsi="宋体"/>
          <w:color w:val="auto"/>
          <w:kern w:val="0"/>
          <w:sz w:val="24"/>
          <w:highlight w:val="none"/>
        </w:rPr>
        <w:t>3</w:t>
      </w:r>
      <w:r>
        <w:rPr>
          <w:rFonts w:hint="eastAsia" w:ascii="宋体" w:hAnsi="宋体"/>
          <w:color w:val="auto"/>
          <w:kern w:val="0"/>
          <w:sz w:val="24"/>
          <w:highlight w:val="none"/>
        </w:rPr>
        <w:t>个，</w:t>
      </w:r>
      <w:r>
        <w:rPr>
          <w:rFonts w:hint="eastAsia" w:ascii="宋体" w:hAnsi="宋体" w:cs="MingLiU"/>
          <w:color w:val="auto"/>
          <w:kern w:val="0"/>
          <w:sz w:val="24"/>
          <w:highlight w:val="none"/>
        </w:rPr>
        <w:t>经评标委员会评审后有效投标人少于3个的</w:t>
      </w:r>
      <w:r>
        <w:rPr>
          <w:rFonts w:hint="eastAsia" w:ascii="宋体" w:hAnsi="宋体"/>
          <w:color w:val="auto"/>
          <w:kern w:val="0"/>
          <w:sz w:val="24"/>
          <w:highlight w:val="none"/>
        </w:rPr>
        <w:t>或者所有投标被否决的，属于必须审批或核准的工程建设项目，经原审批或核准部门批准后不再进行招标</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91" w:name="_Toc17112"/>
      <w:bookmarkStart w:id="92" w:name="_Toc333230100"/>
      <w:bookmarkStart w:id="93" w:name="_Toc375647611"/>
      <w:bookmarkStart w:id="94" w:name="_Toc374376342"/>
      <w:r>
        <w:rPr>
          <w:rFonts w:hint="eastAsia" w:ascii="宋体" w:hAnsi="宋体" w:cs="宋体"/>
          <w:b/>
          <w:color w:val="auto"/>
          <w:sz w:val="24"/>
          <w:szCs w:val="24"/>
          <w:highlight w:val="none"/>
        </w:rPr>
        <w:t>9.纪律和监督</w:t>
      </w:r>
      <w:bookmarkEnd w:id="91"/>
      <w:bookmarkEnd w:id="92"/>
      <w:bookmarkEnd w:id="93"/>
      <w:bookmarkEnd w:id="94"/>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95" w:name="_Toc375647612"/>
      <w:r>
        <w:rPr>
          <w:rFonts w:hint="eastAsia" w:ascii="宋体" w:hAnsi="宋体" w:cs="宋体"/>
          <w:b/>
          <w:color w:val="auto"/>
          <w:sz w:val="24"/>
          <w:szCs w:val="24"/>
          <w:highlight w:val="none"/>
        </w:rPr>
        <w:t>9.1 对招标人的纪律要求</w:t>
      </w:r>
      <w:bookmarkEnd w:id="95"/>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96" w:name="_Toc256690965"/>
      <w:bookmarkStart w:id="97" w:name="_Toc256694841"/>
      <w:r>
        <w:rPr>
          <w:rFonts w:hint="eastAsia" w:ascii="宋体" w:hAnsi="宋体" w:cs="宋体"/>
          <w:color w:val="auto"/>
          <w:sz w:val="24"/>
          <w:szCs w:val="24"/>
          <w:highlight w:val="none"/>
        </w:rPr>
        <w:t>招标人不得泄漏招标投标活动中应当保密的情况和资料，不得与投标人串通损害国家利益、社会公共利益或者他人合法权益。</w:t>
      </w:r>
      <w:bookmarkEnd w:id="96"/>
      <w:bookmarkEnd w:id="97"/>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有下列情形之一的，属于招标人与投标人串通投标：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（一）招标人在开标前开启投标文件并将有关信息泄露给其他投标人；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（二）招标人直接或者间接向投标人泄露标底、评标委员会成员等信息；</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（三）招标人明示或者暗示投标人压低或者抬高投标报价；</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（四）招标人授意投标人撤换、修改投标文件；</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（五）招标人明示或者暗示投标人为特定投标人中标提供方便；</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（六）招标人与投标人为谋求特定投标人中标而采取的其他串通行为。</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98" w:name="_Toc375647613"/>
      <w:r>
        <w:rPr>
          <w:rFonts w:hint="eastAsia" w:ascii="宋体" w:hAnsi="宋体" w:cs="宋体"/>
          <w:b/>
          <w:color w:val="auto"/>
          <w:sz w:val="24"/>
          <w:szCs w:val="24"/>
          <w:highlight w:val="none"/>
        </w:rPr>
        <w:t>9.2 对投标人的纪律要求</w:t>
      </w:r>
      <w:bookmarkEnd w:id="98"/>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99" w:name="_Toc256694849"/>
      <w:bookmarkStart w:id="100" w:name="_Toc256690973"/>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bookmarkEnd w:id="99"/>
      <w:bookmarkEnd w:id="100"/>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9.2.1 有下列情形之一的，属于投标人相互串通投标：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（一）投标人之间协商投标报价等投标文件的实质性内容；</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（二）投标人之间约定中标人；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（三）投标人之间约定部分投标人放弃投标或者中标；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（四）属于同一集团、协会、商会等组织成员的投标人按照该组织要求协同投标；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（五）投标人之间为谋取中标或者排斥特定投标人而采取的其他联合行动。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9.2.2 有下列情形之一的，视为投标人相互串通投标：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（一）不同投标人的投标文件由同一单位或者个人编制；</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（二）不同投标人委托同一单位或者个人办理投标事宜；</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（三）不同投标人的投标文件载明的项目管理成员为同一人；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（四）不同投标人的投标文件异常一致或者投标报价呈规律性差异；</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（五）不同投标人的投标文件相互混装；</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（六）不同投标人的投标保证金从同一单位或者个人的账户转出。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9.2.3 有下列情形之一的，属于以他人名义投标：</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（一）使用通过受让或者租借等方式获取的资格、资质证书投标的。</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9.2.4 有下列情形之一的，属于以其他方式弄虚作假的行为：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（一）使用伪造、变造的许可证件；</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（二）提供虚假的财务状况或者业绩；</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（三）提供虚假的项目负责人或者主要技术人员简历、劳动关系证明；</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（四）提供虚假的信用状况；</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（五）其他弄虚作假的行为。</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1" w:name="_Toc375647614"/>
      <w:r>
        <w:rPr>
          <w:rFonts w:hint="eastAsia" w:ascii="宋体" w:hAnsi="宋体" w:cs="宋体"/>
          <w:b/>
          <w:color w:val="auto"/>
          <w:sz w:val="24"/>
          <w:szCs w:val="24"/>
          <w:highlight w:val="none"/>
        </w:rPr>
        <w:t>9.3 对评标委员会成员的纪律要求</w:t>
      </w:r>
      <w:bookmarkEnd w:id="101"/>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2" w:name="_Toc375647615"/>
      <w:r>
        <w:rPr>
          <w:rFonts w:hint="eastAsia" w:ascii="宋体" w:hAnsi="宋体" w:cs="宋体"/>
          <w:b/>
          <w:color w:val="auto"/>
          <w:sz w:val="24"/>
          <w:szCs w:val="24"/>
          <w:highlight w:val="none"/>
        </w:rPr>
        <w:t>9.4 对与评标活动有关的工作人员的纪律要求</w:t>
      </w:r>
      <w:bookmarkEnd w:id="102"/>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3" w:name="_Toc375647616"/>
      <w:r>
        <w:rPr>
          <w:rFonts w:hint="eastAsia" w:ascii="宋体" w:hAnsi="宋体" w:cs="宋体"/>
          <w:b/>
          <w:color w:val="auto"/>
          <w:sz w:val="24"/>
          <w:szCs w:val="24"/>
          <w:highlight w:val="none"/>
        </w:rPr>
        <w:t>9.5 投诉</w:t>
      </w:r>
      <w:bookmarkEnd w:id="103"/>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投标人和其他利害关系人认为本次招标活动违反法律、法规和规章规定的，有权向有关行政监督部门投诉。</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104" w:name="_Toc14614"/>
      <w:bookmarkStart w:id="105" w:name="_Toc333230101"/>
      <w:bookmarkStart w:id="106" w:name="_Toc374376343"/>
      <w:bookmarkStart w:id="107" w:name="_Toc375647617"/>
      <w:r>
        <w:rPr>
          <w:rFonts w:hint="eastAsia" w:ascii="宋体" w:hAnsi="宋体" w:cs="宋体"/>
          <w:b/>
          <w:color w:val="auto"/>
          <w:sz w:val="24"/>
          <w:szCs w:val="24"/>
          <w:highlight w:val="none"/>
        </w:rPr>
        <w:t>10.需要补充的其他内容</w:t>
      </w:r>
      <w:bookmarkEnd w:id="104"/>
      <w:bookmarkEnd w:id="105"/>
      <w:bookmarkEnd w:id="106"/>
      <w:bookmarkEnd w:id="107"/>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4"/>
          <w:highlight w:val="none"/>
        </w:rPr>
        <w:t>需要补充的其他内容：见投标人须知前附表。</w:t>
      </w:r>
    </w:p>
    <w:p>
      <w:pPr>
        <w:pageBreakBefore w:val="0"/>
        <w:kinsoku/>
        <w:overflowPunct/>
        <w:bidi w:val="0"/>
        <w:adjustRightInd w:val="0"/>
        <w:snapToGrid w:val="0"/>
        <w:spacing w:beforeAutospacing="0" w:afterAutospacing="0" w:line="360" w:lineRule="auto"/>
        <w:ind w:left="0" w:leftChars="0" w:right="0" w:rightChars="0"/>
        <w:jc w:val="center"/>
        <w:rPr>
          <w:rFonts w:hint="eastAsia"/>
          <w:b/>
          <w:bCs/>
          <w:color w:val="auto"/>
          <w:sz w:val="32"/>
          <w:szCs w:val="36"/>
          <w:highlight w:val="none"/>
        </w:rPr>
      </w:pPr>
      <w:bookmarkStart w:id="108" w:name="_Toc16671"/>
      <w:bookmarkStart w:id="109" w:name="_Toc29947"/>
      <w:bookmarkStart w:id="110" w:name="_Toc405210990"/>
      <w:bookmarkStart w:id="111" w:name="_Toc405210277"/>
      <w:bookmarkStart w:id="112" w:name="_Toc28991"/>
      <w:bookmarkStart w:id="113" w:name="_Toc375647619"/>
      <w:bookmarkStart w:id="114" w:name="_Toc257107765"/>
      <w:bookmarkStart w:id="115" w:name="_Toc247965818"/>
      <w:bookmarkStart w:id="116" w:name="_Toc374376345"/>
      <w:r>
        <w:rPr>
          <w:rFonts w:hint="eastAsia" w:ascii="宋体" w:hAnsi="宋体" w:eastAsia="宋体" w:cs="宋体"/>
          <w:color w:val="auto"/>
          <w:highlight w:val="none"/>
        </w:rPr>
        <w:br w:type="page"/>
      </w:r>
      <w:bookmarkStart w:id="117" w:name="_Toc20932"/>
      <w:r>
        <w:rPr>
          <w:rFonts w:hint="eastAsia"/>
          <w:b/>
          <w:bCs/>
          <w:color w:val="auto"/>
          <w:sz w:val="32"/>
          <w:szCs w:val="36"/>
          <w:highlight w:val="none"/>
        </w:rPr>
        <w:t>第三章</w:t>
      </w:r>
      <w:bookmarkStart w:id="118" w:name="_Toc329200380"/>
      <w:r>
        <w:rPr>
          <w:rFonts w:hint="eastAsia"/>
          <w:b/>
          <w:bCs/>
          <w:color w:val="auto"/>
          <w:sz w:val="32"/>
          <w:szCs w:val="36"/>
          <w:highlight w:val="none"/>
        </w:rPr>
        <w:t xml:space="preserve">  评标办法</w:t>
      </w:r>
      <w:bookmarkEnd w:id="108"/>
      <w:bookmarkEnd w:id="109"/>
      <w:bookmarkEnd w:id="110"/>
      <w:bookmarkEnd w:id="111"/>
      <w:bookmarkEnd w:id="112"/>
      <w:bookmarkEnd w:id="117"/>
      <w:bookmarkEnd w:id="118"/>
    </w:p>
    <w:p>
      <w:pPr>
        <w:pageBreakBefore w:val="0"/>
        <w:kinsoku/>
        <w:overflowPunct/>
        <w:bidi w:val="0"/>
        <w:adjustRightInd w:val="0"/>
        <w:snapToGrid w:val="0"/>
        <w:spacing w:beforeAutospacing="0" w:afterAutospacing="0" w:line="360" w:lineRule="auto"/>
        <w:ind w:left="0" w:leftChars="0" w:right="0" w:rightChars="0"/>
        <w:jc w:val="both"/>
        <w:rPr>
          <w:b/>
          <w:bCs/>
          <w:color w:val="auto"/>
          <w:sz w:val="32"/>
          <w:szCs w:val="36"/>
          <w:highlight w:val="none"/>
        </w:rPr>
      </w:pPr>
      <w:bookmarkStart w:id="119" w:name="_Toc29747"/>
      <w:r>
        <w:rPr>
          <w:rFonts w:hint="eastAsia"/>
          <w:b/>
          <w:bCs/>
          <w:color w:val="auto"/>
          <w:sz w:val="32"/>
          <w:szCs w:val="36"/>
          <w:highlight w:val="none"/>
        </w:rPr>
        <w:t>评标办法前附表</w:t>
      </w:r>
      <w:bookmarkEnd w:id="113"/>
      <w:bookmarkEnd w:id="114"/>
      <w:bookmarkEnd w:id="115"/>
      <w:bookmarkEnd w:id="116"/>
      <w:bookmarkEnd w:id="119"/>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08"/>
        <w:gridCol w:w="1896"/>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3" w:type="dxa"/>
            <w:gridSpan w:val="2"/>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85" w:type="dxa"/>
            <w:vMerge w:val="restart"/>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708" w:type="dxa"/>
            <w:vMerge w:val="restart"/>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形式</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评审</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标准</w:t>
            </w: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签字盖章</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符合招标文件签字盖章要求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投标文件格式</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标书雷同性分析</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投标（响应）文件制作机器码不能一致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报价唯一</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只能有一个有效报价且不超过本标段招标控制价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restart"/>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708" w:type="dxa"/>
            <w:vMerge w:val="restart"/>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896"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b w:val="0"/>
                <w:bCs w:val="0"/>
                <w:color w:val="auto"/>
                <w:highlight w:val="none"/>
              </w:rPr>
            </w:pPr>
            <w:r>
              <w:rPr>
                <w:rFonts w:hint="eastAsia" w:ascii="宋体" w:hAnsi="宋体" w:eastAsia="宋体" w:cs="宋体"/>
                <w:b w:val="0"/>
                <w:bCs w:val="0"/>
                <w:color w:val="auto"/>
                <w:sz w:val="24"/>
                <w:szCs w:val="24"/>
                <w:highlight w:val="none"/>
              </w:rPr>
              <w:t>营业执照</w:t>
            </w:r>
          </w:p>
        </w:tc>
        <w:tc>
          <w:tcPr>
            <w:tcW w:w="5790"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b w:val="0"/>
                <w:bCs w:val="0"/>
                <w:color w:val="auto"/>
                <w:highlight w:val="none"/>
              </w:rPr>
            </w:pPr>
            <w:r>
              <w:rPr>
                <w:rFonts w:hint="eastAsia" w:ascii="宋体" w:hAnsi="宋体" w:eastAsia="宋体" w:cs="宋体"/>
                <w:b w:val="0"/>
                <w:bCs w:val="0"/>
                <w:color w:val="auto"/>
                <w:sz w:val="24"/>
                <w:szCs w:val="24"/>
                <w:highlight w:val="none"/>
              </w:rPr>
              <w:t>提供有效的营业执照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eastAsia="宋体" w:cs="宋体"/>
                <w:b w:val="0"/>
                <w:bCs w:val="0"/>
                <w:color w:val="auto"/>
                <w:highlight w:val="none"/>
                <w:lang w:val="en-US" w:eastAsia="zh-CN"/>
              </w:rPr>
            </w:pPr>
            <w:r>
              <w:rPr>
                <w:rFonts w:hint="eastAsia" w:cs="宋体"/>
                <w:b w:val="0"/>
                <w:bCs w:val="0"/>
                <w:color w:val="auto"/>
                <w:highlight w:val="none"/>
                <w:lang w:val="en-US" w:eastAsia="zh-CN"/>
              </w:rPr>
              <w:t>信用查询</w:t>
            </w:r>
          </w:p>
        </w:tc>
        <w:tc>
          <w:tcPr>
            <w:tcW w:w="5790"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b w:val="0"/>
                <w:bCs w:val="0"/>
                <w:color w:val="auto"/>
                <w:highlight w:val="none"/>
              </w:rPr>
            </w:pPr>
            <w:r>
              <w:rPr>
                <w:rFonts w:hint="eastAsia" w:ascii="宋体" w:hAnsi="宋体" w:eastAsia="宋体" w:cs="宋体"/>
                <w:b w:val="0"/>
                <w:bCs w:val="0"/>
                <w:color w:val="auto"/>
                <w:sz w:val="24"/>
                <w:szCs w:val="24"/>
                <w:highlight w:val="none"/>
              </w:rPr>
              <w:t>提供网站的查询信息截图，查询时间自公告发布之日起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color w:val="auto"/>
                <w:highlight w:val="none"/>
              </w:rPr>
            </w:pPr>
            <w:r>
              <w:rPr>
                <w:rFonts w:hint="eastAsia"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行贿犯罪记录</w:t>
            </w:r>
          </w:p>
        </w:tc>
        <w:tc>
          <w:tcPr>
            <w:tcW w:w="5790"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default" w:cs="宋体"/>
                <w:color w:val="auto"/>
                <w:highlight w:val="none"/>
                <w:lang w:val="en-US"/>
              </w:rPr>
            </w:pPr>
            <w:r>
              <w:rPr>
                <w:rFonts w:hint="eastAsia" w:cs="宋体"/>
                <w:color w:val="auto"/>
                <w:highlight w:val="none"/>
                <w:lang w:val="en-US" w:eastAsia="zh-CN"/>
              </w:rPr>
              <w:t>国家企业信用信息公示系统信息查询</w:t>
            </w:r>
          </w:p>
        </w:tc>
        <w:tc>
          <w:tcPr>
            <w:tcW w:w="5790"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default" w:eastAsia="宋体" w:cs="宋体"/>
                <w:color w:val="auto"/>
                <w:highlight w:val="none"/>
                <w:lang w:val="en-US" w:eastAsia="zh-CN"/>
              </w:rPr>
            </w:pPr>
            <w:r>
              <w:rPr>
                <w:rFonts w:hint="eastAsia" w:cs="宋体"/>
                <w:color w:val="auto"/>
                <w:highlight w:val="none"/>
                <w:lang w:val="en-US" w:eastAsia="zh-CN"/>
              </w:rPr>
              <w:t>一标段资质要求</w:t>
            </w:r>
          </w:p>
        </w:tc>
        <w:tc>
          <w:tcPr>
            <w:tcW w:w="5790"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color w:val="auto"/>
                <w:highlight w:val="none"/>
              </w:rPr>
            </w:pPr>
            <w:r>
              <w:rPr>
                <w:rFonts w:hint="eastAsia" w:ascii="宋体" w:hAnsi="宋体" w:eastAsia="宋体" w:cs="宋体"/>
                <w:color w:val="auto"/>
                <w:sz w:val="24"/>
                <w:szCs w:val="24"/>
                <w:highlight w:val="none"/>
              </w:rPr>
              <w:t>书面声明中的内容</w:t>
            </w:r>
          </w:p>
        </w:tc>
        <w:tc>
          <w:tcPr>
            <w:tcW w:w="5790" w:type="dxa"/>
            <w:vAlign w:val="center"/>
          </w:tcPr>
          <w:p>
            <w:pPr>
              <w:pStyle w:val="16"/>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785" w:type="dxa"/>
            <w:vMerge w:val="restart"/>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708" w:type="dxa"/>
            <w:vMerge w:val="restart"/>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响应</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性评审标准</w:t>
            </w: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投标范围</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交货期</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质保期</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85"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5790" w:type="dxa"/>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bl>
    <w:p>
      <w:pPr>
        <w:pageBreakBefore w:val="0"/>
        <w:kinsoku/>
        <w:overflowPunct/>
        <w:bidi w:val="0"/>
        <w:adjustRightInd w:val="0"/>
        <w:snapToGrid w:val="0"/>
        <w:spacing w:beforeAutospacing="0" w:afterAutospacing="0" w:line="360" w:lineRule="auto"/>
        <w:ind w:left="0" w:leftChars="0" w:right="0" w:rightChars="0"/>
        <w:rPr>
          <w:vanish/>
          <w:color w:val="auto"/>
          <w:highlight w:val="none"/>
        </w:rPr>
      </w:pP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color w:val="auto"/>
          <w:highlight w:val="none"/>
        </w:rPr>
        <w:br w:type="page"/>
      </w:r>
    </w:p>
    <w:p>
      <w:pPr>
        <w:pStyle w:val="12"/>
        <w:pageBreakBefore w:val="0"/>
        <w:kinsoku/>
        <w:overflowPunct/>
        <w:bidi w:val="0"/>
        <w:adjustRightInd w:val="0"/>
        <w:snapToGrid w:val="0"/>
        <w:spacing w:beforeAutospacing="0" w:afterAutospacing="0" w:line="360" w:lineRule="auto"/>
        <w:ind w:left="0" w:leftChars="0" w:right="0" w:rightChars="0" w:firstLine="0" w:firstLineChars="0"/>
        <w:rPr>
          <w:rFonts w:hint="default" w:eastAsia="宋体"/>
          <w:b/>
          <w:bCs/>
          <w:color w:val="auto"/>
          <w:sz w:val="28"/>
          <w:szCs w:val="22"/>
          <w:highlight w:val="none"/>
          <w:lang w:val="en-US" w:eastAsia="zh-CN"/>
        </w:rPr>
      </w:pPr>
      <w:r>
        <w:rPr>
          <w:rFonts w:hint="eastAsia"/>
          <w:b/>
          <w:bCs/>
          <w:color w:val="auto"/>
          <w:sz w:val="28"/>
          <w:szCs w:val="22"/>
          <w:highlight w:val="none"/>
          <w:lang w:eastAsia="zh-CN"/>
        </w:rPr>
        <w:t>一标段评分办法</w:t>
      </w:r>
      <w:r>
        <w:rPr>
          <w:rFonts w:hint="eastAsia"/>
          <w:b/>
          <w:bCs/>
          <w:color w:val="auto"/>
          <w:sz w:val="28"/>
          <w:szCs w:val="22"/>
          <w:highlight w:val="none"/>
          <w:lang w:val="en-US" w:eastAsia="zh-CN"/>
        </w:rPr>
        <w:t>:</w:t>
      </w:r>
    </w:p>
    <w:tbl>
      <w:tblPr>
        <w:tblStyle w:val="19"/>
        <w:tblpPr w:leftFromText="180" w:rightFromText="180" w:vertAnchor="text" w:horzAnchor="margin" w:tblpXSpec="center" w:tblpY="13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712"/>
        <w:gridCol w:w="1909"/>
        <w:gridCol w:w="5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1514" w:type="dxa"/>
            <w:gridSpan w:val="2"/>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条款内容</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5" w:hRule="atLeast"/>
          <w:jc w:val="center"/>
        </w:trPr>
        <w:tc>
          <w:tcPr>
            <w:tcW w:w="1514" w:type="dxa"/>
            <w:gridSpan w:val="2"/>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2.2.1</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分值构成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（总分100分）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r>
              <w:rPr>
                <w:rFonts w:hint="eastAsia" w:ascii="宋体" w:hAnsi="宋体" w:eastAsia="宋体" w:cs="宋体"/>
                <w:color w:val="auto"/>
                <w:spacing w:val="0"/>
                <w:position w:val="0"/>
                <w:sz w:val="24"/>
                <w:szCs w:val="24"/>
                <w:highlight w:val="none"/>
                <w:lang w:val="en-US" w:eastAsia="zh-CN"/>
              </w:rPr>
              <w:t>3</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商务部分：</w:t>
            </w:r>
            <w:r>
              <w:rPr>
                <w:rFonts w:hint="eastAsia" w:ascii="宋体" w:hAnsi="宋体" w:cs="宋体"/>
                <w:color w:val="auto"/>
                <w:spacing w:val="0"/>
                <w:position w:val="0"/>
                <w:sz w:val="24"/>
                <w:szCs w:val="24"/>
                <w:highlight w:val="none"/>
                <w:lang w:val="en-US" w:eastAsia="zh-CN"/>
              </w:rPr>
              <w:t>40</w:t>
            </w:r>
            <w:r>
              <w:rPr>
                <w:rFonts w:hint="eastAsia" w:ascii="宋体" w:hAnsi="宋体" w:eastAsia="宋体" w:cs="宋体"/>
                <w:color w:val="auto"/>
                <w:spacing w:val="0"/>
                <w:position w:val="0"/>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技术部分：</w:t>
            </w:r>
            <w:r>
              <w:rPr>
                <w:rFonts w:hint="eastAsia" w:ascii="宋体" w:hAnsi="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2.2.2</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评标基准价计算方法</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kern w:val="0"/>
                <w:sz w:val="24"/>
                <w:szCs w:val="24"/>
                <w:highlight w:val="none"/>
              </w:rPr>
              <w:t>价格分采用低价优先法计算，即满足招标文件要求且投标价格最低的投标报价为评标基准价，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2.2.3</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投标报价的偏差率计算公式</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偏差率=100%×（有效投标报价－评标基准价）/评标基准价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jc w:val="center"/>
        </w:trPr>
        <w:tc>
          <w:tcPr>
            <w:tcW w:w="1514" w:type="dxa"/>
            <w:gridSpan w:val="2"/>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评分因素</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7" w:hRule="atLeast"/>
          <w:jc w:val="center"/>
        </w:trPr>
        <w:tc>
          <w:tcPr>
            <w:tcW w:w="1514" w:type="dxa"/>
            <w:gridSpan w:val="2"/>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3</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本项目投标价超出预算价的，采购人不予接受，且投标为无效。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投标报价得分：价格分采用低价优先法计算，即满足招标文件要求且投标价格最低的投标报价为评标基准价，得</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分，其他供应商的价格分按照下列公式计算：</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(精确到小数点后两位,四舍五入)</w:t>
            </w:r>
          </w:p>
          <w:p>
            <w:pPr>
              <w:pageBreakBefore w:val="0"/>
              <w:kinsoku/>
              <w:overflowPunct/>
              <w:bidi w:val="0"/>
              <w:adjustRightInd w:val="0"/>
              <w:snapToGrid w:val="0"/>
              <w:spacing w:beforeAutospacing="0" w:afterAutospacing="0" w:line="360" w:lineRule="auto"/>
              <w:ind w:left="0" w:leftChars="0" w:right="0" w:rightChars="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价格扣除：《国务院关于印发扎实稳住经济一揽子政策措施的通知》（国发〔2022〕12号）对外发布，《通知》指出，加大政府采购支持中小企业力度。投标供应商为中小微企业的，对所投标的小型和微型企业制造的产品的价格给予</w:t>
            </w: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%的扣除，用扣除后的价格参与评审。</w:t>
            </w:r>
            <w:r>
              <w:rPr>
                <w:rFonts w:hint="eastAsia" w:ascii="宋体" w:hAnsi="宋体" w:cs="宋体"/>
                <w:b/>
                <w:color w:val="auto"/>
                <w:sz w:val="24"/>
                <w:szCs w:val="24"/>
                <w:highlight w:val="none"/>
                <w:lang w:val="en-US" w:eastAsia="zh-CN"/>
              </w:rPr>
              <w:t>供应商需填写中小企业声明函并提供相关证明材料。</w:t>
            </w:r>
          </w:p>
          <w:p>
            <w:pPr>
              <w:pStyle w:val="12"/>
              <w:pageBreakBefore w:val="0"/>
              <w:kinsoku/>
              <w:overflowPunct/>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所投中小微企业产品报价=所投中小微企业产品报价×（1-</w:t>
            </w:r>
            <w:r>
              <w:rPr>
                <w:rFonts w:hint="eastAsia"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3" w:hRule="atLeast"/>
          <w:jc w:val="center"/>
        </w:trPr>
        <w:tc>
          <w:tcPr>
            <w:tcW w:w="802" w:type="dxa"/>
            <w:vMerge w:val="restart"/>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712" w:type="dxa"/>
            <w:vMerge w:val="restart"/>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商务部分</w:t>
            </w:r>
            <w:r>
              <w:rPr>
                <w:rFonts w:hint="eastAsia" w:ascii="宋体" w:hAnsi="宋体" w:cs="宋体"/>
                <w:color w:val="auto"/>
                <w:spacing w:val="0"/>
                <w:position w:val="0"/>
                <w:sz w:val="24"/>
                <w:szCs w:val="24"/>
                <w:highlight w:val="none"/>
                <w:lang w:val="en-US" w:eastAsia="zh-CN"/>
              </w:rPr>
              <w:t>40</w:t>
            </w:r>
            <w:r>
              <w:rPr>
                <w:rFonts w:hint="eastAsia" w:ascii="宋体" w:hAnsi="宋体" w:eastAsia="宋体" w:cs="宋体"/>
                <w:color w:val="auto"/>
                <w:spacing w:val="0"/>
                <w:position w:val="0"/>
                <w:sz w:val="24"/>
                <w:szCs w:val="24"/>
                <w:highlight w:val="none"/>
              </w:rPr>
              <w:t>分</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企业业绩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8</w:t>
            </w:r>
            <w:r>
              <w:rPr>
                <w:rFonts w:hint="eastAsia" w:ascii="宋体" w:hAnsi="宋体" w:eastAsia="宋体" w:cs="宋体"/>
                <w:color w:val="auto"/>
                <w:spacing w:val="0"/>
                <w:position w:val="0"/>
                <w:sz w:val="24"/>
                <w:szCs w:val="24"/>
                <w:highlight w:val="none"/>
              </w:rPr>
              <w:t>分）</w:t>
            </w:r>
          </w:p>
        </w:tc>
        <w:tc>
          <w:tcPr>
            <w:tcW w:w="5695" w:type="dxa"/>
            <w:shd w:val="clear" w:color="auto" w:fill="auto"/>
            <w:vAlign w:val="center"/>
          </w:tcPr>
          <w:p>
            <w:pPr>
              <w:pStyle w:val="40"/>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投标人提供202</w:t>
            </w:r>
            <w:r>
              <w:rPr>
                <w:rFonts w:hint="eastAsia"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年1月1日以来（时间以中标通知书时间为准）具有的空气源热泵烤房（电能烤房）成套设备（指以空气源热泵作为主要热源的烘烤、烘干装置）的</w:t>
            </w:r>
            <w:r>
              <w:rPr>
                <w:rFonts w:hint="eastAsia" w:cs="宋体"/>
                <w:color w:val="auto"/>
                <w:spacing w:val="0"/>
                <w:position w:val="0"/>
                <w:sz w:val="24"/>
                <w:szCs w:val="24"/>
                <w:highlight w:val="none"/>
                <w:lang w:eastAsia="zh-CN"/>
              </w:rPr>
              <w:t>类似业绩</w:t>
            </w:r>
            <w:r>
              <w:rPr>
                <w:rFonts w:hint="eastAsia" w:ascii="宋体" w:hAnsi="宋体" w:eastAsia="宋体" w:cs="宋体"/>
                <w:color w:val="auto"/>
                <w:spacing w:val="0"/>
                <w:position w:val="0"/>
                <w:sz w:val="24"/>
                <w:szCs w:val="24"/>
                <w:highlight w:val="none"/>
              </w:rPr>
              <w:t>的一份得</w:t>
            </w:r>
            <w:r>
              <w:rPr>
                <w:rFonts w:hint="eastAsia"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分；本项最多得</w:t>
            </w:r>
            <w:r>
              <w:rPr>
                <w:rFonts w:hint="eastAsia" w:cs="宋体"/>
                <w:color w:val="auto"/>
                <w:spacing w:val="0"/>
                <w:position w:val="0"/>
                <w:sz w:val="24"/>
                <w:szCs w:val="24"/>
                <w:highlight w:val="none"/>
                <w:lang w:val="en-US" w:eastAsia="zh-CN"/>
              </w:rPr>
              <w:t>8</w:t>
            </w:r>
            <w:r>
              <w:rPr>
                <w:rFonts w:hint="eastAsia" w:ascii="宋体" w:hAnsi="宋体" w:eastAsia="宋体" w:cs="宋体"/>
                <w:color w:val="auto"/>
                <w:spacing w:val="0"/>
                <w:position w:val="0"/>
                <w:sz w:val="24"/>
                <w:szCs w:val="24"/>
                <w:highlight w:val="none"/>
              </w:rPr>
              <w:t>分。</w:t>
            </w:r>
          </w:p>
          <w:p>
            <w:pPr>
              <w:pStyle w:val="40"/>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2"/>
                <w:position w:val="0"/>
                <w:sz w:val="24"/>
                <w:szCs w:val="24"/>
                <w:highlight w:val="none"/>
                <w:lang w:val="en-US" w:eastAsia="zh-CN" w:bidi="ar-SA"/>
              </w:rPr>
              <w:t>（注：投标文件中附清晰可辨的中标通知书（或成交通知</w:t>
            </w:r>
          </w:p>
          <w:p>
            <w:pPr>
              <w:pStyle w:val="40"/>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2"/>
                <w:position w:val="0"/>
                <w:sz w:val="24"/>
                <w:szCs w:val="24"/>
                <w:highlight w:val="none"/>
                <w:lang w:val="en-US" w:eastAsia="zh-CN" w:bidi="ar-SA"/>
              </w:rPr>
              <w:t>书）、合同协议，并附中标候选人公示或中标（成交）结果公告任意一个相关官方网站截图，否则不得分。</w:t>
            </w:r>
          </w:p>
          <w:p>
            <w:pPr>
              <w:pStyle w:val="40"/>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kern w:val="2"/>
                <w:position w:val="0"/>
                <w:sz w:val="24"/>
                <w:szCs w:val="24"/>
                <w:highlight w:val="none"/>
                <w:lang w:val="en-US" w:eastAsia="zh-CN" w:bidi="ar-SA"/>
              </w:rPr>
              <w:t>相关官方网站截图指：中国招标投标公共服务平台或省级电子招标投标公共服务平台或中国政府采购网或其他省、市、县政府采购网或全国公共资源交易平台或省、市、县级公共资源交易中心网站。）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8"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vMerge w:val="restart"/>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企业</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综合实力</w:t>
            </w:r>
            <w:r>
              <w:rPr>
                <w:rFonts w:hint="eastAsia" w:ascii="宋体" w:hAnsi="宋体" w:eastAsia="宋体" w:cs="宋体"/>
                <w:color w:val="auto"/>
                <w:spacing w:val="0"/>
                <w:position w:val="0"/>
                <w:sz w:val="24"/>
                <w:szCs w:val="24"/>
                <w:highlight w:val="none"/>
              </w:rPr>
              <w:t>（</w:t>
            </w:r>
            <w:r>
              <w:rPr>
                <w:rFonts w:hint="eastAsia" w:ascii="宋体" w:hAnsi="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分）</w:t>
            </w:r>
          </w:p>
        </w:tc>
        <w:tc>
          <w:tcPr>
            <w:tcW w:w="5695" w:type="dxa"/>
            <w:shd w:val="clear" w:color="auto" w:fill="auto"/>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1.投标人具有热泵烤房（烘干房）相关产品自有发明专利的，一个得</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分，最多得</w:t>
            </w:r>
            <w:r>
              <w:rPr>
                <w:rFonts w:hint="eastAsia" w:ascii="宋体" w:hAnsi="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（注：（1）投标文件中附清晰可辨的证书原件扫描件或图片并附《国家知识产权局》官方网站查询结果截图，否则不得分。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lang w:val="zh-CN"/>
              </w:rPr>
            </w:pPr>
            <w:r>
              <w:rPr>
                <w:rFonts w:hint="eastAsia" w:ascii="宋体" w:hAnsi="宋体" w:eastAsia="宋体" w:cs="宋体"/>
                <w:b/>
                <w:bCs/>
                <w:color w:val="auto"/>
                <w:spacing w:val="0"/>
                <w:position w:val="0"/>
                <w:sz w:val="24"/>
                <w:szCs w:val="24"/>
                <w:highlight w:val="none"/>
              </w:rPr>
              <w:t>（2）专利权人必须是投标人，专利权或使用权受让的不得分。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vMerge w:val="continue"/>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5695" w:type="dxa"/>
            <w:shd w:val="clear" w:color="auto" w:fill="auto"/>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2.投标人具有热泵烤房（烘干房）相关产品自有实用新型专利的，一个得</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分，最多得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（注：（1）投标文件中附清晰可辨的证书原件扫描件或图片并附《国家知识产权局》官方网站查询结果截图，否则不得分。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（2）专利权人必须是投标人，专利权或使用权受让的不得分。</w:t>
            </w:r>
            <w:r>
              <w:rPr>
                <w:rFonts w:hint="eastAsia" w:ascii="宋体" w:hAnsi="宋体" w:eastAsia="宋体" w:cs="宋体"/>
                <w:b/>
                <w:bCs/>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5"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vMerge w:val="continue"/>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5695" w:type="dxa"/>
            <w:shd w:val="clear" w:color="auto" w:fill="auto"/>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3.投标人具有空气源热泵相关的省级及以上科技成果奖励荣誉证书得</w:t>
            </w:r>
            <w:r>
              <w:rPr>
                <w:rFonts w:hint="eastAsia" w:ascii="宋体" w:hAnsi="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（注：提供证书原件扫描件或图片，未提供的不得分。行业、协会等出具的成果鉴定报告不得分）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vMerge w:val="continue"/>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5695" w:type="dxa"/>
            <w:shd w:val="clear" w:color="auto" w:fill="auto"/>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4.投标人具有空气源热泵烤房控制系统相关软件著作权的，一个得</w:t>
            </w:r>
            <w:r>
              <w:rPr>
                <w:rFonts w:hint="eastAsia" w:ascii="宋体" w:hAnsi="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分，最多得</w:t>
            </w:r>
            <w:r>
              <w:rPr>
                <w:rFonts w:hint="eastAsia" w:ascii="宋体" w:hAnsi="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（注：（1）投标文件中附清晰可辨的证书原件扫描件或图片并附《中国版权保护中心》官方网站查询结果截图，否则不得分；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rPr>
              <w:t>（2）著作权人必须是投标人，专利权或使用权受让的不得分。</w:t>
            </w:r>
            <w:r>
              <w:rPr>
                <w:rFonts w:hint="eastAsia" w:ascii="宋体" w:hAnsi="宋体" w:eastAsia="宋体" w:cs="宋体"/>
                <w:b/>
                <w:bCs/>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vMerge w:val="restart"/>
            <w:shd w:val="clear" w:color="auto" w:fill="auto"/>
            <w:vAlign w:val="center"/>
          </w:tcPr>
          <w:p>
            <w:pPr>
              <w:pStyle w:val="36"/>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firstLine="0"/>
              <w:jc w:val="center"/>
              <w:textAlignment w:val="auto"/>
              <w:rPr>
                <w:rFonts w:hint="eastAsia" w:ascii="宋体" w:hAnsi="宋体" w:eastAsia="宋体" w:cs="宋体"/>
                <w:color w:val="auto"/>
                <w:spacing w:val="0"/>
                <w:kern w:val="2"/>
                <w:position w:val="0"/>
                <w:sz w:val="24"/>
                <w:szCs w:val="24"/>
                <w:highlight w:val="none"/>
                <w:lang w:val="zh-CN" w:eastAsia="zh-CN" w:bidi="ar-SA"/>
              </w:rPr>
            </w:pPr>
            <w:r>
              <w:rPr>
                <w:rFonts w:hint="eastAsia" w:ascii="宋体" w:hAnsi="宋体" w:eastAsia="宋体" w:cs="宋体"/>
                <w:color w:val="auto"/>
                <w:spacing w:val="0"/>
                <w:kern w:val="2"/>
                <w:position w:val="0"/>
                <w:sz w:val="24"/>
                <w:szCs w:val="24"/>
                <w:highlight w:val="none"/>
                <w:lang w:val="zh-CN" w:eastAsia="zh-CN" w:bidi="ar-SA"/>
              </w:rPr>
              <w:t>售后服务</w:t>
            </w:r>
          </w:p>
          <w:p>
            <w:pPr>
              <w:pStyle w:val="36"/>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pacing w:val="0"/>
                <w:kern w:val="2"/>
                <w:position w:val="0"/>
                <w:sz w:val="24"/>
                <w:szCs w:val="24"/>
                <w:highlight w:val="none"/>
                <w:lang w:val="zh-CN" w:eastAsia="zh-CN" w:bidi="ar-SA"/>
              </w:rPr>
            </w:pPr>
            <w:r>
              <w:rPr>
                <w:rFonts w:hint="eastAsia" w:ascii="宋体" w:hAnsi="宋体" w:eastAsia="宋体" w:cs="宋体"/>
                <w:color w:val="auto"/>
                <w:spacing w:val="0"/>
                <w:kern w:val="2"/>
                <w:position w:val="0"/>
                <w:sz w:val="24"/>
                <w:szCs w:val="24"/>
                <w:highlight w:val="none"/>
                <w:lang w:val="zh-CN" w:eastAsia="zh-CN" w:bidi="ar-SA"/>
              </w:rPr>
              <w:t>（</w:t>
            </w:r>
            <w:r>
              <w:rPr>
                <w:rFonts w:hint="eastAsia" w:ascii="宋体" w:hAnsi="宋体" w:eastAsia="宋体" w:cs="宋体"/>
                <w:color w:val="auto"/>
                <w:spacing w:val="0"/>
                <w:kern w:val="2"/>
                <w:position w:val="0"/>
                <w:sz w:val="24"/>
                <w:szCs w:val="24"/>
                <w:highlight w:val="none"/>
                <w:lang w:val="en-US" w:eastAsia="zh-CN" w:bidi="ar-SA"/>
              </w:rPr>
              <w:t>16</w:t>
            </w:r>
            <w:r>
              <w:rPr>
                <w:rFonts w:hint="eastAsia" w:ascii="宋体" w:hAnsi="宋体" w:eastAsia="宋体" w:cs="宋体"/>
                <w:color w:val="auto"/>
                <w:spacing w:val="0"/>
                <w:kern w:val="2"/>
                <w:position w:val="0"/>
                <w:sz w:val="24"/>
                <w:szCs w:val="24"/>
                <w:highlight w:val="none"/>
                <w:lang w:val="zh-CN" w:eastAsia="zh-CN" w:bidi="ar-SA"/>
              </w:rPr>
              <w:t>分）</w:t>
            </w:r>
          </w:p>
        </w:tc>
        <w:tc>
          <w:tcPr>
            <w:tcW w:w="5695" w:type="dxa"/>
            <w:shd w:val="clear" w:color="auto" w:fill="auto"/>
            <w:vAlign w:val="center"/>
          </w:tcPr>
          <w:p>
            <w:pPr>
              <w:pStyle w:val="36"/>
              <w:pageBreakBefore w:val="0"/>
              <w:numPr>
                <w:ilvl w:val="0"/>
                <w:numId w:val="0"/>
              </w:numPr>
              <w:kinsoku/>
              <w:overflowPunct/>
              <w:bidi w:val="0"/>
              <w:adjustRightInd w:val="0"/>
              <w:snapToGrid w:val="0"/>
              <w:spacing w:before="0" w:beforeAutospacing="0" w:after="0" w:afterAutospacing="0" w:line="360" w:lineRule="auto"/>
              <w:ind w:left="0" w:leftChars="0" w:right="0" w:rightChars="0"/>
              <w:jc w:val="both"/>
              <w:rPr>
                <w:rFonts w:hint="eastAsia" w:ascii="宋体" w:hAnsi="宋体" w:eastAsia="宋体" w:cs="宋体"/>
                <w:color w:val="auto"/>
                <w:spacing w:val="0"/>
                <w:kern w:val="2"/>
                <w:position w:val="0"/>
                <w:sz w:val="24"/>
                <w:szCs w:val="24"/>
                <w:highlight w:val="none"/>
                <w:lang w:val="zh-CN" w:eastAsia="zh-CN" w:bidi="ar-SA"/>
              </w:rPr>
            </w:pPr>
            <w:r>
              <w:rPr>
                <w:rFonts w:hint="eastAsia" w:ascii="宋体" w:hAnsi="宋体" w:eastAsia="宋体" w:cs="宋体"/>
                <w:color w:val="auto"/>
                <w:spacing w:val="0"/>
                <w:kern w:val="2"/>
                <w:position w:val="0"/>
                <w:sz w:val="24"/>
                <w:szCs w:val="24"/>
                <w:highlight w:val="none"/>
                <w:lang w:val="en-US" w:eastAsia="zh-CN" w:bidi="ar-SA"/>
              </w:rPr>
              <w:t>投标产品</w:t>
            </w:r>
            <w:r>
              <w:rPr>
                <w:rFonts w:hint="eastAsia" w:ascii="宋体" w:hAnsi="宋体" w:eastAsia="宋体" w:cs="宋体"/>
                <w:color w:val="auto"/>
                <w:spacing w:val="0"/>
                <w:kern w:val="2"/>
                <w:position w:val="0"/>
                <w:sz w:val="24"/>
                <w:szCs w:val="24"/>
                <w:highlight w:val="none"/>
                <w:lang w:val="zh-CN" w:eastAsia="zh-CN" w:bidi="ar-SA"/>
              </w:rPr>
              <w:t>售后服务保修年限在</w:t>
            </w:r>
            <w:r>
              <w:rPr>
                <w:rFonts w:hint="eastAsia" w:ascii="宋体" w:hAnsi="宋体" w:eastAsia="宋体" w:cs="宋体"/>
                <w:color w:val="auto"/>
                <w:spacing w:val="0"/>
                <w:kern w:val="2"/>
                <w:position w:val="0"/>
                <w:sz w:val="24"/>
                <w:szCs w:val="24"/>
                <w:highlight w:val="none"/>
                <w:lang w:val="en-US" w:eastAsia="zh-CN" w:bidi="ar-SA"/>
              </w:rPr>
              <w:t>3年</w:t>
            </w:r>
            <w:r>
              <w:rPr>
                <w:rFonts w:hint="eastAsia" w:ascii="宋体" w:hAnsi="宋体" w:eastAsia="宋体" w:cs="宋体"/>
                <w:color w:val="auto"/>
                <w:spacing w:val="0"/>
                <w:kern w:val="2"/>
                <w:position w:val="0"/>
                <w:sz w:val="24"/>
                <w:szCs w:val="24"/>
                <w:highlight w:val="none"/>
                <w:lang w:val="zh-CN" w:eastAsia="zh-CN" w:bidi="ar-SA"/>
              </w:rPr>
              <w:t>保修期</w:t>
            </w:r>
            <w:r>
              <w:rPr>
                <w:rFonts w:hint="eastAsia" w:ascii="宋体" w:hAnsi="宋体" w:eastAsia="宋体" w:cs="宋体"/>
                <w:color w:val="auto"/>
                <w:spacing w:val="0"/>
                <w:kern w:val="2"/>
                <w:position w:val="0"/>
                <w:sz w:val="24"/>
                <w:szCs w:val="24"/>
                <w:highlight w:val="none"/>
                <w:lang w:val="en-US" w:eastAsia="zh-CN" w:bidi="ar-SA"/>
              </w:rPr>
              <w:t>基础上</w:t>
            </w:r>
            <w:r>
              <w:rPr>
                <w:rFonts w:hint="eastAsia" w:ascii="宋体" w:hAnsi="宋体" w:eastAsia="宋体" w:cs="宋体"/>
                <w:color w:val="auto"/>
                <w:spacing w:val="0"/>
                <w:kern w:val="2"/>
                <w:position w:val="0"/>
                <w:sz w:val="24"/>
                <w:szCs w:val="24"/>
                <w:highlight w:val="none"/>
                <w:lang w:val="zh-CN" w:eastAsia="zh-CN" w:bidi="ar-SA"/>
              </w:rPr>
              <w:t>，每延长</w:t>
            </w:r>
            <w:r>
              <w:rPr>
                <w:rFonts w:hint="eastAsia" w:ascii="宋体" w:hAnsi="宋体" w:eastAsia="宋体" w:cs="宋体"/>
                <w:color w:val="auto"/>
                <w:spacing w:val="0"/>
                <w:kern w:val="2"/>
                <w:position w:val="0"/>
                <w:sz w:val="24"/>
                <w:szCs w:val="24"/>
                <w:highlight w:val="none"/>
                <w:lang w:val="en-US" w:eastAsia="zh-CN" w:bidi="ar-SA"/>
              </w:rPr>
              <w:t>12个月</w:t>
            </w:r>
            <w:r>
              <w:rPr>
                <w:rFonts w:hint="eastAsia" w:ascii="宋体" w:hAnsi="宋体" w:eastAsia="宋体" w:cs="宋体"/>
                <w:color w:val="auto"/>
                <w:spacing w:val="0"/>
                <w:kern w:val="2"/>
                <w:position w:val="0"/>
                <w:sz w:val="24"/>
                <w:szCs w:val="24"/>
                <w:highlight w:val="none"/>
                <w:lang w:val="zh-CN" w:eastAsia="zh-CN" w:bidi="ar-SA"/>
              </w:rPr>
              <w:t>加</w:t>
            </w:r>
            <w:r>
              <w:rPr>
                <w:rFonts w:hint="eastAsia" w:ascii="宋体" w:hAnsi="宋体" w:eastAsia="宋体" w:cs="宋体"/>
                <w:color w:val="auto"/>
                <w:spacing w:val="0"/>
                <w:kern w:val="2"/>
                <w:position w:val="0"/>
                <w:sz w:val="24"/>
                <w:szCs w:val="24"/>
                <w:highlight w:val="none"/>
                <w:lang w:val="en-US" w:eastAsia="zh-CN" w:bidi="ar-SA"/>
              </w:rPr>
              <w:t>1</w:t>
            </w:r>
            <w:r>
              <w:rPr>
                <w:rFonts w:hint="eastAsia" w:ascii="宋体" w:hAnsi="宋体" w:eastAsia="宋体" w:cs="宋体"/>
                <w:color w:val="auto"/>
                <w:spacing w:val="0"/>
                <w:kern w:val="2"/>
                <w:position w:val="0"/>
                <w:sz w:val="24"/>
                <w:szCs w:val="24"/>
                <w:highlight w:val="none"/>
                <w:lang w:val="zh-CN" w:eastAsia="zh-CN" w:bidi="ar-SA"/>
              </w:rPr>
              <w:t>分，该项最高得</w:t>
            </w:r>
            <w:r>
              <w:rPr>
                <w:rFonts w:hint="eastAsia" w:ascii="宋体" w:hAnsi="宋体" w:eastAsia="宋体" w:cs="宋体"/>
                <w:color w:val="auto"/>
                <w:spacing w:val="0"/>
                <w:kern w:val="2"/>
                <w:position w:val="0"/>
                <w:sz w:val="24"/>
                <w:szCs w:val="24"/>
                <w:highlight w:val="none"/>
                <w:lang w:val="en-US" w:eastAsia="zh-CN" w:bidi="ar-SA"/>
              </w:rPr>
              <w:t>2</w:t>
            </w:r>
            <w:r>
              <w:rPr>
                <w:rFonts w:hint="eastAsia" w:ascii="宋体" w:hAnsi="宋体" w:eastAsia="宋体" w:cs="宋体"/>
                <w:color w:val="auto"/>
                <w:spacing w:val="0"/>
                <w:kern w:val="2"/>
                <w:position w:val="0"/>
                <w:sz w:val="24"/>
                <w:szCs w:val="24"/>
                <w:highlight w:val="none"/>
                <w:lang w:val="zh-CN" w:eastAsia="zh-CN" w:bidi="ar-SA"/>
              </w:rPr>
              <w:t>分。</w:t>
            </w:r>
          </w:p>
          <w:p>
            <w:pPr>
              <w:pStyle w:val="36"/>
              <w:pageBreakBefore w:val="0"/>
              <w:numPr>
                <w:ilvl w:val="0"/>
                <w:numId w:val="0"/>
              </w:numPr>
              <w:kinsoku/>
              <w:overflowPunct/>
              <w:bidi w:val="0"/>
              <w:adjustRightInd w:val="0"/>
              <w:snapToGrid w:val="0"/>
              <w:spacing w:before="0" w:beforeAutospacing="0" w:after="0" w:afterAutospacing="0" w:line="360" w:lineRule="auto"/>
              <w:ind w:left="0" w:leftChars="0" w:right="0" w:rightChars="0"/>
              <w:jc w:val="both"/>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投标企业在灵宝市范围内设有售后服务点（投标文件中附相关证明材料）且技术人员应在2-4小时内赶赴现场对设备进行维修（提供承诺书）的得4分，没有不得分。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2"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vMerge w:val="continue"/>
            <w:shd w:val="clear" w:color="auto" w:fill="auto"/>
            <w:vAlign w:val="center"/>
          </w:tcPr>
          <w:p>
            <w:pPr>
              <w:pStyle w:val="36"/>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pacing w:val="0"/>
                <w:kern w:val="2"/>
                <w:position w:val="0"/>
                <w:sz w:val="24"/>
                <w:szCs w:val="24"/>
                <w:highlight w:val="none"/>
                <w:lang w:val="zh-CN" w:eastAsia="zh-CN" w:bidi="ar-SA"/>
              </w:rPr>
            </w:pPr>
          </w:p>
        </w:tc>
        <w:tc>
          <w:tcPr>
            <w:tcW w:w="5695" w:type="dxa"/>
            <w:shd w:val="clear" w:color="auto" w:fill="auto"/>
            <w:vAlign w:val="center"/>
          </w:tcPr>
          <w:p>
            <w:pPr>
              <w:pageBreakBefore w:val="0"/>
              <w:numPr>
                <w:ilvl w:val="0"/>
                <w:numId w:val="0"/>
              </w:numPr>
              <w:kinsoku/>
              <w:overflowPunct/>
              <w:bidi w:val="0"/>
              <w:adjustRightInd w:val="0"/>
              <w:snapToGrid w:val="0"/>
              <w:spacing w:line="360" w:lineRule="auto"/>
              <w:ind w:right="0" w:rightChars="0"/>
              <w:jc w:val="left"/>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供应商制定的售后服务方案应针对本项目的售后服务内容、售后服务期限、服务体系、响应方式、响应时间、对设备后续运行的正常、持续、稳定性配备有充足的部件、材料和配件及替换产品等等进行详细说明，由评标委员会进行横向比较。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6"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其他优惠条件4分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投标人提供的其他优惠条件，由评标委员会进行横向比较，在0-4分之间进行打分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2" w:hRule="atLeast"/>
          <w:jc w:val="center"/>
        </w:trPr>
        <w:tc>
          <w:tcPr>
            <w:tcW w:w="802" w:type="dxa"/>
            <w:vMerge w:val="restart"/>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712" w:type="dxa"/>
            <w:vMerge w:val="restart"/>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技术部分30分</w:t>
            </w: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技术参数10分</w:t>
            </w:r>
          </w:p>
        </w:tc>
        <w:tc>
          <w:tcPr>
            <w:tcW w:w="5695" w:type="dxa"/>
            <w:shd w:val="clear" w:color="auto" w:fill="auto"/>
            <w:vAlign w:val="center"/>
          </w:tcPr>
          <w:p>
            <w:pPr>
              <w:pStyle w:val="40"/>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Times New Roman"/>
                <w:szCs w:val="21"/>
                <w:highlight w:val="none"/>
                <w:lang w:val="en-US" w:eastAsia="zh-CN"/>
              </w:rPr>
            </w:pPr>
            <w:r>
              <w:rPr>
                <w:rFonts w:hint="eastAsia" w:ascii="宋体" w:hAnsi="宋体" w:eastAsia="宋体" w:cs="宋体"/>
                <w:color w:val="auto"/>
                <w:spacing w:val="0"/>
                <w:position w:val="0"/>
                <w:sz w:val="24"/>
                <w:szCs w:val="24"/>
                <w:highlight w:val="none"/>
              </w:rPr>
              <w:t>投标产品其它技术参数全部满足招标文件技术参数要求，得</w:t>
            </w:r>
            <w:r>
              <w:rPr>
                <w:rFonts w:hint="eastAsia"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rPr>
              <w:t>分；不满足招标文件技术参数要求的按无效标处理。</w:t>
            </w:r>
            <w:r>
              <w:rPr>
                <w:rFonts w:hint="eastAsia" w:ascii="宋体" w:hAnsi="宋体" w:eastAsia="宋体" w:cs="宋体"/>
                <w:b/>
                <w:bCs/>
                <w:color w:val="auto"/>
                <w:spacing w:val="0"/>
                <w:kern w:val="2"/>
                <w:position w:val="0"/>
                <w:sz w:val="24"/>
                <w:szCs w:val="24"/>
                <w:highlight w:val="none"/>
                <w:lang w:val="en-US" w:eastAsia="zh-CN" w:bidi="ar-SA"/>
              </w:rPr>
              <w:t>评标委员会依据投标文件技术偏离响应情况打分，未提供的不得分。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产品质量5分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en-US" w:bidi="ar-SA"/>
              </w:rPr>
            </w:pPr>
            <w:r>
              <w:rPr>
                <w:rFonts w:hint="eastAsia" w:ascii="宋体" w:hAnsi="宋体" w:eastAsia="宋体" w:cs="宋体"/>
                <w:color w:val="auto"/>
                <w:spacing w:val="0"/>
                <w:kern w:val="2"/>
                <w:position w:val="0"/>
                <w:sz w:val="24"/>
                <w:szCs w:val="24"/>
                <w:highlight w:val="none"/>
                <w:lang w:val="en-US" w:eastAsia="en-US" w:bidi="ar-SA"/>
              </w:rPr>
              <w:t>投标人所投产品的热泵主机组在额定工况（室外侧干球温度25℃,湿球温度22℃,室内侧回风干球温度45℃,明示高档风量）下，COPr、额定制热量满足招标文件技术参数要求。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b/>
                <w:bCs/>
                <w:color w:val="auto"/>
                <w:spacing w:val="0"/>
                <w:kern w:val="2"/>
                <w:position w:val="0"/>
                <w:sz w:val="24"/>
                <w:szCs w:val="24"/>
                <w:highlight w:val="none"/>
                <w:lang w:val="en-US" w:eastAsia="en-US" w:bidi="ar-SA"/>
              </w:rPr>
              <w:t>（注：投标文件中</w:t>
            </w:r>
            <w:r>
              <w:rPr>
                <w:rFonts w:hint="eastAsia" w:ascii="宋体" w:hAnsi="宋体" w:cs="宋体"/>
                <w:b/>
                <w:bCs/>
                <w:color w:val="auto"/>
                <w:spacing w:val="0"/>
                <w:kern w:val="2"/>
                <w:position w:val="0"/>
                <w:sz w:val="24"/>
                <w:szCs w:val="24"/>
                <w:highlight w:val="none"/>
                <w:lang w:val="en-US" w:eastAsia="zh-CN" w:bidi="ar-SA"/>
              </w:rPr>
              <w:t>提供</w:t>
            </w:r>
            <w:r>
              <w:rPr>
                <w:rFonts w:hint="eastAsia" w:ascii="宋体" w:hAnsi="宋体" w:eastAsia="宋体" w:cs="宋体"/>
                <w:b/>
                <w:bCs/>
                <w:color w:val="auto"/>
                <w:spacing w:val="0"/>
                <w:kern w:val="2"/>
                <w:position w:val="0"/>
                <w:sz w:val="24"/>
                <w:szCs w:val="24"/>
                <w:highlight w:val="none"/>
                <w:lang w:val="en-US" w:eastAsia="en-US" w:bidi="ar-SA"/>
              </w:rPr>
              <w:t>清晰可辨的空气源热泵主机组、换热器、轴流风机和空气源热泵主机组控制器等主要部件的检测报告的原件扫描件或图片，要求检测报告为2021年1月1日以来出具具有CNAS、CMA印章，</w:t>
            </w:r>
            <w:r>
              <w:rPr>
                <w:rFonts w:hint="eastAsia" w:ascii="宋体" w:hAnsi="宋体" w:cs="宋体"/>
                <w:b/>
                <w:bCs/>
                <w:color w:val="auto"/>
                <w:spacing w:val="0"/>
                <w:kern w:val="2"/>
                <w:position w:val="0"/>
                <w:sz w:val="24"/>
                <w:szCs w:val="24"/>
                <w:highlight w:val="none"/>
                <w:lang w:val="en-US" w:eastAsia="zh-CN" w:bidi="ar-SA"/>
              </w:rPr>
              <w:t>根据提供情况横向比较得0-5分，不提供不得分</w:t>
            </w:r>
            <w:r>
              <w:rPr>
                <w:rFonts w:hint="eastAsia" w:ascii="宋体" w:hAnsi="宋体" w:eastAsia="宋体" w:cs="宋体"/>
                <w:b/>
                <w:bCs/>
                <w:color w:val="auto"/>
                <w:spacing w:val="0"/>
                <w:kern w:val="2"/>
                <w:position w:val="0"/>
                <w:sz w:val="24"/>
                <w:szCs w:val="24"/>
                <w:highlight w:val="none"/>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zh-CN" w:bidi="ar-SA"/>
              </w:rPr>
              <w:t>质量保障措施5分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en-US" w:bidi="ar-SA"/>
              </w:rPr>
            </w:pPr>
            <w:r>
              <w:rPr>
                <w:rFonts w:hint="eastAsia" w:ascii="宋体" w:hAnsi="宋体" w:eastAsia="宋体" w:cs="宋体"/>
                <w:color w:val="auto"/>
                <w:spacing w:val="0"/>
                <w:kern w:val="2"/>
                <w:position w:val="0"/>
                <w:sz w:val="24"/>
                <w:szCs w:val="24"/>
                <w:highlight w:val="none"/>
                <w:lang w:val="en-US" w:eastAsia="en-US" w:bidi="ar-SA"/>
              </w:rPr>
              <w:t>根据质量保障措施的完整性、科学性、合理性、可行性，并能满 足项目需求等方面进行评价</w:t>
            </w:r>
            <w:r>
              <w:rPr>
                <w:rFonts w:hint="eastAsia" w:ascii="宋体" w:hAnsi="宋体" w:eastAsia="宋体" w:cs="宋体"/>
                <w:color w:val="auto"/>
                <w:spacing w:val="0"/>
                <w:kern w:val="2"/>
                <w:position w:val="0"/>
                <w:sz w:val="24"/>
                <w:szCs w:val="24"/>
                <w:highlight w:val="none"/>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en-US" w:bidi="ar-SA"/>
              </w:rPr>
              <w:t>供货</w:t>
            </w:r>
            <w:r>
              <w:rPr>
                <w:rFonts w:hint="eastAsia" w:ascii="宋体" w:hAnsi="宋体" w:eastAsia="宋体" w:cs="宋体"/>
                <w:color w:val="auto"/>
                <w:spacing w:val="0"/>
                <w:kern w:val="2"/>
                <w:position w:val="0"/>
                <w:sz w:val="24"/>
                <w:szCs w:val="24"/>
                <w:highlight w:val="none"/>
                <w:lang w:val="en-US" w:eastAsia="zh-CN" w:bidi="ar-SA"/>
              </w:rPr>
              <w:t>安装</w:t>
            </w:r>
            <w:r>
              <w:rPr>
                <w:rFonts w:hint="eastAsia" w:ascii="宋体" w:hAnsi="宋体" w:eastAsia="宋体" w:cs="宋体"/>
                <w:color w:val="auto"/>
                <w:spacing w:val="0"/>
                <w:kern w:val="2"/>
                <w:position w:val="0"/>
                <w:sz w:val="24"/>
                <w:szCs w:val="24"/>
                <w:highlight w:val="none"/>
                <w:lang w:val="en-US" w:eastAsia="en-US" w:bidi="ar-SA"/>
              </w:rPr>
              <w:t>方案</w:t>
            </w:r>
            <w:r>
              <w:rPr>
                <w:rFonts w:hint="eastAsia" w:ascii="宋体" w:hAnsi="宋体" w:eastAsia="宋体" w:cs="宋体"/>
                <w:color w:val="auto"/>
                <w:spacing w:val="0"/>
                <w:kern w:val="2"/>
                <w:position w:val="0"/>
                <w:sz w:val="24"/>
                <w:szCs w:val="24"/>
                <w:highlight w:val="none"/>
                <w:lang w:val="en-US" w:eastAsia="zh-CN" w:bidi="ar-SA"/>
              </w:rPr>
              <w:t>5分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en-US" w:bidi="ar-SA"/>
              </w:rPr>
            </w:pPr>
            <w:r>
              <w:rPr>
                <w:rFonts w:hint="eastAsia" w:ascii="宋体" w:hAnsi="宋体" w:eastAsia="宋体" w:cs="宋体"/>
                <w:color w:val="auto"/>
                <w:spacing w:val="0"/>
                <w:kern w:val="2"/>
                <w:position w:val="0"/>
                <w:sz w:val="24"/>
                <w:szCs w:val="24"/>
                <w:highlight w:val="none"/>
                <w:lang w:val="en-US" w:eastAsia="en-US" w:bidi="ar-SA"/>
              </w:rPr>
              <w:t>根据供货</w:t>
            </w:r>
            <w:r>
              <w:rPr>
                <w:rFonts w:hint="eastAsia" w:ascii="宋体" w:hAnsi="宋体" w:eastAsia="宋体" w:cs="宋体"/>
                <w:color w:val="auto"/>
                <w:spacing w:val="0"/>
                <w:kern w:val="2"/>
                <w:position w:val="0"/>
                <w:sz w:val="24"/>
                <w:szCs w:val="24"/>
                <w:highlight w:val="none"/>
                <w:lang w:val="en-US" w:eastAsia="zh-CN" w:bidi="ar-SA"/>
              </w:rPr>
              <w:t>安装</w:t>
            </w:r>
            <w:r>
              <w:rPr>
                <w:rFonts w:hint="eastAsia" w:ascii="宋体" w:hAnsi="宋体" w:eastAsia="宋体" w:cs="宋体"/>
                <w:color w:val="auto"/>
                <w:spacing w:val="0"/>
                <w:kern w:val="2"/>
                <w:position w:val="0"/>
                <w:sz w:val="24"/>
                <w:szCs w:val="24"/>
                <w:highlight w:val="none"/>
                <w:lang w:val="en-US" w:eastAsia="en-US" w:bidi="ar-SA"/>
              </w:rPr>
              <w:t>方案的完整性、科学性、合理性、可行性，并能满足项目需求等方面进行打分</w:t>
            </w:r>
            <w:r>
              <w:rPr>
                <w:rFonts w:hint="eastAsia" w:ascii="宋体" w:hAnsi="宋体" w:eastAsia="宋体" w:cs="宋体"/>
                <w:color w:val="auto"/>
                <w:spacing w:val="0"/>
                <w:kern w:val="2"/>
                <w:position w:val="0"/>
                <w:sz w:val="24"/>
                <w:szCs w:val="24"/>
                <w:highlight w:val="none"/>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02" w:type="dxa"/>
            <w:vMerge w:val="continue"/>
            <w:tcBorders>
              <w:righ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Cs/>
                <w:color w:val="auto"/>
                <w:spacing w:val="0"/>
                <w:position w:val="0"/>
                <w:sz w:val="24"/>
                <w:szCs w:val="24"/>
                <w:highlight w:val="none"/>
              </w:rPr>
            </w:pPr>
          </w:p>
        </w:tc>
        <w:tc>
          <w:tcPr>
            <w:tcW w:w="1909"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en-US" w:bidi="ar-SA"/>
              </w:rPr>
            </w:pPr>
            <w:r>
              <w:rPr>
                <w:rFonts w:hint="eastAsia" w:ascii="宋体" w:hAnsi="宋体" w:eastAsia="宋体" w:cs="宋体"/>
                <w:color w:val="auto"/>
                <w:spacing w:val="0"/>
                <w:kern w:val="2"/>
                <w:position w:val="0"/>
                <w:sz w:val="24"/>
                <w:szCs w:val="24"/>
                <w:highlight w:val="none"/>
                <w:lang w:val="en-US" w:eastAsia="en-US" w:bidi="ar-SA"/>
              </w:rPr>
              <w:t>进度保障措施</w:t>
            </w:r>
            <w:r>
              <w:rPr>
                <w:rFonts w:hint="eastAsia" w:ascii="宋体" w:hAnsi="宋体" w:eastAsia="宋体" w:cs="宋体"/>
                <w:color w:val="auto"/>
                <w:spacing w:val="0"/>
                <w:kern w:val="2"/>
                <w:position w:val="0"/>
                <w:sz w:val="24"/>
                <w:szCs w:val="24"/>
                <w:highlight w:val="none"/>
                <w:lang w:val="en-US" w:eastAsia="zh-CN" w:bidi="ar-SA"/>
              </w:rPr>
              <w:t>5分</w:t>
            </w:r>
          </w:p>
        </w:tc>
        <w:tc>
          <w:tcPr>
            <w:tcW w:w="5695" w:type="dxa"/>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pacing w:val="0"/>
                <w:kern w:val="2"/>
                <w:position w:val="0"/>
                <w:sz w:val="24"/>
                <w:szCs w:val="24"/>
                <w:highlight w:val="none"/>
                <w:lang w:val="en-US" w:eastAsia="en-US" w:bidi="ar-SA"/>
              </w:rPr>
              <w:t>根据进度保障措施的完整性、科学性、合理性、可行性，并能满足项目需求等方面进行打分</w:t>
            </w:r>
            <w:r>
              <w:rPr>
                <w:rFonts w:hint="eastAsia" w:ascii="宋体" w:hAnsi="宋体" w:eastAsia="宋体" w:cs="宋体"/>
                <w:color w:val="auto"/>
                <w:spacing w:val="0"/>
                <w:kern w:val="2"/>
                <w:position w:val="0"/>
                <w:sz w:val="24"/>
                <w:szCs w:val="24"/>
                <w:highlight w:val="none"/>
                <w:lang w:val="en-US" w:eastAsia="zh-CN" w:bidi="ar-S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18" w:type="dxa"/>
            <w:gridSpan w:val="4"/>
            <w:shd w:val="clear" w:color="auto" w:fill="auto"/>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注：评标打分部分按照100分制原则进行，涉及到资格审查、企业荣誉、企业业绩、企业证书、专利、检测报告等计分部分时，以投标单位自行上传到投标文件中的相应内容为准。</w:t>
            </w:r>
          </w:p>
          <w:p>
            <w:pPr>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highlight w:val="none"/>
              </w:rPr>
            </w:pPr>
            <w:r>
              <w:rPr>
                <w:rFonts w:hint="eastAsia" w:ascii="宋体" w:hAnsi="宋体" w:eastAsia="宋体" w:cs="宋体"/>
                <w:b w:val="0"/>
                <w:bCs w:val="0"/>
                <w:snapToGrid w:val="0"/>
                <w:color w:val="000000"/>
                <w:sz w:val="24"/>
                <w:szCs w:val="24"/>
                <w:highlight w:val="none"/>
                <w:lang w:val="en-US" w:eastAsia="zh-CN"/>
              </w:rPr>
              <w:t>评标委员会</w:t>
            </w:r>
            <w:r>
              <w:rPr>
                <w:rFonts w:hint="eastAsia" w:ascii="宋体" w:hAnsi="宋体" w:eastAsia="宋体" w:cs="宋体"/>
                <w:b w:val="0"/>
                <w:bCs w:val="0"/>
                <w:snapToGrid w:val="0"/>
                <w:color w:val="000000"/>
                <w:sz w:val="24"/>
                <w:szCs w:val="24"/>
                <w:highlight w:val="none"/>
              </w:rPr>
              <w:t>否决投标时应审慎。因招标文件表述歧义或逻辑错误等原因，造成投标文件表述不一致的，不作为否决投标的因素，投标人明显打字或排版错误且不影响实质内容的，</w:t>
            </w:r>
            <w:r>
              <w:rPr>
                <w:rFonts w:hint="eastAsia" w:ascii="宋体" w:hAnsi="宋体" w:eastAsia="宋体" w:cs="宋体"/>
                <w:b w:val="0"/>
                <w:bCs w:val="0"/>
                <w:snapToGrid w:val="0"/>
                <w:color w:val="000000"/>
                <w:sz w:val="24"/>
                <w:szCs w:val="24"/>
                <w:highlight w:val="none"/>
                <w:lang w:val="en-US" w:eastAsia="zh-CN"/>
              </w:rPr>
              <w:t>评标委员</w:t>
            </w:r>
            <w:r>
              <w:rPr>
                <w:rFonts w:hint="eastAsia" w:ascii="宋体" w:hAnsi="宋体" w:eastAsia="宋体" w:cs="宋体"/>
                <w:b w:val="0"/>
                <w:bCs w:val="0"/>
                <w:snapToGrid w:val="0"/>
                <w:color w:val="000000"/>
                <w:sz w:val="24"/>
                <w:szCs w:val="24"/>
                <w:highlight w:val="none"/>
              </w:rPr>
              <w:t>可要求投标人作出书面澄清、说明或补正，不予以否决投标。</w:t>
            </w:r>
          </w:p>
        </w:tc>
      </w:tr>
    </w:tbl>
    <w:p>
      <w:pPr>
        <w:pageBreakBefore w:val="0"/>
        <w:kinsoku/>
        <w:overflowPunct/>
        <w:bidi w:val="0"/>
        <w:adjustRightInd w:val="0"/>
        <w:snapToGrid w:val="0"/>
        <w:spacing w:beforeAutospacing="0" w:afterAutospacing="0" w:line="360" w:lineRule="auto"/>
        <w:ind w:left="0" w:leftChars="0" w:right="0" w:rightChars="0"/>
        <w:rPr>
          <w:rFonts w:hint="eastAsia"/>
          <w:b/>
          <w:bCs/>
          <w:color w:val="auto"/>
          <w:sz w:val="28"/>
          <w:szCs w:val="32"/>
          <w:highlight w:val="none"/>
          <w:lang w:eastAsia="zh-CN"/>
        </w:rPr>
      </w:pPr>
      <w:r>
        <w:rPr>
          <w:rFonts w:hint="eastAsia"/>
          <w:b/>
          <w:bCs/>
          <w:color w:val="auto"/>
          <w:sz w:val="28"/>
          <w:szCs w:val="32"/>
          <w:highlight w:val="none"/>
          <w:lang w:eastAsia="zh-CN"/>
        </w:rPr>
        <w:br w:type="page"/>
      </w:r>
    </w:p>
    <w:p>
      <w:pPr>
        <w:keepNext w:val="0"/>
        <w:keepLines/>
        <w:pageBreakBefore w:val="0"/>
        <w:widowControl/>
        <w:kinsoku/>
        <w:wordWrap w:val="0"/>
        <w:overflowPunct/>
        <w:topLinePunct/>
        <w:autoSpaceDE/>
        <w:autoSpaceDN/>
        <w:bidi w:val="0"/>
        <w:adjustRightInd w:val="0"/>
        <w:snapToGrid w:val="0"/>
        <w:spacing w:beforeAutospacing="0" w:afterAutospacing="0" w:line="360" w:lineRule="auto"/>
        <w:ind w:left="0" w:leftChars="0" w:right="0" w:rightChars="0"/>
        <w:textAlignment w:val="auto"/>
        <w:rPr>
          <w:rFonts w:hint="eastAsia"/>
          <w:b/>
          <w:bCs/>
          <w:color w:val="auto"/>
          <w:sz w:val="28"/>
          <w:szCs w:val="32"/>
          <w:highlight w:val="none"/>
          <w:lang w:eastAsia="zh-CN"/>
        </w:rPr>
      </w:pPr>
      <w:r>
        <w:rPr>
          <w:rFonts w:hint="eastAsia"/>
          <w:b/>
          <w:bCs/>
          <w:color w:val="auto"/>
          <w:sz w:val="28"/>
          <w:szCs w:val="32"/>
          <w:highlight w:val="none"/>
          <w:lang w:val="en-US" w:eastAsia="zh-CN"/>
        </w:rPr>
        <w:t>二</w:t>
      </w:r>
      <w:r>
        <w:rPr>
          <w:rFonts w:hint="eastAsia"/>
          <w:b/>
          <w:bCs/>
          <w:color w:val="auto"/>
          <w:sz w:val="28"/>
          <w:szCs w:val="32"/>
          <w:highlight w:val="none"/>
          <w:lang w:eastAsia="zh-CN"/>
        </w:rPr>
        <w:t>标段评分办法：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9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2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条款号</w:t>
            </w: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条款内容</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12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100分</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17" w:type="dxa"/>
            <w:gridSpan w:val="2"/>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项</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目</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分值细则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8" w:hRule="atLeast"/>
          <w:jc w:val="center"/>
        </w:trPr>
        <w:tc>
          <w:tcPr>
            <w:tcW w:w="2417" w:type="dxa"/>
            <w:gridSpan w:val="2"/>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本项目投标价超出预算价的，采购人不予接受，且投标为无效。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投标报价得分：价格分采用低价优先法计算，即满足招标文件要求且投标价格最低的投标报价为评标基准价，得</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分，其他供应商的价格分按照下列公式计算：</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(精确到小数点后两位,四舍五入)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价格扣除：《国务院关于印发扎实稳住经济一揽子政策措施的通知》（国发〔2022〕12号）对外发布，《通知》指出，加大政府采购支持中小企业力度。投标供应商为中小微企业的，对所投标的小型和微型企业制造的产品的价格给予</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%的扣除，用扣除后的价格参与评审。</w:t>
            </w:r>
            <w:r>
              <w:rPr>
                <w:rFonts w:hint="eastAsia" w:ascii="宋体" w:hAnsi="宋体" w:eastAsia="宋体" w:cs="宋体"/>
                <w:b/>
                <w:color w:val="auto"/>
                <w:sz w:val="24"/>
                <w:szCs w:val="24"/>
                <w:highlight w:val="none"/>
                <w:lang w:val="en-US" w:eastAsia="zh-CN"/>
              </w:rPr>
              <w:t>供应商需填写中小企业声明函并提供相关证明材料。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szCs w:val="24"/>
                <w:highlight w:val="none"/>
              </w:rPr>
              <w:t>所投中小微企业产品报价=所投中小微企业产品报价×（1-</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26"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企业业绩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投标人提供</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年1月1日以来所投项目同类业绩（提供合同或中标通知书），每项业绩得2分，本项最多得</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分；（投标文件中附中标通知书</w:t>
            </w:r>
            <w:r>
              <w:rPr>
                <w:rFonts w:hint="eastAsia" w:ascii="宋体" w:hAnsi="宋体" w:eastAsia="宋体" w:cs="宋体"/>
                <w:b w:val="0"/>
                <w:bCs w:val="0"/>
                <w:color w:val="auto"/>
                <w:sz w:val="24"/>
                <w:szCs w:val="24"/>
                <w:highlight w:val="none"/>
                <w:lang w:val="en-US" w:eastAsia="zh-CN"/>
              </w:rPr>
              <w:t>或合同</w:t>
            </w:r>
            <w:r>
              <w:rPr>
                <w:rFonts w:hint="eastAsia" w:ascii="宋体" w:hAnsi="宋体" w:eastAsia="宋体" w:cs="宋体"/>
                <w:b w:val="0"/>
                <w:bCs w:val="0"/>
                <w:color w:val="auto"/>
                <w:sz w:val="24"/>
                <w:szCs w:val="24"/>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26"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综合实力</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投标人为制造商的并能够提供设备生产场地证明的，得2分；（0-2分）（投标文件中附相关证明材料扫描件）</w:t>
            </w: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3.投标人为制造商，近三年有相关专利的，得2分；（0-2）（投标文件附相关证书扫描件）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4.投标人能够提供设备生产厂家一级授权的，得2分；（0-2分）；（投标文件中附加盖公章的厂家一级授权委托书原件扫描件）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26"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优惠承诺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（10分）</w:t>
            </w:r>
          </w:p>
        </w:tc>
        <w:tc>
          <w:tcPr>
            <w:tcW w:w="652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评委根据投标人提出的对招标人有利的优惠条件及承诺情况，进行横向比较后进行打分（0-10分）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126"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售后服务水平及承诺（1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52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（1）供应商对质保期内、外承诺，由</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小组根据供应商承诺打分（0-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（2）在售后服务承诺及方案、技术培训、故障响应时间等方面有实质性和可行性等内容，由</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小组根据供应商承诺打分（0-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26"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tc>
        <w:tc>
          <w:tcPr>
            <w:tcW w:w="1291"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产品技术</w:t>
            </w:r>
            <w:r>
              <w:rPr>
                <w:rFonts w:hint="eastAsia" w:ascii="宋体" w:hAnsi="宋体" w:eastAsia="宋体" w:cs="宋体"/>
                <w:color w:val="auto"/>
                <w:sz w:val="24"/>
                <w:szCs w:val="24"/>
                <w:highlight w:val="none"/>
                <w:lang w:eastAsia="zh-CN"/>
              </w:rPr>
              <w:t>参数</w:t>
            </w:r>
            <w:r>
              <w:rPr>
                <w:rFonts w:hint="eastAsia" w:ascii="宋体" w:hAnsi="宋体" w:eastAsia="宋体" w:cs="宋体"/>
                <w:color w:val="auto"/>
                <w:sz w:val="24"/>
                <w:szCs w:val="24"/>
                <w:highlight w:val="none"/>
              </w:rPr>
              <w:t>指标（</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652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供应商所投产品对照招标文件中技术指标参数，全部满足招标文件要求的得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分，评审中每发现一项不满足、经评委认可不影响使用性能的、扣减</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分；对使用性能、功能影响的扣除本项技术分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分，本项分扣完为止。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126"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bookmarkStart w:id="120" w:name="_Toc375647620"/>
            <w:bookmarkStart w:id="121" w:name="_Toc374376346"/>
            <w:bookmarkStart w:id="122" w:name="_Toc257026322"/>
          </w:p>
        </w:tc>
        <w:tc>
          <w:tcPr>
            <w:tcW w:w="129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质量保障措施6分</w:t>
            </w:r>
          </w:p>
        </w:tc>
        <w:tc>
          <w:tcPr>
            <w:tcW w:w="652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根据质量保障措施的完整性、科学性、合理性、可行性，并能满 足项目需求等方面进行评价。0-6分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126"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p>
        </w:tc>
        <w:tc>
          <w:tcPr>
            <w:tcW w:w="129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供货安装方案6分</w:t>
            </w:r>
          </w:p>
        </w:tc>
        <w:tc>
          <w:tcPr>
            <w:tcW w:w="652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根据供货安装方案的完整性、科学性、合理性、可行性，并能满足项目需求等方面进行打分。0-6分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26"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p>
        </w:tc>
        <w:tc>
          <w:tcPr>
            <w:tcW w:w="129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进度保障措施6分</w:t>
            </w:r>
          </w:p>
        </w:tc>
        <w:tc>
          <w:tcPr>
            <w:tcW w:w="6521" w:type="dxa"/>
            <w:vAlign w:val="center"/>
          </w:tcPr>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根据进度保障措施的完整性、科学性、合理性、可行性，并能满 足项目需求等方面进行打分。0-6分</w:t>
            </w:r>
          </w:p>
        </w:tc>
      </w:tr>
    </w:tbl>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4"/>
          <w:szCs w:val="24"/>
          <w:highlight w:val="none"/>
        </w:rPr>
      </w:pPr>
      <w:r>
        <w:rPr>
          <w:rFonts w:hint="eastAsia" w:ascii="宋体" w:hAnsi="宋体"/>
          <w:b/>
          <w:color w:val="auto"/>
          <w:sz w:val="24"/>
          <w:szCs w:val="24"/>
          <w:highlight w:val="none"/>
        </w:rPr>
        <w:t>1.评标方法</w:t>
      </w:r>
      <w:bookmarkEnd w:id="120"/>
      <w:bookmarkEnd w:id="121"/>
      <w:bookmarkEnd w:id="122"/>
    </w:p>
    <w:p>
      <w:pPr>
        <w:pageBreakBefore w:val="0"/>
        <w:kinsoku/>
        <w:overflowPunct/>
        <w:autoSpaceDE w:val="0"/>
        <w:autoSpaceDN w:val="0"/>
        <w:bidi w:val="0"/>
        <w:adjustRightInd w:val="0"/>
        <w:snapToGrid w:val="0"/>
        <w:spacing w:beforeAutospacing="0" w:afterAutospacing="0" w:line="360" w:lineRule="auto"/>
        <w:ind w:left="0" w:leftChars="0" w:right="0" w:rightChars="0" w:firstLine="240" w:firstLineChars="100"/>
        <w:jc w:val="left"/>
        <w:rPr>
          <w:rFonts w:ascii="宋体" w:hAnsi="宋体" w:cs="MingLiU"/>
          <w:color w:val="auto"/>
          <w:kern w:val="0"/>
          <w:sz w:val="24"/>
          <w:szCs w:val="20"/>
          <w:highlight w:val="none"/>
        </w:rPr>
      </w:pPr>
      <w:r>
        <w:rPr>
          <w:rFonts w:hint="eastAsia" w:ascii="宋体" w:hAnsi="宋体" w:cs="MingLiU"/>
          <w:color w:val="auto"/>
          <w:kern w:val="0"/>
          <w:sz w:val="24"/>
          <w:szCs w:val="20"/>
          <w:highlight w:val="none"/>
        </w:rPr>
        <w:t>本次评标采用综合评估法。评标委员会对满足招标文件实质性要求的投标文件，按照本章第2.2款规定的评分标准进行打分，</w:t>
      </w:r>
      <w:r>
        <w:rPr>
          <w:rFonts w:hint="eastAsia" w:ascii="宋体" w:hAnsi="宋体" w:cs="MingLiUfalt"/>
          <w:color w:val="auto"/>
          <w:kern w:val="0"/>
          <w:sz w:val="24"/>
          <w:szCs w:val="20"/>
          <w:highlight w:val="none"/>
        </w:rPr>
        <w:t>并按投标人须知前附表规定推荐中标候选人</w:t>
      </w:r>
      <w:r>
        <w:rPr>
          <w:rFonts w:hint="eastAsia" w:ascii="宋体" w:hAnsi="宋体" w:cs="MingLiU"/>
          <w:color w:val="auto"/>
          <w:kern w:val="0"/>
          <w:sz w:val="24"/>
          <w:szCs w:val="20"/>
          <w:highlight w:val="none"/>
        </w:rPr>
        <w:t>。综合评分相等时，以投标报价低的优先；投标报价也相等的，以商务部分得分高者优先；商务部分得分也相等者，以技术部分得分高者优先；技术部分得分</w:t>
      </w:r>
      <w:r>
        <w:rPr>
          <w:rFonts w:hint="eastAsia" w:ascii="宋体" w:hAnsi="宋体" w:cs="MingLiUfalt"/>
          <w:color w:val="auto"/>
          <w:kern w:val="0"/>
          <w:sz w:val="24"/>
          <w:szCs w:val="20"/>
          <w:highlight w:val="none"/>
        </w:rPr>
        <w:t>也相等的，由评标委员会表决确定。</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3" w:name="_Toc257026323"/>
      <w:bookmarkStart w:id="124" w:name="_Toc374376347"/>
      <w:bookmarkStart w:id="125" w:name="_Toc27503"/>
      <w:bookmarkStart w:id="126" w:name="_Toc375647621"/>
      <w:r>
        <w:rPr>
          <w:rFonts w:hint="eastAsia" w:ascii="宋体" w:hAnsi="宋体"/>
          <w:b/>
          <w:color w:val="auto"/>
          <w:sz w:val="24"/>
          <w:szCs w:val="24"/>
          <w:highlight w:val="none"/>
        </w:rPr>
        <w:t>2．评审标准</w:t>
      </w:r>
      <w:bookmarkEnd w:id="123"/>
      <w:bookmarkEnd w:id="124"/>
      <w:bookmarkEnd w:id="125"/>
      <w:bookmarkEnd w:id="126"/>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7" w:name="_Toc44448170"/>
      <w:bookmarkStart w:id="128" w:name="_Toc15957"/>
      <w:bookmarkStart w:id="129" w:name="_Toc375647622"/>
      <w:r>
        <w:rPr>
          <w:rFonts w:hint="eastAsia" w:ascii="宋体" w:hAnsi="宋体"/>
          <w:b/>
          <w:color w:val="auto"/>
          <w:sz w:val="24"/>
          <w:szCs w:val="24"/>
          <w:highlight w:val="none"/>
        </w:rPr>
        <w:t>2.1 初步评审标准</w:t>
      </w:r>
      <w:bookmarkEnd w:id="127"/>
      <w:bookmarkEnd w:id="128"/>
      <w:bookmarkEnd w:id="129"/>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2.1.1 形式评审标准：见评标办法前附表。</w:t>
      </w:r>
    </w:p>
    <w:p>
      <w:pPr>
        <w:pageBreakBefore w:val="0"/>
        <w:kinsoku/>
        <w:wordWrap w:val="0"/>
        <w:overflowPunct/>
        <w:autoSpaceDE w:val="0"/>
        <w:autoSpaceDN w:val="0"/>
        <w:bidi w:val="0"/>
        <w:adjustRightInd w:val="0"/>
        <w:snapToGrid w:val="0"/>
        <w:spacing w:beforeAutospacing="0" w:afterAutospacing="0" w:line="360" w:lineRule="auto"/>
        <w:ind w:left="0" w:leftChars="0" w:right="0" w:rightChars="0" w:firstLine="480" w:firstLineChars="200"/>
        <w:rPr>
          <w:rFonts w:hint="eastAsia" w:ascii="宋体" w:hAnsi="宋体" w:eastAsia="宋体"/>
          <w:color w:val="auto"/>
          <w:sz w:val="24"/>
          <w:szCs w:val="20"/>
          <w:highlight w:val="none"/>
          <w:lang w:eastAsia="zh-CN"/>
        </w:rPr>
      </w:pPr>
      <w:r>
        <w:rPr>
          <w:rFonts w:hint="eastAsia" w:ascii="宋体" w:hAnsi="宋体" w:cs="MingLiU"/>
          <w:color w:val="auto"/>
          <w:kern w:val="0"/>
          <w:sz w:val="24"/>
          <w:szCs w:val="20"/>
          <w:highlight w:val="none"/>
        </w:rPr>
        <w:t>2.1.2 资格评审标准：见评标办法前</w:t>
      </w:r>
      <w:r>
        <w:rPr>
          <w:rFonts w:hint="eastAsia" w:ascii="宋体" w:hAnsi="宋体"/>
          <w:color w:val="auto"/>
          <w:sz w:val="24"/>
          <w:szCs w:val="20"/>
          <w:highlight w:val="none"/>
        </w:rPr>
        <w:t>附表。</w:t>
      </w:r>
      <w:r>
        <w:rPr>
          <w:rFonts w:hint="eastAsia" w:ascii="宋体" w:hAnsi="宋体"/>
          <w:color w:val="auto"/>
          <w:sz w:val="24"/>
          <w:szCs w:val="20"/>
          <w:highlight w:val="none"/>
          <w:lang w:eastAsia="zh-CN"/>
        </w:rPr>
        <w:t>（</w:t>
      </w:r>
      <w:r>
        <w:rPr>
          <w:rFonts w:hint="eastAsia" w:ascii="宋体" w:hAnsi="宋体" w:eastAsia="宋体"/>
          <w:color w:val="auto"/>
          <w:sz w:val="24"/>
          <w:szCs w:val="24"/>
          <w:highlight w:val="none"/>
          <w:lang w:eastAsia="zh-CN"/>
        </w:rPr>
        <w:t>开标会议结束后，由采购人和采购代理机构人员按照招标文件第三章评分办法资格评审标准的要求，对投标人所递交的响应性文件进行审查，有一项不符合的，视为未通过资格审查，不得进入下一评标过程。采购人将符合资格审查的电子化投标文件提交于评标委员会进行评审、比较。</w:t>
      </w:r>
      <w:r>
        <w:rPr>
          <w:rFonts w:hint="eastAsia" w:ascii="宋体" w:hAnsi="宋体"/>
          <w:color w:val="auto"/>
          <w:sz w:val="24"/>
          <w:szCs w:val="20"/>
          <w:highlight w:val="none"/>
          <w:lang w:eastAsia="zh-CN"/>
        </w:rPr>
        <w:t>）</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MingLiU"/>
          <w:color w:val="auto"/>
          <w:kern w:val="0"/>
          <w:sz w:val="24"/>
          <w:szCs w:val="20"/>
          <w:highlight w:val="none"/>
        </w:rPr>
        <w:t>2.1.3 响应性评审标准：见评标办法前</w:t>
      </w:r>
      <w:r>
        <w:rPr>
          <w:rFonts w:hint="eastAsia" w:ascii="宋体" w:hAnsi="宋体"/>
          <w:color w:val="auto"/>
          <w:sz w:val="24"/>
          <w:szCs w:val="20"/>
          <w:highlight w:val="none"/>
        </w:rPr>
        <w:t>附表。</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0" w:name="_Toc24387"/>
      <w:bookmarkStart w:id="131" w:name="_Toc375647623"/>
      <w:bookmarkStart w:id="132" w:name="_Toc44448171"/>
      <w:r>
        <w:rPr>
          <w:rFonts w:ascii="宋体" w:hAnsi="宋体"/>
          <w:b/>
          <w:color w:val="auto"/>
          <w:sz w:val="24"/>
          <w:szCs w:val="24"/>
          <w:highlight w:val="none"/>
        </w:rPr>
        <w:t xml:space="preserve">2.2 </w:t>
      </w:r>
      <w:r>
        <w:rPr>
          <w:rFonts w:hint="eastAsia" w:ascii="宋体" w:hAnsi="宋体"/>
          <w:b/>
          <w:color w:val="auto"/>
          <w:sz w:val="24"/>
          <w:szCs w:val="24"/>
          <w:highlight w:val="none"/>
        </w:rPr>
        <w:t>分值构成与评分标准</w:t>
      </w:r>
      <w:bookmarkEnd w:id="130"/>
      <w:bookmarkEnd w:id="131"/>
      <w:bookmarkEnd w:id="132"/>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bookmarkStart w:id="133" w:name="_Toc375647624"/>
      <w:bookmarkStart w:id="134" w:name="_Toc374376348"/>
      <w:bookmarkStart w:id="135" w:name="_Toc214173901"/>
      <w:bookmarkStart w:id="136" w:name="_Toc247961844"/>
      <w:bookmarkStart w:id="137" w:name="_Toc257026324"/>
      <w:r>
        <w:rPr>
          <w:rFonts w:ascii="宋体" w:hAnsi="宋体" w:cs="MingLiU"/>
          <w:color w:val="auto"/>
          <w:kern w:val="0"/>
          <w:sz w:val="24"/>
          <w:szCs w:val="20"/>
          <w:highlight w:val="none"/>
        </w:rPr>
        <w:t xml:space="preserve">2.2.1 </w:t>
      </w:r>
      <w:r>
        <w:rPr>
          <w:rFonts w:hint="eastAsia" w:ascii="宋体" w:hAnsi="宋体" w:cs="MingLiU"/>
          <w:color w:val="auto"/>
          <w:kern w:val="0"/>
          <w:sz w:val="24"/>
          <w:szCs w:val="20"/>
          <w:highlight w:val="none"/>
        </w:rPr>
        <w:t>分值构成</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）投标报价：见评标办法前附表。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（2）商务部分：见评标办法前附表。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（3）技术部分：见评标办法前附表。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2.2.2 </w:t>
      </w:r>
      <w:r>
        <w:rPr>
          <w:rFonts w:hint="eastAsia" w:ascii="宋体" w:hAnsi="宋体" w:cs="MingLiU"/>
          <w:color w:val="auto"/>
          <w:kern w:val="0"/>
          <w:sz w:val="24"/>
          <w:szCs w:val="20"/>
          <w:highlight w:val="none"/>
        </w:rPr>
        <w:t>评标基准价计算</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评标基准价计算方法：见评标办法前附表。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2.2.3</w:t>
      </w:r>
      <w:r>
        <w:rPr>
          <w:rFonts w:hint="eastAsia" w:ascii="宋体" w:hAnsi="宋体" w:cs="MingLiU"/>
          <w:color w:val="auto"/>
          <w:kern w:val="0"/>
          <w:sz w:val="24"/>
          <w:szCs w:val="20"/>
          <w:highlight w:val="none"/>
        </w:rPr>
        <w:t xml:space="preserve"> 投标报价的偏差率计算</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投标报价的偏差率计算公式：见评标办法前附表。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2.2.4 </w:t>
      </w:r>
      <w:r>
        <w:rPr>
          <w:rFonts w:hint="eastAsia" w:ascii="宋体" w:hAnsi="宋体" w:cs="MingLiU"/>
          <w:color w:val="auto"/>
          <w:kern w:val="0"/>
          <w:sz w:val="24"/>
          <w:szCs w:val="20"/>
          <w:highlight w:val="none"/>
        </w:rPr>
        <w:t>评分标准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）投标报价评分标准：见评标办法前附表。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（2）商务部分评分标准：见评标办法前附表。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（3）技术部分评分标准：见评标办法前附表。</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8" w:name="_Toc9542"/>
      <w:r>
        <w:rPr>
          <w:rFonts w:hint="eastAsia" w:ascii="宋体" w:hAnsi="宋体"/>
          <w:b/>
          <w:color w:val="auto"/>
          <w:sz w:val="24"/>
          <w:szCs w:val="24"/>
          <w:highlight w:val="none"/>
        </w:rPr>
        <w:t>3.评标程序</w:t>
      </w:r>
      <w:bookmarkEnd w:id="133"/>
      <w:bookmarkEnd w:id="134"/>
      <w:bookmarkEnd w:id="135"/>
      <w:bookmarkEnd w:id="136"/>
      <w:bookmarkEnd w:id="137"/>
      <w:bookmarkEnd w:id="138"/>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9" w:name="_Toc375647625"/>
      <w:bookmarkStart w:id="140" w:name="_Toc44448173"/>
      <w:bookmarkStart w:id="141" w:name="_Toc14284"/>
      <w:r>
        <w:rPr>
          <w:rFonts w:ascii="宋体" w:hAnsi="宋体"/>
          <w:b/>
          <w:color w:val="auto"/>
          <w:sz w:val="24"/>
          <w:szCs w:val="24"/>
          <w:highlight w:val="none"/>
        </w:rPr>
        <w:t xml:space="preserve">3.1 </w:t>
      </w:r>
      <w:r>
        <w:rPr>
          <w:rFonts w:hint="eastAsia" w:ascii="宋体" w:hAnsi="宋体"/>
          <w:b/>
          <w:color w:val="auto"/>
          <w:sz w:val="24"/>
          <w:szCs w:val="24"/>
          <w:highlight w:val="none"/>
        </w:rPr>
        <w:t>初步评审</w:t>
      </w:r>
      <w:bookmarkEnd w:id="139"/>
      <w:bookmarkEnd w:id="140"/>
      <w:bookmarkEnd w:id="141"/>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3.1.1评标委员会依据本章第2.1款规定的标准对投标文件进行初步评审。有一项不符合评审标准的，作废标处理。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3.1.2 </w:t>
      </w:r>
      <w:r>
        <w:rPr>
          <w:rFonts w:hint="eastAsia" w:ascii="宋体" w:hAnsi="宋体" w:cs="MingLiU"/>
          <w:color w:val="auto"/>
          <w:kern w:val="0"/>
          <w:sz w:val="24"/>
          <w:szCs w:val="20"/>
          <w:highlight w:val="none"/>
        </w:rPr>
        <w:t>投标人有以下情形之一的，其投标作废标处理：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（1）第二章“投标人须知”第1.4.3项规定的任何一种情形的；</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（2）串通投标或弄虚作假或有其他违法行为的；</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（3）不按评标委员会要求澄清、说明或补正的。</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3.1.3 </w:t>
      </w:r>
      <w:r>
        <w:rPr>
          <w:rFonts w:hint="eastAsia" w:ascii="宋体" w:hAnsi="宋体" w:cs="MingLiU"/>
          <w:color w:val="auto"/>
          <w:kern w:val="0"/>
          <w:sz w:val="24"/>
          <w:szCs w:val="20"/>
          <w:highlight w:val="none"/>
        </w:rPr>
        <w:t>投标报价有算术错误的，评标委员会按以下原则对投标报价进行修正，修正的价格经投标人书面确认后具有约束力。投标人不接受修正价格的，其投标作废标处理。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）投标文件中的大写金额与小写金额不一致的，以大写金额为准；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2</w:t>
      </w:r>
      <w:r>
        <w:rPr>
          <w:rFonts w:hint="eastAsia" w:ascii="宋体" w:hAnsi="宋体" w:cs="MingLiU"/>
          <w:color w:val="auto"/>
          <w:kern w:val="0"/>
          <w:sz w:val="24"/>
          <w:szCs w:val="20"/>
          <w:highlight w:val="none"/>
        </w:rPr>
        <w:t>）总价金额与依据单价计算出的结果不一致的，以单价金额为准修正总价，但单价金额小数点有明显错误的除外。</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2" w:name="_Toc375647626"/>
      <w:bookmarkStart w:id="143" w:name="_Toc30140"/>
      <w:bookmarkStart w:id="144" w:name="_Toc44448174"/>
      <w:r>
        <w:rPr>
          <w:rFonts w:ascii="宋体" w:hAnsi="宋体"/>
          <w:b/>
          <w:color w:val="auto"/>
          <w:sz w:val="24"/>
          <w:szCs w:val="24"/>
          <w:highlight w:val="none"/>
        </w:rPr>
        <w:t xml:space="preserve">3.2 </w:t>
      </w:r>
      <w:r>
        <w:rPr>
          <w:rFonts w:hint="eastAsia" w:ascii="宋体" w:hAnsi="宋体"/>
          <w:b/>
          <w:color w:val="auto"/>
          <w:sz w:val="24"/>
          <w:szCs w:val="24"/>
          <w:highlight w:val="none"/>
        </w:rPr>
        <w:t>详细评审</w:t>
      </w:r>
      <w:bookmarkEnd w:id="142"/>
      <w:bookmarkEnd w:id="143"/>
      <w:bookmarkEnd w:id="144"/>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bookmarkStart w:id="145" w:name="_Toc375647627"/>
      <w:r>
        <w:rPr>
          <w:rFonts w:ascii="宋体" w:hAnsi="宋体" w:cs="MingLiU"/>
          <w:color w:val="auto"/>
          <w:kern w:val="0"/>
          <w:sz w:val="24"/>
          <w:szCs w:val="20"/>
          <w:highlight w:val="none"/>
        </w:rPr>
        <w:t xml:space="preserve">3.2.1 </w:t>
      </w:r>
      <w:r>
        <w:rPr>
          <w:rFonts w:hint="eastAsia" w:ascii="宋体" w:hAnsi="宋体" w:cs="MingLiU"/>
          <w:color w:val="auto"/>
          <w:kern w:val="0"/>
          <w:sz w:val="24"/>
          <w:szCs w:val="20"/>
          <w:highlight w:val="none"/>
        </w:rPr>
        <w:t>评标委员会按本章第</w:t>
      </w:r>
      <w:r>
        <w:rPr>
          <w:rFonts w:ascii="宋体" w:hAnsi="宋体" w:cs="MingLiU"/>
          <w:color w:val="auto"/>
          <w:kern w:val="0"/>
          <w:sz w:val="24"/>
          <w:szCs w:val="20"/>
          <w:highlight w:val="none"/>
        </w:rPr>
        <w:t>2.2</w:t>
      </w:r>
      <w:r>
        <w:rPr>
          <w:rFonts w:hint="eastAsia" w:ascii="宋体" w:hAnsi="宋体" w:cs="MingLiU"/>
          <w:color w:val="auto"/>
          <w:kern w:val="0"/>
          <w:sz w:val="24"/>
          <w:szCs w:val="20"/>
          <w:highlight w:val="none"/>
        </w:rPr>
        <w:t>款规定的量化因素和分值进行打分，并计算出综合评估得分。</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3.2.2 </w:t>
      </w:r>
      <w:r>
        <w:rPr>
          <w:rFonts w:hint="eastAsia" w:ascii="宋体" w:hAnsi="宋体" w:cs="MingLiU"/>
          <w:color w:val="auto"/>
          <w:kern w:val="0"/>
          <w:sz w:val="24"/>
          <w:szCs w:val="20"/>
          <w:highlight w:val="none"/>
        </w:rPr>
        <w:t>评分分值计算保留小数点后两位，小数点后第三位“四舍五入”。</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shd w:val="pct10" w:color="auto" w:fill="FFFFFF"/>
        </w:rPr>
      </w:pPr>
      <w:r>
        <w:rPr>
          <w:rFonts w:ascii="宋体" w:hAnsi="宋体" w:cs="MingLiU"/>
          <w:color w:val="auto"/>
          <w:kern w:val="0"/>
          <w:sz w:val="24"/>
          <w:szCs w:val="20"/>
          <w:highlight w:val="none"/>
        </w:rPr>
        <w:t>3.2.</w:t>
      </w:r>
      <w:r>
        <w:rPr>
          <w:rFonts w:hint="eastAsia" w:ascii="宋体" w:hAnsi="宋体" w:cs="MingLiU"/>
          <w:color w:val="auto"/>
          <w:kern w:val="0"/>
          <w:sz w:val="24"/>
          <w:szCs w:val="20"/>
          <w:highlight w:val="none"/>
        </w:rPr>
        <w:t>3评标委员会认为投标人的报价明显低于其他通过符合性审查投标人的报价，有可能影响产品质量或者不能诚信履约的，评标委员会应当要求投标人在评标现场合理的时间内提供书面说明，并提交相关证明材料；投标人不能证明其报价合理性的，评标委员会将其作为无效投标处理。</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6" w:name="_Toc44448175"/>
      <w:bookmarkStart w:id="147" w:name="_Toc12756"/>
      <w:r>
        <w:rPr>
          <w:rFonts w:ascii="宋体" w:hAnsi="宋体"/>
          <w:b/>
          <w:color w:val="auto"/>
          <w:sz w:val="24"/>
          <w:szCs w:val="24"/>
          <w:highlight w:val="none"/>
        </w:rPr>
        <w:t xml:space="preserve">3.3 </w:t>
      </w:r>
      <w:r>
        <w:rPr>
          <w:rFonts w:hint="eastAsia" w:ascii="宋体" w:hAnsi="宋体"/>
          <w:b/>
          <w:color w:val="auto"/>
          <w:sz w:val="24"/>
          <w:szCs w:val="24"/>
          <w:highlight w:val="none"/>
        </w:rPr>
        <w:t>投标文件的澄清和补正</w:t>
      </w:r>
      <w:bookmarkEnd w:id="145"/>
      <w:bookmarkEnd w:id="146"/>
      <w:bookmarkEnd w:id="147"/>
    </w:p>
    <w:p>
      <w:pPr>
        <w:pageBreakBefore w:val="0"/>
        <w:kinsoku/>
        <w:overflowPunct/>
        <w:autoSpaceDE w:val="0"/>
        <w:autoSpaceDN w:val="0"/>
        <w:bidi w:val="0"/>
        <w:adjustRightInd w:val="0"/>
        <w:snapToGrid w:val="0"/>
        <w:spacing w:beforeAutospacing="0" w:afterAutospacing="0" w:line="360" w:lineRule="auto"/>
        <w:ind w:left="0" w:leftChars="0" w:right="0" w:rightChars="0" w:firstLine="470" w:firstLineChars="196"/>
        <w:jc w:val="left"/>
        <w:rPr>
          <w:rFonts w:ascii="宋体" w:hAnsi="宋体" w:cs="MingLiU"/>
          <w:color w:val="auto"/>
          <w:kern w:val="0"/>
          <w:sz w:val="24"/>
          <w:szCs w:val="20"/>
          <w:highlight w:val="none"/>
        </w:rPr>
      </w:pPr>
      <w:r>
        <w:rPr>
          <w:rFonts w:ascii="宋体" w:hAnsi="宋体"/>
          <w:color w:val="auto"/>
          <w:kern w:val="0"/>
          <w:sz w:val="24"/>
          <w:szCs w:val="20"/>
          <w:highlight w:val="none"/>
        </w:rPr>
        <w:t>3.</w:t>
      </w: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.1 </w:t>
      </w:r>
      <w:r>
        <w:rPr>
          <w:rFonts w:hint="eastAsia" w:ascii="宋体" w:hAnsi="宋体" w:cs="MingLiU"/>
          <w:color w:val="auto"/>
          <w:kern w:val="0"/>
          <w:sz w:val="24"/>
          <w:szCs w:val="20"/>
          <w:highlight w:val="none"/>
        </w:rPr>
        <w:t>在评标过程中，</w:t>
      </w:r>
      <w:r>
        <w:rPr>
          <w:rFonts w:hint="eastAsia" w:ascii="宋体" w:hAnsi="宋体" w:cs="MingLiU"/>
          <w:color w:val="auto"/>
          <w:spacing w:val="1"/>
          <w:kern w:val="0"/>
          <w:sz w:val="24"/>
          <w:szCs w:val="20"/>
          <w:highlight w:val="none"/>
        </w:rPr>
        <w:t>评</w:t>
      </w:r>
      <w:r>
        <w:rPr>
          <w:rFonts w:hint="eastAsia" w:ascii="宋体" w:hAnsi="宋体" w:cs="MingLiU"/>
          <w:color w:val="auto"/>
          <w:kern w:val="0"/>
          <w:sz w:val="24"/>
          <w:szCs w:val="20"/>
          <w:highlight w:val="none"/>
        </w:rPr>
        <w:t>标委员会</w:t>
      </w:r>
      <w:r>
        <w:rPr>
          <w:rFonts w:hint="eastAsia" w:ascii="宋体" w:hAnsi="宋体" w:cs="MingLiU"/>
          <w:color w:val="auto"/>
          <w:spacing w:val="1"/>
          <w:kern w:val="0"/>
          <w:sz w:val="24"/>
          <w:szCs w:val="20"/>
          <w:highlight w:val="none"/>
        </w:rPr>
        <w:t>可</w:t>
      </w:r>
      <w:r>
        <w:rPr>
          <w:rFonts w:hint="eastAsia" w:ascii="宋体" w:hAnsi="宋体" w:cs="MingLiU"/>
          <w:color w:val="auto"/>
          <w:kern w:val="0"/>
          <w:sz w:val="24"/>
          <w:szCs w:val="20"/>
          <w:highlight w:val="none"/>
        </w:rPr>
        <w:t>以书面形</w:t>
      </w:r>
      <w:r>
        <w:rPr>
          <w:rFonts w:hint="eastAsia" w:ascii="宋体" w:hAnsi="宋体" w:cs="MingLiU"/>
          <w:color w:val="auto"/>
          <w:spacing w:val="1"/>
          <w:kern w:val="0"/>
          <w:sz w:val="24"/>
          <w:szCs w:val="20"/>
          <w:highlight w:val="none"/>
        </w:rPr>
        <w:t>式</w:t>
      </w:r>
      <w:r>
        <w:rPr>
          <w:rFonts w:hint="eastAsia" w:ascii="宋体" w:hAnsi="宋体" w:cs="MingLiU"/>
          <w:color w:val="auto"/>
          <w:kern w:val="0"/>
          <w:sz w:val="24"/>
          <w:szCs w:val="20"/>
          <w:highlight w:val="none"/>
        </w:rPr>
        <w:t>要求投标</w:t>
      </w:r>
      <w:r>
        <w:rPr>
          <w:rFonts w:hint="eastAsia" w:ascii="宋体" w:hAnsi="宋体" w:cs="MingLiU"/>
          <w:color w:val="auto"/>
          <w:spacing w:val="1"/>
          <w:kern w:val="0"/>
          <w:sz w:val="24"/>
          <w:szCs w:val="20"/>
          <w:highlight w:val="none"/>
        </w:rPr>
        <w:t>人</w:t>
      </w:r>
      <w:r>
        <w:rPr>
          <w:rFonts w:hint="eastAsia" w:ascii="宋体" w:hAnsi="宋体" w:cs="MingLiU"/>
          <w:color w:val="auto"/>
          <w:kern w:val="0"/>
          <w:sz w:val="24"/>
          <w:szCs w:val="20"/>
          <w:highlight w:val="none"/>
        </w:rPr>
        <w:t>对所提交</w:t>
      </w:r>
      <w:r>
        <w:rPr>
          <w:rFonts w:hint="eastAsia" w:ascii="宋体" w:hAnsi="宋体" w:cs="MingLiU"/>
          <w:color w:val="auto"/>
          <w:spacing w:val="1"/>
          <w:kern w:val="0"/>
          <w:sz w:val="24"/>
          <w:szCs w:val="20"/>
          <w:highlight w:val="none"/>
        </w:rPr>
        <w:t>投</w:t>
      </w:r>
      <w:r>
        <w:rPr>
          <w:rFonts w:hint="eastAsia" w:ascii="宋体" w:hAnsi="宋体" w:cs="MingLiU"/>
          <w:color w:val="auto"/>
          <w:kern w:val="0"/>
          <w:sz w:val="24"/>
          <w:szCs w:val="20"/>
          <w:highlight w:val="none"/>
        </w:rPr>
        <w:t>标文件中</w:t>
      </w:r>
      <w:r>
        <w:rPr>
          <w:rFonts w:hint="eastAsia" w:ascii="宋体" w:hAnsi="宋体" w:cs="MingLiU"/>
          <w:color w:val="auto"/>
          <w:spacing w:val="1"/>
          <w:kern w:val="0"/>
          <w:sz w:val="24"/>
          <w:szCs w:val="20"/>
          <w:highlight w:val="none"/>
        </w:rPr>
        <w:t>不明</w:t>
      </w:r>
      <w:r>
        <w:rPr>
          <w:rFonts w:hint="eastAsia" w:ascii="宋体" w:hAnsi="宋体" w:cs="MingLiU"/>
          <w:color w:val="auto"/>
          <w:kern w:val="0"/>
          <w:sz w:val="24"/>
          <w:szCs w:val="20"/>
          <w:highlight w:val="none"/>
        </w:rPr>
        <w:t>确的内容进行书面澄清或说明</w:t>
      </w:r>
      <w:r>
        <w:rPr>
          <w:rFonts w:hint="eastAsia" w:ascii="宋体" w:hAnsi="宋体" w:cs="MingLiU"/>
          <w:color w:val="auto"/>
          <w:spacing w:val="-47"/>
          <w:kern w:val="0"/>
          <w:sz w:val="24"/>
          <w:szCs w:val="20"/>
          <w:highlight w:val="none"/>
        </w:rPr>
        <w:t>，</w:t>
      </w:r>
      <w:r>
        <w:rPr>
          <w:rFonts w:hint="eastAsia" w:ascii="宋体" w:hAnsi="宋体" w:cs="MingLiU"/>
          <w:color w:val="auto"/>
          <w:kern w:val="0"/>
          <w:sz w:val="24"/>
          <w:szCs w:val="20"/>
          <w:highlight w:val="none"/>
        </w:rPr>
        <w:t>或者对细微偏差进行补正</w:t>
      </w:r>
      <w:r>
        <w:rPr>
          <w:rFonts w:hint="eastAsia" w:ascii="宋体" w:hAnsi="宋体" w:cs="MingLiU"/>
          <w:color w:val="auto"/>
          <w:spacing w:val="-47"/>
          <w:kern w:val="0"/>
          <w:sz w:val="24"/>
          <w:szCs w:val="20"/>
          <w:highlight w:val="none"/>
        </w:rPr>
        <w:t>。</w:t>
      </w:r>
      <w:r>
        <w:rPr>
          <w:rFonts w:hint="eastAsia" w:ascii="宋体" w:hAnsi="宋体" w:cs="MingLiU"/>
          <w:color w:val="auto"/>
          <w:kern w:val="0"/>
          <w:sz w:val="24"/>
          <w:szCs w:val="20"/>
          <w:highlight w:val="none"/>
        </w:rPr>
        <w:t>评标委员会不接受投标人主动提出的澄清、说明或补正。</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ascii="宋体" w:hAnsi="宋体" w:cs="MingLiU"/>
          <w:color w:val="auto"/>
          <w:kern w:val="0"/>
          <w:sz w:val="24"/>
          <w:szCs w:val="20"/>
          <w:highlight w:val="none"/>
        </w:rPr>
      </w:pP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.3.2 </w:t>
      </w:r>
      <w:r>
        <w:rPr>
          <w:rFonts w:hint="eastAsia" w:ascii="宋体" w:hAnsi="宋体" w:cs="MingLiU"/>
          <w:color w:val="auto"/>
          <w:kern w:val="0"/>
          <w:sz w:val="24"/>
          <w:szCs w:val="20"/>
          <w:highlight w:val="none"/>
        </w:rPr>
        <w:t>澄清</w:t>
      </w:r>
      <w:r>
        <w:rPr>
          <w:rFonts w:hint="eastAsia" w:ascii="宋体" w:hAnsi="宋体" w:cs="MingLiU"/>
          <w:color w:val="auto"/>
          <w:spacing w:val="-32"/>
          <w:kern w:val="0"/>
          <w:sz w:val="24"/>
          <w:szCs w:val="20"/>
          <w:highlight w:val="none"/>
        </w:rPr>
        <w:t>、</w:t>
      </w:r>
      <w:r>
        <w:rPr>
          <w:rFonts w:hint="eastAsia" w:ascii="宋体" w:hAnsi="宋体" w:cs="MingLiU"/>
          <w:color w:val="auto"/>
          <w:kern w:val="0"/>
          <w:sz w:val="24"/>
          <w:szCs w:val="20"/>
          <w:highlight w:val="none"/>
        </w:rPr>
        <w:t>说明和补正不得改变投标文件的实质性内</w:t>
      </w:r>
      <w:r>
        <w:rPr>
          <w:rFonts w:hint="eastAsia" w:ascii="宋体" w:hAnsi="宋体" w:cs="MingLiU"/>
          <w:color w:val="auto"/>
          <w:spacing w:val="-31"/>
          <w:kern w:val="0"/>
          <w:sz w:val="24"/>
          <w:szCs w:val="20"/>
          <w:highlight w:val="none"/>
        </w:rPr>
        <w:t>容</w:t>
      </w:r>
      <w:r>
        <w:rPr>
          <w:rFonts w:hint="eastAsia" w:ascii="宋体" w:hAnsi="宋体" w:cs="MingLiU"/>
          <w:color w:val="auto"/>
          <w:kern w:val="0"/>
          <w:sz w:val="24"/>
          <w:szCs w:val="20"/>
          <w:highlight w:val="none"/>
        </w:rPr>
        <w:t>（算术性错误修正的除外</w:t>
      </w:r>
      <w:r>
        <w:rPr>
          <w:rFonts w:hint="eastAsia" w:ascii="宋体" w:hAnsi="宋体" w:cs="MingLiU"/>
          <w:color w:val="auto"/>
          <w:spacing w:val="-106"/>
          <w:kern w:val="0"/>
          <w:sz w:val="24"/>
          <w:szCs w:val="20"/>
          <w:highlight w:val="none"/>
        </w:rPr>
        <w:t>）</w:t>
      </w:r>
      <w:r>
        <w:rPr>
          <w:rFonts w:hint="eastAsia" w:ascii="宋体" w:hAnsi="宋体" w:cs="MingLiU"/>
          <w:color w:val="auto"/>
          <w:spacing w:val="-31"/>
          <w:kern w:val="0"/>
          <w:sz w:val="24"/>
          <w:szCs w:val="20"/>
          <w:highlight w:val="none"/>
        </w:rPr>
        <w:t>。投</w:t>
      </w:r>
      <w:r>
        <w:rPr>
          <w:rFonts w:ascii="宋体" w:hAnsi="宋体"/>
          <w:color w:val="auto"/>
          <w:spacing w:val="-31"/>
          <w:kern w:val="0"/>
          <w:sz w:val="24"/>
          <w:szCs w:val="20"/>
          <w:highlight w:val="none"/>
        </w:rPr>
        <w:t xml:space="preserve"> </w:t>
      </w:r>
      <w:r>
        <w:rPr>
          <w:rFonts w:hint="eastAsia" w:ascii="宋体" w:hAnsi="宋体" w:cs="MingLiU"/>
          <w:color w:val="auto"/>
          <w:kern w:val="0"/>
          <w:sz w:val="24"/>
          <w:szCs w:val="20"/>
          <w:highlight w:val="none"/>
        </w:rPr>
        <w:t>标人的书面澄清、说明和补正属于投标文件的组成部分。</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ascii="宋体" w:hAnsi="宋体" w:cs="MingLiU"/>
          <w:color w:val="auto"/>
          <w:kern w:val="0"/>
          <w:sz w:val="24"/>
          <w:szCs w:val="20"/>
          <w:highlight w:val="none"/>
        </w:rPr>
      </w:pPr>
      <w:r>
        <w:rPr>
          <w:rFonts w:ascii="宋体" w:hAnsi="宋体"/>
          <w:color w:val="auto"/>
          <w:spacing w:val="1"/>
          <w:kern w:val="0"/>
          <w:sz w:val="24"/>
          <w:szCs w:val="20"/>
          <w:highlight w:val="none"/>
        </w:rPr>
        <w:t>3.</w:t>
      </w: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.3 </w:t>
      </w:r>
      <w:r>
        <w:rPr>
          <w:rFonts w:hint="eastAsia" w:ascii="宋体" w:hAnsi="宋体" w:cs="MingLiU"/>
          <w:color w:val="auto"/>
          <w:kern w:val="0"/>
          <w:sz w:val="24"/>
          <w:szCs w:val="20"/>
          <w:highlight w:val="none"/>
        </w:rPr>
        <w:t>评标委员会对投</w:t>
      </w:r>
      <w:r>
        <w:rPr>
          <w:rFonts w:hint="eastAsia" w:ascii="宋体" w:hAnsi="宋体" w:cs="MingLiU"/>
          <w:color w:val="auto"/>
          <w:spacing w:val="1"/>
          <w:kern w:val="0"/>
          <w:sz w:val="24"/>
          <w:szCs w:val="20"/>
          <w:highlight w:val="none"/>
        </w:rPr>
        <w:t>标</w:t>
      </w:r>
      <w:r>
        <w:rPr>
          <w:rFonts w:hint="eastAsia" w:ascii="宋体" w:hAnsi="宋体" w:cs="MingLiU"/>
          <w:color w:val="auto"/>
          <w:kern w:val="0"/>
          <w:sz w:val="24"/>
          <w:szCs w:val="20"/>
          <w:highlight w:val="none"/>
        </w:rPr>
        <w:t>人提交的</w:t>
      </w:r>
      <w:r>
        <w:rPr>
          <w:rFonts w:hint="eastAsia" w:ascii="宋体" w:hAnsi="宋体" w:cs="MingLiU"/>
          <w:color w:val="auto"/>
          <w:spacing w:val="1"/>
          <w:kern w:val="0"/>
          <w:sz w:val="24"/>
          <w:szCs w:val="20"/>
          <w:highlight w:val="none"/>
        </w:rPr>
        <w:t>澄</w:t>
      </w:r>
      <w:r>
        <w:rPr>
          <w:rFonts w:hint="eastAsia" w:ascii="宋体" w:hAnsi="宋体" w:cs="MingLiU"/>
          <w:color w:val="auto"/>
          <w:kern w:val="0"/>
          <w:sz w:val="24"/>
          <w:szCs w:val="20"/>
          <w:highlight w:val="none"/>
        </w:rPr>
        <w:t>清、说明</w:t>
      </w:r>
      <w:r>
        <w:rPr>
          <w:rFonts w:hint="eastAsia" w:ascii="宋体" w:hAnsi="宋体" w:cs="MingLiU"/>
          <w:color w:val="auto"/>
          <w:spacing w:val="1"/>
          <w:kern w:val="0"/>
          <w:sz w:val="24"/>
          <w:szCs w:val="20"/>
          <w:highlight w:val="none"/>
        </w:rPr>
        <w:t>或</w:t>
      </w:r>
      <w:r>
        <w:rPr>
          <w:rFonts w:hint="eastAsia" w:ascii="宋体" w:hAnsi="宋体" w:cs="MingLiU"/>
          <w:color w:val="auto"/>
          <w:kern w:val="0"/>
          <w:sz w:val="24"/>
          <w:szCs w:val="20"/>
          <w:highlight w:val="none"/>
        </w:rPr>
        <w:t>补正有疑</w:t>
      </w:r>
      <w:r>
        <w:rPr>
          <w:rFonts w:hint="eastAsia" w:ascii="宋体" w:hAnsi="宋体" w:cs="MingLiU"/>
          <w:color w:val="auto"/>
          <w:spacing w:val="1"/>
          <w:kern w:val="0"/>
          <w:sz w:val="24"/>
          <w:szCs w:val="20"/>
          <w:highlight w:val="none"/>
        </w:rPr>
        <w:t>问</w:t>
      </w:r>
      <w:r>
        <w:rPr>
          <w:rFonts w:hint="eastAsia" w:ascii="宋体" w:hAnsi="宋体" w:cs="MingLiU"/>
          <w:color w:val="auto"/>
          <w:kern w:val="0"/>
          <w:sz w:val="24"/>
          <w:szCs w:val="20"/>
          <w:highlight w:val="none"/>
        </w:rPr>
        <w:t>的，可以</w:t>
      </w:r>
      <w:r>
        <w:rPr>
          <w:rFonts w:hint="eastAsia" w:ascii="宋体" w:hAnsi="宋体" w:cs="MingLiU"/>
          <w:color w:val="auto"/>
          <w:spacing w:val="1"/>
          <w:kern w:val="0"/>
          <w:sz w:val="24"/>
          <w:szCs w:val="20"/>
          <w:highlight w:val="none"/>
        </w:rPr>
        <w:t>要</w:t>
      </w:r>
      <w:r>
        <w:rPr>
          <w:rFonts w:hint="eastAsia" w:ascii="宋体" w:hAnsi="宋体" w:cs="MingLiU"/>
          <w:color w:val="auto"/>
          <w:kern w:val="0"/>
          <w:sz w:val="24"/>
          <w:szCs w:val="20"/>
          <w:highlight w:val="none"/>
        </w:rPr>
        <w:t>求投标人</w:t>
      </w:r>
      <w:r>
        <w:rPr>
          <w:rFonts w:hint="eastAsia" w:ascii="宋体" w:hAnsi="宋体" w:cs="MingLiU"/>
          <w:color w:val="auto"/>
          <w:spacing w:val="1"/>
          <w:kern w:val="0"/>
          <w:sz w:val="24"/>
          <w:szCs w:val="20"/>
          <w:highlight w:val="none"/>
        </w:rPr>
        <w:t>进一</w:t>
      </w:r>
      <w:r>
        <w:rPr>
          <w:rFonts w:hint="eastAsia" w:ascii="宋体" w:hAnsi="宋体" w:cs="MingLiU"/>
          <w:color w:val="auto"/>
          <w:kern w:val="0"/>
          <w:sz w:val="24"/>
          <w:szCs w:val="20"/>
          <w:highlight w:val="none"/>
        </w:rPr>
        <w:t>步澄清、说明或补正，直至满足评标委员会的要求。</w:t>
      </w:r>
    </w:p>
    <w:p>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8" w:name="_Toc44448176"/>
      <w:bookmarkStart w:id="149" w:name="_Toc22660"/>
      <w:bookmarkStart w:id="150" w:name="_Toc375647628"/>
      <w:r>
        <w:rPr>
          <w:rFonts w:ascii="宋体" w:hAnsi="宋体"/>
          <w:b/>
          <w:color w:val="auto"/>
          <w:sz w:val="24"/>
          <w:szCs w:val="24"/>
          <w:highlight w:val="none"/>
        </w:rPr>
        <w:t xml:space="preserve">3.4 </w:t>
      </w:r>
      <w:r>
        <w:rPr>
          <w:rFonts w:hint="eastAsia" w:ascii="宋体" w:hAnsi="宋体"/>
          <w:b/>
          <w:color w:val="auto"/>
          <w:sz w:val="24"/>
          <w:szCs w:val="24"/>
          <w:highlight w:val="none"/>
        </w:rPr>
        <w:t>评标结果</w:t>
      </w:r>
      <w:bookmarkEnd w:id="148"/>
      <w:bookmarkEnd w:id="149"/>
      <w:bookmarkEnd w:id="150"/>
    </w:p>
    <w:p>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hint="eastAsia" w:ascii="宋体" w:hAnsi="宋体"/>
          <w:color w:val="auto"/>
          <w:spacing w:val="1"/>
          <w:kern w:val="0"/>
          <w:sz w:val="24"/>
          <w:szCs w:val="24"/>
          <w:highlight w:val="none"/>
        </w:rPr>
      </w:pPr>
      <w:r>
        <w:rPr>
          <w:rFonts w:hint="eastAsia" w:ascii="宋体" w:hAnsi="宋体"/>
          <w:color w:val="auto"/>
          <w:spacing w:val="1"/>
          <w:kern w:val="0"/>
          <w:sz w:val="24"/>
          <w:szCs w:val="24"/>
          <w:highlight w:val="none"/>
        </w:rPr>
        <w:t>3.4.1 除第二章“投标人须知”前附表授权直接确定中标人外，评标委员会按照下列要求，从高分到低分顺序向招标人每标段推荐1-3名中标候选人。</w:t>
      </w:r>
    </w:p>
    <w:p>
      <w:pPr>
        <w:pageBreakBefore w:val="0"/>
        <w:kinsoku/>
        <w:overflowPunct/>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同一投标单位可以多个标段进行投标，但最多取得其中一个标段的第一中标候选人资格。</w:t>
      </w:r>
    </w:p>
    <w:p>
      <w:pPr>
        <w:pageBreakBefore w:val="0"/>
        <w:kinsoku/>
        <w:overflowPunct/>
        <w:bidi w:val="0"/>
        <w:adjustRightInd w:val="0"/>
        <w:snapToGrid w:val="0"/>
        <w:spacing w:beforeAutospacing="0" w:afterAutospacing="0" w:line="360" w:lineRule="auto"/>
        <w:ind w:left="0" w:leftChars="0" w:right="0" w:rightChars="0" w:firstLine="484" w:firstLineChars="200"/>
        <w:rPr>
          <w:color w:val="auto"/>
          <w:sz w:val="24"/>
          <w:szCs w:val="24"/>
          <w:highlight w:val="none"/>
        </w:rPr>
      </w:pPr>
      <w:r>
        <w:rPr>
          <w:rFonts w:ascii="宋体" w:hAnsi="宋体"/>
          <w:color w:val="auto"/>
          <w:spacing w:val="1"/>
          <w:kern w:val="0"/>
          <w:sz w:val="24"/>
          <w:szCs w:val="24"/>
          <w:highlight w:val="none"/>
        </w:rPr>
        <w:t xml:space="preserve">3.4.2 </w:t>
      </w:r>
      <w:r>
        <w:rPr>
          <w:rFonts w:hint="eastAsia" w:ascii="宋体" w:hAnsi="宋体"/>
          <w:color w:val="auto"/>
          <w:spacing w:val="1"/>
          <w:kern w:val="0"/>
          <w:sz w:val="24"/>
          <w:szCs w:val="24"/>
          <w:highlight w:val="none"/>
        </w:rPr>
        <w:t>评标委员会完成评标后，应当向招标人提交书面评标报告。</w:t>
      </w:r>
    </w:p>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olor w:val="auto"/>
          <w:highlight w:val="none"/>
        </w:rPr>
        <w:br w:type="page"/>
      </w:r>
      <w:bookmarkStart w:id="151" w:name="_Toc2136"/>
      <w:bookmarkStart w:id="152" w:name="_Toc23927"/>
      <w:r>
        <w:rPr>
          <w:rFonts w:hint="eastAsia"/>
          <w:b/>
          <w:bCs/>
          <w:color w:val="auto"/>
          <w:sz w:val="32"/>
          <w:szCs w:val="36"/>
          <w:highlight w:val="none"/>
        </w:rPr>
        <w:t xml:space="preserve">第四章  </w:t>
      </w:r>
      <w:bookmarkEnd w:id="151"/>
      <w:r>
        <w:rPr>
          <w:rFonts w:hint="eastAsia"/>
          <w:b/>
          <w:bCs/>
          <w:color w:val="auto"/>
          <w:sz w:val="32"/>
          <w:szCs w:val="36"/>
          <w:highlight w:val="none"/>
        </w:rPr>
        <w:t>合同主要条款及格式</w:t>
      </w:r>
      <w:bookmarkEnd w:id="152"/>
    </w:p>
    <w:p>
      <w:pPr>
        <w:pageBreakBefore w:val="0"/>
        <w:kinsoku/>
        <w:overflowPunct/>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4"/>
          <w:highlight w:val="none"/>
          <w:shd w:val="clear" w:color="auto" w:fill="FFFFFF"/>
        </w:rPr>
      </w:pPr>
    </w:p>
    <w:p>
      <w:pPr>
        <w:pageBreakBefore w:val="0"/>
        <w:kinsoku/>
        <w:overflowPunct/>
        <w:bidi w:val="0"/>
        <w:adjustRightInd w:val="0"/>
        <w:snapToGrid w:val="0"/>
        <w:spacing w:beforeAutospacing="0" w:afterAutospacing="0" w:line="360" w:lineRule="auto"/>
        <w:ind w:left="0" w:leftChars="0" w:right="0" w:rightChars="0" w:firstLine="476" w:firstLineChars="200"/>
        <w:jc w:val="left"/>
        <w:rPr>
          <w:rFonts w:ascii="宋体" w:hAnsi="宋体" w:cs="宋体"/>
          <w:color w:val="auto"/>
          <w:kern w:val="0"/>
          <w:sz w:val="24"/>
          <w:szCs w:val="24"/>
          <w:highlight w:val="none"/>
          <w:shd w:val="clear" w:color="auto" w:fill="FFFFFF"/>
        </w:rPr>
      </w:pPr>
      <w:bookmarkStart w:id="153" w:name="_Toc7313"/>
      <w:bookmarkStart w:id="154" w:name="_Toc1478"/>
      <w:bookmarkStart w:id="155" w:name="_Toc247965862"/>
      <w:bookmarkStart w:id="156" w:name="_Toc235706477"/>
      <w:bookmarkStart w:id="157" w:name="_Toc257204783"/>
      <w:bookmarkStart w:id="158" w:name="_Toc257107813"/>
      <w:r>
        <w:rPr>
          <w:rFonts w:hint="eastAsia" w:ascii="宋体" w:hAnsi="宋体" w:cs="宋体"/>
          <w:color w:val="auto"/>
          <w:spacing w:val="-1"/>
          <w:kern w:val="0"/>
          <w:sz w:val="24"/>
          <w:szCs w:val="20"/>
          <w:highlight w:val="none"/>
        </w:rPr>
        <w:t>以下内容为合同签订时的基本内容，若需修改及未尽事宜，待投标人中标后签订合同时与招标人协商确定。最终文本是以招标人招标文件和中标人投标文件（包括评标时质询文件）相关内容为基础，经双方谈判后形成的合同文本。</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70" w:firstLineChars="196"/>
        <w:jc w:val="left"/>
        <w:rPr>
          <w:rFonts w:ascii="宋体" w:hAnsi="宋体"/>
          <w:color w:val="auto"/>
          <w:kern w:val="0"/>
          <w:sz w:val="24"/>
          <w:szCs w:val="20"/>
          <w:highlight w:val="none"/>
        </w:rPr>
      </w:pPr>
    </w:p>
    <w:p>
      <w:pPr>
        <w:pageBreakBefore w:val="0"/>
        <w:widowControl/>
        <w:kinsoku/>
        <w:overflowPunct/>
        <w:bidi w:val="0"/>
        <w:adjustRightInd w:val="0"/>
        <w:snapToGrid w:val="0"/>
        <w:spacing w:beforeAutospacing="0" w:afterAutospacing="0" w:line="360" w:lineRule="auto"/>
        <w:ind w:left="0" w:leftChars="0" w:right="0" w:rightChars="0"/>
        <w:jc w:val="both"/>
        <w:textAlignment w:val="baseline"/>
        <w:rPr>
          <w:rFonts w:hint="eastAsia"/>
          <w:color w:val="auto"/>
          <w:highlight w:val="none"/>
        </w:rPr>
      </w:pP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color w:val="auto"/>
          <w:highlight w:val="none"/>
        </w:rPr>
      </w:pP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44"/>
          <w:szCs w:val="44"/>
          <w:highlight w:val="none"/>
        </w:rPr>
      </w:pPr>
      <w:r>
        <w:rPr>
          <w:rFonts w:hint="eastAsia" w:ascii="宋体" w:hAnsi="宋体" w:cs="宋体"/>
          <w:color w:val="auto"/>
          <w:kern w:val="0"/>
          <w:sz w:val="44"/>
          <w:szCs w:val="44"/>
          <w:highlight w:val="none"/>
        </w:rPr>
        <w:t>采购合同（参考文本）</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ascii="宋体" w:hAnsi="宋体" w:cs="宋体"/>
          <w:color w:val="auto"/>
          <w:kern w:val="0"/>
          <w:sz w:val="30"/>
          <w:szCs w:val="30"/>
          <w:highlight w:val="none"/>
        </w:rPr>
      </w:pPr>
      <w:r>
        <w:rPr>
          <w:rFonts w:hint="eastAsia" w:ascii="宋体" w:hAnsi="宋体" w:cs="宋体"/>
          <w:color w:val="auto"/>
          <w:kern w:val="0"/>
          <w:sz w:val="30"/>
          <w:szCs w:val="30"/>
          <w:highlight w:val="none"/>
        </w:rPr>
        <w:t>项目名称：</w:t>
      </w:r>
      <w:r>
        <w:rPr>
          <w:rFonts w:hint="eastAsia" w:ascii="宋体" w:hAnsi="宋体" w:cs="宋体"/>
          <w:color w:val="auto"/>
          <w:kern w:val="0"/>
          <w:sz w:val="30"/>
          <w:szCs w:val="30"/>
          <w:highlight w:val="none"/>
          <w:u w:val="singl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买方（甲方）：</w:t>
      </w:r>
      <w:r>
        <w:rPr>
          <w:rFonts w:hint="eastAsia" w:ascii="宋体" w:hAnsi="宋体" w:cs="宋体"/>
          <w:color w:val="auto"/>
          <w:kern w:val="0"/>
          <w:sz w:val="30"/>
          <w:szCs w:val="30"/>
          <w:highlight w:val="none"/>
          <w:u w:val="singl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卖方（乙方）：</w:t>
      </w:r>
      <w:r>
        <w:rPr>
          <w:rFonts w:hint="eastAsia" w:ascii="宋体" w:hAnsi="宋体" w:cs="宋体"/>
          <w:color w:val="auto"/>
          <w:kern w:val="0"/>
          <w:sz w:val="30"/>
          <w:szCs w:val="30"/>
          <w:highlight w:val="none"/>
          <w:u w:val="single"/>
        </w:rPr>
        <w:t xml:space="preserve">                         </w:t>
      </w: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4"/>
          <w:szCs w:val="24"/>
          <w:highlight w:val="none"/>
        </w:rPr>
        <w:t>填 写 说 明</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一、本合同适用于采购方或被委托采购方的需要安装调试、操作技术指导培训、系统维护升级定期检查等配套服务的货物采购。</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二、本合同当事人为双方，若合同当事人超过两方时，请参照本文本另行起草。</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三、本合同书未尽事项，可由合同双方在特别约定条款中进行补充，特别约定条款与其他条款不一致的，在效力上优于其他条款。</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四、使用本合同书时约定无需填写的条款，应在条款划线空白处注明“无”等字样。</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五、本合同书的签订日期由合同双方商定后统一填写于合同第一段，双方签章时无须在签字页填写签章日期。</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六、根据上级文件和工作要求，应签订《廉洁协议》等，应根据有关要求签订并作为必要组成部分列为合同附件。</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七、本合同书签订地点统一参照甲方所在地填写，具体应填写到县（市/区）。</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八、本填写说明是为便于合同使用者填写合同书条款而制作，不作为合同书应有组成部分，打印合同书时不应打印本填写说明。</w:t>
      </w: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r>
        <w:rPr>
          <w:rFonts w:hint="eastAsia" w:ascii="宋体" w:hAnsi="宋体" w:cs="宋体"/>
          <w:b/>
          <w:bCs/>
          <w:color w:val="auto"/>
          <w:kern w:val="0"/>
          <w:sz w:val="24"/>
          <w:szCs w:val="24"/>
          <w:highlight w:val="none"/>
        </w:rPr>
        <w:t>采购合同</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签订日期：</w:t>
      </w:r>
      <w:r>
        <w:rPr>
          <w:rFonts w:hint="eastAsia" w:ascii="宋体" w:hAnsi="宋体" w:cs="宋体"/>
          <w:color w:val="auto"/>
          <w:kern w:val="0"/>
          <w:sz w:val="24"/>
          <w:szCs w:val="24"/>
          <w:highlight w:val="none"/>
          <w:u w:val="single"/>
        </w:rPr>
        <w:t xml:space="preserve"> 202</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年____月____日</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签订地点：____市____县（区/市）</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买方（以下称：甲方）:______________</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地址：________________________</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卖方（以下称：乙方）:_____________</w:t>
      </w:r>
    </w:p>
    <w:p>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为保证甲方</w:t>
      </w:r>
      <w:r>
        <w:rPr>
          <w:rFonts w:hint="eastAsia" w:ascii="宋体" w:hAnsi="宋体" w:cs="宋体"/>
          <w:color w:val="auto"/>
          <w:kern w:val="0"/>
          <w:sz w:val="24"/>
          <w:szCs w:val="24"/>
          <w:highlight w:val="none"/>
          <w:u w:val="single"/>
        </w:rPr>
        <w:t>烟叶烘烤</w:t>
      </w:r>
      <w:r>
        <w:rPr>
          <w:rFonts w:hint="eastAsia" w:ascii="宋体" w:hAnsi="宋体" w:cs="宋体"/>
          <w:color w:val="auto"/>
          <w:kern w:val="0"/>
          <w:sz w:val="24"/>
          <w:szCs w:val="24"/>
          <w:highlight w:val="none"/>
        </w:rPr>
        <w:t>的需要，甲方决定向乙方购买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及</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相关</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配套服务，乙方表示同意。经双方充分协商，本着自愿及平等互利的原则，订立本合同。</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第一条 本合同签订依据</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 《中华人民共和国民法典》，甲方委托</w:t>
      </w:r>
      <w:r>
        <w:rPr>
          <w:rFonts w:hint="eastAsia" w:ascii="宋体" w:hAnsi="宋体"/>
          <w:color w:val="auto"/>
          <w:sz w:val="24"/>
          <w:szCs w:val="28"/>
          <w:highlight w:val="none"/>
          <w:u w:val="single"/>
          <w:lang w:eastAsia="zh-CN"/>
        </w:rPr>
        <w:t>建达国信工程管理有限公司</w:t>
      </w:r>
      <w:r>
        <w:rPr>
          <w:rFonts w:hint="eastAsia" w:ascii="宋体" w:hAnsi="宋体" w:cs="宋体"/>
          <w:color w:val="auto"/>
          <w:kern w:val="0"/>
          <w:sz w:val="24"/>
          <w:szCs w:val="24"/>
          <w:highlight w:val="none"/>
        </w:rPr>
        <w:t>（招标代理机构）对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灵宝市寺河乡人民政府2024年灵宝市寺河乡烟叶电烤房项目</w:t>
      </w:r>
      <w:r>
        <w:rPr>
          <w:rFonts w:hint="eastAsia" w:ascii="宋体" w:hAnsi="宋体" w:cs="宋体"/>
          <w:color w:val="auto"/>
          <w:kern w:val="0"/>
          <w:sz w:val="24"/>
          <w:szCs w:val="24"/>
          <w:highlight w:val="none"/>
        </w:rPr>
        <w:t>进行招标采购（项目编号：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）的招标结果，以及本采购项目的招标文件和中标人投标文件。</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 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第二条 合同标的、价款</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  合同标的描述：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900"/>
        <w:gridCol w:w="900"/>
        <w:gridCol w:w="1260"/>
        <w:gridCol w:w="900"/>
        <w:gridCol w:w="131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项目主要设备名称</w:t>
            </w:r>
          </w:p>
        </w:tc>
        <w:tc>
          <w:tcPr>
            <w:tcW w:w="1260"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品牌</w:t>
            </w: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厂家</w:t>
            </w: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产地</w:t>
            </w:r>
          </w:p>
        </w:tc>
        <w:tc>
          <w:tcPr>
            <w:tcW w:w="1260"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型号</w:t>
            </w: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数量（座）</w:t>
            </w:r>
          </w:p>
        </w:tc>
        <w:tc>
          <w:tcPr>
            <w:tcW w:w="1316"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单价</w:t>
            </w: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1295" w:type="dxa"/>
            <w:vAlign w:val="center"/>
          </w:tcPr>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p>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68"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316"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95"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68"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316"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95" w:type="dxa"/>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合同价款(人民币)</w:t>
            </w:r>
          </w:p>
        </w:tc>
        <w:tc>
          <w:tcPr>
            <w:tcW w:w="6571" w:type="dxa"/>
            <w:gridSpan w:val="6"/>
            <w:vAlign w:val="center"/>
          </w:tcPr>
          <w:p>
            <w:pPr>
              <w:pageBreakBefore w:val="0"/>
              <w:widowControl/>
              <w:kinsoku/>
              <w:overflowPunct/>
              <w:bidi w:val="0"/>
              <w:adjustRightInd w:val="0"/>
              <w:snapToGrid w:val="0"/>
              <w:spacing w:beforeAutospacing="0" w:afterAutospacing="0" w:line="360" w:lineRule="auto"/>
              <w:ind w:left="0" w:leftChars="0" w:right="0" w:rightChars="0"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小写：____元整           大写：____元整</w:t>
            </w:r>
          </w:p>
        </w:tc>
      </w:tr>
    </w:tbl>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合同价款包括但不限于设备款、运输费、装卸费、保险费、税费、验收费、退换费用、售后服务费、操作技术指导培训费、软件费、安装调试费、维护升级、定期保养等一切费用及意外风险损失费用，即甲方按合同支付总价款外，在货物正常使用年限内不再支付任何费用。</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甲方购买的货物涉及到的设备多、工艺复杂、软硬件涉及专业技术，乙方应就各类软硬件的性能参数、工艺流程、安装调试进度安排、操作技术指导培训和售后服务承诺保证等内容以书面形式进一步明确，作为本合同的附件，与本合同具有同等的法律效力。</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w:t>
      </w:r>
      <w:r>
        <w:rPr>
          <w:rFonts w:ascii="宋体" w:hAnsi="宋体" w:cs="宋体"/>
          <w:color w:val="auto"/>
          <w:kern w:val="0"/>
          <w:sz w:val="24"/>
          <w:szCs w:val="24"/>
          <w:highlight w:val="none"/>
        </w:rPr>
        <w:t>除非本合同另有约定，甲方要求乙方提供与本合同项下设备有关的软、硬件产品、附属设施、服务或其他设备正常运转必需的配件时，无需另行支付任何其他费用。</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2.4乙方应根据甲方要求，负责本合同项下设备的安装调试。</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2.5包装要求：</w:t>
      </w:r>
      <w:r>
        <w:rPr>
          <w:rFonts w:hint="eastAsia" w:ascii="宋体" w:hAnsi="宋体" w:cs="宋体"/>
          <w:color w:val="auto"/>
          <w:kern w:val="0"/>
          <w:sz w:val="24"/>
          <w:szCs w:val="24"/>
          <w:highlight w:val="none"/>
          <w:u w:val="single"/>
        </w:rPr>
        <w:t xml:space="preserve">    </w:t>
      </w:r>
      <w:r>
        <w:rPr>
          <w:rFonts w:hint="eastAsia" w:hAnsi="宋体"/>
          <w:color w:val="auto"/>
          <w:sz w:val="24"/>
          <w:highlight w:val="none"/>
          <w:u w:val="single"/>
        </w:rPr>
        <w:t>原厂包装，或不损坏原厂包装基础上的防护包装</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2.6因货物包装不当造成货物毁损灭失的责任，由乙方承担。</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第三条  乙方交付的设备应当满足下列第</w:t>
      </w:r>
      <w:r>
        <w:rPr>
          <w:rFonts w:hint="eastAsia" w:ascii="宋体" w:hAnsi="宋体" w:cs="宋体"/>
          <w:color w:val="auto"/>
          <w:kern w:val="0"/>
          <w:sz w:val="24"/>
          <w:szCs w:val="24"/>
          <w:highlight w:val="none"/>
          <w:u w:val="single"/>
        </w:rPr>
        <w:t xml:space="preserve"> （3）（5）  </w:t>
      </w:r>
      <w:r>
        <w:rPr>
          <w:rFonts w:hint="eastAsia" w:ascii="宋体" w:hAnsi="宋体" w:cs="宋体"/>
          <w:color w:val="auto"/>
          <w:kern w:val="0"/>
          <w:sz w:val="24"/>
          <w:szCs w:val="24"/>
          <w:highlight w:val="none"/>
        </w:rPr>
        <w:t>种质量标准（可同时选择多项标准）。</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（1）国家标准：</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（2）部颁标准：</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u w:val="single"/>
        </w:rPr>
        <w:t>烟草行</w:t>
      </w:r>
      <w:r>
        <w:rPr>
          <w:rFonts w:hint="eastAsia" w:ascii="宋体" w:hAnsi="宋体" w:cs="宋体"/>
          <w:color w:val="auto"/>
          <w:kern w:val="0"/>
          <w:sz w:val="24"/>
          <w:szCs w:val="24"/>
          <w:highlight w:val="none"/>
        </w:rPr>
        <w:t>业企业标准：</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u w:val="single"/>
        </w:rPr>
        <w:t>必须符合</w:t>
      </w:r>
      <w:r>
        <w:rPr>
          <w:color w:val="auto"/>
          <w:sz w:val="24"/>
          <w:szCs w:val="24"/>
          <w:highlight w:val="none"/>
          <w:u w:val="single"/>
        </w:rPr>
        <w:t>空气源热泵密集烤房（</w:t>
      </w:r>
      <w:r>
        <w:rPr>
          <w:rFonts w:hint="eastAsia"/>
          <w:color w:val="auto"/>
          <w:sz w:val="24"/>
          <w:szCs w:val="24"/>
          <w:highlight w:val="none"/>
          <w:u w:val="single"/>
        </w:rPr>
        <w:t>Q/HNYC 050-2020</w:t>
      </w:r>
      <w:r>
        <w:rPr>
          <w:color w:val="auto"/>
          <w:sz w:val="24"/>
          <w:szCs w:val="24"/>
          <w:highlight w:val="none"/>
          <w:u w:val="single"/>
        </w:rPr>
        <w:t>）</w:t>
      </w:r>
      <w:r>
        <w:rPr>
          <w:rFonts w:hint="eastAsia" w:ascii="宋体" w:hAnsi="宋体"/>
          <w:color w:val="auto"/>
          <w:sz w:val="24"/>
          <w:szCs w:val="24"/>
          <w:highlight w:val="none"/>
          <w:u w:val="single"/>
        </w:rPr>
        <w:t>技术要求，且应保证所提供的设备能满足烟叶烘烤及甲方使用要求</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（4）按双方签订本合同前确认的样品（由双方确认后封存）标准执行。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color w:val="auto"/>
          <w:kern w:val="0"/>
          <w:sz w:val="24"/>
          <w:szCs w:val="24"/>
          <w:highlight w:val="none"/>
        </w:rPr>
        <w:t>（5）</w:t>
      </w:r>
      <w:r>
        <w:rPr>
          <w:rFonts w:hint="eastAsia" w:ascii="宋体" w:hAnsi="宋体" w:cs="宋体"/>
          <w:b w:val="0"/>
          <w:bCs w:val="0"/>
          <w:color w:val="auto"/>
          <w:kern w:val="0"/>
          <w:sz w:val="24"/>
          <w:szCs w:val="24"/>
          <w:highlight w:val="none"/>
        </w:rPr>
        <w:t>双方商定的质量要求：</w:t>
      </w:r>
      <w:r>
        <w:rPr>
          <w:rFonts w:hint="eastAsia" w:ascii="宋体" w:hAnsi="宋体" w:eastAsia="宋体" w:cs="宋体"/>
          <w:b w:val="0"/>
          <w:bCs w:val="0"/>
          <w:color w:val="auto"/>
          <w:kern w:val="0"/>
          <w:sz w:val="24"/>
          <w:szCs w:val="24"/>
          <w:highlight w:val="none"/>
          <w:lang w:eastAsia="zh-CN"/>
        </w:rPr>
        <w:t>新建内室长8米、宽2.78米、高</w:t>
      </w:r>
      <w:r>
        <w:rPr>
          <w:rFonts w:hint="eastAsia" w:ascii="宋体" w:hAnsi="宋体" w:eastAsia="宋体" w:cs="宋体"/>
          <w:b w:val="0"/>
          <w:bCs w:val="0"/>
          <w:color w:val="auto"/>
          <w:kern w:val="0"/>
          <w:sz w:val="24"/>
          <w:szCs w:val="24"/>
          <w:highlight w:val="none"/>
          <w:lang w:val="en-US" w:eastAsia="zh-CN"/>
        </w:rPr>
        <w:t>4.2</w:t>
      </w:r>
      <w:r>
        <w:rPr>
          <w:rFonts w:hint="eastAsia" w:ascii="宋体" w:hAnsi="宋体" w:eastAsia="宋体" w:cs="宋体"/>
          <w:b w:val="0"/>
          <w:bCs w:val="0"/>
          <w:color w:val="auto"/>
          <w:kern w:val="0"/>
          <w:sz w:val="24"/>
          <w:szCs w:val="24"/>
          <w:highlight w:val="none"/>
          <w:lang w:eastAsia="zh-CN"/>
        </w:rPr>
        <w:t>米电能烤房</w:t>
      </w:r>
      <w:r>
        <w:rPr>
          <w:rFonts w:hint="eastAsia" w:ascii="宋体" w:hAnsi="宋体" w:eastAsia="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lang w:eastAsia="zh-CN"/>
        </w:rPr>
        <w:t>座，主要包括加热室、装烟室、热泵主机组、热泵烤房控制器。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装烟室内室长8000mm、宽2780mm、高4200mm，包含墙体、屋顶、挂烟架、装烟室门、观察窗、热风进（回）风口。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墙体采用金属面硬质聚氨酯夹芯板（以下简称墙板），厚度要求≥50mm，芯材导热系数≤ 0.024W/(m∙K)（在平均环境温度23.8℃测得），聚氨酯密度≥40kg/m</w:t>
      </w:r>
      <w:r>
        <w:rPr>
          <w:rFonts w:hint="eastAsia" w:ascii="宋体" w:hAnsi="宋体" w:eastAsia="宋体" w:cs="宋体"/>
          <w:b w:val="0"/>
          <w:bCs w:val="0"/>
          <w:color w:val="000000"/>
          <w:sz w:val="24"/>
          <w:szCs w:val="24"/>
          <w:highlight w:val="none"/>
          <w:vertAlign w:val="superscript"/>
        </w:rPr>
        <w:t>3</w:t>
      </w:r>
      <w:r>
        <w:rPr>
          <w:rFonts w:hint="eastAsia" w:ascii="宋体" w:hAnsi="宋体" w:eastAsia="宋体" w:cs="宋体"/>
          <w:b w:val="0"/>
          <w:bCs w:val="0"/>
          <w:color w:val="000000"/>
          <w:sz w:val="24"/>
          <w:szCs w:val="24"/>
          <w:highlight w:val="none"/>
        </w:rPr>
        <w:t>。聚氨酯内外保护层为0.4mm及以上涂层钢板，采用镀锌涂层，锌层重量≥120g/m</w:t>
      </w:r>
      <w:r>
        <w:rPr>
          <w:rFonts w:hint="eastAsia" w:ascii="宋体" w:hAnsi="宋体" w:eastAsia="宋体" w:cs="宋体"/>
          <w:b w:val="0"/>
          <w:bCs w:val="0"/>
          <w:color w:val="000000"/>
          <w:sz w:val="24"/>
          <w:szCs w:val="24"/>
          <w:highlight w:val="none"/>
          <w:vertAlign w:val="superscript"/>
        </w:rPr>
        <w:t>2</w:t>
      </w:r>
      <w:r>
        <w:rPr>
          <w:rFonts w:hint="eastAsia" w:ascii="宋体" w:hAnsi="宋体" w:eastAsia="宋体" w:cs="宋体"/>
          <w:b w:val="0"/>
          <w:bCs w:val="0"/>
          <w:color w:val="000000"/>
          <w:sz w:val="24"/>
          <w:szCs w:val="24"/>
          <w:highlight w:val="none"/>
        </w:rPr>
        <w:t>，涂层钢板双面做压纹处理，压纹波距5mm～10mm。涂层钢板内外不得接触，防止形成热桥。墙板外观质量、物理性能、防火性能等符合GB/T23932《建筑用金属面绝热夹芯板》要求。墙板与水平角度为90°，安装时插入地槽，地槽采用1.2mm厚热浸镀锌板折弯成型，内径为墙板厚度＋2mm，墙板与地槽之间的空隙打耐候密封胶处理。墙板安装完毕后，地槽采用混凝土固封，固封位置要超过地槽上沿。墙板上部安装顶槽，顶槽采用1.2mm厚热浸镀锌板折弯成型，顶槽安装前在墙板上部打发泡胶，确保墙板与顶槽间无空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屋顶采用金属面硬质聚氨酯夹芯板（以下简称屋面板），屋面板与墙体材料、质量、厚度等相同，涂层钢板内外不得接触，防止形成热桥。具有 34mm 以上的波峰和排水槽结构，防水等级二级。屋面恒载：0.25kN/m</w:t>
      </w:r>
      <w:r>
        <w:rPr>
          <w:rFonts w:hint="eastAsia" w:ascii="宋体" w:hAnsi="宋体" w:eastAsia="宋体" w:cs="宋体"/>
          <w:b w:val="0"/>
          <w:bCs w:val="0"/>
          <w:color w:val="000000"/>
          <w:sz w:val="24"/>
          <w:szCs w:val="24"/>
          <w:highlight w:val="none"/>
          <w:vertAlign w:val="superscript"/>
        </w:rPr>
        <w:t>2</w:t>
      </w:r>
      <w:r>
        <w:rPr>
          <w:rFonts w:hint="eastAsia" w:ascii="宋体" w:hAnsi="宋体" w:eastAsia="宋体" w:cs="宋体"/>
          <w:b w:val="0"/>
          <w:bCs w:val="0"/>
          <w:color w:val="000000"/>
          <w:sz w:val="24"/>
          <w:szCs w:val="24"/>
          <w:highlight w:val="none"/>
        </w:rPr>
        <w:t>；基本风压：0.45kN/m</w:t>
      </w:r>
      <w:r>
        <w:rPr>
          <w:rFonts w:hint="eastAsia" w:ascii="宋体" w:hAnsi="宋体" w:eastAsia="宋体" w:cs="宋体"/>
          <w:b w:val="0"/>
          <w:bCs w:val="0"/>
          <w:color w:val="000000"/>
          <w:sz w:val="24"/>
          <w:szCs w:val="24"/>
          <w:highlight w:val="none"/>
          <w:vertAlign w:val="superscript"/>
        </w:rPr>
        <w:t>2</w:t>
      </w:r>
      <w:r>
        <w:rPr>
          <w:rFonts w:hint="eastAsia" w:ascii="宋体" w:hAnsi="宋体" w:eastAsia="宋体" w:cs="宋体"/>
          <w:b w:val="0"/>
          <w:bCs w:val="0"/>
          <w:color w:val="000000"/>
          <w:sz w:val="24"/>
          <w:szCs w:val="24"/>
          <w:highlight w:val="none"/>
        </w:rPr>
        <w:t>；屋面活载：0.5kN/m</w:t>
      </w:r>
      <w:r>
        <w:rPr>
          <w:rFonts w:hint="eastAsia" w:ascii="宋体" w:hAnsi="宋体" w:eastAsia="宋体" w:cs="宋体"/>
          <w:b w:val="0"/>
          <w:bCs w:val="0"/>
          <w:color w:val="000000"/>
          <w:sz w:val="24"/>
          <w:szCs w:val="24"/>
          <w:highlight w:val="none"/>
          <w:vertAlign w:val="superscript"/>
        </w:rPr>
        <w:t>2</w:t>
      </w:r>
      <w:r>
        <w:rPr>
          <w:rFonts w:hint="eastAsia" w:ascii="宋体" w:hAnsi="宋体" w:eastAsia="宋体" w:cs="宋体"/>
          <w:b w:val="0"/>
          <w:bCs w:val="0"/>
          <w:color w:val="000000"/>
          <w:sz w:val="24"/>
          <w:szCs w:val="24"/>
          <w:highlight w:val="none"/>
        </w:rPr>
        <w:t>；基本雪压：0.45kN/m</w:t>
      </w:r>
      <w:r>
        <w:rPr>
          <w:rFonts w:hint="eastAsia" w:ascii="宋体" w:hAnsi="宋体" w:eastAsia="宋体" w:cs="宋体"/>
          <w:b w:val="0"/>
          <w:bCs w:val="0"/>
          <w:color w:val="000000"/>
          <w:sz w:val="24"/>
          <w:szCs w:val="24"/>
          <w:highlight w:val="none"/>
          <w:vertAlign w:val="superscript"/>
        </w:rPr>
        <w:t>2</w:t>
      </w:r>
      <w:r>
        <w:rPr>
          <w:rFonts w:hint="eastAsia" w:ascii="宋体" w:hAnsi="宋体" w:eastAsia="宋体" w:cs="宋体"/>
          <w:b w:val="0"/>
          <w:bCs w:val="0"/>
          <w:color w:val="000000"/>
          <w:sz w:val="24"/>
          <w:szCs w:val="24"/>
          <w:highlight w:val="none"/>
        </w:rPr>
        <w:t>。屋面板长度方向与烤房长度方向垂直，屋面板搭接如图5所示，做防水放漏气处理。屋面板与墙板（顶槽）接缝进行打胶密封处理。相邻烤房屋顶安装V型天沟，靠外烤房屋顶的外侧安装外侧天沟，天沟用于收集雨水并使其流向烤房后。天沟材料采用≥0.5mm厚度镀锌涂层钢板，锌层重量≥120g/m</w:t>
      </w:r>
      <w:r>
        <w:rPr>
          <w:rFonts w:hint="eastAsia" w:ascii="宋体" w:hAnsi="宋体" w:eastAsia="宋体" w:cs="宋体"/>
          <w:b w:val="0"/>
          <w:bCs w:val="0"/>
          <w:color w:val="000000"/>
          <w:sz w:val="24"/>
          <w:szCs w:val="24"/>
          <w:highlight w:val="none"/>
          <w:vertAlign w:val="superscript"/>
        </w:rPr>
        <w:t>2</w:t>
      </w:r>
      <w:r>
        <w:rPr>
          <w:rFonts w:hint="eastAsia" w:ascii="宋体" w:hAnsi="宋体" w:eastAsia="宋体" w:cs="宋体"/>
          <w:b w:val="0"/>
          <w:bCs w:val="0"/>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挂烟架立柱、顶梁及</w:t>
      </w:r>
      <w:r>
        <w:rPr>
          <w:rFonts w:hint="eastAsia" w:ascii="宋体" w:hAnsi="宋体" w:eastAsia="宋体" w:cs="宋体"/>
          <w:b w:val="0"/>
          <w:bCs w:val="0"/>
          <w:sz w:val="24"/>
          <w:szCs w:val="24"/>
          <w:highlight w:val="none"/>
        </w:rPr>
        <w:t>挂烟架采用Q235镀锌矩管制作，规格为40mm×60mm，壁厚≥l.5mm，挂烟架整体承重能力大于8000kg，能够使用烟竿和烟夹装烟。挂烟架底棚高1100mm～1300mm、顶棚距离屋顶高度600mm、中间棚间距800mm。挂烟架各构件采用螺栓连接，横档与立柱采用套接加螺栓连接。在立柱上焊接支撑固定套，上面开设φ12的孔，支撑固定套采用壁厚为4mm的Q235A镀锌板材制作。横档相应位置开设φ12的孔，采用M10的紧固件固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装烟室门采用与墙体相同的材料。对于编烟棚立柱临近的烤房，大门门框与编烟棚立柱之间采用直径不小于16mm的钢筋连接加固，连接点距屋顶下沿高度200mm～300mm。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在装烟室门和隔热墙上各设置一个竖向观察窗，能够观察到装烟室内烟叶变化状况。观察窗应采用中空保温玻璃结构，玻璃为钢化无色玻璃，厚度5mm，中空层8mm，观察窗安装居门厚度中间，外装遮光门。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在隔热墙顶端和底端分别开设进风口和回风口，尺寸为1800mm×400mm，回风口应加设防护网（网孔小于25mm×25mm），防止掉落在地面上的烟叶吸入加热室后堵塞加热装置。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加热室主要包含墙体、房顶、支撑架、排湿风道、冷凝器及维修门、循环风机维修门、热风风道，以及新风风门和排湿风门等。加热室内尺寸长1000～1400mm、宽1800mm、高4200mm。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加热室墙体材料与装烟室材料相同。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墙板上要开设新风风口和排湿风口，开口采取收边措施，收边材料厚度≥1mm，分别用于安装新风风门和排湿风门。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开设维修门和风机维修门，分别用于维修加热室内部加热器件和循环风机等。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加热室两侧墙板采用整板，转角处建议采用转角墙板，地槽、顶槽与装烟室结构一致，要求相同。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墙板与加热室支架之间采用不小于ST5.5的自攻自钻螺钉连接，并采取耐候密封胶密封。墙体与地面之间采用耐候密封胶密封，然后用混凝土加强密封。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ascii="宋体" w:hAnsi="宋体" w:cs="宋体"/>
          <w:b w:val="0"/>
          <w:bCs w:val="0"/>
          <w:color w:val="000000"/>
          <w:szCs w:val="21"/>
          <w:highlight w:val="none"/>
        </w:rPr>
      </w:pPr>
      <w:r>
        <w:rPr>
          <w:rFonts w:hint="eastAsia" w:ascii="宋体" w:hAnsi="宋体" w:eastAsia="宋体" w:cs="宋体"/>
          <w:b w:val="0"/>
          <w:bCs w:val="0"/>
          <w:color w:val="000000"/>
          <w:sz w:val="24"/>
          <w:szCs w:val="24"/>
          <w:highlight w:val="none"/>
          <w:lang w:val="en-US" w:eastAsia="zh-CN"/>
        </w:rPr>
        <w:t>支撑架采用40×40×2（mm）镀锌方管，用于支撑内部换热器和循环风机。四个支脚带安装底脚，螺栓孔直径14mm。支架上用于结构密封的板材采用镀锌钢板，钢板厚度≥1mm，或其它耐腐蚀性不低于镀锌钢板的材料。焊接部位应涂防锈漆处理。支架总高≥2500mm，4个底脚应采用膨胀螺栓固定于地基上，并与隔热墙贴紧，左右居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排湿风道连通回风口和排湿风门。采用镀锌板折弯加工，排湿风门处宽800mm，高≥480mm，排湿风道与回风口连接处宽600mm、高≥400mm。通过膨胀螺栓固定于地面。安装时要靠紧排湿口，密封完好。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固定在冷凝器支架层（面）上，并用密封板密封冷凝器端板四周。密封板采用镀锌钢板，钢板厚度≥1mm，保证热空气全部通过冷凝器。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在烟叶烘烤时段环境温度低于5℃地区配置备用电辅加热器，为热泵主机组后备使用热源。功率≥27kW，采用翅片式电热管或陶瓷加热器，电辅加热器≥9根，分为2组或3组控制。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电辅加热器连接线采用硅橡胶耐高温线，电缆穿墙采用塑料护套，电辅加热管接头要求防护，不得裸露。</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循环风机按《密集烤房技术规范（试行）修订版》（国烟办综〔2009〕418号）文件要求（以下简称418号文件）。风机电源引线使用七芯铜线电缆，电缆符合GB5013.1规定。输入端口符合国家相关标准。三相循环风机导线截面积不小于1.5mm2，风机电缆耐温90℃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进风风门采用电动风门结构，符合418 号文件要求，内径300mm×800mm，固定到加热室墙板新风口外侧。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排湿风门采用电动风门结构，符合418 号文件要求，内径300mm×800mm，也可以采用两个百叶窗平行与地面安装，百叶窗符合 418 号文件要求，电动风门或百叶窗居中安装。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混凝土浇筑水平地面（硬化地面基础包括烤房与编烟棚所有覆盖区域），浇筑厚度≥200mm。浇筑前用 5cm 三七土预处理，地基内部加设防水塑料布或其它防水措施。要求：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a) 浇筑混凝土≥C20 砼。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b) 地基上平面为 1:2.5 混凝土砂浆面层，平整度≤3mm。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c) 地基上要留有排水槽（烤房与烤房之间要向加热室一侧设置排水槽、热泵机组与加热室之间要设置排水槽，防止积水倒流入装烟室或加热室内），以利于排水。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d) 在烤房地基附近埋设接地极，接地极为 50x50mm 镀锌角钢，埋深 1.5m 以上。接地极可以单个烤房使用，也可以附近多座烤房共用。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集群烤房须配置编烟棚，保证光线充足，适宜各项操作，编烟棚要求：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a)对于双排（面对面）烤房，10座连片烤房编烟棚宽度原则上不低于8000mm，20座连片烤房编烟棚宽度原则上不低于 12000mm，30座及以上连片烤房编烟棚宽度原则上不低于 14000mm。单排烤房编烟棚因地制宜配置，10座（含10座以下）单排烤房编烟棚宽度原则上不低于6000mm，20 座连片烤房编烟棚宽度原则上不低于 8000mm，30座及以上连片烤房编烟棚宽度原则上不低于 8000mm 。编烟棚左、右两侧边缘末端要超过烤房墙体50cm。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b)编烟棚须选用钢管或更优质的材料作为支撑架。棚顶为单面彩钢瓦。材质要求：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1.支撑架钢柱：圆管φ150mm，Q235B；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2.上下弦：圆管φ60mm*2，Q235B；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3.支撑：圆管φ30mm*2，Q235B；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4.檩条：矩形管口60*40*1.5mm，Q235B；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5.水平撑、拉筋：圆钢φ16mm，Q235B；</w:t>
      </w:r>
    </w:p>
    <w:p>
      <w:pPr>
        <w:pStyle w:val="1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000000"/>
          <w:sz w:val="24"/>
          <w:szCs w:val="24"/>
          <w:highlight w:val="none"/>
          <w:lang w:val="en-US" w:eastAsia="zh-CN"/>
        </w:rPr>
        <w:t xml:space="preserve">6.单面彩钢瓦：厚度0.5mm以上。要求能够抗9级大风，防400mm雪压。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第四条 付款</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 本合同价款由甲方向乙方，按下列第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项执行：</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（1）分期支付，具体支付进度如下：</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①合同签订后___日历日内，甲方支付合同价款_____%，即_____元；</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②设备经甲方到货接收后___日历日内，甲方支付合同价款_____%，即_____元；</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③设备经甲方开箱验收合格后___日历日内，甲方支付合同价款_____%，即_____元；</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④本合同第6.5条约定的异议期满后，甲方支付合同价款_____%，即_____元；</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⑤其他：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numPr>
          <w:ilvl w:val="0"/>
          <w:numId w:val="3"/>
        </w:numPr>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验收合格后支付：</w:t>
      </w:r>
      <w:r>
        <w:rPr>
          <w:rFonts w:hint="eastAsia" w:ascii="宋体" w:hAnsi="宋体" w:cs="宋体"/>
          <w:color w:val="auto"/>
          <w:kern w:val="0"/>
          <w:sz w:val="24"/>
          <w:szCs w:val="24"/>
          <w:highlight w:val="none"/>
          <w:lang w:val="en-US" w:eastAsia="zh-CN"/>
        </w:rPr>
        <w:t xml:space="preserve"> </w:t>
      </w:r>
      <w:r>
        <w:rPr>
          <w:rFonts w:hint="eastAsia" w:ascii="宋体" w:hAnsi="宋体"/>
          <w:color w:val="auto"/>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4.2合同价款支付方式：双方同意以银行转账方式将本合同项下的合同款项，支付至乙方指定的如下银行账户：</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户名：</w:t>
      </w:r>
      <w:r>
        <w:rPr>
          <w:rFonts w:hint="eastAsia" w:ascii="宋体" w:hAnsi="宋体" w:cs="宋体"/>
          <w:color w:val="auto"/>
          <w:kern w:val="0"/>
          <w:sz w:val="24"/>
          <w:szCs w:val="24"/>
          <w:highlight w:val="none"/>
          <w:u w:val="singl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开户行：</w:t>
      </w:r>
      <w:r>
        <w:rPr>
          <w:rFonts w:hint="eastAsia" w:ascii="宋体" w:hAnsi="宋体" w:cs="宋体"/>
          <w:color w:val="auto"/>
          <w:kern w:val="0"/>
          <w:sz w:val="24"/>
          <w:szCs w:val="24"/>
          <w:highlight w:val="none"/>
          <w:u w:val="singl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银行帐号：</w:t>
      </w:r>
      <w:r>
        <w:rPr>
          <w:rFonts w:hint="eastAsia" w:ascii="宋体" w:hAnsi="宋体" w:cs="宋体"/>
          <w:color w:val="auto"/>
          <w:kern w:val="0"/>
          <w:sz w:val="24"/>
          <w:szCs w:val="24"/>
          <w:highlight w:val="none"/>
          <w:u w:val="single"/>
        </w:rPr>
        <w:t xml:space="preserve">                            </w:t>
      </w:r>
    </w:p>
    <w:p>
      <w:pPr>
        <w:pStyle w:val="17"/>
        <w:pageBreakBefore w:val="0"/>
        <w:kinsoku/>
        <w:overflowPunct/>
        <w:bidi w:val="0"/>
        <w:adjustRightInd w:val="0"/>
        <w:snapToGrid w:val="0"/>
        <w:spacing w:beforeAutospacing="0" w:after="0" w:afterAutospacing="0" w:line="360" w:lineRule="auto"/>
        <w:ind w:left="0" w:leftChars="0" w:right="0" w:rightChars="0" w:firstLine="480" w:firstLineChars="200"/>
        <w:rPr>
          <w:rFonts w:hint="eastAsia"/>
          <w:color w:val="auto"/>
          <w:highlight w:val="none"/>
        </w:rPr>
      </w:pPr>
      <w:r>
        <w:rPr>
          <w:rFonts w:hint="eastAsia" w:ascii="宋体" w:hAnsi="宋体" w:cs="宋体"/>
          <w:color w:val="auto"/>
          <w:kern w:val="0"/>
          <w:sz w:val="24"/>
          <w:szCs w:val="24"/>
          <w:highlight w:val="none"/>
        </w:rPr>
        <w:t>乙方银行账户发生变更的，应当提前通知甲方，否则由此造成的一切损失由乙方自行承担。</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 付款条件。甲方付款前，乙方应先提交下列单证和文件：</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rPr>
        <w:t>增值税发票</w:t>
      </w:r>
      <w:r>
        <w:rPr>
          <w:rFonts w:hint="eastAsia" w:ascii="宋体" w:hAnsi="宋体" w:cs="宋体"/>
          <w:color w:val="auto"/>
          <w:kern w:val="0"/>
          <w:sz w:val="24"/>
          <w:szCs w:val="24"/>
          <w:highlight w:val="none"/>
        </w:rPr>
        <w:t>原件一份（符合项目所在地财务管理要求的相关发票）；</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(2)付款前乙方负有相关合同履行义务的，乙方应提供已履行完相应义务的证明材料；</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(3)付款通知。</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 双方同意：乙方的违约金及赔偿金，甲方可以在合同款项中直接扣除。</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 本合同项下的货币单位为人民币。</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第五条 货物交付</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5.1 乙方负责将采购项目内设备按合同约定进行安装调试、操作技术指导培训，保证甲方能正常使用后，交予甲方验收，验收合格前的风险由乙方承担。</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 交货地点：</w:t>
      </w:r>
      <w:r>
        <w:rPr>
          <w:rFonts w:hint="eastAsia" w:ascii="宋体" w:hAnsi="宋体" w:cs="宋体"/>
          <w:color w:val="auto"/>
          <w:kern w:val="0"/>
          <w:sz w:val="24"/>
          <w:szCs w:val="24"/>
          <w:highlight w:val="none"/>
          <w:u w:val="single"/>
        </w:rPr>
        <w:t xml:space="preserve">  </w:t>
      </w:r>
      <w:r>
        <w:rPr>
          <w:rFonts w:hint="eastAsia" w:ascii="宋体" w:hAnsi="宋体"/>
          <w:color w:val="auto"/>
          <w:sz w:val="22"/>
          <w:highlight w:val="none"/>
          <w:u w:val="single"/>
        </w:rPr>
        <w:t>各烤房建设地点或甲方指定地点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；收货人：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。收货人联系电话：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。甲方变更交货地点和收货人的，应该书面通知乙方。</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 交货时间，按下列第</w:t>
      </w:r>
      <w:r>
        <w:rPr>
          <w:rFonts w:hint="eastAsia" w:ascii="宋体" w:hAnsi="宋体" w:cs="宋体"/>
          <w:color w:val="auto"/>
          <w:kern w:val="0"/>
          <w:sz w:val="24"/>
          <w:szCs w:val="24"/>
          <w:highlight w:val="none"/>
          <w:u w:val="single"/>
        </w:rPr>
        <w:t xml:space="preserve">  （2）  </w:t>
      </w:r>
      <w:r>
        <w:rPr>
          <w:rFonts w:hint="eastAsia" w:ascii="宋体" w:hAnsi="宋体" w:cs="宋体"/>
          <w:color w:val="auto"/>
          <w:kern w:val="0"/>
          <w:sz w:val="24"/>
          <w:szCs w:val="24"/>
          <w:highlight w:val="none"/>
        </w:rPr>
        <w:t>项执行：</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（1）____年____月___日前交付。</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（2）合同签订</w:t>
      </w:r>
      <w:r>
        <w:rPr>
          <w:rFonts w:hint="eastAsia" w:ascii="宋体" w:hAnsi="宋体" w:cs="宋体"/>
          <w:color w:val="auto"/>
          <w:kern w:val="0"/>
          <w:sz w:val="24"/>
          <w:szCs w:val="24"/>
          <w:highlight w:val="none"/>
          <w:u w:val="single"/>
        </w:rPr>
        <w:t xml:space="preserve">后   45   </w:t>
      </w:r>
      <w:r>
        <w:rPr>
          <w:rFonts w:hint="eastAsia" w:ascii="宋体" w:hAnsi="宋体" w:cs="宋体"/>
          <w:color w:val="auto"/>
          <w:kern w:val="0"/>
          <w:sz w:val="24"/>
          <w:szCs w:val="24"/>
          <w:highlight w:val="none"/>
        </w:rPr>
        <w:t>日历日内交付。</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5.4 设备的实际交货验收时间以甲方签收时间为准。</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5.5 乙方交货时应立即与甲方或甲方指定的收货人进行到货接收。到货接收仅表明收货人收到一定数量的货物，并不表明货物符合合同约定。</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5.6 对到货接收中发现的设备短缺、毁损或与合同约定有不符之处或包装不符合合同约定的，甲方有权拒收设备，由此产生的逾期交货责任由乙方承担。</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color w:val="auto"/>
          <w:highlight w:val="none"/>
        </w:rPr>
      </w:pPr>
      <w:r>
        <w:rPr>
          <w:rFonts w:hint="eastAsia" w:ascii="宋体" w:hAnsi="宋体" w:cs="宋体"/>
          <w:color w:val="auto"/>
          <w:kern w:val="0"/>
          <w:sz w:val="24"/>
          <w:szCs w:val="24"/>
          <w:highlight w:val="none"/>
        </w:rPr>
        <w:t>5.7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第六条 验收内容及标准</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6.1验收内容及标准一般包括：</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（1）符合本合同第二条、第三条的约定；</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（2）设备的外包装完好，无破损、浸湿、受潮、变形等情况；</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（3）设备和附件表面无残损、锈蚀、碰伤等情况；</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（4）主机、附件等设备规格、型号、配置及数量与合同约定相符；</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（5）随机资料齐全，包括但不限于：说明书、产品检验合格证书、保修单等；</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（6）安装调试后，能运行正常；</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（7）符合甲方购买需求；</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（8）甲方操作人员能正常使用；</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6.2 甲方应在收到乙方验收通知后</w:t>
      </w:r>
      <w:r>
        <w:rPr>
          <w:rFonts w:hint="eastAsia" w:ascii="宋体" w:hAnsi="宋体" w:cs="宋体"/>
          <w:color w:val="auto"/>
          <w:kern w:val="0"/>
          <w:sz w:val="24"/>
          <w:szCs w:val="24"/>
          <w:highlight w:val="none"/>
          <w:u w:val="single"/>
        </w:rPr>
        <w:t xml:space="preserve">  5个  </w:t>
      </w:r>
      <w:r>
        <w:rPr>
          <w:rFonts w:hint="eastAsia" w:ascii="宋体" w:hAnsi="宋体" w:cs="宋体"/>
          <w:color w:val="auto"/>
          <w:kern w:val="0"/>
          <w:sz w:val="24"/>
          <w:szCs w:val="24"/>
          <w:highlight w:val="none"/>
        </w:rPr>
        <w:t>工作日内确定验收日期，并通知乙方。双方应指派代表共同参加验收，乙方费用自理。乙方在上述日期内拒绝或未参加验收的，甲方有权单独进行验收。对验收结果，视为乙方自动接受。</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6.3 验收时，应签署《验收报告》，详细列明验收结果。</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6.5验收合格之日起 </w:t>
      </w:r>
      <w:r>
        <w:rPr>
          <w:rFonts w:hint="eastAsia" w:ascii="宋体" w:hAnsi="宋体" w:cs="宋体"/>
          <w:color w:val="auto"/>
          <w:kern w:val="0"/>
          <w:sz w:val="24"/>
          <w:szCs w:val="24"/>
          <w:highlight w:val="none"/>
          <w:u w:val="single"/>
        </w:rPr>
        <w:t xml:space="preserve">  7   </w:t>
      </w:r>
      <w:r>
        <w:rPr>
          <w:rFonts w:hint="eastAsia" w:ascii="宋体" w:hAnsi="宋体" w:cs="宋体"/>
          <w:color w:val="auto"/>
          <w:kern w:val="0"/>
          <w:sz w:val="24"/>
          <w:szCs w:val="24"/>
          <w:highlight w:val="none"/>
        </w:rPr>
        <w:t>日历日内为异议期，异议期内设备出现故障或运转不正常，甲方有权要求换货或退货，对此乙方应无条件接受，并承担因此支出的费用。甲方要求换货的，乙方应在接到甲方书面通知之日起</w:t>
      </w:r>
      <w:r>
        <w:rPr>
          <w:rFonts w:hint="eastAsia" w:ascii="宋体" w:hAnsi="宋体" w:cs="宋体"/>
          <w:color w:val="auto"/>
          <w:kern w:val="0"/>
          <w:sz w:val="24"/>
          <w:szCs w:val="24"/>
          <w:highlight w:val="none"/>
          <w:u w:val="single"/>
        </w:rPr>
        <w:t xml:space="preserve">     15   </w:t>
      </w:r>
      <w:r>
        <w:rPr>
          <w:rFonts w:hint="eastAsia" w:ascii="宋体" w:hAnsi="宋体" w:cs="宋体"/>
          <w:color w:val="auto"/>
          <w:kern w:val="0"/>
          <w:sz w:val="24"/>
          <w:szCs w:val="24"/>
          <w:highlight w:val="none"/>
        </w:rPr>
        <w:t>日历日内，将更换的符合合同约定的设备送至甲方指定地点，否则甲方将按照本合同第9.2.3约定承担逾期交货的违约责任。</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第七条  保修与维修</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 本合同项下设备的质量保修期约定如下：</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，保修期自设备验收合格之日起算。</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 保修范围</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7.2.1 除本合同第7.2.2另有规定外，保修范围包含但不限于合同设备整机、设备主要部件以及维持合同设备正常运转所必须的配件、部件、构件、元件、零件等由乙方提供的全部产品。</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7.2.2 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7.3保修期内，保修范围内的设备不能正常运转或出现故障时，乙方负责保修，保修费用由乙方负责。具体包括但不限于以下保修责任：</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对产品运行过程中出现的故障指派专业技术人员进行排除，对出现故障的</w:t>
      </w:r>
      <w:r>
        <w:rPr>
          <w:rFonts w:hint="eastAsia" w:ascii="宋体" w:hAnsi="宋体" w:cs="宋体"/>
          <w:color w:val="auto"/>
          <w:kern w:val="0"/>
          <w:sz w:val="24"/>
          <w:szCs w:val="24"/>
          <w:highlight w:val="none"/>
        </w:rPr>
        <w:t>配件、部件、构件、元件、零件、软件</w:t>
      </w:r>
      <w:r>
        <w:rPr>
          <w:rFonts w:ascii="宋体" w:hAnsi="宋体" w:cs="宋体"/>
          <w:color w:val="auto"/>
          <w:kern w:val="0"/>
          <w:sz w:val="24"/>
          <w:szCs w:val="24"/>
          <w:highlight w:val="none"/>
        </w:rPr>
        <w:t>免费进行修理或更换。</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对需要现场维修的，</w:t>
      </w:r>
      <w:r>
        <w:rPr>
          <w:rFonts w:hint="eastAsia" w:ascii="宋体" w:hAnsi="宋体" w:cs="宋体"/>
          <w:color w:val="auto"/>
          <w:kern w:val="0"/>
          <w:sz w:val="24"/>
          <w:szCs w:val="24"/>
          <w:highlight w:val="none"/>
        </w:rPr>
        <w:t>乙方</w:t>
      </w:r>
      <w:r>
        <w:rPr>
          <w:rFonts w:ascii="宋体" w:hAnsi="宋体" w:cs="宋体"/>
          <w:color w:val="auto"/>
          <w:kern w:val="0"/>
          <w:sz w:val="24"/>
          <w:szCs w:val="24"/>
          <w:highlight w:val="none"/>
        </w:rPr>
        <w:t>技术</w:t>
      </w:r>
      <w:r>
        <w:rPr>
          <w:rFonts w:ascii="宋体" w:hAnsi="宋体" w:cs="宋体"/>
          <w:b w:val="0"/>
          <w:bCs w:val="0"/>
          <w:color w:val="auto"/>
          <w:kern w:val="0"/>
          <w:sz w:val="24"/>
          <w:szCs w:val="24"/>
          <w:highlight w:val="none"/>
        </w:rPr>
        <w:t>人员应在</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2-4</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小时</w:t>
      </w:r>
      <w:r>
        <w:rPr>
          <w:rFonts w:ascii="宋体" w:hAnsi="宋体" w:cs="宋体"/>
          <w:b w:val="0"/>
          <w:bCs w:val="0"/>
          <w:color w:val="auto"/>
          <w:kern w:val="0"/>
          <w:sz w:val="24"/>
          <w:szCs w:val="24"/>
          <w:highlight w:val="none"/>
        </w:rPr>
        <w:t>内</w:t>
      </w:r>
      <w:r>
        <w:rPr>
          <w:rFonts w:ascii="宋体" w:hAnsi="宋体" w:cs="宋体"/>
          <w:color w:val="auto"/>
          <w:kern w:val="0"/>
          <w:sz w:val="24"/>
          <w:szCs w:val="24"/>
          <w:highlight w:val="none"/>
        </w:rPr>
        <w:t>赶赴现场对设备进行维修。</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（3）若乙</w:t>
      </w:r>
      <w:r>
        <w:rPr>
          <w:rFonts w:ascii="宋体" w:hAnsi="宋体" w:cs="宋体"/>
          <w:color w:val="auto"/>
          <w:kern w:val="0"/>
          <w:sz w:val="24"/>
          <w:szCs w:val="24"/>
          <w:highlight w:val="none"/>
        </w:rPr>
        <w:t>方收到</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方故障通知后内未能排除故障，</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方有权要求</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方于</w:t>
      </w:r>
      <w:r>
        <w:rPr>
          <w:rFonts w:hint="eastAsia" w:ascii="宋体" w:hAnsi="宋体" w:cs="宋体"/>
          <w:color w:val="auto"/>
          <w:kern w:val="0"/>
          <w:sz w:val="24"/>
          <w:szCs w:val="24"/>
          <w:highlight w:val="none"/>
          <w:u w:val="single"/>
          <w:lang w:val="en-US" w:eastAsia="zh-CN"/>
        </w:rPr>
        <w:t>立即</w:t>
      </w:r>
      <w:r>
        <w:rPr>
          <w:rFonts w:ascii="宋体" w:hAnsi="宋体" w:cs="宋体"/>
          <w:color w:val="auto"/>
          <w:kern w:val="0"/>
          <w:sz w:val="24"/>
          <w:szCs w:val="24"/>
          <w:highlight w:val="none"/>
        </w:rPr>
        <w:t>内免费提供同档次的全新产品，供</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方使用。</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（4）对同一故障连续维修两次都不能排除故障的，甲方有权要求乙方免费更换同型号全新产品。</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（5）保修期内，</w:t>
      </w:r>
      <w:r>
        <w:rPr>
          <w:rFonts w:ascii="宋体" w:hAnsi="宋体" w:cs="宋体"/>
          <w:color w:val="auto"/>
          <w:kern w:val="0"/>
          <w:sz w:val="24"/>
          <w:szCs w:val="24"/>
          <w:highlight w:val="none"/>
        </w:rPr>
        <w:t>经</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w:t>
      </w:r>
      <w:r>
        <w:rPr>
          <w:rFonts w:hint="eastAsia" w:ascii="宋体" w:hAnsi="宋体" w:cs="宋体"/>
          <w:color w:val="auto"/>
          <w:kern w:val="0"/>
          <w:sz w:val="24"/>
          <w:szCs w:val="24"/>
          <w:highlight w:val="none"/>
        </w:rPr>
        <w:t>更换</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设备、配件、部件、构件、元件、零件、软件</w:t>
      </w:r>
      <w:r>
        <w:rPr>
          <w:rFonts w:ascii="宋体" w:hAnsi="宋体" w:cs="宋体"/>
          <w:color w:val="auto"/>
          <w:kern w:val="0"/>
          <w:sz w:val="24"/>
          <w:szCs w:val="24"/>
          <w:highlight w:val="none"/>
        </w:rPr>
        <w:t>的保修期应重新计算。</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（6）保修责任特别约定：</w:t>
      </w:r>
      <w:r>
        <w:rPr>
          <w:rFonts w:hint="eastAsia" w:ascii="宋体" w:hAnsi="宋体" w:cs="宋体"/>
          <w:color w:val="auto"/>
          <w:kern w:val="0"/>
          <w:sz w:val="24"/>
          <w:szCs w:val="24"/>
          <w:highlight w:val="none"/>
          <w:u w:val="single"/>
        </w:rPr>
        <w:t xml:space="preserve">       </w:t>
      </w:r>
      <w:r>
        <w:rPr>
          <w:rFonts w:hint="eastAsia" w:hAnsi="宋体" w:cs="Arial"/>
          <w:color w:val="auto"/>
          <w:kern w:val="0"/>
          <w:sz w:val="24"/>
          <w:highlight w:val="none"/>
          <w:u w:val="single"/>
        </w:rPr>
        <w:t>不低于招标文件要求</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（特别约定与前五项保修责任内容不一致的，以特别约定为准）。</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7.4</w:t>
      </w:r>
      <w:r>
        <w:rPr>
          <w:rFonts w:ascii="宋体" w:hAnsi="宋体" w:cs="宋体"/>
          <w:color w:val="auto"/>
          <w:kern w:val="0"/>
          <w:sz w:val="24"/>
          <w:szCs w:val="24"/>
          <w:highlight w:val="none"/>
        </w:rPr>
        <w:t>保修期内，对保修范围内的保修服务所发生的全部物质损耗和人员费用，均由</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方承担。</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7.5</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方未及时承担保修责任的，</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方有权采用其他渠道和方式对设备进行维修，由此产生的费用由</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方承担</w:t>
      </w:r>
      <w:r>
        <w:rPr>
          <w:rFonts w:hint="eastAsia" w:ascii="宋体" w:hAnsi="宋体" w:cs="宋体"/>
          <w:color w:val="auto"/>
          <w:kern w:val="0"/>
          <w:sz w:val="24"/>
          <w:szCs w:val="24"/>
          <w:highlight w:val="none"/>
        </w:rPr>
        <w:t>。对于此项费用甲方有权在合同价款中直接扣除，不足部分，甲方有权继续追索。</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7.6</w:t>
      </w:r>
      <w:r>
        <w:rPr>
          <w:rFonts w:ascii="宋体" w:hAnsi="宋体" w:cs="宋体"/>
          <w:color w:val="auto"/>
          <w:kern w:val="0"/>
          <w:sz w:val="24"/>
          <w:szCs w:val="24"/>
          <w:highlight w:val="none"/>
        </w:rPr>
        <w:t>保修期满，</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方应持续对设备运行期间出现的故障提供维修服务。对维修所需费用，</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方应仅收取正常的成本费用。</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第八条 承诺与保证</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r>
        <w:rPr>
          <w:rFonts w:hint="eastAsia" w:ascii="宋体" w:hAnsi="宋体" w:cs="宋体"/>
          <w:color w:val="auto"/>
          <w:sz w:val="24"/>
          <w:szCs w:val="24"/>
          <w:highlight w:val="none"/>
        </w:rPr>
        <w:t>乙方保证享有所提供设备所需的完整知识产权，并保证甲方对设备的使用、转售不会侵犯任何第三方知识产权。该设备如果包含软件或其他知识产权，则应视为软件及知识产权无限期的许可甲方配合该设备使用（费用已经包含在合同价款中）。</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8.2 乙方保证对其销售的货物拥有完全的所有权或处置权，无任何权利方面的权利限制或瑕疵。</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8.3 乙方保证甲方在使用设备时享有完整的原厂商售后服务。</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8.4 乙方承诺具有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资格。</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8.5乙方承诺提供每日24小时不间断的售后技术维修保障服务，并随时为甲方培训操作维护人员。</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 因乙方承诺或保证不实给甲方造成损失的，乙方应承担全部赔偿责任，</w:t>
      </w:r>
      <w:r>
        <w:rPr>
          <w:rFonts w:hint="eastAsia" w:ascii="宋体" w:hAnsi="宋体" w:cs="宋体"/>
          <w:color w:val="auto"/>
          <w:sz w:val="24"/>
          <w:szCs w:val="24"/>
          <w:highlight w:val="none"/>
        </w:rPr>
        <w:t>包括但不限于直接经济损失、可得利益损失、律师费、诉讼费、鉴定费等合理费用</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第九条 违约责任</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 甲方违约责任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hAnsi="宋体"/>
          <w:color w:val="auto"/>
          <w:sz w:val="24"/>
          <w:highlight w:val="none"/>
        </w:rPr>
      </w:pPr>
      <w:r>
        <w:rPr>
          <w:rFonts w:hint="eastAsia" w:ascii="宋体" w:hAnsi="宋体" w:cs="宋体"/>
          <w:color w:val="auto"/>
          <w:kern w:val="0"/>
          <w:sz w:val="24"/>
          <w:szCs w:val="24"/>
          <w:highlight w:val="none"/>
        </w:rPr>
        <w:t xml:space="preserve">9.1.1 </w:t>
      </w:r>
      <w:r>
        <w:rPr>
          <w:rFonts w:hint="eastAsia" w:hAnsi="宋体"/>
          <w:color w:val="auto"/>
          <w:sz w:val="24"/>
          <w:highlight w:val="none"/>
        </w:rPr>
        <w:t>因甲方原因逾期付款的，应按照逾期付款金额的每日万分之一计算，向乙方支付逾期付款的违约金，支付总额不超过逾期款项的5%，如逾期超过</w:t>
      </w:r>
      <w:r>
        <w:rPr>
          <w:rFonts w:hint="eastAsia" w:hAnsi="宋体"/>
          <w:color w:val="auto"/>
          <w:sz w:val="24"/>
          <w:highlight w:val="none"/>
          <w:u w:val="single"/>
        </w:rPr>
        <w:t xml:space="preserve"> 30</w:t>
      </w:r>
      <w:r>
        <w:rPr>
          <w:rFonts w:hint="eastAsia" w:hAnsi="宋体"/>
          <w:color w:val="auto"/>
          <w:sz w:val="24"/>
          <w:highlight w:val="none"/>
        </w:rPr>
        <w:t xml:space="preserve"> 日，乙方有权解除合同并可就遭受的损失向甲方索赔。</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9.1.2 甲方无正当理由拒绝接收验收设备的，应承担因此给乙方造成的损失。</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9.1.3其他约定：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 乙方违约责任</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9.2.1  乙方所交付的设备有毁损或不符合合同约定的，甲方有权选择由乙方负责修理、更换或解除合同。甲方选择修理、更换的，乙方应在接到甲方书面通知后</w:t>
      </w:r>
      <w:r>
        <w:rPr>
          <w:rFonts w:hint="eastAsia" w:ascii="宋体" w:hAnsi="宋体" w:cs="宋体"/>
          <w:color w:val="auto"/>
          <w:kern w:val="0"/>
          <w:sz w:val="24"/>
          <w:szCs w:val="24"/>
          <w:highlight w:val="none"/>
          <w:u w:val="single"/>
        </w:rPr>
        <w:t>15</w:t>
      </w:r>
      <w:r>
        <w:rPr>
          <w:rFonts w:hint="eastAsia" w:ascii="宋体" w:hAnsi="宋体" w:cs="宋体"/>
          <w:color w:val="auto"/>
          <w:kern w:val="0"/>
          <w:sz w:val="24"/>
          <w:szCs w:val="24"/>
          <w:highlight w:val="none"/>
        </w:rPr>
        <w:t>日内，免费修理、更换或重新包装，并将合格货物送至甲方指定地点，并承担因此产生的费用。因此导致逾期交货的，乙方承担逾期交货的违约责任；</w:t>
      </w:r>
      <w:r>
        <w:rPr>
          <w:rFonts w:hint="eastAsia" w:ascii="宋体" w:hAnsi="宋体" w:cs="宋体"/>
          <w:color w:val="auto"/>
          <w:sz w:val="24"/>
          <w:szCs w:val="24"/>
          <w:highlight w:val="none"/>
        </w:rPr>
        <w:t>未经甲方允许，乙方擅自解除或终止本合同的，应当返还甲方已经支付的相应款项并承担本合同约定价款总额30%的违约金，违约金不足以弥补甲方全部损失的，包括但不限于直接经济损失、可得利益损失、律师费、诉讼费、鉴定费、交通费等合理费用，乙方应当继续赔偿。</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9.2.3 逾期交货违约责任：乙方逾期交货的，应按照逾期交货金额每日万分之</w:t>
      </w:r>
      <w:r>
        <w:rPr>
          <w:rFonts w:hint="eastAsia" w:ascii="宋体" w:hAnsi="宋体" w:cs="宋体"/>
          <w:color w:val="auto"/>
          <w:kern w:val="0"/>
          <w:sz w:val="24"/>
          <w:szCs w:val="24"/>
          <w:highlight w:val="none"/>
          <w:u w:val="single"/>
        </w:rPr>
        <w:t>_2</w:t>
      </w:r>
      <w:r>
        <w:rPr>
          <w:rFonts w:hint="eastAsia" w:ascii="宋体" w:hAnsi="宋体" w:cs="宋体"/>
          <w:color w:val="auto"/>
          <w:kern w:val="0"/>
          <w:sz w:val="24"/>
          <w:szCs w:val="24"/>
          <w:highlight w:val="none"/>
        </w:rPr>
        <w:t>_计算，向甲方支付逾期交货的违约金，并赔偿甲方因此所遭受的损失。如</w:t>
      </w:r>
      <w:r>
        <w:rPr>
          <w:rFonts w:hint="eastAsia" w:ascii="宋体" w:hAnsi="宋体" w:cs="宋体"/>
          <w:color w:val="auto"/>
          <w:sz w:val="24"/>
          <w:szCs w:val="24"/>
          <w:highlight w:val="none"/>
        </w:rPr>
        <w:t>如逾期超过 30 日，甲方有权解除或终止本合同，并要求乙方承担本合同约定价款30 %的违约金，违约金不足以弥补甲方全部损失的，包括但不限于直接经济损失、可得利益损失、律师费、诉讼费、鉴定费、交通费等合理费用，乙方应当继续赔偿。”</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9.3 其他违约责任约定：</w:t>
      </w:r>
      <w:r>
        <w:rPr>
          <w:rFonts w:hint="eastAsia" w:ascii="宋体" w:hAnsi="宋体" w:cs="宋体"/>
          <w:color w:val="auto"/>
          <w:sz w:val="24"/>
          <w:szCs w:val="24"/>
          <w:highlight w:val="none"/>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 上述保密义务，在本合同终止或解除之后仍需履行</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9.3.1.</w:t>
      </w:r>
      <w:r>
        <w:rPr>
          <w:rFonts w:hint="eastAsia" w:ascii="宋体" w:hAnsi="宋体" w:cs="宋体"/>
          <w:b/>
          <w:bCs/>
          <w:color w:val="auto"/>
          <w:kern w:val="0"/>
          <w:sz w:val="24"/>
          <w:szCs w:val="24"/>
          <w:highlight w:val="none"/>
        </w:rPr>
        <w:t>因设备问题或乙方原因造成的烟叶烘烤损失，由乙方全额赔偿。</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乙方对甲方解除合同的异议期为七天。</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第十条 不可抗力</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任何一方由于不可抗力原因不能履行合同时，应在不可抗力事件发生后___日内向对方通报，以减轻可能给对方造成的损失，在取得有关机构的不可抗力证明后，允许延期履行，并根据情况可部分或全部免予承担违约责任，</w:t>
      </w:r>
      <w:r>
        <w:rPr>
          <w:rFonts w:hint="eastAsia" w:ascii="宋体" w:hAnsi="宋体" w:cs="宋体"/>
          <w:color w:val="auto"/>
          <w:sz w:val="24"/>
          <w:szCs w:val="24"/>
          <w:highlight w:val="none"/>
        </w:rPr>
        <w:t>但迟延履行后发生不可抗力的，不能免除违约责任。</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第十一条 争议解决</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11.1本合同由各方在平等的基础上，经友好协商共同起草和写作而成。</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11.2在合同履行中，如发生争议应由各方协商解决，如协商不成，双方按照以下第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种方式解决争议（仅可选择一种）：</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11.2.1向甲方所在地人民法院提起诉讼。</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11.2.2向</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仲裁委员会申请仲裁。</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第十二条 通知与联系方式</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12.1 除非本合同另有规定，任何一方为履行本合同或与本合同有关的一切通知、要求均应采用书面形式，并直接送交或按第12.2约定的联系方式地址通知对方法定代表人或联系人。</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12.2 联系方式</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甲方法定名称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联系人：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  话：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  真：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乙方法定名称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联系人：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  话：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  真：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12.3 本合同项下发出的通知、要求，在下述情况应被视为已经有效送达：</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（1）若由专人递交，在递交法定代表人及联系人时即为送达；</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（2）若用书信发出，合同一方法定代表人、项目联系人或办公室、收发室的工作人员在挂号回执或签收凭证上签字即为送达；</w:t>
      </w:r>
    </w:p>
    <w:p>
      <w:pPr>
        <w:pStyle w:val="17"/>
        <w:pageBreakBefore w:val="0"/>
        <w:kinsoku/>
        <w:overflowPunct/>
        <w:bidi w:val="0"/>
        <w:adjustRightInd w:val="0"/>
        <w:snapToGrid w:val="0"/>
        <w:spacing w:beforeAutospacing="0" w:after="0" w:afterAutospacing="0" w:line="360" w:lineRule="auto"/>
        <w:ind w:left="0" w:leftChars="0" w:right="0" w:rightChars="0" w:firstLine="480" w:firstLineChars="200"/>
        <w:rPr>
          <w:rFonts w:hint="eastAsia"/>
          <w:color w:val="auto"/>
          <w:highlight w:val="none"/>
        </w:rPr>
      </w:pPr>
      <w:r>
        <w:rPr>
          <w:rFonts w:hint="eastAsia" w:ascii="宋体" w:hAnsi="宋体" w:cs="宋体"/>
          <w:color w:val="auto"/>
          <w:sz w:val="24"/>
          <w:szCs w:val="24"/>
          <w:highlight w:val="none"/>
        </w:rPr>
        <w:t>（3）电子送达与书面送达具有同等法律效力。</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12.4 任何一方的联系方式有变更的，应及时书面通知合同对方，否则一方按原联系方式向其他方发出的书面文件仍视为送达。</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第十三条 特别约定条款及合同生效</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13.1.1</w:t>
      </w:r>
      <w:r>
        <w:rPr>
          <w:rFonts w:hint="eastAsia" w:ascii="宋体" w:hAnsi="宋体" w:cs="宋体"/>
          <w:b/>
          <w:bCs/>
          <w:color w:val="auto"/>
          <w:kern w:val="0"/>
          <w:sz w:val="24"/>
          <w:szCs w:val="24"/>
          <w:highlight w:val="none"/>
        </w:rPr>
        <w:t>乙方应于合同签订之前，</w:t>
      </w:r>
      <w:r>
        <w:rPr>
          <w:rFonts w:hint="eastAsia" w:ascii="宋体" w:hAnsi="宋体" w:cs="宋体"/>
          <w:b/>
          <w:bCs/>
          <w:color w:val="auto"/>
          <w:sz w:val="24"/>
          <w:szCs w:val="24"/>
          <w:highlight w:val="none"/>
        </w:rPr>
        <w:t>向甲方交纳中标金额的3%做为本项目的履约保证金，履约保证金打到甲方账户上，项目交货安装经第三方验收合格后自，无质量问题，无息退还。</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13.1.2其他特别约定条款：</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13.2 当特别约定条款与其他条款不一致时，特别条款效力优于其他条款。</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 本合同自双方签字且盖章之日起生效，本合同生效后，先前的谈判内容、陈述以及双方签订的意向书、备忘录及其他相关文件如与本合同不符的，均以本合同为准。</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13.4 本合同书包含以下附件：</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附件1：</w:t>
      </w:r>
      <w:r>
        <w:rPr>
          <w:rFonts w:hint="eastAsia" w:ascii="宋体" w:hAnsi="宋体" w:cs="宋体"/>
          <w:color w:val="auto"/>
          <w:kern w:val="0"/>
          <w:sz w:val="24"/>
          <w:szCs w:val="24"/>
          <w:highlight w:val="none"/>
          <w:u w:val="single"/>
        </w:rPr>
        <w:t xml:space="preserve">    《廉洁协议》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附件2：</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13.5 合同各方同意所有附件是合同不可分割的一部分，与合同正文具有同等效力。若附件与合同正文有任何不一致，以合同正文为准。</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13.6 如需对合同内容做出任何修改和补充，应为书面形式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由各方另行签署。另行签署书面文件，另行签署的书面文件为本合同不可分割的组成部分，与本合同具有同等效力。</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color w:val="auto"/>
          <w:highlight w:val="none"/>
        </w:rPr>
      </w:pPr>
      <w:r>
        <w:rPr>
          <w:rFonts w:hint="eastAsia" w:ascii="宋体" w:hAnsi="宋体" w:cs="宋体"/>
          <w:color w:val="auto"/>
          <w:kern w:val="0"/>
          <w:sz w:val="24"/>
          <w:szCs w:val="24"/>
          <w:highlight w:val="none"/>
        </w:rPr>
        <w:t>13.6.1甲方对履行合同的任何宽限仅表示其同意继续履行本合同，但不表示甲方放弃追究乙方违约责任的权利。除非甲方以书面形式明确声明做出放弃，否则，甲方不应被视为放弃根据本合同中的任何条款所享受的权利或利益。甲方未坚持严格履行/执行本合同中的任何条款，或未行使其本合同中规定的任何权利或利益，均不应被视为对任何上述条款的放弃或对今后行使上述权利或利益的放弃。甲方在履行本合同过程中，在某个场合下的某个弃权或允许迟延履行的意思表示并不意味着将来在同样的情况下的弃权或允许迟延履行，也不表示甲方放弃追究相关违约责任的权利。</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13.7下列文件均视为本合同不可分割的组成部分来进行解释，</w:t>
      </w:r>
      <w:r>
        <w:rPr>
          <w:rFonts w:ascii="宋体" w:hAnsi="宋体" w:cs="宋体"/>
          <w:color w:val="auto"/>
          <w:kern w:val="0"/>
          <w:sz w:val="24"/>
          <w:szCs w:val="24"/>
          <w:highlight w:val="none"/>
        </w:rPr>
        <w:t>如果合同文件存在歧义或不一致，则根据如下优先次序来判断：</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（1）本合同书及附件</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（2）中标通知书（如果有）</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（3）投标文件（如果有）</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（4）招标文件（如果有）</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（5）其他：</w:t>
      </w:r>
      <w:r>
        <w:rPr>
          <w:rFonts w:hint="eastAsia" w:ascii="宋体" w:hAnsi="宋体" w:cs="宋体"/>
          <w:color w:val="auto"/>
          <w:kern w:val="0"/>
          <w:sz w:val="24"/>
          <w:szCs w:val="24"/>
          <w:highlight w:val="none"/>
          <w:u w:val="single"/>
        </w:rPr>
        <w:t xml:space="preserve">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13.8 本合同及其附件为中文本</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共有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份原件，甲乙双方各持</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份，具有同等法律效力。</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甲方（盖章）：</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（或授权代理人）：</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乙方（签字或盖章）： </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（或授权代理人）：</w:t>
      </w:r>
    </w:p>
    <w:p>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4"/>
          <w:szCs w:val="24"/>
          <w:highlight w:val="none"/>
        </w:rPr>
        <w:t>附件：</w:t>
      </w:r>
    </w:p>
    <w:p>
      <w:pPr>
        <w:pageBreakBefore w:val="0"/>
        <w:widowControl/>
        <w:kinsoku/>
        <w:overflowPunct/>
        <w:bidi w:val="0"/>
        <w:adjustRightInd w:val="0"/>
        <w:snapToGrid w:val="0"/>
        <w:spacing w:beforeAutospacing="0" w:afterAutospacing="0" w:line="360" w:lineRule="auto"/>
        <w:ind w:left="0" w:leftChars="0" w:right="0" w:rightChars="0" w:firstLine="3132" w:firstLineChars="1300"/>
        <w:jc w:val="left"/>
        <w:textAlignment w:val="baseline"/>
        <w:rPr>
          <w:rFonts w:hint="eastAsia" w:ascii="宋体" w:hAnsi="宋体" w:cs="宋体"/>
          <w:b/>
          <w:bCs/>
          <w:color w:val="auto"/>
          <w:kern w:val="0"/>
          <w:sz w:val="24"/>
          <w:szCs w:val="24"/>
          <w:highlight w:val="none"/>
          <w:u w:val="single"/>
        </w:rPr>
      </w:pPr>
    </w:p>
    <w:p>
      <w:pPr>
        <w:pageBreakBefore w:val="0"/>
        <w:widowControl/>
        <w:kinsoku/>
        <w:overflowPunct/>
        <w:bidi w:val="0"/>
        <w:adjustRightInd w:val="0"/>
        <w:snapToGrid w:val="0"/>
        <w:spacing w:beforeAutospacing="0" w:afterAutospacing="0" w:line="360" w:lineRule="auto"/>
        <w:ind w:left="0" w:leftChars="0" w:right="0" w:rightChars="0" w:firstLine="3132" w:firstLineChars="1300"/>
        <w:jc w:val="left"/>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项目廉洁协议</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为保障甲乙双方在采购业务往来中的合法权益，防止各种违反廉洁从业要求的违法违纪行为发生，在公平、公正、廉洁、诚信的基础上构筑相互间合作关系，根据国家有关法律法规和廉洁自律相关要求，经甲乙双方协商，特订立本廉洁协议。</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甲乙双方的责任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1．双方应严格遵守国家有关法律法规、规章制度中关于廉洁自律、反对腐败、公平交易的相关规定，不得为获取不正当利益，损害国家、集体和对方权益。</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2．双方应对工作人员进行经常性廉洁从业、诚实守信教育，使其建立良好的职业操守和从业行为。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甲方及其工作人员的责任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1．甲方及其工作人员不得接受乙方及其工作人员以任何形式赠送的现金、有价证券、支付凭证及通讯器材、交通工具等贵重物品。</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2．甲方工作人员不得参加乙方和相关单位组织的有可能影响公正履行职务的宴请、旅游、娱乐等活动。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3．甲方工作人员不得在乙方和相关单位报销任何应由甲方或甲方工作人员支付的费用。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4．甲方工作人员不得要求或接受乙方和相关单位为个人装修住房、婚丧嫁娶、配偶子女的工作安排以及旅游等提供方便。</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5．甲方工作人员不得接受乙方及其工作人员其它可能对公正履行职务有影响的不当行为或国家法律法规明确规定为贿赂的行为。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6．甲方及其工作人员如发现乙方及其工作人员有违反本协议第三条的任何行为，应及时向乙方上级部门或主管部门如实反映。</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乙方及其工作人员的责任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1．乙方及其工作人员不得以任何形式向甲方及其工作人员赠送现金、有价证券、支付凭证及通讯器材、交通工具等贵重物品。</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2．乙方及其工作人员不得以任何理由组织甲方工作人员参加有可能影响公正履行职务的宴请、旅游、娱乐等活动。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3．乙方不得以任何理由为甲方工作人员报销应由个人支付的费用。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4．乙方及其工作人员不得以任何理由为甲方工作人员个人装修住房、婚丧嫁娶、配偶子女的工作安排以及旅游等提供方便。</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5．乙方及其工作人员不得实施其它可能对甲方工作人员公正履行职务有影响的不当行为或国家法律法规明确规定为贿赂的行为。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6．乙方应当支持甲方的廉政建设，若甲方工作人员在业务往来过程中有索贿行为，乙方应当拒绝，并向甲方纪检监察部门举报投诉。</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7. 乙方及其工作人员在监委调查相关案件查办时，有配合提供证据、作证的义务。</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违约责任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1．甲乙双方工作人员违反本协议约定，按照管理权限，依据有关法律法规和规定对相关责任人给予党纪、政纪处分。涉嫌犯罪的，移交司法机关追究刑事责任。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2．乙方及其工作人员违反本协议约定，乙方应赔偿由此给甲方造成的经济损失，甲方有权从任何应付款项或乙方提交的履约保证金中直接冲抵。</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3．乙方及其工作人员违反本协议约定，甲方将依法依规将乙方列入供应商黑名单，采取相应限制或禁止性措施。</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 乙方及其工作人员发生拒不配合监委调查工作的情形，甲方有权采取警示约谈、降低考核评价分数、降低供货份额、缩短服务期限、终止或解除合同等多种处理措施。</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本协议作为主合同附件，是主合同不可分割的一部分，应由双方法定代表人或法定代表人书面授权的委托代理人签署。</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本协议自双方签字盖章之日起生效，长期有效。双方采购业务关系的变更、解除或终止，不影响甲方按本协议约定向乙方追究责任及要求赔偿损失的权利。</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本协议一式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 xml:space="preserve">甲 方（盖章）：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地址：</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电话：</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日期：</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乙 方（盖章）：</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地址：</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电话：</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日期：</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color w:val="auto"/>
          <w:highlight w:val="none"/>
        </w:rPr>
      </w:pPr>
      <w:r>
        <w:rPr>
          <w:color w:val="auto"/>
          <w:highlight w:val="none"/>
        </w:rPr>
        <w:br w:type="page"/>
      </w:r>
      <w:r>
        <w:rPr>
          <w:rFonts w:hint="eastAsia"/>
          <w:b/>
          <w:bCs/>
          <w:color w:val="auto"/>
          <w:sz w:val="32"/>
          <w:szCs w:val="36"/>
          <w:highlight w:val="none"/>
        </w:rPr>
        <w:t>第五章  招标内容及</w:t>
      </w:r>
      <w:bookmarkEnd w:id="153"/>
      <w:r>
        <w:rPr>
          <w:rFonts w:hint="eastAsia"/>
          <w:b/>
          <w:bCs/>
          <w:color w:val="auto"/>
          <w:sz w:val="32"/>
          <w:szCs w:val="36"/>
          <w:highlight w:val="none"/>
        </w:rPr>
        <w:t>技术要求</w:t>
      </w:r>
      <w:bookmarkEnd w:id="154"/>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一、招标内容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标段设置情况表</w:t>
      </w:r>
    </w:p>
    <w:tbl>
      <w:tblPr>
        <w:tblStyle w:val="19"/>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40"/>
        <w:gridCol w:w="796"/>
        <w:gridCol w:w="2597"/>
        <w:gridCol w:w="168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96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标段</w:t>
            </w:r>
          </w:p>
        </w:tc>
        <w:tc>
          <w:tcPr>
            <w:tcW w:w="254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项目内容及建设地点</w:t>
            </w:r>
          </w:p>
        </w:tc>
        <w:tc>
          <w:tcPr>
            <w:tcW w:w="7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数量</w:t>
            </w:r>
          </w:p>
        </w:tc>
        <w:tc>
          <w:tcPr>
            <w:tcW w:w="2597"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招标控制单价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含税）</w:t>
            </w:r>
          </w:p>
        </w:tc>
        <w:tc>
          <w:tcPr>
            <w:tcW w:w="168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745"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6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标段</w:t>
            </w:r>
          </w:p>
        </w:tc>
        <w:tc>
          <w:tcPr>
            <w:tcW w:w="254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新建</w:t>
            </w:r>
            <w:r>
              <w:rPr>
                <w:rFonts w:hint="eastAsia" w:ascii="宋体" w:hAnsi="宋体" w:eastAsia="宋体" w:cs="宋体"/>
                <w:color w:val="auto"/>
                <w:kern w:val="0"/>
                <w:sz w:val="24"/>
                <w:szCs w:val="24"/>
                <w:highlight w:val="none"/>
                <w:lang w:eastAsia="zh-CN"/>
              </w:rPr>
              <w:t>内室长8米、宽2.78米、高4.2米电能烤房</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0座。其中</w:t>
            </w:r>
            <w:r>
              <w:rPr>
                <w:rFonts w:hint="eastAsia" w:ascii="宋体" w:hAnsi="宋体" w:cs="宋体"/>
                <w:color w:val="auto"/>
                <w:kern w:val="0"/>
                <w:sz w:val="24"/>
                <w:szCs w:val="24"/>
                <w:highlight w:val="none"/>
                <w:lang w:val="en-US" w:eastAsia="zh-CN"/>
              </w:rPr>
              <w:t>寺河乡20</w:t>
            </w:r>
            <w:r>
              <w:rPr>
                <w:rFonts w:hint="eastAsia" w:ascii="宋体" w:hAnsi="宋体" w:eastAsia="宋体" w:cs="宋体"/>
                <w:color w:val="auto"/>
                <w:kern w:val="0"/>
                <w:sz w:val="24"/>
                <w:szCs w:val="24"/>
                <w:highlight w:val="none"/>
                <w:lang w:eastAsia="zh-CN"/>
              </w:rPr>
              <w:t>座、</w:t>
            </w:r>
            <w:r>
              <w:rPr>
                <w:rFonts w:hint="eastAsia" w:ascii="宋体" w:hAnsi="宋体" w:cs="宋体"/>
                <w:color w:val="auto"/>
                <w:kern w:val="0"/>
                <w:sz w:val="24"/>
                <w:szCs w:val="24"/>
                <w:highlight w:val="none"/>
                <w:lang w:val="en-US" w:eastAsia="zh-CN"/>
              </w:rPr>
              <w:t>朝阳</w:t>
            </w:r>
            <w:r>
              <w:rPr>
                <w:rFonts w:hint="eastAsia" w:ascii="宋体" w:hAnsi="宋体" w:eastAsia="宋体" w:cs="宋体"/>
                <w:color w:val="auto"/>
                <w:kern w:val="0"/>
                <w:sz w:val="24"/>
                <w:szCs w:val="24"/>
                <w:highlight w:val="none"/>
                <w:lang w:eastAsia="zh-CN"/>
              </w:rPr>
              <w:t>村</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座。</w:t>
            </w:r>
          </w:p>
        </w:tc>
        <w:tc>
          <w:tcPr>
            <w:tcW w:w="7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sz w:val="24"/>
                <w:szCs w:val="24"/>
                <w:highlight w:val="none"/>
              </w:rPr>
              <w:t>座</w:t>
            </w:r>
          </w:p>
        </w:tc>
        <w:tc>
          <w:tcPr>
            <w:tcW w:w="2597"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92000.00</w:t>
            </w:r>
            <w:r>
              <w:rPr>
                <w:rFonts w:hint="eastAsia" w:ascii="宋体" w:hAnsi="宋体" w:eastAsia="宋体" w:cs="宋体"/>
                <w:b w:val="0"/>
                <w:bCs w:val="0"/>
                <w:color w:val="auto"/>
                <w:sz w:val="24"/>
                <w:szCs w:val="24"/>
                <w:highlight w:val="none"/>
              </w:rPr>
              <w:t>元/座</w:t>
            </w:r>
          </w:p>
        </w:tc>
        <w:tc>
          <w:tcPr>
            <w:tcW w:w="168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276</w:t>
            </w:r>
            <w:r>
              <w:rPr>
                <w:rFonts w:hint="eastAsia" w:ascii="宋体" w:hAnsi="宋体" w:eastAsia="宋体" w:cs="宋体"/>
                <w:b w:val="0"/>
                <w:bCs w:val="0"/>
                <w:color w:val="auto"/>
                <w:kern w:val="0"/>
                <w:sz w:val="24"/>
                <w:szCs w:val="24"/>
                <w:highlight w:val="none"/>
                <w:lang w:val="en-US" w:eastAsia="zh-CN"/>
              </w:rPr>
              <w:t>0000</w:t>
            </w:r>
            <w:r>
              <w:rPr>
                <w:rFonts w:hint="eastAsia" w:ascii="宋体" w:hAnsi="宋体" w:cs="宋体"/>
                <w:b w:val="0"/>
                <w:bCs w:val="0"/>
                <w:color w:val="auto"/>
                <w:kern w:val="0"/>
                <w:sz w:val="24"/>
                <w:szCs w:val="24"/>
                <w:highlight w:val="none"/>
                <w:lang w:val="en-US" w:eastAsia="zh-CN"/>
              </w:rPr>
              <w:t>.00元</w:t>
            </w:r>
          </w:p>
        </w:tc>
        <w:tc>
          <w:tcPr>
            <w:tcW w:w="745" w:type="dxa"/>
            <w:vMerge w:val="restart"/>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具体内容详见招标文件第五章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exact"/>
          <w:jc w:val="center"/>
        </w:trPr>
        <w:tc>
          <w:tcPr>
            <w:tcW w:w="96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val="en-US" w:eastAsia="zh-CN"/>
              </w:rPr>
              <w:t>标段</w:t>
            </w:r>
          </w:p>
        </w:tc>
        <w:tc>
          <w:tcPr>
            <w:tcW w:w="254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在寺河乡寺河村、朝阳村分别安装配套变压器800KVA1台、400KVA 1台</w:t>
            </w:r>
          </w:p>
        </w:tc>
        <w:tc>
          <w:tcPr>
            <w:tcW w:w="796"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台</w:t>
            </w:r>
          </w:p>
        </w:tc>
        <w:tc>
          <w:tcPr>
            <w:tcW w:w="2597" w:type="dxa"/>
            <w:vAlign w:val="center"/>
          </w:tcPr>
          <w:p>
            <w:pPr>
              <w:pStyle w:val="3"/>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400KVA：125000.00元/台</w:t>
            </w:r>
          </w:p>
          <w:p>
            <w:pPr>
              <w:pStyle w:val="3"/>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800KVA：185000.00元/台</w:t>
            </w:r>
          </w:p>
        </w:tc>
        <w:tc>
          <w:tcPr>
            <w:tcW w:w="168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310000.00元</w:t>
            </w:r>
          </w:p>
        </w:tc>
        <w:tc>
          <w:tcPr>
            <w:tcW w:w="745" w:type="dxa"/>
            <w:vMerge w:val="continue"/>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6893" w:type="dxa"/>
            <w:gridSpan w:val="4"/>
            <w:vAlign w:val="center"/>
          </w:tcPr>
          <w:p>
            <w:pPr>
              <w:pStyle w:val="3"/>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1680"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3070000.00元</w:t>
            </w:r>
          </w:p>
        </w:tc>
        <w:tc>
          <w:tcPr>
            <w:tcW w:w="745" w:type="dxa"/>
            <w:vAlign w:val="center"/>
          </w:tcPr>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（一标段）</w:t>
      </w:r>
      <w:r>
        <w:rPr>
          <w:rFonts w:hint="eastAsia" w:ascii="宋体" w:hAnsi="宋体" w:eastAsia="宋体" w:cs="宋体"/>
          <w:b/>
          <w:bCs/>
          <w:color w:val="auto"/>
          <w:sz w:val="24"/>
          <w:szCs w:val="24"/>
          <w:highlight w:val="none"/>
        </w:rPr>
        <w:t>技术要求</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严格执行《空气源热泵密集烤房》（Q/HNYC050—2020）。技术要求中(二)条款内容与《空气源热泵密集烤房》（Q/HNYC050—2020）不符的，按照技术要求内容执行。</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详细要求如下：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000000"/>
          <w:sz w:val="24"/>
          <w:szCs w:val="24"/>
          <w:highlight w:val="none"/>
        </w:rPr>
        <w:t>热泵烤房基本结构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烤房主要组成包括加热室、装烟室、热泵主机组、热泵烤房控制器。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单体式烤房侧面外观如图1、图2所示，正视图如图3所示。面向加热室，左手边为左侧，右手边为右侧。</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5274310" cy="2354580"/>
            <wp:effectExtent l="0" t="0" r="2540" b="7620"/>
            <wp:docPr id="1026" name="图片 28"/>
            <wp:cNvGraphicFramePr/>
            <a:graphic xmlns:a="http://schemas.openxmlformats.org/drawingml/2006/main">
              <a:graphicData uri="http://schemas.openxmlformats.org/drawingml/2006/picture">
                <pic:pic xmlns:pic="http://schemas.openxmlformats.org/drawingml/2006/picture">
                  <pic:nvPicPr>
                    <pic:cNvPr id="1026" name="图片 28"/>
                    <pic:cNvPicPr/>
                  </pic:nvPicPr>
                  <pic:blipFill>
                    <a:blip r:embed="rId9" cstate="print"/>
                    <a:srcRect/>
                    <a:stretch>
                      <a:fillRect/>
                    </a:stretch>
                  </pic:blipFill>
                  <pic:spPr>
                    <a:xfrm>
                      <a:off x="0" y="0"/>
                      <a:ext cx="5274310" cy="235458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hint="eastAsia" w:ascii="宋体" w:hAnsi="宋体" w:cs="宋体"/>
          <w:color w:val="000000"/>
          <w:szCs w:val="21"/>
          <w:highlight w:val="none"/>
        </w:rPr>
        <w:t>图1 烤房左侧视图</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5274310" cy="2164715"/>
            <wp:effectExtent l="0" t="0" r="2540" b="698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10" cstate="print"/>
                    <a:srcRect/>
                    <a:stretch>
                      <a:fillRect/>
                    </a:stretch>
                  </pic:blipFill>
                  <pic:spPr>
                    <a:xfrm>
                      <a:off x="0" y="0"/>
                      <a:ext cx="5274310" cy="2164715"/>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hint="eastAsia" w:ascii="宋体" w:hAnsi="宋体" w:cs="宋体"/>
          <w:color w:val="000000"/>
          <w:szCs w:val="21"/>
          <w:highlight w:val="none"/>
        </w:rPr>
        <w:t>图2 烤房右侧视图</w:t>
      </w:r>
    </w:p>
    <w:p>
      <w:pPr>
        <w:pageBreakBefore w:val="0"/>
        <w:kinsoku/>
        <w:overflowPunct/>
        <w:bidi w:val="0"/>
        <w:adjustRightInd w:val="0"/>
        <w:snapToGrid w:val="0"/>
        <w:spacing w:beforeAutospacing="0" w:afterAutospacing="0" w:line="360" w:lineRule="auto"/>
        <w:ind w:left="0" w:leftChars="0" w:right="0" w:rightChars="0"/>
        <w:jc w:val="center"/>
        <w:rPr>
          <w:color w:val="000000"/>
          <w:highlight w:val="none"/>
        </w:rPr>
      </w:pPr>
      <w:r>
        <w:rPr>
          <w:color w:val="000000"/>
          <w:highlight w:val="none"/>
        </w:rPr>
        <w:drawing>
          <wp:inline distT="0" distB="0" distL="0" distR="0">
            <wp:extent cx="2990850" cy="3644900"/>
            <wp:effectExtent l="0" t="0" r="0" b="12700"/>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1" cstate="print"/>
                    <a:srcRect/>
                    <a:stretch>
                      <a:fillRect/>
                    </a:stretch>
                  </pic:blipFill>
                  <pic:spPr>
                    <a:xfrm>
                      <a:off x="0" y="0"/>
                      <a:ext cx="2990850" cy="364490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color w:val="000000"/>
          <w:highlight w:val="none"/>
        </w:rPr>
      </w:pPr>
      <w:r>
        <w:rPr>
          <w:rFonts w:hint="eastAsia"/>
          <w:color w:val="000000"/>
          <w:highlight w:val="none"/>
        </w:rPr>
        <w:t>图3 烤房正视图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装烟室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内室长8000mm、宽2780mm、高4200mm，包含墙体、屋顶、挂烟架、装烟室门、观察窗、热风进（回）风口。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.1 墙体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.1.1 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采用金属面硬质聚氨酯夹芯板（以下简称墙板），厚度要求≥50mm，芯材导热系数≤ 0.024W/(m∙K)（在平均环境温度23.8℃测得），聚氨酯密度≥40kg/m</w:t>
      </w:r>
      <w:r>
        <w:rPr>
          <w:rFonts w:hint="eastAsia" w:ascii="宋体" w:hAnsi="宋体" w:eastAsia="宋体" w:cs="宋体"/>
          <w:color w:val="000000"/>
          <w:sz w:val="24"/>
          <w:szCs w:val="24"/>
          <w:highlight w:val="none"/>
          <w:vertAlign w:val="superscript"/>
        </w:rPr>
        <w:t>3</w:t>
      </w:r>
      <w:r>
        <w:rPr>
          <w:rFonts w:hint="eastAsia" w:ascii="宋体" w:hAnsi="宋体" w:eastAsia="宋体" w:cs="宋体"/>
          <w:color w:val="000000"/>
          <w:sz w:val="24"/>
          <w:szCs w:val="24"/>
          <w:highlight w:val="none"/>
        </w:rPr>
        <w:t>。聚氨酯内外保护层为0.4mm及以上涂层钢板，采用镀锌涂层，锌层重量≥120g/m</w:t>
      </w:r>
      <w:r>
        <w:rPr>
          <w:rFonts w:hint="eastAsia" w:ascii="宋体" w:hAnsi="宋体" w:eastAsia="宋体" w:cs="宋体"/>
          <w:color w:val="000000"/>
          <w:sz w:val="24"/>
          <w:szCs w:val="24"/>
          <w:highlight w:val="none"/>
          <w:vertAlign w:val="superscript"/>
        </w:rPr>
        <w:t>2</w:t>
      </w:r>
      <w:r>
        <w:rPr>
          <w:rFonts w:hint="eastAsia" w:ascii="宋体" w:hAnsi="宋体" w:eastAsia="宋体" w:cs="宋体"/>
          <w:color w:val="000000"/>
          <w:sz w:val="24"/>
          <w:szCs w:val="24"/>
          <w:highlight w:val="none"/>
        </w:rPr>
        <w:t>，涂层钢板双面做压纹处理，压纹波距5mm～10mm。涂层钢板内外不得接触，防止形成热桥。墙板外观质量、物理性能、防火性能等符合GB/T23932《建筑用金属面绝热夹芯板》要求。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.1.2 安装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墙板与水平角度为90°，安装时插入地槽，地槽采用1.2mm厚热浸镀锌板折弯成型，内径为墙板厚度＋2mm，墙板与地槽之间的空隙打耐候密封胶处理。墙板与装烟架用隐钉固定，墙板之间采用无缝公母槽插接式企口连接（图4），连接时涂耐候密封胶，转角处采转角墙板。墙板安装完毕后，地槽采用混凝土固封，固封位置要超过地槽上沿。墙板上部安装顶槽，顶槽采用1.2mm厚热浸镀锌板折弯成型，顶槽安装前在墙板上部打发泡胶，确保墙板与顶槽间无空隙。</w:t>
      </w:r>
    </w:p>
    <w:p>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5078730" cy="981710"/>
            <wp:effectExtent l="0" t="0" r="0" b="0"/>
            <wp:docPr id="1029" name="图片 24"/>
            <wp:cNvGraphicFramePr/>
            <a:graphic xmlns:a="http://schemas.openxmlformats.org/drawingml/2006/main">
              <a:graphicData uri="http://schemas.openxmlformats.org/drawingml/2006/picture">
                <pic:pic xmlns:pic="http://schemas.openxmlformats.org/drawingml/2006/picture">
                  <pic:nvPicPr>
                    <pic:cNvPr id="1029" name="图片 24"/>
                    <pic:cNvPicPr/>
                  </pic:nvPicPr>
                  <pic:blipFill>
                    <a:blip r:embed="rId12" cstate="print"/>
                    <a:srcRect l="17646" t="30051" r="11342" b="43821"/>
                    <a:stretch>
                      <a:fillRect/>
                    </a:stretch>
                  </pic:blipFill>
                  <pic:spPr>
                    <a:xfrm>
                      <a:off x="0" y="0"/>
                      <a:ext cx="5078730" cy="98171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3629025" cy="1915160"/>
            <wp:effectExtent l="0" t="0" r="9525" b="0"/>
            <wp:docPr id="1030" name="图片 20"/>
            <wp:cNvGraphicFramePr/>
            <a:graphic xmlns:a="http://schemas.openxmlformats.org/drawingml/2006/main">
              <a:graphicData uri="http://schemas.openxmlformats.org/drawingml/2006/picture">
                <pic:pic xmlns:pic="http://schemas.openxmlformats.org/drawingml/2006/picture">
                  <pic:nvPicPr>
                    <pic:cNvPr id="1030" name="图片 20"/>
                    <pic:cNvPicPr/>
                  </pic:nvPicPr>
                  <pic:blipFill>
                    <a:blip r:embed="rId13" cstate="print"/>
                    <a:srcRect l="13005" t="14534" r="38702" b="36942"/>
                    <a:stretch>
                      <a:fillRect/>
                    </a:stretch>
                  </pic:blipFill>
                  <pic:spPr>
                    <a:xfrm>
                      <a:off x="0" y="0"/>
                      <a:ext cx="3629025" cy="1915794"/>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000000"/>
          <w:szCs w:val="21"/>
          <w:highlight w:val="none"/>
        </w:rPr>
      </w:pPr>
      <w:r>
        <w:rPr>
          <w:rFonts w:hint="eastAsia" w:ascii="宋体" w:hAnsi="宋体" w:cs="宋体"/>
          <w:color w:val="000000"/>
          <w:szCs w:val="21"/>
          <w:highlight w:val="none"/>
        </w:rPr>
        <w:t>图4 墙板及连接图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 屋顶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.2.1 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屋顶采用金属面硬质聚氨酯夹芯板（以下简称屋面板），屋面板与墙体材料、质量、厚度等相同，涂层钢板内外不得接触，防止形成热桥。具有 34mm 以上的波峰和排水槽结构，防水等级二级。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.2.2 主要载荷要求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屋面恒载：0.25kN/m</w:t>
      </w:r>
      <w:r>
        <w:rPr>
          <w:rFonts w:hint="eastAsia" w:ascii="宋体" w:hAnsi="宋体" w:eastAsia="宋体" w:cs="宋体"/>
          <w:color w:val="000000"/>
          <w:sz w:val="24"/>
          <w:szCs w:val="24"/>
          <w:highlight w:val="none"/>
          <w:vertAlign w:val="superscript"/>
        </w:rPr>
        <w:t>2</w:t>
      </w:r>
      <w:r>
        <w:rPr>
          <w:rFonts w:hint="eastAsia" w:ascii="宋体" w:hAnsi="宋体" w:eastAsia="宋体" w:cs="宋体"/>
          <w:color w:val="000000"/>
          <w:sz w:val="24"/>
          <w:szCs w:val="24"/>
          <w:highlight w:val="none"/>
        </w:rPr>
        <w:t>；基本风压：0.45kN/m</w:t>
      </w:r>
      <w:r>
        <w:rPr>
          <w:rFonts w:hint="eastAsia" w:ascii="宋体" w:hAnsi="宋体" w:eastAsia="宋体" w:cs="宋体"/>
          <w:color w:val="000000"/>
          <w:sz w:val="24"/>
          <w:szCs w:val="24"/>
          <w:highlight w:val="none"/>
          <w:vertAlign w:val="superscript"/>
        </w:rPr>
        <w:t>2</w:t>
      </w:r>
      <w:r>
        <w:rPr>
          <w:rFonts w:hint="eastAsia" w:ascii="宋体" w:hAnsi="宋体" w:eastAsia="宋体" w:cs="宋体"/>
          <w:color w:val="000000"/>
          <w:sz w:val="24"/>
          <w:szCs w:val="24"/>
          <w:highlight w:val="none"/>
        </w:rPr>
        <w:t>；屋面活载：0.5kN/m</w:t>
      </w:r>
      <w:r>
        <w:rPr>
          <w:rFonts w:hint="eastAsia" w:ascii="宋体" w:hAnsi="宋体" w:eastAsia="宋体" w:cs="宋体"/>
          <w:color w:val="000000"/>
          <w:sz w:val="24"/>
          <w:szCs w:val="24"/>
          <w:highlight w:val="none"/>
          <w:vertAlign w:val="superscript"/>
        </w:rPr>
        <w:t>2</w:t>
      </w:r>
      <w:r>
        <w:rPr>
          <w:rFonts w:hint="eastAsia" w:ascii="宋体" w:hAnsi="宋体" w:eastAsia="宋体" w:cs="宋体"/>
          <w:color w:val="000000"/>
          <w:sz w:val="24"/>
          <w:szCs w:val="24"/>
          <w:highlight w:val="none"/>
        </w:rPr>
        <w:t>；基本雪压：0.45kN/m</w:t>
      </w:r>
      <w:r>
        <w:rPr>
          <w:rFonts w:hint="eastAsia" w:ascii="宋体" w:hAnsi="宋体" w:eastAsia="宋体" w:cs="宋体"/>
          <w:color w:val="000000"/>
          <w:sz w:val="24"/>
          <w:szCs w:val="24"/>
          <w:highlight w:val="none"/>
          <w:vertAlign w:val="superscript"/>
        </w:rPr>
        <w:t>2</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.2.3 安装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屋面板长度方向与烤房长度方向垂直，屋面板搭接如图5所示，做防水放漏气处理。屋面板与墙板（顶槽）接缝进行打胶密封处理。相邻烤房屋顶安装V型天沟，靠外烤房屋顶的外侧安装外侧天沟，技术要求如图6所示，天沟用于收集雨水并使其流向烤房后。天沟材料采用≥0.5mm厚度镀锌涂层钢板，锌层重量≥120g/m</w:t>
      </w:r>
      <w:r>
        <w:rPr>
          <w:rFonts w:hint="eastAsia" w:ascii="宋体" w:hAnsi="宋体" w:eastAsia="宋体" w:cs="宋体"/>
          <w:color w:val="000000"/>
          <w:sz w:val="24"/>
          <w:szCs w:val="24"/>
          <w:highlight w:val="none"/>
          <w:vertAlign w:val="superscript"/>
        </w:rPr>
        <w:t>2</w:t>
      </w:r>
      <w:r>
        <w:rPr>
          <w:rFonts w:hint="eastAsia" w:ascii="宋体" w:hAnsi="宋体" w:eastAsia="宋体" w:cs="宋体"/>
          <w:color w:val="000000"/>
          <w:sz w:val="24"/>
          <w:szCs w:val="24"/>
          <w:highlight w:val="none"/>
        </w:rPr>
        <w:t>。</w:t>
      </w:r>
    </w:p>
    <w:p>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4037965" cy="922020"/>
            <wp:effectExtent l="0" t="0" r="0" b="0"/>
            <wp:docPr id="1031" name="图片 4"/>
            <wp:cNvGraphicFramePr/>
            <a:graphic xmlns:a="http://schemas.openxmlformats.org/drawingml/2006/main">
              <a:graphicData uri="http://schemas.openxmlformats.org/drawingml/2006/picture">
                <pic:pic xmlns:pic="http://schemas.openxmlformats.org/drawingml/2006/picture">
                  <pic:nvPicPr>
                    <pic:cNvPr id="1031" name="图片 4"/>
                    <pic:cNvPicPr/>
                  </pic:nvPicPr>
                  <pic:blipFill>
                    <a:blip r:embed="rId14" cstate="print"/>
                    <a:srcRect l="19299" t="23531" r="4119" b="36336"/>
                    <a:stretch>
                      <a:fillRect/>
                    </a:stretch>
                  </pic:blipFill>
                  <pic:spPr>
                    <a:xfrm>
                      <a:off x="0" y="0"/>
                      <a:ext cx="4038599" cy="92202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hint="eastAsia" w:ascii="宋体" w:hAnsi="宋体" w:cs="宋体"/>
          <w:color w:val="000000"/>
          <w:szCs w:val="21"/>
          <w:highlight w:val="none"/>
        </w:rPr>
        <w:t>图5 屋顶板视图</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000000"/>
          <w:szCs w:val="21"/>
          <w:highlight w:val="none"/>
        </w:rPr>
      </w:pPr>
      <w:r>
        <w:rPr>
          <w:rFonts w:ascii="宋体" w:hAnsi="宋体" w:cs="宋体"/>
          <w:color w:val="000000"/>
          <w:szCs w:val="21"/>
          <w:highlight w:val="none"/>
        </w:rPr>
        <mc:AlternateContent>
          <mc:Choice Requires="wps">
            <w:drawing>
              <wp:anchor distT="0" distB="0" distL="0" distR="0" simplePos="0" relativeHeight="251659264" behindDoc="0" locked="0" layoutInCell="1" allowOverlap="1">
                <wp:simplePos x="0" y="0"/>
                <wp:positionH relativeFrom="column">
                  <wp:posOffset>3743325</wp:posOffset>
                </wp:positionH>
                <wp:positionV relativeFrom="paragraph">
                  <wp:posOffset>2392680</wp:posOffset>
                </wp:positionV>
                <wp:extent cx="728980" cy="289560"/>
                <wp:effectExtent l="0" t="0" r="13970" b="15240"/>
                <wp:wrapNone/>
                <wp:docPr id="1032" name="文本框 546"/>
                <wp:cNvGraphicFramePr/>
                <a:graphic xmlns:a="http://schemas.openxmlformats.org/drawingml/2006/main">
                  <a:graphicData uri="http://schemas.microsoft.com/office/word/2010/wordprocessingShape">
                    <wps:wsp>
                      <wps:cNvSpPr/>
                      <wps:spPr>
                        <a:xfrm>
                          <a:off x="0" y="0"/>
                          <a:ext cx="728979" cy="289560"/>
                        </a:xfrm>
                        <a:prstGeom prst="rect">
                          <a:avLst/>
                        </a:prstGeom>
                        <a:solidFill>
                          <a:srgbClr val="FFFFFF"/>
                        </a:solidFill>
                        <a:ln>
                          <a:noFill/>
                        </a:ln>
                      </wps:spPr>
                      <wps:txbx>
                        <w:txbxContent>
                          <w:p>
                            <w:r>
                              <w:rPr>
                                <w:rFonts w:hint="eastAsia"/>
                              </w:rPr>
                              <w:t>V型天沟</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rect id="文本框 546" o:spid="_x0000_s1026" o:spt="1" style="position:absolute;left:0pt;margin-left:294.75pt;margin-top:188.4pt;height:22.8pt;width:57.4pt;z-index:251659264;mso-width-relative:page;mso-height-relative:margin;mso-height-percent:200;" fillcolor="#FFFFFF" filled="t" stroked="f" coordsize="21600,21600" o:gfxdata="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tOvtoAAAALAQAADwAAAAAAAAABACAAAAAiAAAA&#10;ZHJzL2Rvd25yZXYueG1sUEsBAhQAFAAAAAgAh07iQGyoxsPMAQAAiwMAAA4AAAAAAAAAAQAgAAAA&#10;KQEAAGRycy9lMm9Eb2MueG1sUEsFBgAAAAAGAAYAWQEAAGcFAAAAAA==&#10;">
                <v:fill on="t" focussize="0,0"/>
                <v:stroke on="f"/>
                <v:imagedata o:title=""/>
                <o:lock v:ext="edit" aspectratio="f"/>
                <v:textbox style="mso-fit-shape-to-text:t;">
                  <w:txbxContent>
                    <w:p>
                      <w:r>
                        <w:rPr>
                          <w:rFonts w:hint="eastAsia"/>
                        </w:rPr>
                        <w:t>V型天沟</w:t>
                      </w:r>
                    </w:p>
                  </w:txbxContent>
                </v:textbox>
              </v:rect>
            </w:pict>
          </mc:Fallback>
        </mc:AlternateContent>
      </w:r>
      <w:r>
        <w:rPr>
          <w:rFonts w:hint="eastAsia" w:ascii="宋体" w:hAnsi="宋体" w:cs="宋体"/>
          <w:color w:val="000000"/>
          <w:szCs w:val="21"/>
          <w:highlight w:val="none"/>
        </w:rPr>
        <w:t xml:space="preserve">                                    </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5316855" cy="3025140"/>
            <wp:effectExtent l="0" t="0" r="17145" b="3810"/>
            <wp:docPr id="1033" name="图片 36"/>
            <wp:cNvGraphicFramePr/>
            <a:graphic xmlns:a="http://schemas.openxmlformats.org/drawingml/2006/main">
              <a:graphicData uri="http://schemas.openxmlformats.org/drawingml/2006/picture">
                <pic:pic xmlns:pic="http://schemas.openxmlformats.org/drawingml/2006/picture">
                  <pic:nvPicPr>
                    <pic:cNvPr id="1033" name="图片 36"/>
                    <pic:cNvPicPr/>
                  </pic:nvPicPr>
                  <pic:blipFill>
                    <a:blip r:embed="rId15" cstate="print"/>
                    <a:srcRect/>
                    <a:stretch>
                      <a:fillRect/>
                    </a:stretch>
                  </pic:blipFill>
                  <pic:spPr>
                    <a:xfrm>
                      <a:off x="0" y="0"/>
                      <a:ext cx="5316855" cy="302514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hint="eastAsia" w:ascii="宋体" w:hAnsi="宋体" w:cs="宋体"/>
          <w:color w:val="000000"/>
          <w:szCs w:val="21"/>
          <w:highlight w:val="none"/>
        </w:rPr>
        <w:t>图6 屋顶板安装要求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 挂烟架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烟架立柱、顶梁及</w:t>
      </w:r>
      <w:r>
        <w:rPr>
          <w:rFonts w:hint="eastAsia" w:ascii="宋体" w:hAnsi="宋体" w:eastAsia="宋体" w:cs="宋体"/>
          <w:sz w:val="24"/>
          <w:szCs w:val="24"/>
          <w:highlight w:val="none"/>
        </w:rPr>
        <w:t>挂烟架采用Q235镀锌矩管制作，规格为40mm×60mm，壁厚≥l.5mm，挂烟架整体承重能力大于8000kg，能够使用烟竿和烟夹装烟。挂烟架底棚高1100mm～1300mm、顶棚距离屋顶高度600mm、中间棚间距800mm。挂烟架各构件采用螺栓连接，横档与立柱采用套接加螺栓连接。在立柱上焊接支撑固定套，上面开设φ12的孔，支撑固定套采用壁厚为4mm的Q235A镀锌板材制作。横档相应位置开设φ12的孔，采用M10的紧固件固定。</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5274310" cy="2136140"/>
            <wp:effectExtent l="0" t="0" r="2540" b="16510"/>
            <wp:docPr id="1034" name="图片 40"/>
            <wp:cNvGraphicFramePr/>
            <a:graphic xmlns:a="http://schemas.openxmlformats.org/drawingml/2006/main">
              <a:graphicData uri="http://schemas.openxmlformats.org/drawingml/2006/picture">
                <pic:pic xmlns:pic="http://schemas.openxmlformats.org/drawingml/2006/picture">
                  <pic:nvPicPr>
                    <pic:cNvPr id="1034" name="图片 40"/>
                    <pic:cNvPicPr/>
                  </pic:nvPicPr>
                  <pic:blipFill>
                    <a:blip r:embed="rId16" cstate="print"/>
                    <a:srcRect/>
                    <a:stretch>
                      <a:fillRect/>
                    </a:stretch>
                  </pic:blipFill>
                  <pic:spPr>
                    <a:xfrm>
                      <a:off x="0" y="0"/>
                      <a:ext cx="5274310" cy="213614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firstLine="420"/>
        <w:jc w:val="center"/>
        <w:rPr>
          <w:rFonts w:ascii="宋体" w:hAnsi="宋体" w:cs="宋体"/>
          <w:color w:val="000000"/>
          <w:szCs w:val="21"/>
          <w:highlight w:val="none"/>
        </w:rPr>
      </w:pPr>
      <w:r>
        <w:rPr>
          <w:rFonts w:hint="eastAsia" w:ascii="宋体" w:hAnsi="宋体" w:cs="宋体"/>
          <w:color w:val="000000"/>
          <w:szCs w:val="21"/>
          <w:highlight w:val="none"/>
        </w:rPr>
        <w:t>图7 挂烟架结构示意图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.4 装烟室门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采用与墙体相同的材料，尺寸如图8所示。对于编烟棚立柱临近的烤房，大门门框与编烟棚立柱之间采用直径不小于16mm的钢筋连接加固，连接点距屋顶下沿高度200mm～300mm。</w:t>
      </w:r>
    </w:p>
    <w:p>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2642870" cy="3238500"/>
            <wp:effectExtent l="0" t="0" r="5080" b="0"/>
            <wp:docPr id="1035" name="图片 1"/>
            <wp:cNvGraphicFramePr/>
            <a:graphic xmlns:a="http://schemas.openxmlformats.org/drawingml/2006/main">
              <a:graphicData uri="http://schemas.openxmlformats.org/drawingml/2006/picture">
                <pic:pic xmlns:pic="http://schemas.openxmlformats.org/drawingml/2006/picture">
                  <pic:nvPicPr>
                    <pic:cNvPr id="1035" name="图片 1"/>
                    <pic:cNvPicPr/>
                  </pic:nvPicPr>
                  <pic:blipFill>
                    <a:blip r:embed="rId17" cstate="print"/>
                    <a:srcRect/>
                    <a:stretch>
                      <a:fillRect/>
                    </a:stretch>
                  </pic:blipFill>
                  <pic:spPr>
                    <a:xfrm>
                      <a:off x="0" y="0"/>
                      <a:ext cx="2642870" cy="323850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hint="eastAsia" w:ascii="宋体" w:hAnsi="宋体" w:cs="宋体"/>
          <w:color w:val="000000"/>
          <w:szCs w:val="21"/>
          <w:highlight w:val="none"/>
        </w:rPr>
        <w:t>图8 装烟室大门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.5 观察窗</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装烟室门和隔热墙上各设置一个竖向观察窗，尺寸如图3、图8所示，能够观察到装烟室内烟叶变化状况。观察窗应采用中空保温玻璃结构，玻璃为钢化无色玻璃，厚度5mm，中空层8mm，观察窗安装居门厚度中间，外装遮光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.6 热风进（回）风口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在隔热墙顶端和底端分别开设进风口和回风口，如图9所示，尺寸为1800mm×400mm，回风口应加设防护网（网孔小于25mm×25mm），防止掉落在地面上的烟叶吸入加热室后堵塞加热装置。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en-US" w:eastAsia="zh-CN"/>
        </w:rPr>
        <w:t>加热室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主要包含墙体、房顶、支撑架、排湿风道、冷凝器及维修门、循环风机维修门、热风风道，以及新风风门和排湿风门等。如图9所示，加热室内尺寸长1000～1400mm、宽1800mm、高4200mm。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 墙体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.1.1 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加热室墙体材料与装烟室材料相同。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.1.2 墙板</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墙板上要开设新风风口和排湿风口，开口采取收边措施，收边材料厚度≥1mm，分别用于安装新风风门和排湿风门。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开设维修门和风机维修门，分别用于维修加热室内部加热器件和循环风机等，如图1、图3所示。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.1.3 安装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加热室两侧墙板采用整板，转角处建议采用转角墙板，地槽、顶槽与装烟室结构一致，要求相同。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墙板与加热室支架之间采用不小于ST5.5的自攻自钻螺钉连接，并采取耐候密封胶密封。墙体与地面之间采用耐候密封胶密封，然后用混凝土加强密封。</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.2 支撑架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支撑架采用40×40×2（mm）镀锌方管，用于支撑内部换热器和循环风机。四个支脚带安装底脚，螺栓孔直径14mm。支架上用于结构密封的板材采用镀锌钢板，钢板厚度≥1mm，或其它耐腐蚀性不低于镀锌钢板的材料。焊接部位应涂防锈漆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ascii="宋体" w:hAnsi="宋体" w:cs="宋体"/>
          <w:color w:val="000000"/>
          <w:szCs w:val="21"/>
          <w:highlight w:val="none"/>
        </w:rPr>
      </w:pPr>
      <w:r>
        <w:rPr>
          <w:rFonts w:hint="eastAsia" w:ascii="宋体" w:hAnsi="宋体" w:eastAsia="宋体" w:cs="宋体"/>
          <w:color w:val="000000"/>
          <w:sz w:val="24"/>
          <w:szCs w:val="24"/>
          <w:highlight w:val="none"/>
          <w:lang w:val="en-US" w:eastAsia="zh-CN"/>
        </w:rPr>
        <w:t>支架总高≥2500mm，4个底脚应采用膨胀螺栓固定于地基上，并与隔热墙贴紧，左右居中。支架结构应能保证冷凝器、电辅加热器、循环风机距离，如图9所示。</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ascii="宋体" w:hAnsi="宋体" w:cs="宋体"/>
          <w:color w:val="000000"/>
          <w:szCs w:val="21"/>
          <w:highlight w:val="none"/>
        </w:rPr>
        <w:drawing>
          <wp:inline distT="0" distB="0" distL="0" distR="0">
            <wp:extent cx="3174365" cy="3749040"/>
            <wp:effectExtent l="0" t="0" r="6985" b="3810"/>
            <wp:docPr id="1036" name="图片 50"/>
            <wp:cNvGraphicFramePr/>
            <a:graphic xmlns:a="http://schemas.openxmlformats.org/drawingml/2006/main">
              <a:graphicData uri="http://schemas.openxmlformats.org/drawingml/2006/picture">
                <pic:pic xmlns:pic="http://schemas.openxmlformats.org/drawingml/2006/picture">
                  <pic:nvPicPr>
                    <pic:cNvPr id="1036" name="图片 50"/>
                    <pic:cNvPicPr/>
                  </pic:nvPicPr>
                  <pic:blipFill>
                    <a:blip r:embed="rId18" cstate="print"/>
                    <a:srcRect/>
                    <a:stretch>
                      <a:fillRect/>
                    </a:stretch>
                  </pic:blipFill>
                  <pic:spPr>
                    <a:xfrm>
                      <a:off x="0" y="0"/>
                      <a:ext cx="3174365" cy="3749040"/>
                    </a:xfrm>
                    <a:prstGeom prst="rect">
                      <a:avLst/>
                    </a:prstGeom>
                    <a:ln>
                      <a:noFill/>
                    </a:ln>
                  </pic:spPr>
                </pic:pic>
              </a:graphicData>
            </a:graphic>
          </wp:inline>
        </w:drawing>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000000"/>
          <w:szCs w:val="21"/>
          <w:highlight w:val="none"/>
        </w:rPr>
      </w:pPr>
      <w:r>
        <w:rPr>
          <w:rFonts w:hint="eastAsia" w:ascii="宋体" w:hAnsi="宋体" w:cs="宋体"/>
          <w:color w:val="000000"/>
          <w:szCs w:val="21"/>
          <w:highlight w:val="none"/>
        </w:rPr>
        <w:t>图9 加热室内部结构图</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.3 排湿风道</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排湿风道连通回风口和排湿风门。采用镀锌板折弯加工，排湿风门处宽800mm，高≥480mm，排湿风道与回风口连接处宽600mm、高≥400mm。通过膨胀螺栓固定于地面。安装时要靠紧排湿口，密封完好。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.4 冷凝器安装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固定在冷凝器支架层（面）上，并用密封板密封冷凝器端板四周。密封板采用镀锌钢板，钢板厚度≥1mm，保证热空气全部通过冷凝器。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.5 备用电辅加热器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在烟叶烘烤时段环境温度低于5℃地区配置，为热泵主机组后备使用热源。功率≥27kW，采用翅片式电热管或陶瓷加热器，电辅加热器≥9根，分为2组或3组控制。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电辅加热器连接线采用硅橡胶耐高温线，电缆穿墙采用塑料护套，电辅加热管接头要求防护，不得裸露。</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.6 循环风机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循环风机按《密集烤房技术规范（试行）修订版》（国烟办综〔2009〕418号）文件要求（以下简称418号文件）。风机电源引线使用七芯铜线电缆，电缆符合GB5013.1规定。输入端口符合国家相关标准。三相循环风机导线截面积不小于1.5mm2，风机电缆耐温90℃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.7进风风门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采用电动风门结构，符合418 号文件要求，内径300mm×800mm，固定到加热室墙板新风口外侧，如图1所示。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.8 排湿风门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采用电动风门结构，符合418 号文件要求，内径300mm×800mm，也可以采用两个百叶窗平行与地面安装，百叶窗符合 418 号文件要求，电动风门或百叶窗居中安装。</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.9 基础与地面</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混凝土浇筑水平地面（硬化地面基础包括烤房与编烟棚所有覆盖区域），浇筑厚度≥200mm。浇筑前用 5cm 三七土预处理，地基内部加设防水塑料布或其它防水措施。要求：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a) 浇筑混凝土≥C20 砼。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b) 地基上平面为 1:2.5 混凝土砂浆面层，平整度≤3mm。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c) 地基上要留有排水槽（烤房与烤房之间要向加热室一侧设置排水槽、热泵机组与加热室之间要设置排水槽，防止积水倒流入装烟室或加热室内），以利于排水。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d) 在烤房地基附近埋设接地极，接地极为 50x50mm 镀锌角钢，埋深 1.5m 以上。接地极可以单个烤房使用，也可以附近多座烤房共用。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en-US" w:eastAsia="zh-CN"/>
        </w:rPr>
        <w:t>编烟棚</w:t>
      </w:r>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集群烤房须配置编烟棚，保证光线充足，适宜各项操作，编烟棚要求：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a)对于双排（面对面）烤房，10座连片烤房编烟棚宽度原则上不低于8000mm，20座连片烤房编烟棚宽度原则上不低于 12000mm，30座及以上连片烤房编烟棚宽度原则上不低于 14000mm。单排烤房编烟棚因地制宜配置，10座（含10座以下）单排烤房编烟棚宽度原则上不低于6000mm，20 座连片烤房编烟棚宽度原则上不低于 8000mm，30座及以上连片烤房编烟棚宽度原则上不低于 8000mm 。编烟棚左、右两侧边缘末端要超过烤房墙体50cm。</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b)编烟棚须选用钢管或更优质的材料作为支撑架。棚顶为单面彩钢瓦。材质要求：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1.支撑架钢柱：圆管φ150mm，Q235B；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2.上下弦：圆管φ60mm*2，Q235B；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3.支撑：圆管φ30mm*2，Q235B；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4.檩条：矩形管口60*40*1.5mm，Q235B；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5.水平撑、拉筋：圆钢φ16mm，Q235B；</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6.单面彩钢瓦：厚度0.5mm以上。要求能够抗9级大风，防400mm雪压。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（二标段）</w:t>
      </w:r>
      <w:r>
        <w:rPr>
          <w:rFonts w:hint="eastAsia" w:ascii="宋体" w:hAnsi="宋体" w:eastAsia="宋体" w:cs="宋体"/>
          <w:b/>
          <w:bCs/>
          <w:color w:val="auto"/>
          <w:sz w:val="24"/>
          <w:szCs w:val="24"/>
          <w:highlight w:val="none"/>
        </w:rPr>
        <w:t>技术要求</w:t>
      </w:r>
    </w:p>
    <w:tbl>
      <w:tblPr>
        <w:tblStyle w:val="19"/>
        <w:tblW w:w="37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109"/>
        <w:gridCol w:w="2136"/>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序号</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项目名称</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变压器型号（台）</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21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灵宝市寺河乡人民政府2024年灵宝市寺河乡烟叶电烤房项目</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rPr>
              <w:t>400</w:t>
            </w:r>
            <w:r>
              <w:rPr>
                <w:rFonts w:hint="eastAsia" w:ascii="宋体" w:hAnsi="宋体" w:eastAsia="宋体" w:cs="宋体"/>
                <w:i w:val="0"/>
                <w:iCs w:val="0"/>
                <w:color w:val="auto"/>
                <w:kern w:val="0"/>
                <w:sz w:val="24"/>
                <w:szCs w:val="24"/>
                <w:highlight w:val="none"/>
                <w:u w:val="none"/>
                <w:lang w:val="en-US" w:eastAsia="zh-CN"/>
              </w:rPr>
              <w:t>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21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Style w:val="41"/>
                <w:rFonts w:hint="eastAsia" w:ascii="宋体" w:hAnsi="宋体" w:cs="宋体"/>
                <w:color w:val="auto"/>
                <w:sz w:val="24"/>
                <w:szCs w:val="24"/>
                <w:highlight w:val="none"/>
                <w:lang w:val="en-US" w:eastAsia="zh-CN"/>
              </w:rPr>
              <w:t>800</w:t>
            </w:r>
            <w:r>
              <w:rPr>
                <w:rStyle w:val="41"/>
                <w:rFonts w:hint="eastAsia" w:ascii="宋体" w:hAnsi="宋体" w:eastAsia="宋体" w:cs="宋体"/>
                <w:color w:val="auto"/>
                <w:sz w:val="24"/>
                <w:szCs w:val="24"/>
                <w:highlight w:val="none"/>
                <w:lang w:val="en-US" w:eastAsia="zh-CN"/>
              </w:rPr>
              <w:t>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Style w:val="41"/>
                <w:rFonts w:hint="eastAsia" w:ascii="宋体" w:hAnsi="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合计</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rPr>
              <w:t>2</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cs="宋体"/>
                <w:i w:val="0"/>
                <w:iCs w:val="0"/>
                <w:color w:val="auto"/>
                <w:kern w:val="0"/>
                <w:sz w:val="24"/>
                <w:szCs w:val="24"/>
                <w:highlight w:val="none"/>
                <w:u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1、200KVA-400KVA选用台架式安装，配电箱为不锈钢外壳；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2、500KVA以上含500KVA选用台蹲式安装，及安全围栏设施，</w:t>
      </w:r>
      <w:r>
        <w:rPr>
          <w:rFonts w:hint="eastAsia" w:ascii="宋体" w:hAnsi="宋体" w:eastAsia="宋体" w:cs="宋体"/>
          <w:color w:val="auto"/>
          <w:sz w:val="24"/>
          <w:szCs w:val="24"/>
          <w:highlight w:val="none"/>
          <w:vertAlign w:val="baseline"/>
          <w:lang w:val="en-US" w:eastAsia="zh-CN"/>
        </w:rPr>
        <w:t>（墩高2m，地面以下0.5m，地面以上1.5m，砖混结构），</w:t>
      </w:r>
      <w:r>
        <w:rPr>
          <w:rFonts w:hint="eastAsia" w:ascii="宋体" w:hAnsi="宋体" w:eastAsia="宋体" w:cs="宋体"/>
          <w:color w:val="auto"/>
          <w:sz w:val="24"/>
          <w:szCs w:val="24"/>
          <w:highlight w:val="none"/>
          <w:lang w:val="en-US" w:eastAsia="zh-CN"/>
        </w:rPr>
        <w:t>配电箱为不锈钢外壳；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3、以上具体内容以变压器设计图纸为准（详情可咨询招标人），图纸电子版见附件</w:t>
      </w:r>
      <w:r>
        <w:rPr>
          <w:rFonts w:hint="eastAsia" w:ascii="宋体" w:hAnsi="宋体" w:cs="宋体"/>
          <w:color w:val="auto"/>
          <w:kern w:val="0"/>
          <w:sz w:val="24"/>
          <w:szCs w:val="24"/>
          <w:highlight w:val="none"/>
          <w:lang w:val="en-US" w:eastAsia="zh-CN"/>
        </w:rPr>
        <w:t>。</w:t>
      </w:r>
    </w:p>
    <w:p>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color w:val="auto"/>
          <w:sz w:val="32"/>
          <w:szCs w:val="32"/>
          <w:highlight w:val="none"/>
        </w:rPr>
      </w:pPr>
      <w:r>
        <w:rPr>
          <w:rFonts w:ascii="宋体" w:hAnsi="宋体"/>
          <w:color w:val="auto"/>
          <w:highlight w:val="none"/>
        </w:rPr>
        <w:br w:type="page"/>
      </w:r>
      <w:bookmarkEnd w:id="155"/>
      <w:bookmarkEnd w:id="156"/>
      <w:bookmarkEnd w:id="157"/>
      <w:bookmarkEnd w:id="158"/>
      <w:bookmarkStart w:id="159" w:name="_Toc289931411"/>
      <w:bookmarkStart w:id="160" w:name="_Toc289931294"/>
      <w:bookmarkStart w:id="161" w:name="_Toc8825"/>
      <w:bookmarkStart w:id="162" w:name="_Toc757"/>
      <w:bookmarkStart w:id="163" w:name="_Toc331090472"/>
      <w:bookmarkStart w:id="164" w:name="_Toc289931347"/>
      <w:bookmarkStart w:id="165" w:name="_Toc333230139"/>
      <w:bookmarkStart w:id="166" w:name="_Toc331793699"/>
      <w:bookmarkStart w:id="167" w:name="_Toc374376373"/>
    </w:p>
    <w:p>
      <w:pPr>
        <w:pStyle w:val="2"/>
        <w:pageBreakBefore w:val="0"/>
        <w:kinsoku/>
        <w:overflowPunct/>
        <w:bidi w:val="0"/>
        <w:adjustRightInd w:val="0"/>
        <w:snapToGrid w:val="0"/>
        <w:spacing w:beforeAutospacing="0" w:afterAutospacing="0" w:line="360" w:lineRule="auto"/>
        <w:ind w:left="0" w:leftChars="0" w:right="0" w:rightChars="0"/>
        <w:rPr>
          <w:rFonts w:ascii="宋体" w:hAnsi="宋体" w:eastAsia="宋体"/>
          <w:color w:val="auto"/>
          <w:sz w:val="32"/>
          <w:szCs w:val="32"/>
          <w:highlight w:val="none"/>
        </w:rPr>
      </w:pPr>
      <w:bookmarkStart w:id="168" w:name="_Toc16596"/>
      <w:r>
        <w:rPr>
          <w:rFonts w:ascii="宋体" w:hAnsi="宋体" w:eastAsia="宋体"/>
          <w:color w:val="auto"/>
          <w:sz w:val="32"/>
          <w:szCs w:val="32"/>
          <w:highlight w:val="none"/>
        </w:rPr>
        <w:t>第</w:t>
      </w:r>
      <w:r>
        <w:rPr>
          <w:rFonts w:hint="eastAsia" w:ascii="宋体" w:hAnsi="宋体" w:eastAsia="宋体"/>
          <w:color w:val="auto"/>
          <w:sz w:val="32"/>
          <w:szCs w:val="32"/>
          <w:highlight w:val="none"/>
        </w:rPr>
        <w:t>六</w:t>
      </w:r>
      <w:r>
        <w:rPr>
          <w:rFonts w:ascii="宋体" w:hAnsi="宋体" w:eastAsia="宋体"/>
          <w:color w:val="auto"/>
          <w:sz w:val="32"/>
          <w:szCs w:val="32"/>
          <w:highlight w:val="none"/>
        </w:rPr>
        <w:t xml:space="preserve">章 </w:t>
      </w:r>
      <w:r>
        <w:rPr>
          <w:rFonts w:hint="eastAsia" w:ascii="宋体" w:hAnsi="宋体" w:eastAsia="宋体"/>
          <w:color w:val="auto"/>
          <w:sz w:val="32"/>
          <w:szCs w:val="32"/>
          <w:highlight w:val="none"/>
        </w:rPr>
        <w:t xml:space="preserve"> </w:t>
      </w:r>
      <w:r>
        <w:rPr>
          <w:rFonts w:ascii="宋体" w:hAnsi="宋体" w:eastAsia="宋体"/>
          <w:color w:val="auto"/>
          <w:sz w:val="32"/>
          <w:szCs w:val="32"/>
          <w:highlight w:val="none"/>
        </w:rPr>
        <w:t>投标</w:t>
      </w:r>
      <w:r>
        <w:rPr>
          <w:rFonts w:hint="eastAsia" w:ascii="宋体" w:hAnsi="宋体" w:eastAsia="宋体"/>
          <w:color w:val="auto"/>
          <w:sz w:val="32"/>
          <w:szCs w:val="32"/>
          <w:highlight w:val="none"/>
        </w:rPr>
        <w:t>文件</w:t>
      </w:r>
      <w:r>
        <w:rPr>
          <w:rFonts w:ascii="宋体" w:hAnsi="宋体" w:eastAsia="宋体"/>
          <w:color w:val="auto"/>
          <w:sz w:val="32"/>
          <w:szCs w:val="32"/>
          <w:highlight w:val="none"/>
        </w:rPr>
        <w:t>格式</w:t>
      </w:r>
      <w:bookmarkEnd w:id="159"/>
      <w:bookmarkEnd w:id="160"/>
      <w:bookmarkEnd w:id="161"/>
      <w:bookmarkEnd w:id="162"/>
      <w:bookmarkEnd w:id="163"/>
      <w:bookmarkEnd w:id="164"/>
      <w:bookmarkEnd w:id="168"/>
    </w:p>
    <w:bookmarkEnd w:id="165"/>
    <w:bookmarkEnd w:id="166"/>
    <w:bookmarkEnd w:id="167"/>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b/>
          <w:color w:val="auto"/>
          <w:sz w:val="44"/>
          <w:szCs w:val="4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44"/>
          <w:szCs w:val="44"/>
          <w:highlight w:val="none"/>
        </w:rPr>
      </w:pPr>
      <w:r>
        <w:rPr>
          <w:rFonts w:hint="eastAsia" w:ascii="宋体" w:hAnsi="宋体"/>
          <w:b/>
          <w:color w:val="auto"/>
          <w:sz w:val="44"/>
          <w:szCs w:val="44"/>
          <w:highlight w:val="none"/>
          <w:lang w:eastAsia="zh-CN"/>
        </w:rPr>
        <w:t>灵宝市寺河乡人民政府2024年灵宝市寺河乡烟叶电烤房项目</w:t>
      </w:r>
      <w:r>
        <w:rPr>
          <w:rFonts w:hint="eastAsia" w:ascii="宋体" w:hAnsi="宋体"/>
          <w:b/>
          <w:color w:val="auto"/>
          <w:sz w:val="44"/>
          <w:szCs w:val="44"/>
          <w:highlight w:val="none"/>
          <w:u w:val="single"/>
        </w:rPr>
        <w:t xml:space="preserve">   </w:t>
      </w:r>
      <w:r>
        <w:rPr>
          <w:rFonts w:hint="eastAsia" w:ascii="宋体" w:hAnsi="宋体"/>
          <w:b/>
          <w:color w:val="auto"/>
          <w:sz w:val="44"/>
          <w:szCs w:val="44"/>
          <w:highlight w:val="none"/>
        </w:rPr>
        <w:t>标段</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color w:val="auto"/>
          <w:spacing w:val="251"/>
          <w:sz w:val="84"/>
          <w:szCs w:val="8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b/>
          <w:color w:val="auto"/>
          <w:sz w:val="84"/>
          <w:szCs w:val="84"/>
          <w:highlight w:val="none"/>
        </w:rPr>
      </w:pPr>
      <w:r>
        <w:rPr>
          <w:rFonts w:hint="eastAsia" w:ascii="宋体" w:hAnsi="宋体" w:cs="宋体"/>
          <w:b/>
          <w:color w:val="auto"/>
          <w:spacing w:val="251"/>
          <w:sz w:val="84"/>
          <w:szCs w:val="84"/>
          <w:highlight w:val="none"/>
        </w:rPr>
        <w:t>投标文</w:t>
      </w:r>
      <w:r>
        <w:rPr>
          <w:rFonts w:hint="eastAsia" w:ascii="宋体" w:hAnsi="宋体" w:cs="宋体"/>
          <w:b/>
          <w:color w:val="auto"/>
          <w:spacing w:val="-1"/>
          <w:sz w:val="84"/>
          <w:szCs w:val="84"/>
          <w:highlight w:val="none"/>
        </w:rPr>
        <w:t>件</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b/>
          <w:color w:val="auto"/>
          <w:sz w:val="32"/>
          <w:szCs w:val="32"/>
          <w:highlight w:val="none"/>
        </w:rPr>
      </w:pPr>
      <w:r>
        <w:rPr>
          <w:rFonts w:hint="eastAsia" w:ascii="宋体" w:hAnsi="宋体" w:cs="黑体"/>
          <w:b/>
          <w:color w:val="auto"/>
          <w:sz w:val="32"/>
          <w:szCs w:val="32"/>
          <w:highlight w:val="none"/>
        </w:rPr>
        <w:t>（项目编号：</w:t>
      </w:r>
      <w:r>
        <w:rPr>
          <w:rFonts w:hint="eastAsia" w:ascii="宋体" w:hAnsi="宋体" w:cs="黑体"/>
          <w:b/>
          <w:color w:val="auto"/>
          <w:sz w:val="32"/>
          <w:szCs w:val="32"/>
          <w:highlight w:val="none"/>
          <w:lang w:val="en-US" w:eastAsia="zh-CN"/>
        </w:rPr>
        <w:t xml:space="preserve">    </w:t>
      </w:r>
      <w:r>
        <w:rPr>
          <w:rFonts w:hint="eastAsia" w:ascii="宋体" w:hAnsi="宋体" w:cs="黑体"/>
          <w:b/>
          <w:color w:val="auto"/>
          <w:sz w:val="32"/>
          <w:szCs w:val="32"/>
          <w:highlight w:val="none"/>
        </w:rPr>
        <w:t>）</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firstLine="1400" w:firstLineChars="500"/>
        <w:rPr>
          <w:rFonts w:ascii="宋体" w:hAnsi="宋体"/>
          <w:color w:val="auto"/>
          <w:sz w:val="28"/>
          <w:szCs w:val="20"/>
          <w:highlight w:val="none"/>
        </w:rPr>
      </w:pPr>
      <w:r>
        <w:rPr>
          <w:rFonts w:hint="eastAsia" w:ascii="宋体" w:hAnsi="宋体"/>
          <w:color w:val="auto"/>
          <w:sz w:val="28"/>
          <w:szCs w:val="20"/>
          <w:highlight w:val="none"/>
        </w:rPr>
        <w:t>投  标  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pPr>
        <w:pageBreakBefore w:val="0"/>
        <w:kinsoku/>
        <w:overflowPunct/>
        <w:bidi w:val="0"/>
        <w:adjustRightInd w:val="0"/>
        <w:snapToGrid w:val="0"/>
        <w:spacing w:beforeAutospacing="0" w:afterAutospacing="0" w:line="360" w:lineRule="auto"/>
        <w:ind w:left="0" w:leftChars="0" w:right="0" w:rightChars="0" w:firstLine="1400" w:firstLineChars="500"/>
        <w:jc w:val="left"/>
        <w:rPr>
          <w:rFonts w:ascii="宋体" w:hAnsi="宋体"/>
          <w:color w:val="auto"/>
          <w:sz w:val="28"/>
          <w:szCs w:val="20"/>
          <w:highlight w:val="none"/>
        </w:rPr>
      </w:pPr>
      <w:r>
        <w:rPr>
          <w:rFonts w:hint="eastAsia" w:ascii="宋体" w:hAnsi="宋体"/>
          <w:color w:val="auto"/>
          <w:sz w:val="28"/>
          <w:szCs w:val="20"/>
          <w:highlight w:val="none"/>
        </w:rPr>
        <w:t>法定代表人：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0"/>
          <w:highlight w:val="none"/>
        </w:rPr>
      </w:pP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年</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月</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日</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cs="黑体"/>
          <w:b/>
          <w:bCs/>
          <w:color w:val="auto"/>
          <w:sz w:val="32"/>
          <w:szCs w:val="32"/>
          <w:highlight w:val="none"/>
        </w:rPr>
        <w:t>目   录</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投标文件中包含但不限以下内容</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rPr>
        <w:t>一、投标函及投标函附录；</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rPr>
        <w:t>二、法定代表人身份证明或（和）法定代表人授权委托书</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三</w:t>
      </w:r>
      <w:r>
        <w:rPr>
          <w:rFonts w:hint="eastAsia" w:ascii="宋体" w:hAnsi="宋体"/>
          <w:color w:val="auto"/>
          <w:sz w:val="24"/>
          <w:szCs w:val="20"/>
          <w:highlight w:val="none"/>
        </w:rPr>
        <w:t>、投标报价明细表；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四</w:t>
      </w:r>
      <w:r>
        <w:rPr>
          <w:rFonts w:hint="eastAsia" w:ascii="宋体" w:hAnsi="宋体"/>
          <w:color w:val="auto"/>
          <w:sz w:val="24"/>
          <w:szCs w:val="20"/>
          <w:highlight w:val="none"/>
        </w:rPr>
        <w:t>、技术偏离表；</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五</w:t>
      </w:r>
      <w:r>
        <w:rPr>
          <w:rFonts w:hint="eastAsia" w:ascii="宋体" w:hAnsi="宋体"/>
          <w:color w:val="auto"/>
          <w:sz w:val="24"/>
          <w:szCs w:val="20"/>
          <w:highlight w:val="none"/>
        </w:rPr>
        <w:t>、资格审查资料；</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六</w:t>
      </w:r>
      <w:r>
        <w:rPr>
          <w:rFonts w:hint="eastAsia" w:ascii="宋体" w:hAnsi="宋体"/>
          <w:color w:val="auto"/>
          <w:sz w:val="24"/>
          <w:szCs w:val="20"/>
          <w:highlight w:val="none"/>
        </w:rPr>
        <w:t>、投标人综合实力证明；</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七</w:t>
      </w:r>
      <w:r>
        <w:rPr>
          <w:rFonts w:hint="eastAsia" w:ascii="宋体" w:hAnsi="宋体"/>
          <w:color w:val="auto"/>
          <w:sz w:val="24"/>
          <w:szCs w:val="20"/>
          <w:highlight w:val="none"/>
        </w:rPr>
        <w:t>、投标主要产品技术资料；</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八</w:t>
      </w:r>
      <w:r>
        <w:rPr>
          <w:rFonts w:hint="eastAsia" w:ascii="宋体" w:hAnsi="宋体"/>
          <w:color w:val="auto"/>
          <w:sz w:val="24"/>
          <w:szCs w:val="20"/>
          <w:highlight w:val="none"/>
        </w:rPr>
        <w:t>、服务承诺；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九</w:t>
      </w:r>
      <w:r>
        <w:rPr>
          <w:rFonts w:hint="eastAsia" w:ascii="宋体" w:hAnsi="宋体"/>
          <w:color w:val="auto"/>
          <w:sz w:val="24"/>
          <w:szCs w:val="20"/>
          <w:highlight w:val="none"/>
        </w:rPr>
        <w:t>、其他资料。</w:t>
      </w:r>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2"/>
          <w:szCs w:val="32"/>
          <w:highlight w:val="none"/>
        </w:rPr>
      </w:pPr>
      <w:r>
        <w:rPr>
          <w:rFonts w:ascii="宋体" w:hAnsi="宋体"/>
          <w:b/>
          <w:bCs/>
          <w:color w:val="auto"/>
          <w:sz w:val="32"/>
          <w:szCs w:val="32"/>
          <w:highlight w:val="none"/>
        </w:rPr>
        <w:br w:type="page"/>
      </w:r>
      <w:bookmarkStart w:id="169" w:name="_Toc10095"/>
      <w:bookmarkStart w:id="170" w:name="_Toc9478"/>
      <w:r>
        <w:rPr>
          <w:rFonts w:hint="eastAsia" w:ascii="宋体" w:hAnsi="宋体"/>
          <w:b/>
          <w:bCs/>
          <w:color w:val="auto"/>
          <w:sz w:val="30"/>
          <w:szCs w:val="30"/>
          <w:highlight w:val="none"/>
        </w:rPr>
        <w:t>一、投标函及投标函附录</w:t>
      </w:r>
      <w:bookmarkEnd w:id="169"/>
      <w:bookmarkEnd w:id="170"/>
    </w:p>
    <w:p>
      <w:pPr>
        <w:pStyle w:val="4"/>
        <w:pageBreakBefore w:val="0"/>
        <w:kinsoku/>
        <w:overflowPunct/>
        <w:bidi w:val="0"/>
        <w:adjustRightInd w:val="0"/>
        <w:snapToGrid w:val="0"/>
        <w:spacing w:before="0" w:beforeAutospacing="0" w:after="0" w:afterAutospacing="0" w:line="360" w:lineRule="auto"/>
        <w:ind w:left="0" w:leftChars="0" w:right="0" w:rightChars="0"/>
        <w:jc w:val="center"/>
        <w:rPr>
          <w:color w:val="auto"/>
          <w:highlight w:val="none"/>
        </w:rPr>
      </w:pPr>
      <w:bookmarkStart w:id="171" w:name="_Toc44448181"/>
      <w:bookmarkStart w:id="172" w:name="_Toc20800"/>
      <w:r>
        <w:rPr>
          <w:rFonts w:hint="eastAsia"/>
          <w:color w:val="auto"/>
          <w:highlight w:val="none"/>
        </w:rPr>
        <w:t>（一）投 标 函</w:t>
      </w:r>
      <w:bookmarkEnd w:id="171"/>
      <w:bookmarkEnd w:id="172"/>
    </w:p>
    <w:p>
      <w:pPr>
        <w:pageBreakBefore w:val="0"/>
        <w:kinsoku/>
        <w:overflowPunct/>
        <w:bidi w:val="0"/>
        <w:adjustRightInd w:val="0"/>
        <w:snapToGrid w:val="0"/>
        <w:spacing w:beforeAutospacing="0" w:afterAutospacing="0" w:line="360" w:lineRule="auto"/>
        <w:ind w:left="0" w:leftChars="0" w:right="0" w:right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lang w:eastAsia="zh-CN"/>
        </w:rPr>
        <w:t>灵宝市寺河乡人民政府</w:t>
      </w:r>
      <w:r>
        <w:rPr>
          <w:rFonts w:hint="eastAsia" w:ascii="宋体" w:hAnsi="宋体"/>
          <w:color w:val="auto"/>
          <w:sz w:val="24"/>
          <w:highlight w:val="none"/>
        </w:rPr>
        <w:t>：</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我方收到了</w:t>
      </w:r>
      <w:r>
        <w:rPr>
          <w:rFonts w:hint="eastAsia" w:ascii="宋体" w:hAnsi="宋体" w:cs="宋体"/>
          <w:b/>
          <w:bCs/>
          <w:color w:val="auto"/>
          <w:sz w:val="24"/>
          <w:szCs w:val="20"/>
          <w:highlight w:val="none"/>
          <w:u w:val="single"/>
        </w:rPr>
        <w:t>（项目名称）+（标段）</w:t>
      </w:r>
      <w:r>
        <w:rPr>
          <w:rFonts w:hint="eastAsia" w:ascii="宋体" w:hAnsi="宋体" w:cs="宋体"/>
          <w:color w:val="auto"/>
          <w:sz w:val="24"/>
          <w:szCs w:val="20"/>
          <w:highlight w:val="none"/>
        </w:rPr>
        <w:t>的招标文件，经详细研究决定参加该项目投标活动，郑重声明以下诸点并负法律责任：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(1)我方愿意以人民币（大写）：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；（小写）¥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的投标总报价完成本项目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标段相关的所有工作，并严格按照合同约定，供货、安装交付本项目全部内容，并维修其中的任何缺陷。</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szCs w:val="20"/>
          <w:highlight w:val="none"/>
        </w:rPr>
        <w:t xml:space="preserve">(2)如果我方中标，我方保证交货期：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0"/>
          <w:highlight w:val="none"/>
        </w:rPr>
        <w:t>，质量达到：</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，质保期：</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。我方同意按招标文件中的规定，本投标文件的有效期自投标文件递交截止之日起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日历天。</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0"/>
          <w:highlight w:val="none"/>
        </w:rPr>
        <w:t>(3)</w:t>
      </w:r>
      <w:r>
        <w:rPr>
          <w:rFonts w:hint="eastAsia" w:ascii="宋体" w:hAnsi="宋体"/>
          <w:color w:val="auto"/>
          <w:sz w:val="24"/>
          <w:szCs w:val="20"/>
          <w:highlight w:val="none"/>
        </w:rPr>
        <w:t>我方愿提供招标文件中要求的所有文件资料。</w:t>
      </w:r>
    </w:p>
    <w:p>
      <w:pPr>
        <w:pageBreakBefore w:val="0"/>
        <w:kinsoku/>
        <w:overflowPunct/>
        <w:bidi w:val="0"/>
        <w:adjustRightInd w:val="0"/>
        <w:snapToGrid w:val="0"/>
        <w:spacing w:beforeAutospacing="0" w:afterAutospacing="0" w:line="360" w:lineRule="auto"/>
        <w:ind w:left="0" w:leftChars="0" w:right="0" w:rightChars="0" w:firstLine="477" w:firstLineChars="199"/>
        <w:rPr>
          <w:rFonts w:ascii="宋体" w:hAnsi="宋体"/>
          <w:color w:val="auto"/>
          <w:sz w:val="24"/>
          <w:szCs w:val="20"/>
          <w:highlight w:val="none"/>
        </w:rPr>
      </w:pPr>
      <w:r>
        <w:rPr>
          <w:rFonts w:hint="eastAsia" w:ascii="宋体" w:hAnsi="宋体" w:cs="宋体"/>
          <w:color w:val="auto"/>
          <w:sz w:val="24"/>
          <w:szCs w:val="20"/>
          <w:highlight w:val="none"/>
        </w:rPr>
        <w:t>(4)</w:t>
      </w:r>
      <w:r>
        <w:rPr>
          <w:rFonts w:hint="eastAsia" w:ascii="宋体" w:hAnsi="宋体"/>
          <w:color w:val="auto"/>
          <w:sz w:val="24"/>
          <w:szCs w:val="20"/>
          <w:highlight w:val="none"/>
        </w:rPr>
        <w:t>我方已经详细审核了全部招标文件，包括修改、补充的文件（如果有），我方完全理解并同意放弃对这方面有不明及误解的权利。</w:t>
      </w:r>
    </w:p>
    <w:p>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(5)</w:t>
      </w:r>
      <w:r>
        <w:rPr>
          <w:rFonts w:hint="eastAsia" w:ascii="宋体" w:hAnsi="宋体"/>
          <w:color w:val="auto"/>
          <w:sz w:val="24"/>
          <w:szCs w:val="20"/>
          <w:highlight w:val="none"/>
        </w:rPr>
        <w:t>我们愿按《中华人民共和国民法典》履行自己的全部责任。</w:t>
      </w:r>
    </w:p>
    <w:p>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(6)</w:t>
      </w:r>
      <w:r>
        <w:rPr>
          <w:rFonts w:hint="eastAsia" w:ascii="宋体" w:hAnsi="宋体"/>
          <w:color w:val="auto"/>
          <w:sz w:val="24"/>
          <w:szCs w:val="20"/>
          <w:highlight w:val="none"/>
        </w:rPr>
        <w:t>如果我单位中标，我单位保证按照招标文件（含补充文件）的规定，向招标代理机构缴纳招标代理机构服务费。</w:t>
      </w:r>
    </w:p>
    <w:p>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(7)</w:t>
      </w:r>
      <w:r>
        <w:rPr>
          <w:rFonts w:hint="eastAsia" w:ascii="宋体" w:hAnsi="宋体"/>
          <w:color w:val="auto"/>
          <w:sz w:val="24"/>
          <w:szCs w:val="20"/>
          <w:highlight w:val="none"/>
        </w:rPr>
        <w:t>我方在此声明，所递交的投标文件及有关资料内容完整、真实和准确。</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s="宋体"/>
          <w:color w:val="auto"/>
          <w:sz w:val="24"/>
          <w:szCs w:val="20"/>
          <w:highlight w:val="none"/>
        </w:rPr>
        <w:t>(8)</w:t>
      </w:r>
      <w:r>
        <w:rPr>
          <w:rFonts w:hint="eastAsia" w:ascii="宋体" w:hAnsi="宋体"/>
          <w:color w:val="auto"/>
          <w:sz w:val="24"/>
          <w:szCs w:val="20"/>
          <w:highlight w:val="none"/>
        </w:rPr>
        <w:t>与本投标有关的正式通讯地址：</w:t>
      </w:r>
    </w:p>
    <w:p>
      <w:pPr>
        <w:pageBreakBefore w:val="0"/>
        <w:kinsoku/>
        <w:overflowPunct/>
        <w:bidi w:val="0"/>
        <w:adjustRightInd w:val="0"/>
        <w:snapToGrid w:val="0"/>
        <w:spacing w:beforeAutospacing="0" w:afterAutospacing="0" w:line="360" w:lineRule="auto"/>
        <w:ind w:left="0" w:leftChars="0" w:right="0" w:rightChars="0"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 xml:space="preserve">（9）本项目的联系人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，联系电话：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u w:val="single"/>
        </w:rPr>
      </w:pPr>
      <w:r>
        <w:rPr>
          <w:rFonts w:hint="eastAsia" w:ascii="宋体" w:hAnsi="宋体" w:cs="宋体"/>
          <w:color w:val="auto"/>
          <w:sz w:val="24"/>
          <w:szCs w:val="20"/>
          <w:highlight w:val="none"/>
        </w:rPr>
        <w:t>投标人（电子签章）：</w:t>
      </w:r>
      <w:r>
        <w:rPr>
          <w:rFonts w:hint="eastAsia" w:ascii="宋体" w:hAnsi="宋体" w:cs="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地    址：</w:t>
      </w:r>
      <w:r>
        <w:rPr>
          <w:rFonts w:hint="eastAsia" w:ascii="宋体" w:hAnsi="宋体" w:cs="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邮    编：</w:t>
      </w:r>
      <w:r>
        <w:rPr>
          <w:rFonts w:hint="eastAsia" w:ascii="宋体" w:hAnsi="宋体" w:cs="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rPr>
      </w:pPr>
      <w:r>
        <w:rPr>
          <w:rFonts w:hint="eastAsia" w:ascii="宋体" w:hAnsi="宋体" w:cs="宋体"/>
          <w:color w:val="auto"/>
          <w:sz w:val="24"/>
          <w:szCs w:val="20"/>
          <w:highlight w:val="none"/>
        </w:rPr>
        <w:t>电    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720" w:firstLineChars="300"/>
        <w:jc w:val="right"/>
        <w:rPr>
          <w:rFonts w:ascii="宋体" w:hAnsi="宋体" w:cs="宋体"/>
          <w:color w:val="auto"/>
          <w:sz w:val="24"/>
          <w:szCs w:val="20"/>
          <w:highlight w:val="none"/>
        </w:rPr>
      </w:pP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w:t>
      </w:r>
    </w:p>
    <w:p>
      <w:pPr>
        <w:pageBreakBefore w:val="0"/>
        <w:kinsoku/>
        <w:overflowPunct/>
        <w:bidi w:val="0"/>
        <w:adjustRightInd w:val="0"/>
        <w:snapToGrid w:val="0"/>
        <w:spacing w:beforeAutospacing="0" w:afterAutospacing="0" w:line="360" w:lineRule="auto"/>
        <w:ind w:left="0" w:leftChars="0" w:right="0" w:rightChars="0"/>
        <w:rPr>
          <w:rFonts w:ascii="宋体" w:hAnsi="宋体" w:cs="黑体"/>
          <w:color w:val="auto"/>
          <w:sz w:val="28"/>
          <w:szCs w:val="28"/>
          <w:highlight w:val="none"/>
        </w:rPr>
      </w:pPr>
      <w:bookmarkStart w:id="173" w:name="_Toc465783023"/>
      <w:bookmarkStart w:id="174" w:name="_Toc369354490"/>
      <w:bookmarkStart w:id="175" w:name="_Toc293488374"/>
      <w:bookmarkStart w:id="176" w:name="_Toc367827769"/>
    </w:p>
    <w:p>
      <w:pPr>
        <w:pStyle w:val="4"/>
        <w:pageBreakBefore w:val="0"/>
        <w:kinsoku/>
        <w:overflowPunct/>
        <w:bidi w:val="0"/>
        <w:adjustRightInd w:val="0"/>
        <w:snapToGrid w:val="0"/>
        <w:spacing w:before="0" w:beforeAutospacing="0" w:after="0" w:afterAutospacing="0" w:line="360" w:lineRule="auto"/>
        <w:ind w:left="0" w:leftChars="0" w:right="0" w:rightChars="0"/>
        <w:jc w:val="center"/>
        <w:rPr>
          <w:color w:val="auto"/>
          <w:szCs w:val="20"/>
          <w:highlight w:val="none"/>
        </w:rPr>
      </w:pPr>
      <w:bookmarkStart w:id="177" w:name="_Toc3092"/>
      <w:bookmarkStart w:id="178" w:name="_Toc44448182"/>
      <w:r>
        <w:rPr>
          <w:rFonts w:hint="eastAsia"/>
          <w:color w:val="auto"/>
          <w:highlight w:val="none"/>
        </w:rPr>
        <w:t>（二）投标函附录</w:t>
      </w:r>
      <w:bookmarkEnd w:id="173"/>
      <w:bookmarkEnd w:id="174"/>
      <w:bookmarkEnd w:id="175"/>
      <w:bookmarkEnd w:id="176"/>
      <w:bookmarkEnd w:id="177"/>
      <w:bookmarkEnd w:id="178"/>
    </w:p>
    <w:tbl>
      <w:tblPr>
        <w:tblStyle w:val="19"/>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170"/>
        <w:gridCol w:w="68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bottom w:val="single" w:color="auto" w:sz="4" w:space="0"/>
              <w:right w:val="single" w:color="auto" w:sz="4" w:space="0"/>
            </w:tcBorders>
            <w:tcMar>
              <w:top w:w="0" w:type="dxa"/>
              <w:left w:w="113" w:type="dxa"/>
              <w:bottom w:w="0" w:type="dxa"/>
              <w:right w:w="113" w:type="dxa"/>
            </w:tcMar>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r>
              <w:rPr>
                <w:rFonts w:hint="eastAsia" w:ascii="宋体" w:hAnsi="宋体"/>
                <w:b/>
                <w:bCs/>
                <w:color w:val="auto"/>
                <w:sz w:val="24"/>
                <w:szCs w:val="20"/>
                <w:highlight w:val="none"/>
              </w:rPr>
              <w:t>项目名称</w:t>
            </w:r>
          </w:p>
        </w:tc>
        <w:tc>
          <w:tcPr>
            <w:tcW w:w="6830" w:type="dxa"/>
            <w:tcBorders>
              <w:left w:val="nil"/>
              <w:bottom w:val="single" w:color="auto" w:sz="4" w:space="0"/>
            </w:tcBorders>
            <w:tcMar>
              <w:top w:w="0" w:type="dxa"/>
              <w:left w:w="113" w:type="dxa"/>
              <w:bottom w:w="0" w:type="dxa"/>
              <w:right w:w="113" w:type="dxa"/>
            </w:tcMar>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z w:val="24"/>
                <w:szCs w:val="20"/>
                <w:highlight w:val="none"/>
                <w:lang w:eastAsia="zh-CN"/>
              </w:rPr>
              <w:t>灵宝市寺河乡人民政府2024年灵宝市寺河乡烟叶电烤房项目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tcMar>
              <w:top w:w="0" w:type="dxa"/>
              <w:left w:w="113" w:type="dxa"/>
              <w:bottom w:w="0" w:type="dxa"/>
              <w:right w:w="113" w:type="dxa"/>
            </w:tcMar>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b/>
                <w:bCs/>
                <w:color w:val="auto"/>
                <w:sz w:val="24"/>
                <w:szCs w:val="20"/>
                <w:highlight w:val="none"/>
              </w:rPr>
            </w:pPr>
            <w:r>
              <w:rPr>
                <w:rFonts w:hint="eastAsia" w:ascii="宋体" w:hAnsi="宋体"/>
                <w:b/>
                <w:bCs/>
                <w:color w:val="auto"/>
                <w:sz w:val="24"/>
                <w:szCs w:val="20"/>
                <w:highlight w:val="none"/>
              </w:rPr>
              <w:t>投标标段</w:t>
            </w:r>
          </w:p>
        </w:tc>
        <w:tc>
          <w:tcPr>
            <w:tcW w:w="6830" w:type="dxa"/>
            <w:tcBorders>
              <w:top w:val="double" w:color="auto" w:sz="4" w:space="0"/>
              <w:left w:val="nil"/>
              <w:bottom w:val="single" w:color="auto" w:sz="4" w:space="0"/>
            </w:tcBorders>
            <w:tcMar>
              <w:top w:w="0" w:type="dxa"/>
              <w:left w:w="113" w:type="dxa"/>
              <w:bottom w:w="0" w:type="dxa"/>
              <w:right w:w="113" w:type="dxa"/>
            </w:tcMar>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24"/>
                <w:szCs w:val="20"/>
                <w:highlight w:val="none"/>
              </w:rPr>
            </w:pPr>
            <w:r>
              <w:rPr>
                <w:rFonts w:hint="eastAsia" w:ascii="宋体" w:hAnsi="宋体"/>
                <w:b/>
                <w:color w:val="auto"/>
                <w:sz w:val="24"/>
                <w:szCs w:val="20"/>
                <w:highlight w:val="none"/>
              </w:rPr>
              <w:t>投标人</w:t>
            </w:r>
          </w:p>
        </w:tc>
        <w:tc>
          <w:tcPr>
            <w:tcW w:w="6830" w:type="dxa"/>
            <w:tcBorders>
              <w:top w:val="double" w:color="auto" w:sz="4" w:space="0"/>
              <w:left w:val="nil"/>
              <w:bottom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投标范围</w:t>
            </w:r>
          </w:p>
        </w:tc>
        <w:tc>
          <w:tcPr>
            <w:tcW w:w="6830" w:type="dxa"/>
            <w:tcBorders>
              <w:top w:val="double" w:color="auto" w:sz="4" w:space="0"/>
              <w:left w:val="nil"/>
              <w:bottom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本项目招标文件规定的</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标段的全部招标内容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00" w:hRule="exact"/>
          <w:jc w:val="center"/>
        </w:trPr>
        <w:tc>
          <w:tcPr>
            <w:tcW w:w="2170" w:type="dxa"/>
            <w:tcBorders>
              <w:top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highlight w:val="none"/>
              </w:rPr>
            </w:pPr>
            <w:r>
              <w:rPr>
                <w:rFonts w:hint="eastAsia" w:ascii="宋体" w:hAnsi="宋体" w:cs="宋体"/>
                <w:b/>
                <w:bCs/>
                <w:color w:val="auto"/>
                <w:sz w:val="24"/>
                <w:highlight w:val="none"/>
              </w:rPr>
              <w:t>投标总报价</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 xml:space="preserve">（含税） </w:t>
            </w:r>
          </w:p>
        </w:tc>
        <w:tc>
          <w:tcPr>
            <w:tcW w:w="6830" w:type="dxa"/>
            <w:tcBorders>
              <w:top w:val="single" w:color="auto" w:sz="4" w:space="0"/>
              <w:left w:val="nil"/>
            </w:tcBorders>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大写：</w:t>
            </w:r>
            <w:r>
              <w:rPr>
                <w:rFonts w:hint="eastAsia" w:ascii="宋体" w:hAnsi="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小写：</w:t>
            </w:r>
            <w:r>
              <w:rPr>
                <w:rFonts w:hint="eastAsia" w:ascii="宋体" w:hAnsi="宋体"/>
                <w:color w:val="auto"/>
                <w:sz w:val="24"/>
                <w:szCs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single" w:color="auto" w:sz="4" w:space="0"/>
              <w:bottom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交货期</w:t>
            </w:r>
          </w:p>
        </w:tc>
        <w:tc>
          <w:tcPr>
            <w:tcW w:w="6830" w:type="dxa"/>
            <w:tcBorders>
              <w:top w:val="single" w:color="auto" w:sz="4" w:space="0"/>
              <w:left w:val="nil"/>
              <w:bottom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left"/>
              <w:rPr>
                <w:rFonts w:ascii="宋体" w:hAnsi="宋体"/>
                <w:color w:val="auto"/>
                <w:sz w:val="24"/>
                <w:szCs w:val="24"/>
                <w:highlight w:val="none"/>
              </w:rPr>
            </w:pPr>
            <w:r>
              <w:rPr>
                <w:rFonts w:hint="eastAsia" w:ascii="宋体" w:hAnsi="宋体" w:cs="宋体"/>
                <w:color w:val="auto"/>
                <w:kern w:val="0"/>
                <w:sz w:val="24"/>
                <w:szCs w:val="24"/>
                <w:highlight w:val="none"/>
              </w:rPr>
              <w:t>自合同签订之日起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日历天内交货并安装调试完毕。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2" w:hRule="exact"/>
          <w:jc w:val="center"/>
        </w:trPr>
        <w:tc>
          <w:tcPr>
            <w:tcW w:w="2170" w:type="dxa"/>
            <w:tcBorders>
              <w:top w:val="nil"/>
              <w:bottom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质量</w:t>
            </w:r>
          </w:p>
        </w:tc>
        <w:tc>
          <w:tcPr>
            <w:tcW w:w="6830" w:type="dxa"/>
            <w:tcBorders>
              <w:top w:val="nil"/>
              <w:left w:val="nil"/>
              <w:bottom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bottom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质保期</w:t>
            </w:r>
          </w:p>
        </w:tc>
        <w:tc>
          <w:tcPr>
            <w:tcW w:w="6830" w:type="dxa"/>
            <w:tcBorders>
              <w:top w:val="nil"/>
              <w:left w:val="nil"/>
              <w:bottom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s="宋体"/>
                <w:color w:val="auto"/>
                <w:sz w:val="24"/>
                <w:szCs w:val="24"/>
                <w:highlight w:val="none"/>
              </w:rPr>
              <w:t>自验收合格之日起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bottom w:val="single" w:color="auto" w:sz="4" w:space="0"/>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是否响应招标文件规定的付款方式</w:t>
            </w:r>
          </w:p>
        </w:tc>
        <w:tc>
          <w:tcPr>
            <w:tcW w:w="6830" w:type="dxa"/>
            <w:tcBorders>
              <w:top w:val="nil"/>
              <w:left w:val="nil"/>
              <w:bottom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right w:val="single" w:color="auto"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其他</w:t>
            </w:r>
          </w:p>
        </w:tc>
        <w:tc>
          <w:tcPr>
            <w:tcW w:w="6830" w:type="dxa"/>
            <w:tcBorders>
              <w:top w:val="nil"/>
              <w:left w:val="nil"/>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tc>
      </w:tr>
    </w:tbl>
    <w:p>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投标人（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br w:type="page"/>
      </w:r>
      <w:bookmarkStart w:id="179" w:name="_Toc29586"/>
      <w:bookmarkStart w:id="180" w:name="_Toc32558"/>
      <w:r>
        <w:rPr>
          <w:rFonts w:hint="eastAsia" w:ascii="宋体" w:hAnsi="宋体"/>
          <w:b/>
          <w:bCs/>
          <w:color w:val="auto"/>
          <w:sz w:val="30"/>
          <w:szCs w:val="30"/>
          <w:highlight w:val="none"/>
        </w:rPr>
        <w:t>二、</w:t>
      </w:r>
      <w:bookmarkEnd w:id="179"/>
      <w:r>
        <w:rPr>
          <w:rFonts w:hint="eastAsia" w:ascii="宋体" w:hAnsi="宋体"/>
          <w:b/>
          <w:bCs/>
          <w:color w:val="auto"/>
          <w:sz w:val="30"/>
          <w:szCs w:val="30"/>
          <w:highlight w:val="none"/>
        </w:rPr>
        <w:t>法定代表人身份证明或（和）法定代表人授权委托书</w:t>
      </w:r>
      <w:bookmarkEnd w:id="180"/>
    </w:p>
    <w:p>
      <w:pPr>
        <w:pStyle w:val="4"/>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sz w:val="28"/>
          <w:szCs w:val="28"/>
          <w:highlight w:val="none"/>
        </w:rPr>
      </w:pPr>
      <w:bookmarkStart w:id="181" w:name="_Toc5579"/>
      <w:bookmarkStart w:id="182" w:name="_Toc44448184"/>
      <w:r>
        <w:rPr>
          <w:rFonts w:hint="eastAsia"/>
          <w:color w:val="auto"/>
          <w:sz w:val="28"/>
          <w:szCs w:val="28"/>
          <w:highlight w:val="none"/>
        </w:rPr>
        <w:t>（一）法定代表人身份证明</w:t>
      </w:r>
      <w:bookmarkEnd w:id="181"/>
      <w:bookmarkEnd w:id="182"/>
    </w:p>
    <w:p>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投标人名称：</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单位性质：</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地    址：</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pageBreakBefore w:val="0"/>
        <w:tabs>
          <w:tab w:val="left" w:pos="2460"/>
          <w:tab w:val="left" w:pos="3160"/>
          <w:tab w:val="left" w:pos="420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成立时间：</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月</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日</w:t>
      </w:r>
    </w:p>
    <w:p>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经营期限：</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pPr>
        <w:pageBreakBefore w:val="0"/>
        <w:tabs>
          <w:tab w:val="left" w:pos="1580"/>
          <w:tab w:val="left" w:pos="3615"/>
          <w:tab w:val="left" w:pos="4840"/>
          <w:tab w:val="left" w:pos="630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u w:val="single"/>
        </w:rPr>
      </w:pPr>
      <w:r>
        <w:rPr>
          <w:rFonts w:hint="eastAsia" w:ascii="宋体" w:hAnsi="宋体"/>
          <w:color w:val="auto"/>
          <w:kern w:val="0"/>
          <w:sz w:val="24"/>
          <w:szCs w:val="20"/>
          <w:highlight w:val="none"/>
        </w:rPr>
        <w:t>姓    名：</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性别：</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年龄：</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职务：</w:t>
      </w:r>
      <w:r>
        <w:rPr>
          <w:rFonts w:hint="eastAsia" w:ascii="宋体" w:hAnsi="宋体"/>
          <w:color w:val="auto"/>
          <w:kern w:val="0"/>
          <w:sz w:val="24"/>
          <w:szCs w:val="20"/>
          <w:highlight w:val="none"/>
          <w:u w:val="single"/>
        </w:rPr>
        <w:t xml:space="preserve">          </w:t>
      </w:r>
    </w:p>
    <w:p>
      <w:pPr>
        <w:pageBreakBefore w:val="0"/>
        <w:tabs>
          <w:tab w:val="left" w:pos="408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rPr>
        <w:t>（投标人名称）的法定代表人。</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szCs w:val="20"/>
          <w:highlight w:val="none"/>
        </w:rPr>
      </w:pPr>
      <w:r>
        <w:rPr>
          <w:rFonts w:hint="eastAsia" w:ascii="宋体" w:hAnsi="宋体"/>
          <w:color w:val="auto"/>
          <w:kern w:val="0"/>
          <w:sz w:val="24"/>
          <w:szCs w:val="20"/>
          <w:highlight w:val="none"/>
        </w:rPr>
        <w:t>特此证明。</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u w:val="single"/>
        </w:rPr>
      </w:pPr>
      <w:r>
        <w:rPr>
          <w:rFonts w:hint="eastAsia" w:ascii="宋体" w:hAnsi="宋体"/>
          <w:color w:val="auto"/>
          <w:kern w:val="0"/>
          <w:sz w:val="24"/>
          <w:highlight w:val="none"/>
        </w:rPr>
        <w:t>投标人（电子签章）：</w:t>
      </w:r>
      <w:r>
        <w:rPr>
          <w:rFonts w:hint="eastAsia" w:ascii="宋体" w:hAnsi="宋体"/>
          <w:color w:val="auto"/>
          <w:kern w:val="0"/>
          <w:sz w:val="24"/>
          <w:highlight w:val="none"/>
          <w:u w:val="single"/>
        </w:rPr>
        <w:t xml:space="preserve">                   </w:t>
      </w:r>
      <w:bookmarkStart w:id="183" w:name="_Toc293488489"/>
      <w:bookmarkStart w:id="184" w:name="_Toc367827776"/>
      <w:bookmarkStart w:id="185" w:name="_Toc294108317"/>
      <w:bookmarkStart w:id="186" w:name="_Toc293488381"/>
    </w:p>
    <w:bookmarkEnd w:id="183"/>
    <w:bookmarkEnd w:id="184"/>
    <w:bookmarkEnd w:id="185"/>
    <w:bookmarkEnd w:id="186"/>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rPr>
      </w:pPr>
    </w:p>
    <w:tbl>
      <w:tblPr>
        <w:tblStyle w:val="1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法定代表人身份证扫描件（正面）</w:t>
            </w:r>
          </w:p>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c>
          <w:tcPr>
            <w:tcW w:w="4961" w:type="dxa"/>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法定代表人身份证扫描件（反面）</w:t>
            </w:r>
          </w:p>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r>
    </w:tbl>
    <w:p>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b/>
          <w:bCs/>
          <w:color w:val="auto"/>
          <w:sz w:val="30"/>
          <w:szCs w:val="30"/>
          <w:highlight w:val="none"/>
        </w:rPr>
      </w:pPr>
      <w:bookmarkStart w:id="187" w:name="_Toc10052"/>
    </w:p>
    <w:p>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b/>
          <w:bCs/>
          <w:color w:val="auto"/>
          <w:sz w:val="30"/>
          <w:szCs w:val="30"/>
          <w:highlight w:val="none"/>
        </w:rPr>
      </w:pPr>
      <w:r>
        <w:rPr>
          <w:rFonts w:ascii="宋体" w:hAnsi="宋体"/>
          <w:b/>
          <w:bCs/>
          <w:color w:val="auto"/>
          <w:sz w:val="30"/>
          <w:szCs w:val="30"/>
          <w:highlight w:val="none"/>
        </w:rPr>
        <w:br w:type="page"/>
      </w:r>
    </w:p>
    <w:p>
      <w:pPr>
        <w:pStyle w:val="4"/>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sz w:val="28"/>
          <w:szCs w:val="28"/>
          <w:highlight w:val="none"/>
        </w:rPr>
      </w:pPr>
      <w:bookmarkStart w:id="188" w:name="_Toc44448185"/>
      <w:bookmarkStart w:id="189" w:name="_Toc12835"/>
      <w:r>
        <w:rPr>
          <w:rFonts w:hint="eastAsia"/>
          <w:color w:val="auto"/>
          <w:sz w:val="28"/>
          <w:szCs w:val="28"/>
          <w:highlight w:val="none"/>
        </w:rPr>
        <w:t>（二）法定代表人授权委托书</w:t>
      </w:r>
      <w:bookmarkEnd w:id="187"/>
      <w:bookmarkEnd w:id="188"/>
      <w:bookmarkEnd w:id="189"/>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lang w:eastAsia="zh-CN"/>
        </w:rPr>
        <w:t>灵宝市寺河乡人民政府</w:t>
      </w:r>
      <w:r>
        <w:rPr>
          <w:rFonts w:hint="eastAsia" w:ascii="宋体" w:hAnsi="宋体"/>
          <w:color w:val="auto"/>
          <w:sz w:val="24"/>
          <w:szCs w:val="24"/>
          <w:highlight w:val="none"/>
        </w:rPr>
        <w:t xml:space="preserve">： </w:t>
      </w:r>
    </w:p>
    <w:p>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本人</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（投标人名称）的法定代表人，现委托</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（姓名）为我方代理人。代理人根据授权，以我方名义签署、澄清、说明、补正、递交、撤回、</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修改</w:t>
      </w:r>
      <w:r>
        <w:rPr>
          <w:rFonts w:hint="eastAsia" w:ascii="宋体" w:hAnsi="宋体"/>
          <w:color w:val="auto"/>
          <w:kern w:val="0"/>
          <w:sz w:val="24"/>
          <w:szCs w:val="20"/>
          <w:highlight w:val="none"/>
          <w:u w:val="single"/>
        </w:rPr>
        <w:t xml:space="preserve">   （项目名称+标段）  </w:t>
      </w:r>
      <w:r>
        <w:rPr>
          <w:rFonts w:hint="eastAsia" w:ascii="宋体" w:hAnsi="宋体"/>
          <w:color w:val="auto"/>
          <w:kern w:val="0"/>
          <w:sz w:val="24"/>
          <w:szCs w:val="20"/>
          <w:highlight w:val="none"/>
        </w:rPr>
        <w:t>投标文件、签订合同和处理有关事宜，其法律后果由我方承担。</w:t>
      </w:r>
    </w:p>
    <w:p>
      <w:pPr>
        <w:pageBreakBefore w:val="0"/>
        <w:tabs>
          <w:tab w:val="left" w:pos="2940"/>
        </w:tabs>
        <w:kinsoku/>
        <w:overflowPunct/>
        <w:autoSpaceDE w:val="0"/>
        <w:autoSpaceDN w:val="0"/>
        <w:bidi w:val="0"/>
        <w:adjustRightInd w:val="0"/>
        <w:snapToGrid w:val="0"/>
        <w:spacing w:beforeAutospacing="0" w:afterAutospacing="0" w:line="360" w:lineRule="auto"/>
        <w:ind w:left="0" w:leftChars="0" w:right="0" w:rightChars="0" w:firstLine="1"/>
        <w:jc w:val="left"/>
        <w:rPr>
          <w:rFonts w:ascii="宋体" w:hAnsi="宋体"/>
          <w:color w:val="auto"/>
          <w:kern w:val="0"/>
          <w:sz w:val="24"/>
          <w:szCs w:val="20"/>
          <w:highlight w:val="none"/>
        </w:rPr>
      </w:pPr>
      <w:r>
        <w:rPr>
          <w:rFonts w:hint="eastAsia" w:ascii="宋体" w:hAnsi="宋体"/>
          <w:color w:val="auto"/>
          <w:kern w:val="0"/>
          <w:sz w:val="24"/>
          <w:szCs w:val="20"/>
          <w:highlight w:val="none"/>
        </w:rPr>
        <w:t>代理人无转委托权。</w:t>
      </w:r>
      <w:r>
        <w:rPr>
          <w:rFonts w:ascii="宋体" w:hAnsi="宋体"/>
          <w:color w:val="auto"/>
          <w:kern w:val="0"/>
          <w:sz w:val="24"/>
          <w:szCs w:val="20"/>
          <w:highlight w:val="none"/>
        </w:rPr>
        <w:t xml:space="preserve"> </w:t>
      </w:r>
    </w:p>
    <w:p>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附：法定代表人及委托代理人有效身份证复印件</w:t>
      </w:r>
    </w:p>
    <w:p>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p>
    <w:p>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授权委托日期：</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p>
    <w:tbl>
      <w:tblPr>
        <w:tblStyle w:val="1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扫描件（正面）</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rPr>
            </w:pPr>
          </w:p>
        </w:tc>
        <w:tc>
          <w:tcPr>
            <w:tcW w:w="4796"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扫描件（反面）</w:t>
            </w:r>
          </w:p>
          <w:p>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0"/>
                <w:highlight w:val="none"/>
              </w:rPr>
            </w:pPr>
          </w:p>
        </w:tc>
      </w:tr>
    </w:tbl>
    <w:p>
      <w:pPr>
        <w:pageBreakBefore w:val="0"/>
        <w:kinsoku/>
        <w:overflowPunct/>
        <w:bidi w:val="0"/>
        <w:adjustRightInd w:val="0"/>
        <w:snapToGrid w:val="0"/>
        <w:spacing w:beforeAutospacing="0" w:afterAutospacing="0" w:line="360" w:lineRule="auto"/>
        <w:ind w:left="0" w:leftChars="0" w:right="0" w:rightChars="0"/>
        <w:rPr>
          <w:vanish/>
          <w:color w:val="auto"/>
          <w:highlight w:val="none"/>
        </w:rPr>
      </w:pPr>
    </w:p>
    <w:tbl>
      <w:tblPr>
        <w:tblStyle w:val="19"/>
        <w:tblpPr w:leftFromText="180" w:rightFromText="180" w:vertAnchor="text" w:horzAnchor="margin" w:tblpXSpec="left"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被授权委托人身份证扫描件（正面）</w:t>
            </w:r>
          </w:p>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c>
          <w:tcPr>
            <w:tcW w:w="4781" w:type="dxa"/>
            <w:vAlign w:val="center"/>
          </w:tcPr>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被授权委托人身份证扫描件（反面）</w:t>
            </w:r>
          </w:p>
          <w:p>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r>
    </w:tbl>
    <w:p>
      <w:pPr>
        <w:pageBreakBefore w:val="0"/>
        <w:tabs>
          <w:tab w:val="left" w:pos="5835"/>
        </w:tabs>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Times New Roman" w:hAnsi="Times New Roman"/>
          <w:b/>
          <w:color w:val="auto"/>
          <w:sz w:val="24"/>
          <w:szCs w:val="24"/>
          <w:highlight w:val="none"/>
        </w:rPr>
        <w:sectPr>
          <w:footerReference r:id="rId7" w:type="first"/>
          <w:footerReference r:id="rId6" w:type="default"/>
          <w:pgSz w:w="11906" w:h="16838"/>
          <w:pgMar w:top="1417" w:right="1247" w:bottom="1417" w:left="1247" w:header="851" w:footer="992" w:gutter="0"/>
          <w:pgNumType w:fmt="decimal" w:start="1"/>
          <w:cols w:space="720" w:num="1"/>
          <w:titlePg/>
          <w:docGrid w:type="lines" w:linePitch="312" w:charSpace="0"/>
        </w:sectPr>
      </w:pPr>
      <w:bookmarkStart w:id="190" w:name="_Toc247965866"/>
      <w:bookmarkStart w:id="191" w:name="_Toc257026344"/>
      <w:r>
        <w:rPr>
          <w:rFonts w:hint="eastAsia" w:ascii="Times New Roman" w:hAnsi="Times New Roman"/>
          <w:b/>
          <w:color w:val="auto"/>
          <w:sz w:val="24"/>
          <w:szCs w:val="24"/>
          <w:highlight w:val="none"/>
        </w:rPr>
        <w:t>（备注：如是法定代表人参加投标，本格式不需提供。）</w:t>
      </w:r>
    </w:p>
    <w:p>
      <w:pPr>
        <w:pStyle w:val="3"/>
        <w:pageBreakBefore w:val="0"/>
        <w:kinsoku/>
        <w:overflowPunct/>
        <w:bidi w:val="0"/>
        <w:adjustRightInd w:val="0"/>
        <w:snapToGrid w:val="0"/>
        <w:spacing w:before="0" w:beforeAutospacing="0" w:after="0" w:afterAutospacing="0" w:line="360" w:lineRule="auto"/>
        <w:ind w:left="0" w:leftChars="0" w:right="0" w:rightChars="0"/>
        <w:jc w:val="center"/>
        <w:rPr>
          <w:b/>
          <w:color w:val="auto"/>
          <w:highlight w:val="none"/>
        </w:rPr>
      </w:pPr>
      <w:bookmarkStart w:id="192" w:name="_Toc15722"/>
      <w:r>
        <w:rPr>
          <w:rFonts w:hint="eastAsia" w:ascii="宋体" w:hAnsi="宋体" w:eastAsia="宋体"/>
          <w:color w:val="auto"/>
          <w:sz w:val="30"/>
          <w:szCs w:val="30"/>
          <w:highlight w:val="none"/>
          <w:lang w:eastAsia="zh-CN"/>
        </w:rPr>
        <w:t>三</w:t>
      </w:r>
      <w:r>
        <w:rPr>
          <w:rFonts w:hint="eastAsia" w:ascii="宋体" w:hAnsi="宋体" w:eastAsia="宋体"/>
          <w:color w:val="auto"/>
          <w:sz w:val="30"/>
          <w:szCs w:val="30"/>
          <w:highlight w:val="none"/>
        </w:rPr>
        <w:t>、投标报价明细表</w:t>
      </w:r>
      <w:bookmarkEnd w:id="192"/>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b/>
          <w:color w:val="auto"/>
          <w:kern w:val="0"/>
          <w:sz w:val="24"/>
          <w:szCs w:val="20"/>
          <w:highlight w:val="none"/>
        </w:rPr>
        <w:t xml:space="preserve">                                                              </w:t>
      </w:r>
      <w:r>
        <w:rPr>
          <w:rFonts w:ascii="宋体" w:hAnsi="宋体" w:cs="宋体"/>
          <w:color w:val="auto"/>
          <w:kern w:val="0"/>
          <w:sz w:val="24"/>
          <w:szCs w:val="20"/>
          <w:highlight w:val="none"/>
        </w:rPr>
        <w:t>单位：元（人民币）</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2649"/>
        <w:gridCol w:w="1396"/>
        <w:gridCol w:w="1531"/>
        <w:gridCol w:w="219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264" w:type="pct"/>
            <w:vAlign w:val="center"/>
          </w:tcPr>
          <w:p>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序号</w:t>
            </w:r>
          </w:p>
        </w:tc>
        <w:tc>
          <w:tcPr>
            <w:tcW w:w="1376" w:type="pct"/>
            <w:vAlign w:val="center"/>
          </w:tcPr>
          <w:p>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名称</w:t>
            </w:r>
          </w:p>
        </w:tc>
        <w:tc>
          <w:tcPr>
            <w:tcW w:w="725" w:type="pct"/>
            <w:vAlign w:val="center"/>
          </w:tcPr>
          <w:p>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b/>
                <w:bCs/>
                <w:color w:val="auto"/>
                <w:highlight w:val="none"/>
              </w:rPr>
              <w:t>品牌及规格型号</w:t>
            </w:r>
          </w:p>
        </w:tc>
        <w:tc>
          <w:tcPr>
            <w:tcW w:w="794" w:type="pct"/>
            <w:vAlign w:val="center"/>
          </w:tcPr>
          <w:p>
            <w:pPr>
              <w:pageBreakBefore w:val="0"/>
              <w:kinsoku/>
              <w:overflowPunct/>
              <w:bidi w:val="0"/>
              <w:adjustRightInd w:val="0"/>
              <w:snapToGrid w:val="0"/>
              <w:spacing w:beforeAutospacing="0" w:afterAutospacing="0" w:line="360" w:lineRule="auto"/>
              <w:ind w:left="0" w:leftChars="0" w:right="0" w:rightChars="0"/>
              <w:jc w:val="center"/>
              <w:rPr>
                <w:rFonts w:cs="宋体"/>
                <w:b/>
                <w:bCs/>
                <w:color w:val="auto"/>
                <w:highlight w:val="none"/>
              </w:rPr>
            </w:pPr>
            <w:r>
              <w:rPr>
                <w:rFonts w:hint="eastAsia" w:cs="宋体"/>
                <w:b/>
                <w:bCs/>
                <w:color w:val="auto"/>
                <w:highlight w:val="none"/>
              </w:rPr>
              <w:t>数量</w:t>
            </w:r>
          </w:p>
          <w:p>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（套）</w:t>
            </w:r>
          </w:p>
        </w:tc>
        <w:tc>
          <w:tcPr>
            <w:tcW w:w="1138" w:type="pct"/>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eastAsia="宋体"/>
                <w:b/>
                <w:bCs/>
                <w:color w:val="auto"/>
                <w:highlight w:val="none"/>
                <w:lang w:val="en-US" w:eastAsia="zh-CN"/>
              </w:rPr>
            </w:pPr>
            <w:r>
              <w:rPr>
                <w:rFonts w:hint="eastAsia" w:cs="宋体"/>
                <w:b/>
                <w:bCs/>
                <w:color w:val="auto"/>
                <w:highlight w:val="none"/>
              </w:rPr>
              <w:t>单价</w:t>
            </w:r>
            <w:r>
              <w:rPr>
                <w:rFonts w:hint="eastAsia" w:cs="宋体"/>
                <w:b/>
                <w:bCs/>
                <w:color w:val="auto"/>
                <w:highlight w:val="none"/>
                <w:lang w:eastAsia="zh-CN"/>
              </w:rPr>
              <w:t>（</w:t>
            </w:r>
            <w:r>
              <w:rPr>
                <w:rFonts w:hint="eastAsia" w:cs="宋体"/>
                <w:b/>
                <w:bCs/>
                <w:color w:val="auto"/>
                <w:highlight w:val="none"/>
                <w:lang w:val="en-US" w:eastAsia="zh-CN"/>
              </w:rPr>
              <w:t>元</w:t>
            </w:r>
            <w:r>
              <w:rPr>
                <w:rFonts w:hint="eastAsia" w:cs="宋体"/>
                <w:b/>
                <w:bCs/>
                <w:color w:val="auto"/>
                <w:highlight w:val="none"/>
                <w:lang w:eastAsia="zh-CN"/>
              </w:rPr>
              <w:t>）</w:t>
            </w:r>
          </w:p>
        </w:tc>
        <w:tc>
          <w:tcPr>
            <w:tcW w:w="701" w:type="pct"/>
            <w:vAlign w:val="center"/>
          </w:tcPr>
          <w:p>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264"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376"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25"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94"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138"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01"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264"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376"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25"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94"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138"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01" w:type="pc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640" w:type="pct"/>
            <w:gridSpan w:val="2"/>
            <w:vMerge w:val="restart"/>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合计金额</w:t>
            </w:r>
          </w:p>
        </w:tc>
        <w:tc>
          <w:tcPr>
            <w:tcW w:w="1520" w:type="pct"/>
            <w:gridSpan w:val="2"/>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大写</w:t>
            </w:r>
          </w:p>
        </w:tc>
        <w:tc>
          <w:tcPr>
            <w:tcW w:w="1839" w:type="pct"/>
            <w:gridSpan w:val="2"/>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640" w:type="pct"/>
            <w:gridSpan w:val="2"/>
            <w:vMerge w:val="continue"/>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520" w:type="pct"/>
            <w:gridSpan w:val="2"/>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小写</w:t>
            </w:r>
          </w:p>
        </w:tc>
        <w:tc>
          <w:tcPr>
            <w:tcW w:w="1839" w:type="pct"/>
            <w:gridSpan w:val="2"/>
            <w:vAlign w:val="center"/>
          </w:tcPr>
          <w:p>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bl>
    <w:p>
      <w:pPr>
        <w:pageBreakBefore w:val="0"/>
        <w:kinsoku/>
        <w:overflowPunct/>
        <w:bidi w:val="0"/>
        <w:adjustRightInd w:val="0"/>
        <w:snapToGrid w:val="0"/>
        <w:spacing w:beforeAutospacing="0" w:afterAutospacing="0"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pPr>
        <w:pageBreakBefore w:val="0"/>
        <w:kinsoku/>
        <w:overflowPunct/>
        <w:bidi w:val="0"/>
        <w:adjustRightInd w:val="0"/>
        <w:snapToGrid w:val="0"/>
        <w:spacing w:beforeAutospacing="0" w:afterAutospacing="0" w:line="360" w:lineRule="auto"/>
        <w:ind w:left="0" w:leftChars="0" w:right="0" w:rightChars="0" w:firstLine="720" w:firstLineChars="300"/>
        <w:rPr>
          <w:rFonts w:ascii="宋体" w:hAnsi="宋体" w:cs="宋体"/>
          <w:color w:val="auto"/>
          <w:kern w:val="0"/>
          <w:sz w:val="24"/>
          <w:szCs w:val="20"/>
          <w:highlight w:val="none"/>
        </w:rPr>
      </w:pPr>
      <w:r>
        <w:rPr>
          <w:rFonts w:hint="eastAsia" w:ascii="宋体" w:hAnsi="宋体"/>
          <w:bCs/>
          <w:color w:val="auto"/>
          <w:sz w:val="24"/>
          <w:szCs w:val="24"/>
          <w:highlight w:val="none"/>
        </w:rPr>
        <w:t>2. 投标人可根据实际情况增减行。</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3.</w:t>
      </w:r>
      <w:r>
        <w:rPr>
          <w:rFonts w:hint="eastAsia" w:ascii="宋体" w:hAnsi="宋体" w:cs="宋体"/>
          <w:color w:val="auto"/>
          <w:sz w:val="24"/>
          <w:szCs w:val="24"/>
          <w:highlight w:val="none"/>
        </w:rPr>
        <w:t xml:space="preserve"> 投标报价中包含此项目相关的装卸、运输、保险费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安装、调试等</w:t>
      </w:r>
      <w:r>
        <w:rPr>
          <w:rFonts w:hint="eastAsia" w:ascii="宋体" w:hAnsi="宋体" w:cs="宋体"/>
          <w:color w:val="auto"/>
          <w:sz w:val="24"/>
          <w:szCs w:val="24"/>
          <w:highlight w:val="none"/>
        </w:rPr>
        <w:t>所有费用。</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color w:val="auto"/>
          <w:highlight w:val="none"/>
        </w:rPr>
        <w:sectPr>
          <w:pgSz w:w="11906" w:h="16838"/>
          <w:pgMar w:top="1417" w:right="1247" w:bottom="1417" w:left="1247" w:header="851" w:footer="992" w:gutter="0"/>
          <w:pgNumType w:fmt="decimal"/>
          <w:cols w:space="720" w:num="1"/>
          <w:titlePg/>
          <w:docGrid w:type="lines" w:linePitch="312" w:charSpace="0"/>
        </w:sect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bookmarkEnd w:id="190"/>
    <w:bookmarkEnd w:id="191"/>
    <w:p>
      <w:pPr>
        <w:keepNext/>
        <w:keepLines/>
        <w:pageBreakBefore w:val="0"/>
        <w:numPr>
          <w:ilvl w:val="0"/>
          <w:numId w:val="4"/>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bookmarkStart w:id="193" w:name="_Toc31642"/>
      <w:bookmarkStart w:id="194" w:name="_Toc9745"/>
      <w:bookmarkStart w:id="195" w:name="_Toc214173936"/>
      <w:bookmarkStart w:id="196" w:name="_Toc247961856"/>
      <w:bookmarkStart w:id="197" w:name="_Toc257026355"/>
      <w:bookmarkStart w:id="198" w:name="_Toc374376381"/>
      <w:r>
        <w:rPr>
          <w:rFonts w:hint="eastAsia" w:ascii="宋体" w:hAnsi="宋体"/>
          <w:b/>
          <w:bCs/>
          <w:color w:val="auto"/>
          <w:sz w:val="30"/>
          <w:szCs w:val="30"/>
          <w:highlight w:val="none"/>
        </w:rPr>
        <w:t>技术偏离</w:t>
      </w:r>
      <w:bookmarkEnd w:id="193"/>
    </w:p>
    <w:p>
      <w:pPr>
        <w:keepNext/>
        <w:keepLines/>
        <w:pageBreakBefore w:val="0"/>
        <w:numPr>
          <w:ilvl w:val="0"/>
          <w:numId w:val="0"/>
        </w:numPr>
        <w:kinsoku/>
        <w:overflowPunct/>
        <w:bidi w:val="0"/>
        <w:adjustRightInd w:val="0"/>
        <w:snapToGrid w:val="0"/>
        <w:spacing w:beforeAutospacing="0" w:afterAutospacing="0" w:line="360" w:lineRule="auto"/>
        <w:ind w:right="0" w:rightChars="0"/>
        <w:jc w:val="center"/>
        <w:outlineLvl w:val="1"/>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lang w:eastAsia="zh-CN"/>
        </w:rPr>
        <w:t>（</w:t>
      </w:r>
      <w:r>
        <w:rPr>
          <w:rFonts w:hint="eastAsia" w:ascii="宋体" w:hAnsi="宋体"/>
          <w:b/>
          <w:bCs/>
          <w:color w:val="auto"/>
          <w:sz w:val="30"/>
          <w:szCs w:val="30"/>
          <w:highlight w:val="none"/>
          <w:lang w:val="en-US" w:eastAsia="zh-CN"/>
        </w:rPr>
        <w:t>格式自拟，需对是否响应是否偏离做出说明</w:t>
      </w:r>
      <w:r>
        <w:rPr>
          <w:rFonts w:hint="eastAsia" w:ascii="宋体" w:hAnsi="宋体"/>
          <w:b/>
          <w:bCs/>
          <w:color w:val="auto"/>
          <w:sz w:val="30"/>
          <w:szCs w:val="30"/>
          <w:highlight w:val="none"/>
          <w:lang w:eastAsia="zh-CN"/>
        </w:rPr>
        <w:t>）</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pPr>
        <w:pStyle w:val="18"/>
        <w:pageBreakBefore w:val="0"/>
        <w:kinsoku/>
        <w:overflowPunct/>
        <w:bidi w:val="0"/>
        <w:adjustRightInd w:val="0"/>
        <w:snapToGrid w:val="0"/>
        <w:spacing w:line="360" w:lineRule="auto"/>
        <w:ind w:right="0" w:rightChars="0"/>
        <w:rPr>
          <w:rFonts w:hint="eastAsia"/>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p>
    <w:p>
      <w:pPr>
        <w:pageBreakBefore w:val="0"/>
        <w:tabs>
          <w:tab w:val="left" w:pos="7584"/>
        </w:tabs>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ab/>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7"/>
        <w:pageBreakBefore w:val="0"/>
        <w:kinsoku/>
        <w:overflowPunct/>
        <w:bidi w:val="0"/>
        <w:adjustRightInd w:val="0"/>
        <w:snapToGrid w:val="0"/>
        <w:spacing w:after="0" w:line="360" w:lineRule="auto"/>
        <w:ind w:right="0" w:rightChars="0"/>
        <w:rPr>
          <w:rFonts w:hint="eastAsia" w:ascii="宋体" w:hAnsi="宋体" w:cs="宋体"/>
          <w:color w:val="auto"/>
          <w:szCs w:val="21"/>
          <w:highlight w:val="none"/>
        </w:rPr>
      </w:pPr>
    </w:p>
    <w:p>
      <w:pPr>
        <w:pStyle w:val="18"/>
        <w:pageBreakBefore w:val="0"/>
        <w:kinsoku/>
        <w:overflowPunct/>
        <w:bidi w:val="0"/>
        <w:adjustRightInd w:val="0"/>
        <w:snapToGrid w:val="0"/>
        <w:spacing w:line="360" w:lineRule="auto"/>
        <w:ind w:right="0" w:rightChars="0"/>
        <w:rPr>
          <w:rFonts w:hint="eastAsia" w:ascii="宋体" w:hAnsi="宋体" w:cs="宋体"/>
          <w:color w:val="auto"/>
          <w:szCs w:val="21"/>
          <w:highlight w:val="none"/>
        </w:rPr>
      </w:pPr>
    </w:p>
    <w:p>
      <w:pPr>
        <w:pageBreakBefore w:val="0"/>
        <w:kinsoku/>
        <w:overflowPunct/>
        <w:bidi w:val="0"/>
        <w:adjustRightInd w:val="0"/>
        <w:snapToGrid w:val="0"/>
        <w:spacing w:line="360" w:lineRule="auto"/>
        <w:ind w:right="0" w:rightChars="0"/>
        <w:rPr>
          <w:rFonts w:hint="eastAsia" w:ascii="宋体" w:hAnsi="宋体" w:cs="宋体"/>
          <w:color w:val="auto"/>
          <w:szCs w:val="21"/>
          <w:highlight w:val="none"/>
        </w:rPr>
      </w:pPr>
    </w:p>
    <w:p>
      <w:pPr>
        <w:pStyle w:val="17"/>
        <w:pageBreakBefore w:val="0"/>
        <w:kinsoku/>
        <w:overflowPunct/>
        <w:bidi w:val="0"/>
        <w:adjustRightInd w:val="0"/>
        <w:snapToGrid w:val="0"/>
        <w:spacing w:after="0" w:line="360" w:lineRule="auto"/>
        <w:ind w:right="0" w:rightChars="0"/>
        <w:rPr>
          <w:rFonts w:hint="eastAsia" w:ascii="宋体" w:hAnsi="宋体" w:cs="宋体"/>
          <w:color w:val="auto"/>
          <w:szCs w:val="21"/>
          <w:highlight w:val="none"/>
        </w:rPr>
      </w:pPr>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0"/>
          <w:szCs w:val="30"/>
          <w:highlight w:val="none"/>
        </w:rPr>
      </w:pPr>
      <w:bookmarkStart w:id="199" w:name="_Toc23407"/>
      <w:r>
        <w:rPr>
          <w:rFonts w:hint="eastAsia" w:ascii="宋体" w:hAnsi="宋体"/>
          <w:b/>
          <w:bCs/>
          <w:color w:val="auto"/>
          <w:sz w:val="30"/>
          <w:szCs w:val="30"/>
          <w:highlight w:val="none"/>
          <w:lang w:eastAsia="zh-CN"/>
        </w:rPr>
        <w:t>五</w:t>
      </w:r>
      <w:r>
        <w:rPr>
          <w:rFonts w:hint="eastAsia" w:ascii="宋体" w:hAnsi="宋体"/>
          <w:b/>
          <w:bCs/>
          <w:color w:val="auto"/>
          <w:sz w:val="30"/>
          <w:szCs w:val="30"/>
          <w:highlight w:val="none"/>
        </w:rPr>
        <w:t>、资格审查资料</w:t>
      </w:r>
      <w:bookmarkEnd w:id="194"/>
      <w:bookmarkEnd w:id="199"/>
    </w:p>
    <w:p>
      <w:pPr>
        <w:pStyle w:val="8"/>
        <w:pageBreakBefore w:val="0"/>
        <w:kinsoku/>
        <w:overflowPunct/>
        <w:bidi w:val="0"/>
        <w:adjustRightInd w:val="0"/>
        <w:snapToGrid w:val="0"/>
        <w:spacing w:beforeAutospacing="0" w:after="0" w:afterAutospacing="0" w:line="360" w:lineRule="auto"/>
        <w:ind w:left="0" w:leftChars="0" w:right="0" w:rightChars="0"/>
        <w:jc w:val="center"/>
        <w:rPr>
          <w:color w:val="auto"/>
          <w:sz w:val="24"/>
          <w:highlight w:val="none"/>
        </w:rPr>
      </w:pPr>
      <w:r>
        <w:rPr>
          <w:rFonts w:hint="eastAsia"/>
          <w:color w:val="auto"/>
          <w:sz w:val="24"/>
          <w:highlight w:val="none"/>
        </w:rPr>
        <w:t>根据招标文件要求提供。</w:t>
      </w:r>
      <w:r>
        <w:rPr>
          <w:rFonts w:hint="eastAsia"/>
          <w:color w:val="auto"/>
          <w:sz w:val="24"/>
          <w:highlight w:val="none"/>
        </w:rPr>
        <w:br w:type="page"/>
      </w:r>
      <w:bookmarkStart w:id="200" w:name="_Toc21262"/>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default" w:ascii="宋体" w:hAnsi="宋体" w:eastAsia="宋体"/>
          <w:b/>
          <w:bCs/>
          <w:color w:val="auto"/>
          <w:sz w:val="30"/>
          <w:szCs w:val="30"/>
          <w:highlight w:val="none"/>
          <w:lang w:val="en-US" w:eastAsia="zh-CN"/>
        </w:rPr>
      </w:pPr>
      <w:bookmarkStart w:id="201" w:name="_Toc11247"/>
      <w:bookmarkStart w:id="202" w:name="_Toc17217"/>
      <w:r>
        <w:rPr>
          <w:rFonts w:hint="eastAsia" w:ascii="宋体" w:hAnsi="宋体"/>
          <w:b/>
          <w:bCs/>
          <w:color w:val="auto"/>
          <w:sz w:val="30"/>
          <w:szCs w:val="30"/>
          <w:highlight w:val="none"/>
          <w:lang w:eastAsia="zh-CN"/>
        </w:rPr>
        <w:t>六、</w:t>
      </w:r>
      <w:bookmarkEnd w:id="201"/>
      <w:bookmarkEnd w:id="202"/>
      <w:r>
        <w:rPr>
          <w:rFonts w:hint="eastAsia" w:ascii="宋体" w:hAnsi="宋体"/>
          <w:b/>
          <w:bCs/>
          <w:color w:val="auto"/>
          <w:sz w:val="30"/>
          <w:szCs w:val="30"/>
          <w:highlight w:val="none"/>
          <w:lang w:val="en-US" w:eastAsia="zh-CN"/>
        </w:rPr>
        <w:t>商务部分</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结合招标文件评分办法提供</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highlight w:val="none"/>
        </w:rPr>
      </w:pPr>
      <w:r>
        <w:rPr>
          <w:rFonts w:ascii="宋体" w:hAnsi="宋体" w:cs="宋体"/>
          <w:color w:val="auto"/>
          <w:highlight w:val="none"/>
        </w:rPr>
        <w:br w:type="page"/>
      </w:r>
      <w:r>
        <w:rPr>
          <w:rFonts w:hint="eastAsia" w:ascii="宋体" w:hAnsi="宋体" w:cs="宋体"/>
          <w:color w:val="auto"/>
          <w:highlight w:val="none"/>
        </w:rPr>
        <w:t>附表：</w:t>
      </w:r>
    </w:p>
    <w:p>
      <w:pPr>
        <w:pageBreakBefore w:val="0"/>
        <w:kinsoku/>
        <w:overflowPunct/>
        <w:bidi w:val="0"/>
        <w:adjustRightInd w:val="0"/>
        <w:snapToGrid w:val="0"/>
        <w:spacing w:beforeAutospacing="0" w:afterAutospacing="0" w:line="360" w:lineRule="auto"/>
        <w:ind w:left="0" w:leftChars="0" w:right="0" w:rightChars="0" w:firstLine="3479" w:firstLineChars="1650"/>
        <w:rPr>
          <w:rFonts w:ascii="宋体" w:hAnsi="宋体" w:cs="宋体"/>
          <w:b/>
          <w:bCs/>
          <w:color w:val="auto"/>
          <w:highlight w:val="none"/>
        </w:rPr>
      </w:pPr>
      <w:r>
        <w:rPr>
          <w:rFonts w:hint="eastAsia" w:ascii="宋体" w:hAnsi="宋体" w:cs="宋体"/>
          <w:b/>
          <w:bCs/>
          <w:color w:val="auto"/>
          <w:highlight w:val="none"/>
        </w:rPr>
        <w:t>企业业绩情况表</w:t>
      </w:r>
    </w:p>
    <w:p>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highlight w:val="none"/>
        </w:rPr>
      </w:pPr>
    </w:p>
    <w:tbl>
      <w:tblPr>
        <w:tblStyle w:val="19"/>
        <w:tblW w:w="0" w:type="auto"/>
        <w:tblInd w:w="107" w:type="dxa"/>
        <w:tblLayout w:type="fixed"/>
        <w:tblCellMar>
          <w:top w:w="0" w:type="dxa"/>
          <w:left w:w="0" w:type="dxa"/>
          <w:bottom w:w="0" w:type="dxa"/>
          <w:right w:w="0" w:type="dxa"/>
        </w:tblCellMar>
      </w:tblPr>
      <w:tblGrid>
        <w:gridCol w:w="2269"/>
        <w:gridCol w:w="6254"/>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highlight w:val="none"/>
              </w:rPr>
            </w:pPr>
            <w:r>
              <w:rPr>
                <w:rFonts w:hint="eastAsia" w:ascii="宋体" w:hAnsi="宋体" w:cs="宋体"/>
                <w:color w:val="auto"/>
                <w:highlight w:val="none"/>
              </w:rPr>
              <w:t>序号</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highlight w:val="none"/>
              </w:rPr>
            </w:pPr>
            <w:r>
              <w:rPr>
                <w:rFonts w:hint="eastAsia" w:ascii="宋体" w:hAnsi="宋体" w:cs="宋体"/>
                <w:color w:val="auto"/>
                <w:highlight w:val="none"/>
              </w:rPr>
              <w:t>项目名称</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highlight w:val="none"/>
              </w:rPr>
            </w:pPr>
            <w:r>
              <w:rPr>
                <w:rFonts w:hint="eastAsia" w:ascii="宋体" w:hAnsi="宋体" w:cs="宋体"/>
                <w:color w:val="auto"/>
                <w:highlight w:val="none"/>
              </w:rPr>
              <w:t>项目所在地</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highlight w:val="none"/>
              </w:rPr>
            </w:pPr>
            <w:r>
              <w:rPr>
                <w:rFonts w:hint="eastAsia" w:ascii="宋体" w:hAnsi="宋体" w:cs="宋体"/>
                <w:color w:val="auto"/>
                <w:highlight w:val="none"/>
              </w:rPr>
              <w:t>招标人名称</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25"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highlight w:val="none"/>
              </w:rPr>
            </w:pPr>
            <w:r>
              <w:rPr>
                <w:rFonts w:hint="eastAsia" w:ascii="宋体" w:hAnsi="宋体" w:cs="宋体"/>
                <w:color w:val="auto"/>
                <w:highlight w:val="none"/>
              </w:rPr>
              <w:t>招标人联系电话</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highlight w:val="none"/>
              </w:rPr>
            </w:pPr>
            <w:r>
              <w:rPr>
                <w:rFonts w:hint="eastAsia" w:ascii="宋体" w:hAnsi="宋体" w:cs="宋体"/>
                <w:color w:val="auto"/>
                <w:highlight w:val="none"/>
              </w:rPr>
              <w:t>合同金额（元）</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highlight w:val="none"/>
              </w:rPr>
            </w:pPr>
            <w:r>
              <w:rPr>
                <w:rFonts w:hint="eastAsia" w:ascii="宋体" w:hAnsi="宋体" w:cs="宋体"/>
                <w:color w:val="auto"/>
                <w:highlight w:val="none"/>
              </w:rPr>
              <w:t>合同签订时间</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r>
        <w:tblPrEx>
          <w:tblCellMar>
            <w:top w:w="0" w:type="dxa"/>
            <w:left w:w="0" w:type="dxa"/>
            <w:bottom w:w="0" w:type="dxa"/>
            <w:right w:w="0" w:type="dxa"/>
          </w:tblCellMar>
        </w:tblPrEx>
        <w:trPr>
          <w:trHeight w:val="61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highlight w:val="none"/>
              </w:rPr>
            </w:pPr>
            <w:r>
              <w:rPr>
                <w:rFonts w:hint="eastAsia" w:ascii="宋体" w:hAnsi="宋体" w:cs="宋体"/>
                <w:color w:val="auto"/>
                <w:highlight w:val="none"/>
              </w:rPr>
              <w:t>备注</w:t>
            </w:r>
          </w:p>
        </w:tc>
        <w:tc>
          <w:tcPr>
            <w:tcW w:w="6254"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highlight w:val="none"/>
              </w:rPr>
            </w:pPr>
          </w:p>
        </w:tc>
      </w:tr>
    </w:tbl>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highlight w:val="none"/>
        </w:rPr>
      </w:pPr>
    </w:p>
    <w:p>
      <w:pPr>
        <w:pageBreakBefore w:val="0"/>
        <w:kinsoku/>
        <w:overflowPunct/>
        <w:bidi w:val="0"/>
        <w:adjustRightInd w:val="0"/>
        <w:snapToGrid w:val="0"/>
        <w:spacing w:beforeAutospacing="0" w:afterAutospacing="0" w:line="360" w:lineRule="auto"/>
        <w:ind w:left="0" w:leftChars="0" w:right="0" w:rightChars="0" w:firstLine="422" w:firstLineChars="200"/>
        <w:rPr>
          <w:rFonts w:hint="eastAsia" w:ascii="宋体" w:hAnsi="宋体" w:cs="宋体"/>
          <w:b/>
          <w:color w:val="auto"/>
          <w:highlight w:val="none"/>
        </w:rPr>
      </w:pPr>
      <w:r>
        <w:rPr>
          <w:rFonts w:hint="eastAsia" w:ascii="宋体" w:hAnsi="宋体" w:cs="宋体"/>
          <w:b/>
          <w:color w:val="auto"/>
          <w:highlight w:val="none"/>
        </w:rPr>
        <w:t>备注：附清晰可辨的中标通知书、合同协议，并附中标候选人公示或中标结果公告或成交公告任意一个相关官方网站截图。</w:t>
      </w:r>
    </w:p>
    <w:p>
      <w:pPr>
        <w:pageBreakBefore w:val="0"/>
        <w:kinsoku/>
        <w:overflowPunct/>
        <w:bidi w:val="0"/>
        <w:adjustRightInd w:val="0"/>
        <w:snapToGrid w:val="0"/>
        <w:spacing w:beforeAutospacing="0" w:afterAutospacing="0" w:line="360" w:lineRule="auto"/>
        <w:ind w:left="0" w:leftChars="0" w:right="0" w:rightChars="0" w:firstLine="422" w:firstLineChars="200"/>
        <w:rPr>
          <w:rFonts w:hint="eastAsia" w:ascii="宋体" w:hAnsi="宋体" w:cs="宋体"/>
          <w:b/>
          <w:color w:val="auto"/>
          <w:highlight w:val="none"/>
        </w:rPr>
      </w:pPr>
      <w:r>
        <w:rPr>
          <w:rFonts w:hint="eastAsia" w:ascii="宋体" w:hAnsi="宋体" w:cs="宋体"/>
          <w:b/>
          <w:color w:val="auto"/>
          <w:highlight w:val="none"/>
        </w:rPr>
        <w:t>相关官方网站截图指：中国招标投标公共服务平台或省级电子招标投标公共服务平台或中国政府采购网或其他省、市、县政府采购网或全国公共资源交易平台或省、市、县级公共资源交易中心网站。</w:t>
      </w:r>
    </w:p>
    <w:p>
      <w:pPr>
        <w:pageBreakBefore w:val="0"/>
        <w:kinsoku/>
        <w:overflowPunct/>
        <w:bidi w:val="0"/>
        <w:adjustRightInd w:val="0"/>
        <w:snapToGrid w:val="0"/>
        <w:spacing w:beforeAutospacing="0" w:afterAutospacing="0" w:line="360" w:lineRule="auto"/>
        <w:ind w:left="0" w:leftChars="0" w:right="0" w:rightChars="0" w:firstLine="422" w:firstLineChars="200"/>
        <w:rPr>
          <w:rFonts w:hint="eastAsia" w:ascii="宋体" w:hAnsi="宋体" w:cs="宋体"/>
          <w:b/>
          <w:color w:val="auto"/>
          <w:highlight w:val="none"/>
        </w:rPr>
      </w:pPr>
      <w:r>
        <w:rPr>
          <w:rFonts w:hint="eastAsia" w:ascii="宋体" w:hAnsi="宋体" w:cs="宋体"/>
          <w:b/>
          <w:color w:val="auto"/>
          <w:highlight w:val="none"/>
        </w:rPr>
        <w:t>每张表格只填写一个项目，并标明序号。</w:t>
      </w:r>
      <w:r>
        <w:rPr>
          <w:rFonts w:hint="eastAsia" w:ascii="宋体" w:hAnsi="宋体" w:cs="宋体"/>
          <w:b/>
          <w:color w:val="auto"/>
          <w:highlight w:val="none"/>
        </w:rPr>
        <w:br w:type="page"/>
      </w:r>
    </w:p>
    <w:bookmarkEnd w:id="195"/>
    <w:bookmarkEnd w:id="196"/>
    <w:bookmarkEnd w:id="197"/>
    <w:bookmarkEnd w:id="198"/>
    <w:bookmarkEnd w:id="200"/>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0"/>
          <w:szCs w:val="30"/>
          <w:highlight w:val="none"/>
        </w:rPr>
      </w:pPr>
      <w:bookmarkStart w:id="203" w:name="_Toc27879"/>
      <w:bookmarkStart w:id="204" w:name="_Toc13804"/>
      <w:r>
        <w:rPr>
          <w:rFonts w:hint="eastAsia" w:ascii="宋体" w:hAnsi="宋体"/>
          <w:b/>
          <w:bCs/>
          <w:color w:val="auto"/>
          <w:sz w:val="30"/>
          <w:szCs w:val="30"/>
          <w:highlight w:val="none"/>
          <w:lang w:eastAsia="zh-CN"/>
        </w:rPr>
        <w:t>七</w:t>
      </w:r>
      <w:r>
        <w:rPr>
          <w:rFonts w:hint="eastAsia" w:ascii="宋体" w:hAnsi="宋体"/>
          <w:b/>
          <w:bCs/>
          <w:color w:val="auto"/>
          <w:sz w:val="30"/>
          <w:szCs w:val="30"/>
          <w:highlight w:val="none"/>
        </w:rPr>
        <w:t>、投标主要产品技术资料</w:t>
      </w:r>
      <w:bookmarkEnd w:id="203"/>
      <w:bookmarkEnd w:id="204"/>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0"/>
          <w:highlight w:val="none"/>
        </w:rPr>
        <w:t>检测报告</w:t>
      </w:r>
      <w:r>
        <w:rPr>
          <w:rFonts w:hint="eastAsia" w:ascii="宋体" w:hAnsi="宋体" w:cs="宋体"/>
          <w:color w:val="auto"/>
          <w:kern w:val="0"/>
          <w:sz w:val="24"/>
          <w:szCs w:val="20"/>
          <w:highlight w:val="none"/>
        </w:rPr>
        <w:t>等证明材料</w:t>
      </w:r>
      <w:r>
        <w:rPr>
          <w:rFonts w:hint="eastAsia" w:ascii="宋体" w:hAnsi="宋体" w:cs="宋体"/>
          <w:color w:val="auto"/>
          <w:kern w:val="0"/>
          <w:sz w:val="24"/>
          <w:szCs w:val="20"/>
          <w:highlight w:val="none"/>
          <w:lang w:eastAsia="zh-CN"/>
        </w:rPr>
        <w:t>，</w:t>
      </w:r>
      <w:r>
        <w:rPr>
          <w:rFonts w:hint="eastAsia" w:ascii="宋体" w:hAnsi="宋体" w:cs="宋体"/>
          <w:color w:val="auto"/>
          <w:sz w:val="24"/>
          <w:szCs w:val="24"/>
          <w:highlight w:val="none"/>
        </w:rPr>
        <w:t>结合招标文件评分办法提供</w:t>
      </w:r>
    </w:p>
    <w:p>
      <w:pPr>
        <w:pageBreakBefore w:val="0"/>
        <w:kinsoku/>
        <w:overflowPunct/>
        <w:bidi w:val="0"/>
        <w:adjustRightInd w:val="0"/>
        <w:snapToGrid w:val="0"/>
        <w:spacing w:beforeAutospacing="0" w:afterAutospacing="0" w:line="360" w:lineRule="auto"/>
        <w:ind w:left="0" w:leftChars="0" w:right="0" w:rightChars="0" w:firstLine="240" w:firstLineChars="100"/>
        <w:jc w:val="center"/>
        <w:rPr>
          <w:rFonts w:hint="eastAsia" w:ascii="宋体" w:hAnsi="宋体" w:eastAsia="宋体" w:cs="宋体"/>
          <w:color w:val="auto"/>
          <w:sz w:val="24"/>
          <w:szCs w:val="20"/>
          <w:highlight w:val="none"/>
          <w:lang w:eastAsia="zh-CN"/>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rPr>
      </w:pPr>
    </w:p>
    <w:p>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olor w:val="auto"/>
          <w:sz w:val="30"/>
          <w:szCs w:val="30"/>
          <w:highlight w:val="none"/>
          <w:lang w:eastAsia="zh-CN"/>
        </w:rPr>
      </w:pPr>
      <w:r>
        <w:rPr>
          <w:rFonts w:hint="eastAsia" w:cs="宋体"/>
          <w:color w:val="auto"/>
          <w:sz w:val="24"/>
          <w:szCs w:val="20"/>
          <w:highlight w:val="none"/>
        </w:rPr>
        <w:br w:type="page"/>
      </w:r>
      <w:bookmarkStart w:id="205" w:name="_Toc19275"/>
      <w:r>
        <w:rPr>
          <w:rFonts w:hint="eastAsia" w:ascii="宋体" w:hAnsi="宋体" w:eastAsia="宋体"/>
          <w:color w:val="auto"/>
          <w:sz w:val="30"/>
          <w:szCs w:val="30"/>
          <w:highlight w:val="none"/>
          <w:lang w:eastAsia="zh-CN"/>
        </w:rPr>
        <w:t>八</w:t>
      </w:r>
      <w:r>
        <w:rPr>
          <w:rFonts w:hint="eastAsia" w:ascii="宋体" w:hAnsi="宋体" w:eastAsia="宋体"/>
          <w:color w:val="auto"/>
          <w:sz w:val="30"/>
          <w:szCs w:val="30"/>
          <w:highlight w:val="none"/>
        </w:rPr>
        <w:t>、</w:t>
      </w:r>
      <w:bookmarkEnd w:id="205"/>
      <w:r>
        <w:rPr>
          <w:rFonts w:hint="eastAsia" w:ascii="宋体" w:hAnsi="宋体" w:eastAsia="宋体"/>
          <w:color w:val="auto"/>
          <w:sz w:val="30"/>
          <w:szCs w:val="30"/>
          <w:highlight w:val="none"/>
          <w:lang w:val="en-US" w:eastAsia="zh-CN"/>
        </w:rPr>
        <w:t>技术部分</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结合招标文件评分办法提供</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bookmarkStart w:id="206" w:name="_Toc25128"/>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p>
    <w:p>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lang w:eastAsia="zh-CN"/>
        </w:rPr>
        <w:t>九</w:t>
      </w:r>
      <w:r>
        <w:rPr>
          <w:rFonts w:hint="eastAsia" w:ascii="宋体" w:hAnsi="宋体"/>
          <w:b/>
          <w:bCs/>
          <w:color w:val="auto"/>
          <w:sz w:val="30"/>
          <w:szCs w:val="30"/>
          <w:highlight w:val="none"/>
        </w:rPr>
        <w:t>、其他资料</w:t>
      </w:r>
      <w:bookmarkEnd w:id="206"/>
    </w:p>
    <w:p>
      <w:pPr>
        <w:pStyle w:val="6"/>
        <w:pageBreakBefore w:val="0"/>
        <w:kinsoku/>
        <w:overflowPunct/>
        <w:bidi w:val="0"/>
        <w:adjustRightInd w:val="0"/>
        <w:snapToGrid w:val="0"/>
        <w:spacing w:beforeAutospacing="0" w:after="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（一）招标文件要求提供的其他材料</w:t>
      </w:r>
    </w:p>
    <w:p>
      <w:pPr>
        <w:pStyle w:val="6"/>
        <w:pageBreakBefore w:val="0"/>
        <w:kinsoku/>
        <w:overflowPunct/>
        <w:bidi w:val="0"/>
        <w:adjustRightInd w:val="0"/>
        <w:snapToGrid w:val="0"/>
        <w:spacing w:beforeAutospacing="0" w:after="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（二）投标人认为需要提供的其他材料</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sectPr>
          <w:pgSz w:w="11906" w:h="16838"/>
          <w:pgMar w:top="1417" w:right="1247" w:bottom="1417" w:left="1247" w:header="851" w:footer="992" w:gutter="0"/>
          <w:pgNumType w:fmt="decimal"/>
          <w:cols w:space="720" w:num="1"/>
          <w:titlePg/>
          <w:docGrid w:type="lines" w:linePitch="312" w:charSpace="0"/>
        </w:sectPr>
      </w:pP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rFonts w:hint="eastAsia"/>
          <w:b/>
          <w:bCs/>
          <w:color w:val="auto"/>
          <w:highlight w:val="none"/>
        </w:rPr>
        <w:t>附件格式：</w:t>
      </w: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书面声明</w:t>
      </w: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灵宝市寺河乡人民政府</w:t>
      </w: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我公司具有履行合同所须的资金、设备及能力,具有健全的财务会计制度,没有处于被责令停业、无法清偿到期债务或破产状态,且企业或企业资产未被重组、接管和冻结；</w:t>
      </w:r>
    </w:p>
    <w:p>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我公司三年内没有重大违法犯罪记录和重大失信行为；三年内没有经司法机关裁定存在组织或个人行贿行为；</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我公司符合本项目规定的投标人资格所有要求；</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在相关案件查办时，我公司积极配合提供证据、作证的义务，如果发生拒不配合调查工作的情形，招标人有权采取警示约谈、降低考核评价分数、降低供货份额、缩短服务期限、终止或解除合同等多种处理措施。</w:t>
      </w:r>
    </w:p>
    <w:p>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特此声明</w:t>
      </w:r>
    </w:p>
    <w:p>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u w:val="singl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8"/>
          <w:highlight w:val="none"/>
        </w:rPr>
      </w:pP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p>
    <w:p>
      <w:pPr>
        <w:pStyle w:val="17"/>
        <w:pageBreakBefore w:val="0"/>
        <w:kinsoku/>
        <w:overflowPunct/>
        <w:bidi w:val="0"/>
        <w:adjustRightInd w:val="0"/>
        <w:snapToGrid w:val="0"/>
        <w:spacing w:beforeAutospacing="0" w:after="0" w:afterAutospacing="0" w:line="360" w:lineRule="auto"/>
        <w:ind w:left="0" w:leftChars="0" w:right="0" w:rightChars="0" w:firstLine="210"/>
        <w:rPr>
          <w:rFonts w:hint="eastAsia"/>
          <w:color w:val="auto"/>
          <w:highlight w:val="none"/>
        </w:rPr>
      </w:pPr>
    </w:p>
    <w:p>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olor w:val="auto"/>
          <w:highlight w:val="none"/>
        </w:rPr>
        <w:br w:type="page"/>
      </w:r>
      <w:r>
        <w:rPr>
          <w:rFonts w:hint="eastAsia" w:ascii="宋体" w:hAnsi="宋体" w:eastAsia="宋体" w:cs="宋体"/>
          <w:b/>
          <w:bCs/>
          <w:color w:val="auto"/>
          <w:sz w:val="32"/>
          <w:szCs w:val="32"/>
          <w:highlight w:val="none"/>
        </w:rPr>
        <w:t>中小企业声明函（货物）</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采购活动，提供的货物全部由符合政策要求的中小企业制造。相关企业（含联合体中的中小企业、签订分包意向协议的中小企业）的具体情况如下：</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 </w:t>
      </w:r>
      <w:r>
        <w:rPr>
          <w:rFonts w:hint="eastAsia" w:ascii="宋体" w:hAnsi="宋体" w:eastAsia="宋体" w:cs="宋体"/>
          <w:color w:val="auto"/>
          <w:sz w:val="24"/>
          <w:szCs w:val="20"/>
          <w:highlight w:val="none"/>
          <w:u w:val="single"/>
        </w:rPr>
        <w:t xml:space="preserve">（标的名称）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（采购文件中明确的所属行业）行业</w:t>
      </w:r>
      <w:r>
        <w:rPr>
          <w:rFonts w:hint="eastAsia" w:ascii="宋体" w:hAnsi="宋体" w:eastAsia="宋体" w:cs="宋体"/>
          <w:color w:val="auto"/>
          <w:sz w:val="24"/>
          <w:szCs w:val="20"/>
          <w:highlight w:val="none"/>
        </w:rPr>
        <w:t>；制造商为</w:t>
      </w:r>
      <w:r>
        <w:rPr>
          <w:rFonts w:hint="eastAsia" w:ascii="宋体" w:hAnsi="宋体" w:eastAsia="宋体" w:cs="宋体"/>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w:t>
      </w:r>
      <w:r>
        <w:rPr>
          <w:rFonts w:hint="eastAsia" w:ascii="宋体" w:hAnsi="宋体" w:eastAsia="宋体" w:cs="宋体"/>
          <w:color w:val="auto"/>
          <w:sz w:val="24"/>
          <w:szCs w:val="20"/>
          <w:highlight w:val="none"/>
          <w:vertAlign w:val="superscript"/>
        </w:rPr>
        <w:t>1</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 </w:t>
      </w:r>
      <w:r>
        <w:rPr>
          <w:rFonts w:hint="eastAsia" w:ascii="宋体" w:hAnsi="宋体" w:eastAsia="宋体" w:cs="宋体"/>
          <w:color w:val="auto"/>
          <w:sz w:val="24"/>
          <w:szCs w:val="20"/>
          <w:highlight w:val="none"/>
          <w:u w:val="single"/>
        </w:rPr>
        <w:t xml:space="preserve">（标的名称）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（采购文件中明确的所属行业）行业</w:t>
      </w:r>
      <w:r>
        <w:rPr>
          <w:rFonts w:hint="eastAsia" w:ascii="宋体" w:hAnsi="宋体" w:eastAsia="宋体" w:cs="宋体"/>
          <w:color w:val="auto"/>
          <w:sz w:val="24"/>
          <w:szCs w:val="20"/>
          <w:highlight w:val="none"/>
        </w:rPr>
        <w:t>；制造商为</w:t>
      </w:r>
      <w:r>
        <w:rPr>
          <w:rFonts w:hint="eastAsia" w:ascii="宋体" w:hAnsi="宋体" w:eastAsia="宋体" w:cs="宋体"/>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以上企业，不属于大企业的分支机构，不存在控股股东为大企业的情形，也不存在与大企业的负责人为同一人的情形。</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本企业对上述声明内容的真实性负责。如有虚假，将依法承担相应责任。</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cs="宋体"/>
          <w:kern w:val="0"/>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firstLine="42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注：（属于中小微企业的填写</w:t>
      </w:r>
      <w:r>
        <w:rPr>
          <w:rFonts w:hint="eastAsia" w:ascii="宋体" w:hAnsi="宋体" w:cs="宋体"/>
          <w:b/>
          <w:bCs/>
          <w:szCs w:val="24"/>
          <w:highlight w:val="none"/>
          <w:lang w:val="en-US" w:eastAsia="zh-CN"/>
        </w:rPr>
        <w:t>并提供证明材料</w:t>
      </w:r>
      <w:r>
        <w:rPr>
          <w:rFonts w:hint="eastAsia" w:ascii="宋体" w:hAnsi="宋体" w:eastAsia="宋体" w:cs="宋体"/>
          <w:b/>
          <w:bCs/>
          <w:szCs w:val="24"/>
          <w:highlight w:val="none"/>
        </w:rPr>
        <w:t>，不属于的无需填写此项内容</w:t>
      </w:r>
      <w:r>
        <w:rPr>
          <w:rFonts w:hint="eastAsia" w:ascii="宋体" w:hAnsi="宋体" w:cs="宋体"/>
          <w:b/>
          <w:bCs/>
          <w:szCs w:val="24"/>
          <w:highlight w:val="none"/>
          <w:lang w:eastAsia="zh-CN"/>
        </w:rPr>
        <w:t>，</w:t>
      </w:r>
      <w:r>
        <w:rPr>
          <w:rFonts w:hint="eastAsia" w:ascii="宋体" w:hAnsi="宋体" w:eastAsia="宋体" w:cs="宋体"/>
          <w:b/>
          <w:bCs/>
          <w:szCs w:val="24"/>
          <w:highlight w:val="none"/>
          <w:lang w:val="en-US" w:eastAsia="zh-CN"/>
        </w:rPr>
        <w:t>不删除本项，标明不属于</w:t>
      </w:r>
      <w:r>
        <w:rPr>
          <w:rFonts w:hint="eastAsia" w:ascii="宋体" w:hAnsi="宋体" w:cs="宋体"/>
          <w:b/>
          <w:bCs/>
          <w:szCs w:val="24"/>
          <w:highlight w:val="none"/>
          <w:lang w:val="en-US" w:eastAsia="zh-CN"/>
        </w:rPr>
        <w:t>中小</w:t>
      </w:r>
      <w:r>
        <w:rPr>
          <w:rFonts w:hint="eastAsia" w:ascii="宋体" w:hAnsi="宋体" w:eastAsia="宋体" w:cs="宋体"/>
          <w:b/>
          <w:bCs/>
          <w:szCs w:val="24"/>
          <w:highlight w:val="none"/>
          <w:lang w:val="en-US" w:eastAsia="zh-CN"/>
        </w:rPr>
        <w:t>企业</w:t>
      </w:r>
      <w:r>
        <w:rPr>
          <w:rFonts w:hint="eastAsia" w:ascii="宋体" w:hAnsi="宋体" w:eastAsia="宋体" w:cs="宋体"/>
          <w:b/>
          <w:bCs/>
          <w:szCs w:val="24"/>
          <w:highlight w:val="none"/>
        </w:rPr>
        <w:t>）</w:t>
      </w:r>
    </w:p>
    <w:p>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p>
    <w:p>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注：1、从业人员、营业收入、资产总额填报上一年度数据，无上一年度数据的新成立企业可不填报。</w:t>
      </w:r>
    </w:p>
    <w:p>
      <w:pPr>
        <w:pageBreakBefore w:val="0"/>
        <w:kinsoku/>
        <w:overflowPunct/>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0"/>
          <w:highlight w:val="none"/>
        </w:rPr>
        <w:t>2、中小企业划分标准见工业和信息化部国家统计局国家发展和改革委员财政部《关于印发中小企业划型标准规定的通知》（工信部联企业【2011】300号）。</w:t>
      </w:r>
    </w:p>
    <w:p>
      <w:pPr>
        <w:pStyle w:val="12"/>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sectPr>
          <w:pgSz w:w="11906" w:h="16838"/>
          <w:pgMar w:top="1417" w:right="1247" w:bottom="1417" w:left="1247" w:header="851" w:footer="992" w:gutter="0"/>
          <w:pgNumType w:fmt="decimal"/>
          <w:cols w:space="720" w:num="1"/>
          <w:titlePg/>
          <w:docGrid w:type="lines" w:linePitch="312" w:charSpace="0"/>
        </w:sectPr>
      </w:pP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8"/>
          <w:highlight w:val="none"/>
          <w:lang w:eastAsia="zh-CN"/>
        </w:rPr>
      </w:pPr>
      <w:r>
        <w:rPr>
          <w:rFonts w:hint="eastAsia" w:ascii="宋体" w:hAnsi="宋体"/>
          <w:b/>
          <w:bCs/>
          <w:color w:val="auto"/>
          <w:sz w:val="28"/>
          <w:szCs w:val="28"/>
          <w:highlight w:val="none"/>
          <w:lang w:eastAsia="zh-CN"/>
        </w:rPr>
        <w:t>残疾人福利性单位声明函</w:t>
      </w:r>
    </w:p>
    <w:p>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本单位郑重声明，根据《财政部民政部中国残疾人联合会关于促进残疾人就业政府采购政策的通知》（财库</w:t>
      </w:r>
      <w:r>
        <w:rPr>
          <w:rFonts w:hint="eastAsia" w:ascii="宋体" w:hAnsi="宋体"/>
          <w:color w:val="auto"/>
          <w:sz w:val="24"/>
          <w:szCs w:val="24"/>
          <w:highlight w:val="none"/>
          <w:lang w:eastAsia="zh-CN"/>
        </w:rPr>
        <w:t>〔2017〕 141</w:t>
      </w:r>
      <w:r>
        <w:rPr>
          <w:rFonts w:hint="eastAsia" w:ascii="宋体" w:hAnsi="宋体"/>
          <w:color w:val="auto"/>
          <w:spacing w:val="6"/>
          <w:sz w:val="24"/>
          <w:szCs w:val="24"/>
          <w:highlight w:val="none"/>
          <w:lang w:eastAsia="zh-CN"/>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本单位对上述声明的真实性负责。如有虚假，将依法承担相应责任。</w:t>
      </w:r>
    </w:p>
    <w:p>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p>
    <w:p>
      <w:pPr>
        <w:pageBreakBefore w:val="0"/>
        <w:kinsoku/>
        <w:overflowPunct/>
        <w:bidi w:val="0"/>
        <w:adjustRightInd w:val="0"/>
        <w:snapToGrid w:val="0"/>
        <w:spacing w:beforeAutospacing="0" w:afterAutospacing="0" w:line="360" w:lineRule="auto"/>
        <w:ind w:left="0" w:leftChars="0" w:right="0" w:rightChars="0" w:firstLine="4320" w:firstLineChars="18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4320" w:firstLineChars="18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pPr>
        <w:pageBreakBefore w:val="0"/>
        <w:tabs>
          <w:tab w:val="left" w:pos="840"/>
        </w:tabs>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b/>
          <w:color w:val="auto"/>
          <w:sz w:val="24"/>
          <w:szCs w:val="24"/>
          <w:highlight w:val="none"/>
          <w:lang w:eastAsia="zh-CN"/>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（提醒：如果投标人不是残疾人福利性单位，则不需要提供</w:t>
      </w:r>
      <w:r>
        <w:rPr>
          <w:rFonts w:hint="eastAsia" w:ascii="宋体" w:hAnsi="宋体"/>
          <w:b/>
          <w:color w:val="auto"/>
          <w:sz w:val="24"/>
          <w:szCs w:val="24"/>
          <w:highlight w:val="none"/>
          <w:lang w:val="en-US" w:eastAsia="zh-CN"/>
        </w:rPr>
        <w:t>证明材料，不删除本项，标明不属于残疾人福利性单位</w:t>
      </w:r>
      <w:r>
        <w:rPr>
          <w:rFonts w:hint="eastAsia" w:ascii="宋体" w:hAnsi="宋体"/>
          <w:b/>
          <w:color w:val="auto"/>
          <w:sz w:val="24"/>
          <w:szCs w:val="24"/>
          <w:highlight w:val="none"/>
          <w:lang w:eastAsia="zh-CN"/>
        </w:rPr>
        <w:t>）</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《财政部民政部中国残疾人联合会关于促进残疾人就业政府采购政策的通知》（财库（2017〔141〕号）的规定：</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 享受政府采购支持政策的残疾人福利性单位应当同时满足以下条件：</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（1）安置的残疾人占本单位在职职工人数的比例不低于25%（含25%），并且安置的残疾人人数不少于10人（含10人）；</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（2）依法与安置的每位残疾人签订了一年以上（含一年）的劳动合同或服务协议；</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（3）为安置的每位残疾人按月足额缴纳了基本养老保险、基本医疗保险、失业保险、工伤保险和生育保险等社会保险费；</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（4）通过银行等金融机构向安置的每位残疾人，按月支付了不低于单位所在区县适用的经省级人民政府批准的月最低工资标准的工资；</w:t>
      </w:r>
    </w:p>
    <w:p>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（5）提供本单位制造的货物、承担的工程或者服务（以下简称产品），或者提供其他残疾人福利性单位制造的货物（不包括使用非残疾人福利性单位注册商标的货物）。</w:t>
      </w:r>
    </w:p>
    <w:p>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2.中标人为残疾人福利性单位的，采购人或者其委托的采购代理机构应当随中标、成交结果同时公告其《残疾人福利性单位声明函》，接受社会监督。</w:t>
      </w:r>
    </w:p>
    <w:p>
      <w:pPr>
        <w:pageBreakBefore w:val="0"/>
        <w:kinsoku/>
        <w:overflowPunct/>
        <w:bidi w:val="0"/>
        <w:adjustRightInd w:val="0"/>
        <w:snapToGrid w:val="0"/>
        <w:spacing w:beforeAutospacing="0" w:afterAutospacing="0" w:line="360" w:lineRule="auto"/>
        <w:ind w:left="0" w:leftChars="0" w:right="0" w:rightChars="0"/>
        <w:jc w:val="center"/>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br w:type="page"/>
      </w:r>
      <w:r>
        <w:rPr>
          <w:rFonts w:hint="eastAsia" w:ascii="宋体" w:hAnsi="宋体"/>
          <w:b/>
          <w:color w:val="auto"/>
          <w:sz w:val="28"/>
          <w:szCs w:val="28"/>
          <w:highlight w:val="none"/>
          <w:lang w:eastAsia="zh-CN"/>
        </w:rPr>
        <w:t>监狱企业证明文件</w:t>
      </w:r>
    </w:p>
    <w:p>
      <w:pPr>
        <w:pStyle w:val="7"/>
        <w:pageBreakBefore w:val="0"/>
        <w:kinsoku/>
        <w:overflowPunct/>
        <w:bidi w:val="0"/>
        <w:adjustRightInd w:val="0"/>
        <w:snapToGrid w:val="0"/>
        <w:spacing w:beforeAutospacing="0" w:after="0" w:afterAutospacing="0" w:line="360" w:lineRule="auto"/>
        <w:ind w:left="0" w:leftChars="0" w:right="0" w:rightChars="0"/>
        <w:rPr>
          <w:b/>
          <w:color w:val="auto"/>
          <w:sz w:val="28"/>
          <w:szCs w:val="28"/>
          <w:highlight w:val="none"/>
          <w:lang w:eastAsia="zh-CN"/>
        </w:rPr>
      </w:pPr>
    </w:p>
    <w:p>
      <w:pPr>
        <w:pStyle w:val="12"/>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r>
        <w:rPr>
          <w:rFonts w:hint="eastAsia" w:ascii="宋体" w:hAnsi="宋体"/>
          <w:color w:val="auto"/>
          <w:sz w:val="24"/>
          <w:szCs w:val="24"/>
          <w:highlight w:val="none"/>
          <w:lang w:eastAsia="zh-CN"/>
        </w:rPr>
        <w:t>（监狱企业参加政府采购活动时，应当提供由省级以上监狱管理局、戒毒管理局(含新疆生产建设兵团)出具的属于监狱企业的证明文</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widowControl/>
        <w:kinsoku/>
        <w:overflowPunct/>
        <w:bidi w:val="0"/>
        <w:adjustRightInd w:val="0"/>
        <w:snapToGrid w:val="0"/>
        <w:spacing w:beforeAutospacing="0" w:afterAutospacing="0" w:line="360" w:lineRule="auto"/>
        <w:ind w:left="0" w:leftChars="0" w:right="0" w:right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cs="宋体"/>
          <w:b/>
          <w:color w:val="000000"/>
          <w:sz w:val="24"/>
          <w:highlight w:val="none"/>
          <w:lang w:val="en-GB" w:eastAsia="zh-CN"/>
        </w:rPr>
        <w:t>，</w:t>
      </w:r>
      <w:r>
        <w:rPr>
          <w:rFonts w:hint="eastAsia" w:ascii="宋体" w:hAnsi="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firstLine="4320" w:firstLineChars="18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pPr>
        <w:pageBreakBefore w:val="0"/>
        <w:kinsoku/>
        <w:overflowPunct/>
        <w:bidi w:val="0"/>
        <w:adjustRightInd w:val="0"/>
        <w:snapToGrid w:val="0"/>
        <w:spacing w:beforeAutospacing="0" w:afterAutospacing="0" w:line="360" w:lineRule="auto"/>
        <w:ind w:left="0" w:leftChars="0" w:right="0" w:rightChars="0" w:firstLine="4320" w:firstLineChars="18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pPr>
        <w:pageBreakBefore w:val="0"/>
        <w:tabs>
          <w:tab w:val="left" w:pos="4860"/>
        </w:tabs>
        <w:kinsoku/>
        <w:overflowPunct/>
        <w:bidi w:val="0"/>
        <w:adjustRightInd w:val="0"/>
        <w:snapToGrid w:val="0"/>
        <w:spacing w:beforeAutospacing="0" w:afterAutospacing="0" w:line="360" w:lineRule="auto"/>
        <w:ind w:left="0" w:leftChars="0" w:right="0" w:rightChars="0" w:firstLine="504" w:firstLineChars="200"/>
        <w:jc w:val="center"/>
        <w:rPr>
          <w:rFonts w:ascii="宋体" w:hAnsi="宋体"/>
          <w:color w:val="auto"/>
          <w:spacing w:val="6"/>
          <w:sz w:val="24"/>
          <w:szCs w:val="24"/>
          <w:highlight w:val="none"/>
          <w:lang w:eastAsia="zh-CN"/>
        </w:rPr>
      </w:pPr>
    </w:p>
    <w:p>
      <w:pPr>
        <w:pageBreakBefore w:val="0"/>
        <w:tabs>
          <w:tab w:val="left" w:pos="5290"/>
        </w:tabs>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pPr>
        <w:pageBreakBefore w:val="0"/>
        <w:kinsoku/>
        <w:overflowPunct/>
        <w:bidi w:val="0"/>
        <w:adjustRightInd w:val="0"/>
        <w:snapToGrid w:val="0"/>
        <w:spacing w:beforeAutospacing="0" w:afterAutospacing="0" w:line="360" w:lineRule="auto"/>
        <w:ind w:left="0" w:leftChars="0" w:right="0" w:rightChars="0"/>
        <w:rPr>
          <w:color w:val="auto"/>
          <w:highlight w:val="none"/>
        </w:rPr>
      </w:pPr>
    </w:p>
    <w:sectPr>
      <w:pgSz w:w="11906" w:h="16838"/>
      <w:pgMar w:top="1417" w:right="1247" w:bottom="141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Yu Mincho Light">
    <w:altName w:val="Yu Gothic"/>
    <w:panose1 w:val="00000000000000000000"/>
    <w:charset w:val="80"/>
    <w:family w:val="roman"/>
    <w:pitch w:val="default"/>
    <w:sig w:usb0="00000000" w:usb1="00000000" w:usb2="00000012" w:usb3="00000000" w:csb0="0002009F" w:csb1="00000000"/>
  </w:font>
  <w:font w:name="MingLiU">
    <w:altName w:val="PMingLiU-ExtB"/>
    <w:panose1 w:val="02020509000000000000"/>
    <w:charset w:val="88"/>
    <w:family w:val="modern"/>
    <w:pitch w:val="default"/>
    <w:sig w:usb0="00000000" w:usb1="00000000" w:usb2="00000016"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firstLine="2790" w:firstLineChars="15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vert="horz" wrap="none" lIns="0" tIns="0" rIns="0" bIns="0" anchor="t" upright="0">
                      <a:spAutoFit/>
                    </wps:bodyPr>
                  </wps:wsp>
                </a:graphicData>
              </a:graphic>
            </wp:anchor>
          </w:drawing>
        </mc:Choice>
        <mc:Fallback>
          <w:pict>
            <v:rect id="文本框 2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M3KuiXTAQAAoAMAAA4AAAAAAAAAAQAgAAAAHwEA&#10;AGRycy9lMm9Eb2MueG1sUEsFBgAAAAAGAAYAWQEAAGQFA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rPr>
    </w:pPr>
    <w:r>
      <w:rPr>
        <w:rFonts w:hint="eastAsia"/>
        <w:lang w:eastAsia="zh-CN"/>
      </w:rPr>
      <w:t>灵宝市寺河乡人民政府2024年灵宝市寺河乡烟叶电烤房项目</w:t>
    </w:r>
    <w:r>
      <w:rPr>
        <w:rFonts w:hint="eastAsia"/>
      </w:rPr>
      <w:t>招标文件</w:t>
    </w:r>
    <w:r>
      <w:rPr>
        <w:rFonts w:hint="eastAsia"/>
        <w:lang w:val="en-US" w:eastAsia="zh-CN"/>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FAD19"/>
    <w:multiLevelType w:val="singleLevel"/>
    <w:tmpl w:val="BA7FAD19"/>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2"/>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AB95716"/>
    <w:multiLevelType w:val="singleLevel"/>
    <w:tmpl w:val="0AB95716"/>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YTM3ZjE2NjZkNDY3YmYwOTcyMmUzMTVkNDdjMzAifQ=="/>
  </w:docVars>
  <w:rsids>
    <w:rsidRoot w:val="00000000"/>
    <w:rsid w:val="00885B23"/>
    <w:rsid w:val="00A61372"/>
    <w:rsid w:val="01A050EF"/>
    <w:rsid w:val="025901E7"/>
    <w:rsid w:val="033802EC"/>
    <w:rsid w:val="06E535E3"/>
    <w:rsid w:val="081544AB"/>
    <w:rsid w:val="0D76249D"/>
    <w:rsid w:val="0F256C33"/>
    <w:rsid w:val="101A42BE"/>
    <w:rsid w:val="104B091B"/>
    <w:rsid w:val="19960E59"/>
    <w:rsid w:val="1A89451A"/>
    <w:rsid w:val="1DFC3255"/>
    <w:rsid w:val="1EF06F33"/>
    <w:rsid w:val="1F1F369F"/>
    <w:rsid w:val="1FEE2C71"/>
    <w:rsid w:val="21240031"/>
    <w:rsid w:val="21747CD2"/>
    <w:rsid w:val="242F1862"/>
    <w:rsid w:val="2D9B6D21"/>
    <w:rsid w:val="2E0B376C"/>
    <w:rsid w:val="32170DB5"/>
    <w:rsid w:val="345474EF"/>
    <w:rsid w:val="34E14608"/>
    <w:rsid w:val="36ED44C4"/>
    <w:rsid w:val="3A0A1C14"/>
    <w:rsid w:val="3A7D77A0"/>
    <w:rsid w:val="3C512230"/>
    <w:rsid w:val="3EC040FF"/>
    <w:rsid w:val="3EDB2AAB"/>
    <w:rsid w:val="42A45AE6"/>
    <w:rsid w:val="46A303B3"/>
    <w:rsid w:val="47C32F55"/>
    <w:rsid w:val="490E1859"/>
    <w:rsid w:val="4CA20C5F"/>
    <w:rsid w:val="4E7E543D"/>
    <w:rsid w:val="4F115000"/>
    <w:rsid w:val="51B55619"/>
    <w:rsid w:val="58A40196"/>
    <w:rsid w:val="5EF754E1"/>
    <w:rsid w:val="60A877B7"/>
    <w:rsid w:val="614B7400"/>
    <w:rsid w:val="6155027F"/>
    <w:rsid w:val="62195750"/>
    <w:rsid w:val="644D2DDB"/>
    <w:rsid w:val="65293EFC"/>
    <w:rsid w:val="66F10A4A"/>
    <w:rsid w:val="6C4258A4"/>
    <w:rsid w:val="6CAF118B"/>
    <w:rsid w:val="70567B70"/>
    <w:rsid w:val="74A76BEC"/>
    <w:rsid w:val="7AD85E10"/>
    <w:rsid w:val="7E1F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6"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黑体" w:cs="Times New Roman"/>
      <w:b/>
      <w:color w:val="000000"/>
      <w:kern w:val="44"/>
      <w:sz w:val="4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pPr>
      <w:spacing w:after="120"/>
    </w:pPr>
    <w:rPr>
      <w:rFonts w:ascii="Times New Roman" w:hAnsi="Times New Roman" w:eastAsia="宋体" w:cs="Times New Roman"/>
      <w:sz w:val="16"/>
      <w:szCs w:val="16"/>
    </w:rPr>
  </w:style>
  <w:style w:type="paragraph" w:styleId="7">
    <w:name w:val="Body Text"/>
    <w:basedOn w:val="1"/>
    <w:next w:val="8"/>
    <w:qFormat/>
    <w:uiPriority w:val="99"/>
    <w:pPr>
      <w:spacing w:after="120"/>
    </w:pPr>
  </w:style>
  <w:style w:type="paragraph" w:styleId="8">
    <w:name w:val="Body Text 2"/>
    <w:basedOn w:val="1"/>
    <w:next w:val="7"/>
    <w:qFormat/>
    <w:uiPriority w:val="99"/>
    <w:pPr>
      <w:spacing w:after="120" w:line="480" w:lineRule="auto"/>
    </w:pPr>
    <w:rPr>
      <w:rFonts w:ascii="Times New Roman" w:hAnsi="Times New Roman"/>
      <w:szCs w:val="24"/>
    </w:r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6"/>
    <w:rPr>
      <w:rFonts w:ascii="宋体" w:hAnsi="Courier New"/>
      <w:kern w:val="0"/>
      <w:sz w:val="20"/>
      <w:szCs w:val="20"/>
    </w:rPr>
  </w:style>
  <w:style w:type="paragraph" w:styleId="12">
    <w:name w:val="Body Text Indent 2"/>
    <w:basedOn w:val="1"/>
    <w:qFormat/>
    <w:uiPriority w:val="0"/>
    <w:pPr>
      <w:ind w:firstLine="630"/>
    </w:pPr>
    <w:rPr>
      <w:rFonts w:ascii="宋体" w:eastAsia="宋体" w:cs="Times New Roman"/>
      <w:sz w:val="32"/>
      <w:szCs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eastAsia="宋体" w:cs="Times New Roman"/>
      <w:szCs w:val="20"/>
    </w:r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7">
    <w:name w:val="Body Text First Indent"/>
    <w:basedOn w:val="7"/>
    <w:next w:val="18"/>
    <w:qFormat/>
    <w:uiPriority w:val="0"/>
    <w:pPr>
      <w:ind w:firstLine="420" w:firstLineChars="100"/>
    </w:pPr>
    <w:rPr>
      <w:rFonts w:ascii="Times New Roman" w:hAnsi="Times New Roman" w:eastAsia="宋体" w:cs="Times New Roman"/>
    </w:rPr>
  </w:style>
  <w:style w:type="paragraph" w:styleId="18">
    <w:name w:val="Body Text First Indent 2"/>
    <w:basedOn w:val="1"/>
    <w:next w:val="1"/>
    <w:qFormat/>
    <w:uiPriority w:val="0"/>
    <w:pPr>
      <w:tabs>
        <w:tab w:val="left" w:pos="720"/>
      </w:tabs>
      <w:autoSpaceDE w:val="0"/>
      <w:autoSpaceDN w:val="0"/>
      <w:adjustRightInd w:val="0"/>
      <w:ind w:firstLine="420"/>
      <w:jc w:val="left"/>
    </w:pPr>
    <w:rPr>
      <w:rFonts w:ascii="Times New Roman" w:hAnsi="Times New Roman" w:eastAsia="宋体" w:cs="Times New Roman"/>
      <w:color w:val="000000"/>
      <w:kern w:val="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bdr w:val="single" w:color="D2D2D2" w:sz="6" w:space="0"/>
      <w:shd w:val="clear" w:color="auto" w:fill="FFFFFF"/>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p16"/>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0"/>
      <w:sz w:val="24"/>
      <w:szCs w:val="24"/>
      <w:lang w:val="en-US" w:eastAsia="zh-CN"/>
    </w:rPr>
  </w:style>
  <w:style w:type="paragraph" w:customStyle="1" w:styleId="37">
    <w:name w:val="Table Paragraph"/>
    <w:basedOn w:val="1"/>
    <w:qFormat/>
    <w:uiPriority w:val="1"/>
    <w:pPr>
      <w:ind w:left="107"/>
    </w:pPr>
    <w:rPr>
      <w:rFonts w:ascii="宋体" w:hAnsi="宋体" w:eastAsia="宋体" w:cs="宋体"/>
      <w:lang w:val="zh-CN" w:eastAsia="zh-CN" w:bidi="zh-CN"/>
    </w:rPr>
  </w:style>
  <w:style w:type="character" w:customStyle="1" w:styleId="38">
    <w:name w:val="first-child"/>
    <w:basedOn w:val="21"/>
    <w:qFormat/>
    <w:uiPriority w:val="0"/>
  </w:style>
  <w:style w:type="character" w:customStyle="1" w:styleId="39">
    <w:name w:val="layui-layer-tabnow"/>
    <w:basedOn w:val="21"/>
    <w:qFormat/>
    <w:uiPriority w:val="0"/>
    <w:rPr>
      <w:bdr w:val="single" w:color="CCCCCC" w:sz="6" w:space="0"/>
      <w:shd w:val="clear" w:color="auto" w:fill="FFFFFF"/>
    </w:rPr>
  </w:style>
  <w:style w:type="paragraph" w:customStyle="1" w:styleId="40">
    <w:name w:val="Table Text"/>
    <w:basedOn w:val="1"/>
    <w:qFormat/>
    <w:uiPriority w:val="0"/>
    <w:rPr>
      <w:rFonts w:ascii="宋体" w:hAnsi="宋体" w:eastAsia="宋体" w:cs="宋体"/>
      <w:sz w:val="21"/>
      <w:szCs w:val="21"/>
      <w:lang w:val="en-US" w:eastAsia="en-US" w:bidi="ar-SA"/>
    </w:rPr>
  </w:style>
  <w:style w:type="character" w:customStyle="1" w:styleId="41">
    <w:name w:val="font41"/>
    <w:basedOn w:val="21"/>
    <w:qFormat/>
    <w:uiPriority w:val="0"/>
    <w:rPr>
      <w:rFonts w:hint="eastAsia" w:ascii="宋体" w:hAnsi="宋体" w:eastAsia="宋体" w:cs="宋体"/>
      <w:color w:val="000000"/>
      <w:sz w:val="22"/>
      <w:szCs w:val="22"/>
      <w:u w:val="none"/>
    </w:rPr>
  </w:style>
  <w:style w:type="character" w:customStyle="1" w:styleId="42">
    <w:name w:val="hover1"/>
    <w:basedOn w:val="21"/>
    <w:qFormat/>
    <w:uiPriority w:val="0"/>
    <w:rPr>
      <w:color w:val="2590EB"/>
    </w:rPr>
  </w:style>
  <w:style w:type="character" w:customStyle="1" w:styleId="43">
    <w:name w:val="hover2"/>
    <w:basedOn w:val="21"/>
    <w:qFormat/>
    <w:uiPriority w:val="0"/>
    <w:rPr>
      <w:color w:val="2590EB"/>
    </w:rPr>
  </w:style>
  <w:style w:type="character" w:customStyle="1" w:styleId="44">
    <w:name w:val="hover3"/>
    <w:basedOn w:val="21"/>
    <w:qFormat/>
    <w:uiPriority w:val="0"/>
  </w:style>
  <w:style w:type="character" w:customStyle="1" w:styleId="45">
    <w:name w:val="mini-outputtext1"/>
    <w:basedOn w:val="21"/>
    <w:qFormat/>
    <w:uiPriority w:val="0"/>
  </w:style>
  <w:style w:type="character" w:customStyle="1" w:styleId="46">
    <w:name w:val="hover"/>
    <w:basedOn w:val="21"/>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37763</Words>
  <Characters>41146</Characters>
  <Paragraphs>1810</Paragraphs>
  <TotalTime>17</TotalTime>
  <ScaleCrop>false</ScaleCrop>
  <LinksUpToDate>false</LinksUpToDate>
  <CharactersWithSpaces>43746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2023-04-14T01:14:00Z</dcterms:created>
  <dc:creator>三门峡</dc:creator>
  <cp:lastModifiedBy>Admin</cp:lastModifiedBy>
  <dcterms:modified xsi:type="dcterms:W3CDTF">2024-06-21T08:11:08Z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23B2E730427A4B98B2BAD78DF012BEA9_13</vt:lpwstr>
  </property>
</Properties>
</file>