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4C2AA">
      <w:pPr>
        <w:pStyle w:val="2"/>
        <w:pageBreakBefore w:val="0"/>
        <w:numPr>
          <w:ilvl w:val="0"/>
          <w:numId w:val="0"/>
        </w:numPr>
        <w:kinsoku/>
        <w:overflowPunct/>
        <w:bidi w:val="0"/>
        <w:spacing w:line="360" w:lineRule="auto"/>
        <w:jc w:val="center"/>
        <w:rPr>
          <w:rFonts w:hint="eastAsia" w:ascii="宋体" w:hAnsi="宋体" w:eastAsia="宋体" w:cs="宋体"/>
          <w:b/>
          <w:color w:val="auto"/>
          <w:sz w:val="32"/>
          <w:szCs w:val="32"/>
          <w:highlight w:val="none"/>
          <w:lang w:eastAsia="zh-CN"/>
        </w:rPr>
      </w:pPr>
      <w:bookmarkStart w:id="0" w:name="_Toc30693"/>
      <w:bookmarkStart w:id="1" w:name="_Toc22706"/>
      <w:r>
        <w:rPr>
          <w:rFonts w:hint="eastAsia" w:ascii="宋体" w:hAnsi="宋体" w:cs="宋体"/>
          <w:b/>
          <w:color w:val="auto"/>
          <w:sz w:val="32"/>
          <w:szCs w:val="32"/>
          <w:highlight w:val="none"/>
          <w:lang w:eastAsia="zh-CN"/>
        </w:rPr>
        <w:t>采购需求</w:t>
      </w:r>
      <w:bookmarkEnd w:id="0"/>
      <w:bookmarkEnd w:id="1"/>
      <w:bookmarkStart w:id="32" w:name="_GoBack"/>
      <w:bookmarkEnd w:id="32"/>
    </w:p>
    <w:p w14:paraId="24F2DDEB">
      <w:pPr>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一、采购清单</w:t>
      </w:r>
    </w:p>
    <w:tbl>
      <w:tblPr>
        <w:tblStyle w:val="4"/>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3"/>
        <w:gridCol w:w="1440"/>
        <w:gridCol w:w="484"/>
        <w:gridCol w:w="812"/>
        <w:gridCol w:w="632"/>
        <w:gridCol w:w="1045"/>
        <w:gridCol w:w="771"/>
        <w:gridCol w:w="749"/>
        <w:gridCol w:w="840"/>
        <w:gridCol w:w="2317"/>
      </w:tblGrid>
      <w:tr w14:paraId="54C7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dxa"/>
            <w:noWrap w:val="0"/>
            <w:vAlign w:val="center"/>
          </w:tcPr>
          <w:p w14:paraId="40950B5C">
            <w:pPr>
              <w:spacing w:line="360" w:lineRule="auto"/>
              <w:ind w:firstLine="0"/>
              <w:jc w:val="center"/>
              <w:rPr>
                <w:rFonts w:ascii="宋体" w:hAnsi="宋体" w:eastAsia="宋体" w:cs="Times New Roman"/>
                <w:b/>
                <w:color w:val="auto"/>
                <w:szCs w:val="21"/>
                <w:highlight w:val="none"/>
              </w:rPr>
            </w:pPr>
            <w:bookmarkStart w:id="2" w:name="OLE_LINK108"/>
            <w:bookmarkStart w:id="3" w:name="OLE_LINK109"/>
            <w:r>
              <w:rPr>
                <w:rFonts w:hint="eastAsia" w:ascii="宋体" w:hAnsi="宋体" w:eastAsia="宋体" w:cs="Times New Roman"/>
                <w:b/>
                <w:color w:val="auto"/>
                <w:szCs w:val="21"/>
                <w:highlight w:val="none"/>
              </w:rPr>
              <w:t>序号</w:t>
            </w:r>
          </w:p>
        </w:tc>
        <w:tc>
          <w:tcPr>
            <w:tcW w:w="1440" w:type="dxa"/>
            <w:noWrap w:val="0"/>
            <w:vAlign w:val="center"/>
          </w:tcPr>
          <w:p w14:paraId="584E8523">
            <w:pPr>
              <w:spacing w:line="360" w:lineRule="auto"/>
              <w:ind w:firstLine="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货物名称</w:t>
            </w:r>
          </w:p>
        </w:tc>
        <w:tc>
          <w:tcPr>
            <w:tcW w:w="484" w:type="dxa"/>
            <w:noWrap w:val="0"/>
            <w:vAlign w:val="center"/>
          </w:tcPr>
          <w:p w14:paraId="468326C5">
            <w:pPr>
              <w:spacing w:line="360" w:lineRule="auto"/>
              <w:ind w:firstLine="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产地</w:t>
            </w:r>
          </w:p>
        </w:tc>
        <w:tc>
          <w:tcPr>
            <w:tcW w:w="812" w:type="dxa"/>
            <w:noWrap w:val="0"/>
            <w:vAlign w:val="center"/>
          </w:tcPr>
          <w:p w14:paraId="2C0C59FC">
            <w:pPr>
              <w:spacing w:line="360" w:lineRule="auto"/>
              <w:ind w:firstLine="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生产厂家</w:t>
            </w:r>
          </w:p>
        </w:tc>
        <w:tc>
          <w:tcPr>
            <w:tcW w:w="632" w:type="dxa"/>
            <w:noWrap w:val="0"/>
            <w:vAlign w:val="center"/>
          </w:tcPr>
          <w:p w14:paraId="6FF5DF87">
            <w:pPr>
              <w:spacing w:line="360" w:lineRule="auto"/>
              <w:ind w:firstLine="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品牌</w:t>
            </w:r>
          </w:p>
        </w:tc>
        <w:tc>
          <w:tcPr>
            <w:tcW w:w="1045" w:type="dxa"/>
            <w:noWrap w:val="0"/>
            <w:vAlign w:val="center"/>
          </w:tcPr>
          <w:p w14:paraId="02B21FE1">
            <w:pPr>
              <w:spacing w:line="360" w:lineRule="auto"/>
              <w:ind w:firstLine="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规格/型号</w:t>
            </w:r>
          </w:p>
        </w:tc>
        <w:tc>
          <w:tcPr>
            <w:tcW w:w="771" w:type="dxa"/>
            <w:noWrap w:val="0"/>
            <w:vAlign w:val="center"/>
          </w:tcPr>
          <w:p w14:paraId="0686B7C1">
            <w:pPr>
              <w:spacing w:line="360" w:lineRule="auto"/>
              <w:ind w:firstLine="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单价（元）</w:t>
            </w:r>
          </w:p>
        </w:tc>
        <w:tc>
          <w:tcPr>
            <w:tcW w:w="749" w:type="dxa"/>
            <w:noWrap w:val="0"/>
            <w:vAlign w:val="center"/>
          </w:tcPr>
          <w:p w14:paraId="6704DB50">
            <w:pPr>
              <w:spacing w:line="360" w:lineRule="auto"/>
              <w:ind w:firstLine="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数量</w:t>
            </w:r>
          </w:p>
        </w:tc>
        <w:tc>
          <w:tcPr>
            <w:tcW w:w="840" w:type="dxa"/>
            <w:noWrap w:val="0"/>
            <w:vAlign w:val="center"/>
          </w:tcPr>
          <w:p w14:paraId="01AAC38F">
            <w:pPr>
              <w:spacing w:line="360" w:lineRule="auto"/>
              <w:ind w:firstLine="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总价（元）</w:t>
            </w:r>
          </w:p>
        </w:tc>
        <w:tc>
          <w:tcPr>
            <w:tcW w:w="2317" w:type="dxa"/>
            <w:noWrap w:val="0"/>
            <w:vAlign w:val="center"/>
          </w:tcPr>
          <w:p w14:paraId="28D6BF58">
            <w:pPr>
              <w:spacing w:line="360" w:lineRule="auto"/>
              <w:ind w:firstLine="0"/>
              <w:jc w:val="center"/>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备注</w:t>
            </w:r>
          </w:p>
        </w:tc>
      </w:tr>
      <w:tr w14:paraId="781F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dxa"/>
            <w:noWrap w:val="0"/>
            <w:vAlign w:val="center"/>
          </w:tcPr>
          <w:p w14:paraId="67D1FD9D">
            <w:pPr>
              <w:spacing w:line="360" w:lineRule="auto"/>
              <w:ind w:firstLine="0"/>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440" w:type="dxa"/>
            <w:noWrap w:val="0"/>
            <w:vAlign w:val="center"/>
          </w:tcPr>
          <w:p w14:paraId="706AA6CB">
            <w:pPr>
              <w:spacing w:line="360" w:lineRule="auto"/>
              <w:ind w:firstLine="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噪声自动监测子站</w:t>
            </w:r>
          </w:p>
        </w:tc>
        <w:tc>
          <w:tcPr>
            <w:tcW w:w="484" w:type="dxa"/>
            <w:noWrap w:val="0"/>
            <w:vAlign w:val="center"/>
          </w:tcPr>
          <w:p w14:paraId="78F3E1FB">
            <w:pPr>
              <w:spacing w:line="360" w:lineRule="auto"/>
              <w:ind w:firstLine="0"/>
              <w:jc w:val="center"/>
              <w:rPr>
                <w:rFonts w:ascii="宋体" w:hAnsi="宋体" w:eastAsia="宋体" w:cs="Times New Roman"/>
                <w:color w:val="auto"/>
                <w:szCs w:val="21"/>
                <w:highlight w:val="none"/>
              </w:rPr>
            </w:pPr>
          </w:p>
        </w:tc>
        <w:tc>
          <w:tcPr>
            <w:tcW w:w="812" w:type="dxa"/>
            <w:noWrap w:val="0"/>
            <w:vAlign w:val="center"/>
          </w:tcPr>
          <w:p w14:paraId="61E4F20E">
            <w:pPr>
              <w:spacing w:line="360" w:lineRule="auto"/>
              <w:ind w:firstLine="0"/>
              <w:jc w:val="center"/>
              <w:rPr>
                <w:rFonts w:ascii="宋体" w:hAnsi="宋体" w:eastAsia="宋体" w:cs="Times New Roman"/>
                <w:color w:val="auto"/>
                <w:szCs w:val="21"/>
                <w:highlight w:val="none"/>
              </w:rPr>
            </w:pPr>
          </w:p>
        </w:tc>
        <w:tc>
          <w:tcPr>
            <w:tcW w:w="632" w:type="dxa"/>
            <w:noWrap w:val="0"/>
            <w:vAlign w:val="center"/>
          </w:tcPr>
          <w:p w14:paraId="145A554D">
            <w:pPr>
              <w:spacing w:line="360" w:lineRule="auto"/>
              <w:ind w:firstLine="0"/>
              <w:jc w:val="center"/>
              <w:rPr>
                <w:rFonts w:ascii="宋体" w:hAnsi="宋体" w:eastAsia="宋体" w:cs="Times New Roman"/>
                <w:color w:val="auto"/>
                <w:szCs w:val="21"/>
                <w:highlight w:val="none"/>
              </w:rPr>
            </w:pPr>
          </w:p>
        </w:tc>
        <w:tc>
          <w:tcPr>
            <w:tcW w:w="1045" w:type="dxa"/>
            <w:noWrap w:val="0"/>
            <w:vAlign w:val="center"/>
          </w:tcPr>
          <w:p w14:paraId="505B4BB5">
            <w:pPr>
              <w:spacing w:line="360" w:lineRule="auto"/>
              <w:ind w:firstLine="0"/>
              <w:jc w:val="center"/>
              <w:rPr>
                <w:rFonts w:ascii="宋体" w:hAnsi="宋体" w:eastAsia="宋体" w:cs="Times New Roman"/>
                <w:color w:val="auto"/>
                <w:szCs w:val="21"/>
                <w:highlight w:val="none"/>
              </w:rPr>
            </w:pPr>
          </w:p>
        </w:tc>
        <w:tc>
          <w:tcPr>
            <w:tcW w:w="771" w:type="dxa"/>
            <w:noWrap w:val="0"/>
            <w:vAlign w:val="center"/>
          </w:tcPr>
          <w:p w14:paraId="32C2D16D">
            <w:pPr>
              <w:spacing w:line="360" w:lineRule="auto"/>
              <w:ind w:firstLine="0"/>
              <w:jc w:val="center"/>
              <w:rPr>
                <w:rFonts w:ascii="宋体" w:hAnsi="宋体" w:eastAsia="宋体" w:cs="Times New Roman"/>
                <w:color w:val="auto"/>
                <w:szCs w:val="21"/>
                <w:highlight w:val="none"/>
              </w:rPr>
            </w:pPr>
          </w:p>
        </w:tc>
        <w:tc>
          <w:tcPr>
            <w:tcW w:w="749" w:type="dxa"/>
            <w:noWrap w:val="0"/>
            <w:vAlign w:val="center"/>
          </w:tcPr>
          <w:p w14:paraId="1CF01A7A">
            <w:pPr>
              <w:spacing w:line="360" w:lineRule="auto"/>
              <w:ind w:firstLine="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val="en-US" w:eastAsia="zh-CN"/>
              </w:rPr>
              <w:t>套</w:t>
            </w:r>
          </w:p>
        </w:tc>
        <w:tc>
          <w:tcPr>
            <w:tcW w:w="840" w:type="dxa"/>
            <w:noWrap w:val="0"/>
            <w:vAlign w:val="center"/>
          </w:tcPr>
          <w:p w14:paraId="74EA4069">
            <w:pPr>
              <w:spacing w:line="360" w:lineRule="auto"/>
              <w:ind w:firstLine="0"/>
              <w:jc w:val="center"/>
              <w:rPr>
                <w:rFonts w:ascii="宋体" w:hAnsi="宋体" w:eastAsia="宋体" w:cs="Times New Roman"/>
                <w:color w:val="auto"/>
                <w:szCs w:val="21"/>
                <w:highlight w:val="none"/>
              </w:rPr>
            </w:pPr>
          </w:p>
        </w:tc>
        <w:tc>
          <w:tcPr>
            <w:tcW w:w="2317" w:type="dxa"/>
            <w:noWrap w:val="0"/>
            <w:vAlign w:val="center"/>
          </w:tcPr>
          <w:p w14:paraId="5524A932">
            <w:pPr>
              <w:spacing w:line="360" w:lineRule="auto"/>
              <w:ind w:firstLine="0"/>
              <w:jc w:val="center"/>
              <w:rPr>
                <w:rFonts w:ascii="宋体" w:hAnsi="宋体" w:eastAsia="宋体" w:cs="Times New Roman"/>
                <w:color w:val="auto"/>
                <w:szCs w:val="21"/>
                <w:highlight w:val="none"/>
              </w:rPr>
            </w:pPr>
          </w:p>
        </w:tc>
      </w:tr>
      <w:tr w14:paraId="1E9A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dxa"/>
            <w:noWrap w:val="0"/>
            <w:vAlign w:val="center"/>
          </w:tcPr>
          <w:p w14:paraId="44916DD9">
            <w:pPr>
              <w:spacing w:line="360" w:lineRule="auto"/>
              <w:ind w:firstLine="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440" w:type="dxa"/>
            <w:noWrap w:val="0"/>
            <w:vAlign w:val="center"/>
          </w:tcPr>
          <w:p w14:paraId="53BF71D4">
            <w:pPr>
              <w:spacing w:line="360" w:lineRule="auto"/>
              <w:ind w:firstLine="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气象监测单元</w:t>
            </w:r>
          </w:p>
        </w:tc>
        <w:tc>
          <w:tcPr>
            <w:tcW w:w="484" w:type="dxa"/>
            <w:noWrap w:val="0"/>
            <w:vAlign w:val="center"/>
          </w:tcPr>
          <w:p w14:paraId="3DC37E5B">
            <w:pPr>
              <w:spacing w:line="360" w:lineRule="auto"/>
              <w:ind w:firstLine="0"/>
              <w:jc w:val="center"/>
              <w:rPr>
                <w:rFonts w:ascii="宋体" w:hAnsi="宋体" w:eastAsia="宋体" w:cs="Times New Roman"/>
                <w:color w:val="auto"/>
                <w:szCs w:val="21"/>
                <w:highlight w:val="none"/>
              </w:rPr>
            </w:pPr>
          </w:p>
        </w:tc>
        <w:tc>
          <w:tcPr>
            <w:tcW w:w="812" w:type="dxa"/>
            <w:noWrap w:val="0"/>
            <w:vAlign w:val="center"/>
          </w:tcPr>
          <w:p w14:paraId="47BBF605">
            <w:pPr>
              <w:spacing w:line="360" w:lineRule="auto"/>
              <w:ind w:firstLine="0"/>
              <w:jc w:val="center"/>
              <w:rPr>
                <w:rFonts w:ascii="宋体" w:hAnsi="宋体" w:eastAsia="宋体" w:cs="Times New Roman"/>
                <w:color w:val="auto"/>
                <w:szCs w:val="21"/>
                <w:highlight w:val="none"/>
              </w:rPr>
            </w:pPr>
          </w:p>
        </w:tc>
        <w:tc>
          <w:tcPr>
            <w:tcW w:w="632" w:type="dxa"/>
            <w:noWrap w:val="0"/>
            <w:vAlign w:val="center"/>
          </w:tcPr>
          <w:p w14:paraId="58281F72">
            <w:pPr>
              <w:spacing w:line="360" w:lineRule="auto"/>
              <w:ind w:firstLine="0"/>
              <w:jc w:val="center"/>
              <w:rPr>
                <w:rFonts w:ascii="宋体" w:hAnsi="宋体" w:eastAsia="宋体" w:cs="Times New Roman"/>
                <w:color w:val="auto"/>
                <w:szCs w:val="21"/>
                <w:highlight w:val="none"/>
              </w:rPr>
            </w:pPr>
          </w:p>
        </w:tc>
        <w:tc>
          <w:tcPr>
            <w:tcW w:w="1045" w:type="dxa"/>
            <w:noWrap w:val="0"/>
            <w:vAlign w:val="center"/>
          </w:tcPr>
          <w:p w14:paraId="2A42959D">
            <w:pPr>
              <w:spacing w:line="360" w:lineRule="auto"/>
              <w:ind w:firstLine="0"/>
              <w:jc w:val="center"/>
              <w:rPr>
                <w:rFonts w:ascii="宋体" w:hAnsi="宋体" w:eastAsia="宋体" w:cs="Times New Roman"/>
                <w:color w:val="auto"/>
                <w:szCs w:val="21"/>
                <w:highlight w:val="none"/>
              </w:rPr>
            </w:pPr>
          </w:p>
        </w:tc>
        <w:tc>
          <w:tcPr>
            <w:tcW w:w="771" w:type="dxa"/>
            <w:noWrap w:val="0"/>
            <w:vAlign w:val="center"/>
          </w:tcPr>
          <w:p w14:paraId="7874FE37">
            <w:pPr>
              <w:spacing w:line="360" w:lineRule="auto"/>
              <w:ind w:firstLine="0"/>
              <w:jc w:val="center"/>
              <w:rPr>
                <w:rFonts w:ascii="宋体" w:hAnsi="宋体" w:eastAsia="宋体" w:cs="Times New Roman"/>
                <w:color w:val="auto"/>
                <w:szCs w:val="21"/>
                <w:highlight w:val="none"/>
              </w:rPr>
            </w:pPr>
          </w:p>
        </w:tc>
        <w:tc>
          <w:tcPr>
            <w:tcW w:w="749" w:type="dxa"/>
            <w:noWrap w:val="0"/>
            <w:vAlign w:val="center"/>
          </w:tcPr>
          <w:p w14:paraId="5F9CCE45">
            <w:pPr>
              <w:spacing w:line="360" w:lineRule="auto"/>
              <w:ind w:firstLine="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val="en-US" w:eastAsia="zh-CN"/>
              </w:rPr>
              <w:t>套</w:t>
            </w:r>
          </w:p>
        </w:tc>
        <w:tc>
          <w:tcPr>
            <w:tcW w:w="840" w:type="dxa"/>
            <w:noWrap w:val="0"/>
            <w:vAlign w:val="center"/>
          </w:tcPr>
          <w:p w14:paraId="417C76CF">
            <w:pPr>
              <w:spacing w:line="360" w:lineRule="auto"/>
              <w:ind w:firstLine="0"/>
              <w:jc w:val="center"/>
              <w:rPr>
                <w:rFonts w:ascii="宋体" w:hAnsi="宋体" w:eastAsia="宋体" w:cs="Times New Roman"/>
                <w:color w:val="auto"/>
                <w:szCs w:val="21"/>
                <w:highlight w:val="none"/>
              </w:rPr>
            </w:pPr>
          </w:p>
        </w:tc>
        <w:tc>
          <w:tcPr>
            <w:tcW w:w="2317" w:type="dxa"/>
            <w:noWrap w:val="0"/>
            <w:vAlign w:val="center"/>
          </w:tcPr>
          <w:p w14:paraId="36DFA69B">
            <w:pPr>
              <w:spacing w:line="360" w:lineRule="auto"/>
              <w:ind w:firstLine="0"/>
              <w:jc w:val="center"/>
              <w:rPr>
                <w:rFonts w:hint="eastAsia" w:ascii="宋体" w:hAnsi="宋体" w:eastAsia="宋体" w:cs="Times New Roman"/>
                <w:color w:val="auto"/>
                <w:szCs w:val="21"/>
                <w:highlight w:val="none"/>
              </w:rPr>
            </w:pPr>
          </w:p>
        </w:tc>
      </w:tr>
      <w:tr w14:paraId="35CEC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03" w:type="dxa"/>
            <w:noWrap w:val="0"/>
            <w:vAlign w:val="center"/>
          </w:tcPr>
          <w:p w14:paraId="24833BA5">
            <w:pPr>
              <w:spacing w:line="360" w:lineRule="auto"/>
              <w:ind w:firstLine="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440" w:type="dxa"/>
            <w:noWrap w:val="0"/>
            <w:vAlign w:val="center"/>
          </w:tcPr>
          <w:p w14:paraId="011B93CA">
            <w:pPr>
              <w:spacing w:line="360" w:lineRule="auto"/>
              <w:ind w:firstLine="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环境自然声自动识别单元</w:t>
            </w:r>
          </w:p>
        </w:tc>
        <w:tc>
          <w:tcPr>
            <w:tcW w:w="484" w:type="dxa"/>
            <w:noWrap w:val="0"/>
            <w:vAlign w:val="center"/>
          </w:tcPr>
          <w:p w14:paraId="4265D5AC">
            <w:pPr>
              <w:spacing w:line="360" w:lineRule="auto"/>
              <w:ind w:firstLine="0"/>
              <w:jc w:val="center"/>
              <w:rPr>
                <w:rFonts w:ascii="宋体" w:hAnsi="宋体" w:eastAsia="宋体" w:cs="Times New Roman"/>
                <w:color w:val="auto"/>
                <w:szCs w:val="21"/>
                <w:highlight w:val="none"/>
              </w:rPr>
            </w:pPr>
          </w:p>
        </w:tc>
        <w:tc>
          <w:tcPr>
            <w:tcW w:w="812" w:type="dxa"/>
            <w:noWrap w:val="0"/>
            <w:vAlign w:val="center"/>
          </w:tcPr>
          <w:p w14:paraId="320AF119">
            <w:pPr>
              <w:spacing w:line="360" w:lineRule="auto"/>
              <w:ind w:firstLine="0"/>
              <w:jc w:val="center"/>
              <w:rPr>
                <w:rFonts w:ascii="宋体" w:hAnsi="宋体" w:eastAsia="宋体" w:cs="Times New Roman"/>
                <w:color w:val="auto"/>
                <w:szCs w:val="21"/>
                <w:highlight w:val="none"/>
              </w:rPr>
            </w:pPr>
          </w:p>
        </w:tc>
        <w:tc>
          <w:tcPr>
            <w:tcW w:w="632" w:type="dxa"/>
            <w:noWrap w:val="0"/>
            <w:vAlign w:val="center"/>
          </w:tcPr>
          <w:p w14:paraId="5C41C630">
            <w:pPr>
              <w:spacing w:line="360" w:lineRule="auto"/>
              <w:ind w:firstLine="0"/>
              <w:jc w:val="center"/>
              <w:rPr>
                <w:rFonts w:ascii="宋体" w:hAnsi="宋体" w:eastAsia="宋体" w:cs="Times New Roman"/>
                <w:color w:val="auto"/>
                <w:szCs w:val="21"/>
                <w:highlight w:val="none"/>
              </w:rPr>
            </w:pPr>
          </w:p>
        </w:tc>
        <w:tc>
          <w:tcPr>
            <w:tcW w:w="1045" w:type="dxa"/>
            <w:noWrap w:val="0"/>
            <w:vAlign w:val="center"/>
          </w:tcPr>
          <w:p w14:paraId="52424D43">
            <w:pPr>
              <w:spacing w:line="360" w:lineRule="auto"/>
              <w:ind w:firstLine="0"/>
              <w:jc w:val="center"/>
              <w:rPr>
                <w:rFonts w:ascii="宋体" w:hAnsi="宋体" w:eastAsia="宋体" w:cs="Times New Roman"/>
                <w:color w:val="auto"/>
                <w:szCs w:val="21"/>
                <w:highlight w:val="none"/>
              </w:rPr>
            </w:pPr>
          </w:p>
        </w:tc>
        <w:tc>
          <w:tcPr>
            <w:tcW w:w="771" w:type="dxa"/>
            <w:noWrap w:val="0"/>
            <w:vAlign w:val="center"/>
          </w:tcPr>
          <w:p w14:paraId="5E1D9061">
            <w:pPr>
              <w:spacing w:line="360" w:lineRule="auto"/>
              <w:ind w:firstLine="0"/>
              <w:jc w:val="center"/>
              <w:rPr>
                <w:rFonts w:ascii="宋体" w:hAnsi="宋体" w:eastAsia="宋体" w:cs="Times New Roman"/>
                <w:color w:val="auto"/>
                <w:szCs w:val="21"/>
                <w:highlight w:val="none"/>
              </w:rPr>
            </w:pPr>
          </w:p>
        </w:tc>
        <w:tc>
          <w:tcPr>
            <w:tcW w:w="749" w:type="dxa"/>
            <w:noWrap w:val="0"/>
            <w:vAlign w:val="center"/>
          </w:tcPr>
          <w:p w14:paraId="6B6D65E5">
            <w:pPr>
              <w:spacing w:line="360" w:lineRule="auto"/>
              <w:ind w:firstLine="0"/>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w:t>
            </w:r>
            <w:r>
              <w:rPr>
                <w:rFonts w:hint="eastAsia" w:ascii="宋体" w:hAnsi="宋体" w:eastAsia="宋体" w:cs="Times New Roman"/>
                <w:color w:val="auto"/>
                <w:szCs w:val="21"/>
                <w:highlight w:val="none"/>
                <w:lang w:val="en-US" w:eastAsia="zh-CN"/>
              </w:rPr>
              <w:t>套</w:t>
            </w:r>
          </w:p>
        </w:tc>
        <w:tc>
          <w:tcPr>
            <w:tcW w:w="840" w:type="dxa"/>
            <w:noWrap w:val="0"/>
            <w:vAlign w:val="center"/>
          </w:tcPr>
          <w:p w14:paraId="77AEF1BB">
            <w:pPr>
              <w:spacing w:line="360" w:lineRule="auto"/>
              <w:ind w:firstLine="0"/>
              <w:jc w:val="center"/>
              <w:rPr>
                <w:rFonts w:ascii="宋体" w:hAnsi="宋体" w:eastAsia="宋体" w:cs="Times New Roman"/>
                <w:color w:val="auto"/>
                <w:szCs w:val="21"/>
                <w:highlight w:val="none"/>
              </w:rPr>
            </w:pPr>
          </w:p>
        </w:tc>
        <w:tc>
          <w:tcPr>
            <w:tcW w:w="2317" w:type="dxa"/>
            <w:noWrap w:val="0"/>
            <w:vAlign w:val="center"/>
          </w:tcPr>
          <w:p w14:paraId="310BE09D">
            <w:pPr>
              <w:spacing w:line="360" w:lineRule="auto"/>
              <w:ind w:firstLine="0"/>
              <w:jc w:val="center"/>
              <w:rPr>
                <w:rFonts w:hint="eastAsia" w:ascii="宋体" w:hAnsi="宋体" w:eastAsia="宋体" w:cs="Times New Roman"/>
                <w:color w:val="auto"/>
                <w:szCs w:val="21"/>
                <w:highlight w:val="none"/>
              </w:rPr>
            </w:pPr>
          </w:p>
        </w:tc>
      </w:tr>
      <w:tr w14:paraId="03A9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dxa"/>
            <w:noWrap w:val="0"/>
            <w:vAlign w:val="center"/>
          </w:tcPr>
          <w:p w14:paraId="1D7B838A">
            <w:pPr>
              <w:spacing w:line="360" w:lineRule="auto"/>
              <w:ind w:firstLine="0"/>
              <w:jc w:val="center"/>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4</w:t>
            </w:r>
          </w:p>
        </w:tc>
        <w:tc>
          <w:tcPr>
            <w:tcW w:w="1440" w:type="dxa"/>
            <w:noWrap w:val="0"/>
            <w:vAlign w:val="center"/>
          </w:tcPr>
          <w:p w14:paraId="01868BD4">
            <w:pPr>
              <w:spacing w:line="360" w:lineRule="auto"/>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定位模块+摄像头（含硬盘录像机）</w:t>
            </w:r>
          </w:p>
        </w:tc>
        <w:tc>
          <w:tcPr>
            <w:tcW w:w="484" w:type="dxa"/>
            <w:noWrap w:val="0"/>
            <w:vAlign w:val="center"/>
          </w:tcPr>
          <w:p w14:paraId="1FD0AAF5">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812" w:type="dxa"/>
            <w:noWrap w:val="0"/>
            <w:vAlign w:val="center"/>
          </w:tcPr>
          <w:p w14:paraId="09F18080">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632" w:type="dxa"/>
            <w:noWrap w:val="0"/>
            <w:vAlign w:val="center"/>
          </w:tcPr>
          <w:p w14:paraId="2BBCF1C6">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1045" w:type="dxa"/>
            <w:noWrap w:val="0"/>
            <w:vAlign w:val="center"/>
          </w:tcPr>
          <w:p w14:paraId="13514635">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771" w:type="dxa"/>
            <w:noWrap w:val="0"/>
            <w:vAlign w:val="center"/>
          </w:tcPr>
          <w:p w14:paraId="2FB66ACC">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749" w:type="dxa"/>
            <w:noWrap w:val="0"/>
            <w:vAlign w:val="center"/>
          </w:tcPr>
          <w:p w14:paraId="4F93D1B0">
            <w:pPr>
              <w:spacing w:line="360" w:lineRule="auto"/>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10套</w:t>
            </w:r>
          </w:p>
        </w:tc>
        <w:tc>
          <w:tcPr>
            <w:tcW w:w="840" w:type="dxa"/>
            <w:noWrap w:val="0"/>
            <w:vAlign w:val="center"/>
          </w:tcPr>
          <w:p w14:paraId="7704DA14">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2317" w:type="dxa"/>
            <w:noWrap w:val="0"/>
            <w:vAlign w:val="center"/>
          </w:tcPr>
          <w:p w14:paraId="24CD50AF">
            <w:pPr>
              <w:spacing w:line="360" w:lineRule="auto"/>
              <w:ind w:firstLine="0" w:firstLineChars="0"/>
              <w:jc w:val="center"/>
              <w:rPr>
                <w:rFonts w:hint="eastAsia" w:ascii="宋体" w:hAnsi="宋体" w:eastAsia="宋体" w:cs="Times New Roman"/>
                <w:color w:val="auto"/>
                <w:kern w:val="2"/>
                <w:sz w:val="21"/>
                <w:szCs w:val="21"/>
                <w:highlight w:val="none"/>
                <w:lang w:val="en-US" w:eastAsia="zh-CN" w:bidi="ar-SA"/>
              </w:rPr>
            </w:pPr>
          </w:p>
        </w:tc>
      </w:tr>
      <w:tr w14:paraId="5AA5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dxa"/>
            <w:noWrap w:val="0"/>
            <w:vAlign w:val="center"/>
          </w:tcPr>
          <w:p w14:paraId="13596764">
            <w:pPr>
              <w:spacing w:line="360" w:lineRule="auto"/>
              <w:ind w:firstLine="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w:t>
            </w:r>
          </w:p>
        </w:tc>
        <w:tc>
          <w:tcPr>
            <w:tcW w:w="1440" w:type="dxa"/>
            <w:noWrap w:val="0"/>
            <w:vAlign w:val="center"/>
          </w:tcPr>
          <w:p w14:paraId="76BAA8F6">
            <w:pPr>
              <w:spacing w:line="360" w:lineRule="auto"/>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车流量</w:t>
            </w:r>
            <w:r>
              <w:rPr>
                <w:rFonts w:hint="eastAsia" w:ascii="宋体" w:hAnsi="宋体" w:eastAsia="宋体" w:cs="Times New Roman"/>
                <w:color w:val="auto"/>
                <w:szCs w:val="21"/>
                <w:highlight w:val="none"/>
                <w:lang w:val="en-US" w:eastAsia="zh-CN"/>
              </w:rPr>
              <w:t>监测单元</w:t>
            </w:r>
          </w:p>
        </w:tc>
        <w:tc>
          <w:tcPr>
            <w:tcW w:w="484" w:type="dxa"/>
            <w:noWrap w:val="0"/>
            <w:vAlign w:val="center"/>
          </w:tcPr>
          <w:p w14:paraId="30F29E39">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812" w:type="dxa"/>
            <w:noWrap w:val="0"/>
            <w:vAlign w:val="center"/>
          </w:tcPr>
          <w:p w14:paraId="3D264804">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632" w:type="dxa"/>
            <w:noWrap w:val="0"/>
            <w:vAlign w:val="center"/>
          </w:tcPr>
          <w:p w14:paraId="44F4906B">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1045" w:type="dxa"/>
            <w:noWrap w:val="0"/>
            <w:vAlign w:val="center"/>
          </w:tcPr>
          <w:p w14:paraId="0CA64AB4">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771" w:type="dxa"/>
            <w:noWrap w:val="0"/>
            <w:vAlign w:val="center"/>
          </w:tcPr>
          <w:p w14:paraId="33602FF2">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749" w:type="dxa"/>
            <w:noWrap w:val="0"/>
            <w:vAlign w:val="center"/>
          </w:tcPr>
          <w:p w14:paraId="5E2E3ED5">
            <w:pPr>
              <w:spacing w:line="360" w:lineRule="auto"/>
              <w:ind w:firstLine="0" w:firstLine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套</w:t>
            </w:r>
          </w:p>
        </w:tc>
        <w:tc>
          <w:tcPr>
            <w:tcW w:w="840" w:type="dxa"/>
            <w:noWrap w:val="0"/>
            <w:vAlign w:val="center"/>
          </w:tcPr>
          <w:p w14:paraId="68BE4FB7">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2317" w:type="dxa"/>
            <w:noWrap w:val="0"/>
            <w:vAlign w:val="center"/>
          </w:tcPr>
          <w:p w14:paraId="3F51A1DF">
            <w:pPr>
              <w:spacing w:line="360" w:lineRule="auto"/>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4a类站点安装</w:t>
            </w:r>
          </w:p>
        </w:tc>
      </w:tr>
      <w:tr w14:paraId="00E7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dxa"/>
            <w:noWrap w:val="0"/>
            <w:vAlign w:val="center"/>
          </w:tcPr>
          <w:p w14:paraId="7EBDE90D">
            <w:pPr>
              <w:spacing w:line="360" w:lineRule="auto"/>
              <w:ind w:firstLine="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w:t>
            </w:r>
          </w:p>
        </w:tc>
        <w:tc>
          <w:tcPr>
            <w:tcW w:w="1440" w:type="dxa"/>
            <w:noWrap w:val="0"/>
            <w:vAlign w:val="center"/>
          </w:tcPr>
          <w:p w14:paraId="73AC14B1">
            <w:pPr>
              <w:spacing w:line="360" w:lineRule="auto"/>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功能区声环境质量监测管理平台</w:t>
            </w:r>
          </w:p>
        </w:tc>
        <w:tc>
          <w:tcPr>
            <w:tcW w:w="484" w:type="dxa"/>
            <w:noWrap w:val="0"/>
            <w:vAlign w:val="center"/>
          </w:tcPr>
          <w:p w14:paraId="53F68FFF">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812" w:type="dxa"/>
            <w:noWrap w:val="0"/>
            <w:vAlign w:val="center"/>
          </w:tcPr>
          <w:p w14:paraId="2EE2B96F">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632" w:type="dxa"/>
            <w:noWrap w:val="0"/>
            <w:vAlign w:val="center"/>
          </w:tcPr>
          <w:p w14:paraId="5527B4B3">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1045" w:type="dxa"/>
            <w:noWrap w:val="0"/>
            <w:vAlign w:val="center"/>
          </w:tcPr>
          <w:p w14:paraId="2509342A">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771" w:type="dxa"/>
            <w:noWrap w:val="0"/>
            <w:vAlign w:val="center"/>
          </w:tcPr>
          <w:p w14:paraId="729A8DF7">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749" w:type="dxa"/>
            <w:noWrap w:val="0"/>
            <w:vAlign w:val="center"/>
          </w:tcPr>
          <w:p w14:paraId="20F6EF21">
            <w:pPr>
              <w:spacing w:line="360" w:lineRule="auto"/>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1套</w:t>
            </w:r>
          </w:p>
        </w:tc>
        <w:tc>
          <w:tcPr>
            <w:tcW w:w="840" w:type="dxa"/>
            <w:noWrap w:val="0"/>
            <w:vAlign w:val="center"/>
          </w:tcPr>
          <w:p w14:paraId="7DDEB3F9">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2317" w:type="dxa"/>
            <w:noWrap w:val="0"/>
            <w:vAlign w:val="center"/>
          </w:tcPr>
          <w:p w14:paraId="7CB0685E">
            <w:pPr>
              <w:spacing w:line="360" w:lineRule="auto"/>
              <w:ind w:firstLine="0" w:firstLineChars="0"/>
              <w:jc w:val="center"/>
              <w:rPr>
                <w:rFonts w:hint="eastAsia" w:ascii="宋体" w:hAnsi="宋体" w:eastAsia="宋体" w:cs="Times New Roman"/>
                <w:color w:val="auto"/>
                <w:szCs w:val="21"/>
                <w:highlight w:val="none"/>
              </w:rPr>
            </w:pPr>
          </w:p>
        </w:tc>
      </w:tr>
      <w:tr w14:paraId="1C84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3" w:type="dxa"/>
            <w:noWrap w:val="0"/>
            <w:vAlign w:val="center"/>
          </w:tcPr>
          <w:p w14:paraId="1B34C12D">
            <w:pPr>
              <w:spacing w:line="360" w:lineRule="auto"/>
              <w:ind w:firstLine="0"/>
              <w:jc w:val="center"/>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w:t>
            </w:r>
          </w:p>
        </w:tc>
        <w:tc>
          <w:tcPr>
            <w:tcW w:w="1440" w:type="dxa"/>
            <w:noWrap w:val="0"/>
            <w:vAlign w:val="center"/>
          </w:tcPr>
          <w:p w14:paraId="31C66E8F">
            <w:pPr>
              <w:spacing w:line="360" w:lineRule="auto"/>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3年运维、质保（第一年免费提供）</w:t>
            </w:r>
          </w:p>
        </w:tc>
        <w:tc>
          <w:tcPr>
            <w:tcW w:w="484" w:type="dxa"/>
            <w:noWrap w:val="0"/>
            <w:vAlign w:val="center"/>
          </w:tcPr>
          <w:p w14:paraId="791F27A1">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812" w:type="dxa"/>
            <w:noWrap w:val="0"/>
            <w:vAlign w:val="center"/>
          </w:tcPr>
          <w:p w14:paraId="3556EA05">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632" w:type="dxa"/>
            <w:noWrap w:val="0"/>
            <w:vAlign w:val="center"/>
          </w:tcPr>
          <w:p w14:paraId="095A4410">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1045" w:type="dxa"/>
            <w:noWrap w:val="0"/>
            <w:vAlign w:val="center"/>
          </w:tcPr>
          <w:p w14:paraId="16F999AA">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771" w:type="dxa"/>
            <w:noWrap w:val="0"/>
            <w:vAlign w:val="center"/>
          </w:tcPr>
          <w:p w14:paraId="3616AA5A">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749" w:type="dxa"/>
            <w:noWrap w:val="0"/>
            <w:vAlign w:val="center"/>
          </w:tcPr>
          <w:p w14:paraId="3A92C977">
            <w:pPr>
              <w:spacing w:line="360" w:lineRule="auto"/>
              <w:ind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2年</w:t>
            </w:r>
          </w:p>
        </w:tc>
        <w:tc>
          <w:tcPr>
            <w:tcW w:w="840" w:type="dxa"/>
            <w:noWrap w:val="0"/>
            <w:vAlign w:val="center"/>
          </w:tcPr>
          <w:p w14:paraId="0C4C9DB3">
            <w:pPr>
              <w:spacing w:line="360" w:lineRule="auto"/>
              <w:ind w:firstLine="0" w:firstLineChars="0"/>
              <w:jc w:val="center"/>
              <w:rPr>
                <w:rFonts w:ascii="宋体" w:hAnsi="宋体" w:eastAsia="宋体" w:cs="Times New Roman"/>
                <w:color w:val="auto"/>
                <w:kern w:val="2"/>
                <w:sz w:val="21"/>
                <w:szCs w:val="21"/>
                <w:highlight w:val="none"/>
                <w:lang w:val="en-US" w:eastAsia="zh-CN" w:bidi="ar-SA"/>
              </w:rPr>
            </w:pPr>
          </w:p>
        </w:tc>
        <w:tc>
          <w:tcPr>
            <w:tcW w:w="2317" w:type="dxa"/>
            <w:noWrap w:val="0"/>
            <w:vAlign w:val="center"/>
          </w:tcPr>
          <w:p w14:paraId="76A5FAD7">
            <w:pPr>
              <w:spacing w:line="360" w:lineRule="auto"/>
              <w:ind w:firstLine="0" w:firstLineChars="0"/>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含网费、电费等</w:t>
            </w:r>
          </w:p>
        </w:tc>
      </w:tr>
      <w:tr w14:paraId="5DA5A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93" w:type="dxa"/>
            <w:gridSpan w:val="10"/>
            <w:noWrap w:val="0"/>
            <w:vAlign w:val="center"/>
          </w:tcPr>
          <w:p w14:paraId="65CDD9D5">
            <w:pPr>
              <w:spacing w:line="360" w:lineRule="auto"/>
              <w:ind w:firstLine="0"/>
              <w:jc w:val="left"/>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备注：</w:t>
            </w:r>
            <w:r>
              <w:rPr>
                <w:rFonts w:ascii="宋体" w:hAnsi="宋体" w:eastAsia="宋体" w:cs="Times New Roman"/>
                <w:color w:val="auto"/>
                <w:szCs w:val="21"/>
                <w:highlight w:val="none"/>
              </w:rPr>
              <w:t xml:space="preserve"> </w:t>
            </w:r>
            <w:r>
              <w:rPr>
                <w:rFonts w:hint="eastAsia" w:ascii="Times New Roman" w:hAnsi="Times New Roman" w:eastAsia="宋体" w:cs="宋体"/>
                <w:color w:val="auto"/>
                <w:szCs w:val="21"/>
                <w:highlight w:val="none"/>
              </w:rPr>
              <w:t>上述产品含产品生产、运输&lt;送达至甲方指定地点并下货&gt;、安装、调试、检验及售后服务、税金、劳保基金、人员培训等费用。</w:t>
            </w:r>
          </w:p>
        </w:tc>
      </w:tr>
    </w:tbl>
    <w:p w14:paraId="3741C731">
      <w:pPr>
        <w:keepNext/>
        <w:keepLines/>
        <w:pageBreakBefore/>
        <w:numPr>
          <w:ilvl w:val="0"/>
          <w:numId w:val="1"/>
        </w:numPr>
        <w:spacing w:line="360" w:lineRule="auto"/>
        <w:ind w:left="0" w:firstLine="422" w:firstLineChars="200"/>
        <w:outlineLvl w:val="0"/>
        <w:rPr>
          <w:rFonts w:hint="eastAsia" w:ascii="宋体" w:hAnsi="宋体" w:eastAsia="宋体" w:cs="宋体"/>
          <w:b/>
          <w:bCs/>
          <w:color w:val="auto"/>
          <w:kern w:val="44"/>
          <w:szCs w:val="21"/>
          <w:highlight w:val="none"/>
        </w:rPr>
      </w:pPr>
      <w:r>
        <w:rPr>
          <w:rFonts w:hint="eastAsia" w:ascii="宋体" w:hAnsi="宋体" w:eastAsia="宋体" w:cs="宋体"/>
          <w:b/>
          <w:bCs/>
          <w:color w:val="auto"/>
          <w:kern w:val="44"/>
          <w:szCs w:val="21"/>
          <w:highlight w:val="none"/>
        </w:rPr>
        <w:t>技术要求</w:t>
      </w:r>
    </w:p>
    <w:p w14:paraId="64DDA205">
      <w:pPr>
        <w:keepNext/>
        <w:numPr>
          <w:ilvl w:val="1"/>
          <w:numId w:val="1"/>
        </w:numPr>
        <w:spacing w:line="360" w:lineRule="auto"/>
        <w:ind w:left="0" w:firstLine="422" w:firstLineChars="200"/>
        <w:outlineLvl w:val="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货物技术要求</w:t>
      </w:r>
    </w:p>
    <w:p w14:paraId="4FD424A0">
      <w:pPr>
        <w:keepNext/>
        <w:keepLines/>
        <w:numPr>
          <w:ilvl w:val="2"/>
          <w:numId w:val="1"/>
        </w:numPr>
        <w:spacing w:line="360" w:lineRule="auto"/>
        <w:ind w:left="0"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噪声自动监测子站</w:t>
      </w:r>
    </w:p>
    <w:p w14:paraId="7C4971DC">
      <w:pPr>
        <w:keepNext/>
        <w:numPr>
          <w:ilvl w:val="3"/>
          <w:numId w:val="1"/>
        </w:numPr>
        <w:spacing w:line="360" w:lineRule="auto"/>
        <w:ind w:left="0" w:firstLine="420" w:firstLineChars="200"/>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总体要求</w:t>
      </w:r>
    </w:p>
    <w:p w14:paraId="3C2FFE2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噪声自动监测站点包括全天候户外传声器、噪声采集分析单元、通信单元、电源控制单元以及机箱等配套安全防护单元。</w:t>
      </w:r>
    </w:p>
    <w:p w14:paraId="47B85C9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*子站应符合《环境噪声自动监测系统技术要求》（HJ907-2017）功能要求，通过生态环境监测仪器设备适用性检测。（需提供生态环境监测仪器设备适用性检测报告扫描件佐证）</w:t>
      </w:r>
    </w:p>
    <w:p w14:paraId="13E9E73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*噪声监测子站整机通过型式评价试验，整机取得中华人民共和国计量器具型式批准证书；（需提供所投产品的型式批准证书扫描件佐证，证书上登记产品型号与所投噪声监测子站型号应一致）</w:t>
      </w:r>
    </w:p>
    <w:p w14:paraId="4D070C8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*噪声监测子站环境稳定性要求：</w:t>
      </w:r>
    </w:p>
    <w:p w14:paraId="0251FD9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温度稳定性：-30℃~50℃环境条件下≤±0.2dB（需提供生态环境监测仪器设备适用性检测报告扫描件佐证）；</w:t>
      </w:r>
    </w:p>
    <w:p w14:paraId="1494144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相对湿度稳定性：0%RH~100%RH环境条件下≤±0.2dB（需提供生态环境监测仪器设备适用性检测报告扫描件佐证）。</w:t>
      </w:r>
    </w:p>
    <w:p w14:paraId="28949184">
      <w:pPr>
        <w:keepNext/>
        <w:numPr>
          <w:ilvl w:val="3"/>
          <w:numId w:val="1"/>
        </w:numPr>
        <w:spacing w:line="360" w:lineRule="auto"/>
        <w:ind w:left="0" w:firstLine="420" w:firstLineChars="200"/>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全天候户外传声器</w:t>
      </w:r>
    </w:p>
    <w:p w14:paraId="068B23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（1）在250Hz的声压灵敏度应大于30mV/Pa；</w:t>
      </w:r>
    </w:p>
    <w:p w14:paraId="1FC7B69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（2）传感器指向性响应：应支持0°和90°入射；</w:t>
      </w:r>
    </w:p>
    <w:p w14:paraId="49D046C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（3）传声器应支持长期户外使用，并具有防风、防雨、防尘、防干扰等功能；</w:t>
      </w:r>
    </w:p>
    <w:p w14:paraId="602633F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（4）传声器风罩在风速≤30m/s时应不损坏；</w:t>
      </w:r>
    </w:p>
    <w:p w14:paraId="5F07BA3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（5）传声器支架结构应方便传声器安装、拆卸和声校准操作；</w:t>
      </w:r>
    </w:p>
    <w:p w14:paraId="2257BB7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*（6）传声器风罩防风能力：在风速为10m/s时，应至少衰减≥30dB；（需提供具有CMA或CNAS标识的检测报告扫描件佐证）</w:t>
      </w:r>
    </w:p>
    <w:p w14:paraId="4BBCBD55">
      <w:pPr>
        <w:keepNext/>
        <w:numPr>
          <w:ilvl w:val="3"/>
          <w:numId w:val="1"/>
        </w:numPr>
        <w:spacing w:line="360" w:lineRule="auto"/>
        <w:ind w:left="0" w:firstLine="420" w:firstLineChars="200"/>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噪声采集分析单元</w:t>
      </w:r>
    </w:p>
    <w:p w14:paraId="2798108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*（1）计量要求：应符合JJG778-2019《噪声统计分析仪检定规程》、JJG1095-2014《环境噪声自动监测仪检定规程》1级的要求；（需提供检定证书扫描件佐证）</w:t>
      </w:r>
    </w:p>
    <w:p w14:paraId="1BF7A8F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（2）应符合GB/T 3785.1对1级声级计的要求；</w:t>
      </w:r>
    </w:p>
    <w:p w14:paraId="11C0106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（3）测量下限不高于30dB，测量上限不低于130dB；</w:t>
      </w:r>
    </w:p>
    <w:p w14:paraId="1DBA4AD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（4）应具有 A、C、Z 频率计权方式；</w:t>
      </w:r>
    </w:p>
    <w:p w14:paraId="755B7B1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（5）应具有 F、S 时间计权方式，采样时间间隔不大于1s；</w:t>
      </w:r>
    </w:p>
    <w:p w14:paraId="071FB4A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（6）应可扩展倍频程或三分之一倍频程等实时频谱分析功能，应符合GB3241对1级滤波器的要求并可远程设置频谱分析的采样间隔；</w:t>
      </w:r>
    </w:p>
    <w:p w14:paraId="7598709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 测量参数应包含瞬时声级LP、等效声级Leq、累积百分声级LN（N=5，10，50，90，95)最大声级Lmax、最小声级Lmin、标准差SD等；</w:t>
      </w:r>
    </w:p>
    <w:p w14:paraId="2E0A30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（8）应支持远程设置统计分析时间，在自定义时间段内生成 Leq、LN、Lmax、Lmin、SD及采集率等统计数据，应能够同时生成小时统计和天统计数据（Ld、Ln、Ldn）；</w:t>
      </w:r>
    </w:p>
    <w:p w14:paraId="6058958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 应具有对超出某一限值的声音的触发录音功能及远程回放功能，触发限值和录音时间可设置；</w:t>
      </w:r>
    </w:p>
    <w:p w14:paraId="0685102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（10）应具有远程自检功能并可任意设定自检频次，示值偏差大于0.5dB时自动提示；</w:t>
      </w:r>
    </w:p>
    <w:p w14:paraId="65C48A4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（11）应具有自动校时功能；</w:t>
      </w:r>
    </w:p>
    <w:p w14:paraId="7B13C07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（12）应在子站死机后有自动重启功能；</w:t>
      </w:r>
    </w:p>
    <w:p w14:paraId="7078178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（13）应可扩展其他相关参数采集功能，如视频、风速、风向、气温、相对湿度、大气压、降雨量、经纬度、道路交通车流量、声源识别数据等；</w:t>
      </w:r>
    </w:p>
    <w:p w14:paraId="56E924F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（14）噪声监测子站原始数据及录音数据存储时间应大于60d，并支持通过通用通讯接口下载数据；</w:t>
      </w:r>
    </w:p>
    <w:p w14:paraId="31960CF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（15）系统中任何时钟的不一致性小于2秒，每天最大偏差小于2秒；</w:t>
      </w:r>
    </w:p>
    <w:p w14:paraId="0724EB5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（16）应在通讯发生临时故障时不影响数据采集及存储，故障恢复后自动补传延误数据，永久断电不丢失已采集数据，数据总采集率不低于95%。</w:t>
      </w:r>
    </w:p>
    <w:p w14:paraId="1F13B5D5">
      <w:pPr>
        <w:keepNext/>
        <w:numPr>
          <w:ilvl w:val="3"/>
          <w:numId w:val="1"/>
        </w:numPr>
        <w:spacing w:line="360" w:lineRule="auto"/>
        <w:ind w:left="0" w:firstLine="420" w:firstLineChars="200"/>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通信单元</w:t>
      </w:r>
    </w:p>
    <w:p w14:paraId="6424819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（1）应能实时传输噪声自动监测原始数据和录音数据；</w:t>
      </w:r>
    </w:p>
    <w:p w14:paraId="0A9ED2C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（2）数据传输模式、传输流程、传输格式等应满足HJ660、HJ212的有关规定；</w:t>
      </w:r>
    </w:p>
    <w:p w14:paraId="602182B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（3）应支持有线网络、4G、WiFi。</w:t>
      </w:r>
    </w:p>
    <w:p w14:paraId="5060E749">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采用VPN加密传输方式保障数据安全传输</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防火墙吞吐性能：不低于300Mbps；</w:t>
      </w:r>
    </w:p>
    <w:p w14:paraId="720EABB0">
      <w:pPr>
        <w:keepNext/>
        <w:numPr>
          <w:ilvl w:val="3"/>
          <w:numId w:val="1"/>
        </w:numPr>
        <w:spacing w:line="360" w:lineRule="auto"/>
        <w:ind w:left="0" w:firstLine="420" w:firstLineChars="200"/>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电源控制单元</w:t>
      </w:r>
    </w:p>
    <w:p w14:paraId="6B06294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电源控制单元提供电力供应，防止外部电源抖动对测量精度的影响，保护噪声监测子站免受外部浪涌攻击。</w:t>
      </w:r>
    </w:p>
    <w:p w14:paraId="7425EA5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（1）蓄电池应具有充放电保护功能，容量应保证终端正常工作24h以上；</w:t>
      </w:r>
    </w:p>
    <w:p w14:paraId="7CE9B09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（2）供电部分绝缘电阻应大于20MΩ；</w:t>
      </w:r>
    </w:p>
    <w:p w14:paraId="15511F9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（3）各独立部件有接地措施；</w:t>
      </w:r>
    </w:p>
    <w:p w14:paraId="6580FB7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（4）应具有防雷设计；</w:t>
      </w:r>
    </w:p>
    <w:p w14:paraId="7D6FC16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*（5）应具有漏电保护装置和防盗报警装置（需提供具有CMA或CNAS标识的检测报告扫描件佐证）；</w:t>
      </w:r>
    </w:p>
    <w:p w14:paraId="22549EF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（6）高温、高压和有害等危险部位具有警示标识。</w:t>
      </w:r>
    </w:p>
    <w:p w14:paraId="3BD4D501">
      <w:pPr>
        <w:keepNext/>
        <w:numPr>
          <w:ilvl w:val="3"/>
          <w:numId w:val="1"/>
        </w:numPr>
        <w:spacing w:line="360" w:lineRule="auto"/>
        <w:ind w:left="0" w:firstLine="420" w:firstLineChars="200"/>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安装支架</w:t>
      </w:r>
    </w:p>
    <w:p w14:paraId="0280311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支架主要性能指标如下：</w:t>
      </w:r>
    </w:p>
    <w:p w14:paraId="5D5B5E1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（1）架杆和支架为防腐防锈全金属材质；</w:t>
      </w:r>
    </w:p>
    <w:p w14:paraId="53A3235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（2）具有方便进行传声器安装、拆卸和声校准操作的设计；</w:t>
      </w:r>
    </w:p>
    <w:p w14:paraId="377B8B7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（3）抗风能力：10级以上，风速30米/秒不损；</w:t>
      </w:r>
    </w:p>
    <w:p w14:paraId="1A900CA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（4）具有散热设计、电磁兼容设计、防腐处理、防水防尘处理；</w:t>
      </w:r>
    </w:p>
    <w:p w14:paraId="29A8C19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（5）可靠的防雷接地，防振动影响设计。</w:t>
      </w:r>
    </w:p>
    <w:p w14:paraId="67B19998">
      <w:pPr>
        <w:keepNext/>
        <w:numPr>
          <w:ilvl w:val="3"/>
          <w:numId w:val="1"/>
        </w:numPr>
        <w:spacing w:line="360" w:lineRule="auto"/>
        <w:ind w:left="0" w:firstLine="420" w:firstLineChars="200"/>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全天候防护箱</w:t>
      </w:r>
    </w:p>
    <w:p w14:paraId="6A2B038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全天候防护机箱内放置噪声监测终端设备，蓄电池等设备。防护箱主要性能指标如下：</w:t>
      </w:r>
    </w:p>
    <w:p w14:paraId="7D19FB2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*（1）机箱防尘防水性能应符合GB/T 4208-2017中IP65、机箱外壳应耐腐蚀的要求（需提供具有CMA或CNAS标识的检测报告扫描件佐证）。</w:t>
      </w:r>
    </w:p>
    <w:p w14:paraId="3F85845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*（2）具有抗电磁干扰、防雷设计，通过GB/T 17626.3射频电磁场辐射抗扰度试验和GB/T 17626.5浪涌(冲击)抗扰度试验；（需提供具有CMA或CNAS标识的检测报告扫描件佐证）</w:t>
      </w:r>
    </w:p>
    <w:p w14:paraId="2DEB7CDE">
      <w:pPr>
        <w:keepNext/>
        <w:keepLines/>
        <w:numPr>
          <w:ilvl w:val="2"/>
          <w:numId w:val="1"/>
        </w:numPr>
        <w:spacing w:line="360" w:lineRule="auto"/>
        <w:ind w:left="0" w:firstLine="422" w:firstLineChars="200"/>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气象监测单元</w:t>
      </w:r>
    </w:p>
    <w:p w14:paraId="38CD98FF">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采用一体化气象参数传感器，可时测量风速、风向、温度、湿度、大气压、降雨量等六个参数。</w:t>
      </w:r>
    </w:p>
    <w:p w14:paraId="4DABCD2B">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技术指标要求：</w:t>
      </w:r>
    </w:p>
    <w:p w14:paraId="7D679723">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（1）风速：测量范围0~60 /s，测量精度±3%</w:t>
      </w:r>
    </w:p>
    <w:p w14:paraId="642E2419">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（2）风向：测量范围：0~359.9°，测量精度±3° </w:t>
      </w:r>
    </w:p>
    <w:p w14:paraId="32CA8B23">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（3）温度：测量范围：-30~+60 ℃，测量精度：±0.5 ℃ </w:t>
      </w:r>
    </w:p>
    <w:p w14:paraId="476C2692">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（4）湿度：测量范围：0~100% RH，测量精度：±5 % RH</w:t>
      </w:r>
    </w:p>
    <w:p w14:paraId="029A15FC">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（5）大气压：测量范围：600-1100 hPa，测量精度：±1 hPa</w:t>
      </w:r>
    </w:p>
    <w:p w14:paraId="1A7E570E">
      <w:pPr>
        <w:keepNext w:val="0"/>
        <w:keepLines w:val="0"/>
        <w:widowControl/>
        <w:numPr>
          <w:ilvl w:val="0"/>
          <w:numId w:val="0"/>
        </w:numPr>
        <w:spacing w:line="360" w:lineRule="auto"/>
        <w:ind w:left="0" w:firstLine="420" w:firstLineChars="200"/>
        <w:jc w:val="left"/>
        <w:outlineLvl w:val="9"/>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（6）降雨量：测量范围：0-200 mm/h，测量精度：±5% mm/h。</w:t>
      </w:r>
    </w:p>
    <w:p w14:paraId="48708564">
      <w:pPr>
        <w:keepNext/>
        <w:keepLines/>
        <w:numPr>
          <w:ilvl w:val="2"/>
          <w:numId w:val="1"/>
        </w:numPr>
        <w:spacing w:line="360" w:lineRule="auto"/>
        <w:ind w:left="0"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环境自然声自动识别单元</w:t>
      </w:r>
    </w:p>
    <w:p w14:paraId="0B06190B">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（1）应能自动识别</w:t>
      </w:r>
      <w:r>
        <w:rPr>
          <w:rFonts w:hint="eastAsia" w:ascii="宋体" w:hAnsi="宋体" w:eastAsia="宋体" w:cs="宋体"/>
          <w:color w:val="auto"/>
          <w:szCs w:val="21"/>
          <w:highlight w:val="none"/>
        </w:rPr>
        <w:t>风雨雷、鸟虫蛙等</w:t>
      </w:r>
      <w:r>
        <w:rPr>
          <w:rFonts w:hint="eastAsia" w:ascii="宋体" w:hAnsi="宋体" w:eastAsia="宋体" w:cs="宋体"/>
          <w:b w:val="0"/>
          <w:bCs w:val="0"/>
          <w:color w:val="auto"/>
          <w:szCs w:val="21"/>
          <w:highlight w:val="none"/>
        </w:rPr>
        <w:t>自然声；</w:t>
      </w:r>
    </w:p>
    <w:p w14:paraId="1FDB3A65">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（2）训练音频格式：WAV格式，单声道，采样率为16kHz~48kHz，采样位数不低于16bit；</w:t>
      </w:r>
    </w:p>
    <w:p w14:paraId="66C6E629">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*（3）识别准确率：≥</w:t>
      </w:r>
      <w:r>
        <w:rPr>
          <w:rFonts w:hint="eastAsia" w:ascii="宋体" w:hAnsi="宋体" w:eastAsia="宋体" w:cs="宋体"/>
          <w:color w:val="auto"/>
          <w:szCs w:val="21"/>
          <w:highlight w:val="none"/>
        </w:rPr>
        <w:t>85</w:t>
      </w:r>
      <w:r>
        <w:rPr>
          <w:rFonts w:hint="eastAsia" w:ascii="宋体" w:hAnsi="宋体" w:eastAsia="宋体" w:cs="宋体"/>
          <w:b w:val="0"/>
          <w:bCs w:val="0"/>
          <w:color w:val="auto"/>
          <w:szCs w:val="21"/>
          <w:highlight w:val="none"/>
        </w:rPr>
        <w:t>%；</w:t>
      </w:r>
    </w:p>
    <w:p w14:paraId="1583F8ED">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（4）具备人工智能深度学习框架，支持算法优化训练功能，并自动将训练完成的音频补充进声源库训练集；</w:t>
      </w:r>
    </w:p>
    <w:p w14:paraId="11158B6D">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（5）声纹识别响应时间≤3s；</w:t>
      </w:r>
    </w:p>
    <w:p w14:paraId="02AB6DA8">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（6）声源识别算法模型部署：声源识别算法安装并部署于硬件设备前端；</w:t>
      </w:r>
    </w:p>
    <w:p w14:paraId="48EEFACD">
      <w:pPr>
        <w:keepNext w:val="0"/>
        <w:keepLines w:val="0"/>
        <w:widowControl/>
        <w:numPr>
          <w:ilvl w:val="0"/>
          <w:numId w:val="0"/>
        </w:numPr>
        <w:spacing w:line="360" w:lineRule="auto"/>
        <w:ind w:left="0" w:firstLine="420" w:firstLineChars="200"/>
        <w:jc w:val="left"/>
        <w:outlineLvl w:val="9"/>
        <w:rPr>
          <w:rFonts w:hint="eastAsia" w:ascii="宋体" w:hAnsi="宋体" w:eastAsia="宋体" w:cs="宋体"/>
          <w:b w:val="0"/>
          <w:bCs w:val="0"/>
          <w:color w:val="auto"/>
          <w:szCs w:val="21"/>
          <w:highlight w:val="none"/>
        </w:rPr>
      </w:pPr>
      <w:r>
        <w:rPr>
          <w:rFonts w:ascii="宋体" w:hAnsi="宋体" w:eastAsia="宋体" w:cs="宋体"/>
          <w:b w:val="0"/>
          <w:bCs w:val="0"/>
          <w:color w:val="auto"/>
          <w:szCs w:val="21"/>
          <w:highlight w:val="none"/>
        </w:rPr>
        <w:t>（</w:t>
      </w:r>
      <w:r>
        <w:rPr>
          <w:rFonts w:hint="eastAsia" w:ascii="宋体" w:hAnsi="宋体" w:eastAsia="宋体" w:cs="宋体"/>
          <w:color w:val="auto"/>
          <w:szCs w:val="21"/>
          <w:highlight w:val="none"/>
        </w:rPr>
        <w:t>7</w:t>
      </w:r>
      <w:r>
        <w:rPr>
          <w:rFonts w:ascii="宋体" w:hAnsi="宋体" w:eastAsia="宋体" w:cs="宋体"/>
          <w:b w:val="0"/>
          <w:bCs w:val="0"/>
          <w:color w:val="auto"/>
          <w:szCs w:val="21"/>
          <w:highlight w:val="none"/>
        </w:rPr>
        <w:t>）硬件配置：不低于六核、64位、1.6Ghz主频处理器；内存不低于4G(双通道DDR3)；存储不少于16G；</w:t>
      </w:r>
    </w:p>
    <w:p w14:paraId="6C4DA817">
      <w:pPr>
        <w:keepNext/>
        <w:keepLines/>
        <w:numPr>
          <w:ilvl w:val="2"/>
          <w:numId w:val="1"/>
        </w:numPr>
        <w:spacing w:line="360" w:lineRule="auto"/>
        <w:ind w:left="0" w:firstLine="422" w:firstLineChars="200"/>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定位模块+摄像头（含硬盘录像机）</w:t>
      </w:r>
    </w:p>
    <w:p w14:paraId="01DE1310">
      <w:pPr>
        <w:keepNext/>
        <w:numPr>
          <w:ilvl w:val="3"/>
          <w:numId w:val="1"/>
        </w:numPr>
        <w:spacing w:line="360" w:lineRule="auto"/>
        <w:ind w:left="0" w:firstLine="420" w:firstLineChars="200"/>
        <w:outlineLvl w:val="3"/>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定位模块</w:t>
      </w:r>
    </w:p>
    <w:p w14:paraId="27C03A5F">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（1）声源定位雷达硬件配置：采用≥8通道MEMS数字阵列麦克风，频响范围≥20Hz~20kHz，检测声压级范围≥30dB-130dB，可检测距离不小于30m，信噪比≥65dB ，支持Type-C和串口接口；</w:t>
      </w:r>
    </w:p>
    <w:p w14:paraId="59CE9466">
      <w:pPr>
        <w:widowControl/>
        <w:spacing w:line="360" w:lineRule="auto"/>
        <w:ind w:firstLine="420" w:firstLineChars="200"/>
        <w:jc w:val="left"/>
        <w:rPr>
          <w:rFonts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（2）声源定位雷达防水防尘等级不低于IP65；</w:t>
      </w:r>
    </w:p>
    <w:p w14:paraId="713FED9D">
      <w:pPr>
        <w:keepNext/>
        <w:keepLines w:val="0"/>
        <w:numPr>
          <w:ilvl w:val="3"/>
          <w:numId w:val="1"/>
        </w:numPr>
        <w:spacing w:line="360" w:lineRule="auto"/>
        <w:ind w:left="0" w:firstLine="420" w:firstLineChars="200"/>
        <w:outlineLvl w:val="3"/>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摄像头（含硬盘录像机）</w:t>
      </w:r>
    </w:p>
    <w:p w14:paraId="2F22118D">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（1）有效像素数：不低于200万；</w:t>
      </w:r>
    </w:p>
    <w:p w14:paraId="1AAFBB6A">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（2）支持最大1920 × 1080 @25 fps高清画面输出；</w:t>
      </w:r>
    </w:p>
    <w:p w14:paraId="477E6007">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（3）支持23倍光学变倍，16倍数字变倍；</w:t>
      </w:r>
    </w:p>
    <w:p w14:paraId="563AA9C9">
      <w:pPr>
        <w:widowControl/>
        <w:spacing w:line="360" w:lineRule="auto"/>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（4）</w:t>
      </w:r>
      <w:r>
        <w:rPr>
          <w:rFonts w:hint="eastAsia" w:ascii="宋体" w:hAnsi="宋体" w:eastAsia="宋体" w:cs="宋体"/>
          <w:color w:val="auto"/>
          <w:szCs w:val="21"/>
          <w:highlight w:val="none"/>
        </w:rPr>
        <w:t>采用高效补光阵列，低功耗，红外补光不小于50 m；</w:t>
      </w:r>
    </w:p>
    <w:p w14:paraId="1FBB9861">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b w:val="0"/>
          <w:bCs w:val="0"/>
          <w:color w:val="auto"/>
          <w:szCs w:val="21"/>
          <w:highlight w:val="none"/>
        </w:rPr>
        <w:t>（5）</w:t>
      </w:r>
      <w:r>
        <w:rPr>
          <w:rFonts w:hint="eastAsia" w:ascii="宋体" w:hAnsi="宋体" w:eastAsia="宋体" w:cs="宋体"/>
          <w:color w:val="auto"/>
          <w:szCs w:val="21"/>
          <w:highlight w:val="none"/>
        </w:rPr>
        <w:t>支持区域入侵、越界、进入区域和离开区域等等智能侦测；</w:t>
      </w:r>
    </w:p>
    <w:p w14:paraId="6572ECC6">
      <w:pPr>
        <w:keepNext w:val="0"/>
        <w:keepLines w:val="0"/>
        <w:widowControl/>
        <w:numPr>
          <w:ilvl w:val="0"/>
          <w:numId w:val="0"/>
        </w:numPr>
        <w:spacing w:line="360" w:lineRule="auto"/>
        <w:ind w:left="0" w:firstLine="420" w:firstLineChars="200"/>
        <w:jc w:val="left"/>
        <w:outlineLvl w:val="9"/>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（6）配备网络硬盘录像机：支持H.265高效视频编码码流，支持H.265、H.264混合接入，支持1080P解码，配备不低于2T监控硬盘；</w:t>
      </w:r>
    </w:p>
    <w:p w14:paraId="3149ADAE">
      <w:pPr>
        <w:keepNext/>
        <w:keepLines/>
        <w:numPr>
          <w:ilvl w:val="2"/>
          <w:numId w:val="1"/>
        </w:numPr>
        <w:spacing w:line="360" w:lineRule="auto"/>
        <w:ind w:left="0"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车流量监测单元</w:t>
      </w:r>
    </w:p>
    <w:p w14:paraId="52EA824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（1）4a 类声环境功能区监测站点选配车流量监测单元，对所监测道路车流量进行实时监测，用于统计大型车、中小型车数据；</w:t>
      </w:r>
    </w:p>
    <w:p w14:paraId="415B4BC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（2）检测原理：微波雷达；</w:t>
      </w:r>
    </w:p>
    <w:p w14:paraId="284A1F4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（3）车流量监测单元支持最多检测（双向）8 车道，车道宽度在2 m-5 m 范围内可自定义，车辆分型种类数不少于3 种（根据长度分类）且可自定义；</w:t>
      </w:r>
    </w:p>
    <w:p w14:paraId="2D4BE90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（4）车流量监测单元检测断面车流量准确率大于98%，单车道流量准确率大于95%；单车道车道占有率准确度大于95%，断面实时平均速度准确率大于98%；</w:t>
      </w:r>
    </w:p>
    <w:p w14:paraId="33AE164D">
      <w:pPr>
        <w:keepNext/>
        <w:keepLines/>
        <w:numPr>
          <w:ilvl w:val="2"/>
          <w:numId w:val="1"/>
        </w:numPr>
        <w:spacing w:line="360" w:lineRule="auto"/>
        <w:ind w:left="0" w:firstLine="422" w:firstLine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功能区声环境质量监测管理平台</w:t>
      </w:r>
    </w:p>
    <w:p w14:paraId="687DF5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val="en-US" w:eastAsia="zh-CN"/>
        </w:rPr>
        <w:t>功能区声环境质量监测管理平台</w:t>
      </w:r>
      <w:r>
        <w:rPr>
          <w:rFonts w:hint="eastAsia" w:ascii="宋体" w:hAnsi="宋体" w:eastAsia="宋体" w:cs="宋体"/>
          <w:color w:val="auto"/>
          <w:szCs w:val="21"/>
          <w:highlight w:val="none"/>
        </w:rPr>
        <w:t>直接与自动监测子站连接，接收自动监测子站传输的数据。具备向社会公布本行政区域声环境质量信息的功能。支持依据相关要求向上级噪声监控系统上传数据。应满足《功能区声环境质量自动监测技术规范》（HJ906-2017）、《环境噪声自动监测系统技术要求》（HJ907-2017）、《环境监测信息传输技术规定》（HJ660-2013）、《功能区声环境质量自动监测能力建设技术要求（试行）》（总站物字〔2023〕13号）等相关文件要求。</w:t>
      </w:r>
    </w:p>
    <w:p w14:paraId="2400240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1.噪声监测子站运行状态监控和数据收集</w:t>
      </w:r>
    </w:p>
    <w:p w14:paraId="4068643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*（1）可监控系统中各设备工作状态，支持噪声监测子站电力中断、通信中断、设备被移动、箱门打开、噪声数据超标、系统存储满事件报警，支持事件报警类型配置。 （需提供具有CMA或CNAS标识的软件测试报告扫描件佐证）</w:t>
      </w:r>
    </w:p>
    <w:p w14:paraId="7527F7D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（2）支持对噪声监测子站进行远程参数设置；</w:t>
      </w:r>
    </w:p>
    <w:p w14:paraId="42CD97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（3）支持每天生成噪声监测子站状态记录和自检报告；</w:t>
      </w:r>
    </w:p>
    <w:p w14:paraId="3728959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（4）支持定时自动收集各噪声监测子站的监测数据；</w:t>
      </w:r>
    </w:p>
    <w:p w14:paraId="009558F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（5）支持设备故障恢复后手动收集延误数据。</w:t>
      </w:r>
    </w:p>
    <w:p w14:paraId="334C9BE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2.数据存储及审核</w:t>
      </w:r>
    </w:p>
    <w:p w14:paraId="6CABE67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（1）应至少每季度自动进行一次原始监测数据完全备份，每周自动进行一次增量备份；</w:t>
      </w:r>
    </w:p>
    <w:p w14:paraId="09799AB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（2）原始监测数据应至少保存5 年并自动备份，删除时应反复确认并有详细记录；</w:t>
      </w:r>
    </w:p>
    <w:p w14:paraId="5030C69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（3）可存储和播放采用事件触发方式记录的现场录音；</w:t>
      </w:r>
    </w:p>
    <w:p w14:paraId="3AD5305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各时段噪声监测数据应能设置异常值判断条件（如：不满足数据采集率规定的数据、不符合相关规范气象条件的数据、子站监测设备故障产生的随机值等），支持对异常数据自动标记和提示，支持对数据进行人工审核；</w:t>
      </w:r>
    </w:p>
    <w:p w14:paraId="19FA8F3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（5）不得修改或删除数据库中的噪声自动监测原始数据；</w:t>
      </w:r>
    </w:p>
    <w:p w14:paraId="0C5302D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具备数据在线审核功能，能够依据噪声监测子站上传的触发录音、标记的异常数据、运行维护记录等，对受风速、降水、雷声及其他自然声影响的分钟噪声数据进行标识，同时对仪器运维、质控、故障期间的数据进行标识。可依据审核后的数据统计分钟、小时、昼间、夜间等效声级，并生成相关报表。</w:t>
      </w:r>
    </w:p>
    <w:p w14:paraId="0B65619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3.数据统计查询及报表生成</w:t>
      </w:r>
    </w:p>
    <w:p w14:paraId="6CB3250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（1）支持根据噪声自动监测原始数据统计，计算用户所需各种时段、各种统计周期的不同评价数据（包括Leq、Ld、Ln、Ldn、LN、Lmax、Lmin、SD、采集率等噪声采集数据及气象参数、道路交通信息等可扩展的数据）；</w:t>
      </w:r>
    </w:p>
    <w:p w14:paraId="39A71CB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（2）支持对触发噪声数据、异常数据和维护记录等进行分类统计；</w:t>
      </w:r>
    </w:p>
    <w:p w14:paraId="4A7B6E4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（3）监控分析，可查看监测一张图信息，可实现功能区声环境质量分析、功能区达标率排名分析、功能区噪声污染日历、噪声变化趋势分析、声环境污染特征分析功能。</w:t>
      </w:r>
    </w:p>
    <w:p w14:paraId="6CEFEB7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（4）数据统计报告应具备人工抽样数据重算功能；</w:t>
      </w:r>
    </w:p>
    <w:p w14:paraId="51E8343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（5）支持用户自定义统计周期及报表报告模板，数据报表报告应支持表和图形等方式；</w:t>
      </w:r>
    </w:p>
    <w:p w14:paraId="66679A6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（6）应支持导出Excel、Word、PDF 等通用文件格式；</w:t>
      </w:r>
    </w:p>
    <w:p w14:paraId="6FC604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（7）能够对本行政区域内所有噪声监测子站位置以及监测的小时等效声级、昼间/夜间等效声级、达标情况等进行可视化展示；</w:t>
      </w:r>
    </w:p>
    <w:p w14:paraId="6FA7963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（8）具备根据每秒钟的原始数据，统计分钟等效声级Leq、小时等效声级Leq、累积百分声级LN（N=10，50，90）、最大声级Lmax、最小声级Lmin、标准差SD 以及统计昼间等效声级Ld、夜间等效声级 Ln 和夜间最大声级Lmax等功能。昼间等效声级Ld 的统计时段为当日6:00至22:00，夜间等效声级Ln的统计时段为当日22:00至次日6:00（时间统一采用后时标，即凌晨0:00到1:00按1点来记录）。</w:t>
      </w:r>
    </w:p>
    <w:p w14:paraId="327F97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4.声环境质量综合分析</w:t>
      </w:r>
    </w:p>
    <w:p w14:paraId="5508726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具备噪声车流量关联分析及噪声气象关联分析功能；</w:t>
      </w:r>
    </w:p>
    <w:p w14:paraId="7EB1E3C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6.声源识别数据审核与分析</w:t>
      </w:r>
    </w:p>
    <w:p w14:paraId="4D6EF5B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*（1）自然声识别：可对自然声进行自动识别标注、人工识别核对，自动识别自然环境中的雨声、鸟叫、风声、蛙鸣、雷声、虫鸣等声源；（需提供具有CMA或CNAS标识的软件测试报告扫描件佐证）</w:t>
      </w:r>
    </w:p>
    <w:p w14:paraId="4F88139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*（2）支持人工审核调整数据有效性与数据标记功能，提供同一时刻的噪声、气象、声纹谱图、录音、录像、秒级切片声源识别等相关数据辅助人工审核；（需提供具有CMA或CNAS标识的软件测试报告扫描件佐证）</w:t>
      </w:r>
    </w:p>
    <w:p w14:paraId="4BFC558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（3）具备声环境质量与自然声关联分析的功能</w:t>
      </w:r>
    </w:p>
    <w:p w14:paraId="69DE561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（4）可根据声源识别结果自动生成声源解析报告，包含各类声源超标比例分析、昼夜间达标率分析等。</w:t>
      </w:r>
    </w:p>
    <w:p w14:paraId="380FC28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7.软件接口</w:t>
      </w:r>
    </w:p>
    <w:p w14:paraId="0D788E7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应支持噪声监控系统数据接口的开放，可实现数据的交换和共享。</w:t>
      </w:r>
    </w:p>
    <w:p w14:paraId="62FE72D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8.配备支撑服务器</w:t>
      </w:r>
    </w:p>
    <w:p w14:paraId="44281BE6">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配备1台</w:t>
      </w:r>
      <w:r>
        <w:rPr>
          <w:rFonts w:hint="eastAsia" w:ascii="宋体" w:hAnsi="宋体" w:eastAsia="宋体" w:cs="宋体"/>
          <w:color w:val="auto"/>
          <w:szCs w:val="21"/>
          <w:highlight w:val="none"/>
          <w:lang w:val="en-US" w:eastAsia="zh-CN"/>
        </w:rPr>
        <w:t>国产</w:t>
      </w:r>
      <w:r>
        <w:rPr>
          <w:rFonts w:hint="eastAsia" w:ascii="宋体" w:hAnsi="宋体" w:eastAsia="宋体" w:cs="宋体"/>
          <w:color w:val="auto"/>
          <w:szCs w:val="21"/>
          <w:highlight w:val="none"/>
        </w:rPr>
        <w:t>服务器及操作系统，</w:t>
      </w:r>
    </w:p>
    <w:p w14:paraId="7D46D92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（1）C</w:t>
      </w:r>
      <w:r>
        <w:rPr>
          <w:rFonts w:hint="eastAsia" w:ascii="宋体" w:hAnsi="宋体" w:eastAsia="宋体" w:cs="宋体"/>
          <w:color w:val="auto"/>
          <w:szCs w:val="21"/>
          <w:highlight w:val="none"/>
          <w:lang w:val="en-US" w:eastAsia="zh-CN"/>
        </w:rPr>
        <w:t>PU</w:t>
      </w:r>
      <w:r>
        <w:rPr>
          <w:rFonts w:hint="eastAsia" w:ascii="宋体" w:hAnsi="宋体" w:eastAsia="宋体" w:cs="宋体"/>
          <w:color w:val="auto"/>
          <w:szCs w:val="21"/>
          <w:highlight w:val="none"/>
        </w:rPr>
        <w:t>：不少于24核；</w:t>
      </w:r>
    </w:p>
    <w:p w14:paraId="73B9495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（2）内存：不低于32G；</w:t>
      </w:r>
    </w:p>
    <w:p w14:paraId="20193A6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（3）存储：容量不少于16TB</w:t>
      </w:r>
    </w:p>
    <w:p w14:paraId="4E6D13D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9.配备VPN</w:t>
      </w:r>
    </w:p>
    <w:p w14:paraId="0660F79A">
      <w:pPr>
        <w:widowControl/>
        <w:spacing w:line="360" w:lineRule="auto"/>
        <w:ind w:firstLine="420" w:firstLineChars="200"/>
        <w:jc w:val="left"/>
        <w:rPr>
          <w:rFonts w:ascii="宋体" w:hAnsi="宋体" w:eastAsia="宋体" w:cs="宋体"/>
          <w:color w:val="auto"/>
          <w:szCs w:val="21"/>
          <w:highlight w:val="none"/>
        </w:rPr>
      </w:pPr>
      <w:r>
        <w:rPr>
          <w:rFonts w:ascii="宋体" w:hAnsi="宋体" w:eastAsia="宋体" w:cs="宋体"/>
          <w:color w:val="auto"/>
          <w:szCs w:val="21"/>
          <w:highlight w:val="none"/>
        </w:rPr>
        <w:t>用于功能区噪声自动监测子站加密数据接收，应可兼容国家网VPN 网络，互联互通</w:t>
      </w:r>
      <w:r>
        <w:rPr>
          <w:rFonts w:hint="eastAsia" w:ascii="宋体" w:hAnsi="宋体" w:eastAsia="宋体" w:cs="宋体"/>
          <w:color w:val="auto"/>
          <w:szCs w:val="21"/>
          <w:highlight w:val="none"/>
        </w:rPr>
        <w:t>。</w:t>
      </w:r>
    </w:p>
    <w:p w14:paraId="042292BB">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（1）性能要求：防火墙吞吐：不小于400Mbps；</w:t>
      </w:r>
      <w:r>
        <w:rPr>
          <w:rFonts w:ascii="宋体" w:hAnsi="宋体" w:eastAsia="宋体" w:cs="宋体"/>
          <w:color w:val="auto"/>
          <w:szCs w:val="21"/>
          <w:highlight w:val="none"/>
        </w:rPr>
        <w:t xml:space="preserve"> </w:t>
      </w:r>
    </w:p>
    <w:p w14:paraId="165EA644">
      <w:pPr>
        <w:widowControl/>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（2）硬件参数：内存大小：不小于4G，硬盘：不小于128G SSD；接口：不少于6千兆电口。</w:t>
      </w:r>
    </w:p>
    <w:p w14:paraId="7CA78AA1">
      <w:pPr>
        <w:keepNext/>
        <w:keepLines/>
        <w:numPr>
          <w:ilvl w:val="0"/>
          <w:numId w:val="0"/>
        </w:numPr>
        <w:spacing w:line="360" w:lineRule="auto"/>
        <w:ind w:left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1.2</w:t>
      </w:r>
      <w:r>
        <w:rPr>
          <w:rFonts w:hint="eastAsia" w:ascii="宋体" w:hAnsi="宋体" w:eastAsia="宋体" w:cs="宋体"/>
          <w:b/>
          <w:bCs/>
          <w:color w:val="auto"/>
          <w:szCs w:val="21"/>
          <w:highlight w:val="none"/>
        </w:rPr>
        <w:t>安装与工程实施</w:t>
      </w:r>
    </w:p>
    <w:p w14:paraId="40F9491E">
      <w:pPr>
        <w:keepNext/>
        <w:numPr>
          <w:ilvl w:val="0"/>
          <w:numId w:val="0"/>
        </w:numPr>
        <w:spacing w:line="360" w:lineRule="auto"/>
        <w:ind w:leftChars="200"/>
        <w:outlineLvl w:val="3"/>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1.2.1</w:t>
      </w:r>
      <w:r>
        <w:rPr>
          <w:rFonts w:hint="eastAsia" w:ascii="宋体" w:hAnsi="宋体" w:eastAsia="宋体" w:cs="宋体"/>
          <w:b/>
          <w:bCs w:val="0"/>
          <w:color w:val="auto"/>
          <w:szCs w:val="21"/>
          <w:highlight w:val="none"/>
        </w:rPr>
        <w:t>安装和调试</w:t>
      </w:r>
    </w:p>
    <w:p w14:paraId="7CD7C3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1.2.1.1</w:t>
      </w:r>
      <w:r>
        <w:rPr>
          <w:rFonts w:hint="eastAsia" w:ascii="宋体" w:hAnsi="宋体" w:eastAsia="宋体" w:cs="宋体"/>
          <w:color w:val="auto"/>
          <w:szCs w:val="21"/>
          <w:highlight w:val="none"/>
        </w:rPr>
        <w:t>开箱检查</w:t>
      </w:r>
    </w:p>
    <w:p w14:paraId="7D57FB4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（1）仪器设备应无破损、变形，无明显缺陷，型号、数量应与设备清单一致。</w:t>
      </w:r>
    </w:p>
    <w:p w14:paraId="3C6114D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（2）仪器设备应在明显位置标示仪器的产品铭牌，铭牌上应标有仪器名称、型号、出厂编号、制造日期、准确度等级和制造商等信息。</w:t>
      </w:r>
    </w:p>
    <w:p w14:paraId="27F5D5D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（3）每台噪声监测子站整机（含带风罩的户外传声器）须提供依据JJG 1095（或JJG 778）出具的仪器检定合格证书。</w:t>
      </w:r>
    </w:p>
    <w:p w14:paraId="554E5F9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（4）应包含安装说明书（图纸）、使用说明书、仪器产品合格证书、保修卡等。</w:t>
      </w:r>
    </w:p>
    <w:p w14:paraId="2B7EA4A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1.2.1.2</w:t>
      </w:r>
      <w:r>
        <w:rPr>
          <w:rFonts w:hint="eastAsia" w:ascii="宋体" w:hAnsi="宋体" w:eastAsia="宋体" w:cs="宋体"/>
          <w:color w:val="auto"/>
          <w:szCs w:val="21"/>
          <w:highlight w:val="none"/>
        </w:rPr>
        <w:t>基础施工</w:t>
      </w:r>
    </w:p>
    <w:p w14:paraId="1FB5D2F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噪声监测子站基础施工应符合GB 50093 的相关要求，保障仪器设备安装牢固，传声器支架结构应满足防生锈、防掉落、易维护等要求，便于传声器安装、拆卸和声校准操作。</w:t>
      </w:r>
    </w:p>
    <w:p w14:paraId="756953E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1.2.1.3</w:t>
      </w:r>
      <w:r>
        <w:rPr>
          <w:rFonts w:hint="eastAsia" w:ascii="宋体" w:hAnsi="宋体" w:eastAsia="宋体" w:cs="宋体"/>
          <w:color w:val="auto"/>
          <w:szCs w:val="21"/>
          <w:highlight w:val="none"/>
        </w:rPr>
        <w:t>调试</w:t>
      </w:r>
    </w:p>
    <w:p w14:paraId="31AB76C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安装完毕后进行仪器调试，噪声监测子站采集到的数据可正常上传至指定的服务器。</w:t>
      </w:r>
    </w:p>
    <w:p w14:paraId="13FFB3A9">
      <w:pPr>
        <w:keepNext/>
        <w:numPr>
          <w:ilvl w:val="0"/>
          <w:numId w:val="0"/>
        </w:numPr>
        <w:spacing w:line="360" w:lineRule="auto"/>
        <w:ind w:leftChars="200"/>
        <w:outlineLvl w:val="3"/>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1.2.2</w:t>
      </w:r>
      <w:r>
        <w:rPr>
          <w:rFonts w:hint="eastAsia" w:ascii="宋体" w:hAnsi="宋体" w:eastAsia="宋体" w:cs="宋体"/>
          <w:b/>
          <w:bCs w:val="0"/>
          <w:color w:val="auto"/>
          <w:szCs w:val="21"/>
          <w:highlight w:val="none"/>
        </w:rPr>
        <w:t>试运行</w:t>
      </w:r>
    </w:p>
    <w:p w14:paraId="4A66862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试运行周期不小于7 天，试运行结束后，每台设备运行状态应正常（试运行前校准，试运行结束后校验，偏差不大于0.5 dB），数据信息传输应准确，数据采集率应大于95 %。</w:t>
      </w:r>
    </w:p>
    <w:p w14:paraId="22C8194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试运行期间，采用手工监测仪器对所有监测点位的噪声监测子站进行不少于24 小时的连续比对测试，手工监测数据和自动监测数据各小时等效声级偏差绝对值不得超过1.0 dB。</w:t>
      </w:r>
    </w:p>
    <w:p w14:paraId="448DD01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试运行期间不得进行任何形式的仪器维护，因故障等造成运行中断，恢复正常后重新开始试运行。</w:t>
      </w:r>
    </w:p>
    <w:p w14:paraId="3E231B78">
      <w:pPr>
        <w:keepNext/>
        <w:numPr>
          <w:ilvl w:val="0"/>
          <w:numId w:val="0"/>
        </w:numPr>
        <w:spacing w:line="360" w:lineRule="auto"/>
        <w:ind w:leftChars="200"/>
        <w:outlineLvl w:val="3"/>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lang w:val="en-US" w:eastAsia="zh-CN"/>
        </w:rPr>
        <w:t>1.2.3</w:t>
      </w:r>
      <w:r>
        <w:rPr>
          <w:rFonts w:hint="eastAsia" w:ascii="宋体" w:hAnsi="宋体" w:eastAsia="宋体" w:cs="宋体"/>
          <w:b/>
          <w:bCs w:val="0"/>
          <w:color w:val="auto"/>
          <w:szCs w:val="21"/>
          <w:highlight w:val="none"/>
        </w:rPr>
        <w:t>验收</w:t>
      </w:r>
    </w:p>
    <w:p w14:paraId="3025726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系统试运行合格后进行验收。验收内容应包括自动监测子站仪器检定合格证书，系统技术参数与招标文件、合同条款的符合性，试运行结果，以及其他要求的符合性。</w:t>
      </w:r>
    </w:p>
    <w:p w14:paraId="36625BA5">
      <w:pPr>
        <w:keepNext/>
        <w:keepLines/>
        <w:numPr>
          <w:ilvl w:val="0"/>
          <w:numId w:val="0"/>
        </w:numPr>
        <w:spacing w:line="360" w:lineRule="auto"/>
        <w:ind w:leftChars="200"/>
        <w:outlineLvl w:val="2"/>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 xml:space="preserve">1.3  </w:t>
      </w:r>
      <w:r>
        <w:rPr>
          <w:rFonts w:hint="eastAsia" w:ascii="宋体" w:hAnsi="宋体" w:eastAsia="宋体" w:cs="宋体"/>
          <w:b/>
          <w:bCs/>
          <w:color w:val="auto"/>
          <w:szCs w:val="21"/>
          <w:highlight w:val="none"/>
        </w:rPr>
        <w:t>3年运维、质保（第一年免费提供）</w:t>
      </w:r>
    </w:p>
    <w:p w14:paraId="4124D31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为本项目提供三年</w:t>
      </w:r>
      <w:r>
        <w:rPr>
          <w:rFonts w:hint="eastAsia" w:ascii="宋体" w:hAnsi="宋体" w:eastAsia="宋体" w:cs="宋体"/>
          <w:color w:val="auto"/>
          <w:szCs w:val="21"/>
          <w:highlight w:val="none"/>
          <w:lang w:val="en-US" w:eastAsia="zh-CN"/>
        </w:rPr>
        <w:t>保修和</w:t>
      </w:r>
      <w:r>
        <w:rPr>
          <w:rFonts w:hint="eastAsia" w:ascii="宋体" w:hAnsi="宋体" w:eastAsia="宋体" w:cs="宋体"/>
          <w:color w:val="auto"/>
          <w:szCs w:val="21"/>
          <w:highlight w:val="none"/>
        </w:rPr>
        <w:t>运维服务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保修和运维服务期内，噪声监测子站故障后2小时内响应，远程无法解决的，4小时内到达现场解决</w:t>
      </w:r>
      <w:r>
        <w:rPr>
          <w:rFonts w:hint="eastAsia" w:ascii="宋体" w:hAnsi="宋体" w:eastAsia="宋体" w:cs="宋体"/>
          <w:color w:val="auto"/>
          <w:szCs w:val="21"/>
          <w:highlight w:val="none"/>
        </w:rPr>
        <w:t>。</w:t>
      </w:r>
    </w:p>
    <w:p w14:paraId="7A5E01B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严格按照《功能区声环境质量自动监测系统运行维护和质量控制技术要求（试行）》（总站物字[2024]6号）和《功能区声环境质量自动监测技术规范》（HJ 906-2017）相关要求开展运维服务工作，运维工作用到的手工比对设备、声校准器、风速仪等质控设备有承建单位自行购买并检定，费用含在运维费中。</w:t>
      </w:r>
    </w:p>
    <w:p w14:paraId="1055346B">
      <w:pPr>
        <w:keepNext/>
        <w:numPr>
          <w:ilvl w:val="0"/>
          <w:numId w:val="0"/>
        </w:numPr>
        <w:spacing w:line="360" w:lineRule="auto"/>
        <w:ind w:leftChars="200"/>
        <w:outlineLvl w:val="3"/>
        <w:rPr>
          <w:rFonts w:hint="eastAsia" w:ascii="宋体" w:hAnsi="宋体" w:eastAsia="宋体" w:cs="宋体"/>
          <w:b/>
          <w:bCs w:val="0"/>
          <w:color w:val="auto"/>
          <w:szCs w:val="21"/>
          <w:highlight w:val="none"/>
        </w:rPr>
      </w:pPr>
      <w:bookmarkStart w:id="4" w:name="_Toc157779300"/>
      <w:bookmarkStart w:id="5" w:name="_Toc131426292"/>
      <w:bookmarkStart w:id="6" w:name="_Toc159955905"/>
      <w:r>
        <w:rPr>
          <w:rFonts w:hint="eastAsia" w:ascii="宋体" w:hAnsi="宋体" w:eastAsia="宋体" w:cs="宋体"/>
          <w:b/>
          <w:bCs w:val="0"/>
          <w:color w:val="auto"/>
          <w:szCs w:val="21"/>
          <w:highlight w:val="none"/>
          <w:lang w:val="en-US" w:eastAsia="zh-CN"/>
        </w:rPr>
        <w:t>1.3.1</w:t>
      </w:r>
      <w:r>
        <w:rPr>
          <w:rFonts w:hint="eastAsia" w:ascii="宋体" w:hAnsi="宋体" w:eastAsia="宋体" w:cs="宋体"/>
          <w:b/>
          <w:bCs w:val="0"/>
          <w:color w:val="auto"/>
          <w:szCs w:val="21"/>
          <w:highlight w:val="none"/>
        </w:rPr>
        <w:t>日常运行维护基本要求</w:t>
      </w:r>
      <w:bookmarkEnd w:id="4"/>
      <w:bookmarkEnd w:id="5"/>
      <w:bookmarkEnd w:id="6"/>
    </w:p>
    <w:p w14:paraId="11EBABB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建立由日质控、月质控、年度全面维护等多级质控措施以及仪器关键参数上传、远程控制等组成的多维度质控体系，以保证声环境功能区自动站数据质量。</w:t>
      </w:r>
      <w:bookmarkStart w:id="7" w:name="_Toc127526569"/>
    </w:p>
    <w:p w14:paraId="49B5A86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噪声自动监测系统应全年365 天（闰年366 天）连续运行，因仪器故障检修、量值溯源等停运超过24 小时，须报告负责该站点管理的主管部门，48 小时内应采取有效措施恢复正常运行。需要主动停运的，须提前报负责该站点管理的主管部门批准。</w:t>
      </w:r>
    </w:p>
    <w:p w14:paraId="2C8E38A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应保证噪声自动监测系统小时数据采集率大于95%，否则应及时维护或检修。数据采集率以秒级数据作为计算单元。</w:t>
      </w:r>
    </w:p>
    <w:p w14:paraId="3C1E9A1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在日常运行中因仪器故障检修、量值溯源等临时使用备用仪器开展监测的情况，须于备机使用后1 周内报告该站点管理的主管部门。</w:t>
      </w:r>
    </w:p>
    <w:bookmarkEnd w:id="7"/>
    <w:p w14:paraId="3DF406F3">
      <w:pPr>
        <w:widowControl/>
        <w:spacing w:line="360" w:lineRule="auto"/>
        <w:ind w:firstLine="420" w:firstLineChars="200"/>
        <w:jc w:val="left"/>
        <w:rPr>
          <w:rFonts w:hint="eastAsia" w:ascii="宋体" w:hAnsi="宋体" w:eastAsia="宋体" w:cs="宋体"/>
          <w:color w:val="auto"/>
          <w:szCs w:val="21"/>
          <w:highlight w:val="none"/>
        </w:rPr>
      </w:pPr>
      <w:bookmarkStart w:id="8" w:name="_Toc131426295"/>
      <w:bookmarkStart w:id="9" w:name="_Toc157779301"/>
      <w:bookmarkStart w:id="10" w:name="_Toc126672131"/>
      <w:bookmarkStart w:id="11" w:name="_Toc71617559"/>
      <w:r>
        <w:rPr>
          <w:rFonts w:hint="eastAsia" w:ascii="宋体" w:hAnsi="宋体" w:eastAsia="宋体" w:cs="宋体"/>
          <w:color w:val="auto"/>
          <w:szCs w:val="21"/>
          <w:highlight w:val="none"/>
        </w:rPr>
        <w:t>（1）每日检查</w:t>
      </w:r>
      <w:bookmarkEnd w:id="8"/>
      <w:bookmarkEnd w:id="9"/>
      <w:bookmarkEnd w:id="10"/>
      <w:bookmarkEnd w:id="11"/>
    </w:p>
    <w:p w14:paraId="76D3B6A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公司指派噪声系统专业运维人员负责项目的运维工作，并接受使用方的工作检查和考核。</w:t>
      </w:r>
    </w:p>
    <w:p w14:paraId="61763F2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每日检查噪声监测子站自检时声学测量仪器灵敏度是否异常，出现异常值时应及时记录并查找原因。</w:t>
      </w:r>
    </w:p>
    <w:p w14:paraId="73E8777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通过监控系统检查各噪声监测子站的数据、录音等信息传输及运行状况是否正常。若发现某站点信息传输异常，应立即查明原因并排除故障，短时间无法解决数据传输问题时，应及时从站点终端处人工备份数据。</w:t>
      </w:r>
    </w:p>
    <w:p w14:paraId="75A93A5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噪声自动监测系统各单元应采用网络授时，每日通过监控系统对各站点时钟和日历设置进行检查，保证数据采集时间和监控系统时间一致，若时间偏差超过2 秒，应及时进行调整。</w:t>
      </w:r>
    </w:p>
    <w:p w14:paraId="6CF598F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每日检查数据是否异常，出现异常值时应查找原因并判断数据是否有效。审核监测数据是否存在恒值不变的情况，如接收的监测数据Leq 监测结果持续多条不变；审核监测数据是否存在浮动异常情况，如同一时段内Leq 监测结果起伏较大；审核监测数据是否超过测量范围，如最大值超过仪器测量上限，最小值低于仪器测量下限；审核监测数据是否存在逻辑异常的情况，如小时数据不满足Lmax&gt;L10&gt;L50&gt;L90&gt;Lmin，出现Leq&gt;Lmax、Leq&lt;Lmin、Leq=L10（或L90、Lmax、Lmin）等情形。</w:t>
      </w:r>
    </w:p>
    <w:p w14:paraId="0505D74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对异常状况警告信息及时处理，记录和报告可能影响监测结果的特殊情况，如：台风、暴雪、冰雹、沙尘等恶劣天气影响、噪声自动监测系统电力中断、通信中断、设备故障等异常报警、其他噪声干扰等。必要时应到现场检查和处理，排除故障。</w:t>
      </w:r>
    </w:p>
    <w:p w14:paraId="313F3EB0">
      <w:pPr>
        <w:widowControl/>
        <w:spacing w:line="360" w:lineRule="auto"/>
        <w:ind w:firstLine="420" w:firstLineChars="200"/>
        <w:jc w:val="left"/>
        <w:rPr>
          <w:rFonts w:hint="eastAsia" w:ascii="宋体" w:hAnsi="宋体" w:eastAsia="宋体" w:cs="宋体"/>
          <w:color w:val="auto"/>
          <w:szCs w:val="21"/>
          <w:highlight w:val="none"/>
        </w:rPr>
      </w:pPr>
      <w:bookmarkStart w:id="12" w:name="_Toc126672132"/>
      <w:bookmarkStart w:id="13" w:name="_Toc71617560"/>
      <w:bookmarkStart w:id="14" w:name="_Toc131426296"/>
      <w:bookmarkStart w:id="15" w:name="_Toc157779302"/>
      <w:r>
        <w:rPr>
          <w:rFonts w:hint="eastAsia" w:ascii="宋体" w:hAnsi="宋体" w:eastAsia="宋体" w:cs="宋体"/>
          <w:color w:val="auto"/>
          <w:szCs w:val="21"/>
          <w:highlight w:val="none"/>
        </w:rPr>
        <w:t>（2）定期巡检</w:t>
      </w:r>
      <w:bookmarkEnd w:id="12"/>
      <w:bookmarkEnd w:id="13"/>
      <w:bookmarkEnd w:id="14"/>
      <w:bookmarkEnd w:id="15"/>
    </w:p>
    <w:p w14:paraId="2E19A4E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定期巡检内容如下：</w:t>
      </w:r>
    </w:p>
    <w:p w14:paraId="24CADBF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应对噪声监测子站定期现场巡检及维护，每月至少1 次，可根据实际情况提高频次。</w:t>
      </w:r>
    </w:p>
    <w:p w14:paraId="6779BA3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检查噪声监测子站周边200 米范围环境变化情况，若发现新增影响监测结果的固定声源或其他可能影响监测结果的情况，应记录并报告负责该站点管理的主管部门。</w:t>
      </w:r>
    </w:p>
    <w:p w14:paraId="306A15F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定期检查噪声监测子站及质量控制使用的声级计、声校准器、备用仪器的检定证书、校准证书是否在有效期内。</w:t>
      </w:r>
    </w:p>
    <w:p w14:paraId="715F8E5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每次巡检时应取下防风罩对其进行全面检查，如有异物及时清理，出现变形、老化、破损等影响监测的情况应及时更换，至少1 年更换一次。更换的防风罩的声学性能应与原防风罩保持一致。沙尘天气结束后应及时对防风罩进行检查清理。</w:t>
      </w:r>
    </w:p>
    <w:p w14:paraId="3062B6C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查噪声监测子站支架、机箱、避雷设施是否完好；检查电源、通讯设备和辅助设施等是否正常；检查仪器线路连接是否可靠，包括电源连接、通信设备连接、传声器连接等；检查仪器及系统的工作状态参数是否正常。</w:t>
      </w:r>
    </w:p>
    <w:p w14:paraId="568DD51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核对噪声监测子站相关单元时钟和日历设置，若时间偏差超过2 秒，应及时进行调整。</w:t>
      </w:r>
    </w:p>
    <w:p w14:paraId="7CCB941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根据仪器说明书要求，适时对气象采集单元进行清洁、维护。</w:t>
      </w:r>
    </w:p>
    <w:p w14:paraId="22125D64">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每月备份上月噪声自动监测系统原始数据、统计数据和运维质控记录。每年初对上年噪声监测数据和运维质控记录进行存档。</w:t>
      </w:r>
    </w:p>
    <w:p w14:paraId="5531A80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特殊情况巡检。在台风、暴雪、冰雹、沙尘等恶劣天气后应对各噪声监测子站进行巡检和现场声校验、声校准。</w:t>
      </w:r>
    </w:p>
    <w:p w14:paraId="259AF742">
      <w:pPr>
        <w:widowControl/>
        <w:spacing w:line="360" w:lineRule="auto"/>
        <w:ind w:firstLine="420" w:firstLineChars="200"/>
        <w:jc w:val="left"/>
        <w:rPr>
          <w:rFonts w:hint="eastAsia" w:ascii="宋体" w:hAnsi="宋体" w:eastAsia="宋体" w:cs="宋体"/>
          <w:color w:val="auto"/>
          <w:szCs w:val="21"/>
          <w:highlight w:val="none"/>
        </w:rPr>
      </w:pPr>
      <w:bookmarkStart w:id="16" w:name="_Toc157779303"/>
      <w:bookmarkStart w:id="17" w:name="_Toc131426297"/>
      <w:bookmarkStart w:id="18" w:name="_Toc126672133"/>
      <w:bookmarkStart w:id="19" w:name="_Toc71617561"/>
      <w:r>
        <w:rPr>
          <w:rFonts w:hint="eastAsia" w:ascii="宋体" w:hAnsi="宋体" w:eastAsia="宋体" w:cs="宋体"/>
          <w:color w:val="auto"/>
          <w:szCs w:val="21"/>
          <w:highlight w:val="none"/>
        </w:rPr>
        <w:t>（3）故障检修</w:t>
      </w:r>
      <w:bookmarkEnd w:id="16"/>
    </w:p>
    <w:p w14:paraId="12C772E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当噪声自动监测系统发生故障时，根据仪器说明书要求，开展故障判断和检修，应在24 小时内响应并完成故障排查。对于在现场能够诊断明确且可通过更换备件解决的仪器故障，应及时检修并尽快恢复正常运行。对于其他不易诊断和检修的故障，应返厂维修并采用备用仪器开展监测。</w:t>
      </w:r>
    </w:p>
    <w:p w14:paraId="565F970E">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如涉及更换仪器关键部件（传声器、户外防风罩等），须提前报告负责该站点管理的主管部门。关键部件更换后，应按照附录B 要求开展24 小时比对测试，各小时等效声级偏差应不超过±1.5dB。</w:t>
      </w:r>
    </w:p>
    <w:p w14:paraId="1D9AD8EB">
      <w:pPr>
        <w:widowControl/>
        <w:spacing w:line="360" w:lineRule="auto"/>
        <w:ind w:firstLine="420" w:firstLineChars="200"/>
        <w:jc w:val="left"/>
        <w:rPr>
          <w:rFonts w:hint="eastAsia" w:ascii="宋体" w:hAnsi="宋体" w:eastAsia="宋体" w:cs="宋体"/>
          <w:color w:val="auto"/>
          <w:szCs w:val="21"/>
          <w:highlight w:val="none"/>
        </w:rPr>
      </w:pPr>
      <w:bookmarkStart w:id="20" w:name="_Toc157779304"/>
      <w:r>
        <w:rPr>
          <w:rFonts w:hint="eastAsia" w:ascii="宋体" w:hAnsi="宋体" w:eastAsia="宋体" w:cs="宋体"/>
          <w:color w:val="auto"/>
          <w:szCs w:val="21"/>
          <w:highlight w:val="none"/>
        </w:rPr>
        <w:t>（4）年度维护</w:t>
      </w:r>
      <w:bookmarkEnd w:id="17"/>
      <w:bookmarkEnd w:id="18"/>
      <w:bookmarkEnd w:id="19"/>
      <w:bookmarkEnd w:id="20"/>
    </w:p>
    <w:p w14:paraId="481EE23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每年在完成年度运维后将形成年度运维报告提交业主单位审查。</w:t>
      </w:r>
      <w:bookmarkStart w:id="21" w:name="_Toc38201680"/>
      <w:r>
        <w:rPr>
          <w:rFonts w:hint="eastAsia" w:ascii="宋体" w:hAnsi="宋体" w:eastAsia="宋体" w:cs="宋体"/>
          <w:color w:val="auto"/>
          <w:szCs w:val="21"/>
          <w:highlight w:val="none"/>
        </w:rPr>
        <w:t>年度维护内容</w:t>
      </w:r>
      <w:bookmarkEnd w:id="21"/>
      <w:r>
        <w:rPr>
          <w:rFonts w:hint="eastAsia" w:ascii="宋体" w:hAnsi="宋体" w:eastAsia="宋体" w:cs="宋体"/>
          <w:color w:val="auto"/>
          <w:szCs w:val="21"/>
          <w:highlight w:val="none"/>
        </w:rPr>
        <w:t>如下：</w:t>
      </w:r>
    </w:p>
    <w:p w14:paraId="5466FFB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盘点备件库存，提出当年仪器备品耗材的购置计划，确保声环境自动监测系统正常运行。</w:t>
      </w:r>
    </w:p>
    <w:p w14:paraId="50D4800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按厂家提供的使用和维修手册规定的要求，根据配件的使用状态，及时更换监测仪器中的风罩、路由器等配件。</w:t>
      </w:r>
    </w:p>
    <w:p w14:paraId="566D4E1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视老化程度对机箱、支架等外部件进行保养，如：更换零件、喷涂防锈漆等，保证站点安全稳固。</w:t>
      </w:r>
    </w:p>
    <w:p w14:paraId="35276B7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对电路板、电线、各种接头进行检测、防止老化带来的安全隐患。</w:t>
      </w:r>
    </w:p>
    <w:p w14:paraId="4A5DDDE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对服务器、系统软件等进行全面检查，检查运行情况、安全漏洞、占用资源情况、剩余储存空间、是否感染病毒等，必要时应对软硬件进行升级。</w:t>
      </w:r>
    </w:p>
    <w:p w14:paraId="2666F00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对维护及更换配件情况进行记录，维护记录存档。</w:t>
      </w:r>
    </w:p>
    <w:p w14:paraId="42503E71">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存档上年的原始监测数据。</w:t>
      </w:r>
    </w:p>
    <w:p w14:paraId="525A8471">
      <w:pPr>
        <w:keepNext/>
        <w:numPr>
          <w:ilvl w:val="0"/>
          <w:numId w:val="0"/>
        </w:numPr>
        <w:spacing w:line="360" w:lineRule="auto"/>
        <w:ind w:leftChars="200"/>
        <w:outlineLvl w:val="3"/>
        <w:rPr>
          <w:rFonts w:hint="eastAsia" w:ascii="宋体" w:hAnsi="宋体" w:eastAsia="宋体" w:cs="宋体"/>
          <w:b/>
          <w:bCs w:val="0"/>
          <w:color w:val="auto"/>
          <w:szCs w:val="21"/>
          <w:highlight w:val="none"/>
        </w:rPr>
      </w:pPr>
      <w:bookmarkStart w:id="22" w:name="_Toc110349780"/>
      <w:bookmarkStart w:id="23" w:name="_Toc127260071"/>
      <w:bookmarkStart w:id="24" w:name="_Toc159955906"/>
      <w:r>
        <w:rPr>
          <w:rFonts w:hint="eastAsia" w:ascii="宋体" w:hAnsi="宋体" w:eastAsia="宋体" w:cs="宋体"/>
          <w:b/>
          <w:bCs w:val="0"/>
          <w:color w:val="auto"/>
          <w:szCs w:val="21"/>
          <w:highlight w:val="none"/>
          <w:lang w:val="en-US" w:eastAsia="zh-CN"/>
        </w:rPr>
        <w:t>1.3.2</w:t>
      </w:r>
      <w:r>
        <w:rPr>
          <w:rFonts w:hint="eastAsia" w:ascii="宋体" w:hAnsi="宋体" w:eastAsia="宋体" w:cs="宋体"/>
          <w:b/>
          <w:bCs w:val="0"/>
          <w:color w:val="auto"/>
          <w:szCs w:val="21"/>
          <w:highlight w:val="none"/>
        </w:rPr>
        <w:t>质量保证与质量控制</w:t>
      </w:r>
      <w:bookmarkEnd w:id="22"/>
      <w:bookmarkEnd w:id="23"/>
      <w:bookmarkEnd w:id="24"/>
    </w:p>
    <w:p w14:paraId="055107E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（1）自检及要求</w:t>
      </w:r>
    </w:p>
    <w:p w14:paraId="412B764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每日对噪声监测子站开展1 次自检，建议在夜间安静时段进行。若自检灵敏度级（或声压级）与最近一次现场声校准标定的灵敏度级（或声压级）偏差超过±0.5dB，则应通过现场声校验和声校准查明原因，做好数据标记，必要时应对仪器进行检修。</w:t>
      </w:r>
    </w:p>
    <w:p w14:paraId="6023FE8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自检时，不得改变声学测量仪器的灵敏度。</w:t>
      </w:r>
    </w:p>
    <w:p w14:paraId="6B71BC20">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（2）现场声校准和声校验</w:t>
      </w:r>
    </w:p>
    <w:p w14:paraId="021D988B">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定期使用声校准器对所有监测点位的噪声监测子站开展现场声校准和声校验，每月至少1 次，根据日常检查情况可适当增加频次。</w:t>
      </w:r>
    </w:p>
    <w:p w14:paraId="62D2A4AC">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声校验时，将声校准器耦合到传声器上，待声学测量仪器示值稳定后，不改变仪器的灵敏度直接测量声校准器声压级，将仪器显示的声压级与经自由场修正后的声校准器检定声压级进行比较，偏差不应大于±0.5dB。否则，应及时查明原因，做好数据标记。</w:t>
      </w:r>
    </w:p>
    <w:p w14:paraId="13585D9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声校准时，将声校准器耦合到传声器上，待声学测量仪器示值稳定后，对仪器的灵敏度进行校准，使仪器显示的声压级与经自由场修正后的声校准器检定声压级保持一致。若无法进行声校准，应对仪器进行检修。</w:t>
      </w:r>
    </w:p>
    <w:p w14:paraId="100AE479">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现场作业时，应先进行声校验，再进行声校准。声学测量仪器输入的自由场修正值应使用仪器说明书中给出的数值。记录每次现场声校准情况。</w:t>
      </w:r>
    </w:p>
    <w:p w14:paraId="484671F2">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（3）比对测试</w:t>
      </w:r>
    </w:p>
    <w:p w14:paraId="7E3111CF">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使用手持式声级计为参比设备对所有监测点位的噪声监测子站开展24 小时连续比对测试，每年至少2 次，分别在噪声监测子站量值溯源之前和之后4个月左右时进行。</w:t>
      </w:r>
    </w:p>
    <w:p w14:paraId="48C94575">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每次比对测试各小时等效声级偏差不超过±1.5dB。</w:t>
      </w:r>
    </w:p>
    <w:p w14:paraId="55B79CC8">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比对测试不合格的情况应及时查明原因，做好记录，必要时应对仪器进行检修、更换。</w:t>
      </w:r>
    </w:p>
    <w:p w14:paraId="1064712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（4）量值溯源</w:t>
      </w:r>
    </w:p>
    <w:p w14:paraId="45F6D06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每台噪声监测子站整机（含户外传声器）应按照JJG 1095（或JJG 778）的要求检定/校准合格，并在有效使用期限内使用，检定/校准周期不应超过1 年。</w:t>
      </w:r>
    </w:p>
    <w:p w14:paraId="2A40E37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气象采集单元风速测量模块应检定/校准合格，并在有效使用期限内使用，检定/校准周期不应超过1 年。</w:t>
      </w:r>
    </w:p>
    <w:p w14:paraId="074CD32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运行维护和质量控制使用的声校准器应符合GB/T 15173 对1 级声校准器的要求，声级计应符合GB/T 3785.1 对1 级声级计的要求，应检定/校准合格并在有效使用期限内，检定/校准周期不应超过1 年。</w:t>
      </w:r>
    </w:p>
    <w:p w14:paraId="4559FA72">
      <w:pPr>
        <w:keepNext/>
        <w:numPr>
          <w:ilvl w:val="0"/>
          <w:numId w:val="0"/>
        </w:numPr>
        <w:spacing w:line="360" w:lineRule="auto"/>
        <w:ind w:leftChars="200"/>
        <w:outlineLvl w:val="3"/>
        <w:rPr>
          <w:rFonts w:hint="eastAsia" w:ascii="宋体" w:hAnsi="宋体" w:eastAsia="宋体" w:cs="宋体"/>
          <w:b/>
          <w:bCs w:val="0"/>
          <w:color w:val="auto"/>
          <w:szCs w:val="21"/>
          <w:highlight w:val="none"/>
        </w:rPr>
      </w:pPr>
      <w:bookmarkStart w:id="25" w:name="_Toc159955907"/>
      <w:r>
        <w:rPr>
          <w:rFonts w:hint="eastAsia" w:ascii="宋体" w:hAnsi="宋体" w:eastAsia="宋体" w:cs="宋体"/>
          <w:b/>
          <w:bCs w:val="0"/>
          <w:color w:val="auto"/>
          <w:szCs w:val="21"/>
          <w:highlight w:val="none"/>
          <w:lang w:val="en-US" w:eastAsia="zh-CN"/>
        </w:rPr>
        <w:t>1.3.3</w:t>
      </w:r>
      <w:r>
        <w:rPr>
          <w:rFonts w:hint="eastAsia" w:ascii="宋体" w:hAnsi="宋体" w:eastAsia="宋体" w:cs="宋体"/>
          <w:b/>
          <w:bCs w:val="0"/>
          <w:color w:val="auto"/>
          <w:szCs w:val="21"/>
          <w:highlight w:val="none"/>
        </w:rPr>
        <w:t>其他运维要求</w:t>
      </w:r>
      <w:bookmarkEnd w:id="25"/>
    </w:p>
    <w:p w14:paraId="77BF0E8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对运行维护和质量控制使用的声级计、声校准器、备用仪器、备件、耗材和其他工具应设置单独存放区域。</w:t>
      </w:r>
    </w:p>
    <w:p w14:paraId="20519D03">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展现场运行维护和质量控制时，应按照起止操作时间做好标记。因仪器故障产生的异常监测数据，应上传监控系统，并标记为仪器故障数据。开展自检、声校验和声校准时段对应的监测数据，应上传监控系统，并标记为质控数据。自检、声校验和声校准不合格等质量不受控情况下的监测数据，应上传监控系统，并标记为质控不合格数据。</w:t>
      </w:r>
    </w:p>
    <w:bookmarkEnd w:id="2"/>
    <w:p w14:paraId="743664C0">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、核心产品为：</w:t>
      </w:r>
      <w:r>
        <w:rPr>
          <w:rFonts w:hint="eastAsia" w:ascii="宋体" w:hAnsi="宋体" w:eastAsia="宋体" w:cs="宋体"/>
          <w:b/>
          <w:bCs/>
          <w:color w:val="auto"/>
          <w:szCs w:val="21"/>
          <w:highlight w:val="none"/>
          <w:u w:val="single"/>
        </w:rPr>
        <w:t xml:space="preserve"> 噪声自动监测</w:t>
      </w:r>
      <w:r>
        <w:rPr>
          <w:rFonts w:hint="eastAsia" w:ascii="宋体" w:hAnsi="宋体" w:eastAsia="宋体" w:cs="宋体"/>
          <w:b/>
          <w:bCs/>
          <w:color w:val="auto"/>
          <w:szCs w:val="21"/>
          <w:highlight w:val="none"/>
          <w:u w:val="single"/>
          <w:lang w:val="en-US" w:eastAsia="zh-CN"/>
        </w:rPr>
        <w:t>子站</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w:t>
      </w:r>
    </w:p>
    <w:p w14:paraId="48443CF6">
      <w:pPr>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、其他要求</w:t>
      </w:r>
    </w:p>
    <w:p w14:paraId="23151B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1投标人在满足技术要求和性能的前提下可投同档次或优于上述参数、性能和质量的货物。</w:t>
      </w:r>
    </w:p>
    <w:p w14:paraId="032F83D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对于招标文件明确要求投标人提供证明材料的技术条款，投标人应在投标文件中提供其投标产品满足招标文件技术条款要求的证明材料作为投标文件的一部分，以证明所投产品技术参数满足招标文件的技术条款，未按要求提供的，视为该项技术条款不满足；对于招标文件未明确要求投标人提供证明材料的技术条款，如投标人未提供相关技术证明材料，且在技术偏差表填写“满足”的，视为投标人已承诺满足该项技术条款，因虚假应标产生的一切</w:t>
      </w:r>
      <w:r>
        <w:rPr>
          <w:rFonts w:hint="eastAsia" w:ascii="宋体" w:hAnsi="宋体" w:eastAsia="宋体" w:cs="宋体"/>
          <w:color w:val="auto"/>
          <w:kern w:val="0"/>
          <w:szCs w:val="21"/>
          <w:highlight w:val="none"/>
        </w:rPr>
        <w:t>后果由投标人自行承担。</w:t>
      </w:r>
      <w:r>
        <w:rPr>
          <w:rFonts w:hint="eastAsia" w:ascii="宋体" w:hAnsi="宋体" w:eastAsia="宋体" w:cs="宋体"/>
          <w:color w:val="auto"/>
          <w:szCs w:val="21"/>
          <w:highlight w:val="none"/>
        </w:rPr>
        <w:t>证明材料包括：投标产品制造商公开发布的印刷技术资料（彩页或技术白皮书），或者投标产品制造商官网发布的技术资料网页版打印件（显示网页网址），或者评标委员会认可的其他客观证据材料。</w:t>
      </w:r>
    </w:p>
    <w:bookmarkEnd w:id="3"/>
    <w:p w14:paraId="2AF429A4">
      <w:pPr>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、商务要求</w:t>
      </w:r>
    </w:p>
    <w:p w14:paraId="2D79DFC4">
      <w:pPr>
        <w:spacing w:line="360" w:lineRule="auto"/>
        <w:ind w:firstLine="420" w:firstLineChars="200"/>
        <w:rPr>
          <w:rFonts w:hint="eastAsia" w:ascii="宋体" w:hAnsi="宋体" w:eastAsia="宋体" w:cs="宋体"/>
          <w:color w:val="auto"/>
          <w:szCs w:val="21"/>
          <w:highlight w:val="none"/>
        </w:rPr>
      </w:pPr>
      <w:bookmarkStart w:id="26" w:name="OLE_LINK73"/>
      <w:bookmarkStart w:id="27" w:name="OLE_LINK111"/>
      <w:r>
        <w:rPr>
          <w:rFonts w:hint="eastAsia" w:ascii="宋体" w:hAnsi="宋体" w:eastAsia="宋体" w:cs="宋体"/>
          <w:color w:val="auto"/>
          <w:szCs w:val="21"/>
          <w:highlight w:val="none"/>
          <w:lang w:val="en-US" w:eastAsia="zh-CN"/>
        </w:rPr>
        <w:t>4.1</w:t>
      </w:r>
      <w:r>
        <w:rPr>
          <w:rFonts w:hint="eastAsia" w:ascii="宋体" w:hAnsi="宋体" w:eastAsia="宋体" w:cs="宋体"/>
          <w:color w:val="auto"/>
          <w:szCs w:val="21"/>
          <w:highlight w:val="none"/>
        </w:rPr>
        <w:t>付款方式：</w:t>
      </w:r>
      <w:bookmarkEnd w:id="26"/>
      <w:bookmarkStart w:id="28" w:name="OLE_LINK114"/>
      <w:r>
        <w:rPr>
          <w:rFonts w:hint="eastAsia" w:ascii="宋体" w:hAnsi="宋体" w:eastAsia="宋体" w:cs="宋体"/>
          <w:color w:val="auto"/>
          <w:szCs w:val="21"/>
          <w:highlight w:val="none"/>
        </w:rPr>
        <w:t>合同签订后10个工作日内支付合同金额的25%；设备到达甲方指定地点并完成安装，通过甲方正式验收后10个工作日内，付合同金额的75%。本项目合同列明的支付期限，为财政资金正常支付流程所需的期限，如因财政原因导致的支付延迟，甲方仅承担协助乙方发起支付流程的义务，不承担延迟支付的违约责任。乙方应在甲方每次付款前10个工作日内提前开具相应付款金额的增值税普通发票。</w:t>
      </w:r>
    </w:p>
    <w:p w14:paraId="12C41B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最后一次支付合同金额前，乙方应先向甲方提供本合同总金额5%的银行保函；银行保函的受益人为甲方，有效期不得少于本合同约定三年运维期满后60日；本合同约定三年运维期满之日起30日内，如乙方运维期无违约、罚金、对甲方负有债务的，甲方应将保函退还给乙方；如乙方有前述情形之一的，甲方有权单方支取全部保函金额。保函金额不足以弥补甲方的损失的，乙方仍承担赔偿责任。</w:t>
      </w:r>
      <w:bookmarkEnd w:id="28"/>
    </w:p>
    <w:p w14:paraId="369627BC">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4.2履约验收要求：</w:t>
      </w:r>
      <w:bookmarkStart w:id="29" w:name="OLE_LINK106"/>
      <w:bookmarkStart w:id="30" w:name="OLE_LINK104"/>
      <w:bookmarkStart w:id="31" w:name="OLE_LINK90"/>
    </w:p>
    <w:p w14:paraId="485584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2.1乙方安装调试正常联网后，并编写出《平顶山市噪声自动监测能力建设项目报告》及《平顶山市噪声自动监测能力建设项目验收报告》，向甲方发出书面验收申请，并提交两本报告及相关资料，甲方自收到书面验收申请后30天内通知组织验收，验收不合格的，乙方应负责重新提供达到本合同约定的质量要求的产品。</w:t>
      </w:r>
    </w:p>
    <w:p w14:paraId="398348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2.2甲、乙双方应严格履行合同有关条款，如果验收过程中发现乙方在没有征得采购人同意的情况下擅自变更合同标的物，将拒绝通过验收，由此引起的一切后果及损失由乙方承担。</w:t>
      </w:r>
    </w:p>
    <w:p w14:paraId="7E0BCB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val="en-US" w:eastAsia="zh-CN"/>
        </w:rPr>
        <w:t>项目验收时，应成立五人以上验收小组（采购单位领导牵头，财务、审计、监察、资产管理、技术等部门人员参与，成员不少于五人），严格依照采购文件、中标（成交）通知书、政府采购合同及相关验收规范进行核对、验收、签字形成验收结论，并出具书面验收报告。验收人员有不同意见的，按少数服从多数的原则，但在验收报告上应注明不同意见的内容</w:t>
      </w:r>
      <w:r>
        <w:rPr>
          <w:rFonts w:hint="eastAsia" w:ascii="宋体" w:hAnsi="宋体" w:eastAsia="宋体" w:cs="宋体"/>
          <w:color w:val="auto"/>
          <w:szCs w:val="21"/>
          <w:highlight w:val="none"/>
        </w:rPr>
        <w:t>。</w:t>
      </w:r>
    </w:p>
    <w:p w14:paraId="1941F2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2.4如项目涉及安全、消防等其他需要由相关行业主管部门进行验收的项目，则须依法依规开展专项验收或在运行维护期内按照时限要求开展专项验收，验收费用均由乙方承担</w:t>
      </w:r>
      <w:bookmarkEnd w:id="29"/>
      <w:bookmarkEnd w:id="30"/>
      <w:r>
        <w:rPr>
          <w:rFonts w:hint="eastAsia" w:ascii="宋体" w:hAnsi="宋体" w:eastAsia="宋体" w:cs="宋体"/>
          <w:color w:val="auto"/>
          <w:szCs w:val="21"/>
          <w:highlight w:val="none"/>
        </w:rPr>
        <w:t>。</w:t>
      </w:r>
      <w:bookmarkEnd w:id="31"/>
    </w:p>
    <w:p w14:paraId="398364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3商品包装和快递包装应符合《商品包装政府采购需求标准（试行）》。</w:t>
      </w:r>
    </w:p>
    <w:bookmarkEnd w:id="27"/>
    <w:p w14:paraId="3F156627">
      <w:pPr>
        <w:rPr>
          <w:color w:val="auto"/>
          <w:highlight w:val="none"/>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AE4E6"/>
    <w:multiLevelType w:val="multilevel"/>
    <w:tmpl w:val="A1BAE4E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xYzgyM2Q2NzdkZDBiNWUxMDlkNDkzNTg0YTE2ZjYifQ=="/>
  </w:docVars>
  <w:rsids>
    <w:rsidRoot w:val="00000000"/>
    <w:rsid w:val="04930218"/>
    <w:rsid w:val="39B36A66"/>
    <w:rsid w:val="44E03674"/>
    <w:rsid w:val="56193539"/>
    <w:rsid w:val="62AE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next w:val="1"/>
    <w:qFormat/>
    <w:uiPriority w:val="0"/>
    <w:pPr>
      <w:keepNext/>
      <w:keepLines/>
      <w:widowControl w:val="0"/>
      <w:spacing w:line="360" w:lineRule="auto"/>
      <w:jc w:val="center"/>
      <w:outlineLvl w:val="0"/>
    </w:pPr>
    <w:rPr>
      <w:rFonts w:ascii="Times New Roman" w:hAnsi="Times New Roman" w:eastAsia="宋体" w:cs="宋体"/>
      <w:b/>
      <w:kern w:val="44"/>
      <w:sz w:val="32"/>
      <w:szCs w:val="20"/>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Lines="0" w:afterAutospacing="0"/>
    </w:pPr>
    <w:rPr>
      <w:rFonts w:ascii="Times New Roman" w:hAnsi="Times New Roman" w:eastAsia="宋体" w:cs="Times New Roman"/>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2024-09-12T01:22:00Z</dcterms:created>
  <dc:creator>Administrator</dc:creator>
  <cp:lastModifiedBy>甜甜圈</cp:lastModifiedBy>
  <dcterms:modified xsi:type="dcterms:W3CDTF">2024-11-18T07:51:25Z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3F5E3E6A3EC24BADBFE9D2A7922D6EB2_12</vt:lpwstr>
  </property>
</Properties>
</file>