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宋体"/>
          <w:b/>
          <w:color w:val="auto"/>
          <w:sz w:val="52"/>
          <w:szCs w:val="52"/>
          <w:highlight w:val="none"/>
        </w:rPr>
      </w:pPr>
      <w:bookmarkStart w:id="0" w:name="_Toc22804073"/>
      <w:bookmarkEnd w:id="0"/>
    </w:p>
    <w:p>
      <w:pPr>
        <w:spacing w:line="360" w:lineRule="auto"/>
        <w:jc w:val="center"/>
        <w:rPr>
          <w:rFonts w:hint="eastAsia" w:ascii="宋体" w:hAnsi="宋体" w:eastAsia="宋体" w:cs="宋体"/>
          <w:b/>
          <w:color w:val="auto"/>
          <w:sz w:val="30"/>
          <w:szCs w:val="30"/>
          <w:highlight w:val="none"/>
        </w:rPr>
      </w:pPr>
      <w:r>
        <w:rPr>
          <w:rFonts w:hint="eastAsia" w:ascii="宋体" w:cs="宋体"/>
          <w:b/>
          <w:color w:val="auto"/>
          <w:sz w:val="44"/>
          <w:szCs w:val="44"/>
          <w:highlight w:val="none"/>
          <w:lang w:eastAsia="zh-CN"/>
        </w:rPr>
        <w:t>平顶山市消防救援支队河南省消防救援总队“自然灾害应急能力提升工程”平顶山支队装备建设项目（二次）</w:t>
      </w:r>
      <w:bookmarkStart w:id="561" w:name="_GoBack"/>
      <w:bookmarkEnd w:id="561"/>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eastAsia="zh-CN"/>
        </w:rPr>
        <w:t>（包</w:t>
      </w:r>
      <w:r>
        <w:rPr>
          <w:rFonts w:hint="eastAsia" w:ascii="宋体" w:hAnsi="宋体" w:cs="宋体"/>
          <w:b/>
          <w:color w:val="auto"/>
          <w:sz w:val="44"/>
          <w:szCs w:val="44"/>
          <w:highlight w:val="none"/>
          <w:lang w:val="en-US" w:eastAsia="zh-CN"/>
        </w:rPr>
        <w:t>3</w:t>
      </w:r>
      <w:r>
        <w:rPr>
          <w:rFonts w:hint="eastAsia" w:ascii="宋体" w:hAnsi="宋体" w:cs="宋体"/>
          <w:b/>
          <w:color w:val="auto"/>
          <w:sz w:val="44"/>
          <w:szCs w:val="44"/>
          <w:highlight w:val="none"/>
          <w:lang w:eastAsia="zh-CN"/>
        </w:rPr>
        <w:t>）</w:t>
      </w:r>
    </w:p>
    <w:p>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项目编号：平采招标-2024-35</w:t>
      </w:r>
      <w:r>
        <w:rPr>
          <w:rFonts w:hint="eastAsia" w:ascii="宋体" w:hAnsi="宋体" w:cs="宋体"/>
          <w:b/>
          <w:color w:val="auto"/>
          <w:sz w:val="30"/>
          <w:szCs w:val="30"/>
          <w:highlight w:val="none"/>
          <w:lang w:val="en-US" w:eastAsia="zh-CN"/>
        </w:rPr>
        <w:t xml:space="preserve"> </w:t>
      </w:r>
    </w:p>
    <w:p>
      <w:pPr>
        <w:pStyle w:val="12"/>
        <w:spacing w:line="360" w:lineRule="auto"/>
        <w:ind w:left="0" w:leftChars="0" w:right="31680"/>
        <w:rPr>
          <w:rFonts w:ascii="宋体" w:cs="宋体"/>
          <w:b/>
          <w:color w:val="auto"/>
          <w:sz w:val="30"/>
          <w:szCs w:val="30"/>
          <w:highlight w:val="none"/>
        </w:rPr>
      </w:pPr>
    </w:p>
    <w:p>
      <w:pPr>
        <w:pStyle w:val="12"/>
        <w:spacing w:line="360" w:lineRule="auto"/>
        <w:ind w:left="0" w:leftChars="0" w:right="31680"/>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rPr>
          <w:rFonts w:ascii="宋体" w:cs="宋体"/>
          <w:b/>
          <w:color w:val="auto"/>
          <w:sz w:val="30"/>
          <w:szCs w:val="30"/>
          <w:highlight w:val="none"/>
        </w:rPr>
      </w:pPr>
    </w:p>
    <w:p>
      <w:pPr>
        <w:spacing w:line="360" w:lineRule="auto"/>
        <w:ind w:firstLine="904"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pPr>
        <w:spacing w:line="360" w:lineRule="auto"/>
        <w:ind w:firstLine="904"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七</w:t>
      </w:r>
      <w:r>
        <w:rPr>
          <w:rFonts w:hint="eastAsia" w:ascii="宋体" w:hAnsi="宋体" w:cs="宋体"/>
          <w:b/>
          <w:bCs/>
          <w:color w:val="auto"/>
          <w:sz w:val="30"/>
          <w:szCs w:val="30"/>
          <w:highlight w:val="none"/>
        </w:rPr>
        <w:t>月</w:t>
      </w:r>
    </w:p>
    <w:p>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1" w:h="16838"/>
          <w:pgMar w:top="1440" w:right="1803" w:bottom="1440" w:left="1803" w:header="884" w:footer="340" w:gutter="0"/>
          <w:pgBorders>
            <w:top w:val="none" w:sz="0" w:space="0"/>
            <w:left w:val="none" w:sz="0" w:space="0"/>
            <w:bottom w:val="none" w:sz="0" w:space="0"/>
            <w:right w:val="none" w:sz="0" w:space="0"/>
          </w:pgBorders>
          <w:pgNumType w:fmt="decimal"/>
          <w:cols w:space="0" w:num="1"/>
          <w:rtlGutter w:val="0"/>
          <w:docGrid w:linePitch="312" w:charSpace="0"/>
        </w:sectPr>
      </w:pPr>
    </w:p>
    <w:p>
      <w:pPr>
        <w:pStyle w:val="18"/>
        <w:tabs>
          <w:tab w:val="right" w:leader="dot" w:pos="8305"/>
        </w:tabs>
        <w:jc w:val="center"/>
        <w:rPr>
          <w:rFonts w:hint="eastAsia" w:ascii="宋体" w:hAnsi="宋体" w:eastAsia="宋体" w:cs="宋体"/>
          <w:b w:val="0"/>
          <w:color w:val="auto"/>
          <w:sz w:val="24"/>
          <w:highlight w:val="none"/>
          <w:lang w:eastAsia="zh-CN"/>
        </w:rPr>
      </w:pPr>
      <w:r>
        <w:rPr>
          <w:rFonts w:hint="eastAsia" w:ascii="宋体" w:hAnsi="宋体" w:cs="宋体"/>
          <w:b w:val="0"/>
          <w:color w:val="auto"/>
          <w:sz w:val="24"/>
          <w:highlight w:val="none"/>
          <w:lang w:eastAsia="zh-CN"/>
        </w:rPr>
        <w:t>目</w:t>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lang w:eastAsia="zh-CN"/>
        </w:rPr>
        <w:t>录</w:t>
      </w:r>
    </w:p>
    <w:p>
      <w:pPr>
        <w:pStyle w:val="18"/>
        <w:tabs>
          <w:tab w:val="right" w:leader="dot" w:pos="8305"/>
        </w:tabs>
        <w:rPr>
          <w:color w:val="auto"/>
          <w:highlight w:val="none"/>
        </w:rPr>
      </w:pPr>
      <w:r>
        <w:rPr>
          <w:rFonts w:ascii="宋体" w:hAnsi="宋体" w:cs="宋体"/>
          <w:b w:val="0"/>
          <w:color w:val="auto"/>
          <w:sz w:val="24"/>
          <w:highlight w:val="none"/>
        </w:rPr>
        <w:fldChar w:fldCharType="begin"/>
      </w:r>
      <w:r>
        <w:rPr>
          <w:rFonts w:ascii="宋体" w:hAnsi="宋体" w:cs="宋体"/>
          <w:b w:val="0"/>
          <w:color w:val="auto"/>
          <w:sz w:val="24"/>
          <w:highlight w:val="none"/>
        </w:rPr>
        <w:instrText xml:space="preserve"> TOC \o "1-2" \h \z \u </w:instrText>
      </w:r>
      <w:r>
        <w:rPr>
          <w:rFonts w:ascii="宋体" w:hAnsi="宋体" w:cs="宋体"/>
          <w:b w:val="0"/>
          <w:color w:val="auto"/>
          <w:sz w:val="24"/>
          <w:highlight w:val="none"/>
        </w:rPr>
        <w:fldChar w:fldCharType="separate"/>
      </w:r>
      <w:r>
        <w:rPr>
          <w:rFonts w:ascii="宋体" w:hAnsi="宋体" w:cs="宋体"/>
          <w:color w:val="auto"/>
          <w:highlight w:val="none"/>
        </w:rPr>
        <w:fldChar w:fldCharType="begin"/>
      </w:r>
      <w:r>
        <w:rPr>
          <w:rFonts w:ascii="宋体" w:hAnsi="宋体" w:cs="宋体"/>
          <w:color w:val="auto"/>
          <w:highlight w:val="none"/>
        </w:rPr>
        <w:instrText xml:space="preserve"> HYPERLINK \l _Toc2020 </w:instrText>
      </w:r>
      <w:r>
        <w:rPr>
          <w:rFonts w:ascii="宋体" w:hAnsi="宋体" w:cs="宋体"/>
          <w:color w:val="auto"/>
          <w:highlight w:val="none"/>
        </w:rPr>
        <w:fldChar w:fldCharType="separate"/>
      </w:r>
      <w:r>
        <w:rPr>
          <w:rFonts w:hint="eastAsia" w:ascii="宋体" w:hAnsi="宋体" w:cs="宋体"/>
          <w:color w:val="auto"/>
          <w:highlight w:val="none"/>
        </w:rPr>
        <w:t>第一章</w:t>
      </w:r>
      <w:r>
        <w:rPr>
          <w:rFonts w:ascii="宋体" w:hAnsi="宋体" w:cs="宋体"/>
          <w:color w:val="auto"/>
          <w:highlight w:val="none"/>
        </w:rPr>
        <w:t xml:space="preserve"> </w:t>
      </w:r>
      <w:r>
        <w:rPr>
          <w:rFonts w:hint="eastAsia" w:ascii="宋体" w:hAnsi="宋体"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_Toc2020 \h </w:instrText>
      </w:r>
      <w:r>
        <w:rPr>
          <w:color w:val="auto"/>
          <w:highlight w:val="none"/>
        </w:rPr>
        <w:fldChar w:fldCharType="separate"/>
      </w:r>
      <w:r>
        <w:rPr>
          <w:color w:val="auto"/>
          <w:highlight w:val="none"/>
        </w:rPr>
        <w:t>3</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_Toc25564 </w:instrText>
      </w:r>
      <w:r>
        <w:rPr>
          <w:rFonts w:ascii="宋体" w:hAnsi="宋体" w:cs="宋体"/>
          <w:color w:val="auto"/>
          <w:highlight w:val="none"/>
        </w:rPr>
        <w:fldChar w:fldCharType="separate"/>
      </w:r>
      <w:r>
        <w:rPr>
          <w:rFonts w:hint="eastAsia" w:ascii="宋体" w:cs="Times New Roman"/>
          <w:color w:val="auto"/>
          <w:highlight w:val="none"/>
        </w:rPr>
        <w:t xml:space="preserve">第二章 </w:t>
      </w:r>
      <w:r>
        <w:rPr>
          <w:rFonts w:hint="eastAsia" w:ascii="宋体" w:hAnsi="宋体" w:cs="宋体"/>
          <w:color w:val="auto"/>
          <w:highlight w:val="none"/>
          <w:lang w:eastAsia="zh-CN"/>
        </w:rPr>
        <w:t>投标人</w:t>
      </w:r>
      <w:r>
        <w:rPr>
          <w:rFonts w:hint="eastAsia" w:ascii="宋体" w:hAnsi="宋体" w:cs="宋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_Toc25564 \h </w:instrText>
      </w:r>
      <w:r>
        <w:rPr>
          <w:color w:val="auto"/>
          <w:highlight w:val="none"/>
        </w:rPr>
        <w:fldChar w:fldCharType="separate"/>
      </w:r>
      <w:r>
        <w:rPr>
          <w:color w:val="auto"/>
          <w:highlight w:val="none"/>
        </w:rPr>
        <w:t>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_Toc8960 </w:instrText>
      </w:r>
      <w:r>
        <w:rPr>
          <w:rFonts w:ascii="宋体" w:hAnsi="宋体" w:cs="宋体"/>
          <w:color w:val="auto"/>
          <w:highlight w:val="none"/>
        </w:rPr>
        <w:fldChar w:fldCharType="separate"/>
      </w:r>
      <w:r>
        <w:rPr>
          <w:rFonts w:hint="eastAsia" w:ascii="宋体" w:hAnsi="宋体" w:cs="宋体"/>
          <w:bCs/>
          <w:color w:val="auto"/>
          <w:szCs w:val="32"/>
          <w:highlight w:val="none"/>
          <w:lang w:eastAsia="zh-CN"/>
        </w:rPr>
        <w:t>投标人</w:t>
      </w:r>
      <w:r>
        <w:rPr>
          <w:rFonts w:hint="eastAsia" w:ascii="宋体" w:hAnsi="宋体" w:cs="宋体"/>
          <w:bCs/>
          <w:color w:val="auto"/>
          <w:szCs w:val="32"/>
          <w:highlight w:val="none"/>
        </w:rPr>
        <w:t>须知前附表</w:t>
      </w:r>
      <w:r>
        <w:rPr>
          <w:color w:val="auto"/>
          <w:highlight w:val="none"/>
        </w:rPr>
        <w:tab/>
      </w:r>
      <w:r>
        <w:rPr>
          <w:color w:val="auto"/>
          <w:highlight w:val="none"/>
        </w:rPr>
        <w:fldChar w:fldCharType="begin"/>
      </w:r>
      <w:r>
        <w:rPr>
          <w:color w:val="auto"/>
          <w:highlight w:val="none"/>
        </w:rPr>
        <w:instrText xml:space="preserve"> PAGEREF _Toc8960 \h </w:instrText>
      </w:r>
      <w:r>
        <w:rPr>
          <w:color w:val="auto"/>
          <w:highlight w:val="none"/>
        </w:rPr>
        <w:fldChar w:fldCharType="separate"/>
      </w:r>
      <w:r>
        <w:rPr>
          <w:color w:val="auto"/>
          <w:highlight w:val="none"/>
        </w:rPr>
        <w:t>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_Toc19997 </w:instrText>
      </w:r>
      <w:r>
        <w:rPr>
          <w:rFonts w:ascii="宋体" w:hAnsi="宋体" w:cs="宋体"/>
          <w:color w:val="auto"/>
          <w:highlight w:val="none"/>
        </w:rPr>
        <w:fldChar w:fldCharType="separate"/>
      </w:r>
      <w:r>
        <w:rPr>
          <w:rFonts w:ascii="宋体" w:cs="Times New Roman"/>
          <w:color w:val="auto"/>
          <w:highlight w:val="none"/>
        </w:rPr>
        <w:t xml:space="preserve">1. </w:t>
      </w:r>
      <w:r>
        <w:rPr>
          <w:rFonts w:hint="eastAsia"/>
          <w:color w:val="auto"/>
          <w:szCs w:val="21"/>
          <w:highlight w:val="none"/>
        </w:rPr>
        <w:t>总则</w:t>
      </w:r>
      <w:r>
        <w:rPr>
          <w:color w:val="auto"/>
          <w:highlight w:val="none"/>
        </w:rPr>
        <w:tab/>
      </w:r>
      <w:r>
        <w:rPr>
          <w:color w:val="auto"/>
          <w:highlight w:val="none"/>
        </w:rPr>
        <w:fldChar w:fldCharType="begin"/>
      </w:r>
      <w:r>
        <w:rPr>
          <w:color w:val="auto"/>
          <w:highlight w:val="none"/>
        </w:rPr>
        <w:instrText xml:space="preserve"> PAGEREF _Toc19997 \h </w:instrText>
      </w:r>
      <w:r>
        <w:rPr>
          <w:color w:val="auto"/>
          <w:highlight w:val="none"/>
        </w:rPr>
        <w:fldChar w:fldCharType="separate"/>
      </w:r>
      <w:r>
        <w:rPr>
          <w:color w:val="auto"/>
          <w:highlight w:val="none"/>
        </w:rPr>
        <w:t>19</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_Toc11800 </w:instrText>
      </w:r>
      <w:r>
        <w:rPr>
          <w:rFonts w:ascii="宋体" w:hAnsi="宋体" w:cs="宋体"/>
          <w:color w:val="auto"/>
          <w:highlight w:val="none"/>
        </w:rPr>
        <w:fldChar w:fldCharType="separate"/>
      </w:r>
      <w:r>
        <w:rPr>
          <w:rFonts w:cs="Times New Roman"/>
          <w:color w:val="auto"/>
          <w:szCs w:val="21"/>
          <w:highlight w:val="none"/>
        </w:rPr>
        <w:t xml:space="preserve">2. </w:t>
      </w:r>
      <w:r>
        <w:rPr>
          <w:rFonts w:hint="eastAsia"/>
          <w:color w:val="auto"/>
          <w:szCs w:val="21"/>
          <w:highlight w:val="none"/>
        </w:rPr>
        <w:t>招标文件</w:t>
      </w:r>
      <w:r>
        <w:rPr>
          <w:color w:val="auto"/>
          <w:highlight w:val="none"/>
        </w:rPr>
        <w:tab/>
      </w:r>
      <w:r>
        <w:rPr>
          <w:color w:val="auto"/>
          <w:highlight w:val="none"/>
        </w:rPr>
        <w:fldChar w:fldCharType="begin"/>
      </w:r>
      <w:r>
        <w:rPr>
          <w:color w:val="auto"/>
          <w:highlight w:val="none"/>
        </w:rPr>
        <w:instrText xml:space="preserve"> PAGEREF _Toc11800 \h </w:instrText>
      </w:r>
      <w:r>
        <w:rPr>
          <w:color w:val="auto"/>
          <w:highlight w:val="none"/>
        </w:rPr>
        <w:fldChar w:fldCharType="separate"/>
      </w:r>
      <w:r>
        <w:rPr>
          <w:color w:val="auto"/>
          <w:highlight w:val="none"/>
        </w:rPr>
        <w:t>20</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_Toc22882 </w:instrText>
      </w:r>
      <w:r>
        <w:rPr>
          <w:rFonts w:ascii="宋体" w:hAnsi="宋体" w:cs="宋体"/>
          <w:color w:val="auto"/>
          <w:highlight w:val="none"/>
        </w:rPr>
        <w:fldChar w:fldCharType="separate"/>
      </w:r>
      <w:r>
        <w:rPr>
          <w:rFonts w:cs="Times New Roman"/>
          <w:color w:val="auto"/>
          <w:szCs w:val="21"/>
          <w:highlight w:val="none"/>
        </w:rPr>
        <w:t xml:space="preserve">3. </w:t>
      </w:r>
      <w:r>
        <w:rPr>
          <w:rFonts w:hint="eastAsia"/>
          <w:color w:val="auto"/>
          <w:szCs w:val="21"/>
          <w:highlight w:val="none"/>
        </w:rPr>
        <w:t>投标文件的编写</w:t>
      </w:r>
      <w:r>
        <w:rPr>
          <w:color w:val="auto"/>
          <w:highlight w:val="none"/>
        </w:rPr>
        <w:tab/>
      </w:r>
      <w:r>
        <w:rPr>
          <w:color w:val="auto"/>
          <w:highlight w:val="none"/>
        </w:rPr>
        <w:fldChar w:fldCharType="begin"/>
      </w:r>
      <w:r>
        <w:rPr>
          <w:color w:val="auto"/>
          <w:highlight w:val="none"/>
        </w:rPr>
        <w:instrText xml:space="preserve"> PAGEREF _Toc22882 \h </w:instrText>
      </w:r>
      <w:r>
        <w:rPr>
          <w:color w:val="auto"/>
          <w:highlight w:val="none"/>
        </w:rPr>
        <w:fldChar w:fldCharType="separate"/>
      </w:r>
      <w:r>
        <w:rPr>
          <w:color w:val="auto"/>
          <w:highlight w:val="none"/>
        </w:rPr>
        <w:t>22</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_Toc26693 </w:instrText>
      </w:r>
      <w:r>
        <w:rPr>
          <w:rFonts w:ascii="宋体" w:hAnsi="宋体" w:cs="宋体"/>
          <w:color w:val="auto"/>
          <w:highlight w:val="none"/>
        </w:rPr>
        <w:fldChar w:fldCharType="separate"/>
      </w:r>
      <w:r>
        <w:rPr>
          <w:rFonts w:cs="Times New Roman"/>
          <w:color w:val="auto"/>
          <w:szCs w:val="21"/>
          <w:highlight w:val="none"/>
        </w:rPr>
        <w:t xml:space="preserve">4. </w:t>
      </w:r>
      <w:r>
        <w:rPr>
          <w:rFonts w:hint="eastAsia"/>
          <w:color w:val="auto"/>
          <w:szCs w:val="21"/>
          <w:highlight w:val="none"/>
        </w:rPr>
        <w:t>投标</w:t>
      </w:r>
      <w:r>
        <w:rPr>
          <w:color w:val="auto"/>
          <w:highlight w:val="none"/>
        </w:rPr>
        <w:tab/>
      </w:r>
      <w:r>
        <w:rPr>
          <w:color w:val="auto"/>
          <w:highlight w:val="none"/>
        </w:rPr>
        <w:fldChar w:fldCharType="begin"/>
      </w:r>
      <w:r>
        <w:rPr>
          <w:color w:val="auto"/>
          <w:highlight w:val="none"/>
        </w:rPr>
        <w:instrText xml:space="preserve"> PAGEREF _Toc26693 \h </w:instrText>
      </w:r>
      <w:r>
        <w:rPr>
          <w:color w:val="auto"/>
          <w:highlight w:val="none"/>
        </w:rPr>
        <w:fldChar w:fldCharType="separate"/>
      </w:r>
      <w:r>
        <w:rPr>
          <w:color w:val="auto"/>
          <w:highlight w:val="none"/>
        </w:rPr>
        <w:t>23</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_Toc29190 </w:instrText>
      </w:r>
      <w:r>
        <w:rPr>
          <w:rFonts w:ascii="宋体" w:hAnsi="宋体" w:cs="宋体"/>
          <w:color w:val="auto"/>
          <w:highlight w:val="none"/>
        </w:rPr>
        <w:fldChar w:fldCharType="separate"/>
      </w:r>
      <w:r>
        <w:rPr>
          <w:rFonts w:cs="Times New Roman"/>
          <w:color w:val="auto"/>
          <w:szCs w:val="21"/>
          <w:highlight w:val="none"/>
        </w:rPr>
        <w:t xml:space="preserve">5. </w:t>
      </w:r>
      <w:r>
        <w:rPr>
          <w:rFonts w:hint="eastAsia"/>
          <w:color w:val="auto"/>
          <w:szCs w:val="21"/>
          <w:highlight w:val="none"/>
        </w:rPr>
        <w:t>开标、资格审查与评标</w:t>
      </w:r>
      <w:r>
        <w:rPr>
          <w:color w:val="auto"/>
          <w:highlight w:val="none"/>
        </w:rPr>
        <w:tab/>
      </w:r>
      <w:r>
        <w:rPr>
          <w:color w:val="auto"/>
          <w:highlight w:val="none"/>
        </w:rPr>
        <w:fldChar w:fldCharType="begin"/>
      </w:r>
      <w:r>
        <w:rPr>
          <w:color w:val="auto"/>
          <w:highlight w:val="none"/>
        </w:rPr>
        <w:instrText xml:space="preserve"> PAGEREF _Toc29190 \h </w:instrText>
      </w:r>
      <w:r>
        <w:rPr>
          <w:color w:val="auto"/>
          <w:highlight w:val="none"/>
        </w:rPr>
        <w:fldChar w:fldCharType="separate"/>
      </w:r>
      <w:r>
        <w:rPr>
          <w:color w:val="auto"/>
          <w:highlight w:val="none"/>
        </w:rPr>
        <w:t>24</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_Toc14201 </w:instrText>
      </w:r>
      <w:r>
        <w:rPr>
          <w:rFonts w:ascii="宋体" w:hAnsi="宋体" w:cs="宋体"/>
          <w:color w:val="auto"/>
          <w:highlight w:val="none"/>
        </w:rPr>
        <w:fldChar w:fldCharType="separate"/>
      </w:r>
      <w:r>
        <w:rPr>
          <w:rFonts w:cs="Times New Roman"/>
          <w:color w:val="auto"/>
          <w:szCs w:val="21"/>
          <w:highlight w:val="none"/>
        </w:rPr>
        <w:t xml:space="preserve">6. </w:t>
      </w:r>
      <w:r>
        <w:rPr>
          <w:rFonts w:hint="eastAsia"/>
          <w:color w:val="auto"/>
          <w:szCs w:val="21"/>
          <w:highlight w:val="none"/>
        </w:rPr>
        <w:t>授予合同</w:t>
      </w:r>
      <w:r>
        <w:rPr>
          <w:color w:val="auto"/>
          <w:highlight w:val="none"/>
        </w:rPr>
        <w:tab/>
      </w:r>
      <w:r>
        <w:rPr>
          <w:color w:val="auto"/>
          <w:highlight w:val="none"/>
        </w:rPr>
        <w:fldChar w:fldCharType="begin"/>
      </w:r>
      <w:r>
        <w:rPr>
          <w:color w:val="auto"/>
          <w:highlight w:val="none"/>
        </w:rPr>
        <w:instrText xml:space="preserve"> PAGEREF _Toc14201 \h </w:instrText>
      </w:r>
      <w:r>
        <w:rPr>
          <w:color w:val="auto"/>
          <w:highlight w:val="none"/>
        </w:rPr>
        <w:fldChar w:fldCharType="separate"/>
      </w:r>
      <w:r>
        <w:rPr>
          <w:color w:val="auto"/>
          <w:highlight w:val="none"/>
        </w:rPr>
        <w:t>26</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_Toc27949 </w:instrText>
      </w:r>
      <w:r>
        <w:rPr>
          <w:rFonts w:ascii="宋体" w:hAnsi="宋体" w:cs="宋体"/>
          <w:color w:val="auto"/>
          <w:highlight w:val="none"/>
        </w:rPr>
        <w:fldChar w:fldCharType="separate"/>
      </w:r>
      <w:r>
        <w:rPr>
          <w:rFonts w:cs="Times New Roman"/>
          <w:color w:val="auto"/>
          <w:szCs w:val="21"/>
          <w:highlight w:val="none"/>
        </w:rPr>
        <w:t xml:space="preserve">7. </w:t>
      </w:r>
      <w:r>
        <w:rPr>
          <w:rFonts w:hint="eastAsia"/>
          <w:color w:val="auto"/>
          <w:szCs w:val="21"/>
          <w:highlight w:val="none"/>
        </w:rPr>
        <w:t>信用记录</w:t>
      </w:r>
      <w:r>
        <w:rPr>
          <w:color w:val="auto"/>
          <w:highlight w:val="none"/>
        </w:rPr>
        <w:tab/>
      </w:r>
      <w:r>
        <w:rPr>
          <w:color w:val="auto"/>
          <w:highlight w:val="none"/>
        </w:rPr>
        <w:fldChar w:fldCharType="begin"/>
      </w:r>
      <w:r>
        <w:rPr>
          <w:color w:val="auto"/>
          <w:highlight w:val="none"/>
        </w:rPr>
        <w:instrText xml:space="preserve"> PAGEREF _Toc27949 \h </w:instrText>
      </w:r>
      <w:r>
        <w:rPr>
          <w:color w:val="auto"/>
          <w:highlight w:val="none"/>
        </w:rPr>
        <w:fldChar w:fldCharType="separate"/>
      </w:r>
      <w:r>
        <w:rPr>
          <w:color w:val="auto"/>
          <w:highlight w:val="none"/>
        </w:rPr>
        <w:t>27</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_Toc28502 </w:instrText>
      </w:r>
      <w:r>
        <w:rPr>
          <w:rFonts w:ascii="宋体" w:hAnsi="宋体" w:cs="宋体"/>
          <w:color w:val="auto"/>
          <w:highlight w:val="none"/>
        </w:rPr>
        <w:fldChar w:fldCharType="separate"/>
      </w:r>
      <w:r>
        <w:rPr>
          <w:rFonts w:cs="Times New Roman"/>
          <w:color w:val="auto"/>
          <w:szCs w:val="21"/>
          <w:highlight w:val="none"/>
        </w:rPr>
        <w:t xml:space="preserve">8. </w:t>
      </w:r>
      <w:r>
        <w:rPr>
          <w:rFonts w:hint="eastAsia"/>
          <w:color w:val="auto"/>
          <w:szCs w:val="21"/>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_Toc28502 \h </w:instrText>
      </w:r>
      <w:r>
        <w:rPr>
          <w:color w:val="auto"/>
          <w:highlight w:val="none"/>
        </w:rPr>
        <w:fldChar w:fldCharType="separate"/>
      </w:r>
      <w:r>
        <w:rPr>
          <w:color w:val="auto"/>
          <w:highlight w:val="none"/>
        </w:rPr>
        <w:t>27</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_Toc7871 </w:instrText>
      </w:r>
      <w:r>
        <w:rPr>
          <w:rFonts w:ascii="宋体" w:hAnsi="宋体" w:cs="宋体"/>
          <w:color w:val="auto"/>
          <w:highlight w:val="none"/>
        </w:rPr>
        <w:fldChar w:fldCharType="separate"/>
      </w:r>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r>
        <w:rPr>
          <w:color w:val="auto"/>
          <w:highlight w:val="none"/>
        </w:rPr>
        <w:tab/>
      </w:r>
      <w:r>
        <w:rPr>
          <w:color w:val="auto"/>
          <w:highlight w:val="none"/>
        </w:rPr>
        <w:fldChar w:fldCharType="begin"/>
      </w:r>
      <w:r>
        <w:rPr>
          <w:color w:val="auto"/>
          <w:highlight w:val="none"/>
        </w:rPr>
        <w:instrText xml:space="preserve"> PAGEREF _Toc7871 \h </w:instrText>
      </w:r>
      <w:r>
        <w:rPr>
          <w:color w:val="auto"/>
          <w:highlight w:val="none"/>
        </w:rPr>
        <w:fldChar w:fldCharType="separate"/>
      </w:r>
      <w:r>
        <w:rPr>
          <w:color w:val="auto"/>
          <w:highlight w:val="none"/>
        </w:rPr>
        <w:t>28</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_Toc20425 </w:instrText>
      </w:r>
      <w:r>
        <w:rPr>
          <w:rFonts w:ascii="宋体" w:hAnsi="宋体" w:cs="宋体"/>
          <w:color w:val="auto"/>
          <w:highlight w:val="none"/>
        </w:rPr>
        <w:fldChar w:fldCharType="separate"/>
      </w:r>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r>
        <w:rPr>
          <w:color w:val="auto"/>
          <w:highlight w:val="none"/>
        </w:rPr>
        <w:tab/>
      </w:r>
      <w:r>
        <w:rPr>
          <w:color w:val="auto"/>
          <w:highlight w:val="none"/>
        </w:rPr>
        <w:fldChar w:fldCharType="begin"/>
      </w:r>
      <w:r>
        <w:rPr>
          <w:color w:val="auto"/>
          <w:highlight w:val="none"/>
        </w:rPr>
        <w:instrText xml:space="preserve"> PAGEREF _Toc20425 \h </w:instrText>
      </w:r>
      <w:r>
        <w:rPr>
          <w:color w:val="auto"/>
          <w:highlight w:val="none"/>
        </w:rPr>
        <w:fldChar w:fldCharType="separate"/>
      </w:r>
      <w:r>
        <w:rPr>
          <w:color w:val="auto"/>
          <w:highlight w:val="none"/>
        </w:rPr>
        <w:t>30</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_Toc7178 </w:instrText>
      </w:r>
      <w:r>
        <w:rPr>
          <w:rFonts w:ascii="宋体" w:hAnsi="宋体" w:cs="宋体"/>
          <w:color w:val="auto"/>
          <w:highlight w:val="none"/>
        </w:rPr>
        <w:fldChar w:fldCharType="separate"/>
      </w:r>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r>
        <w:rPr>
          <w:color w:val="auto"/>
          <w:highlight w:val="none"/>
        </w:rPr>
        <w:tab/>
      </w:r>
      <w:r>
        <w:rPr>
          <w:color w:val="auto"/>
          <w:highlight w:val="none"/>
        </w:rPr>
        <w:fldChar w:fldCharType="begin"/>
      </w:r>
      <w:r>
        <w:rPr>
          <w:color w:val="auto"/>
          <w:highlight w:val="none"/>
        </w:rPr>
        <w:instrText xml:space="preserve"> PAGEREF _Toc7178 \h </w:instrText>
      </w:r>
      <w:r>
        <w:rPr>
          <w:color w:val="auto"/>
          <w:highlight w:val="none"/>
        </w:rPr>
        <w:fldChar w:fldCharType="separate"/>
      </w:r>
      <w:r>
        <w:rPr>
          <w:color w:val="auto"/>
          <w:highlight w:val="none"/>
        </w:rPr>
        <w:t>39</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_Toc410 </w:instrText>
      </w:r>
      <w:r>
        <w:rPr>
          <w:rFonts w:ascii="宋体" w:hAnsi="宋体" w:cs="宋体"/>
          <w:color w:val="auto"/>
          <w:highlight w:val="none"/>
        </w:rPr>
        <w:fldChar w:fldCharType="separate"/>
      </w:r>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r>
        <w:rPr>
          <w:color w:val="auto"/>
          <w:highlight w:val="none"/>
        </w:rPr>
        <w:tab/>
      </w:r>
      <w:r>
        <w:rPr>
          <w:color w:val="auto"/>
          <w:highlight w:val="none"/>
        </w:rPr>
        <w:fldChar w:fldCharType="begin"/>
      </w:r>
      <w:r>
        <w:rPr>
          <w:color w:val="auto"/>
          <w:highlight w:val="none"/>
        </w:rPr>
        <w:instrText xml:space="preserve"> PAGEREF _Toc410 \h </w:instrText>
      </w:r>
      <w:r>
        <w:rPr>
          <w:color w:val="auto"/>
          <w:highlight w:val="none"/>
        </w:rPr>
        <w:fldChar w:fldCharType="separate"/>
      </w:r>
      <w:r>
        <w:rPr>
          <w:color w:val="auto"/>
          <w:highlight w:val="none"/>
        </w:rPr>
        <w:t>57</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_Toc30884 </w:instrText>
      </w:r>
      <w:r>
        <w:rPr>
          <w:rFonts w:ascii="宋体" w:hAnsi="宋体" w:cs="宋体"/>
          <w:color w:val="auto"/>
          <w:highlight w:val="none"/>
        </w:rPr>
        <w:fldChar w:fldCharType="separate"/>
      </w:r>
      <w:r>
        <w:rPr>
          <w:rFonts w:hint="eastAsia" w:ascii="宋体" w:hAnsi="宋体" w:cs="宋体"/>
          <w:color w:val="auto"/>
          <w:szCs w:val="32"/>
          <w:highlight w:val="none"/>
        </w:rPr>
        <w:t>一、项目需求</w:t>
      </w:r>
      <w:r>
        <w:rPr>
          <w:color w:val="auto"/>
          <w:highlight w:val="none"/>
        </w:rPr>
        <w:tab/>
      </w:r>
      <w:r>
        <w:rPr>
          <w:color w:val="auto"/>
          <w:highlight w:val="none"/>
        </w:rPr>
        <w:fldChar w:fldCharType="begin"/>
      </w:r>
      <w:r>
        <w:rPr>
          <w:color w:val="auto"/>
          <w:highlight w:val="none"/>
        </w:rPr>
        <w:instrText xml:space="preserve"> PAGEREF _Toc30884 \h </w:instrText>
      </w:r>
      <w:r>
        <w:rPr>
          <w:color w:val="auto"/>
          <w:highlight w:val="none"/>
        </w:rPr>
        <w:fldChar w:fldCharType="separate"/>
      </w:r>
      <w:r>
        <w:rPr>
          <w:color w:val="auto"/>
          <w:highlight w:val="none"/>
        </w:rPr>
        <w:t>57</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_Toc18501 </w:instrText>
      </w:r>
      <w:r>
        <w:rPr>
          <w:rFonts w:ascii="宋体" w:hAnsi="宋体" w:cs="宋体"/>
          <w:color w:val="auto"/>
          <w:highlight w:val="none"/>
        </w:rPr>
        <w:fldChar w:fldCharType="separate"/>
      </w:r>
      <w:r>
        <w:rPr>
          <w:rFonts w:hint="eastAsia" w:ascii="宋体" w:hAnsi="宋体" w:cs="宋体"/>
          <w:color w:val="auto"/>
          <w:szCs w:val="32"/>
          <w:highlight w:val="none"/>
          <w:lang w:eastAsia="zh-CN"/>
        </w:rPr>
        <w:t xml:space="preserve">二、 </w:t>
      </w:r>
      <w:r>
        <w:rPr>
          <w:rFonts w:hint="eastAsia" w:ascii="宋体" w:hAnsi="宋体" w:cs="宋体"/>
          <w:color w:val="auto"/>
          <w:szCs w:val="32"/>
          <w:highlight w:val="none"/>
        </w:rPr>
        <w:t>技术</w:t>
      </w:r>
      <w:r>
        <w:rPr>
          <w:rFonts w:hint="eastAsia" w:ascii="宋体" w:hAnsi="宋体" w:cs="宋体"/>
          <w:color w:val="auto"/>
          <w:szCs w:val="32"/>
          <w:highlight w:val="none"/>
          <w:lang w:eastAsia="zh-CN"/>
        </w:rPr>
        <w:t>要求</w:t>
      </w:r>
      <w:r>
        <w:rPr>
          <w:color w:val="auto"/>
          <w:highlight w:val="none"/>
        </w:rPr>
        <w:tab/>
      </w:r>
      <w:r>
        <w:rPr>
          <w:color w:val="auto"/>
          <w:highlight w:val="none"/>
        </w:rPr>
        <w:fldChar w:fldCharType="begin"/>
      </w:r>
      <w:r>
        <w:rPr>
          <w:color w:val="auto"/>
          <w:highlight w:val="none"/>
        </w:rPr>
        <w:instrText xml:space="preserve"> PAGEREF _Toc18501 \h </w:instrText>
      </w:r>
      <w:r>
        <w:rPr>
          <w:color w:val="auto"/>
          <w:highlight w:val="none"/>
        </w:rPr>
        <w:fldChar w:fldCharType="separate"/>
      </w:r>
      <w:r>
        <w:rPr>
          <w:color w:val="auto"/>
          <w:highlight w:val="none"/>
        </w:rPr>
        <w:t>58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_Toc30543 </w:instrText>
      </w:r>
      <w:r>
        <w:rPr>
          <w:rFonts w:ascii="宋体" w:hAnsi="宋体" w:cs="宋体"/>
          <w:color w:val="auto"/>
          <w:highlight w:val="none"/>
        </w:rPr>
        <w:fldChar w:fldCharType="separate"/>
      </w:r>
      <w:r>
        <w:rPr>
          <w:rFonts w:hint="eastAsia" w:ascii="宋体" w:hAnsi="宋体" w:eastAsia="宋体" w:cs="宋体"/>
          <w:color w:val="auto"/>
          <w:szCs w:val="24"/>
          <w:highlight w:val="none"/>
          <w:lang w:eastAsia="zh-CN"/>
        </w:rPr>
        <w:t>（一）</w:t>
      </w:r>
      <w:r>
        <w:rPr>
          <w:rFonts w:hint="eastAsia" w:ascii="宋体" w:hAnsi="宋体" w:eastAsia="宋体" w:cs="宋体"/>
          <w:color w:val="auto"/>
          <w:szCs w:val="24"/>
          <w:highlight w:val="none"/>
        </w:rPr>
        <w:t>通用要求</w:t>
      </w:r>
      <w:r>
        <w:rPr>
          <w:color w:val="auto"/>
          <w:highlight w:val="none"/>
        </w:rPr>
        <w:tab/>
      </w:r>
      <w:r>
        <w:rPr>
          <w:color w:val="auto"/>
          <w:highlight w:val="none"/>
        </w:rPr>
        <w:fldChar w:fldCharType="begin"/>
      </w:r>
      <w:r>
        <w:rPr>
          <w:color w:val="auto"/>
          <w:highlight w:val="none"/>
        </w:rPr>
        <w:instrText xml:space="preserve"> PAGEREF _Toc30543 \h </w:instrText>
      </w:r>
      <w:r>
        <w:rPr>
          <w:color w:val="auto"/>
          <w:highlight w:val="none"/>
        </w:rPr>
        <w:fldChar w:fldCharType="separate"/>
      </w:r>
      <w:r>
        <w:rPr>
          <w:color w:val="auto"/>
          <w:highlight w:val="none"/>
        </w:rPr>
        <w:t>58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_Toc7135 </w:instrText>
      </w:r>
      <w:r>
        <w:rPr>
          <w:rFonts w:ascii="宋体" w:hAnsi="宋体" w:cs="宋体"/>
          <w:color w:val="auto"/>
          <w:highlight w:val="none"/>
        </w:rPr>
        <w:fldChar w:fldCharType="separate"/>
      </w:r>
      <w:r>
        <w:rPr>
          <w:rFonts w:hint="eastAsia" w:ascii="宋体" w:hAnsi="宋体" w:eastAsia="宋体" w:cs="宋体"/>
          <w:color w:val="auto"/>
          <w:szCs w:val="24"/>
          <w:highlight w:val="none"/>
          <w:lang w:eastAsia="zh-CN"/>
        </w:rPr>
        <w:t>（二）技术需求专用要求</w:t>
      </w:r>
      <w:r>
        <w:rPr>
          <w:color w:val="auto"/>
          <w:highlight w:val="none"/>
        </w:rPr>
        <w:tab/>
      </w:r>
      <w:r>
        <w:rPr>
          <w:color w:val="auto"/>
          <w:highlight w:val="none"/>
        </w:rPr>
        <w:fldChar w:fldCharType="begin"/>
      </w:r>
      <w:r>
        <w:rPr>
          <w:color w:val="auto"/>
          <w:highlight w:val="none"/>
        </w:rPr>
        <w:instrText xml:space="preserve"> PAGEREF _Toc7135 \h </w:instrText>
      </w:r>
      <w:r>
        <w:rPr>
          <w:color w:val="auto"/>
          <w:highlight w:val="none"/>
        </w:rPr>
        <w:fldChar w:fldCharType="separate"/>
      </w:r>
      <w:r>
        <w:rPr>
          <w:color w:val="auto"/>
          <w:highlight w:val="none"/>
        </w:rPr>
        <w:t>60</w:t>
      </w:r>
      <w:r>
        <w:rPr>
          <w:color w:val="auto"/>
          <w:highlight w:val="none"/>
        </w:rPr>
        <w:fldChar w:fldCharType="end"/>
      </w:r>
      <w:r>
        <w:rPr>
          <w:rFonts w:ascii="宋体" w:hAnsi="宋体" w:cs="宋体"/>
          <w:color w:val="auto"/>
          <w:highlight w:val="none"/>
        </w:rPr>
        <w:fldChar w:fldCharType="end"/>
      </w:r>
    </w:p>
    <w:p>
      <w:pPr>
        <w:pStyle w:val="18"/>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_Toc14044 </w:instrText>
      </w:r>
      <w:r>
        <w:rPr>
          <w:rFonts w:ascii="宋体" w:hAnsi="宋体" w:cs="宋体"/>
          <w:color w:val="auto"/>
          <w:highlight w:val="none"/>
        </w:rPr>
        <w:fldChar w:fldCharType="separate"/>
      </w:r>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_Toc14044 \h </w:instrText>
      </w:r>
      <w:r>
        <w:rPr>
          <w:color w:val="auto"/>
          <w:highlight w:val="none"/>
        </w:rPr>
        <w:fldChar w:fldCharType="separate"/>
      </w:r>
      <w:r>
        <w:rPr>
          <w:color w:val="auto"/>
          <w:highlight w:val="none"/>
        </w:rPr>
        <w:t>63</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_Toc13005 </w:instrText>
      </w:r>
      <w:r>
        <w:rPr>
          <w:rFonts w:ascii="宋体" w:hAnsi="宋体" w:cs="宋体"/>
          <w:color w:val="auto"/>
          <w:highlight w:val="none"/>
        </w:rPr>
        <w:fldChar w:fldCharType="separate"/>
      </w:r>
      <w:r>
        <w:rPr>
          <w:rFonts w:hint="eastAsia" w:ascii="宋体" w:hAnsi="宋体" w:cs="宋体"/>
          <w:color w:val="auto"/>
          <w:highlight w:val="none"/>
        </w:rPr>
        <w:t>一、投标函及投标函附录</w:t>
      </w:r>
      <w:r>
        <w:rPr>
          <w:color w:val="auto"/>
          <w:highlight w:val="none"/>
        </w:rPr>
        <w:tab/>
      </w:r>
      <w:r>
        <w:rPr>
          <w:color w:val="auto"/>
          <w:highlight w:val="none"/>
        </w:rPr>
        <w:fldChar w:fldCharType="begin"/>
      </w:r>
      <w:r>
        <w:rPr>
          <w:color w:val="auto"/>
          <w:highlight w:val="none"/>
        </w:rPr>
        <w:instrText xml:space="preserve"> PAGEREF _Toc13005 \h </w:instrText>
      </w:r>
      <w:r>
        <w:rPr>
          <w:color w:val="auto"/>
          <w:highlight w:val="none"/>
        </w:rPr>
        <w:fldChar w:fldCharType="separate"/>
      </w:r>
      <w:r>
        <w:rPr>
          <w:color w:val="auto"/>
          <w:highlight w:val="none"/>
        </w:rPr>
        <w:t>65</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_Toc25454 </w:instrText>
      </w:r>
      <w:r>
        <w:rPr>
          <w:rFonts w:ascii="宋体" w:hAnsi="宋体" w:cs="宋体"/>
          <w:color w:val="auto"/>
          <w:highlight w:val="none"/>
        </w:rPr>
        <w:fldChar w:fldCharType="separate"/>
      </w:r>
      <w:r>
        <w:rPr>
          <w:rFonts w:hint="eastAsia"/>
          <w:color w:val="auto"/>
          <w:w w:val="95"/>
          <w:highlight w:val="none"/>
        </w:rPr>
        <w:t>二、法定代表人身份证明</w:t>
      </w:r>
      <w:r>
        <w:rPr>
          <w:color w:val="auto"/>
          <w:highlight w:val="none"/>
        </w:rPr>
        <w:tab/>
      </w:r>
      <w:r>
        <w:rPr>
          <w:color w:val="auto"/>
          <w:highlight w:val="none"/>
        </w:rPr>
        <w:fldChar w:fldCharType="begin"/>
      </w:r>
      <w:r>
        <w:rPr>
          <w:color w:val="auto"/>
          <w:highlight w:val="none"/>
        </w:rPr>
        <w:instrText xml:space="preserve"> PAGEREF _Toc25454 \h </w:instrText>
      </w:r>
      <w:r>
        <w:rPr>
          <w:color w:val="auto"/>
          <w:highlight w:val="none"/>
        </w:rPr>
        <w:fldChar w:fldCharType="separate"/>
      </w:r>
      <w:r>
        <w:rPr>
          <w:color w:val="auto"/>
          <w:highlight w:val="none"/>
        </w:rPr>
        <w:t>69</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_Toc670 </w:instrText>
      </w:r>
      <w:r>
        <w:rPr>
          <w:rFonts w:ascii="宋体" w:hAnsi="宋体" w:cs="宋体"/>
          <w:color w:val="auto"/>
          <w:highlight w:val="none"/>
        </w:rPr>
        <w:fldChar w:fldCharType="separate"/>
      </w:r>
      <w:r>
        <w:rPr>
          <w:rFonts w:hint="eastAsia"/>
          <w:color w:val="auto"/>
          <w:w w:val="95"/>
          <w:highlight w:val="none"/>
        </w:rPr>
        <w:t>三、授权委托书</w:t>
      </w:r>
      <w:r>
        <w:rPr>
          <w:color w:val="auto"/>
          <w:highlight w:val="none"/>
        </w:rPr>
        <w:tab/>
      </w:r>
      <w:r>
        <w:rPr>
          <w:color w:val="auto"/>
          <w:highlight w:val="none"/>
        </w:rPr>
        <w:fldChar w:fldCharType="begin"/>
      </w:r>
      <w:r>
        <w:rPr>
          <w:color w:val="auto"/>
          <w:highlight w:val="none"/>
        </w:rPr>
        <w:instrText xml:space="preserve"> PAGEREF _Toc670 \h </w:instrText>
      </w:r>
      <w:r>
        <w:rPr>
          <w:color w:val="auto"/>
          <w:highlight w:val="none"/>
        </w:rPr>
        <w:fldChar w:fldCharType="separate"/>
      </w:r>
      <w:r>
        <w:rPr>
          <w:color w:val="auto"/>
          <w:highlight w:val="none"/>
        </w:rPr>
        <w:t>70</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_Toc30345 </w:instrText>
      </w:r>
      <w:r>
        <w:rPr>
          <w:rFonts w:ascii="宋体" w:hAnsi="宋体" w:cs="宋体"/>
          <w:color w:val="auto"/>
          <w:highlight w:val="none"/>
        </w:rPr>
        <w:fldChar w:fldCharType="separate"/>
      </w:r>
      <w:r>
        <w:rPr>
          <w:rFonts w:hint="eastAsia"/>
          <w:color w:val="auto"/>
          <w:w w:val="95"/>
          <w:highlight w:val="none"/>
        </w:rPr>
        <w:t>四、投标承诺书</w:t>
      </w:r>
      <w:r>
        <w:rPr>
          <w:color w:val="auto"/>
          <w:highlight w:val="none"/>
        </w:rPr>
        <w:tab/>
      </w:r>
      <w:r>
        <w:rPr>
          <w:color w:val="auto"/>
          <w:highlight w:val="none"/>
        </w:rPr>
        <w:fldChar w:fldCharType="begin"/>
      </w:r>
      <w:r>
        <w:rPr>
          <w:color w:val="auto"/>
          <w:highlight w:val="none"/>
        </w:rPr>
        <w:instrText xml:space="preserve"> PAGEREF _Toc30345 \h </w:instrText>
      </w:r>
      <w:r>
        <w:rPr>
          <w:color w:val="auto"/>
          <w:highlight w:val="none"/>
        </w:rPr>
        <w:fldChar w:fldCharType="separate"/>
      </w:r>
      <w:r>
        <w:rPr>
          <w:color w:val="auto"/>
          <w:highlight w:val="none"/>
        </w:rPr>
        <w:t>71</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_Toc14405 </w:instrText>
      </w:r>
      <w:r>
        <w:rPr>
          <w:rFonts w:ascii="宋体" w:hAnsi="宋体" w:cs="宋体"/>
          <w:color w:val="auto"/>
          <w:highlight w:val="none"/>
        </w:rPr>
        <w:fldChar w:fldCharType="separate"/>
      </w:r>
      <w:r>
        <w:rPr>
          <w:rFonts w:hint="eastAsia"/>
          <w:color w:val="auto"/>
          <w:w w:val="95"/>
          <w:highlight w:val="none"/>
        </w:rPr>
        <w:t>五、技术部分</w:t>
      </w:r>
      <w:r>
        <w:rPr>
          <w:color w:val="auto"/>
          <w:highlight w:val="none"/>
        </w:rPr>
        <w:tab/>
      </w:r>
      <w:r>
        <w:rPr>
          <w:color w:val="auto"/>
          <w:highlight w:val="none"/>
        </w:rPr>
        <w:fldChar w:fldCharType="begin"/>
      </w:r>
      <w:r>
        <w:rPr>
          <w:color w:val="auto"/>
          <w:highlight w:val="none"/>
        </w:rPr>
        <w:instrText xml:space="preserve"> PAGEREF _Toc14405 \h </w:instrText>
      </w:r>
      <w:r>
        <w:rPr>
          <w:color w:val="auto"/>
          <w:highlight w:val="none"/>
        </w:rPr>
        <w:fldChar w:fldCharType="separate"/>
      </w:r>
      <w:r>
        <w:rPr>
          <w:color w:val="auto"/>
          <w:highlight w:val="none"/>
        </w:rPr>
        <w:t>73</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_Toc9417 </w:instrText>
      </w:r>
      <w:r>
        <w:rPr>
          <w:rFonts w:ascii="宋体" w:hAnsi="宋体" w:cs="宋体"/>
          <w:color w:val="auto"/>
          <w:highlight w:val="none"/>
        </w:rPr>
        <w:fldChar w:fldCharType="separate"/>
      </w:r>
      <w:r>
        <w:rPr>
          <w:rFonts w:hint="eastAsia"/>
          <w:color w:val="auto"/>
          <w:w w:val="95"/>
          <w:highlight w:val="none"/>
        </w:rPr>
        <w:t>六、</w:t>
      </w:r>
      <w:r>
        <w:rPr>
          <w:rFonts w:hint="eastAsia"/>
          <w:color w:val="auto"/>
          <w:w w:val="95"/>
          <w:highlight w:val="none"/>
          <w:lang w:eastAsia="zh-CN"/>
        </w:rPr>
        <w:t>类似</w:t>
      </w:r>
      <w:r>
        <w:rPr>
          <w:rFonts w:hint="eastAsia"/>
          <w:color w:val="auto"/>
          <w:highlight w:val="none"/>
        </w:rPr>
        <w:t>业绩</w:t>
      </w:r>
      <w:r>
        <w:rPr>
          <w:color w:val="auto"/>
          <w:highlight w:val="none"/>
        </w:rPr>
        <w:tab/>
      </w:r>
      <w:r>
        <w:rPr>
          <w:color w:val="auto"/>
          <w:highlight w:val="none"/>
        </w:rPr>
        <w:fldChar w:fldCharType="begin"/>
      </w:r>
      <w:r>
        <w:rPr>
          <w:color w:val="auto"/>
          <w:highlight w:val="none"/>
        </w:rPr>
        <w:instrText xml:space="preserve"> PAGEREF _Toc9417 \h </w:instrText>
      </w:r>
      <w:r>
        <w:rPr>
          <w:color w:val="auto"/>
          <w:highlight w:val="none"/>
        </w:rPr>
        <w:fldChar w:fldCharType="separate"/>
      </w:r>
      <w:r>
        <w:rPr>
          <w:color w:val="auto"/>
          <w:highlight w:val="none"/>
        </w:rPr>
        <w:t>78</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_Toc27520 </w:instrText>
      </w:r>
      <w:r>
        <w:rPr>
          <w:rFonts w:ascii="宋体" w:hAnsi="宋体" w:cs="宋体"/>
          <w:color w:val="auto"/>
          <w:highlight w:val="none"/>
        </w:rPr>
        <w:fldChar w:fldCharType="separate"/>
      </w:r>
      <w:r>
        <w:rPr>
          <w:rFonts w:hint="eastAsia"/>
          <w:color w:val="auto"/>
          <w:highlight w:val="none"/>
        </w:rPr>
        <w:t>七、实施方案</w:t>
      </w:r>
      <w:r>
        <w:rPr>
          <w:color w:val="auto"/>
          <w:highlight w:val="none"/>
        </w:rPr>
        <w:tab/>
      </w:r>
      <w:r>
        <w:rPr>
          <w:color w:val="auto"/>
          <w:highlight w:val="none"/>
        </w:rPr>
        <w:fldChar w:fldCharType="begin"/>
      </w:r>
      <w:r>
        <w:rPr>
          <w:color w:val="auto"/>
          <w:highlight w:val="none"/>
        </w:rPr>
        <w:instrText xml:space="preserve"> PAGEREF _Toc27520 \h </w:instrText>
      </w:r>
      <w:r>
        <w:rPr>
          <w:color w:val="auto"/>
          <w:highlight w:val="none"/>
        </w:rPr>
        <w:fldChar w:fldCharType="separate"/>
      </w:r>
      <w:r>
        <w:rPr>
          <w:color w:val="auto"/>
          <w:highlight w:val="none"/>
        </w:rPr>
        <w:t>79</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_Toc20033 </w:instrText>
      </w:r>
      <w:r>
        <w:rPr>
          <w:rFonts w:ascii="宋体" w:hAnsi="宋体" w:cs="宋体"/>
          <w:color w:val="auto"/>
          <w:highlight w:val="none"/>
        </w:rPr>
        <w:fldChar w:fldCharType="separate"/>
      </w:r>
      <w:r>
        <w:rPr>
          <w:rFonts w:hint="eastAsia"/>
          <w:color w:val="auto"/>
          <w:highlight w:val="none"/>
        </w:rPr>
        <w:t>八、履约能力</w:t>
      </w:r>
      <w:r>
        <w:rPr>
          <w:color w:val="auto"/>
          <w:highlight w:val="none"/>
        </w:rPr>
        <w:tab/>
      </w:r>
      <w:r>
        <w:rPr>
          <w:color w:val="auto"/>
          <w:highlight w:val="none"/>
        </w:rPr>
        <w:fldChar w:fldCharType="begin"/>
      </w:r>
      <w:r>
        <w:rPr>
          <w:color w:val="auto"/>
          <w:highlight w:val="none"/>
        </w:rPr>
        <w:instrText xml:space="preserve"> PAGEREF _Toc20033 \h </w:instrText>
      </w:r>
      <w:r>
        <w:rPr>
          <w:color w:val="auto"/>
          <w:highlight w:val="none"/>
        </w:rPr>
        <w:fldChar w:fldCharType="separate"/>
      </w:r>
      <w:r>
        <w:rPr>
          <w:color w:val="auto"/>
          <w:highlight w:val="none"/>
        </w:rPr>
        <w:t>80</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_Toc11835 </w:instrText>
      </w:r>
      <w:r>
        <w:rPr>
          <w:rFonts w:ascii="宋体" w:hAnsi="宋体" w:cs="宋体"/>
          <w:color w:val="auto"/>
          <w:highlight w:val="none"/>
        </w:rPr>
        <w:fldChar w:fldCharType="separate"/>
      </w:r>
      <w:r>
        <w:rPr>
          <w:rFonts w:hint="eastAsia"/>
          <w:color w:val="auto"/>
          <w:highlight w:val="none"/>
        </w:rPr>
        <w:t>九、售后服务及培训方案</w:t>
      </w:r>
      <w:r>
        <w:rPr>
          <w:color w:val="auto"/>
          <w:highlight w:val="none"/>
        </w:rPr>
        <w:tab/>
      </w:r>
      <w:r>
        <w:rPr>
          <w:color w:val="auto"/>
          <w:highlight w:val="none"/>
        </w:rPr>
        <w:fldChar w:fldCharType="begin"/>
      </w:r>
      <w:r>
        <w:rPr>
          <w:color w:val="auto"/>
          <w:highlight w:val="none"/>
        </w:rPr>
        <w:instrText xml:space="preserve"> PAGEREF _Toc11835 \h </w:instrText>
      </w:r>
      <w:r>
        <w:rPr>
          <w:color w:val="auto"/>
          <w:highlight w:val="none"/>
        </w:rPr>
        <w:fldChar w:fldCharType="separate"/>
      </w:r>
      <w:r>
        <w:rPr>
          <w:color w:val="auto"/>
          <w:highlight w:val="none"/>
        </w:rPr>
        <w:t>81</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_Toc11976 </w:instrText>
      </w:r>
      <w:r>
        <w:rPr>
          <w:rFonts w:ascii="宋体" w:hAnsi="宋体" w:cs="宋体"/>
          <w:color w:val="auto"/>
          <w:highlight w:val="none"/>
        </w:rPr>
        <w:fldChar w:fldCharType="separate"/>
      </w:r>
      <w:r>
        <w:rPr>
          <w:rFonts w:hint="eastAsia"/>
          <w:color w:val="auto"/>
          <w:highlight w:val="none"/>
        </w:rPr>
        <w:t>十、资格证明文件</w:t>
      </w:r>
      <w:r>
        <w:rPr>
          <w:color w:val="auto"/>
          <w:highlight w:val="none"/>
        </w:rPr>
        <w:tab/>
      </w:r>
      <w:r>
        <w:rPr>
          <w:color w:val="auto"/>
          <w:highlight w:val="none"/>
        </w:rPr>
        <w:fldChar w:fldCharType="begin"/>
      </w:r>
      <w:r>
        <w:rPr>
          <w:color w:val="auto"/>
          <w:highlight w:val="none"/>
        </w:rPr>
        <w:instrText xml:space="preserve"> PAGEREF _Toc11976 \h </w:instrText>
      </w:r>
      <w:r>
        <w:rPr>
          <w:color w:val="auto"/>
          <w:highlight w:val="none"/>
        </w:rPr>
        <w:fldChar w:fldCharType="separate"/>
      </w:r>
      <w:r>
        <w:rPr>
          <w:color w:val="auto"/>
          <w:highlight w:val="none"/>
        </w:rPr>
        <w:t>82</w:t>
      </w:r>
      <w:r>
        <w:rPr>
          <w:color w:val="auto"/>
          <w:highlight w:val="none"/>
        </w:rPr>
        <w:fldChar w:fldCharType="end"/>
      </w:r>
      <w:r>
        <w:rPr>
          <w:rFonts w:ascii="宋体" w:hAnsi="宋体" w:cs="宋体"/>
          <w:color w:val="auto"/>
          <w:highlight w:val="none"/>
        </w:rPr>
        <w:fldChar w:fldCharType="end"/>
      </w:r>
    </w:p>
    <w:p>
      <w:pPr>
        <w:pStyle w:val="20"/>
        <w:tabs>
          <w:tab w:val="right" w:leader="dot" w:pos="8305"/>
        </w:tabs>
        <w:rPr>
          <w:color w:val="auto"/>
          <w:highlight w:val="none"/>
        </w:rPr>
      </w:pPr>
      <w:r>
        <w:rPr>
          <w:rFonts w:ascii="宋体" w:hAnsi="宋体" w:cs="宋体"/>
          <w:color w:val="auto"/>
          <w:highlight w:val="none"/>
        </w:rPr>
        <w:fldChar w:fldCharType="begin"/>
      </w:r>
      <w:r>
        <w:rPr>
          <w:rFonts w:ascii="宋体" w:hAnsi="宋体" w:cs="宋体"/>
          <w:color w:val="auto"/>
          <w:highlight w:val="none"/>
        </w:rPr>
        <w:instrText xml:space="preserve"> HYPERLINK \l _Toc24610 </w:instrText>
      </w:r>
      <w:r>
        <w:rPr>
          <w:rFonts w:ascii="宋体" w:hAnsi="宋体" w:cs="宋体"/>
          <w:color w:val="auto"/>
          <w:highlight w:val="none"/>
        </w:rPr>
        <w:fldChar w:fldCharType="separate"/>
      </w:r>
      <w:r>
        <w:rPr>
          <w:rFonts w:hint="eastAsia"/>
          <w:color w:val="auto"/>
          <w:highlight w:val="none"/>
        </w:rPr>
        <w:t>十一、其他资料</w:t>
      </w:r>
      <w:r>
        <w:rPr>
          <w:color w:val="auto"/>
          <w:highlight w:val="none"/>
        </w:rPr>
        <w:tab/>
      </w:r>
      <w:r>
        <w:rPr>
          <w:color w:val="auto"/>
          <w:highlight w:val="none"/>
        </w:rPr>
        <w:fldChar w:fldCharType="begin"/>
      </w:r>
      <w:r>
        <w:rPr>
          <w:color w:val="auto"/>
          <w:highlight w:val="none"/>
        </w:rPr>
        <w:instrText xml:space="preserve"> PAGEREF _Toc24610 \h </w:instrText>
      </w:r>
      <w:r>
        <w:rPr>
          <w:color w:val="auto"/>
          <w:highlight w:val="none"/>
        </w:rPr>
        <w:fldChar w:fldCharType="separate"/>
      </w:r>
      <w:r>
        <w:rPr>
          <w:color w:val="auto"/>
          <w:highlight w:val="none"/>
        </w:rPr>
        <w:t>85</w:t>
      </w:r>
      <w:r>
        <w:rPr>
          <w:color w:val="auto"/>
          <w:highlight w:val="none"/>
        </w:rPr>
        <w:fldChar w:fldCharType="end"/>
      </w:r>
      <w:r>
        <w:rPr>
          <w:rFonts w:ascii="宋体" w:hAnsi="宋体" w:cs="宋体"/>
          <w:color w:val="auto"/>
          <w:highlight w:val="none"/>
        </w:rPr>
        <w:fldChar w:fldCharType="end"/>
      </w:r>
    </w:p>
    <w:p>
      <w:pPr>
        <w:pStyle w:val="2"/>
        <w:rPr>
          <w:rFonts w:ascii="宋体" w:cs="宋体"/>
          <w:color w:val="auto"/>
          <w:szCs w:val="32"/>
          <w:highlight w:val="none"/>
        </w:rPr>
        <w:sectPr>
          <w:headerReference r:id="rId5" w:type="default"/>
          <w:footerReference r:id="rId6" w:type="default"/>
          <w:pgSz w:w="11911" w:h="16838"/>
          <w:pgMar w:top="1440" w:right="1803" w:bottom="1440" w:left="1803" w:header="884" w:footer="737" w:gutter="0"/>
          <w:pgBorders>
            <w:top w:val="none" w:sz="0" w:space="0"/>
            <w:left w:val="none" w:sz="0" w:space="0"/>
            <w:bottom w:val="none" w:sz="0" w:space="0"/>
            <w:right w:val="none" w:sz="0" w:space="0"/>
          </w:pgBorders>
          <w:pgNumType w:fmt="decimal" w:start="1"/>
          <w:cols w:space="0" w:num="1"/>
          <w:rtlGutter w:val="0"/>
          <w:docGrid w:linePitch="315" w:charSpace="0"/>
        </w:sectPr>
      </w:pPr>
      <w:r>
        <w:rPr>
          <w:rFonts w:ascii="宋体" w:hAnsi="宋体" w:cs="宋体"/>
          <w:color w:val="auto"/>
          <w:highlight w:val="none"/>
        </w:rPr>
        <w:fldChar w:fldCharType="end"/>
      </w:r>
      <w:bookmarkStart w:id="1" w:name="_Toc40112127"/>
    </w:p>
    <w:p>
      <w:pPr>
        <w:pStyle w:val="2"/>
        <w:rPr>
          <w:rStyle w:val="27"/>
          <w:rFonts w:ascii="宋体" w:cs="宋体"/>
          <w:b/>
          <w:color w:val="auto"/>
          <w:highlight w:val="none"/>
        </w:rPr>
      </w:pPr>
      <w:bookmarkStart w:id="2" w:name="_Toc2020"/>
      <w:r>
        <w:rPr>
          <w:rStyle w:val="27"/>
          <w:rFonts w:hint="eastAsia" w:ascii="宋体" w:hAnsi="宋体" w:cs="宋体"/>
          <w:b/>
          <w:color w:val="auto"/>
          <w:highlight w:val="none"/>
        </w:rPr>
        <w:t>第一章</w:t>
      </w:r>
      <w:r>
        <w:rPr>
          <w:rStyle w:val="27"/>
          <w:rFonts w:ascii="宋体" w:hAnsi="宋体" w:cs="宋体"/>
          <w:b/>
          <w:color w:val="auto"/>
          <w:highlight w:val="none"/>
        </w:rPr>
        <w:t xml:space="preserve"> </w:t>
      </w:r>
      <w:r>
        <w:rPr>
          <w:rStyle w:val="27"/>
          <w:rFonts w:hint="eastAsia" w:ascii="宋体" w:hAnsi="宋体" w:cs="宋体"/>
          <w:b/>
          <w:color w:val="auto"/>
          <w:highlight w:val="none"/>
        </w:rPr>
        <w:t>招标公告</w:t>
      </w:r>
      <w:bookmarkEnd w:id="1"/>
      <w:bookmarkEnd w:id="2"/>
    </w:p>
    <w:p>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【平公资采2024573号】平顶山市消防救援支队河南省消防救援总队“自然灾害应急能力提升工程”平顶山支队装备建设项目（包3）二次-</w:t>
      </w:r>
      <w:r>
        <w:rPr>
          <w:rFonts w:hint="eastAsia" w:ascii="Calibri" w:hAnsi="Calibri"/>
          <w:b/>
          <w:bCs/>
          <w:color w:val="auto"/>
          <w:sz w:val="28"/>
          <w:szCs w:val="36"/>
          <w:highlight w:val="none"/>
        </w:rPr>
        <w:t>公开招标公告</w:t>
      </w:r>
    </w:p>
    <w:p>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w:t>
      </w:r>
      <w:r>
        <w:rPr>
          <w:rFonts w:hint="eastAsia" w:ascii="宋体" w:hAnsi="宋体" w:eastAsia="宋体" w:cs="宋体"/>
          <w:b w:val="0"/>
          <w:bCs w:val="0"/>
          <w:color w:val="auto"/>
          <w:sz w:val="24"/>
          <w:szCs w:val="24"/>
          <w:highlight w:val="none"/>
          <w:u w:val="none"/>
        </w:rPr>
        <w:fldChar w:fldCharType="begin"/>
      </w:r>
      <w:r>
        <w:rPr>
          <w:rFonts w:hint="eastAsia" w:ascii="宋体" w:hAnsi="宋体" w:eastAsia="宋体" w:cs="宋体"/>
          <w:b w:val="0"/>
          <w:bCs w:val="0"/>
          <w:color w:val="auto"/>
          <w:sz w:val="24"/>
          <w:szCs w:val="24"/>
          <w:highlight w:val="none"/>
          <w:u w:val="none"/>
        </w:rPr>
        <w:instrText xml:space="preserve"> HYPERLINK "http://ggzy.pds.gov.cn/)获取招标文件，并于2024年8月" </w:instrText>
      </w:r>
      <w:r>
        <w:rPr>
          <w:rFonts w:hint="eastAsia" w:ascii="宋体" w:hAnsi="宋体" w:eastAsia="宋体" w:cs="宋体"/>
          <w:b w:val="0"/>
          <w:bCs w:val="0"/>
          <w:color w:val="auto"/>
          <w:sz w:val="24"/>
          <w:szCs w:val="24"/>
          <w:highlight w:val="none"/>
          <w:u w:val="none"/>
        </w:rPr>
        <w:fldChar w:fldCharType="separate"/>
      </w:r>
      <w:r>
        <w:rPr>
          <w:rStyle w:val="26"/>
          <w:rFonts w:hint="eastAsia" w:ascii="宋体" w:hAnsi="宋体" w:eastAsia="宋体" w:cs="宋体"/>
          <w:b w:val="0"/>
          <w:bCs w:val="0"/>
          <w:color w:val="auto"/>
          <w:sz w:val="24"/>
          <w:szCs w:val="24"/>
          <w:highlight w:val="none"/>
          <w:u w:val="none"/>
        </w:rPr>
        <w:t>http://ggzy.pds.gov.cn/)</w:t>
      </w:r>
      <w:r>
        <w:rPr>
          <w:rStyle w:val="26"/>
          <w:rFonts w:hint="eastAsia" w:ascii="宋体" w:hAnsi="宋体" w:cs="宋体"/>
          <w:b w:val="0"/>
          <w:bCs w:val="0"/>
          <w:color w:val="auto"/>
          <w:sz w:val="24"/>
          <w:highlight w:val="none"/>
          <w:u w:val="none"/>
        </w:rPr>
        <w:t>获取招标文件，并于202</w:t>
      </w:r>
      <w:r>
        <w:rPr>
          <w:rStyle w:val="26"/>
          <w:rFonts w:hint="eastAsia" w:ascii="宋体" w:hAnsi="宋体" w:cs="宋体"/>
          <w:b w:val="0"/>
          <w:bCs w:val="0"/>
          <w:color w:val="auto"/>
          <w:sz w:val="24"/>
          <w:highlight w:val="none"/>
          <w:u w:val="none"/>
          <w:lang w:val="en-US" w:eastAsia="zh-CN"/>
        </w:rPr>
        <w:t>4</w:t>
      </w:r>
      <w:r>
        <w:rPr>
          <w:rStyle w:val="26"/>
          <w:rFonts w:hint="eastAsia" w:ascii="宋体" w:hAnsi="宋体" w:cs="宋体"/>
          <w:b w:val="0"/>
          <w:bCs w:val="0"/>
          <w:color w:val="auto"/>
          <w:sz w:val="24"/>
          <w:highlight w:val="none"/>
          <w:u w:val="none"/>
        </w:rPr>
        <w:t>年</w:t>
      </w:r>
      <w:r>
        <w:rPr>
          <w:rStyle w:val="26"/>
          <w:rFonts w:hint="eastAsia" w:ascii="宋体" w:hAnsi="宋体" w:cs="宋体"/>
          <w:b w:val="0"/>
          <w:bCs w:val="0"/>
          <w:color w:val="auto"/>
          <w:sz w:val="24"/>
          <w:highlight w:val="none"/>
          <w:u w:val="none"/>
          <w:lang w:val="en-US" w:eastAsia="zh-CN"/>
        </w:rPr>
        <w:t>08</w:t>
      </w:r>
      <w:r>
        <w:rPr>
          <w:rStyle w:val="26"/>
          <w:rFonts w:hint="eastAsia" w:ascii="宋体" w:hAnsi="宋体" w:cs="宋体"/>
          <w:b w:val="0"/>
          <w:bCs w:val="0"/>
          <w:color w:val="auto"/>
          <w:sz w:val="24"/>
          <w:highlight w:val="none"/>
          <w:u w:val="none"/>
        </w:rPr>
        <w:t>月</w:t>
      </w:r>
      <w:r>
        <w:rPr>
          <w:rFonts w:hint="eastAsia" w:ascii="宋体" w:hAnsi="宋体" w:eastAsia="宋体" w:cs="宋体"/>
          <w:b w:val="0"/>
          <w:bCs w:val="0"/>
          <w:color w:val="auto"/>
          <w:sz w:val="24"/>
          <w:szCs w:val="24"/>
          <w:highlight w:val="none"/>
          <w:u w:val="none"/>
        </w:rPr>
        <w:fldChar w:fldCharType="end"/>
      </w:r>
      <w:r>
        <w:rPr>
          <w:rFonts w:hint="eastAsia" w:ascii="宋体" w:hAnsi="宋体" w:cs="宋体"/>
          <w:b w:val="0"/>
          <w:bCs w:val="0"/>
          <w:color w:val="auto"/>
          <w:sz w:val="24"/>
          <w:highlight w:val="none"/>
          <w:u w:val="none"/>
          <w:lang w:val="en-US" w:eastAsia="zh-CN"/>
        </w:rPr>
        <w:t>06</w:t>
      </w:r>
      <w:r>
        <w:rPr>
          <w:rFonts w:hint="eastAsia" w:ascii="宋体" w:hAnsi="宋体" w:cs="宋体"/>
          <w:b w:val="0"/>
          <w:bCs w:val="0"/>
          <w:color w:val="auto"/>
          <w:sz w:val="24"/>
          <w:highlight w:val="none"/>
          <w:u w:val="none"/>
        </w:rPr>
        <w:t>日</w:t>
      </w:r>
      <w:r>
        <w:rPr>
          <w:rFonts w:hint="eastAsia" w:ascii="宋体" w:hAnsi="宋体" w:cs="宋体"/>
          <w:b w:val="0"/>
          <w:bCs w:val="0"/>
          <w:color w:val="auto"/>
          <w:sz w:val="24"/>
          <w:highlight w:val="none"/>
          <w:u w:val="none"/>
          <w:lang w:val="en-US" w:eastAsia="zh-CN"/>
        </w:rPr>
        <w:t>09</w:t>
      </w:r>
      <w:r>
        <w:rPr>
          <w:rFonts w:hint="eastAsia" w:ascii="宋体" w:hAnsi="宋体" w:cs="宋体"/>
          <w:b w:val="0"/>
          <w:bCs w:val="0"/>
          <w:color w:val="auto"/>
          <w:sz w:val="24"/>
          <w:highlight w:val="none"/>
          <w:u w:val="none"/>
        </w:rPr>
        <w:t>时</w:t>
      </w:r>
      <w:r>
        <w:rPr>
          <w:rFonts w:hint="eastAsia" w:ascii="宋体" w:hAnsi="宋体" w:cs="宋体"/>
          <w:b w:val="0"/>
          <w:bCs w:val="0"/>
          <w:color w:val="auto"/>
          <w:sz w:val="24"/>
          <w:highlight w:val="none"/>
          <w:u w:val="none"/>
          <w:lang w:val="en-US" w:eastAsia="zh-CN"/>
        </w:rPr>
        <w:t>2</w:t>
      </w:r>
      <w:r>
        <w:rPr>
          <w:rFonts w:hint="eastAsia" w:ascii="宋体" w:hAnsi="宋体" w:cs="宋体"/>
          <w:b w:val="0"/>
          <w:bCs w:val="0"/>
          <w:color w:val="auto"/>
          <w:sz w:val="24"/>
          <w:highlight w:val="none"/>
          <w:u w:val="none"/>
        </w:rPr>
        <w:t>0分（北京时间）前递交投标文件。</w:t>
      </w:r>
    </w:p>
    <w:p>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pPr>
        <w:widowControl/>
        <w:adjustRightInd w:val="0"/>
        <w:snapToGrid w:val="0"/>
        <w:spacing w:line="360" w:lineRule="auto"/>
        <w:ind w:firstLine="480" w:firstLineChars="200"/>
        <w:jc w:val="left"/>
        <w:rPr>
          <w:rFonts w:hint="eastAsia" w:ascii="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、项目编号：平采招标-2024-35</w:t>
      </w:r>
    </w:p>
    <w:p>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平顶山市消防救援支队河南省消防救援总队“自然灾害应急能力提升工程”平顶山支队装备建设项目</w:t>
      </w:r>
    </w:p>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cs="宋体"/>
          <w:b w:val="0"/>
          <w:bCs w:val="0"/>
          <w:color w:val="auto"/>
          <w:sz w:val="24"/>
          <w:highlight w:val="none"/>
        </w:rPr>
        <w:t>元</w:t>
      </w:r>
    </w:p>
    <w:p>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5262820.00</w:t>
      </w:r>
      <w:r>
        <w:rPr>
          <w:rFonts w:hint="eastAsia" w:ascii="宋体" w:hAnsi="宋体" w:cs="宋体"/>
          <w:b w:val="0"/>
          <w:bCs w:val="0"/>
          <w:color w:val="auto"/>
          <w:sz w:val="24"/>
          <w:highlight w:val="none"/>
        </w:rPr>
        <w:t>元</w:t>
      </w:r>
    </w:p>
    <w:tbl>
      <w:tblPr>
        <w:tblStyle w:val="2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92"/>
        <w:gridCol w:w="1119"/>
        <w:gridCol w:w="1128"/>
        <w:gridCol w:w="1216"/>
        <w:gridCol w:w="101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1"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892"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11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128"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pPr>
              <w:adjustRightInd w:val="0"/>
              <w:snapToGrid w:val="0"/>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892"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1</w:t>
            </w:r>
          </w:p>
        </w:tc>
        <w:tc>
          <w:tcPr>
            <w:tcW w:w="1119" w:type="dxa"/>
            <w:vAlign w:val="center"/>
          </w:tcPr>
          <w:p>
            <w:pPr>
              <w:adjustRightInd w:val="0"/>
              <w:snapToGrid w:val="0"/>
              <w:spacing w:line="240" w:lineRule="auto"/>
              <w:jc w:val="center"/>
              <w:rPr>
                <w:rFonts w:hint="default" w:ascii="宋体" w:hAnsi="宋体" w:cs="宋体"/>
                <w:b w:val="0"/>
                <w:bCs w:val="0"/>
                <w:color w:val="auto"/>
                <w:sz w:val="24"/>
                <w:szCs w:val="24"/>
                <w:highlight w:val="none"/>
                <w:vertAlign w:val="baseline"/>
                <w:lang w:val="en-US"/>
              </w:rPr>
            </w:pPr>
            <w:r>
              <w:rPr>
                <w:rFonts w:hint="eastAsia" w:ascii="宋体" w:hAnsi="宋体" w:cs="宋体"/>
                <w:i w:val="0"/>
                <w:iCs w:val="0"/>
                <w:color w:val="auto"/>
                <w:kern w:val="0"/>
                <w:sz w:val="24"/>
                <w:szCs w:val="24"/>
                <w:highlight w:val="none"/>
                <w:u w:val="none"/>
                <w:lang w:val="en-US" w:eastAsia="zh-CN" w:bidi="ar"/>
              </w:rPr>
              <w:t>包3</w:t>
            </w:r>
          </w:p>
        </w:tc>
        <w:tc>
          <w:tcPr>
            <w:tcW w:w="1128" w:type="dxa"/>
            <w:vAlign w:val="center"/>
          </w:tcPr>
          <w:p>
            <w:pPr>
              <w:adjustRightInd w:val="0"/>
              <w:snapToGrid w:val="0"/>
              <w:spacing w:line="240" w:lineRule="auto"/>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1000000</w:t>
            </w:r>
          </w:p>
        </w:tc>
        <w:tc>
          <w:tcPr>
            <w:tcW w:w="1216"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b w:val="0"/>
                <w:bCs w:val="0"/>
                <w:color w:val="auto"/>
                <w:sz w:val="24"/>
                <w:szCs w:val="24"/>
                <w:highlight w:val="none"/>
                <w:vertAlign w:val="baseline"/>
                <w:lang w:val="en-US" w:eastAsia="zh-CN"/>
              </w:rPr>
              <w:t>1000000</w:t>
            </w:r>
          </w:p>
        </w:tc>
        <w:tc>
          <w:tcPr>
            <w:tcW w:w="1019"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0</w:t>
            </w:r>
          </w:p>
        </w:tc>
      </w:tr>
    </w:tbl>
    <w:p>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冷藏车1；</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5.4</w:t>
      </w:r>
      <w:r>
        <w:rPr>
          <w:rFonts w:hint="eastAsia" w:ascii="宋体" w:hAnsi="宋体" w:cs="宋体"/>
          <w:b w:val="0"/>
          <w:bCs w:val="0"/>
          <w:color w:val="auto"/>
          <w:sz w:val="24"/>
          <w:highlight w:val="none"/>
          <w:lang w:eastAsia="zh-CN"/>
        </w:rPr>
        <w:t>交货期：采用进口底盘投标的，自合同签订之日起120日历天，采用国产底盘投标的，自合同签订之日起90日历天；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color w:val="auto"/>
          <w:sz w:val="24"/>
          <w:highlight w:val="none"/>
        </w:rPr>
        <w:t>详见招标文件</w:t>
      </w:r>
      <w:r>
        <w:rPr>
          <w:rFonts w:hint="eastAsia" w:ascii="宋体" w:hAnsi="宋体" w:cs="宋体"/>
          <w:b w:val="0"/>
          <w:bCs w:val="0"/>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lang w:val="en-US" w:eastAsia="zh-CN"/>
        </w:rPr>
        <w:t>投标人资格要求：投标人必须为所投车辆的生产企业（须提供承诺函），</w:t>
      </w:r>
      <w:r>
        <w:rPr>
          <w:rFonts w:hint="eastAsia" w:ascii="宋体" w:hAnsi="宋体" w:eastAsia="宋体" w:cs="宋体"/>
          <w:color w:val="auto"/>
          <w:sz w:val="24"/>
          <w:szCs w:val="24"/>
          <w:highlight w:val="none"/>
        </w:rPr>
        <w:t>交车时（整车）必须是已取得中华人民共和国工业和信息化部发布的对应车型《道路机动车辆生产企业及产品公告》的合格产品（须提供工信部官方查询平台查询截图和网址链接），并在投标文件中进行承诺</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具有良好的商业信誉和健全的财务会计制度（须提供2022年度</w:t>
      </w:r>
      <w:r>
        <w:rPr>
          <w:rFonts w:hint="eastAsia" w:ascii="宋体" w:hAnsi="宋体" w:cs="宋体"/>
          <w:b w:val="0"/>
          <w:bCs w:val="0"/>
          <w:color w:val="auto"/>
          <w:sz w:val="24"/>
          <w:szCs w:val="24"/>
          <w:highlight w:val="none"/>
          <w:lang w:val="en-US" w:eastAsia="zh-CN"/>
        </w:rPr>
        <w:t>或2023年度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有依法缴纳税收和社会保障资金的良好记录(提供2024年1月1日以来任意1个月依法缴纳税收和社会保障金的相关证明,依法免税或不需要缴纳社会保障资金的，应提供相应证明文件)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color w:val="auto"/>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8</w:t>
      </w:r>
      <w:r>
        <w:rPr>
          <w:rFonts w:hint="eastAsia" w:ascii="宋体" w:hAnsi="宋体" w:cs="宋体"/>
          <w:b w:val="0"/>
          <w:bCs w:val="0"/>
          <w:color w:val="auto"/>
          <w:kern w:val="0"/>
          <w:sz w:val="24"/>
          <w:szCs w:val="21"/>
          <w:highlight w:val="none"/>
        </w:rPr>
        <w:t xml:space="preserve"> 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05</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w:t>
      </w:r>
      <w:r>
        <w:rPr>
          <w:rFonts w:hint="eastAsia" w:ascii="宋体" w:hAnsi="宋体" w:cs="宋体"/>
          <w:b w:val="0"/>
          <w:bCs w:val="0"/>
          <w:color w:val="auto"/>
          <w:sz w:val="24"/>
          <w:szCs w:val="24"/>
          <w:highlight w:val="none"/>
          <w:lang w:eastAsia="zh-CN"/>
        </w:rPr>
        <w:t>交易主体登录</w:t>
      </w:r>
      <w:r>
        <w:rPr>
          <w:rFonts w:hint="eastAsia" w:ascii="宋体" w:hAnsi="宋体" w:eastAsia="宋体" w:cs="宋体"/>
          <w:b w:val="0"/>
          <w:bCs w:val="0"/>
          <w:color w:val="auto"/>
          <w:sz w:val="24"/>
          <w:szCs w:val="24"/>
          <w:highlight w:val="none"/>
        </w:rPr>
        <w:t>”入口进入交易系统进行下载文件。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color w:val="auto"/>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color w:val="auto"/>
          <w:sz w:val="24"/>
          <w:highlight w:val="none"/>
        </w:rPr>
        <w:t>《中国招标投标公共服务平台》、《河南省电子招标投标公共服务平台》</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3、供应商可通过平顶山市公共资源交易平台向采购人（代理机构）、行政监督部门提出在线质疑（异议）、投诉。</w:t>
      </w:r>
      <w:bookmarkEnd w:id="5"/>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6" w:name="_Toc22227"/>
      <w:r>
        <w:rPr>
          <w:rFonts w:hint="eastAsia" w:ascii="宋体" w:hAnsi="宋体" w:cs="宋体"/>
          <w:b w:val="0"/>
          <w:bCs w:val="0"/>
          <w:color w:val="auto"/>
          <w:sz w:val="24"/>
          <w:highlight w:val="none"/>
          <w:lang w:val="en-US" w:eastAsia="zh-CN"/>
        </w:rPr>
        <w:t>4、该公告已同步至“平顶山市公共资源交易中心微信公众号”，可通过公众号中的服务栏目进行查阅”。</w:t>
      </w:r>
      <w:bookmarkEnd w:id="6"/>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5</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可同时参与多个标包投标，可同时中标不同产品多个标包。同一产品划分多个标包的，</w:t>
      </w:r>
      <w:r>
        <w:rPr>
          <w:rFonts w:hint="eastAsia" w:ascii="宋体" w:hAnsi="宋体" w:cs="宋体"/>
          <w:b w:val="0"/>
          <w:bCs w:val="0"/>
          <w:color w:val="auto"/>
          <w:sz w:val="24"/>
          <w:highlight w:val="none"/>
          <w:lang w:eastAsia="zh-CN"/>
        </w:rPr>
        <w:t>投标人</w:t>
      </w:r>
      <w:r>
        <w:rPr>
          <w:rFonts w:hint="eastAsia" w:ascii="宋体" w:hAnsi="宋体" w:cs="宋体"/>
          <w:b w:val="0"/>
          <w:bCs w:val="0"/>
          <w:color w:val="auto"/>
          <w:sz w:val="24"/>
          <w:highlight w:val="none"/>
        </w:rPr>
        <w:t>可同时参与多个标包投标，但只允许中取一个标包（若同一投标人在多个包中综合得分排名第一时，确定其为包号顺序靠前</w:t>
      </w:r>
      <w:r>
        <w:rPr>
          <w:rFonts w:hint="eastAsia" w:ascii="宋体" w:hAnsi="宋体" w:cs="宋体"/>
          <w:b w:val="0"/>
          <w:bCs w:val="0"/>
          <w:color w:val="auto"/>
          <w:sz w:val="24"/>
          <w:highlight w:val="none"/>
          <w:lang w:val="en-US" w:eastAsia="zh-CN"/>
        </w:rPr>
        <w:t>标</w:t>
      </w:r>
      <w:r>
        <w:rPr>
          <w:rFonts w:hint="eastAsia" w:ascii="宋体" w:hAnsi="宋体" w:cs="宋体"/>
          <w:b w:val="0"/>
          <w:bCs w:val="0"/>
          <w:color w:val="auto"/>
          <w:sz w:val="24"/>
          <w:highlight w:val="none"/>
        </w:rPr>
        <w:t>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bookmarkEnd w:id="7"/>
    </w:p>
    <w:p>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8" w:name="_Toc18792"/>
      <w:r>
        <w:rPr>
          <w:rFonts w:hint="eastAsia" w:ascii="宋体" w:hAnsi="宋体" w:cs="宋体"/>
          <w:b w:val="0"/>
          <w:bCs w:val="0"/>
          <w:color w:val="auto"/>
          <w:sz w:val="24"/>
          <w:highlight w:val="none"/>
          <w:lang w:val="en-US" w:eastAsia="zh-CN"/>
        </w:rPr>
        <w:t>6、监督单位：平顶山市政府采购服务中心</w:t>
      </w:r>
      <w:bookmarkEnd w:id="8"/>
    </w:p>
    <w:p>
      <w:pPr>
        <w:widowControl/>
        <w:spacing w:line="360" w:lineRule="auto"/>
        <w:ind w:firstLine="480" w:firstLineChars="200"/>
        <w:jc w:val="left"/>
        <w:outlineLvl w:val="9"/>
        <w:rPr>
          <w:rFonts w:hint="default" w:ascii="宋体" w:hAnsi="宋体" w:cs="宋体"/>
          <w:b w:val="0"/>
          <w:bCs w:val="0"/>
          <w:color w:val="auto"/>
          <w:sz w:val="24"/>
          <w:highlight w:val="none"/>
          <w:lang w:val="en-US" w:eastAsia="zh-CN"/>
        </w:rPr>
      </w:pPr>
      <w:bookmarkStart w:id="9" w:name="_Toc27846"/>
      <w:r>
        <w:rPr>
          <w:rFonts w:hint="eastAsia" w:ascii="宋体" w:hAnsi="宋体" w:cs="宋体"/>
          <w:b w:val="0"/>
          <w:bCs w:val="0"/>
          <w:color w:val="auto"/>
          <w:sz w:val="24"/>
          <w:highlight w:val="none"/>
          <w:lang w:val="en-US" w:eastAsia="zh-CN"/>
        </w:rPr>
        <w:t>联系方式：0375-262759</w:t>
      </w:r>
      <w:bookmarkEnd w:id="9"/>
      <w:r>
        <w:rPr>
          <w:rFonts w:hint="eastAsia" w:ascii="宋体" w:hAnsi="宋体" w:cs="宋体"/>
          <w:b w:val="0"/>
          <w:bCs w:val="0"/>
          <w:color w:val="auto"/>
          <w:sz w:val="24"/>
          <w:highlight w:val="none"/>
          <w:lang w:val="en-US" w:eastAsia="zh-CN"/>
        </w:rPr>
        <w:t>3</w:t>
      </w:r>
    </w:p>
    <w:p>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统一社会信用代码：12410400MB1N33980Q</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0" w:name="_Toc30939"/>
      <w:r>
        <w:rPr>
          <w:rFonts w:hint="eastAsia" w:ascii="宋体" w:hAnsi="宋体" w:cs="宋体"/>
          <w:b w:val="0"/>
          <w:bCs w:val="0"/>
          <w:color w:val="auto"/>
          <w:sz w:val="24"/>
          <w:highlight w:val="none"/>
        </w:rPr>
        <w:t>2.采购代理机构信息（如有）</w:t>
      </w:r>
      <w:bookmarkEnd w:id="10"/>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11" w:name="_Toc15407"/>
      <w:r>
        <w:rPr>
          <w:rFonts w:hint="eastAsia" w:ascii="宋体" w:hAnsi="宋体" w:cs="宋体"/>
          <w:b w:val="0"/>
          <w:bCs w:val="0"/>
          <w:color w:val="auto"/>
          <w:sz w:val="24"/>
          <w:highlight w:val="none"/>
        </w:rPr>
        <w:t>3.项目联系方式</w:t>
      </w:r>
      <w:bookmarkEnd w:id="11"/>
      <w:r>
        <w:rPr>
          <w:rFonts w:hint="eastAsia" w:ascii="宋体" w:hAnsi="宋体" w:cs="宋体"/>
          <w:b w:val="0"/>
          <w:bCs w:val="0"/>
          <w:color w:val="auto"/>
          <w:sz w:val="24"/>
          <w:highlight w:val="none"/>
        </w:rPr>
        <w:t xml:space="preserve"> </w:t>
      </w:r>
    </w:p>
    <w:p>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pPr>
        <w:rPr>
          <w:color w:val="auto"/>
          <w:highlight w:val="none"/>
        </w:rPr>
      </w:pPr>
    </w:p>
    <w:p>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pPr>
        <w:numPr>
          <w:ilvl w:val="0"/>
          <w:numId w:val="1"/>
        </w:numPr>
        <w:spacing w:line="360" w:lineRule="auto"/>
        <w:jc w:val="center"/>
        <w:outlineLvl w:val="0"/>
        <w:rPr>
          <w:rStyle w:val="27"/>
          <w:rFonts w:ascii="宋体" w:cs="宋体"/>
          <w:color w:val="auto"/>
          <w:highlight w:val="none"/>
        </w:rPr>
      </w:pPr>
      <w:bookmarkStart w:id="12" w:name="_Toc40112128"/>
      <w:bookmarkStart w:id="13" w:name="_Toc25086"/>
      <w:r>
        <w:rPr>
          <w:rStyle w:val="27"/>
          <w:rFonts w:ascii="宋体" w:cs="宋体"/>
          <w:color w:val="auto"/>
          <w:highlight w:val="none"/>
        </w:rPr>
        <w:br w:type="page"/>
      </w:r>
      <w:bookmarkStart w:id="14" w:name="_Toc4342"/>
      <w:bookmarkStart w:id="15" w:name="_Toc25487"/>
      <w:bookmarkStart w:id="16" w:name="_Toc25564"/>
      <w:r>
        <w:rPr>
          <w:rStyle w:val="27"/>
          <w:rFonts w:hint="eastAsia" w:ascii="宋体" w:hAnsi="宋体" w:cs="宋体"/>
          <w:color w:val="auto"/>
          <w:highlight w:val="none"/>
          <w:lang w:eastAsia="zh-CN"/>
        </w:rPr>
        <w:t>投标人</w:t>
      </w:r>
      <w:r>
        <w:rPr>
          <w:rStyle w:val="27"/>
          <w:rFonts w:hint="eastAsia" w:ascii="宋体" w:hAnsi="宋体" w:cs="宋体"/>
          <w:color w:val="auto"/>
          <w:highlight w:val="none"/>
        </w:rPr>
        <w:t>须知</w:t>
      </w:r>
      <w:bookmarkEnd w:id="12"/>
      <w:bookmarkEnd w:id="13"/>
      <w:bookmarkEnd w:id="14"/>
      <w:bookmarkEnd w:id="15"/>
      <w:bookmarkEnd w:id="16"/>
    </w:p>
    <w:p>
      <w:pPr>
        <w:pStyle w:val="3"/>
        <w:ind w:left="420"/>
        <w:jc w:val="center"/>
        <w:rPr>
          <w:rStyle w:val="27"/>
          <w:rFonts w:ascii="宋体" w:hAnsi="Arial" w:cs="宋体"/>
          <w:b/>
          <w:bCs/>
          <w:color w:val="auto"/>
          <w:szCs w:val="32"/>
          <w:highlight w:val="none"/>
        </w:rPr>
      </w:pPr>
      <w:bookmarkStart w:id="17" w:name="_Toc14706"/>
      <w:bookmarkStart w:id="18" w:name="_Toc40112129"/>
      <w:bookmarkStart w:id="19" w:name="_Toc8960"/>
      <w:bookmarkStart w:id="20" w:name="_Toc9954"/>
      <w:bookmarkStart w:id="21" w:name="_Toc2805"/>
      <w:r>
        <w:rPr>
          <w:rStyle w:val="27"/>
          <w:rFonts w:hint="eastAsia" w:ascii="宋体" w:hAnsi="宋体" w:cs="宋体"/>
          <w:b/>
          <w:bCs/>
          <w:color w:val="auto"/>
          <w:szCs w:val="32"/>
          <w:highlight w:val="none"/>
          <w:lang w:eastAsia="zh-CN"/>
        </w:rPr>
        <w:t>投标人</w:t>
      </w:r>
      <w:r>
        <w:rPr>
          <w:rStyle w:val="27"/>
          <w:rFonts w:hint="eastAsia" w:ascii="宋体" w:hAnsi="宋体" w:cs="宋体"/>
          <w:b/>
          <w:bCs/>
          <w:color w:val="auto"/>
          <w:szCs w:val="32"/>
          <w:highlight w:val="none"/>
        </w:rPr>
        <w:t>须知前附表</w:t>
      </w:r>
      <w:bookmarkEnd w:id="17"/>
      <w:bookmarkEnd w:id="18"/>
      <w:bookmarkEnd w:id="19"/>
      <w:bookmarkEnd w:id="20"/>
      <w:bookmarkEnd w:id="21"/>
    </w:p>
    <w:p>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3"/>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49" w:type="pct"/>
            <w:vAlign w:val="center"/>
          </w:tcPr>
          <w:p>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49" w:type="pct"/>
            <w:vAlign w:val="center"/>
          </w:tcPr>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0375-</w:t>
            </w:r>
            <w:r>
              <w:rPr>
                <w:rFonts w:hint="eastAsia" w:ascii="宋体" w:hAnsi="宋体" w:eastAsia="宋体" w:cs="宋体"/>
                <w:color w:val="auto"/>
                <w:sz w:val="24"/>
                <w:szCs w:val="24"/>
                <w:highlight w:val="none"/>
              </w:rPr>
              <w:t xml:space="preserve">3325025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50" w:type="pct"/>
            <w:vAlign w:val="center"/>
          </w:tcPr>
          <w:p>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49" w:type="pct"/>
            <w:vAlign w:val="center"/>
          </w:tcPr>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pPr>
              <w:widowControl/>
              <w:adjustRightInd w:val="0"/>
              <w:snapToGri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49" w:type="pct"/>
            <w:vAlign w:val="center"/>
          </w:tcPr>
          <w:p>
            <w:pPr>
              <w:widowControl/>
              <w:adjustRightInd w:val="0"/>
              <w:snapToGrid w:val="0"/>
              <w:spacing w:line="31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项目编号：平采招标-2024-35</w:t>
            </w:r>
          </w:p>
          <w:p>
            <w:pPr>
              <w:widowControl/>
              <w:adjustRightInd w:val="0"/>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平顶山市消防救援支队河南省消防救援总队“自然灾害应急能力提升工程”平顶山支队装备建设项目（二次）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49" w:type="pct"/>
            <w:vAlign w:val="center"/>
          </w:tcPr>
          <w:p>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cs="宋体"/>
                <w:b w:val="0"/>
                <w:bCs w:val="0"/>
                <w:color w:val="auto"/>
                <w:sz w:val="24"/>
                <w:highlight w:val="none"/>
                <w:lang w:val="en-US" w:eastAsia="zh-CN"/>
              </w:rPr>
              <w:t>11782830.00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5262820.00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b w:val="0"/>
                <w:bCs w:val="0"/>
                <w:color w:val="auto"/>
                <w:sz w:val="24"/>
                <w:highlight w:val="none"/>
              </w:rPr>
              <w:t>合格（符合现行国家、行业、地方相关规范要求）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49" w:type="pct"/>
            <w:vAlign w:val="center"/>
          </w:tcPr>
          <w:p>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49" w:type="pct"/>
            <w:vAlign w:val="center"/>
          </w:tcPr>
          <w:p>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49" w:type="pct"/>
            <w:vAlign w:val="center"/>
          </w:tcPr>
          <w:p>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top"/>
          </w:tcPr>
          <w:p>
            <w:pPr>
              <w:pStyle w:val="33"/>
              <w:spacing w:before="311" w:line="18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1.6.2</w:t>
            </w:r>
          </w:p>
        </w:tc>
        <w:tc>
          <w:tcPr>
            <w:tcW w:w="4449" w:type="pct"/>
            <w:vAlign w:val="center"/>
          </w:tcPr>
          <w:p>
            <w:pPr>
              <w:pStyle w:val="33"/>
              <w:spacing w:before="39" w:line="467"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技术支持资料： 提供相关证明资料(如第三方检测报告、公开发行的彩页或者生产厂商出具尽可能详细的技术参数文件)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49" w:type="pct"/>
            <w:vAlign w:val="center"/>
          </w:tcPr>
          <w:p>
            <w:pPr>
              <w:adjustRightInd w:val="0"/>
              <w:snapToGrid w:val="0"/>
              <w:spacing w:line="360" w:lineRule="auto"/>
              <w:jc w:val="both"/>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49" w:type="pct"/>
            <w:vAlign w:val="center"/>
          </w:tcPr>
          <w:p>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pPr>
              <w:numPr>
                <w:ilvl w:val="0"/>
                <w:numId w:val="2"/>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投标人需在投标文件中提供投标产品4张以上整车图片（正前方、左、右前方45度角，后侧）及有关设计图纸。</w:t>
            </w:r>
          </w:p>
          <w:p>
            <w:pPr>
              <w:numPr>
                <w:ilvl w:val="0"/>
                <w:numId w:val="2"/>
              </w:numPr>
              <w:autoSpaceDE w:val="0"/>
              <w:autoSpaceDN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中标后，生产前，需提供详尽设计图纸及生产实施方案，待甲方确认后方可生产。</w:t>
            </w:r>
          </w:p>
          <w:p>
            <w:pPr>
              <w:numPr>
                <w:ilvl w:val="0"/>
                <w:numId w:val="2"/>
              </w:numPr>
              <w:autoSpaceDE w:val="0"/>
              <w:autoSpaceDN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样品或抽样送检费用由中标人承担，不计入中标合同数量及金额。</w:t>
            </w:r>
          </w:p>
          <w:p>
            <w:pPr>
              <w:numPr>
                <w:ilvl w:val="0"/>
                <w:numId w:val="0"/>
              </w:numPr>
              <w:autoSpaceDE w:val="0"/>
              <w:autoSpaceDN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4.质保期内投标人应按照合同约定到产品使用单位，开展技术巡检和售后服务。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Merge w:val="restar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Merge w:val="continue"/>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w:t>
            </w:r>
            <w:r>
              <w:rPr>
                <w:rFonts w:hint="eastAsia" w:ascii="宋体" w:hAnsi="宋体" w:eastAsia="宋体" w:cs="宋体"/>
                <w:color w:val="auto"/>
                <w:sz w:val="24"/>
                <w:szCs w:val="24"/>
                <w:highlight w:val="none"/>
              </w:rPr>
              <w:t>发布，发出即为收到。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49"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49" w:type="pct"/>
            <w:vAlign w:val="center"/>
          </w:tcPr>
          <w:p>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49"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49" w:type="pct"/>
            <w:vAlign w:val="center"/>
          </w:tcPr>
          <w:p>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49" w:type="pct"/>
            <w:vAlign w:val="center"/>
          </w:tcPr>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2024年0</w:t>
            </w:r>
            <w:r>
              <w:rPr>
                <w:rFonts w:hint="eastAsia" w:ascii="宋体" w:hAnsi="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06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49" w:type="pct"/>
            <w:vAlign w:val="center"/>
          </w:tcPr>
          <w:p>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50"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w:t>
            </w:r>
          </w:p>
        </w:tc>
        <w:tc>
          <w:tcPr>
            <w:tcW w:w="4449" w:type="pct"/>
            <w:vAlign w:val="center"/>
          </w:tcPr>
          <w:p>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评标委员会组成：评标委员会由采购人代表和评标专家组成，成员人数为7人。其中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采购人（评委）代表2人，评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专家5人。评标专家从政府采购专家库中随机抽取。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49" w:type="pct"/>
            <w:vAlign w:val="center"/>
          </w:tcPr>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履约保证金：</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履约保证金的金额：中标金额的5%</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缴纳时间及其他要求：</w:t>
            </w:r>
            <w:r>
              <w:rPr>
                <w:rFonts w:hint="eastAsia" w:ascii="宋体" w:hAnsi="宋体" w:cs="宋体"/>
                <w:color w:val="auto"/>
                <w:spacing w:val="-3"/>
                <w:sz w:val="24"/>
                <w:highlight w:val="none"/>
                <w:lang w:eastAsia="zh-CN"/>
              </w:rPr>
              <w:t>中标人应在</w:t>
            </w:r>
            <w:r>
              <w:rPr>
                <w:rFonts w:hint="eastAsia" w:ascii="宋体" w:hAnsi="宋体" w:eastAsia="宋体" w:cs="宋体"/>
                <w:color w:val="auto"/>
                <w:sz w:val="24"/>
                <w:szCs w:val="24"/>
                <w:highlight w:val="none"/>
              </w:rPr>
              <w:t>合同签订之日起 14 个工作日内</w:t>
            </w:r>
            <w:r>
              <w:rPr>
                <w:rFonts w:hint="eastAsia" w:ascii="宋体" w:hAnsi="宋体" w:cs="宋体"/>
                <w:color w:val="auto"/>
                <w:spacing w:val="-3"/>
                <w:sz w:val="24"/>
                <w:highlight w:val="none"/>
              </w:rPr>
              <w:t>向采购人提交履约保证金。</w:t>
            </w:r>
            <w:r>
              <w:rPr>
                <w:rFonts w:hint="eastAsia" w:ascii="宋体" w:hAnsi="宋体" w:eastAsia="宋体" w:cs="宋体"/>
                <w:color w:val="auto"/>
                <w:spacing w:val="-3"/>
                <w:sz w:val="24"/>
                <w:szCs w:val="24"/>
                <w:highlight w:val="none"/>
              </w:rPr>
              <w:t>履约保证金的提交形式：①转账及法律法规规定的其他形式②如乙方采用保函形式缴纳履约保证金的，则乙方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③履约保证金（履约保函等）期限：提交之日起至验收合格之日起的第366天止。 ④无论履约保证金、独立保函是否退还，采购人或采购人用户随时都有权对由中标人生产的尚未使用且在质量保证期内的产品发生的质量问题向乙方主张索赔。</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履约保证金期限：提交之日起至全部货物到货验收合格之日起的第366天止。 </w:t>
            </w:r>
          </w:p>
          <w:p>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所投车辆尾气排放选用国六排放标准。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投标人交车时（整车）必须是已取得中华人民共和国工业和信息化部发布的对应车型《道路机动车辆生产企业及产品公告》的合格产品（须提供工信部官方查询平台查询截图和网址链接），并在投标文件中进行承诺。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所投车辆（整车）交车验收时需取得办理车辆产权（含上牌）所必需的一切手续资料，应符合现行国家专用汽车的相关要求。否则，采购方有权按照投标人虚假投标处理，解除合同、扣除履约保证金，并收回预付款，拉入企业黑名单，并向上级部门上报相关情况；其它未尽事宜，按国家有关法律、法规执行。投标人应作出声明，提供承诺（格式详见第七章投标文件格式）。投标人所提供的所有技术及商务证明材料需真实有效，若提供虚假文件将追究相关法律责任。 </w:t>
            </w:r>
          </w:p>
          <w:p>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 投标语言：中文，投标人提供的外文资料应附有相应的中文译本。投标文件应按照招标文件规定格式填写，内容完整，不得出现关键字迹模糊、 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2</w:t>
            </w:r>
          </w:p>
        </w:tc>
        <w:tc>
          <w:tcPr>
            <w:tcW w:w="4449" w:type="pct"/>
            <w:vAlign w:val="center"/>
          </w:tcPr>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有上述第 1 至 </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项情形之一的，中标无效。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p>
        </w:tc>
        <w:tc>
          <w:tcPr>
            <w:tcW w:w="4449" w:type="pct"/>
            <w:vAlign w:val="center"/>
          </w:tcPr>
          <w:p>
            <w:pPr>
              <w:pStyle w:val="28"/>
              <w:numPr>
                <w:ilvl w:val="0"/>
                <w:numId w:val="3"/>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pPr>
              <w:pStyle w:val="2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pPr>
              <w:pStyle w:val="28"/>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8"/>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小型或微型企业评标报价=投标报价*（1-10%）</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pPr>
              <w:pStyle w:val="28"/>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pPr>
              <w:pStyle w:val="28"/>
              <w:spacing w:line="360" w:lineRule="auto"/>
              <w:ind w:left="28" w:leftChars="0" w:right="-72"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4</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本项目为远程不见面开标方式，远程开标大厅为</w:t>
            </w:r>
            <w:r>
              <w:rPr>
                <w:rFonts w:hint="eastAsia" w:ascii="宋体" w:hAnsi="宋体" w:eastAsia="宋体" w:cs="宋体"/>
                <w:b w:val="0"/>
                <w:bCs w:val="0"/>
                <w:color w:val="auto"/>
                <w:sz w:val="24"/>
                <w:szCs w:val="24"/>
                <w:highlight w:val="none"/>
                <w:lang w:val="en-US" w:eastAsia="zh-CN"/>
              </w:rPr>
              <w:t>http://ggzy.pds.gov.cn/</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应在投标截止时间前登录远程开标大厅，在线准时参加开标活动并进行投标文件解密等。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无需到交易中心现场参加开标会议。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.5</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6</w:t>
            </w:r>
          </w:p>
        </w:tc>
        <w:tc>
          <w:tcPr>
            <w:tcW w:w="4449"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7</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8</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pPr>
              <w:adjustRightInd w:val="0"/>
              <w:snapToGrid w:val="0"/>
              <w:spacing w:line="360" w:lineRule="auto"/>
              <w:ind w:left="38"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9</w:t>
            </w:r>
          </w:p>
        </w:tc>
        <w:tc>
          <w:tcPr>
            <w:tcW w:w="4449" w:type="pct"/>
            <w:vAlign w:val="center"/>
          </w:tcPr>
          <w:p>
            <w:pPr>
              <w:adjustRightInd w:val="0"/>
              <w:snapToGrid w:val="0"/>
              <w:spacing w:line="360" w:lineRule="auto"/>
              <w:ind w:left="38"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10</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投标文件制作机器码一致时投标文件视为无效投标。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1</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bCs/>
                <w:color w:val="auto"/>
                <w:sz w:val="24"/>
                <w:szCs w:val="24"/>
                <w:highlight w:val="none"/>
              </w:rPr>
              <w:t>可同时中标不同产品多个标包。同一产品划分多个标包的，</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可同时参与多个标包投标，但只允许中取一个标包</w:t>
            </w:r>
            <w:r>
              <w:rPr>
                <w:rFonts w:hint="eastAsia" w:ascii="宋体" w:hAnsi="宋体" w:eastAsia="宋体" w:cs="宋体"/>
                <w:color w:val="auto"/>
                <w:sz w:val="24"/>
                <w:szCs w:val="24"/>
                <w:highlight w:val="none"/>
              </w:rPr>
              <w:t>（若同一投标人在多个包中综合得分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2</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中国农业银行郑州商都支行</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lang w:val="en-US" w:eastAsia="zh-CN"/>
              </w:rPr>
              <w:t>16003101040007372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3</w:t>
            </w:r>
          </w:p>
        </w:tc>
        <w:tc>
          <w:tcPr>
            <w:tcW w:w="4449" w:type="pct"/>
            <w:vAlign w:val="center"/>
          </w:tcPr>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8.14</w:t>
            </w:r>
          </w:p>
        </w:tc>
        <w:tc>
          <w:tcPr>
            <w:tcW w:w="4449" w:type="pct"/>
            <w:vAlign w:val="center"/>
          </w:tcPr>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8.15</w:t>
            </w:r>
          </w:p>
        </w:tc>
        <w:tc>
          <w:tcPr>
            <w:tcW w:w="4449" w:type="pct"/>
            <w:vAlign w:val="center"/>
          </w:tcPr>
          <w:p>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投标人在制作电子投标文件时，开标一览表</w:t>
            </w:r>
            <w:r>
              <w:rPr>
                <w:rFonts w:hint="eastAsia" w:ascii="宋体" w:hAnsi="宋体" w:cs="宋体"/>
                <w:b/>
                <w:bCs/>
                <w:color w:val="auto"/>
                <w:sz w:val="24"/>
                <w:szCs w:val="24"/>
                <w:highlight w:val="none"/>
                <w:lang w:val="en-US" w:eastAsia="zh-CN"/>
              </w:rPr>
              <w:t>为</w:t>
            </w:r>
            <w:r>
              <w:rPr>
                <w:rFonts w:hint="eastAsia" w:ascii="宋体" w:hAnsi="宋体" w:eastAsia="宋体" w:cs="宋体"/>
                <w:b/>
                <w:bCs/>
                <w:color w:val="auto"/>
                <w:sz w:val="24"/>
                <w:szCs w:val="24"/>
                <w:highlight w:val="none"/>
                <w:lang w:val="en-US" w:eastAsia="zh-CN"/>
              </w:rPr>
              <w:t>系统默认设置，供交易系统唱标时使用，若其中内容无法填写或不适用可填写“0”或“/”。本项目以投标人电子投标文件中的投标函及投标函附录中的内容为准。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pPr>
              <w:adjustRightInd w:val="0"/>
              <w:snapToGrid w:val="0"/>
              <w:spacing w:line="360" w:lineRule="auto"/>
              <w:ind w:left="38" w:leftChars="18"/>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8.16</w:t>
            </w:r>
          </w:p>
        </w:tc>
        <w:tc>
          <w:tcPr>
            <w:tcW w:w="4449" w:type="pct"/>
            <w:vAlign w:val="center"/>
          </w:tcPr>
          <w:p>
            <w:pPr>
              <w:pStyle w:val="22"/>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1、招标文件中带“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 w:val="24"/>
                <w:szCs w:val="24"/>
                <w:highlight w:val="none"/>
              </w:rPr>
              <w:t>”条款为实质性要求，供应商必须满足，如不满足，将导致无效投标或投标不予接受。</w:t>
            </w:r>
          </w:p>
          <w:p>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pPr>
        <w:adjustRightInd w:val="0"/>
        <w:snapToGrid w:val="0"/>
        <w:spacing w:line="360" w:lineRule="auto"/>
        <w:jc w:val="both"/>
        <w:rPr>
          <w:rFonts w:hint="eastAsia" w:ascii="宋体" w:hAnsi="宋体" w:eastAsia="宋体" w:cs="宋体"/>
          <w:color w:val="auto"/>
          <w:sz w:val="24"/>
          <w:szCs w:val="24"/>
          <w:highlight w:val="none"/>
        </w:rPr>
        <w:sectPr>
          <w:footerReference r:id="rId7"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315" w:charSpace="0"/>
        </w:sectPr>
      </w:pPr>
    </w:p>
    <w:p>
      <w:pPr>
        <w:numPr>
          <w:ilvl w:val="0"/>
          <w:numId w:val="0"/>
        </w:numPr>
        <w:spacing w:line="400" w:lineRule="exact"/>
        <w:outlineLvl w:val="1"/>
        <w:rPr>
          <w:rFonts w:ascii="宋体" w:cs="宋体"/>
          <w:color w:val="auto"/>
          <w:sz w:val="24"/>
          <w:highlight w:val="none"/>
        </w:rPr>
      </w:pPr>
      <w:bookmarkStart w:id="22" w:name="_Toc3925"/>
      <w:bookmarkStart w:id="23" w:name="_Toc15365"/>
      <w:bookmarkStart w:id="24" w:name="_Toc40112130"/>
      <w:bookmarkStart w:id="25" w:name="_Toc17929"/>
      <w:bookmarkStart w:id="26" w:name="_Toc19997"/>
      <w:r>
        <w:rPr>
          <w:rStyle w:val="29"/>
          <w:rFonts w:hint="eastAsia"/>
          <w:color w:val="auto"/>
          <w:sz w:val="21"/>
          <w:szCs w:val="21"/>
          <w:highlight w:val="none"/>
        </w:rPr>
        <w:t>总则</w:t>
      </w:r>
      <w:bookmarkEnd w:id="22"/>
      <w:bookmarkEnd w:id="23"/>
      <w:bookmarkEnd w:id="24"/>
      <w:bookmarkEnd w:id="25"/>
      <w:bookmarkEnd w:id="26"/>
    </w:p>
    <w:p>
      <w:pPr>
        <w:numPr>
          <w:ilvl w:val="1"/>
          <w:numId w:val="4"/>
        </w:numPr>
        <w:spacing w:line="400" w:lineRule="exact"/>
        <w:ind w:firstLine="422" w:firstLineChars="200"/>
        <w:rPr>
          <w:rFonts w:ascii="宋体" w:cs="宋体"/>
          <w:b/>
          <w:bCs/>
          <w:color w:val="auto"/>
          <w:highlight w:val="none"/>
        </w:rPr>
      </w:pPr>
      <w:bookmarkStart w:id="27" w:name="_Toc2427"/>
      <w:bookmarkStart w:id="28" w:name="_Toc30513"/>
      <w:bookmarkStart w:id="29" w:name="_Toc28377"/>
      <w:bookmarkStart w:id="30" w:name="_Toc15062"/>
      <w:bookmarkStart w:id="31" w:name="_Toc30432"/>
      <w:bookmarkStart w:id="32" w:name="_Toc5358"/>
      <w:bookmarkStart w:id="33" w:name="_Toc14496"/>
      <w:bookmarkStart w:id="34" w:name="_Toc2081"/>
      <w:bookmarkStart w:id="35" w:name="_Toc28200"/>
      <w:bookmarkStart w:id="36" w:name="_Toc4828"/>
      <w:bookmarkStart w:id="37" w:name="_Toc20743"/>
      <w:r>
        <w:rPr>
          <w:rFonts w:hint="eastAsia" w:ascii="宋体" w:hAnsi="宋体" w:cs="宋体"/>
          <w:b/>
          <w:bCs/>
          <w:color w:val="auto"/>
          <w:highlight w:val="none"/>
        </w:rPr>
        <w:t>适用范围</w:t>
      </w:r>
      <w:bookmarkEnd w:id="27"/>
      <w:bookmarkEnd w:id="28"/>
      <w:bookmarkEnd w:id="29"/>
      <w:bookmarkEnd w:id="30"/>
      <w:bookmarkEnd w:id="31"/>
      <w:bookmarkEnd w:id="32"/>
      <w:bookmarkEnd w:id="33"/>
      <w:bookmarkEnd w:id="34"/>
      <w:bookmarkEnd w:id="35"/>
      <w:bookmarkEnd w:id="36"/>
      <w:bookmarkEnd w:id="37"/>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本招标文件仅适用于本次所述的货物及其伴随的服务采购。</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本招标文件的解释权归采购人所有。</w:t>
      </w:r>
    </w:p>
    <w:p>
      <w:pPr>
        <w:numPr>
          <w:ilvl w:val="1"/>
          <w:numId w:val="4"/>
        </w:numPr>
        <w:spacing w:line="400" w:lineRule="exact"/>
        <w:ind w:firstLine="422" w:firstLineChars="200"/>
        <w:rPr>
          <w:rFonts w:ascii="宋体" w:cs="宋体"/>
          <w:b/>
          <w:bCs/>
          <w:color w:val="auto"/>
          <w:highlight w:val="none"/>
        </w:rPr>
      </w:pPr>
      <w:bookmarkStart w:id="38" w:name="_Toc19192"/>
      <w:bookmarkStart w:id="39" w:name="_Toc29424"/>
      <w:bookmarkStart w:id="40" w:name="_Toc16716"/>
      <w:bookmarkStart w:id="41" w:name="_Toc18955"/>
      <w:r>
        <w:rPr>
          <w:rFonts w:hint="eastAsia" w:ascii="宋体" w:hAnsi="宋体" w:cs="宋体"/>
          <w:b/>
          <w:bCs/>
          <w:color w:val="auto"/>
          <w:highlight w:val="none"/>
        </w:rPr>
        <w:t>招标项目概况</w:t>
      </w:r>
      <w:bookmarkEnd w:id="38"/>
      <w:bookmarkEnd w:id="39"/>
      <w:bookmarkEnd w:id="40"/>
      <w:bookmarkEnd w:id="41"/>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须知前附表中所述的、依法进行政府采购的国家机关、事业单位、团体组织。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采购代理机构：受采购人委托组织招标活动，在招标过程中负有相应责任的社会中介组织。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项目编号及项目名称：见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本次采购内容：见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资金来源及预算金额：见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交货期：见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交货地点：见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质保期：见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质量要求：见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资格要求：详见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不接受联合体投标。</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不得存在下列情形之一：</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为采购人不具有独立法人资格的附属机构（单位）；</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单位负责人为同一人或者存在直接控股、管理关系的不同供应商，不得参加同一合同项下的政府采购活动；</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不得相互串通损害国家利益、社会公共利益和其他当事人的合法权益；不得以任何手段排斥其他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参与竞争；</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不得以向采购人行贿或者采取其他不正当手段谋取非法利益；</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为本项目提供招标代理服务的；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被责令停业的；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被暂停或取消投标资格的；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财产被接管或冻结的；</w:t>
      </w:r>
    </w:p>
    <w:p>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在最近三年内有骗取中标或严重违约或重大质量问题的。</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中标人：接到并接受中标通知，最终被授予合同的供应商。</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根据招标文件提交的所有文件。</w:t>
      </w:r>
    </w:p>
    <w:p>
      <w:pPr>
        <w:numPr>
          <w:ilvl w:val="1"/>
          <w:numId w:val="4"/>
        </w:numPr>
        <w:spacing w:line="400" w:lineRule="exact"/>
        <w:ind w:firstLine="422" w:firstLineChars="200"/>
        <w:rPr>
          <w:rFonts w:ascii="宋体" w:cs="宋体"/>
          <w:b/>
          <w:bCs/>
          <w:color w:val="auto"/>
          <w:highlight w:val="none"/>
        </w:rPr>
      </w:pPr>
      <w:bookmarkStart w:id="42" w:name="_Toc8166"/>
      <w:bookmarkStart w:id="43" w:name="_Toc25850"/>
      <w:bookmarkStart w:id="44" w:name="_Toc9501"/>
      <w:bookmarkStart w:id="45" w:name="_Toc4927"/>
      <w:r>
        <w:rPr>
          <w:rFonts w:hint="eastAsia" w:ascii="宋体" w:hAnsi="宋体" w:cs="宋体"/>
          <w:b/>
          <w:bCs/>
          <w:color w:val="auto"/>
          <w:highlight w:val="none"/>
        </w:rPr>
        <w:t>投标费用</w:t>
      </w:r>
      <w:bookmarkEnd w:id="42"/>
      <w:bookmarkEnd w:id="43"/>
      <w:bookmarkEnd w:id="44"/>
      <w:bookmarkEnd w:id="45"/>
    </w:p>
    <w:p>
      <w:pPr>
        <w:numPr>
          <w:ilvl w:val="2"/>
          <w:numId w:val="4"/>
        </w:numPr>
        <w:adjustRightInd w:val="0"/>
        <w:snapToGrid w:val="0"/>
        <w:spacing w:line="400" w:lineRule="exact"/>
        <w:ind w:firstLine="420" w:firstLineChars="200"/>
        <w:rPr>
          <w:rFonts w:ascii="宋体" w:cs="宋体"/>
          <w:color w:val="auto"/>
          <w:szCs w:val="21"/>
          <w:highlight w:val="none"/>
        </w:rPr>
      </w:pPr>
      <w:bookmarkStart w:id="46" w:name="_Toc22953398"/>
      <w:bookmarkEnd w:id="46"/>
      <w:bookmarkStart w:id="47" w:name="_Toc312133544"/>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准备和参加投标活动发生的费用自理。</w:t>
      </w:r>
    </w:p>
    <w:p>
      <w:pPr>
        <w:numPr>
          <w:ilvl w:val="1"/>
          <w:numId w:val="4"/>
        </w:numPr>
        <w:spacing w:line="400" w:lineRule="exact"/>
        <w:ind w:firstLine="422" w:firstLineChars="200"/>
        <w:rPr>
          <w:rFonts w:ascii="宋体" w:cs="宋体"/>
          <w:b/>
          <w:bCs/>
          <w:color w:val="auto"/>
          <w:highlight w:val="none"/>
        </w:rPr>
      </w:pPr>
      <w:bookmarkStart w:id="48" w:name="_Toc13179"/>
      <w:bookmarkStart w:id="49" w:name="_Toc28829"/>
      <w:bookmarkStart w:id="50" w:name="_Toc23865"/>
      <w:bookmarkStart w:id="51" w:name="_Toc30990"/>
      <w:bookmarkStart w:id="52" w:name="_Toc28577"/>
      <w:bookmarkStart w:id="53" w:name="_Toc12301"/>
      <w:bookmarkStart w:id="54" w:name="_Toc27047"/>
      <w:bookmarkStart w:id="55" w:name="_Toc1130"/>
      <w:bookmarkStart w:id="56" w:name="_Toc13660"/>
      <w:bookmarkStart w:id="57" w:name="_Toc18613"/>
      <w:bookmarkStart w:id="58" w:name="_Toc31440"/>
      <w:r>
        <w:rPr>
          <w:rFonts w:hint="eastAsia" w:ascii="宋体" w:hAnsi="宋体" w:cs="宋体"/>
          <w:b/>
          <w:bCs/>
          <w:color w:val="auto"/>
          <w:highlight w:val="none"/>
        </w:rPr>
        <w:t>现场考察或答疑会</w:t>
      </w:r>
      <w:bookmarkEnd w:id="48"/>
      <w:bookmarkEnd w:id="49"/>
      <w:bookmarkEnd w:id="50"/>
      <w:bookmarkEnd w:id="51"/>
      <w:bookmarkEnd w:id="52"/>
      <w:bookmarkEnd w:id="53"/>
      <w:bookmarkEnd w:id="54"/>
      <w:bookmarkEnd w:id="55"/>
      <w:bookmarkEnd w:id="56"/>
      <w:bookmarkEnd w:id="57"/>
      <w:bookmarkEnd w:id="58"/>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现场考察：</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前附表规定组织现场考察的，采购人按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前附表规定的时间、地点组织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考察项目现场。部分</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未按时参加现场考察的，不影响现场考察的正常进行。</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现场考察发生的费用自理。</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除采购人的原因外，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自行负责在现场考察中所发生的人员伤亡和财产损失。</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采购人在现场考察中介绍的项目场地和相关的周边环境情况，供</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在编制投标文件时参考，采购人不对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据此作出的判断和决策负责。</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答疑会：见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1"/>
          <w:numId w:val="4"/>
        </w:numPr>
        <w:spacing w:line="400" w:lineRule="exact"/>
        <w:ind w:firstLine="422" w:firstLineChars="200"/>
        <w:rPr>
          <w:rFonts w:ascii="宋体" w:cs="宋体"/>
          <w:b/>
          <w:bCs/>
          <w:color w:val="auto"/>
          <w:highlight w:val="none"/>
        </w:rPr>
      </w:pPr>
      <w:bookmarkStart w:id="59" w:name="_Toc10737"/>
      <w:bookmarkStart w:id="60" w:name="_Toc9561"/>
      <w:bookmarkStart w:id="61" w:name="_Toc6051"/>
      <w:bookmarkStart w:id="62" w:name="_Toc26711"/>
      <w:bookmarkStart w:id="63" w:name="_Toc8265"/>
      <w:bookmarkStart w:id="64" w:name="_Toc28493"/>
      <w:bookmarkStart w:id="65" w:name="_Toc20467"/>
      <w:bookmarkStart w:id="66" w:name="_Toc27635"/>
      <w:bookmarkStart w:id="67" w:name="_Toc7448"/>
      <w:bookmarkStart w:id="68" w:name="_Toc11040"/>
      <w:bookmarkStart w:id="69" w:name="_Toc9110"/>
      <w:r>
        <w:rPr>
          <w:rFonts w:hint="eastAsia" w:ascii="宋体" w:hAnsi="宋体" w:cs="宋体"/>
          <w:b/>
          <w:bCs/>
          <w:color w:val="auto"/>
          <w:highlight w:val="none"/>
        </w:rPr>
        <w:t>分包</w:t>
      </w:r>
      <w:bookmarkEnd w:id="59"/>
      <w:bookmarkEnd w:id="60"/>
      <w:bookmarkEnd w:id="61"/>
      <w:bookmarkEnd w:id="62"/>
      <w:bookmarkEnd w:id="63"/>
      <w:bookmarkEnd w:id="64"/>
      <w:bookmarkEnd w:id="65"/>
      <w:bookmarkEnd w:id="66"/>
      <w:bookmarkEnd w:id="67"/>
      <w:bookmarkEnd w:id="68"/>
      <w:bookmarkEnd w:id="69"/>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不允许分包</w:t>
      </w:r>
    </w:p>
    <w:p>
      <w:pPr>
        <w:numPr>
          <w:ilvl w:val="1"/>
          <w:numId w:val="4"/>
        </w:numPr>
        <w:spacing w:line="400" w:lineRule="exact"/>
        <w:ind w:firstLine="422" w:firstLineChars="200"/>
        <w:rPr>
          <w:rFonts w:ascii="宋体" w:cs="宋体"/>
          <w:b/>
          <w:bCs/>
          <w:color w:val="auto"/>
          <w:highlight w:val="none"/>
        </w:rPr>
      </w:pPr>
      <w:bookmarkStart w:id="70" w:name="_Toc31207"/>
      <w:bookmarkStart w:id="71" w:name="_Toc2167"/>
      <w:bookmarkStart w:id="72" w:name="_Toc10914"/>
      <w:bookmarkStart w:id="73" w:name="_Toc9963"/>
      <w:bookmarkStart w:id="74" w:name="_Toc21582"/>
      <w:bookmarkStart w:id="75" w:name="_Toc6977"/>
      <w:bookmarkStart w:id="76" w:name="_Toc28651"/>
      <w:bookmarkStart w:id="77" w:name="_Toc18743"/>
      <w:bookmarkStart w:id="78" w:name="_Toc11954"/>
      <w:bookmarkStart w:id="79" w:name="_Toc26863"/>
      <w:bookmarkStart w:id="80" w:name="_Toc26753"/>
      <w:bookmarkStart w:id="81" w:name="_Toc20874"/>
      <w:bookmarkStart w:id="82" w:name="_Toc6725"/>
      <w:r>
        <w:rPr>
          <w:rFonts w:hint="eastAsia" w:ascii="宋体" w:hAnsi="宋体" w:cs="宋体"/>
          <w:b/>
          <w:bCs/>
          <w:color w:val="auto"/>
          <w:highlight w:val="none"/>
        </w:rPr>
        <w:t>响应和偏差</w:t>
      </w:r>
      <w:bookmarkEnd w:id="70"/>
      <w:bookmarkEnd w:id="71"/>
      <w:bookmarkEnd w:id="72"/>
      <w:bookmarkEnd w:id="73"/>
      <w:bookmarkEnd w:id="74"/>
      <w:bookmarkEnd w:id="75"/>
      <w:bookmarkEnd w:id="76"/>
      <w:bookmarkEnd w:id="77"/>
      <w:bookmarkEnd w:id="78"/>
      <w:bookmarkEnd w:id="79"/>
      <w:bookmarkEnd w:id="80"/>
      <w:bookmarkEnd w:id="81"/>
      <w:bookmarkEnd w:id="82"/>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投标文件应当对招标文件的实质性要求和条件作出响应，实质性要求和条件见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投标文件中应针对实质性要求和条件中列明的技术要求提供技术支持资料。技术支持资料以制造商公开发布的产品说明书，或检测机构</w:t>
      </w:r>
      <w:r>
        <w:rPr>
          <w:rFonts w:hint="eastAsia" w:ascii="宋体" w:hAnsi="宋体" w:cs="宋体"/>
          <w:color w:val="auto"/>
          <w:spacing w:val="-2"/>
          <w:kern w:val="0"/>
          <w:szCs w:val="21"/>
          <w:highlight w:val="none"/>
        </w:rPr>
        <w:t>出具的检测报告或检验报告，</w:t>
      </w:r>
      <w:r>
        <w:rPr>
          <w:rFonts w:hint="eastAsia" w:ascii="宋体" w:hAnsi="宋体" w:cs="宋体"/>
          <w:color w:val="auto"/>
          <w:kern w:val="0"/>
          <w:szCs w:val="21"/>
          <w:highlight w:val="none"/>
        </w:rPr>
        <w:t>或其他相关证明材料为准，不符合前述要求的，视为无技术支持资料。</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前附表允许投标文件偏离招标文件某些要求的，偏差应当符合招标文件规定的偏差范围和幅度。</w:t>
      </w:r>
    </w:p>
    <w:p>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件对招标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件的全部偏差，均应在</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标文件</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商务和技术偏</w:t>
      </w:r>
      <w:r>
        <w:rPr>
          <w:rFonts w:hint="eastAsia" w:ascii="宋体" w:hAnsi="宋体" w:cs="宋体"/>
          <w:color w:val="auto"/>
          <w:spacing w:val="-2"/>
          <w:kern w:val="0"/>
          <w:szCs w:val="21"/>
          <w:highlight w:val="none"/>
        </w:rPr>
        <w:t>差</w:t>
      </w:r>
      <w:r>
        <w:rPr>
          <w:rFonts w:hint="eastAsia" w:ascii="宋体" w:hAnsi="宋体" w:cs="宋体"/>
          <w:color w:val="auto"/>
          <w:kern w:val="0"/>
          <w:szCs w:val="21"/>
          <w:highlight w:val="none"/>
        </w:rPr>
        <w:t>表中列明，除列明</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内</w:t>
      </w:r>
      <w:r>
        <w:rPr>
          <w:rFonts w:hint="eastAsia" w:ascii="宋体" w:hAnsi="宋体" w:cs="宋体"/>
          <w:color w:val="auto"/>
          <w:spacing w:val="-2"/>
          <w:kern w:val="0"/>
          <w:szCs w:val="21"/>
          <w:highlight w:val="none"/>
        </w:rPr>
        <w:t>容</w:t>
      </w:r>
      <w:r>
        <w:rPr>
          <w:rFonts w:hint="eastAsia" w:ascii="宋体" w:hAnsi="宋体" w:cs="宋体"/>
          <w:color w:val="auto"/>
          <w:kern w:val="0"/>
          <w:szCs w:val="21"/>
          <w:highlight w:val="none"/>
        </w:rPr>
        <w:t>外</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视</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响</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招</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全</w:t>
      </w:r>
      <w:r>
        <w:rPr>
          <w:rFonts w:hint="eastAsia" w:ascii="宋体" w:hAnsi="宋体" w:cs="宋体"/>
          <w:color w:val="auto"/>
          <w:kern w:val="0"/>
          <w:szCs w:val="21"/>
          <w:highlight w:val="none"/>
        </w:rPr>
        <w:t>部</w:t>
      </w:r>
      <w:r>
        <w:rPr>
          <w:rFonts w:hint="eastAsia" w:ascii="宋体" w:hAnsi="宋体" w:cs="宋体"/>
          <w:color w:val="auto"/>
          <w:spacing w:val="-2"/>
          <w:kern w:val="0"/>
          <w:szCs w:val="21"/>
          <w:highlight w:val="none"/>
        </w:rPr>
        <w:t>要</w:t>
      </w:r>
      <w:r>
        <w:rPr>
          <w:rFonts w:hint="eastAsia" w:ascii="宋体" w:hAnsi="宋体" w:cs="宋体"/>
          <w:color w:val="auto"/>
          <w:kern w:val="0"/>
          <w:szCs w:val="21"/>
          <w:highlight w:val="none"/>
        </w:rPr>
        <w:t>求。</w:t>
      </w:r>
    </w:p>
    <w:p>
      <w:pPr>
        <w:numPr>
          <w:ilvl w:val="1"/>
          <w:numId w:val="4"/>
        </w:numPr>
        <w:spacing w:line="400" w:lineRule="exact"/>
        <w:ind w:firstLine="422" w:firstLineChars="200"/>
        <w:rPr>
          <w:rFonts w:ascii="宋体" w:cs="宋体"/>
          <w:b/>
          <w:bCs/>
          <w:color w:val="auto"/>
          <w:highlight w:val="none"/>
        </w:rPr>
      </w:pPr>
      <w:r>
        <w:rPr>
          <w:rFonts w:hint="eastAsia" w:ascii="宋体" w:hAnsi="宋体" w:cs="宋体"/>
          <w:b/>
          <w:bCs/>
          <w:color w:val="auto"/>
          <w:highlight w:val="none"/>
        </w:rPr>
        <w:t>质量把控</w:t>
      </w:r>
    </w:p>
    <w:p>
      <w:pPr>
        <w:spacing w:line="400" w:lineRule="exact"/>
        <w:ind w:firstLine="420" w:firstLineChars="200"/>
        <w:rPr>
          <w:rFonts w:ascii="宋体" w:cs="宋体"/>
          <w:color w:val="auto"/>
          <w:highlight w:val="none"/>
        </w:rPr>
      </w:pPr>
      <w:r>
        <w:rPr>
          <w:rFonts w:hint="eastAsia" w:ascii="宋体" w:hAnsi="宋体" w:cs="宋体"/>
          <w:color w:val="auto"/>
          <w:highlight w:val="none"/>
        </w:rPr>
        <w:t>详见</w:t>
      </w:r>
      <w:r>
        <w:rPr>
          <w:rFonts w:hint="eastAsia" w:ascii="宋体" w:hAnsi="宋体" w:cs="宋体"/>
          <w:color w:val="auto"/>
          <w:highlight w:val="none"/>
          <w:lang w:eastAsia="zh-CN"/>
        </w:rPr>
        <w:t>投标人须知</w:t>
      </w:r>
      <w:r>
        <w:rPr>
          <w:rFonts w:hint="eastAsia" w:ascii="宋体" w:hAnsi="宋体" w:cs="宋体"/>
          <w:color w:val="auto"/>
          <w:highlight w:val="none"/>
        </w:rPr>
        <w:t>前附表。</w:t>
      </w:r>
    </w:p>
    <w:p>
      <w:pPr>
        <w:numPr>
          <w:ilvl w:val="1"/>
          <w:numId w:val="4"/>
        </w:numPr>
        <w:spacing w:line="400" w:lineRule="exact"/>
        <w:ind w:firstLine="422" w:firstLineChars="200"/>
        <w:rPr>
          <w:rFonts w:ascii="宋体" w:cs="宋体"/>
          <w:b/>
          <w:bCs/>
          <w:color w:val="auto"/>
          <w:highlight w:val="none"/>
        </w:rPr>
      </w:pPr>
      <w:bookmarkStart w:id="83" w:name="_Toc29855"/>
      <w:bookmarkStart w:id="84" w:name="_Toc9588"/>
      <w:bookmarkStart w:id="85" w:name="_Toc25924"/>
      <w:bookmarkStart w:id="86" w:name="_Toc15630"/>
      <w:bookmarkStart w:id="87" w:name="_Toc5477"/>
      <w:bookmarkStart w:id="88" w:name="_Toc16595"/>
      <w:bookmarkStart w:id="89" w:name="_Toc12963"/>
      <w:bookmarkStart w:id="90" w:name="_Toc14740"/>
      <w:bookmarkStart w:id="91" w:name="_Toc9147"/>
      <w:bookmarkStart w:id="92" w:name="_Toc11845"/>
      <w:bookmarkStart w:id="93" w:name="_Toc29202"/>
      <w:r>
        <w:rPr>
          <w:rFonts w:hint="eastAsia" w:ascii="宋体" w:hAnsi="宋体" w:cs="宋体"/>
          <w:b/>
          <w:bCs/>
          <w:color w:val="auto"/>
          <w:highlight w:val="none"/>
        </w:rPr>
        <w:t>投标语言</w:t>
      </w:r>
      <w:bookmarkEnd w:id="83"/>
      <w:bookmarkEnd w:id="84"/>
      <w:bookmarkEnd w:id="85"/>
      <w:bookmarkEnd w:id="86"/>
      <w:bookmarkEnd w:id="87"/>
      <w:bookmarkEnd w:id="88"/>
      <w:bookmarkEnd w:id="89"/>
      <w:bookmarkEnd w:id="90"/>
      <w:bookmarkEnd w:id="91"/>
      <w:bookmarkEnd w:id="92"/>
      <w:bookmarkEnd w:id="93"/>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招标</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言</w:t>
      </w:r>
      <w:r>
        <w:rPr>
          <w:rFonts w:hint="eastAsia" w:ascii="宋体" w:hAnsi="宋体" w:cs="宋体"/>
          <w:color w:val="auto"/>
          <w:kern w:val="0"/>
          <w:szCs w:val="21"/>
          <w:highlight w:val="none"/>
        </w:rPr>
        <w:t>文字</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rPr>
        <w:t>中</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专</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术</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用外</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应</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有</w:t>
      </w:r>
      <w:r>
        <w:rPr>
          <w:rFonts w:hint="eastAsia" w:ascii="宋体" w:hAnsi="宋体" w:cs="宋体"/>
          <w:color w:val="auto"/>
          <w:spacing w:val="-2"/>
          <w:kern w:val="0"/>
          <w:szCs w:val="21"/>
          <w:highlight w:val="none"/>
        </w:rPr>
        <w:t>中</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注</w:t>
      </w:r>
      <w:r>
        <w:rPr>
          <w:rFonts w:hint="eastAsia" w:ascii="宋体" w:hAnsi="宋体" w:cs="宋体"/>
          <w:color w:val="auto"/>
          <w:kern w:val="0"/>
          <w:szCs w:val="21"/>
          <w:highlight w:val="none"/>
        </w:rPr>
        <w:t>释</w:t>
      </w:r>
      <w:r>
        <w:rPr>
          <w:rFonts w:hint="eastAsia" w:ascii="宋体" w:hAnsi="宋体" w:cs="宋体"/>
          <w:color w:val="auto"/>
          <w:szCs w:val="21"/>
          <w:highlight w:val="none"/>
        </w:rPr>
        <w:t>。</w:t>
      </w:r>
    </w:p>
    <w:p>
      <w:pPr>
        <w:numPr>
          <w:ilvl w:val="1"/>
          <w:numId w:val="4"/>
        </w:numPr>
        <w:spacing w:line="400" w:lineRule="exact"/>
        <w:ind w:firstLine="422" w:firstLineChars="200"/>
        <w:rPr>
          <w:rFonts w:ascii="宋体" w:cs="宋体"/>
          <w:b/>
          <w:bCs/>
          <w:color w:val="auto"/>
          <w:highlight w:val="none"/>
        </w:rPr>
      </w:pPr>
      <w:bookmarkStart w:id="94" w:name="_Toc14186"/>
      <w:bookmarkStart w:id="95" w:name="_Toc7785"/>
      <w:bookmarkStart w:id="96" w:name="_Toc30395"/>
      <w:bookmarkStart w:id="97" w:name="_Toc22466"/>
      <w:bookmarkStart w:id="98" w:name="_Toc9167"/>
      <w:bookmarkStart w:id="99" w:name="_Toc5019"/>
      <w:bookmarkStart w:id="100" w:name="_Toc22605"/>
      <w:bookmarkStart w:id="101" w:name="_Toc21374"/>
      <w:bookmarkStart w:id="102" w:name="_Toc20418"/>
      <w:bookmarkStart w:id="103" w:name="_Toc14812"/>
      <w:bookmarkStart w:id="104" w:name="_Toc19599"/>
      <w:r>
        <w:rPr>
          <w:rFonts w:hint="eastAsia" w:ascii="宋体" w:hAnsi="宋体" w:cs="宋体"/>
          <w:b/>
          <w:bCs/>
          <w:color w:val="auto"/>
          <w:highlight w:val="none"/>
        </w:rPr>
        <w:t>投标文件计量单位</w:t>
      </w:r>
      <w:bookmarkEnd w:id="94"/>
      <w:bookmarkEnd w:id="95"/>
      <w:bookmarkEnd w:id="96"/>
      <w:bookmarkEnd w:id="97"/>
      <w:bookmarkEnd w:id="98"/>
      <w:bookmarkEnd w:id="99"/>
      <w:bookmarkEnd w:id="100"/>
      <w:bookmarkEnd w:id="101"/>
      <w:bookmarkEnd w:id="102"/>
      <w:bookmarkEnd w:id="103"/>
      <w:bookmarkEnd w:id="104"/>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除在招标文件的技术文件中另有规定外，计量单位均使用中华人民共和国法定计量标准单位。</w:t>
      </w:r>
    </w:p>
    <w:p>
      <w:pPr>
        <w:numPr>
          <w:ilvl w:val="1"/>
          <w:numId w:val="4"/>
        </w:numPr>
        <w:spacing w:line="400" w:lineRule="exact"/>
        <w:ind w:firstLine="422" w:firstLineChars="200"/>
        <w:rPr>
          <w:rFonts w:ascii="宋体" w:cs="宋体"/>
          <w:color w:val="auto"/>
          <w:szCs w:val="21"/>
          <w:highlight w:val="none"/>
        </w:rPr>
      </w:pPr>
      <w:bookmarkStart w:id="105" w:name="_Toc4326"/>
      <w:bookmarkStart w:id="106" w:name="_Toc23957"/>
      <w:bookmarkStart w:id="107" w:name="_Toc26769"/>
      <w:bookmarkStart w:id="108" w:name="_Toc15754"/>
      <w:bookmarkStart w:id="109" w:name="_Toc16602"/>
      <w:bookmarkStart w:id="110" w:name="_Toc19923"/>
      <w:bookmarkStart w:id="111" w:name="_Toc2806"/>
      <w:bookmarkStart w:id="112" w:name="_Toc12071"/>
      <w:bookmarkStart w:id="113" w:name="_Toc10045"/>
      <w:bookmarkStart w:id="114" w:name="_Toc24747"/>
      <w:bookmarkStart w:id="115" w:name="_Toc23880"/>
      <w:r>
        <w:rPr>
          <w:rFonts w:hint="eastAsia" w:ascii="宋体" w:hAnsi="宋体" w:cs="宋体"/>
          <w:b/>
          <w:bCs/>
          <w:color w:val="auto"/>
          <w:highlight w:val="none"/>
        </w:rPr>
        <w:t>投标货币</w:t>
      </w:r>
      <w:bookmarkEnd w:id="105"/>
      <w:bookmarkEnd w:id="106"/>
      <w:bookmarkEnd w:id="107"/>
      <w:bookmarkEnd w:id="108"/>
      <w:bookmarkEnd w:id="109"/>
      <w:bookmarkEnd w:id="110"/>
      <w:bookmarkEnd w:id="111"/>
      <w:bookmarkEnd w:id="112"/>
      <w:bookmarkEnd w:id="113"/>
      <w:bookmarkEnd w:id="114"/>
      <w:bookmarkEnd w:id="115"/>
    </w:p>
    <w:p>
      <w:pPr>
        <w:spacing w:line="400" w:lineRule="exact"/>
        <w:ind w:left="420" w:leftChars="200"/>
        <w:rPr>
          <w:rFonts w:ascii="宋体" w:cs="宋体"/>
          <w:color w:val="auto"/>
          <w:szCs w:val="21"/>
          <w:highlight w:val="none"/>
        </w:rPr>
      </w:pPr>
      <w:r>
        <w:rPr>
          <w:rFonts w:hint="eastAsia" w:ascii="宋体" w:hAnsi="宋体" w:cs="宋体"/>
          <w:color w:val="auto"/>
          <w:szCs w:val="21"/>
          <w:highlight w:val="none"/>
        </w:rPr>
        <w:t>除非另有规定，</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提供的所有服务用人民币报价。</w:t>
      </w:r>
    </w:p>
    <w:p>
      <w:pPr>
        <w:numPr>
          <w:ilvl w:val="1"/>
          <w:numId w:val="4"/>
        </w:numPr>
        <w:spacing w:line="400" w:lineRule="exact"/>
        <w:ind w:firstLine="422" w:firstLineChars="200"/>
        <w:rPr>
          <w:rFonts w:ascii="宋体" w:cs="宋体"/>
          <w:b/>
          <w:bCs/>
          <w:color w:val="auto"/>
          <w:highlight w:val="none"/>
        </w:rPr>
      </w:pPr>
      <w:bookmarkStart w:id="116" w:name="_Toc28184"/>
      <w:bookmarkStart w:id="117" w:name="_Toc141"/>
      <w:bookmarkStart w:id="118" w:name="_Toc32032"/>
      <w:bookmarkStart w:id="119" w:name="_Toc12030"/>
      <w:bookmarkStart w:id="120" w:name="_Toc19335"/>
      <w:bookmarkStart w:id="121" w:name="_Toc4030"/>
      <w:bookmarkStart w:id="122" w:name="_Toc11598"/>
      <w:bookmarkStart w:id="123" w:name="_Toc31058"/>
      <w:bookmarkStart w:id="124" w:name="_Toc26021"/>
      <w:bookmarkStart w:id="125" w:name="_Toc29095"/>
      <w:bookmarkStart w:id="126" w:name="_Toc14764"/>
      <w:bookmarkStart w:id="127" w:name="_Toc16853"/>
      <w:bookmarkStart w:id="128" w:name="_Toc24561"/>
      <w:r>
        <w:rPr>
          <w:rFonts w:hint="eastAsia" w:ascii="宋体" w:hAnsi="宋体" w:cs="宋体"/>
          <w:b/>
          <w:bCs/>
          <w:color w:val="auto"/>
          <w:highlight w:val="none"/>
        </w:rPr>
        <w:t>保密</w:t>
      </w:r>
      <w:bookmarkEnd w:id="116"/>
      <w:bookmarkEnd w:id="117"/>
      <w:bookmarkEnd w:id="118"/>
      <w:bookmarkEnd w:id="119"/>
      <w:bookmarkEnd w:id="120"/>
      <w:bookmarkEnd w:id="121"/>
      <w:bookmarkEnd w:id="122"/>
      <w:bookmarkEnd w:id="123"/>
      <w:bookmarkEnd w:id="124"/>
      <w:bookmarkEnd w:id="125"/>
      <w:bookmarkEnd w:id="126"/>
      <w:bookmarkEnd w:id="127"/>
      <w:bookmarkEnd w:id="128"/>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pPr>
        <w:numPr>
          <w:ilvl w:val="0"/>
          <w:numId w:val="6"/>
        </w:numPr>
        <w:spacing w:line="400" w:lineRule="exact"/>
        <w:ind w:firstLine="422" w:firstLineChars="200"/>
        <w:outlineLvl w:val="1"/>
        <w:rPr>
          <w:rStyle w:val="29"/>
          <w:color w:val="auto"/>
          <w:sz w:val="21"/>
          <w:szCs w:val="21"/>
          <w:highlight w:val="none"/>
        </w:rPr>
      </w:pPr>
      <w:bookmarkStart w:id="129" w:name="_Toc20563"/>
      <w:bookmarkStart w:id="130" w:name="_Toc40112131"/>
      <w:bookmarkStart w:id="131" w:name="_Toc6378"/>
      <w:bookmarkStart w:id="132" w:name="_Toc12581"/>
      <w:bookmarkStart w:id="133" w:name="_Toc11800"/>
      <w:r>
        <w:rPr>
          <w:rStyle w:val="29"/>
          <w:rFonts w:hint="eastAsia"/>
          <w:color w:val="auto"/>
          <w:sz w:val="21"/>
          <w:szCs w:val="21"/>
          <w:highlight w:val="none"/>
        </w:rPr>
        <w:t>招标文件</w:t>
      </w:r>
      <w:bookmarkEnd w:id="47"/>
      <w:bookmarkEnd w:id="129"/>
      <w:bookmarkEnd w:id="130"/>
      <w:bookmarkEnd w:id="131"/>
      <w:bookmarkEnd w:id="132"/>
      <w:bookmarkEnd w:id="133"/>
    </w:p>
    <w:p>
      <w:pPr>
        <w:numPr>
          <w:ilvl w:val="1"/>
          <w:numId w:val="6"/>
        </w:numPr>
        <w:spacing w:line="400" w:lineRule="exact"/>
        <w:ind w:firstLine="422" w:firstLineChars="200"/>
        <w:rPr>
          <w:rFonts w:ascii="宋体" w:cs="宋体"/>
          <w:b/>
          <w:bCs/>
          <w:color w:val="auto"/>
          <w:highlight w:val="none"/>
        </w:rPr>
      </w:pPr>
      <w:bookmarkStart w:id="134" w:name="_Toc3764"/>
      <w:bookmarkStart w:id="135" w:name="_Toc20524"/>
      <w:bookmarkStart w:id="136" w:name="_Toc14801"/>
      <w:bookmarkStart w:id="137" w:name="_Toc8008"/>
      <w:r>
        <w:rPr>
          <w:rFonts w:hint="eastAsia" w:ascii="宋体" w:hAnsi="宋体" w:cs="宋体"/>
          <w:b/>
          <w:bCs/>
          <w:color w:val="auto"/>
          <w:highlight w:val="none"/>
        </w:rPr>
        <w:t>招标文件的构成</w:t>
      </w:r>
      <w:bookmarkEnd w:id="134"/>
      <w:bookmarkEnd w:id="135"/>
      <w:bookmarkEnd w:id="136"/>
      <w:bookmarkEnd w:id="137"/>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招标文件用以阐明本次招标的货物和服务要求、招标投标程序和合同条件。</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招标文件由下述部分组成：</w:t>
      </w:r>
      <w:r>
        <w:rPr>
          <w:rFonts w:ascii="宋体" w:hAnsi="宋体" w:eastAsia="宋体" w:cs="宋体"/>
          <w:color w:val="auto"/>
          <w:sz w:val="21"/>
          <w:szCs w:val="21"/>
          <w:highlight w:val="none"/>
        </w:rPr>
        <w:t xml:space="preserve"> </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招标公告</w:t>
      </w:r>
    </w:p>
    <w:p>
      <w:pPr>
        <w:pStyle w:val="19"/>
        <w:tabs>
          <w:tab w:val="left" w:pos="720"/>
          <w:tab w:val="left" w:pos="1080"/>
        </w:tabs>
        <w:adjustRightInd w:val="0"/>
        <w:snapToGrid w:val="0"/>
        <w:spacing w:line="400" w:lineRule="exact"/>
        <w:ind w:lef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投标人须知</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资格审查</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评标办法（综合评分法）</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合同</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招标项目需求及技术要求</w:t>
      </w:r>
    </w:p>
    <w:p>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投标文件格式</w:t>
      </w:r>
    </w:p>
    <w:p>
      <w:pPr>
        <w:numPr>
          <w:ilvl w:val="2"/>
          <w:numId w:val="6"/>
        </w:numPr>
        <w:adjustRightInd w:val="0"/>
        <w:snapToGrid w:val="0"/>
        <w:spacing w:line="400" w:lineRule="exact"/>
        <w:ind w:firstLine="420" w:firstLineChars="200"/>
        <w:rPr>
          <w:rFonts w:ascii="宋体" w:cs="宋体"/>
          <w:color w:val="auto"/>
          <w:sz w:val="24"/>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应仔细阅读招标文件中</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合同条款的所有事项、格式要求和技术规范，按招标文件的要求提供投标文件，并保证所提供的全部资料的真实性，以使其投标对招标文件做出实质性响应，否则，将承担其投标被拒绝或认定为投标无效的风险。</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制作投标文件时应充分完整理解招标文件的整体要求。</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根据本章第</w:t>
      </w:r>
      <w:r>
        <w:rPr>
          <w:rFonts w:ascii="宋体" w:hAnsi="宋体" w:cs="宋体"/>
          <w:color w:val="auto"/>
          <w:szCs w:val="21"/>
          <w:highlight w:val="none"/>
        </w:rPr>
        <w:t>1.4</w:t>
      </w:r>
      <w:r>
        <w:rPr>
          <w:rFonts w:hint="eastAsia" w:ascii="宋体" w:hAnsi="宋体" w:cs="宋体"/>
          <w:color w:val="auto"/>
          <w:szCs w:val="21"/>
          <w:highlight w:val="none"/>
        </w:rPr>
        <w:t>款、第</w:t>
      </w:r>
      <w:r>
        <w:rPr>
          <w:rFonts w:ascii="宋体" w:hAnsi="宋体" w:cs="宋体"/>
          <w:color w:val="auto"/>
          <w:szCs w:val="21"/>
          <w:highlight w:val="none"/>
        </w:rPr>
        <w:t>2.2</w:t>
      </w:r>
      <w:r>
        <w:rPr>
          <w:rFonts w:hint="eastAsia" w:ascii="宋体" w:hAnsi="宋体" w:cs="宋体"/>
          <w:color w:val="auto"/>
          <w:szCs w:val="21"/>
          <w:highlight w:val="none"/>
        </w:rPr>
        <w:t>款和第</w:t>
      </w:r>
      <w:r>
        <w:rPr>
          <w:rFonts w:ascii="宋体" w:hAnsi="宋体" w:cs="宋体"/>
          <w:color w:val="auto"/>
          <w:szCs w:val="21"/>
          <w:highlight w:val="none"/>
        </w:rPr>
        <w:t>2.3</w:t>
      </w:r>
      <w:r>
        <w:rPr>
          <w:rFonts w:hint="eastAsia" w:ascii="宋体" w:hAnsi="宋体" w:cs="宋体"/>
          <w:color w:val="auto"/>
          <w:szCs w:val="21"/>
          <w:highlight w:val="none"/>
        </w:rPr>
        <w:t>款对招标文件所做的澄清和修改，构成招标文件的组成部分。</w:t>
      </w:r>
    </w:p>
    <w:p>
      <w:pPr>
        <w:numPr>
          <w:ilvl w:val="1"/>
          <w:numId w:val="6"/>
        </w:numPr>
        <w:spacing w:line="400" w:lineRule="exact"/>
        <w:ind w:firstLine="422" w:firstLineChars="200"/>
        <w:rPr>
          <w:rFonts w:ascii="宋体" w:cs="宋体"/>
          <w:b/>
          <w:bCs/>
          <w:color w:val="auto"/>
          <w:highlight w:val="none"/>
        </w:rPr>
      </w:pPr>
      <w:bookmarkStart w:id="138" w:name="_Toc23431"/>
      <w:bookmarkStart w:id="139" w:name="_Toc3408"/>
      <w:bookmarkStart w:id="140" w:name="_Toc6978"/>
      <w:bookmarkStart w:id="141" w:name="_Toc7923"/>
      <w:r>
        <w:rPr>
          <w:rFonts w:hint="eastAsia" w:ascii="宋体" w:hAnsi="宋体" w:cs="宋体"/>
          <w:b/>
          <w:bCs/>
          <w:color w:val="auto"/>
          <w:highlight w:val="none"/>
        </w:rPr>
        <w:t>招标文件的澄清</w:t>
      </w:r>
      <w:bookmarkEnd w:id="138"/>
      <w:bookmarkEnd w:id="139"/>
      <w:bookmarkEnd w:id="140"/>
      <w:bookmarkEnd w:id="14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应仔细阅读和检查招标文件的全部内容。如发现缺页或附件不全，应及时向采购人提出，以便补齐。如有疑问，应按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前附表规定的时间和形式将提出的问题送达采购人，要求采购人对招标文件予以澄清。</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招标文件的澄清以</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前附表规定的形式发给所有购买招标文件的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，但不指明澄清问题的来源。澄清发出的时间距本章第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项规定的投标截止时间不足</w:t>
      </w:r>
      <w:r>
        <w:rPr>
          <w:rFonts w:ascii="宋体" w:hAnsi="宋体" w:cs="宋体"/>
          <w:color w:val="auto"/>
          <w:szCs w:val="21"/>
          <w:highlight w:val="none"/>
        </w:rPr>
        <w:t>15</w:t>
      </w:r>
      <w:r>
        <w:rPr>
          <w:rFonts w:hint="eastAsia" w:ascii="宋体" w:hAnsi="宋体" w:cs="宋体"/>
          <w:color w:val="auto"/>
          <w:szCs w:val="21"/>
          <w:highlight w:val="none"/>
        </w:rPr>
        <w:t>日的，并且澄清内容可能影响投标文件编制的，将相应延长投标截止时间。</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在收到澄清后，应按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前附表规定的时间和形式通知采购人，确认已收到该澄清。</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除非采购人认为确有必要答复，否则，采购人有权拒绝回复</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在本章第</w:t>
      </w:r>
      <w:r>
        <w:rPr>
          <w:rFonts w:ascii="宋体" w:hAnsi="宋体" w:cs="宋体"/>
          <w:color w:val="auto"/>
          <w:szCs w:val="21"/>
          <w:highlight w:val="none"/>
        </w:rPr>
        <w:t xml:space="preserve"> 2.2.1 </w:t>
      </w:r>
      <w:r>
        <w:rPr>
          <w:rFonts w:hint="eastAsia" w:ascii="宋体" w:hAnsi="宋体" w:cs="宋体"/>
          <w:color w:val="auto"/>
          <w:szCs w:val="21"/>
          <w:highlight w:val="none"/>
        </w:rPr>
        <w:t>项规定的时间后的任何澄清要求。在规定的时间内未提出疑问的，将被视为对招标文件完全认可。</w:t>
      </w:r>
    </w:p>
    <w:p>
      <w:pPr>
        <w:numPr>
          <w:ilvl w:val="1"/>
          <w:numId w:val="6"/>
        </w:numPr>
        <w:spacing w:line="400" w:lineRule="exact"/>
        <w:ind w:firstLine="422" w:firstLineChars="200"/>
        <w:rPr>
          <w:rFonts w:ascii="宋体" w:cs="宋体"/>
          <w:b/>
          <w:bCs/>
          <w:color w:val="auto"/>
          <w:highlight w:val="none"/>
        </w:rPr>
      </w:pPr>
      <w:bookmarkStart w:id="142" w:name="_Toc12162"/>
      <w:bookmarkStart w:id="143" w:name="_Toc25801"/>
      <w:bookmarkStart w:id="144" w:name="_Toc28742"/>
      <w:bookmarkStart w:id="145" w:name="_Toc32510"/>
      <w:r>
        <w:rPr>
          <w:rFonts w:hint="eastAsia" w:ascii="宋体" w:hAnsi="宋体" w:cs="宋体"/>
          <w:b/>
          <w:bCs/>
          <w:color w:val="auto"/>
          <w:highlight w:val="none"/>
        </w:rPr>
        <w:t>招标文件的修改</w:t>
      </w:r>
      <w:bookmarkEnd w:id="142"/>
      <w:bookmarkEnd w:id="143"/>
      <w:bookmarkEnd w:id="144"/>
      <w:bookmarkEnd w:id="14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采购人或采购代理机构可以对已发出的招标文件进行必要的修改，但不得改变采购标的和资格条件，修改的内容为招标文件的组成部分。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采购人或采购代理机构以</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前附表规定的形式修改招标文件，并通知所有已购买招标文件的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。修改招标文件的时间距本章第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项规定的投标截止时间不足</w:t>
      </w:r>
      <w:r>
        <w:rPr>
          <w:rFonts w:ascii="宋体" w:hAnsi="宋体" w:cs="宋体"/>
          <w:color w:val="auto"/>
          <w:szCs w:val="21"/>
          <w:highlight w:val="none"/>
        </w:rPr>
        <w:t>15</w:t>
      </w:r>
      <w:r>
        <w:rPr>
          <w:rFonts w:hint="eastAsia" w:ascii="宋体" w:hAnsi="宋体" w:cs="宋体"/>
          <w:color w:val="auto"/>
          <w:szCs w:val="21"/>
          <w:highlight w:val="none"/>
        </w:rPr>
        <w:t>日的，并且修改内容可能影响投标文件编制的，将相应延长投标截止时间。</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收到修改内容后，应按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前附表规定的时间和形式通知采购人，确认已收到该修改。</w:t>
      </w:r>
    </w:p>
    <w:p>
      <w:pPr>
        <w:numPr>
          <w:ilvl w:val="0"/>
          <w:numId w:val="6"/>
        </w:numPr>
        <w:spacing w:line="400" w:lineRule="exact"/>
        <w:ind w:firstLine="422" w:firstLineChars="200"/>
        <w:outlineLvl w:val="1"/>
        <w:rPr>
          <w:rStyle w:val="29"/>
          <w:color w:val="auto"/>
          <w:sz w:val="21"/>
          <w:szCs w:val="21"/>
          <w:highlight w:val="none"/>
        </w:rPr>
      </w:pPr>
      <w:bookmarkStart w:id="146" w:name="_Toc312133545"/>
      <w:bookmarkStart w:id="147" w:name="_Toc23680"/>
      <w:bookmarkStart w:id="148" w:name="_Toc40112132"/>
      <w:bookmarkStart w:id="149" w:name="_Toc22882"/>
      <w:bookmarkStart w:id="150" w:name="_Toc26472"/>
      <w:bookmarkStart w:id="151" w:name="_Toc18538"/>
      <w:r>
        <w:rPr>
          <w:rStyle w:val="29"/>
          <w:rFonts w:hint="eastAsia"/>
          <w:color w:val="auto"/>
          <w:sz w:val="21"/>
          <w:szCs w:val="21"/>
          <w:highlight w:val="none"/>
        </w:rPr>
        <w:t>投标文件的编写</w:t>
      </w:r>
      <w:bookmarkEnd w:id="146"/>
      <w:bookmarkEnd w:id="147"/>
      <w:bookmarkEnd w:id="148"/>
      <w:bookmarkEnd w:id="149"/>
      <w:bookmarkEnd w:id="150"/>
      <w:bookmarkEnd w:id="151"/>
    </w:p>
    <w:p>
      <w:pPr>
        <w:numPr>
          <w:ilvl w:val="1"/>
          <w:numId w:val="6"/>
        </w:numPr>
        <w:spacing w:line="400" w:lineRule="exact"/>
        <w:ind w:firstLine="422" w:firstLineChars="200"/>
        <w:rPr>
          <w:rFonts w:ascii="宋体" w:cs="宋体"/>
          <w:b/>
          <w:bCs/>
          <w:color w:val="auto"/>
          <w:highlight w:val="none"/>
        </w:rPr>
      </w:pPr>
      <w:bookmarkStart w:id="152" w:name="_Toc27498"/>
      <w:bookmarkStart w:id="153" w:name="_Toc9605"/>
      <w:bookmarkStart w:id="154" w:name="_Toc21879"/>
      <w:bookmarkStart w:id="155" w:name="_Toc17436"/>
      <w:r>
        <w:rPr>
          <w:rFonts w:hint="eastAsia" w:ascii="宋体" w:hAnsi="宋体" w:cs="宋体"/>
          <w:b/>
          <w:bCs/>
          <w:color w:val="auto"/>
          <w:highlight w:val="none"/>
        </w:rPr>
        <w:t>投标文件的组成</w:t>
      </w:r>
      <w:bookmarkEnd w:id="152"/>
      <w:bookmarkEnd w:id="153"/>
      <w:bookmarkEnd w:id="154"/>
      <w:bookmarkEnd w:id="15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投标文件包括下列部分：详见第七章投标文件格式</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投标文件应按招标文件中投标文件格式编写。</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招标文件中的每个分包，是项目招标不可拆分的最小投标单元，</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必须按此分包编制投标文件，提交相应的文件资料，拆包投标将视为漏项或非实质性响应予以认定为投标无效。</w:t>
      </w:r>
    </w:p>
    <w:p>
      <w:pPr>
        <w:numPr>
          <w:ilvl w:val="1"/>
          <w:numId w:val="6"/>
        </w:numPr>
        <w:spacing w:line="400" w:lineRule="exact"/>
        <w:ind w:firstLine="422" w:firstLineChars="200"/>
        <w:rPr>
          <w:rFonts w:ascii="宋体" w:cs="宋体"/>
          <w:b/>
          <w:bCs/>
          <w:color w:val="auto"/>
          <w:highlight w:val="none"/>
        </w:rPr>
      </w:pPr>
      <w:bookmarkStart w:id="156" w:name="_Toc1833"/>
      <w:bookmarkStart w:id="157" w:name="_Toc4941"/>
      <w:bookmarkStart w:id="158" w:name="_Toc2826"/>
      <w:bookmarkStart w:id="159" w:name="_Toc32754"/>
      <w:r>
        <w:rPr>
          <w:rFonts w:hint="eastAsia" w:ascii="宋体" w:hAnsi="宋体" w:cs="宋体"/>
          <w:b/>
          <w:bCs/>
          <w:color w:val="auto"/>
          <w:highlight w:val="none"/>
        </w:rPr>
        <w:t>投标报价</w:t>
      </w:r>
      <w:bookmarkEnd w:id="156"/>
      <w:bookmarkEnd w:id="157"/>
      <w:bookmarkEnd w:id="158"/>
      <w:bookmarkEnd w:id="159"/>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应按照招标文件提供的报价明细表格式填写提供各项货物及服务的单价、分项总价和总投标价。</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根据上述规定所作分项报价的目的只是为了评标时对投标文件进行比较的方便，但并不限制采购人订立合同的权力。</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投标报价应完全包括招标文件规定的全部货物及其伴随的服务范围，不得任意分割或合并所规定的货物及其伴随的服务分项。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对每种货物只允许有一个报价，采购人和采购代理机构不接受有任何选择报价的投标。</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不得以任何理由在</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pPr>
        <w:numPr>
          <w:ilvl w:val="1"/>
          <w:numId w:val="6"/>
        </w:numPr>
        <w:spacing w:line="400" w:lineRule="exact"/>
        <w:ind w:firstLine="422" w:firstLineChars="200"/>
        <w:rPr>
          <w:rFonts w:ascii="宋体" w:cs="宋体"/>
          <w:b/>
          <w:bCs/>
          <w:color w:val="auto"/>
          <w:highlight w:val="none"/>
        </w:rPr>
      </w:pPr>
      <w:bookmarkStart w:id="160" w:name="_Toc28543"/>
      <w:bookmarkStart w:id="161" w:name="_Toc26916"/>
      <w:bookmarkStart w:id="162" w:name="_Toc31023"/>
      <w:bookmarkStart w:id="163" w:name="_Toc25999"/>
      <w:r>
        <w:rPr>
          <w:rFonts w:hint="eastAsia" w:ascii="宋体" w:hAnsi="宋体" w:cs="宋体"/>
          <w:b/>
          <w:bCs/>
          <w:color w:val="auto"/>
          <w:highlight w:val="none"/>
          <w:lang w:eastAsia="zh-CN"/>
        </w:rPr>
        <w:t>投标人</w:t>
      </w:r>
      <w:r>
        <w:rPr>
          <w:rFonts w:hint="eastAsia" w:ascii="宋体" w:hAnsi="宋体" w:cs="宋体"/>
          <w:b/>
          <w:bCs/>
          <w:color w:val="auto"/>
          <w:highlight w:val="none"/>
        </w:rPr>
        <w:t>资格的证明文件</w:t>
      </w:r>
      <w:bookmarkEnd w:id="160"/>
      <w:bookmarkEnd w:id="161"/>
      <w:bookmarkEnd w:id="162"/>
      <w:bookmarkEnd w:id="163"/>
    </w:p>
    <w:p>
      <w:pPr>
        <w:adjustRightInd w:val="0"/>
        <w:snapToGrid w:val="0"/>
        <w:spacing w:line="400" w:lineRule="exact"/>
        <w:ind w:firstLine="420" w:firstLineChars="200"/>
        <w:rPr>
          <w:rFonts w:ascii="宋体" w:cs="宋体"/>
          <w:color w:val="auto"/>
          <w:szCs w:val="21"/>
          <w:highlight w:val="none"/>
        </w:rPr>
      </w:pPr>
      <w:bookmarkStart w:id="164" w:name="_Toc28461"/>
      <w:bookmarkStart w:id="165" w:name="_Toc30002"/>
      <w:r>
        <w:rPr>
          <w:rFonts w:hint="eastAsia" w:ascii="宋体" w:hAnsi="宋体" w:cs="宋体"/>
          <w:color w:val="auto"/>
          <w:szCs w:val="21"/>
          <w:highlight w:val="none"/>
        </w:rPr>
        <w:t>依据</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前附表中的要求提交相应的资格证明文件，作为投标文件资格审查的一部分，以证明其有资格进行投标和有能力履行合同。</w:t>
      </w:r>
    </w:p>
    <w:p>
      <w:pPr>
        <w:numPr>
          <w:ilvl w:val="1"/>
          <w:numId w:val="6"/>
        </w:numPr>
        <w:spacing w:line="400" w:lineRule="exact"/>
        <w:ind w:firstLine="422" w:firstLineChars="200"/>
        <w:rPr>
          <w:rFonts w:ascii="宋体" w:cs="宋体"/>
          <w:b/>
          <w:bCs/>
          <w:color w:val="auto"/>
          <w:highlight w:val="none"/>
        </w:rPr>
      </w:pPr>
      <w:bookmarkStart w:id="166" w:name="_Toc7564"/>
      <w:bookmarkStart w:id="167" w:name="_Toc13866"/>
      <w:r>
        <w:rPr>
          <w:rFonts w:hint="eastAsia" w:ascii="宋体" w:hAnsi="宋体" w:cs="宋体"/>
          <w:b/>
          <w:bCs/>
          <w:color w:val="auto"/>
          <w:highlight w:val="none"/>
          <w:lang w:eastAsia="zh-CN"/>
        </w:rPr>
        <w:t>投标人</w:t>
      </w:r>
      <w:r>
        <w:rPr>
          <w:rFonts w:hint="eastAsia" w:ascii="宋体" w:hAnsi="宋体" w:cs="宋体"/>
          <w:b/>
          <w:bCs/>
          <w:color w:val="auto"/>
          <w:highlight w:val="none"/>
        </w:rPr>
        <w:t>技术证明文件</w:t>
      </w:r>
      <w:bookmarkEnd w:id="164"/>
      <w:bookmarkEnd w:id="165"/>
      <w:bookmarkEnd w:id="166"/>
      <w:bookmarkEnd w:id="167"/>
    </w:p>
    <w:p>
      <w:pPr>
        <w:numPr>
          <w:ilvl w:val="2"/>
          <w:numId w:val="6"/>
        </w:numPr>
        <w:adjustRightInd w:val="0"/>
        <w:snapToGrid w:val="0"/>
        <w:spacing w:line="400" w:lineRule="exact"/>
        <w:ind w:firstLine="420" w:firstLineChars="200"/>
        <w:rPr>
          <w:rFonts w:ascii="宋体" w:cs="宋体"/>
          <w:color w:val="auto"/>
          <w:szCs w:val="21"/>
          <w:highlight w:val="none"/>
        </w:rPr>
      </w:pPr>
      <w:bookmarkStart w:id="168" w:name="_Toc26009"/>
      <w:bookmarkStart w:id="169" w:name="_Toc14418"/>
      <w:bookmarkStart w:id="170" w:name="_Toc26473"/>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应提交证明其拟供货物及伴随服务符合招标文件规定的技术响应文件，作为投标文件的一部分。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在投标文件中应说明各项货物名称、数量、单价、规格型号等。</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证明文件可以是文字资料、图纸和数据。</w:t>
      </w:r>
    </w:p>
    <w:p>
      <w:pPr>
        <w:numPr>
          <w:ilvl w:val="1"/>
          <w:numId w:val="6"/>
        </w:numPr>
        <w:spacing w:line="400" w:lineRule="exact"/>
        <w:ind w:firstLine="422" w:firstLineChars="200"/>
        <w:rPr>
          <w:rFonts w:ascii="宋体" w:cs="宋体"/>
          <w:b/>
          <w:bCs/>
          <w:color w:val="auto"/>
          <w:highlight w:val="none"/>
        </w:rPr>
      </w:pPr>
      <w:bookmarkStart w:id="171" w:name="_Toc20716"/>
      <w:r>
        <w:rPr>
          <w:rFonts w:hint="eastAsia" w:ascii="宋体" w:hAnsi="宋体" w:cs="宋体"/>
          <w:b/>
          <w:bCs/>
          <w:color w:val="auto"/>
          <w:highlight w:val="none"/>
        </w:rPr>
        <w:t>投标保证金</w:t>
      </w:r>
      <w:bookmarkEnd w:id="168"/>
      <w:bookmarkEnd w:id="169"/>
      <w:bookmarkEnd w:id="170"/>
      <w:bookmarkEnd w:id="17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根据豫财购【</w:t>
      </w:r>
      <w:r>
        <w:rPr>
          <w:rFonts w:ascii="宋体" w:hAnsi="宋体" w:cs="宋体"/>
          <w:color w:val="auto"/>
          <w:szCs w:val="21"/>
          <w:highlight w:val="none"/>
        </w:rPr>
        <w:t>2019</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号文要求，不再收取投标保证金。</w:t>
      </w:r>
    </w:p>
    <w:p>
      <w:pPr>
        <w:numPr>
          <w:ilvl w:val="1"/>
          <w:numId w:val="6"/>
        </w:numPr>
        <w:spacing w:line="400" w:lineRule="exact"/>
        <w:ind w:firstLine="422" w:firstLineChars="200"/>
        <w:rPr>
          <w:rFonts w:ascii="宋体" w:cs="宋体"/>
          <w:b/>
          <w:bCs/>
          <w:color w:val="auto"/>
          <w:highlight w:val="none"/>
        </w:rPr>
      </w:pPr>
      <w:bookmarkStart w:id="172" w:name="_Toc11749"/>
      <w:bookmarkStart w:id="173" w:name="_Toc29010"/>
      <w:bookmarkStart w:id="174" w:name="_Toc878"/>
      <w:bookmarkStart w:id="175" w:name="_Toc11525"/>
      <w:r>
        <w:rPr>
          <w:rFonts w:hint="eastAsia" w:ascii="宋体" w:hAnsi="宋体" w:cs="宋体"/>
          <w:b/>
          <w:bCs/>
          <w:color w:val="auto"/>
          <w:highlight w:val="none"/>
        </w:rPr>
        <w:t>投标有效期</w:t>
      </w:r>
      <w:bookmarkEnd w:id="172"/>
      <w:bookmarkEnd w:id="173"/>
      <w:bookmarkEnd w:id="174"/>
      <w:bookmarkEnd w:id="17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投标有效期见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前附表，从递交投标文件的截止之日起算。投标有效期内</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不得要求撤销投标文件。</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投标文件应自递交投标文件的截止之日起，在</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前附表规定的时间内保持有效。投标有效期不足的将被视为非响应投标而予以拒绝。</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在特殊情况下，在原投标有效期截止之前，采购人和采购代理机构可征求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同意延长投标有效期。这种要求与答复均应以书面形式提交。</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可以拒绝这种要求。同意延期的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将不会被要求也不允许修改其投标。</w:t>
      </w:r>
    </w:p>
    <w:p>
      <w:pPr>
        <w:numPr>
          <w:ilvl w:val="1"/>
          <w:numId w:val="6"/>
        </w:numPr>
        <w:spacing w:line="400" w:lineRule="exact"/>
        <w:ind w:firstLine="422" w:firstLineChars="200"/>
        <w:rPr>
          <w:rFonts w:ascii="宋体" w:cs="宋体"/>
          <w:b/>
          <w:bCs/>
          <w:color w:val="auto"/>
          <w:highlight w:val="none"/>
        </w:rPr>
      </w:pPr>
      <w:bookmarkStart w:id="176" w:name="_Toc25251"/>
      <w:bookmarkStart w:id="177" w:name="_Toc5773"/>
      <w:bookmarkStart w:id="178" w:name="_Toc10777"/>
      <w:bookmarkStart w:id="179" w:name="_Toc9753"/>
      <w:r>
        <w:rPr>
          <w:rFonts w:hint="eastAsia" w:ascii="宋体" w:hAnsi="宋体" w:cs="宋体"/>
          <w:b/>
          <w:bCs/>
          <w:color w:val="auto"/>
          <w:highlight w:val="none"/>
        </w:rPr>
        <w:t>投标文件编制</w:t>
      </w:r>
      <w:bookmarkEnd w:id="176"/>
      <w:bookmarkEnd w:id="177"/>
      <w:bookmarkEnd w:id="178"/>
      <w:bookmarkEnd w:id="179"/>
    </w:p>
    <w:p>
      <w:pPr>
        <w:numPr>
          <w:ilvl w:val="2"/>
          <w:numId w:val="6"/>
        </w:numPr>
        <w:adjustRightInd w:val="0"/>
        <w:snapToGrid w:val="0"/>
        <w:spacing w:line="400" w:lineRule="exact"/>
        <w:ind w:firstLine="420" w:firstLineChars="200"/>
        <w:rPr>
          <w:rFonts w:ascii="宋体" w:cs="宋体"/>
          <w:color w:val="auto"/>
          <w:szCs w:val="21"/>
          <w:highlight w:val="none"/>
        </w:rPr>
      </w:pPr>
      <w:bookmarkStart w:id="180" w:name="_Toc312133546"/>
      <w:r>
        <w:rPr>
          <w:rFonts w:hint="eastAsia" w:ascii="宋体" w:hAnsi="宋体" w:cs="宋体"/>
          <w:color w:val="auto"/>
          <w:szCs w:val="21"/>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投标文件应当对招标文件有关投标有效期、招标范围等实质性内容作出响应。</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投标文件须是已上传加密的的电子投标文件，并按招标文件中要求签字盖章，如授权代表签字或盖章，授权代表必须将书面形式出具的法定代表人授权委托书附在投标文件中。</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任何行间插字、涂改和增删，必须由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法定代表人或其委托代理人在旁边签字或加盖公章后有效。</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电报、电传和传真投标文件一律不接受。</w:t>
      </w:r>
    </w:p>
    <w:p>
      <w:pPr>
        <w:numPr>
          <w:ilvl w:val="0"/>
          <w:numId w:val="6"/>
        </w:numPr>
        <w:spacing w:line="400" w:lineRule="exact"/>
        <w:ind w:firstLine="422" w:firstLineChars="200"/>
        <w:outlineLvl w:val="1"/>
        <w:rPr>
          <w:rStyle w:val="29"/>
          <w:color w:val="auto"/>
          <w:sz w:val="21"/>
          <w:szCs w:val="21"/>
          <w:highlight w:val="none"/>
        </w:rPr>
      </w:pPr>
      <w:bookmarkStart w:id="181" w:name="_Toc18954"/>
      <w:bookmarkStart w:id="182" w:name="_Toc40112133"/>
      <w:bookmarkStart w:id="183" w:name="_Toc26693"/>
      <w:bookmarkStart w:id="184" w:name="_Toc25147"/>
      <w:bookmarkStart w:id="185" w:name="_Toc5919"/>
      <w:r>
        <w:rPr>
          <w:rStyle w:val="29"/>
          <w:rFonts w:hint="eastAsia"/>
          <w:color w:val="auto"/>
          <w:sz w:val="21"/>
          <w:szCs w:val="21"/>
          <w:highlight w:val="none"/>
        </w:rPr>
        <w:t>投标</w:t>
      </w:r>
      <w:bookmarkEnd w:id="180"/>
      <w:bookmarkEnd w:id="181"/>
      <w:bookmarkEnd w:id="182"/>
      <w:bookmarkEnd w:id="183"/>
      <w:bookmarkEnd w:id="184"/>
      <w:bookmarkEnd w:id="185"/>
    </w:p>
    <w:p>
      <w:pPr>
        <w:numPr>
          <w:ilvl w:val="1"/>
          <w:numId w:val="6"/>
        </w:numPr>
        <w:spacing w:line="400" w:lineRule="exact"/>
        <w:ind w:firstLine="422" w:firstLineChars="200"/>
        <w:rPr>
          <w:rFonts w:ascii="宋体" w:cs="宋体"/>
          <w:b/>
          <w:bCs/>
          <w:color w:val="auto"/>
          <w:highlight w:val="none"/>
        </w:rPr>
      </w:pPr>
      <w:bookmarkStart w:id="186" w:name="_Toc23777"/>
      <w:bookmarkStart w:id="187" w:name="_Toc24770"/>
      <w:bookmarkStart w:id="188" w:name="_Toc7201"/>
      <w:bookmarkStart w:id="189" w:name="_Toc2541"/>
      <w:bookmarkStart w:id="190" w:name="_Toc15515"/>
      <w:bookmarkStart w:id="191" w:name="_Toc7004"/>
      <w:bookmarkStart w:id="192" w:name="_Toc22690"/>
      <w:bookmarkStart w:id="193" w:name="_Toc25740"/>
      <w:bookmarkStart w:id="194" w:name="_Toc24089"/>
      <w:bookmarkStart w:id="195" w:name="_Toc17190"/>
      <w:bookmarkStart w:id="196" w:name="_Toc9486"/>
      <w:bookmarkStart w:id="197" w:name="_Toc312133547"/>
      <w:r>
        <w:rPr>
          <w:rFonts w:hint="eastAsia" w:ascii="宋体" w:hAnsi="宋体" w:cs="宋体"/>
          <w:b/>
          <w:bCs/>
          <w:color w:val="auto"/>
          <w:highlight w:val="none"/>
        </w:rPr>
        <w:t>投标文件签署和盖章</w:t>
      </w:r>
      <w:bookmarkEnd w:id="186"/>
      <w:bookmarkEnd w:id="187"/>
      <w:bookmarkEnd w:id="188"/>
      <w:bookmarkEnd w:id="189"/>
      <w:bookmarkEnd w:id="190"/>
      <w:bookmarkEnd w:id="191"/>
      <w:bookmarkEnd w:id="192"/>
      <w:bookmarkEnd w:id="193"/>
      <w:bookmarkEnd w:id="194"/>
      <w:bookmarkEnd w:id="195"/>
      <w:bookmarkEnd w:id="196"/>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按照招标文件中格式的要求签字或盖章。</w:t>
      </w:r>
    </w:p>
    <w:p>
      <w:pPr>
        <w:numPr>
          <w:ilvl w:val="1"/>
          <w:numId w:val="6"/>
        </w:numPr>
        <w:spacing w:line="400" w:lineRule="exact"/>
        <w:ind w:firstLine="422" w:firstLineChars="200"/>
        <w:rPr>
          <w:rFonts w:ascii="宋体" w:cs="宋体"/>
          <w:b/>
          <w:bCs/>
          <w:color w:val="auto"/>
          <w:highlight w:val="none"/>
        </w:rPr>
      </w:pPr>
      <w:bookmarkStart w:id="198" w:name="_Toc17234"/>
      <w:bookmarkStart w:id="199" w:name="_Toc27621"/>
      <w:bookmarkStart w:id="200" w:name="_Toc20161"/>
      <w:bookmarkStart w:id="201" w:name="_Toc10849"/>
      <w:bookmarkStart w:id="202" w:name="_Toc14647"/>
      <w:bookmarkStart w:id="203" w:name="_Toc8642"/>
      <w:bookmarkStart w:id="204" w:name="_Toc2882"/>
      <w:bookmarkStart w:id="205" w:name="_Toc17164"/>
      <w:bookmarkStart w:id="206" w:name="_Toc25206"/>
      <w:bookmarkStart w:id="207" w:name="_Toc28937"/>
      <w:bookmarkStart w:id="208" w:name="_Toc27859"/>
      <w:r>
        <w:rPr>
          <w:rFonts w:hint="eastAsia" w:ascii="宋体" w:hAnsi="宋体" w:cs="宋体"/>
          <w:b/>
          <w:bCs/>
          <w:color w:val="auto"/>
          <w:highlight w:val="none"/>
        </w:rPr>
        <w:t>投标文件的递交</w:t>
      </w:r>
      <w:bookmarkEnd w:id="198"/>
      <w:bookmarkEnd w:id="199"/>
      <w:bookmarkEnd w:id="200"/>
      <w:bookmarkEnd w:id="201"/>
      <w:bookmarkEnd w:id="202"/>
      <w:bookmarkEnd w:id="203"/>
      <w:bookmarkEnd w:id="204"/>
      <w:bookmarkEnd w:id="205"/>
      <w:bookmarkEnd w:id="206"/>
      <w:bookmarkEnd w:id="207"/>
      <w:bookmarkEnd w:id="20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在</w:t>
      </w:r>
      <w:r>
        <w:rPr>
          <w:rFonts w:hint="eastAsia" w:ascii="宋体" w:hAnsi="宋体" w:cs="宋体"/>
          <w:color w:val="auto"/>
          <w:spacing w:val="-2"/>
          <w:kern w:val="0"/>
          <w:szCs w:val="21"/>
          <w:highlight w:val="none"/>
          <w:lang w:eastAsia="zh-CN"/>
        </w:rPr>
        <w:t>投标人须知</w:t>
      </w:r>
      <w:r>
        <w:rPr>
          <w:rFonts w:hint="eastAsia" w:ascii="宋体" w:hAnsi="宋体" w:cs="宋体"/>
          <w:color w:val="auto"/>
          <w:kern w:val="0"/>
          <w:szCs w:val="21"/>
          <w:highlight w:val="none"/>
        </w:rPr>
        <w:t>前</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规</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截</w:t>
      </w:r>
      <w:r>
        <w:rPr>
          <w:rFonts w:hint="eastAsia" w:ascii="宋体" w:hAnsi="宋体" w:cs="宋体"/>
          <w:color w:val="auto"/>
          <w:spacing w:val="-2"/>
          <w:kern w:val="0"/>
          <w:szCs w:val="21"/>
          <w:highlight w:val="none"/>
        </w:rPr>
        <w:t>止</w:t>
      </w:r>
      <w:r>
        <w:rPr>
          <w:rFonts w:hint="eastAsia" w:ascii="宋体" w:hAnsi="宋体" w:cs="宋体"/>
          <w:color w:val="auto"/>
          <w:kern w:val="0"/>
          <w:szCs w:val="21"/>
          <w:highlight w:val="none"/>
        </w:rPr>
        <w:t>时间</w:t>
      </w:r>
      <w:r>
        <w:rPr>
          <w:rFonts w:hint="eastAsia" w:ascii="宋体" w:hAnsi="宋体" w:cs="宋体"/>
          <w:color w:val="auto"/>
          <w:spacing w:val="-2"/>
          <w:kern w:val="0"/>
          <w:szCs w:val="21"/>
          <w:highlight w:val="none"/>
        </w:rPr>
        <w:t>前</w:t>
      </w:r>
      <w:r>
        <w:rPr>
          <w:rFonts w:hint="eastAsia" w:ascii="宋体" w:hAnsi="宋体" w:cs="宋体"/>
          <w:color w:val="auto"/>
          <w:kern w:val="0"/>
          <w:szCs w:val="21"/>
          <w:highlight w:val="none"/>
        </w:rPr>
        <w:t>递</w:t>
      </w:r>
      <w:r>
        <w:rPr>
          <w:rFonts w:hint="eastAsia" w:ascii="宋体" w:hAnsi="宋体" w:cs="宋体"/>
          <w:color w:val="auto"/>
          <w:spacing w:val="-2"/>
          <w:kern w:val="0"/>
          <w:szCs w:val="21"/>
          <w:highlight w:val="none"/>
        </w:rPr>
        <w:t>交</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电子投标文件的递交：</w:t>
      </w:r>
      <w:r>
        <w:rPr>
          <w:rFonts w:ascii="宋体" w:hAnsi="宋体" w:cs="宋体"/>
          <w:color w:val="auto"/>
          <w:szCs w:val="21"/>
          <w:highlight w:val="none"/>
        </w:rPr>
        <w:t xml:space="preserve"> </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应在投标截止时间前上传加密的电子投标文件到电子交易平台系统的指定位置。上传时必须得到电脑“上传成功”的确认。请</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在上传时认真检查上传投标文件是否完整、正确。</w:t>
      </w:r>
      <w:r>
        <w:rPr>
          <w:rFonts w:ascii="宋体" w:hAnsi="宋体" w:cs="宋体"/>
          <w:color w:val="auto"/>
          <w:szCs w:val="21"/>
          <w:highlight w:val="none"/>
        </w:rPr>
        <w:t xml:space="preserve"> </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因交易中心投标系统问题无法上传电子投标文件时，请在工作时间与</w:t>
      </w:r>
      <w:r>
        <w:rPr>
          <w:rFonts w:hint="eastAsia" w:ascii="宋体" w:hAnsi="宋体" w:cs="宋体"/>
          <w:color w:val="auto"/>
          <w:szCs w:val="21"/>
          <w:highlight w:val="none"/>
          <w:lang w:eastAsia="zh-CN"/>
        </w:rPr>
        <w:t>《全国公共资源交易平台（河南省·平顶山市）》</w:t>
      </w:r>
      <w:r>
        <w:rPr>
          <w:rFonts w:hint="eastAsia" w:ascii="宋体" w:hAnsi="宋体" w:cs="宋体"/>
          <w:color w:val="auto"/>
          <w:szCs w:val="21"/>
          <w:highlight w:val="none"/>
        </w:rPr>
        <w:t>联系。</w:t>
      </w:r>
      <w:r>
        <w:rPr>
          <w:rFonts w:ascii="宋体" w:hAnsi="宋体" w:cs="宋体"/>
          <w:color w:val="auto"/>
          <w:szCs w:val="21"/>
          <w:highlight w:val="none"/>
        </w:rPr>
        <w:t xml:space="preserve"> </w:t>
      </w:r>
    </w:p>
    <w:p>
      <w:pPr>
        <w:numPr>
          <w:ilvl w:val="1"/>
          <w:numId w:val="6"/>
        </w:numPr>
        <w:spacing w:line="400" w:lineRule="exact"/>
        <w:ind w:firstLine="422" w:firstLineChars="200"/>
        <w:rPr>
          <w:rFonts w:ascii="宋体" w:cs="宋体"/>
          <w:b/>
          <w:bCs/>
          <w:color w:val="auto"/>
          <w:highlight w:val="none"/>
        </w:rPr>
      </w:pPr>
      <w:bookmarkStart w:id="209" w:name="_Toc23125"/>
      <w:bookmarkStart w:id="210" w:name="_Toc22212"/>
      <w:bookmarkStart w:id="211" w:name="_Toc7423"/>
      <w:bookmarkStart w:id="212" w:name="_Toc27900"/>
      <w:bookmarkStart w:id="213" w:name="_Toc19554"/>
      <w:bookmarkStart w:id="214" w:name="_Toc27084"/>
      <w:bookmarkStart w:id="215" w:name="_Toc32365"/>
      <w:bookmarkStart w:id="216" w:name="_Toc8025"/>
      <w:bookmarkStart w:id="217" w:name="_Toc13886"/>
      <w:bookmarkStart w:id="218" w:name="_Toc3471"/>
      <w:bookmarkStart w:id="219" w:name="_Toc31018"/>
      <w:r>
        <w:rPr>
          <w:rFonts w:hint="eastAsia" w:ascii="宋体" w:hAnsi="宋体" w:cs="宋体"/>
          <w:b/>
          <w:bCs/>
          <w:color w:val="auto"/>
          <w:highlight w:val="none"/>
        </w:rPr>
        <w:t>投标文件的修改和撤回</w:t>
      </w:r>
      <w:bookmarkEnd w:id="209"/>
      <w:bookmarkEnd w:id="210"/>
      <w:bookmarkEnd w:id="211"/>
      <w:bookmarkEnd w:id="212"/>
      <w:bookmarkEnd w:id="213"/>
      <w:bookmarkEnd w:id="214"/>
      <w:bookmarkEnd w:id="215"/>
      <w:bookmarkEnd w:id="216"/>
      <w:bookmarkEnd w:id="217"/>
      <w:bookmarkEnd w:id="218"/>
      <w:bookmarkEnd w:id="219"/>
    </w:p>
    <w:p>
      <w:pPr>
        <w:numPr>
          <w:ilvl w:val="2"/>
          <w:numId w:val="6"/>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在本章第</w:t>
      </w:r>
      <w:r>
        <w:rPr>
          <w:rFonts w:ascii="宋体" w:hAnsi="宋体" w:cs="宋体"/>
          <w:color w:val="auto"/>
          <w:kern w:val="0"/>
          <w:szCs w:val="21"/>
          <w:highlight w:val="none"/>
        </w:rPr>
        <w:t>4.2.1</w:t>
      </w:r>
      <w:r>
        <w:rPr>
          <w:rFonts w:hint="eastAsia" w:ascii="宋体" w:hAnsi="宋体" w:cs="宋体"/>
          <w:color w:val="auto"/>
          <w:kern w:val="0"/>
          <w:szCs w:val="21"/>
          <w:highlight w:val="none"/>
        </w:rPr>
        <w:t>项规定的投标截止时间前，</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可以修改或撤回已上传的投标文件。</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在投标截止时间之后，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不得对其投标文件做任何修改。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从投标截止时间至</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在投标文件中载明的投标有效期满期间，</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不得撤回其投标文件。</w:t>
      </w:r>
    </w:p>
    <w:p>
      <w:pPr>
        <w:numPr>
          <w:ilvl w:val="0"/>
          <w:numId w:val="6"/>
        </w:numPr>
        <w:spacing w:line="400" w:lineRule="exact"/>
        <w:ind w:firstLine="422" w:firstLineChars="200"/>
        <w:outlineLvl w:val="1"/>
        <w:rPr>
          <w:rStyle w:val="29"/>
          <w:color w:val="auto"/>
          <w:sz w:val="21"/>
          <w:szCs w:val="21"/>
          <w:highlight w:val="none"/>
        </w:rPr>
      </w:pPr>
      <w:bookmarkStart w:id="220" w:name="_Toc17439"/>
      <w:bookmarkStart w:id="221" w:name="_Toc20910"/>
      <w:bookmarkStart w:id="222" w:name="_Toc29190"/>
      <w:bookmarkStart w:id="223" w:name="_Toc40112134"/>
      <w:bookmarkStart w:id="224" w:name="_Toc27025"/>
      <w:r>
        <w:rPr>
          <w:rStyle w:val="29"/>
          <w:rFonts w:hint="eastAsia"/>
          <w:color w:val="auto"/>
          <w:sz w:val="21"/>
          <w:szCs w:val="21"/>
          <w:highlight w:val="none"/>
        </w:rPr>
        <w:t>开标、资格审查与评标</w:t>
      </w:r>
      <w:bookmarkEnd w:id="197"/>
      <w:bookmarkEnd w:id="220"/>
      <w:bookmarkEnd w:id="221"/>
      <w:bookmarkEnd w:id="222"/>
      <w:bookmarkEnd w:id="223"/>
      <w:bookmarkEnd w:id="224"/>
    </w:p>
    <w:p>
      <w:pPr>
        <w:numPr>
          <w:ilvl w:val="1"/>
          <w:numId w:val="6"/>
        </w:numPr>
        <w:spacing w:line="400" w:lineRule="exact"/>
        <w:ind w:firstLine="422" w:firstLineChars="200"/>
        <w:rPr>
          <w:rFonts w:ascii="宋体" w:cs="宋体"/>
          <w:b/>
          <w:bCs/>
          <w:color w:val="auto"/>
          <w:highlight w:val="none"/>
        </w:rPr>
      </w:pPr>
      <w:bookmarkStart w:id="225" w:name="_Toc10372"/>
      <w:bookmarkStart w:id="226" w:name="_Toc3484"/>
      <w:bookmarkStart w:id="227" w:name="_Toc28821"/>
      <w:bookmarkStart w:id="228" w:name="_Toc24837"/>
      <w:bookmarkStart w:id="229" w:name="_Toc30917"/>
      <w:bookmarkStart w:id="230" w:name="_Toc21689"/>
      <w:bookmarkStart w:id="231" w:name="_Toc3802"/>
      <w:bookmarkStart w:id="232" w:name="_Toc1051"/>
      <w:bookmarkStart w:id="233" w:name="_Toc18834"/>
      <w:bookmarkStart w:id="234" w:name="_Toc10066"/>
      <w:bookmarkStart w:id="235" w:name="_Toc22058"/>
      <w:bookmarkStart w:id="236" w:name="_Toc312133548"/>
      <w:r>
        <w:rPr>
          <w:rFonts w:hint="eastAsia" w:ascii="宋体" w:hAnsi="宋体" w:cs="宋体"/>
          <w:b/>
          <w:bCs/>
          <w:color w:val="auto"/>
          <w:highlight w:val="none"/>
        </w:rPr>
        <w:t>开标</w:t>
      </w:r>
      <w:bookmarkEnd w:id="225"/>
      <w:bookmarkEnd w:id="226"/>
      <w:bookmarkEnd w:id="227"/>
      <w:bookmarkEnd w:id="228"/>
      <w:bookmarkEnd w:id="229"/>
      <w:bookmarkEnd w:id="230"/>
      <w:bookmarkEnd w:id="231"/>
      <w:bookmarkEnd w:id="232"/>
      <w:bookmarkEnd w:id="233"/>
      <w:bookmarkEnd w:id="234"/>
      <w:bookmarkEnd w:id="235"/>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采购代理机构在</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前附表中规定的时间和地点组织公开开标。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不足</w:t>
      </w:r>
      <w:r>
        <w:rPr>
          <w:rFonts w:ascii="宋体" w:hAnsi="宋体" w:cs="宋体"/>
          <w:color w:val="auto"/>
          <w:szCs w:val="21"/>
          <w:highlight w:val="none"/>
        </w:rPr>
        <w:t>3</w:t>
      </w:r>
      <w:r>
        <w:rPr>
          <w:rFonts w:hint="eastAsia" w:ascii="宋体" w:hAnsi="宋体" w:cs="宋体"/>
          <w:color w:val="auto"/>
          <w:szCs w:val="21"/>
          <w:highlight w:val="none"/>
        </w:rPr>
        <w:t>家的，不得开标。开标由采购代理机构主持，邀请所有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的法定代表人或委托代理人参加远程不见面开标会议。</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开标程序：</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bookmarkStart w:id="237" w:name="_Toc14761"/>
      <w:r>
        <w:rPr>
          <w:rFonts w:hint="eastAsia" w:ascii="宋体" w:hAnsi="宋体" w:cs="宋体"/>
          <w:color w:val="auto"/>
          <w:szCs w:val="21"/>
          <w:highlight w:val="none"/>
        </w:rPr>
        <w:t>公布投标人</w:t>
      </w:r>
      <w:bookmarkEnd w:id="237"/>
      <w:r>
        <w:rPr>
          <w:rFonts w:hint="eastAsia" w:ascii="宋体" w:hAnsi="宋体" w:cs="宋体"/>
          <w:color w:val="auto"/>
          <w:szCs w:val="21"/>
          <w:highlight w:val="none"/>
        </w:rPr>
        <w:t>（供应商）；</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bookmarkStart w:id="238" w:name="_Toc2651"/>
      <w:r>
        <w:rPr>
          <w:rFonts w:hint="eastAsia" w:ascii="宋体" w:hAnsi="宋体" w:cs="宋体"/>
          <w:color w:val="auto"/>
          <w:szCs w:val="21"/>
          <w:highlight w:val="none"/>
        </w:rPr>
        <w:t>投标人（供应商）解密</w:t>
      </w:r>
      <w:bookmarkEnd w:id="238"/>
      <w:r>
        <w:rPr>
          <w:rFonts w:hint="eastAsia" w:ascii="宋体" w:hAnsi="宋体" w:cs="宋体"/>
          <w:color w:val="auto"/>
          <w:szCs w:val="21"/>
          <w:highlight w:val="none"/>
        </w:rPr>
        <w:t>；</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）批量导入完成后，公布开标结果；</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bookmarkStart w:id="239" w:name="_Toc17366"/>
      <w:r>
        <w:rPr>
          <w:rFonts w:hint="eastAsia" w:ascii="宋体" w:hAnsi="宋体" w:cs="宋体"/>
          <w:color w:val="auto"/>
          <w:szCs w:val="21"/>
          <w:highlight w:val="none"/>
        </w:rPr>
        <w:t>异议答复</w:t>
      </w:r>
      <w:bookmarkEnd w:id="239"/>
      <w:r>
        <w:rPr>
          <w:rFonts w:hint="eastAsia" w:ascii="宋体" w:hAnsi="宋体" w:cs="宋体"/>
          <w:color w:val="auto"/>
          <w:szCs w:val="21"/>
          <w:highlight w:val="none"/>
        </w:rPr>
        <w:t>；</w:t>
      </w:r>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）开标结束；</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代表提出的询问或者回避申请应当及时处理，并制作记录。</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未参加开标的，视同认可开标结果。</w:t>
      </w:r>
    </w:p>
    <w:p>
      <w:pPr>
        <w:numPr>
          <w:ilvl w:val="1"/>
          <w:numId w:val="6"/>
        </w:numPr>
        <w:spacing w:line="400" w:lineRule="exact"/>
        <w:ind w:firstLine="422" w:firstLineChars="200"/>
        <w:rPr>
          <w:rFonts w:ascii="宋体" w:cs="宋体"/>
          <w:b/>
          <w:bCs/>
          <w:color w:val="auto"/>
          <w:highlight w:val="none"/>
        </w:rPr>
      </w:pPr>
      <w:bookmarkStart w:id="240" w:name="_Toc11192"/>
      <w:bookmarkStart w:id="241" w:name="_Toc29955"/>
      <w:bookmarkStart w:id="242" w:name="_Toc22209"/>
      <w:bookmarkStart w:id="243" w:name="_Toc18862"/>
      <w:bookmarkStart w:id="244" w:name="_Toc29637"/>
      <w:bookmarkStart w:id="245" w:name="_Toc24277"/>
      <w:bookmarkStart w:id="246" w:name="_Toc29588"/>
      <w:bookmarkStart w:id="247" w:name="_Toc3031"/>
      <w:bookmarkStart w:id="248" w:name="_Toc29315"/>
      <w:bookmarkStart w:id="249" w:name="_Toc22131"/>
      <w:bookmarkStart w:id="250" w:name="_Toc13168"/>
      <w:r>
        <w:rPr>
          <w:rFonts w:hint="eastAsia" w:ascii="宋体" w:hAnsi="宋体" w:cs="宋体"/>
          <w:b/>
          <w:bCs/>
          <w:color w:val="auto"/>
          <w:highlight w:val="none"/>
        </w:rPr>
        <w:t>资格审查工作</w:t>
      </w:r>
      <w:bookmarkEnd w:id="240"/>
      <w:bookmarkEnd w:id="241"/>
      <w:bookmarkEnd w:id="242"/>
      <w:bookmarkEnd w:id="243"/>
      <w:bookmarkEnd w:id="244"/>
      <w:bookmarkEnd w:id="245"/>
      <w:bookmarkEnd w:id="246"/>
      <w:bookmarkEnd w:id="247"/>
      <w:bookmarkEnd w:id="248"/>
      <w:bookmarkEnd w:id="249"/>
      <w:bookmarkEnd w:id="250"/>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开标结束后，采购代理机构应当依法对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的资格进行审查。合格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不足</w:t>
      </w:r>
      <w:r>
        <w:rPr>
          <w:rFonts w:ascii="宋体" w:hAnsi="宋体" w:cs="宋体"/>
          <w:color w:val="auto"/>
          <w:szCs w:val="21"/>
          <w:highlight w:val="none"/>
        </w:rPr>
        <w:t>3</w:t>
      </w:r>
      <w:r>
        <w:rPr>
          <w:rFonts w:hint="eastAsia" w:ascii="宋体" w:hAnsi="宋体" w:cs="宋体"/>
          <w:color w:val="auto"/>
          <w:szCs w:val="21"/>
          <w:highlight w:val="none"/>
        </w:rPr>
        <w:t>家的，不得评标。</w:t>
      </w:r>
    </w:p>
    <w:p>
      <w:pPr>
        <w:numPr>
          <w:ilvl w:val="1"/>
          <w:numId w:val="6"/>
        </w:numPr>
        <w:spacing w:line="400" w:lineRule="exact"/>
        <w:ind w:firstLine="422" w:firstLineChars="200"/>
        <w:rPr>
          <w:rFonts w:ascii="宋体" w:cs="宋体"/>
          <w:b/>
          <w:bCs/>
          <w:color w:val="auto"/>
          <w:highlight w:val="none"/>
        </w:rPr>
      </w:pPr>
      <w:bookmarkStart w:id="251" w:name="_Toc19513"/>
      <w:bookmarkStart w:id="252" w:name="_Toc32305"/>
      <w:bookmarkStart w:id="253" w:name="_Toc12598"/>
      <w:bookmarkStart w:id="254" w:name="_Toc8092"/>
      <w:bookmarkStart w:id="255" w:name="_Toc22105"/>
      <w:bookmarkStart w:id="256" w:name="_Toc31474"/>
      <w:bookmarkStart w:id="257" w:name="_Toc26746"/>
      <w:bookmarkStart w:id="258" w:name="_Toc24379"/>
      <w:bookmarkStart w:id="259" w:name="_Toc31129"/>
      <w:bookmarkStart w:id="260" w:name="_Toc2042"/>
      <w:bookmarkStart w:id="261" w:name="_Toc16180"/>
      <w:r>
        <w:rPr>
          <w:rFonts w:hint="eastAsia" w:ascii="宋体" w:hAnsi="宋体" w:cs="宋体"/>
          <w:b/>
          <w:bCs/>
          <w:color w:val="auto"/>
          <w:highlight w:val="none"/>
        </w:rPr>
        <w:t>评标工作</w:t>
      </w:r>
      <w:bookmarkEnd w:id="251"/>
      <w:bookmarkEnd w:id="252"/>
      <w:bookmarkEnd w:id="253"/>
      <w:bookmarkEnd w:id="254"/>
      <w:bookmarkEnd w:id="255"/>
      <w:bookmarkEnd w:id="256"/>
      <w:bookmarkEnd w:id="257"/>
      <w:bookmarkEnd w:id="258"/>
      <w:bookmarkEnd w:id="259"/>
      <w:bookmarkEnd w:id="260"/>
      <w:bookmarkEnd w:id="261"/>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）评标工作由采购人依法组建的评标委员会负责，对符合资格的投标人的投标文件进行</w:t>
      </w:r>
      <w:r>
        <w:rPr>
          <w:rFonts w:hint="eastAsia" w:ascii="宋体" w:hAnsi="宋体" w:cs="宋体"/>
          <w:color w:val="auto"/>
          <w:kern w:val="0"/>
          <w:szCs w:val="21"/>
          <w:highlight w:val="none"/>
          <w:lang w:val="en-US" w:eastAsia="zh-CN"/>
        </w:rPr>
        <w:t>评审</w:t>
      </w:r>
      <w:r>
        <w:rPr>
          <w:rFonts w:hint="eastAsia" w:ascii="宋体" w:hAnsi="宋体" w:cs="宋体"/>
          <w:color w:val="auto"/>
          <w:kern w:val="0"/>
          <w:szCs w:val="21"/>
          <w:highlight w:val="none"/>
        </w:rPr>
        <w:t>，并按评标办法规定的方式推荐出</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前附表中载明数量的中标候选人。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）评标委员会由采购人代表和评标专家组成，见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评标专家对本单位的采购项目只能作为采购人代表参与评标，</w:t>
      </w:r>
      <w:r>
        <w:rPr>
          <w:rFonts w:hint="eastAsia" w:ascii="宋体" w:hAnsi="宋体" w:cs="宋体"/>
          <w:color w:val="auto"/>
          <w:kern w:val="0"/>
          <w:szCs w:val="21"/>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cs="宋体"/>
          <w:color w:val="auto"/>
          <w:kern w:val="0"/>
          <w:szCs w:val="21"/>
          <w:highlight w:val="none"/>
        </w:rPr>
        <w:t>。</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）采购代理机构工作人员不得参加由本机构代理的政府采购项目的评标。</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）评标委员会成员名单在评标结果公告前应当保密。</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评标委员会及其成员不得有下列行为：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）确定参与评标至评标结束前私自接触</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）接受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作出必要的澄清、说明或者补正的除外）；</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）违反评标纪律发表倾向性意见或者征询采购人的倾向性意见；</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）在评标过程中擅离职守，影响评标程序正常进行的；</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）记录、复制或者带走任何评标资料；</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）其他不遵守评标纪律的行为。</w:t>
      </w:r>
    </w:p>
    <w:p>
      <w:pPr>
        <w:tabs>
          <w:tab w:val="left" w:pos="720"/>
        </w:tabs>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评标委员会成员有本章第</w:t>
      </w:r>
      <w:r>
        <w:rPr>
          <w:rFonts w:ascii="宋体" w:hAnsi="宋体" w:cs="宋体"/>
          <w:color w:val="auto"/>
          <w:szCs w:val="21"/>
          <w:highlight w:val="none"/>
        </w:rPr>
        <w:t>5.3.2</w:t>
      </w:r>
      <w:r>
        <w:rPr>
          <w:rFonts w:hint="eastAsia" w:ascii="宋体" w:hAnsi="宋体" w:cs="宋体"/>
          <w:color w:val="auto"/>
          <w:szCs w:val="21"/>
          <w:highlight w:val="none"/>
        </w:rPr>
        <w:t>项第（</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6</w:t>
      </w:r>
      <w:r>
        <w:rPr>
          <w:rFonts w:hint="eastAsia" w:ascii="宋体" w:hAnsi="宋体" w:cs="宋体"/>
          <w:color w:val="auto"/>
          <w:szCs w:val="21"/>
          <w:highlight w:val="none"/>
        </w:rPr>
        <w:t>）目行为之一的，其评标意见无效，并不得获取评标劳务报酬和报销异地评标差旅费。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）评标委员会按照第四章评标办法规定的方法、评标因素、标准和程序对投标文件进行评标。第四章评标办法没有规定的方法、评标因素和标准，不作为评标依据。</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）评标委员会完成评标后，评标委员会应当向</w:t>
      </w:r>
      <w:r>
        <w:rPr>
          <w:rFonts w:hint="eastAsia" w:ascii="宋体" w:hAnsi="宋体" w:cs="宋体"/>
          <w:color w:val="auto"/>
          <w:kern w:val="0"/>
          <w:szCs w:val="21"/>
          <w:highlight w:val="none"/>
          <w:lang w:eastAsia="zh-CN"/>
        </w:rPr>
        <w:t>《全国公共资源交易平台（河南省·平顶山市）》</w:t>
      </w:r>
      <w:r>
        <w:rPr>
          <w:rFonts w:hint="eastAsia" w:ascii="宋体" w:hAnsi="宋体" w:cs="宋体"/>
          <w:color w:val="auto"/>
          <w:kern w:val="0"/>
          <w:szCs w:val="21"/>
          <w:highlight w:val="none"/>
        </w:rPr>
        <w:t>评标系统上提交书面评标报告和中标候选人名单。评标委员会推荐中标候选人的人数见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评标委员会成员有下列情形之一的，应当回避：</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一</w:t>
      </w:r>
      <w:r>
        <w:rPr>
          <w:rFonts w:ascii="宋体" w:hAnsi="宋体" w:cs="宋体"/>
          <w:color w:val="auto"/>
          <w:kern w:val="0"/>
          <w:szCs w:val="21"/>
          <w:highlight w:val="none"/>
        </w:rPr>
        <w:t>)</w:t>
      </w:r>
      <w:r>
        <w:rPr>
          <w:rFonts w:hint="eastAsia" w:ascii="宋体" w:hAnsi="宋体" w:cs="宋体"/>
          <w:color w:val="auto"/>
          <w:kern w:val="0"/>
          <w:szCs w:val="21"/>
          <w:highlight w:val="none"/>
        </w:rPr>
        <w:t>参加采购活动前三年内</w:t>
      </w:r>
      <w:r>
        <w:rPr>
          <w:rFonts w:hint="eastAsia" w:asci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存在劳动关系</w:t>
      </w:r>
      <w:r>
        <w:rPr>
          <w:rFonts w:hint="eastAsia" w:ascii="宋体" w:cs="宋体"/>
          <w:color w:val="auto"/>
          <w:kern w:val="0"/>
          <w:szCs w:val="21"/>
          <w:highlight w:val="none"/>
        </w:rPr>
        <w:t>，</w:t>
      </w:r>
      <w:r>
        <w:rPr>
          <w:rFonts w:hint="eastAsia" w:ascii="宋体" w:hAnsi="宋体" w:cs="宋体"/>
          <w:color w:val="auto"/>
          <w:kern w:val="0"/>
          <w:szCs w:val="21"/>
          <w:highlight w:val="none"/>
        </w:rPr>
        <w:t>或者担任过</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的董事、监事</w:t>
      </w:r>
      <w:r>
        <w:rPr>
          <w:rFonts w:hint="eastAsia" w:ascii="宋体" w:cs="宋体"/>
          <w:color w:val="auto"/>
          <w:kern w:val="0"/>
          <w:szCs w:val="21"/>
          <w:highlight w:val="none"/>
        </w:rPr>
        <w:t>，</w:t>
      </w:r>
      <w:r>
        <w:rPr>
          <w:rFonts w:hint="eastAsia" w:ascii="宋体" w:hAnsi="宋体" w:cs="宋体"/>
          <w:color w:val="auto"/>
          <w:kern w:val="0"/>
          <w:szCs w:val="21"/>
          <w:highlight w:val="none"/>
        </w:rPr>
        <w:t>或者是</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的控股股东或实际控制人；</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二</w:t>
      </w:r>
      <w:r>
        <w:rPr>
          <w:rFonts w:ascii="宋体" w:hAns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的法定代表人或者负责人有夫妻、直系血亲、三代以内旁系血亲或者近姻亲关系；</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三</w:t>
      </w:r>
      <w:r>
        <w:rPr>
          <w:rFonts w:ascii="宋体" w:hAns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有其他可能影响政府采购活动公平、公正进行的关系。</w:t>
      </w:r>
    </w:p>
    <w:p>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评标专家发现本人与参加采购活动的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有利害关系的</w:t>
      </w:r>
      <w:r>
        <w:rPr>
          <w:rFonts w:hint="eastAsia" w:ascii="宋体" w:cs="宋体"/>
          <w:color w:val="auto"/>
          <w:kern w:val="0"/>
          <w:szCs w:val="21"/>
          <w:highlight w:val="none"/>
        </w:rPr>
        <w:t>，</w:t>
      </w:r>
      <w:r>
        <w:rPr>
          <w:rFonts w:hint="eastAsia" w:ascii="宋体" w:hAnsi="宋体" w:cs="宋体"/>
          <w:color w:val="auto"/>
          <w:kern w:val="0"/>
          <w:szCs w:val="21"/>
          <w:highlight w:val="none"/>
        </w:rPr>
        <w:t>应当主动提出回避。采购代理机构发现评标专家与参加采购活动的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有利害关系的</w:t>
      </w:r>
      <w:r>
        <w:rPr>
          <w:rFonts w:hint="eastAsia" w:ascii="宋体" w:cs="宋体"/>
          <w:color w:val="auto"/>
          <w:kern w:val="0"/>
          <w:szCs w:val="21"/>
          <w:highlight w:val="none"/>
        </w:rPr>
        <w:t>，</w:t>
      </w:r>
      <w:r>
        <w:rPr>
          <w:rFonts w:hint="eastAsia" w:ascii="宋体" w:hAnsi="宋体" w:cs="宋体"/>
          <w:color w:val="auto"/>
          <w:kern w:val="0"/>
          <w:szCs w:val="21"/>
          <w:highlight w:val="none"/>
        </w:rPr>
        <w:t>应当要求其回避。</w:t>
      </w:r>
    </w:p>
    <w:p>
      <w:pPr>
        <w:numPr>
          <w:ilvl w:val="1"/>
          <w:numId w:val="6"/>
        </w:numPr>
        <w:spacing w:line="400" w:lineRule="exact"/>
        <w:ind w:firstLine="422" w:firstLineChars="200"/>
        <w:rPr>
          <w:rFonts w:ascii="宋体" w:cs="宋体"/>
          <w:b/>
          <w:bCs/>
          <w:color w:val="auto"/>
          <w:highlight w:val="none"/>
        </w:rPr>
      </w:pPr>
      <w:bookmarkStart w:id="262" w:name="_Toc12131"/>
      <w:bookmarkStart w:id="263" w:name="_Toc25509"/>
      <w:bookmarkStart w:id="264" w:name="_Toc608"/>
      <w:bookmarkStart w:id="265" w:name="_Toc8996"/>
      <w:bookmarkStart w:id="266" w:name="_Toc22420"/>
      <w:bookmarkStart w:id="267" w:name="_Toc10927"/>
      <w:bookmarkStart w:id="268" w:name="_Toc25755"/>
      <w:bookmarkStart w:id="269" w:name="_Toc25530"/>
      <w:bookmarkStart w:id="270" w:name="_Toc7396"/>
      <w:bookmarkStart w:id="271" w:name="_Toc5830"/>
      <w:bookmarkStart w:id="272" w:name="_Toc12609"/>
      <w:r>
        <w:rPr>
          <w:rFonts w:hint="eastAsia" w:ascii="宋体" w:hAnsi="宋体" w:cs="宋体"/>
          <w:b/>
          <w:bCs/>
          <w:color w:val="auto"/>
          <w:highlight w:val="none"/>
        </w:rPr>
        <w:t>保密及其它注意事项</w:t>
      </w:r>
      <w:bookmarkEnd w:id="262"/>
      <w:bookmarkEnd w:id="263"/>
      <w:bookmarkEnd w:id="264"/>
      <w:bookmarkEnd w:id="265"/>
      <w:bookmarkEnd w:id="266"/>
      <w:bookmarkEnd w:id="267"/>
      <w:bookmarkEnd w:id="268"/>
      <w:bookmarkEnd w:id="269"/>
      <w:bookmarkEnd w:id="270"/>
      <w:bookmarkEnd w:id="271"/>
      <w:bookmarkEnd w:id="272"/>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评标是招标工作的重要环节，评标工作在评标委员会内独立进行。</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评标委员会将遵照规定的评标方法，公正、平等地对待所有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在开标、评标期间，</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不得向评委询问评标情况，不得进行旨在影响评标结果的活动。否则其投标可能被拒绝。</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为保证评标的公正性，开标后直至授予</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合同，评委不得与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私下交换意见。</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在评标工作结束后，凡与评标情况有接触的任何人不得擅自将评标情况扩散出评标人员之外。</w:t>
      </w:r>
    </w:p>
    <w:p>
      <w:pPr>
        <w:numPr>
          <w:ilvl w:val="2"/>
          <w:numId w:val="6"/>
        </w:numPr>
        <w:adjustRightInd w:val="0"/>
        <w:snapToGrid w:val="0"/>
        <w:spacing w:line="400" w:lineRule="exact"/>
        <w:ind w:firstLine="420" w:firstLineChars="200"/>
        <w:rPr>
          <w:rFonts w:ascii="宋体" w:cs="宋体"/>
          <w:b/>
          <w:bCs/>
          <w:color w:val="auto"/>
          <w:highlight w:val="none"/>
        </w:rPr>
      </w:pPr>
      <w:r>
        <w:rPr>
          <w:rFonts w:hint="eastAsia" w:ascii="宋体" w:hAnsi="宋体" w:cs="宋体"/>
          <w:color w:val="auto"/>
          <w:szCs w:val="21"/>
          <w:highlight w:val="none"/>
        </w:rPr>
        <w:t>评标结束后，投标文件概不退还。</w:t>
      </w:r>
      <w:bookmarkStart w:id="273" w:name="_Toc40112135"/>
      <w:bookmarkStart w:id="274" w:name="_Toc30376"/>
    </w:p>
    <w:p>
      <w:pPr>
        <w:numPr>
          <w:ilvl w:val="0"/>
          <w:numId w:val="6"/>
        </w:numPr>
        <w:spacing w:line="400" w:lineRule="exact"/>
        <w:ind w:firstLine="422" w:firstLineChars="200"/>
        <w:outlineLvl w:val="1"/>
        <w:rPr>
          <w:rStyle w:val="29"/>
          <w:color w:val="auto"/>
          <w:sz w:val="21"/>
          <w:szCs w:val="21"/>
          <w:highlight w:val="none"/>
        </w:rPr>
      </w:pPr>
      <w:bookmarkStart w:id="275" w:name="_Toc11279"/>
      <w:bookmarkStart w:id="276" w:name="_Toc11701"/>
      <w:bookmarkStart w:id="277" w:name="_Toc14201"/>
      <w:r>
        <w:rPr>
          <w:rStyle w:val="29"/>
          <w:rFonts w:hint="eastAsia"/>
          <w:color w:val="auto"/>
          <w:sz w:val="21"/>
          <w:szCs w:val="21"/>
          <w:highlight w:val="none"/>
        </w:rPr>
        <w:t>授予合同</w:t>
      </w:r>
      <w:bookmarkEnd w:id="236"/>
      <w:bookmarkEnd w:id="273"/>
      <w:bookmarkEnd w:id="274"/>
      <w:bookmarkEnd w:id="275"/>
      <w:bookmarkEnd w:id="276"/>
      <w:bookmarkEnd w:id="277"/>
    </w:p>
    <w:p>
      <w:pPr>
        <w:numPr>
          <w:ilvl w:val="1"/>
          <w:numId w:val="6"/>
        </w:numPr>
        <w:spacing w:line="400" w:lineRule="exact"/>
        <w:ind w:firstLine="422" w:firstLineChars="200"/>
        <w:rPr>
          <w:rFonts w:ascii="宋体" w:cs="宋体"/>
          <w:b/>
          <w:bCs/>
          <w:color w:val="auto"/>
          <w:highlight w:val="none"/>
        </w:rPr>
      </w:pPr>
      <w:bookmarkStart w:id="278" w:name="_Toc6320"/>
      <w:bookmarkStart w:id="279" w:name="_Toc15637"/>
      <w:bookmarkStart w:id="280" w:name="_Toc27126"/>
      <w:bookmarkStart w:id="281" w:name="_Toc21756"/>
      <w:bookmarkStart w:id="282" w:name="_Toc22971"/>
      <w:bookmarkStart w:id="283" w:name="_Toc13599"/>
      <w:bookmarkStart w:id="284" w:name="_Toc16230"/>
      <w:bookmarkStart w:id="285" w:name="_Toc22245"/>
      <w:bookmarkStart w:id="286" w:name="_Toc3574"/>
      <w:bookmarkStart w:id="287" w:name="_Toc32241"/>
      <w:bookmarkStart w:id="288" w:name="_Toc7898"/>
      <w:bookmarkStart w:id="289" w:name="_Toc17818"/>
      <w:bookmarkStart w:id="290" w:name="_Toc26604"/>
      <w:bookmarkStart w:id="291" w:name="_Toc22457"/>
      <w:bookmarkStart w:id="292" w:name="_Toc22088"/>
      <w:bookmarkStart w:id="293" w:name="_Toc23900"/>
      <w:bookmarkStart w:id="294" w:name="_Toc30644"/>
      <w:r>
        <w:rPr>
          <w:rFonts w:hint="eastAsia" w:ascii="宋体" w:hAnsi="宋体" w:cs="宋体"/>
          <w:b/>
          <w:bCs/>
          <w:color w:val="auto"/>
          <w:highlight w:val="none"/>
        </w:rPr>
        <w:t>中标公告</w:t>
      </w:r>
      <w:bookmarkEnd w:id="278"/>
      <w:bookmarkEnd w:id="279"/>
      <w:bookmarkEnd w:id="280"/>
      <w:bookmarkEnd w:id="281"/>
      <w:bookmarkEnd w:id="282"/>
      <w:bookmarkEnd w:id="283"/>
      <w:bookmarkEnd w:id="284"/>
      <w:bookmarkEnd w:id="285"/>
      <w:bookmarkEnd w:id="286"/>
      <w:bookmarkEnd w:id="287"/>
      <w:bookmarkEnd w:id="28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采购代理机构应当在评标结束后</w:t>
      </w:r>
      <w:r>
        <w:rPr>
          <w:rFonts w:ascii="宋体" w:hAnsi="宋体" w:cs="宋体"/>
          <w:color w:val="auto"/>
          <w:szCs w:val="21"/>
          <w:highlight w:val="none"/>
        </w:rPr>
        <w:t>2</w:t>
      </w:r>
      <w:r>
        <w:rPr>
          <w:rFonts w:hint="eastAsia" w:ascii="宋体" w:hAnsi="宋体" w:cs="宋体"/>
          <w:color w:val="auto"/>
          <w:szCs w:val="21"/>
          <w:highlight w:val="none"/>
        </w:rPr>
        <w:t>个工作日内将评标报告送采购人。采购人应自收到评标报告之日起</w:t>
      </w:r>
      <w:r>
        <w:rPr>
          <w:rFonts w:ascii="宋体" w:hAnsi="宋体" w:cs="宋体"/>
          <w:color w:val="auto"/>
          <w:szCs w:val="21"/>
          <w:highlight w:val="none"/>
        </w:rPr>
        <w:t>5</w:t>
      </w:r>
      <w:r>
        <w:rPr>
          <w:rFonts w:hint="eastAsia" w:ascii="宋体" w:hAnsi="宋体" w:cs="宋体"/>
          <w:color w:val="auto"/>
          <w:szCs w:val="21"/>
          <w:highlight w:val="none"/>
        </w:rPr>
        <w:t>个工作日内，依法确定中标人。中标候选人并列的，由采购人确定中标人。</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采购代理机构应当自中标人确定之日起</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个工作日内，在省级以上财政部门指定的媒体上公告中标结果，招标文件应当随中标结果同时公告。</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w:t>
      </w:r>
      <w:r>
        <w:rPr>
          <w:rFonts w:ascii="宋体" w:hAnsi="宋体" w:cs="宋体"/>
          <w:color w:val="auto"/>
          <w:szCs w:val="21"/>
          <w:highlight w:val="none"/>
        </w:rPr>
        <w:t>1</w:t>
      </w:r>
      <w:r>
        <w:rPr>
          <w:rFonts w:hint="eastAsia" w:ascii="宋体" w:hAnsi="宋体" w:cs="宋体"/>
          <w:color w:val="auto"/>
          <w:szCs w:val="21"/>
          <w:highlight w:val="none"/>
        </w:rPr>
        <w:t>个工作日。</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在公告中标结果的同时，采购代理机构应当向中标人发出中标通知书；对未通过资格审查的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，应当告知其未通过的原因；采用综合评分法评标的，还应当告知未中标人单位的评审得分与排序。</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中标通知书发出后，采购人无正当理由不得改变中标结果，中标人无正当理由不得放弃中标。</w:t>
      </w:r>
    </w:p>
    <w:p>
      <w:pPr>
        <w:numPr>
          <w:ilvl w:val="2"/>
          <w:numId w:val="6"/>
        </w:num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pPr>
        <w:numPr>
          <w:ilvl w:val="2"/>
          <w:numId w:val="6"/>
        </w:num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各有关当事人对中标结果有异议的，可以在</w:t>
      </w:r>
      <w:r>
        <w:rPr>
          <w:rFonts w:hint="eastAsia" w:ascii="宋体" w:hAnsi="宋体" w:cs="宋体"/>
          <w:color w:val="auto"/>
          <w:szCs w:val="21"/>
          <w:highlight w:val="none"/>
          <w:lang w:eastAsia="zh-CN"/>
        </w:rPr>
        <w:t>中标结果公告</w:t>
      </w:r>
      <w:r>
        <w:rPr>
          <w:rFonts w:hint="eastAsia" w:ascii="宋体" w:hAnsi="宋体" w:cs="宋体"/>
          <w:color w:val="auto"/>
          <w:szCs w:val="21"/>
          <w:highlight w:val="none"/>
        </w:rPr>
        <w:t>期限届满之日起七个工作日内，按《政府采购质疑和投诉办法》（财政部令第</w:t>
      </w:r>
      <w:r>
        <w:rPr>
          <w:rFonts w:ascii="宋体" w:hAnsi="宋体" w:cs="宋体"/>
          <w:color w:val="auto"/>
          <w:szCs w:val="21"/>
          <w:highlight w:val="none"/>
        </w:rPr>
        <w:t>94</w:t>
      </w:r>
      <w:r>
        <w:rPr>
          <w:rFonts w:hint="eastAsia" w:ascii="宋体" w:hAnsi="宋体" w:cs="宋体"/>
          <w:color w:val="auto"/>
          <w:szCs w:val="21"/>
          <w:highlight w:val="none"/>
        </w:rPr>
        <w:t>号）要求以书面形式同时向采购人和采购代理机构提出质疑，逾期提交或未按照要求提交的质疑函将不予受理。</w:t>
      </w:r>
    </w:p>
    <w:bookmarkEnd w:id="289"/>
    <w:bookmarkEnd w:id="290"/>
    <w:bookmarkEnd w:id="291"/>
    <w:bookmarkEnd w:id="292"/>
    <w:bookmarkEnd w:id="293"/>
    <w:bookmarkEnd w:id="294"/>
    <w:p>
      <w:pPr>
        <w:numPr>
          <w:ilvl w:val="1"/>
          <w:numId w:val="6"/>
        </w:numPr>
        <w:spacing w:line="400" w:lineRule="exact"/>
        <w:ind w:firstLine="422" w:firstLineChars="200"/>
        <w:rPr>
          <w:rFonts w:ascii="宋体" w:cs="宋体"/>
          <w:b/>
          <w:bCs/>
          <w:color w:val="auto"/>
          <w:highlight w:val="none"/>
        </w:rPr>
      </w:pPr>
      <w:bookmarkStart w:id="295" w:name="_Toc7497"/>
      <w:r>
        <w:rPr>
          <w:rFonts w:hint="eastAsia" w:ascii="宋体" w:hAnsi="宋体" w:cs="宋体"/>
          <w:b/>
          <w:bCs/>
          <w:color w:val="auto"/>
          <w:highlight w:val="none"/>
        </w:rPr>
        <w:t>采购任务取消</w:t>
      </w:r>
      <w:bookmarkEnd w:id="295"/>
    </w:p>
    <w:p>
      <w:pPr>
        <w:adjustRightInd w:val="0"/>
        <w:snapToGrid w:val="0"/>
        <w:spacing w:line="400" w:lineRule="exact"/>
        <w:ind w:firstLine="420" w:firstLineChars="200"/>
        <w:rPr>
          <w:rFonts w:ascii="宋体" w:cs="宋体"/>
          <w:color w:val="auto"/>
          <w:szCs w:val="21"/>
          <w:highlight w:val="none"/>
        </w:rPr>
      </w:pPr>
      <w:r>
        <w:rPr>
          <w:rFonts w:hint="eastAsia" w:ascii="宋体" w:cs="宋体"/>
          <w:color w:val="auto"/>
          <w:szCs w:val="21"/>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Pr>
          <w:rFonts w:ascii="宋体" w:cs="宋体"/>
          <w:color w:val="auto"/>
          <w:szCs w:val="21"/>
          <w:highlight w:val="none"/>
        </w:rPr>
        <w:t>5</w:t>
      </w:r>
      <w:r>
        <w:rPr>
          <w:rFonts w:hint="eastAsia" w:ascii="宋体" w:cs="宋体"/>
          <w:color w:val="auto"/>
          <w:szCs w:val="21"/>
          <w:highlight w:val="none"/>
        </w:rPr>
        <w:t>个工作日内，退还所收取的招标文件费用和所收取的投标保证金及其在银行产生的孳息。采购人有权拒绝任何</w:t>
      </w:r>
      <w:r>
        <w:rPr>
          <w:rFonts w:hint="eastAsia" w:ascii="宋体" w:cs="宋体"/>
          <w:color w:val="auto"/>
          <w:szCs w:val="21"/>
          <w:highlight w:val="none"/>
          <w:lang w:eastAsia="zh-CN"/>
        </w:rPr>
        <w:t>投标人</w:t>
      </w:r>
      <w:r>
        <w:rPr>
          <w:rFonts w:hint="eastAsia" w:ascii="宋体" w:cs="宋体"/>
          <w:color w:val="auto"/>
          <w:szCs w:val="21"/>
          <w:highlight w:val="none"/>
        </w:rPr>
        <w:t>中标，且对受影响的</w:t>
      </w:r>
      <w:r>
        <w:rPr>
          <w:rFonts w:hint="eastAsia" w:ascii="宋体" w:cs="宋体"/>
          <w:color w:val="auto"/>
          <w:szCs w:val="21"/>
          <w:highlight w:val="none"/>
          <w:lang w:eastAsia="zh-CN"/>
        </w:rPr>
        <w:t>投标人</w:t>
      </w:r>
      <w:r>
        <w:rPr>
          <w:rFonts w:hint="eastAsia" w:ascii="宋体" w:cs="宋体"/>
          <w:color w:val="auto"/>
          <w:szCs w:val="21"/>
          <w:highlight w:val="none"/>
        </w:rPr>
        <w:t>不承担任何责任。</w:t>
      </w:r>
    </w:p>
    <w:p>
      <w:pPr>
        <w:numPr>
          <w:ilvl w:val="1"/>
          <w:numId w:val="6"/>
        </w:numPr>
        <w:spacing w:line="400" w:lineRule="exact"/>
        <w:ind w:firstLine="422" w:firstLineChars="200"/>
        <w:rPr>
          <w:rFonts w:ascii="宋体" w:cs="宋体"/>
          <w:b/>
          <w:bCs/>
          <w:color w:val="auto"/>
          <w:highlight w:val="none"/>
        </w:rPr>
      </w:pPr>
      <w:bookmarkStart w:id="296" w:name="_Toc12174"/>
      <w:bookmarkStart w:id="297" w:name="_Toc25326"/>
      <w:bookmarkStart w:id="298" w:name="_Toc5799"/>
      <w:bookmarkStart w:id="299" w:name="_Toc23214"/>
      <w:bookmarkStart w:id="300" w:name="_Toc1468"/>
      <w:bookmarkStart w:id="301" w:name="_Toc24223"/>
      <w:bookmarkStart w:id="302" w:name="_Toc21282"/>
      <w:bookmarkStart w:id="303" w:name="_Toc12305"/>
      <w:bookmarkStart w:id="304" w:name="_Toc3846"/>
      <w:bookmarkStart w:id="305" w:name="_Toc14610"/>
      <w:bookmarkStart w:id="306" w:name="_Toc29785"/>
      <w:r>
        <w:rPr>
          <w:rFonts w:hint="eastAsia" w:ascii="宋体" w:hAnsi="宋体" w:cs="宋体"/>
          <w:b/>
          <w:bCs/>
          <w:color w:val="auto"/>
          <w:highlight w:val="none"/>
        </w:rPr>
        <w:t>中标通知书</w:t>
      </w:r>
      <w:bookmarkEnd w:id="296"/>
      <w:bookmarkEnd w:id="297"/>
      <w:bookmarkEnd w:id="298"/>
      <w:bookmarkEnd w:id="299"/>
      <w:bookmarkEnd w:id="300"/>
      <w:bookmarkEnd w:id="301"/>
      <w:bookmarkEnd w:id="302"/>
      <w:bookmarkEnd w:id="303"/>
      <w:bookmarkEnd w:id="304"/>
      <w:bookmarkEnd w:id="305"/>
      <w:bookmarkEnd w:id="306"/>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在公告中标结果的同时，采购人或采购代理机构应当向中标人发出中标通知书，中标通知书将作为进行签订合同的依据。</w:t>
      </w:r>
    </w:p>
    <w:p>
      <w:pPr>
        <w:numPr>
          <w:ilvl w:val="1"/>
          <w:numId w:val="6"/>
        </w:numPr>
        <w:spacing w:line="400" w:lineRule="exact"/>
        <w:ind w:firstLine="422" w:firstLineChars="200"/>
        <w:rPr>
          <w:rFonts w:ascii="宋体" w:cs="宋体"/>
          <w:b/>
          <w:bCs/>
          <w:color w:val="auto"/>
          <w:highlight w:val="none"/>
        </w:rPr>
      </w:pPr>
      <w:bookmarkStart w:id="307" w:name="_Toc14397"/>
      <w:bookmarkStart w:id="308" w:name="_Toc9865"/>
      <w:bookmarkStart w:id="309" w:name="_Toc25990"/>
      <w:bookmarkStart w:id="310" w:name="_Toc25686"/>
      <w:bookmarkStart w:id="311" w:name="_Toc26111"/>
      <w:bookmarkStart w:id="312" w:name="_Toc3979"/>
      <w:bookmarkStart w:id="313" w:name="_Toc20517"/>
      <w:bookmarkStart w:id="314" w:name="_Toc21924"/>
      <w:bookmarkStart w:id="315" w:name="_Toc9428"/>
      <w:bookmarkStart w:id="316" w:name="_Toc11448"/>
      <w:bookmarkStart w:id="317" w:name="_Toc15209"/>
      <w:bookmarkStart w:id="318" w:name="_Toc3376"/>
      <w:bookmarkStart w:id="319" w:name="_Toc26471"/>
      <w:bookmarkStart w:id="320" w:name="_Toc15061"/>
      <w:bookmarkStart w:id="321" w:name="_Toc11221"/>
      <w:bookmarkStart w:id="322" w:name="_Toc12530"/>
      <w:bookmarkStart w:id="323" w:name="_Toc1226"/>
      <w:r>
        <w:rPr>
          <w:rFonts w:hint="eastAsia" w:ascii="宋体" w:hAnsi="宋体" w:cs="宋体"/>
          <w:b/>
          <w:bCs/>
          <w:color w:val="auto"/>
          <w:highlight w:val="none"/>
        </w:rPr>
        <w:t>履约保证金</w:t>
      </w:r>
      <w:bookmarkEnd w:id="307"/>
      <w:bookmarkEnd w:id="308"/>
      <w:bookmarkEnd w:id="309"/>
      <w:bookmarkEnd w:id="310"/>
      <w:bookmarkEnd w:id="311"/>
      <w:bookmarkEnd w:id="312"/>
      <w:bookmarkEnd w:id="313"/>
      <w:bookmarkEnd w:id="314"/>
      <w:bookmarkEnd w:id="315"/>
      <w:bookmarkEnd w:id="316"/>
      <w:bookmarkEnd w:id="317"/>
    </w:p>
    <w:p>
      <w:pPr>
        <w:numPr>
          <w:ilvl w:val="2"/>
          <w:numId w:val="6"/>
        </w:numPr>
        <w:adjustRightInd w:val="0"/>
        <w:snapToGrid w:val="0"/>
        <w:spacing w:line="400" w:lineRule="exact"/>
        <w:ind w:firstLine="420" w:firstLineChars="200"/>
        <w:rPr>
          <w:rFonts w:ascii="宋体" w:cs="宋体"/>
          <w:color w:val="auto"/>
          <w:szCs w:val="21"/>
          <w:highlight w:val="none"/>
        </w:rPr>
      </w:pPr>
      <w:bookmarkStart w:id="324" w:name="_Toc13295"/>
      <w:bookmarkStart w:id="325" w:name="_Toc22384"/>
      <w:bookmarkStart w:id="326" w:name="_Toc1508"/>
      <w:bookmarkStart w:id="327" w:name="_Toc24299"/>
      <w:r>
        <w:rPr>
          <w:rFonts w:hint="eastAsia" w:ascii="宋体" w:hAnsi="宋体" w:cs="宋体"/>
          <w:color w:val="auto"/>
          <w:szCs w:val="21"/>
          <w:highlight w:val="none"/>
          <w:lang w:val="en-US" w:eastAsia="zh-CN"/>
        </w:rPr>
        <w:t>中标人应按投标人须知前附表规定的形式、金额和招标文件第五章“合同条款及格式”的规定向招标人提交履约保证金</w:t>
      </w:r>
      <w:r>
        <w:rPr>
          <w:rFonts w:hint="eastAsia" w:ascii="宋体" w:hAnsi="宋体" w:cs="宋体"/>
          <w:color w:val="auto"/>
          <w:szCs w:val="21"/>
          <w:highlight w:val="none"/>
        </w:rPr>
        <w:t>。</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中标人不能按</w:t>
      </w:r>
      <w:r>
        <w:rPr>
          <w:rFonts w:hint="eastAsia" w:ascii="宋体" w:hAnsi="宋体" w:cs="宋体"/>
          <w:color w:val="auto"/>
          <w:szCs w:val="21"/>
          <w:highlight w:val="none"/>
          <w:lang w:eastAsia="zh-CN"/>
        </w:rPr>
        <w:t>投标人须知前附表</w:t>
      </w:r>
      <w:r>
        <w:rPr>
          <w:rFonts w:hint="eastAsia" w:ascii="宋体" w:hAnsi="宋体" w:cs="宋体"/>
          <w:color w:val="auto"/>
          <w:szCs w:val="21"/>
          <w:highlight w:val="none"/>
        </w:rPr>
        <w:t>第</w:t>
      </w:r>
      <w:r>
        <w:rPr>
          <w:rFonts w:ascii="宋体" w:hAnsi="宋体" w:cs="宋体"/>
          <w:color w:val="auto"/>
          <w:szCs w:val="21"/>
          <w:highlight w:val="none"/>
        </w:rPr>
        <w:t>6.4.1</w:t>
      </w:r>
      <w:r>
        <w:rPr>
          <w:rFonts w:hint="eastAsia" w:ascii="宋体" w:hAnsi="宋体" w:cs="宋体"/>
          <w:color w:val="auto"/>
          <w:szCs w:val="21"/>
          <w:highlight w:val="none"/>
        </w:rPr>
        <w:t>项要求提交履约保证金的，视为放弃中标。</w:t>
      </w:r>
    </w:p>
    <w:p>
      <w:pPr>
        <w:numPr>
          <w:ilvl w:val="1"/>
          <w:numId w:val="6"/>
        </w:numPr>
        <w:spacing w:line="400" w:lineRule="exact"/>
        <w:ind w:firstLine="422" w:firstLineChars="200"/>
        <w:rPr>
          <w:rFonts w:ascii="宋体" w:cs="宋体"/>
          <w:b/>
          <w:bCs/>
          <w:color w:val="auto"/>
          <w:highlight w:val="none"/>
        </w:rPr>
      </w:pPr>
      <w:bookmarkStart w:id="328" w:name="_Toc20184"/>
      <w:r>
        <w:rPr>
          <w:rFonts w:hint="eastAsia" w:ascii="宋体" w:hAnsi="宋体" w:cs="宋体"/>
          <w:b/>
          <w:bCs/>
          <w:color w:val="auto"/>
          <w:highlight w:val="none"/>
        </w:rPr>
        <w:t>签订合同</w:t>
      </w:r>
      <w:bookmarkEnd w:id="318"/>
      <w:bookmarkEnd w:id="319"/>
      <w:bookmarkEnd w:id="320"/>
      <w:bookmarkEnd w:id="321"/>
      <w:bookmarkEnd w:id="322"/>
      <w:bookmarkEnd w:id="323"/>
      <w:bookmarkEnd w:id="324"/>
      <w:bookmarkEnd w:id="325"/>
      <w:bookmarkEnd w:id="326"/>
      <w:bookmarkEnd w:id="327"/>
      <w:bookmarkEnd w:id="328"/>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采购人应当自中标通知书发出之日起</w:t>
      </w: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日内，按照招标文件和中标人投标文件的规定，与中标人签订书面合同。所签订的合同不得对招标文件确定的事项和中标人投标文件作实质性修改。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招标文件、中标人的投标文件和澄清文件等，均应作为签约合同文本的基础。</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如中标人拒签合同，则按违约处理。对违约方收取中标金额</w:t>
      </w:r>
      <w:r>
        <w:rPr>
          <w:rFonts w:ascii="宋体" w:hAnsi="宋体" w:cs="宋体"/>
          <w:color w:val="auto"/>
          <w:szCs w:val="21"/>
          <w:highlight w:val="none"/>
        </w:rPr>
        <w:t>2%</w:t>
      </w:r>
      <w:r>
        <w:rPr>
          <w:rFonts w:hint="eastAsia" w:ascii="宋体" w:hAnsi="宋体" w:cs="宋体"/>
          <w:color w:val="auto"/>
          <w:szCs w:val="21"/>
          <w:highlight w:val="none"/>
        </w:rPr>
        <w:t>的违约金。</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政府采购合同应当包括采购人与中标人的名称和住所、标的、数量、质量、价款或者报酬、履行期限及地点和方式、验收要求、违约责任、解决争议的方法等内容。</w:t>
      </w:r>
    </w:p>
    <w:p>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如中标人不</w:t>
      </w:r>
      <w:r>
        <w:rPr>
          <w:rFonts w:hint="eastAsia" w:ascii="宋体" w:hAnsi="宋体" w:cs="宋体"/>
          <w:color w:val="auto"/>
          <w:szCs w:val="21"/>
          <w:highlight w:val="none"/>
          <w:lang w:val="en-US" w:eastAsia="zh-CN"/>
        </w:rPr>
        <w:t>按</w:t>
      </w:r>
      <w:r>
        <w:rPr>
          <w:rFonts w:hint="eastAsia" w:ascii="宋体" w:hAnsi="宋体" w:cs="宋体"/>
          <w:color w:val="auto"/>
          <w:szCs w:val="21"/>
          <w:highlight w:val="none"/>
        </w:rPr>
        <w:t>约定签订合同，采购人将报请取消其中标决定。采购人可重新招标。</w:t>
      </w:r>
    </w:p>
    <w:p>
      <w:pPr>
        <w:numPr>
          <w:ilvl w:val="0"/>
          <w:numId w:val="6"/>
        </w:numPr>
        <w:spacing w:line="400" w:lineRule="exact"/>
        <w:ind w:firstLine="422" w:firstLineChars="200"/>
        <w:outlineLvl w:val="1"/>
        <w:rPr>
          <w:rStyle w:val="29"/>
          <w:color w:val="auto"/>
          <w:sz w:val="21"/>
          <w:szCs w:val="21"/>
          <w:highlight w:val="none"/>
        </w:rPr>
      </w:pPr>
      <w:bookmarkStart w:id="329" w:name="_Toc11106"/>
      <w:bookmarkStart w:id="330" w:name="_Toc27949"/>
      <w:bookmarkStart w:id="331" w:name="_Toc40112136"/>
      <w:bookmarkStart w:id="332" w:name="_Toc23358"/>
      <w:bookmarkStart w:id="333" w:name="_Toc3577"/>
      <w:r>
        <w:rPr>
          <w:rStyle w:val="29"/>
          <w:rFonts w:hint="eastAsia"/>
          <w:color w:val="auto"/>
          <w:sz w:val="21"/>
          <w:szCs w:val="21"/>
          <w:highlight w:val="none"/>
        </w:rPr>
        <w:t>信用记录</w:t>
      </w:r>
      <w:bookmarkEnd w:id="329"/>
      <w:bookmarkEnd w:id="330"/>
      <w:bookmarkEnd w:id="331"/>
      <w:bookmarkEnd w:id="332"/>
      <w:bookmarkEnd w:id="333"/>
    </w:p>
    <w:p>
      <w:pPr>
        <w:adjustRightInd w:val="0"/>
        <w:snapToGrid w:val="0"/>
        <w:spacing w:line="400" w:lineRule="exact"/>
        <w:ind w:firstLine="420" w:firstLineChars="200"/>
        <w:rPr>
          <w:rFonts w:ascii="宋体" w:cs="宋体"/>
          <w:color w:val="auto"/>
          <w:szCs w:val="21"/>
          <w:highlight w:val="none"/>
        </w:rPr>
      </w:pPr>
      <w:bookmarkStart w:id="334" w:name="_Toc18298"/>
      <w:bookmarkStart w:id="335" w:name="_Toc40112137"/>
      <w:bookmarkStart w:id="336" w:name="_Toc16339"/>
      <w:r>
        <w:rPr>
          <w:rFonts w:hint="eastAsia" w:ascii="宋体" w:hAnsi="宋体" w:cs="宋体"/>
          <w:color w:val="auto"/>
          <w:szCs w:val="21"/>
          <w:highlight w:val="none"/>
        </w:rPr>
        <w:t>根据《关于在政府采购活动中查询及使用信用记录有关问题的通知》</w:t>
      </w:r>
      <w:r>
        <w:rPr>
          <w:rFonts w:ascii="宋体" w:hAnsi="宋体" w:cs="宋体"/>
          <w:color w:val="auto"/>
          <w:szCs w:val="21"/>
          <w:highlight w:val="none"/>
        </w:rPr>
        <w:t>(</w:t>
      </w:r>
      <w:r>
        <w:rPr>
          <w:rFonts w:hint="eastAsia" w:ascii="宋体" w:hAnsi="宋体" w:cs="宋体"/>
          <w:color w:val="auto"/>
          <w:szCs w:val="21"/>
          <w:highlight w:val="none"/>
        </w:rPr>
        <w:t>财库</w:t>
      </w:r>
      <w:r>
        <w:rPr>
          <w:rFonts w:ascii="宋体" w:hAnsi="宋体" w:cs="宋体"/>
          <w:color w:val="auto"/>
          <w:szCs w:val="21"/>
          <w:highlight w:val="none"/>
        </w:rPr>
        <w:t>[2016]125</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的规定，</w:t>
      </w:r>
      <w:r>
        <w:rPr>
          <w:rFonts w:hint="eastAsia" w:ascii="宋体" w:hAnsi="宋体" w:cs="宋体"/>
          <w:color w:val="auto"/>
          <w:szCs w:val="21"/>
          <w:highlight w:val="none"/>
          <w:lang w:eastAsia="zh-CN"/>
        </w:rPr>
        <w:t>开标结束后至符合性审查前</w:t>
      </w:r>
      <w:r>
        <w:rPr>
          <w:rFonts w:hint="eastAsia" w:ascii="宋体" w:hAnsi="宋体" w:cs="宋体"/>
          <w:color w:val="auto"/>
          <w:szCs w:val="21"/>
          <w:highlight w:val="none"/>
        </w:rPr>
        <w:t>采购代理机构通过“信用中国”网站（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）、“中国执行信息公开网”网站（</w:t>
      </w:r>
      <w:r>
        <w:rPr>
          <w:rFonts w:ascii="宋体" w:hAnsi="宋体" w:cs="宋体"/>
          <w:color w:val="auto"/>
          <w:szCs w:val="21"/>
          <w:highlight w:val="none"/>
        </w:rPr>
        <w:t>zxgk.court.gov.cn</w:t>
      </w:r>
      <w:r>
        <w:rPr>
          <w:rFonts w:hint="eastAsia" w:ascii="宋体" w:hAnsi="宋体" w:cs="宋体"/>
          <w:color w:val="auto"/>
          <w:szCs w:val="21"/>
          <w:highlight w:val="none"/>
        </w:rPr>
        <w:t>）和中国政府采购网（</w:t>
      </w:r>
      <w:r>
        <w:rPr>
          <w:rFonts w:ascii="宋体" w:hAnsi="宋体" w:cs="宋体"/>
          <w:color w:val="auto"/>
          <w:szCs w:val="21"/>
          <w:highlight w:val="none"/>
        </w:rPr>
        <w:t>www.ccgp.gov.cn</w:t>
      </w:r>
      <w:r>
        <w:rPr>
          <w:rFonts w:hint="eastAsia" w:ascii="宋体" w:hAnsi="宋体" w:cs="宋体"/>
          <w:color w:val="auto"/>
          <w:szCs w:val="21"/>
          <w:highlight w:val="none"/>
        </w:rPr>
        <w:t>）查询企业的信用记录，列入“中国执行信息公开网”网站的“失信被执行人”、“信用中国”网站的</w:t>
      </w:r>
      <w:r>
        <w:rPr>
          <w:rFonts w:hint="eastAsia" w:ascii="宋体" w:hAnsi="宋体" w:cs="宋体"/>
          <w:color w:val="auto"/>
          <w:highlight w:val="none"/>
        </w:rPr>
        <w:t>“重大税收违法失信主体”</w:t>
      </w:r>
      <w:r>
        <w:rPr>
          <w:rFonts w:hint="eastAsia" w:ascii="宋体" w:hAnsi="宋体" w:cs="宋体"/>
          <w:color w:val="auto"/>
          <w:szCs w:val="21"/>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，将拒绝参与本次政府采购活动。</w:t>
      </w:r>
    </w:p>
    <w:p>
      <w:p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在本招标文件规定的查询时间之后，网站信息发生的任何变更均不再作为评标依据。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自行提供的与网站信息不一致的其他证明材料亦不作为资格审查的依据。信用信息查询记录及相关证据与其他采购文件一并保存。</w:t>
      </w:r>
    </w:p>
    <w:p>
      <w:pPr>
        <w:numPr>
          <w:ilvl w:val="0"/>
          <w:numId w:val="6"/>
        </w:numPr>
        <w:spacing w:line="400" w:lineRule="exact"/>
        <w:ind w:firstLine="422" w:firstLineChars="200"/>
        <w:outlineLvl w:val="1"/>
        <w:rPr>
          <w:rStyle w:val="29"/>
          <w:color w:val="auto"/>
          <w:sz w:val="21"/>
          <w:szCs w:val="21"/>
          <w:highlight w:val="none"/>
        </w:rPr>
      </w:pPr>
      <w:bookmarkStart w:id="337" w:name="_Toc28502"/>
      <w:bookmarkStart w:id="338" w:name="_Toc7802"/>
      <w:bookmarkStart w:id="339" w:name="_Toc10534"/>
      <w:r>
        <w:rPr>
          <w:rStyle w:val="29"/>
          <w:rFonts w:hint="eastAsia"/>
          <w:color w:val="auto"/>
          <w:sz w:val="21"/>
          <w:szCs w:val="21"/>
          <w:highlight w:val="none"/>
        </w:rPr>
        <w:t>需要补充的其他内容</w:t>
      </w:r>
      <w:bookmarkEnd w:id="334"/>
      <w:bookmarkEnd w:id="335"/>
      <w:bookmarkEnd w:id="337"/>
      <w:bookmarkEnd w:id="338"/>
      <w:bookmarkEnd w:id="339"/>
    </w:p>
    <w:p>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bookmarkEnd w:id="336"/>
    </w:p>
    <w:p>
      <w:pPr>
        <w:rPr>
          <w:color w:val="auto"/>
          <w:highlight w:val="none"/>
        </w:rPr>
      </w:pPr>
      <w:r>
        <w:rPr>
          <w:color w:val="auto"/>
          <w:highlight w:val="none"/>
        </w:rPr>
        <w:br w:type="page"/>
      </w:r>
    </w:p>
    <w:p>
      <w:pPr>
        <w:pStyle w:val="2"/>
        <w:adjustRightInd w:val="0"/>
        <w:snapToGrid w:val="0"/>
        <w:rPr>
          <w:rFonts w:ascii="宋体" w:cs="宋体"/>
          <w:color w:val="auto"/>
          <w:szCs w:val="32"/>
          <w:highlight w:val="none"/>
        </w:rPr>
      </w:pPr>
      <w:bookmarkStart w:id="340" w:name="_Toc11970"/>
      <w:bookmarkStart w:id="341" w:name="_Toc40112138"/>
      <w:bookmarkStart w:id="342" w:name="_Toc7871"/>
      <w:bookmarkStart w:id="343" w:name="_Toc19667"/>
      <w:bookmarkStart w:id="344" w:name="_Toc28292"/>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40"/>
      <w:bookmarkEnd w:id="341"/>
      <w:bookmarkEnd w:id="342"/>
      <w:bookmarkEnd w:id="343"/>
      <w:bookmarkEnd w:id="344"/>
    </w:p>
    <w:p>
      <w:pPr>
        <w:pStyle w:val="4"/>
        <w:adjustRightInd w:val="0"/>
        <w:snapToGrid w:val="0"/>
        <w:ind w:left="482"/>
        <w:jc w:val="center"/>
        <w:rPr>
          <w:rFonts w:hint="eastAsia" w:ascii="宋体" w:eastAsia="宋体" w:cs="宋体"/>
          <w:color w:val="auto"/>
          <w:sz w:val="24"/>
          <w:szCs w:val="24"/>
          <w:highlight w:val="none"/>
          <w:lang w:eastAsia="zh-CN"/>
        </w:rPr>
      </w:pPr>
      <w:bookmarkStart w:id="345" w:name="_Toc16729"/>
      <w:bookmarkStart w:id="346" w:name="_Toc27205"/>
      <w:bookmarkStart w:id="347" w:name="_Toc30398"/>
      <w:bookmarkStart w:id="348" w:name="_Toc6735"/>
      <w:bookmarkStart w:id="349" w:name="_Toc28519"/>
      <w:bookmarkStart w:id="350" w:name="_Toc13197"/>
      <w:bookmarkStart w:id="351" w:name="_Toc27033"/>
      <w:bookmarkStart w:id="352" w:name="_Toc11714"/>
      <w:bookmarkStart w:id="353" w:name="_Toc21173"/>
      <w:r>
        <w:rPr>
          <w:rFonts w:hint="eastAsia" w:ascii="宋体" w:hAnsi="宋体" w:cs="宋体"/>
          <w:color w:val="auto"/>
          <w:sz w:val="24"/>
          <w:szCs w:val="24"/>
          <w:highlight w:val="none"/>
        </w:rPr>
        <w:t>资格审查前附表</w:t>
      </w:r>
      <w:bookmarkEnd w:id="345"/>
      <w:bookmarkEnd w:id="346"/>
      <w:bookmarkEnd w:id="347"/>
      <w:bookmarkEnd w:id="348"/>
      <w:bookmarkEnd w:id="349"/>
      <w:bookmarkEnd w:id="350"/>
      <w:bookmarkEnd w:id="351"/>
      <w:bookmarkEnd w:id="352"/>
      <w:bookmarkEnd w:id="353"/>
    </w:p>
    <w:tbl>
      <w:tblPr>
        <w:tblStyle w:val="23"/>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top"/>
          </w:tcPr>
          <w:p>
            <w:pPr>
              <w:pStyle w:val="33"/>
              <w:spacing w:before="113" w:line="308" w:lineRule="auto"/>
              <w:ind w:right="190"/>
              <w:jc w:val="both"/>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投标人必须为所投车辆的生产企业（须提供承诺函），</w:t>
            </w:r>
            <w:r>
              <w:rPr>
                <w:rFonts w:hint="default" w:ascii="宋体" w:hAnsi="宋体" w:eastAsia="宋体" w:cs="宋体"/>
                <w:color w:val="auto"/>
                <w:kern w:val="2"/>
                <w:sz w:val="24"/>
                <w:szCs w:val="24"/>
                <w:highlight w:val="none"/>
                <w:lang w:val="en-US" w:eastAsia="zh-CN" w:bidi="ar-SA"/>
              </w:rPr>
              <w:t>交车时（整车）必须是已取得中华人民共和国工业和信息化部发布的对应车型《道路机动车辆生产企业及产品公告》的合格产品（须提供工信部官方查询平台查询截图和网址链接）</w:t>
            </w:r>
          </w:p>
        </w:tc>
        <w:tc>
          <w:tcPr>
            <w:tcW w:w="5153" w:type="dxa"/>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pStyle w:val="33"/>
              <w:spacing w:before="78" w:line="219" w:lineRule="auto"/>
              <w:ind w:left="118" w:leftChars="0"/>
              <w:rPr>
                <w:rFonts w:hint="eastAsia"/>
                <w:color w:val="auto"/>
                <w:sz w:val="24"/>
                <w:szCs w:val="24"/>
                <w:highlight w:val="none"/>
                <w:lang w:eastAsia="zh-CN"/>
              </w:rPr>
            </w:pPr>
            <w:r>
              <w:rPr>
                <w:color w:val="auto"/>
                <w:spacing w:val="-2"/>
                <w:highlight w:val="none"/>
              </w:rPr>
              <w:t>须提供承诺函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top"/>
          </w:tcPr>
          <w:p>
            <w:pPr>
              <w:jc w:val="center"/>
              <w:rPr>
                <w:rFonts w:hint="eastAsia"/>
                <w:color w:val="auto"/>
                <w:highlight w:val="none"/>
              </w:rPr>
            </w:pPr>
            <w:r>
              <w:rPr>
                <w:rFonts w:hint="eastAsia" w:ascii="宋体" w:hAnsi="宋体" w:cs="宋体"/>
                <w:color w:val="auto"/>
                <w:sz w:val="24"/>
                <w:highlight w:val="none"/>
                <w:lang w:val="en-US" w:eastAsia="zh-CN"/>
              </w:rPr>
              <w:t>投标人必须为所投车辆的生产企业</w:t>
            </w:r>
          </w:p>
        </w:tc>
        <w:tc>
          <w:tcPr>
            <w:tcW w:w="5153" w:type="dxa"/>
            <w:vAlign w:val="top"/>
          </w:tcPr>
          <w:p>
            <w:pPr>
              <w:pStyle w:val="33"/>
              <w:spacing w:before="227" w:line="219" w:lineRule="auto"/>
              <w:ind w:left="118" w:leftChars="0"/>
              <w:rPr>
                <w:rFonts w:hint="eastAsia"/>
                <w:color w:val="auto"/>
                <w:sz w:val="24"/>
                <w:szCs w:val="24"/>
                <w:highlight w:val="none"/>
                <w:lang w:eastAsia="zh-CN"/>
              </w:rPr>
            </w:pPr>
            <w:r>
              <w:rPr>
                <w:color w:val="auto"/>
                <w:spacing w:val="-2"/>
                <w:highlight w:val="none"/>
              </w:rPr>
              <w:t>须提供承诺函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color w:val="auto"/>
                <w:sz w:val="24"/>
                <w:szCs w:val="24"/>
                <w:highlight w:val="none"/>
                <w:lang w:eastAsia="zh-CN"/>
              </w:rPr>
              <w:t>202</w:t>
            </w:r>
            <w:r>
              <w:rPr>
                <w:rFonts w:hint="eastAsia"/>
                <w:color w:val="auto"/>
                <w:sz w:val="24"/>
                <w:szCs w:val="24"/>
                <w:highlight w:val="none"/>
                <w:lang w:val="en-US" w:eastAsia="zh-CN"/>
              </w:rPr>
              <w:t>2</w:t>
            </w:r>
            <w:r>
              <w:rPr>
                <w:rFonts w:hint="eastAsia"/>
                <w:color w:val="auto"/>
                <w:sz w:val="24"/>
                <w:szCs w:val="24"/>
                <w:highlight w:val="none"/>
                <w:lang w:eastAsia="zh-CN"/>
              </w:rPr>
              <w:t>年度</w:t>
            </w:r>
            <w:r>
              <w:rPr>
                <w:rFonts w:hint="eastAsia"/>
                <w:color w:val="auto"/>
                <w:sz w:val="24"/>
                <w:szCs w:val="24"/>
                <w:highlight w:val="none"/>
                <w:lang w:val="en-US" w:eastAsia="zh-CN"/>
              </w:rPr>
              <w:t>或2023年度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color w:val="auto"/>
                <w:sz w:val="24"/>
                <w:szCs w:val="24"/>
                <w:highlight w:val="none"/>
                <w:lang w:eastAsia="zh-CN"/>
              </w:rPr>
              <w:t>1</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个月依法缴纳税收的相关证明，依法免税的，应提供相应证明文件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9" w:hRule="atLeast"/>
        </w:trPr>
        <w:tc>
          <w:tcPr>
            <w:tcW w:w="972" w:type="dxa"/>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3104" w:type="dxa"/>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信用记录</w:t>
            </w:r>
          </w:p>
        </w:tc>
        <w:tc>
          <w:tcPr>
            <w:tcW w:w="5153" w:type="dxa"/>
            <w:vAlign w:val="center"/>
          </w:tcPr>
          <w:p>
            <w:pPr>
              <w:widowControl/>
              <w:adjustRightInd w:val="0"/>
              <w:snapToGrid w:val="0"/>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bl>
    <w:p>
      <w:pPr>
        <w:pStyle w:val="4"/>
        <w:numPr>
          <w:ilvl w:val="0"/>
          <w:numId w:val="7"/>
        </w:numPr>
        <w:adjustRightInd w:val="0"/>
        <w:snapToGrid w:val="0"/>
        <w:rPr>
          <w:rFonts w:ascii="宋体" w:cs="宋体"/>
          <w:color w:val="auto"/>
          <w:sz w:val="24"/>
          <w:szCs w:val="24"/>
          <w:highlight w:val="none"/>
        </w:rPr>
      </w:pPr>
      <w:bookmarkStart w:id="354" w:name="_Toc19241"/>
      <w:bookmarkStart w:id="355" w:name="_Toc16293"/>
      <w:bookmarkStart w:id="356" w:name="_Toc1301"/>
      <w:bookmarkStart w:id="357" w:name="_Toc25514"/>
      <w:bookmarkStart w:id="358" w:name="_Toc465"/>
      <w:bookmarkStart w:id="359" w:name="_Toc23399"/>
      <w:bookmarkStart w:id="360" w:name="_Toc16266"/>
      <w:bookmarkStart w:id="361" w:name="_Toc21337"/>
      <w:bookmarkStart w:id="362" w:name="_Toc16607"/>
      <w:bookmarkStart w:id="363" w:name="_Toc2378"/>
      <w:r>
        <w:rPr>
          <w:rFonts w:hint="eastAsia" w:ascii="宋体" w:hAnsi="宋体" w:cs="宋体"/>
          <w:color w:val="auto"/>
          <w:sz w:val="24"/>
          <w:szCs w:val="24"/>
          <w:highlight w:val="none"/>
        </w:rPr>
        <w:t>资格审查</w:t>
      </w:r>
      <w:bookmarkEnd w:id="354"/>
      <w:bookmarkEnd w:id="355"/>
      <w:bookmarkEnd w:id="356"/>
      <w:bookmarkEnd w:id="357"/>
      <w:bookmarkEnd w:id="358"/>
      <w:bookmarkEnd w:id="359"/>
      <w:bookmarkEnd w:id="360"/>
      <w:bookmarkEnd w:id="361"/>
      <w:bookmarkEnd w:id="362"/>
      <w:bookmarkEnd w:id="363"/>
    </w:p>
    <w:p>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pPr>
        <w:pStyle w:val="4"/>
        <w:numPr>
          <w:ilvl w:val="0"/>
          <w:numId w:val="7"/>
        </w:numPr>
        <w:adjustRightInd w:val="0"/>
        <w:snapToGrid w:val="0"/>
        <w:rPr>
          <w:rFonts w:ascii="宋体" w:cs="宋体"/>
          <w:color w:val="auto"/>
          <w:sz w:val="24"/>
          <w:szCs w:val="24"/>
          <w:highlight w:val="none"/>
        </w:rPr>
      </w:pPr>
      <w:bookmarkStart w:id="364" w:name="_Toc2610"/>
      <w:bookmarkStart w:id="365" w:name="_Toc12137"/>
      <w:bookmarkStart w:id="366" w:name="_Toc11542"/>
      <w:bookmarkStart w:id="367" w:name="_Toc29893"/>
      <w:bookmarkStart w:id="368" w:name="_Toc23230"/>
      <w:bookmarkStart w:id="369" w:name="_Toc8280"/>
      <w:bookmarkStart w:id="370" w:name="_Toc21593"/>
      <w:bookmarkStart w:id="371" w:name="_Toc3310"/>
      <w:bookmarkStart w:id="372" w:name="_Toc8631"/>
      <w:bookmarkStart w:id="373" w:name="_Toc18033"/>
      <w:r>
        <w:rPr>
          <w:rFonts w:hint="eastAsia" w:ascii="宋体" w:hAnsi="宋体" w:cs="宋体"/>
          <w:color w:val="auto"/>
          <w:sz w:val="24"/>
          <w:szCs w:val="24"/>
          <w:highlight w:val="none"/>
        </w:rPr>
        <w:t>资格审查标准</w:t>
      </w:r>
      <w:bookmarkEnd w:id="364"/>
      <w:bookmarkEnd w:id="365"/>
      <w:bookmarkEnd w:id="366"/>
      <w:bookmarkEnd w:id="367"/>
      <w:bookmarkEnd w:id="368"/>
      <w:bookmarkEnd w:id="369"/>
      <w:bookmarkEnd w:id="370"/>
      <w:bookmarkEnd w:id="371"/>
      <w:bookmarkEnd w:id="372"/>
      <w:bookmarkEnd w:id="373"/>
    </w:p>
    <w:p>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pPr>
        <w:pStyle w:val="4"/>
        <w:numPr>
          <w:ilvl w:val="0"/>
          <w:numId w:val="7"/>
        </w:numPr>
        <w:adjustRightInd w:val="0"/>
        <w:snapToGrid w:val="0"/>
        <w:rPr>
          <w:rFonts w:ascii="宋体" w:cs="宋体"/>
          <w:color w:val="auto"/>
          <w:sz w:val="24"/>
          <w:szCs w:val="24"/>
          <w:highlight w:val="none"/>
        </w:rPr>
      </w:pPr>
      <w:bookmarkStart w:id="374" w:name="_Toc920"/>
      <w:bookmarkStart w:id="375" w:name="_Toc10180"/>
      <w:bookmarkStart w:id="376" w:name="_Toc16031"/>
      <w:bookmarkStart w:id="377" w:name="_Toc14072"/>
      <w:bookmarkStart w:id="378" w:name="_Toc13549"/>
      <w:bookmarkStart w:id="379" w:name="_Toc2029"/>
      <w:bookmarkStart w:id="380" w:name="_Toc32375"/>
      <w:bookmarkStart w:id="381" w:name="_Toc19383"/>
      <w:bookmarkStart w:id="382" w:name="_Toc2259"/>
      <w:bookmarkStart w:id="383" w:name="_Toc5940"/>
      <w:r>
        <w:rPr>
          <w:rFonts w:hint="eastAsia" w:ascii="宋体" w:hAnsi="宋体" w:cs="宋体"/>
          <w:color w:val="auto"/>
          <w:sz w:val="24"/>
          <w:szCs w:val="24"/>
          <w:highlight w:val="none"/>
        </w:rPr>
        <w:t>资格审查程序</w:t>
      </w:r>
      <w:bookmarkEnd w:id="374"/>
      <w:bookmarkEnd w:id="375"/>
      <w:bookmarkEnd w:id="376"/>
      <w:bookmarkEnd w:id="377"/>
      <w:bookmarkEnd w:id="378"/>
      <w:bookmarkEnd w:id="379"/>
      <w:bookmarkEnd w:id="380"/>
      <w:bookmarkEnd w:id="381"/>
      <w:bookmarkEnd w:id="382"/>
      <w:bookmarkEnd w:id="383"/>
    </w:p>
    <w:p>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是否具备投标资格，有一项不符合评审标准的，资格审查人员应当认定其投标无效，合格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pPr>
        <w:pStyle w:val="2"/>
        <w:rPr>
          <w:rFonts w:ascii="宋体" w:cs="宋体"/>
          <w:color w:val="auto"/>
          <w:szCs w:val="32"/>
          <w:highlight w:val="none"/>
        </w:rPr>
      </w:pPr>
      <w:r>
        <w:rPr>
          <w:rFonts w:ascii="宋体" w:cs="宋体"/>
          <w:color w:val="auto"/>
          <w:highlight w:val="none"/>
        </w:rPr>
        <w:br w:type="page"/>
      </w:r>
      <w:bookmarkStart w:id="384" w:name="_Toc2792"/>
      <w:bookmarkStart w:id="385" w:name="_Toc40112139"/>
      <w:bookmarkStart w:id="386" w:name="_Toc31076"/>
      <w:bookmarkStart w:id="387" w:name="_Toc20425"/>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4"/>
      <w:bookmarkEnd w:id="385"/>
      <w:bookmarkEnd w:id="386"/>
      <w:bookmarkEnd w:id="387"/>
    </w:p>
    <w:p>
      <w:pPr>
        <w:keepNext/>
        <w:keepLines/>
        <w:spacing w:line="360" w:lineRule="auto"/>
        <w:ind w:left="482"/>
        <w:jc w:val="center"/>
        <w:rPr>
          <w:color w:val="auto"/>
          <w:highlight w:val="none"/>
        </w:rPr>
      </w:pPr>
      <w:bookmarkStart w:id="388" w:name="_Toc16535"/>
      <w:bookmarkStart w:id="389" w:name="_Toc22649"/>
      <w:bookmarkStart w:id="390" w:name="_Toc12415"/>
      <w:bookmarkStart w:id="391" w:name="_Toc4734"/>
      <w:bookmarkStart w:id="392" w:name="_Toc1534"/>
      <w:bookmarkStart w:id="393" w:name="_Toc14114"/>
      <w:bookmarkStart w:id="394" w:name="_Toc23659"/>
      <w:bookmarkStart w:id="395" w:name="_Toc16950"/>
      <w:bookmarkStart w:id="396" w:name="_Toc22753"/>
      <w:bookmarkStart w:id="397" w:name="_Toc6633"/>
      <w:r>
        <w:rPr>
          <w:rFonts w:hint="eastAsia" w:ascii="宋体" w:hAnsi="宋体" w:cs="宋体"/>
          <w:b/>
          <w:bCs/>
          <w:color w:val="auto"/>
          <w:sz w:val="30"/>
          <w:szCs w:val="30"/>
          <w:highlight w:val="none"/>
        </w:rPr>
        <w:t>评标办法前附表</w:t>
      </w:r>
      <w:bookmarkEnd w:id="388"/>
      <w:bookmarkEnd w:id="389"/>
      <w:bookmarkEnd w:id="390"/>
      <w:bookmarkEnd w:id="391"/>
      <w:bookmarkEnd w:id="392"/>
      <w:bookmarkEnd w:id="393"/>
      <w:bookmarkEnd w:id="394"/>
      <w:bookmarkEnd w:id="395"/>
      <w:bookmarkEnd w:id="396"/>
      <w:bookmarkEnd w:id="397"/>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pPr>
              <w:widowControl/>
              <w:adjustRightInd w:val="0"/>
              <w:snapToGrid w:val="0"/>
              <w:spacing w:line="360" w:lineRule="auto"/>
              <w:jc w:val="center"/>
              <w:rPr>
                <w:rFonts w:ascii="宋体" w:cs="宋体"/>
                <w:b/>
                <w:bCs/>
                <w:color w:val="auto"/>
                <w:sz w:val="24"/>
                <w:highlight w:val="none"/>
              </w:rPr>
            </w:pPr>
            <w:r>
              <w:rPr>
                <w:rFonts w:hint="eastAsia" w:ascii="宋体" w:hAnsi="宋体" w:cs="宋体"/>
                <w:b/>
                <w:bCs/>
                <w:color w:val="auto"/>
                <w:sz w:val="24"/>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b/>
                <w:bCs/>
                <w:color w:val="auto"/>
                <w:kern w:val="0"/>
                <w:sz w:val="24"/>
                <w:highlight w:val="none"/>
              </w:rPr>
            </w:pPr>
            <w:r>
              <w:rPr>
                <w:rFonts w:hint="eastAsia" w:ascii="宋体" w:hAnsi="宋体" w:cs="宋体"/>
                <w:b/>
                <w:bCs/>
                <w:color w:val="auto"/>
                <w:kern w:val="0"/>
                <w:sz w:val="24"/>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ascii="宋体" w:cs="宋体"/>
                <w:b/>
                <w:bCs/>
                <w:color w:val="auto"/>
                <w:sz w:val="24"/>
                <w:highlight w:val="none"/>
              </w:rPr>
            </w:pPr>
            <w:r>
              <w:rPr>
                <w:rFonts w:hint="eastAsia" w:ascii="宋体" w:hAnsi="宋体" w:cs="宋体"/>
                <w:b/>
                <w:bCs/>
                <w:color w:val="auto"/>
                <w:kern w:val="0"/>
                <w:sz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ascii="宋体" w:hAnsi="宋体" w:cs="宋体"/>
                <w:color w:val="auto"/>
                <w:kern w:val="0"/>
                <w:sz w:val="24"/>
                <w:highlight w:val="none"/>
              </w:rPr>
              <w:t>2.1.1</w:t>
            </w:r>
          </w:p>
        </w:tc>
        <w:tc>
          <w:tcPr>
            <w:tcW w:w="547"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形式</w:t>
            </w:r>
          </w:p>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w:t>
            </w: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投标文件签署、盖章</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sz w:val="24"/>
                <w:highlight w:val="none"/>
              </w:rPr>
              <w:t>投标文件按招标文件要求签署、盖章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投标文件格式</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符合招标文件中提供的投标文件格式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总报价唯一</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投标报价</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所投标包投标总报价不可超过所投标包最高限价，且该标包中各单品报价不得超过单品最高限价。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ascii="宋体" w:hAnsi="宋体" w:cs="宋体"/>
                <w:color w:val="auto"/>
                <w:kern w:val="0"/>
                <w:sz w:val="24"/>
                <w:highlight w:val="none"/>
              </w:rPr>
              <w:t>2.1.2</w:t>
            </w:r>
          </w:p>
        </w:tc>
        <w:tc>
          <w:tcPr>
            <w:tcW w:w="547" w:type="pct"/>
            <w:gridSpan w:val="2"/>
            <w:vMerge w:val="restart"/>
            <w:vAlign w:val="center"/>
          </w:tcPr>
          <w:p>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符合性审查</w:t>
            </w:r>
            <w:r>
              <w:rPr>
                <w:rFonts w:hint="eastAsia" w:ascii="宋体" w:hAnsi="宋体" w:cs="宋体"/>
                <w:color w:val="auto"/>
                <w:kern w:val="0"/>
                <w:sz w:val="24"/>
                <w:highlight w:val="none"/>
              </w:rPr>
              <w:t>标准</w:t>
            </w: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交货期</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符合第二章“</w:t>
            </w:r>
            <w:r>
              <w:rPr>
                <w:rFonts w:hint="eastAsia" w:ascii="宋体" w:hAnsi="宋体" w:cs="宋体"/>
                <w:color w:val="auto"/>
                <w:kern w:val="0"/>
                <w:sz w:val="24"/>
                <w:highlight w:val="none"/>
                <w:lang w:eastAsia="zh-CN"/>
              </w:rPr>
              <w:t>投标人须知</w:t>
            </w:r>
            <w:r>
              <w:rPr>
                <w:rFonts w:hint="eastAsia" w:ascii="宋体" w:hAnsi="宋体" w:cs="宋体"/>
                <w:color w:val="auto"/>
                <w:kern w:val="0"/>
                <w:sz w:val="24"/>
                <w:highlight w:val="none"/>
              </w:rPr>
              <w:t>前附表”第</w:t>
            </w:r>
            <w:r>
              <w:rPr>
                <w:rFonts w:ascii="宋体" w:hAnsi="宋体" w:cs="宋体"/>
                <w:color w:val="auto"/>
                <w:kern w:val="0"/>
                <w:sz w:val="24"/>
                <w:highlight w:val="none"/>
              </w:rPr>
              <w:t>1.2.6</w:t>
            </w:r>
            <w:r>
              <w:rPr>
                <w:rFonts w:hint="eastAsia" w:ascii="宋体" w:hAnsi="宋体" w:cs="宋体"/>
                <w:color w:val="auto"/>
                <w:kern w:val="0"/>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交货地点</w:t>
            </w:r>
          </w:p>
        </w:tc>
        <w:tc>
          <w:tcPr>
            <w:tcW w:w="3041" w:type="pct"/>
            <w:gridSpan w:val="2"/>
            <w:vAlign w:val="center"/>
          </w:tcPr>
          <w:p>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符合第二章“</w:t>
            </w:r>
            <w:r>
              <w:rPr>
                <w:rFonts w:hint="eastAsia" w:ascii="宋体" w:hAnsi="宋体" w:cs="宋体"/>
                <w:color w:val="auto"/>
                <w:kern w:val="0"/>
                <w:sz w:val="24"/>
                <w:highlight w:val="none"/>
                <w:lang w:eastAsia="zh-CN"/>
              </w:rPr>
              <w:t>投标人须知</w:t>
            </w:r>
            <w:r>
              <w:rPr>
                <w:rFonts w:hint="eastAsia" w:ascii="宋体" w:hAnsi="宋体" w:cs="宋体"/>
                <w:color w:val="auto"/>
                <w:kern w:val="0"/>
                <w:sz w:val="24"/>
                <w:highlight w:val="none"/>
              </w:rPr>
              <w:t>前附表”第</w:t>
            </w:r>
            <w:r>
              <w:rPr>
                <w:rFonts w:ascii="宋体" w:hAnsi="宋体" w:cs="宋体"/>
                <w:color w:val="auto"/>
                <w:kern w:val="0"/>
                <w:sz w:val="24"/>
                <w:highlight w:val="none"/>
              </w:rPr>
              <w:t>1.2.7</w:t>
            </w:r>
            <w:r>
              <w:rPr>
                <w:rFonts w:hint="eastAsia" w:ascii="宋体" w:hAnsi="宋体" w:cs="宋体"/>
                <w:color w:val="auto"/>
                <w:kern w:val="0"/>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质保期</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1.2.8</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质量要求</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1.2.9</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投标有效期</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3.6.1</w:t>
            </w:r>
            <w:r>
              <w:rPr>
                <w:rFonts w:hint="eastAsia" w:ascii="宋体" w:hAnsi="宋体" w:cs="宋体"/>
                <w:color w:val="auto"/>
                <w:sz w:val="24"/>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color w:val="auto"/>
                <w:sz w:val="24"/>
                <w:highlight w:val="none"/>
              </w:rPr>
              <w:t>投标文件制作机器码</w:t>
            </w:r>
          </w:p>
        </w:tc>
        <w:tc>
          <w:tcPr>
            <w:tcW w:w="3041" w:type="pct"/>
            <w:gridSpan w:val="2"/>
            <w:vAlign w:val="center"/>
          </w:tcPr>
          <w:p>
            <w:pPr>
              <w:widowControl/>
              <w:adjustRightInd w:val="0"/>
              <w:snapToGrid w:val="0"/>
              <w:spacing w:line="400" w:lineRule="exact"/>
              <w:jc w:val="center"/>
              <w:rPr>
                <w:rFonts w:ascii="宋体" w:cs="宋体"/>
                <w:color w:val="auto"/>
                <w:sz w:val="24"/>
                <w:highlight w:val="none"/>
              </w:rPr>
            </w:pPr>
            <w:r>
              <w:rPr>
                <w:rFonts w:hint="eastAsia"/>
                <w:color w:val="auto"/>
                <w:sz w:val="24"/>
                <w:highlight w:val="none"/>
              </w:rPr>
              <w:t>投标文件制作机器码一致的视为无效投标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color w:val="auto"/>
                <w:sz w:val="24"/>
                <w:highlight w:val="none"/>
              </w:rPr>
            </w:pPr>
            <w:r>
              <w:rPr>
                <w:rFonts w:ascii="宋体" w:hAnsi="宋体" w:eastAsia="宋体" w:cs="宋体"/>
                <w:color w:val="auto"/>
                <w:sz w:val="24"/>
                <w:szCs w:val="24"/>
                <w:highlight w:val="none"/>
              </w:rPr>
              <w:t>技术要求</w:t>
            </w:r>
          </w:p>
        </w:tc>
        <w:tc>
          <w:tcPr>
            <w:tcW w:w="3041" w:type="pct"/>
            <w:gridSpan w:val="2"/>
            <w:vAlign w:val="center"/>
          </w:tcPr>
          <w:p>
            <w:pPr>
              <w:widowControl/>
              <w:adjustRightInd w:val="0"/>
              <w:snapToGrid w:val="0"/>
              <w:spacing w:line="400" w:lineRule="exact"/>
              <w:jc w:val="center"/>
              <w:rPr>
                <w:color w:val="auto"/>
                <w:sz w:val="24"/>
                <w:highlight w:val="none"/>
              </w:rPr>
            </w:pPr>
            <w:r>
              <w:rPr>
                <w:rFonts w:ascii="宋体" w:hAnsi="宋体" w:eastAsia="宋体" w:cs="宋体"/>
                <w:color w:val="auto"/>
                <w:sz w:val="24"/>
                <w:szCs w:val="24"/>
                <w:highlight w:val="none"/>
              </w:rPr>
              <w:t>招标项目需求及技术要求中标注“</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”号条款为实质性条款，符合技术标准要求。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pPr>
              <w:widowControl/>
              <w:adjustRightInd w:val="0"/>
              <w:snapToGrid w:val="0"/>
              <w:spacing w:line="400" w:lineRule="exact"/>
              <w:jc w:val="center"/>
              <w:rPr>
                <w:color w:val="auto"/>
                <w:sz w:val="24"/>
                <w:highlight w:val="none"/>
              </w:rPr>
            </w:pPr>
            <w:r>
              <w:rPr>
                <w:rFonts w:hint="eastAsia"/>
                <w:color w:val="auto"/>
                <w:sz w:val="24"/>
                <w:highlight w:val="none"/>
              </w:rPr>
              <w:t>其他</w:t>
            </w:r>
          </w:p>
        </w:tc>
        <w:tc>
          <w:tcPr>
            <w:tcW w:w="3041" w:type="pct"/>
            <w:gridSpan w:val="2"/>
            <w:vAlign w:val="center"/>
          </w:tcPr>
          <w:p>
            <w:pPr>
              <w:widowControl/>
              <w:adjustRightInd w:val="0"/>
              <w:snapToGrid w:val="0"/>
              <w:spacing w:line="400" w:lineRule="exact"/>
              <w:jc w:val="center"/>
              <w:rPr>
                <w:color w:val="auto"/>
                <w:sz w:val="24"/>
                <w:highlight w:val="none"/>
              </w:rPr>
            </w:pPr>
            <w:r>
              <w:rPr>
                <w:rFonts w:hint="eastAsia"/>
                <w:color w:val="auto"/>
                <w:sz w:val="24"/>
                <w:highlight w:val="none"/>
              </w:rPr>
              <w:t>响应招标文件规定的其他实质性内容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ascii="宋体" w:hAnsi="宋体" w:cs="宋体"/>
                <w:color w:val="auto"/>
                <w:kern w:val="0"/>
                <w:sz w:val="24"/>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b/>
                <w:color w:val="auto"/>
                <w:spacing w:val="1"/>
                <w:sz w:val="24"/>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b/>
                <w:color w:val="auto"/>
                <w:spacing w:val="1"/>
                <w:sz w:val="24"/>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ascii="宋体" w:hAnsi="宋体" w:cs="宋体"/>
                <w:color w:val="auto"/>
                <w:kern w:val="0"/>
                <w:sz w:val="24"/>
                <w:highlight w:val="none"/>
              </w:rPr>
              <w:t>2.2.1</w:t>
            </w:r>
          </w:p>
        </w:tc>
        <w:tc>
          <w:tcPr>
            <w:tcW w:w="852" w:type="pct"/>
            <w:gridSpan w:val="2"/>
            <w:vAlign w:val="center"/>
          </w:tcPr>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ascii="宋体" w:hAnsi="宋体" w:cs="宋体"/>
                <w:color w:val="auto"/>
                <w:kern w:val="0"/>
                <w:sz w:val="24"/>
                <w:highlight w:val="none"/>
              </w:rPr>
              <w:t>分值构成</w:t>
            </w:r>
          </w:p>
          <w:p>
            <w:pPr>
              <w:autoSpaceDE w:val="0"/>
              <w:autoSpaceDN w:val="0"/>
              <w:adjustRightInd w:val="0"/>
              <w:snapToGrid w:val="0"/>
              <w:spacing w:line="360" w:lineRule="auto"/>
              <w:ind w:left="38" w:leftChars="18"/>
              <w:jc w:val="center"/>
              <w:rPr>
                <w:rFonts w:asci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总分</w:t>
            </w:r>
            <w:r>
              <w:rPr>
                <w:rFonts w:ascii="宋体" w:hAnsi="宋体" w:cs="宋体"/>
                <w:color w:val="auto"/>
                <w:kern w:val="0"/>
                <w:sz w:val="24"/>
                <w:highlight w:val="none"/>
              </w:rPr>
              <w:t>100</w:t>
            </w:r>
            <w:r>
              <w:rPr>
                <w:rFonts w:hint="eastAsia" w:ascii="宋体" w:hAnsi="宋体" w:cs="宋体"/>
                <w:color w:val="auto"/>
                <w:kern w:val="0"/>
                <w:sz w:val="24"/>
                <w:highlight w:val="none"/>
              </w:rPr>
              <w:t>分</w:t>
            </w:r>
            <w:r>
              <w:rPr>
                <w:rFonts w:ascii="宋体" w:hAnsi="宋体" w:cs="宋体"/>
                <w:color w:val="auto"/>
                <w:kern w:val="0"/>
                <w:sz w:val="24"/>
                <w:highlight w:val="none"/>
              </w:rPr>
              <w:t>)</w:t>
            </w:r>
          </w:p>
        </w:tc>
        <w:tc>
          <w:tcPr>
            <w:tcW w:w="3041" w:type="pct"/>
            <w:gridSpan w:val="2"/>
            <w:vAlign w:val="center"/>
          </w:tcPr>
          <w:p>
            <w:pPr>
              <w:autoSpaceDE w:val="0"/>
              <w:autoSpaceDN w:val="0"/>
              <w:adjustRightInd w:val="0"/>
              <w:snapToGrid w:val="0"/>
              <w:spacing w:line="360" w:lineRule="auto"/>
              <w:ind w:left="38" w:leftChars="18"/>
              <w:jc w:val="left"/>
              <w:rPr>
                <w:rFonts w:ascii="宋体" w:cs="宋体"/>
                <w:b/>
                <w:bCs/>
                <w:color w:val="auto"/>
                <w:kern w:val="0"/>
                <w:sz w:val="24"/>
                <w:highlight w:val="none"/>
              </w:rPr>
            </w:pPr>
            <w:r>
              <w:rPr>
                <w:rFonts w:hint="eastAsia" w:ascii="宋体" w:hAnsi="宋体" w:cs="宋体"/>
                <w:b/>
                <w:bCs/>
                <w:color w:val="auto"/>
                <w:kern w:val="0"/>
                <w:sz w:val="24"/>
                <w:highlight w:val="none"/>
                <w:lang w:eastAsia="zh-CN"/>
              </w:rPr>
              <w:t>投标报价</w:t>
            </w:r>
            <w:r>
              <w:rPr>
                <w:rFonts w:hint="eastAsia" w:ascii="宋体" w:hAnsi="宋体" w:cs="宋体"/>
                <w:b/>
                <w:bCs/>
                <w:color w:val="auto"/>
                <w:kern w:val="0"/>
                <w:sz w:val="24"/>
                <w:highlight w:val="none"/>
              </w:rPr>
              <w:t>：</w:t>
            </w:r>
            <w:r>
              <w:rPr>
                <w:rFonts w:ascii="宋体" w:hAnsi="宋体" w:cs="宋体"/>
                <w:b/>
                <w:bCs/>
                <w:color w:val="auto"/>
                <w:kern w:val="0"/>
                <w:sz w:val="24"/>
                <w:highlight w:val="none"/>
              </w:rPr>
              <w:t>3</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分</w:t>
            </w:r>
            <w:r>
              <w:rPr>
                <w:rFonts w:ascii="宋体" w:hAnsi="宋体" w:cs="宋体"/>
                <w:b/>
                <w:bCs/>
                <w:color w:val="auto"/>
                <w:kern w:val="0"/>
                <w:sz w:val="24"/>
                <w:highlight w:val="none"/>
              </w:rPr>
              <w:t xml:space="preserve">  </w:t>
            </w:r>
          </w:p>
          <w:p>
            <w:pPr>
              <w:autoSpaceDE w:val="0"/>
              <w:autoSpaceDN w:val="0"/>
              <w:adjustRightInd w:val="0"/>
              <w:snapToGrid w:val="0"/>
              <w:spacing w:line="360" w:lineRule="auto"/>
              <w:ind w:left="38" w:leftChars="18"/>
              <w:jc w:val="left"/>
              <w:rPr>
                <w:rFonts w:ascii="宋体" w:cs="宋体"/>
                <w:b/>
                <w:color w:val="auto"/>
                <w:sz w:val="24"/>
                <w:highlight w:val="none"/>
              </w:rPr>
            </w:pPr>
            <w:r>
              <w:rPr>
                <w:rFonts w:hint="eastAsia" w:ascii="宋体" w:hAnsi="宋体" w:cs="宋体"/>
                <w:b/>
                <w:color w:val="auto"/>
                <w:sz w:val="24"/>
                <w:highlight w:val="none"/>
              </w:rPr>
              <w:t>技术部分：</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rPr>
              <w:t>分</w:t>
            </w:r>
            <w:r>
              <w:rPr>
                <w:rFonts w:ascii="宋体" w:hAnsi="宋体" w:cs="宋体"/>
                <w:b/>
                <w:color w:val="auto"/>
                <w:sz w:val="24"/>
                <w:highlight w:val="none"/>
              </w:rPr>
              <w:t xml:space="preserve">   </w:t>
            </w:r>
          </w:p>
          <w:p>
            <w:pPr>
              <w:autoSpaceDE w:val="0"/>
              <w:autoSpaceDN w:val="0"/>
              <w:adjustRightInd w:val="0"/>
              <w:snapToGrid w:val="0"/>
              <w:spacing w:line="360" w:lineRule="auto"/>
              <w:ind w:left="38" w:leftChars="18"/>
              <w:jc w:val="left"/>
              <w:rPr>
                <w:rFonts w:ascii="宋体" w:cs="宋体"/>
                <w:b/>
                <w:color w:val="auto"/>
                <w:sz w:val="24"/>
                <w:highlight w:val="none"/>
              </w:rPr>
            </w:pPr>
            <w:r>
              <w:rPr>
                <w:rFonts w:hint="eastAsia" w:ascii="宋体" w:hAnsi="宋体" w:cs="宋体"/>
                <w:b/>
                <w:color w:val="auto"/>
                <w:sz w:val="24"/>
                <w:highlight w:val="none"/>
              </w:rPr>
              <w:t>商务部分：</w:t>
            </w:r>
            <w:r>
              <w:rPr>
                <w:rFonts w:hint="eastAsia" w:ascii="宋体" w:hAnsi="宋体" w:cs="宋体"/>
                <w:b/>
                <w:color w:val="auto"/>
                <w:sz w:val="24"/>
                <w:highlight w:val="none"/>
                <w:lang w:val="en-US" w:eastAsia="zh-CN"/>
              </w:rPr>
              <w:t>25</w:t>
            </w:r>
            <w:r>
              <w:rPr>
                <w:rFonts w:hint="eastAsia" w:ascii="宋体" w:hAnsi="宋体" w:cs="宋体"/>
                <w:b/>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1" w:type="pct"/>
            <w:gridSpan w:val="2"/>
            <w:vAlign w:val="center"/>
          </w:tcPr>
          <w:p>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42" w:hRule="atLeast"/>
          <w:jc w:val="center"/>
        </w:trPr>
        <w:tc>
          <w:tcPr>
            <w:tcW w:w="488" w:type="pc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投标报价</w:t>
            </w: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12"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p>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pPr>
              <w:widowControl/>
              <w:adjustRightInd w:val="0"/>
              <w:snapToGrid w:val="0"/>
              <w:spacing w:line="360" w:lineRule="auto"/>
              <w:jc w:val="center"/>
              <w:rPr>
                <w:rFonts w:hint="eastAsia" w:ascii="宋体" w:hAnsi="宋体" w:eastAsia="宋体" w:cs="宋体"/>
                <w:color w:val="auto"/>
                <w:sz w:val="21"/>
                <w:szCs w:val="21"/>
                <w:highlight w:val="none"/>
              </w:rPr>
            </w:pPr>
          </w:p>
          <w:p>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技术指标响应情况（0-35分）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技术参数(0-35分)完全满足或优于招标文件技术要求的得35分，投标技术参数与招标文件参数要求有负偏离的在</w:t>
            </w: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rPr>
              <w:t>分的基础上，不带标注符号的技术参数出现负偏离的每有一项扣1分，标注“</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1"/>
                <w:szCs w:val="21"/>
                <w:highlight w:val="none"/>
              </w:rPr>
              <w:t>”号项技术参数出现负偏离的每有一项扣</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分，在本项分值范围技术指标</w:t>
            </w:r>
            <w:r>
              <w:rPr>
                <w:rFonts w:hint="eastAsia" w:ascii="宋体" w:hAnsi="宋体" w:cs="宋体"/>
                <w:color w:val="auto"/>
                <w:kern w:val="0"/>
                <w:sz w:val="21"/>
                <w:szCs w:val="21"/>
                <w:highlight w:val="none"/>
                <w:lang w:val="en-US" w:eastAsia="zh-CN"/>
              </w:rPr>
              <w:t>项</w:t>
            </w:r>
            <w:r>
              <w:rPr>
                <w:rFonts w:hint="eastAsia" w:ascii="宋体" w:hAnsi="宋体" w:eastAsia="宋体" w:cs="宋体"/>
                <w:color w:val="auto"/>
                <w:kern w:val="0"/>
                <w:sz w:val="21"/>
                <w:szCs w:val="21"/>
                <w:highlight w:val="none"/>
              </w:rPr>
              <w:t>内扣完为止。招标项目需求及技术要求中标注“</w:t>
            </w: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1"/>
                <w:szCs w:val="21"/>
                <w:highlight w:val="none"/>
              </w:rPr>
              <w:t>”号条款为实质性条款，必须逐条进行响应，有任何一条负偏离的，将导致无效投标。注:提供相关证明资料(如制造商公开发布的产品说明书或检测机构出具的检测报告或投标人须知前附表允许的其他形式予以佐证，否则为负偏离扣分或者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ind w:left="31680" w:hanging="308" w:hangingChars="14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车辆选型（整体设计）（0-5分）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产品的底盘选型、上装设计及布局、电气设备、随车配套设备及配件等情况进行综合评审（须提供设计说明、整体设计图、结构设计图、功能设计图、三维系统图等）：投标产品的底盘选型具有针对性、对各使用场景适用性高，上装设计及布局科学合理，内部结构选用制作板材等材料可靠性高、性能稳定，电气设备配置与采购需求吻合，配置随车器材及备件满足采购需求，且描述清晰、性能稳定可靠的，得5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较合理，对于各种适用场景具有较高适用性，上装设计及布局较合理，内部结构选用制作板材等材料可靠性较高、性能较稳定，电气设备配置与采购需求较为吻合，随车器材及备件的相关描述较清晰，性能较稳定、可靠性较高的，得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基本合理，对于各种适用场景具有一定适用性，上装设计及布局合理性略有欠缺，内部结构选用制作板材等材料可靠性较高、性能略有不足，电气设备配置与采购需求较为吻合，随车器材及备件的相关描述基本清晰，性能基本稳定、具有基本的可靠性，得1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性能配置及适用性较差，上装设计及布局有较大缺陷，电气设备配置不明确，随车器材及备件的相关信息描述简单，或者未同时提供设计说明、整体设计图、结构设计图、功能设计图、三维系统图等材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6"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车辆制造商专业技术生产能力（0-5分）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所投车辆制造商专业技术生产能力（包括但不限于自主研发能力、生产工艺、生产步骤、产品检验等）进行评审：投标人所投车辆制造商具备自主研发能力及先进的生产工艺，提供完整工艺流程图并配有详细的图片和文字说明，生产步骤完整周详，能够提供各环节完整的生产车间环境及详细的实际生产实景照片，具有严格的产品检验流程，检验设备配置齐全、检验步骤严密无纰漏，得5分；投标人所投车辆制造商具备一定的自主研发能力及较先进的生产工艺，提供较完整的工艺流程图并配有较详细的图片和文字说明，生产步骤较完整，能够提供各环节较完整的生产车间环境及较详细的实际生产实景照片，具有较严格的产品检验流程，检验设备配置较齐全、检验步骤较严密，得3分；投标人所投车辆制造商具有一定自主研发能力，提供部分生产工艺流程说明，生产步骤基本完善并提供生产车间环境及实际生产照片，产品检验流程及具体检验步骤基本完整，检验设备配置基本齐全，得1分；投标人所投车辆制造商不具备自主研发能力，生产工艺简单粗糙，生产步骤完善程度较差，未能提供生产车间环境及实际生产照片，产品检验流程及具体检验步骤不完整，检验设备配置不齐全，或者未提供投标人所投车辆制造商专业技术生产能力证明材料，本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1" w:hRule="atLeast"/>
          <w:jc w:val="center"/>
        </w:trPr>
        <w:tc>
          <w:tcPr>
            <w:tcW w:w="488" w:type="pct"/>
            <w:vMerge w:val="restart"/>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企业认证（0-1.5分）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投标人提供经认监委批准的认证机构颁发的有效的：</w:t>
            </w:r>
          </w:p>
          <w:p>
            <w:pPr>
              <w:numPr>
                <w:ilvl w:val="0"/>
                <w:numId w:val="8"/>
              </w:num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质量管理体系认证证书得0.5分；</w:t>
            </w:r>
          </w:p>
          <w:p>
            <w:pPr>
              <w:numPr>
                <w:ilvl w:val="0"/>
                <w:numId w:val="8"/>
              </w:numPr>
              <w:adjustRightInd w:val="0"/>
              <w:snapToGrid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环境管理体系认证证书得0.5分；</w:t>
            </w:r>
          </w:p>
          <w:p>
            <w:pPr>
              <w:numPr>
                <w:ilvl w:val="0"/>
                <w:numId w:val="8"/>
              </w:numPr>
              <w:adjustRightInd w:val="0"/>
              <w:snapToGrid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职业健康安全体系认证证书得0.5分。</w:t>
            </w:r>
          </w:p>
          <w:p>
            <w:pPr>
              <w:numPr>
                <w:ilvl w:val="0"/>
                <w:numId w:val="0"/>
              </w:numPr>
              <w:adjustRightInd w:val="0"/>
              <w:snapToGrid w:val="0"/>
              <w:spacing w:line="360" w:lineRule="auto"/>
              <w:ind w:left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注：本项累计最高得1.5分，需提供有效期内的有效证书扫描件，清晰可辨，无或其它不得分。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7"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产品</w:t>
            </w:r>
            <w:r>
              <w:rPr>
                <w:rFonts w:hint="eastAsia" w:ascii="宋体" w:hAnsi="宋体" w:eastAsia="宋体" w:cs="宋体"/>
                <w:b/>
                <w:color w:val="auto"/>
                <w:kern w:val="0"/>
                <w:sz w:val="21"/>
                <w:szCs w:val="21"/>
                <w:highlight w:val="none"/>
              </w:rPr>
              <w:t>业绩（0-2 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投标人每提供一份产品业绩得1分，最多得2分，不提供得0分。业绩年份要求，自202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年1月1日算起。产品业绩是指投标人所投标包项目</w:t>
            </w:r>
            <w:r>
              <w:rPr>
                <w:rFonts w:hint="eastAsia" w:ascii="宋体" w:hAnsi="宋体" w:cs="宋体"/>
                <w:color w:val="auto"/>
                <w:sz w:val="21"/>
                <w:szCs w:val="21"/>
                <w:highlight w:val="none"/>
                <w:lang w:eastAsia="zh-CN"/>
              </w:rPr>
              <w:t>产品相同类别的</w:t>
            </w:r>
            <w:r>
              <w:rPr>
                <w:rFonts w:hint="eastAsia" w:ascii="宋体" w:hAnsi="宋体" w:eastAsia="宋体" w:cs="宋体"/>
                <w:color w:val="auto"/>
                <w:sz w:val="21"/>
                <w:szCs w:val="21"/>
                <w:highlight w:val="none"/>
              </w:rPr>
              <w:t>业绩，以合同签订时间为准，业绩须包括发票、合同。注：投标文件中须附合同（需包含签订合同双方的单位名称、合同项目名称、项目金额与含签订合同双方的落款盖章、签订日期的关键页）、发票扫描件，清晰可辨，并加盖投标人公章，以上内容缺一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节能环保产品（0-1 分）</w:t>
            </w:r>
          </w:p>
        </w:tc>
        <w:tc>
          <w:tcPr>
            <w:tcW w:w="3040" w:type="pct"/>
            <w:gridSpan w:val="2"/>
            <w:vAlign w:val="center"/>
          </w:tcPr>
          <w:p>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如为节能产品政府采购品目清单内非强制节能产品的，加0.5分。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所投产品如为环境标志产品政府采购品目清单内的产品，加0.5分。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质保期（0-4.5 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color w:val="auto"/>
                <w:highlight w:val="none"/>
              </w:rPr>
              <w:t>在招标文件要求的质保期基础上，每承诺延长一年质保期得1.5分，最多得4.5分，未承诺的不得分。（注：如标包内有多个产品的，所有产品的质保期均需延长，否则不得分）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优惠条款（0-1分）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参照首保项目及范围进行维保延期承诺，承诺免费增加维保1次加0.5分，最多加1分，未承诺的不得分。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实施方案（0-4分）</w:t>
            </w:r>
          </w:p>
        </w:tc>
        <w:tc>
          <w:tcPr>
            <w:tcW w:w="3040" w:type="pct"/>
            <w:gridSpan w:val="2"/>
            <w:vAlign w:val="center"/>
          </w:tcPr>
          <w:p>
            <w:pPr>
              <w:numPr>
                <w:ilvl w:val="0"/>
                <w:numId w:val="9"/>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具体实施进度方案（2分）：（1）整体实施进度方案详实、切实可行，生产进度规划详细、原材料采购及生产计划响应迅速，供货周期优于项目要求，进度保障措施规划详细、响应周全、切实可行，项目组人员配备齐全、分工明确、团队力量强，得2分；（2）整体实施进度方案、生产进度规划、原材料采购及生产计划、供货周期、进度保障措施规划、项目组人员配备不详实、不详细或者部分不满足项目要求，得1分；（3）整体实施进度方案、生产进度规划、原材料采购及生产计划、供货周期、进度保障措施规划、项目组人员配备不能满足采购需求，得0.5分；（4）未提供方案，得0分。</w:t>
            </w:r>
          </w:p>
          <w:p>
            <w:pPr>
              <w:numPr>
                <w:ilvl w:val="0"/>
                <w:numId w:val="9"/>
              </w:numPr>
              <w:adjustRightInd w:val="0"/>
              <w:snapToGrid w:val="0"/>
              <w:spacing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障措施（1分）：（1）质量保障方案制定详实、切实可行，质量保障制度制定完善、可操作性强，质量保障人员配备齐全、分工明确、团队力量强，有专门的的质量保障经费规划，质量保障设施设备配备齐全，得1分；（2）质量保障方案制定、质量保障制度制定、质量保障人员配备、质量保障设施设备配备不详实、不齐全或者部分不满足项目要求，得0.5分；（3）未提供方案，得0分。</w:t>
            </w:r>
          </w:p>
          <w:p>
            <w:pPr>
              <w:numPr>
                <w:ilvl w:val="0"/>
                <w:numId w:val="0"/>
              </w:numPr>
              <w:adjustRightInd w:val="0"/>
              <w:snapToGrid w:val="0"/>
              <w:spacing w:line="36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1分）：（1）方案提供的测试、验收依据和相关的技术标准准确完整，方案制定的测试、验收的组织形式、程序、注意事项周全详实，测试、验收环节和内容设置详实，得1分；（2）方案提供的测试、验收依据和相关的技术标准、方案制定的测试、验收的组织形式、程序、注意事项、测试、验收环节和内容设置不详实或者部分不满足项目要求，得0.5分；（3）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履约能力（0-3分）</w:t>
            </w:r>
          </w:p>
        </w:tc>
        <w:tc>
          <w:tcPr>
            <w:tcW w:w="3040" w:type="pct"/>
            <w:gridSpan w:val="2"/>
            <w:vAlign w:val="center"/>
          </w:tcPr>
          <w:p>
            <w:pPr>
              <w:numPr>
                <w:ilvl w:val="0"/>
                <w:numId w:val="1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各阶段资金使用计划规划明确、各环节资金投入明确且保障有力得1分，没有保障或未提供该项内容得0分。</w:t>
            </w:r>
          </w:p>
          <w:p>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2.生产过程有落实节能环保相关措施且可行得1分，措施不可行或未提供该项内容得0分。</w:t>
            </w:r>
          </w:p>
          <w:p>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3.与各用户单位沟通和协调管理制度完善可行得1分，不完善、不可行或未提供该项内容得0分。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售后服务（0-</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售后服务（5分）</w:t>
            </w:r>
          </w:p>
          <w:p>
            <w:pPr>
              <w:numPr>
                <w:ilvl w:val="0"/>
                <w:numId w:val="11"/>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售后服务计划（内容包括但不限于售后服务内容、售后服务体系、故障响应、备品备件保障供应、巡检服务等）进行综合评分：服务计划完整（涵盖上述全部内容）、详尽，完全满足项目要求的，得2分；服务计划基本完整（涵盖上述全部内容，但是内容不够详尽或者其中某项描述欠缺的），得1分；服务计划不完整（内容缺少一项或多项的），或者服务计划无法满足采购需求的得0.5分；无服务计划的不得分。</w:t>
            </w:r>
          </w:p>
          <w:p>
            <w:pPr>
              <w:numPr>
                <w:ilvl w:val="0"/>
                <w:numId w:val="11"/>
              </w:numPr>
              <w:adjustRightInd w:val="0"/>
              <w:snapToGrid w:val="0"/>
              <w:spacing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应急维修保障措施（内容包括但不限应急维修程序、应急维修预案、应急维修人员配备等）进行综合评分：维修保障措施完整（涵盖上述全部内容）、详尽，完全满足项目要求的，得2分；维修保障措施基本完整（涵盖上述全部内容，但是内容不够详尽或者其中某项描述欠缺的），得1分；维修保障措施不完整（内容缺少一项或多项的），或者服务计划无法满足采购需求的得0.5分；无服务计划的不得分。</w:t>
            </w:r>
          </w:p>
          <w:p>
            <w:pPr>
              <w:numPr>
                <w:ilvl w:val="0"/>
                <w:numId w:val="0"/>
              </w:numPr>
              <w:adjustRightInd w:val="0"/>
              <w:snapToGrid w:val="0"/>
              <w:spacing w:line="36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（3）投标人提供本地化服务承诺（具体实施方式在合同中约定）的得1分，未提供的得0分。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培训方案（0-</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tc>
        <w:tc>
          <w:tcPr>
            <w:tcW w:w="3040" w:type="pct"/>
            <w:gridSpan w:val="2"/>
            <w:vAlign w:val="center"/>
          </w:tcPr>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培训方案（3分）</w:t>
            </w:r>
          </w:p>
          <w:p>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课时安排、培训时间安排等）进行综合评分：培训方案全面（涵盖上述全部内容）、详尽，符合项目特点，针对性强，确保满足培训效果的得3分；培训方案不全面（内容缺少一项或多项的）、针对性不强，得1.5分；培训方案无法满足项目实际需求的得0.5分；方案未提供不得分。</w:t>
            </w:r>
          </w:p>
        </w:tc>
      </w:tr>
    </w:tbl>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8" w:name="_Toc26533"/>
      <w:bookmarkStart w:id="399" w:name="_Toc3406"/>
      <w:bookmarkStart w:id="400" w:name="_Toc5920"/>
      <w:bookmarkStart w:id="401" w:name="_Toc4003"/>
      <w:bookmarkStart w:id="402" w:name="_Toc17219"/>
      <w:bookmarkStart w:id="403" w:name="_Toc13454"/>
      <w:bookmarkStart w:id="404" w:name="_Toc30895"/>
      <w:bookmarkStart w:id="405" w:name="_Toc6135"/>
      <w:bookmarkStart w:id="406" w:name="_Toc30234"/>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8"/>
      <w:bookmarkEnd w:id="399"/>
      <w:bookmarkEnd w:id="400"/>
      <w:bookmarkEnd w:id="401"/>
      <w:bookmarkEnd w:id="402"/>
      <w:bookmarkEnd w:id="403"/>
      <w:bookmarkEnd w:id="404"/>
      <w:bookmarkEnd w:id="405"/>
      <w:bookmarkEnd w:id="406"/>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7" w:name="_Toc27094"/>
      <w:bookmarkStart w:id="408" w:name="_Toc31651"/>
      <w:bookmarkStart w:id="409" w:name="_Toc29139"/>
      <w:bookmarkStart w:id="410" w:name="_Toc17735"/>
      <w:bookmarkStart w:id="411" w:name="_Toc6724"/>
      <w:bookmarkStart w:id="412" w:name="_Toc28336"/>
      <w:bookmarkStart w:id="413" w:name="_Toc5467"/>
      <w:bookmarkStart w:id="414" w:name="_Toc7259"/>
      <w:bookmarkStart w:id="415" w:name="_Toc10856"/>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7"/>
      <w:bookmarkEnd w:id="408"/>
      <w:bookmarkEnd w:id="409"/>
      <w:bookmarkEnd w:id="410"/>
      <w:bookmarkEnd w:id="411"/>
      <w:bookmarkEnd w:id="412"/>
      <w:bookmarkEnd w:id="413"/>
      <w:bookmarkEnd w:id="414"/>
      <w:bookmarkEnd w:id="415"/>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6" w:name="_Toc16356"/>
      <w:bookmarkStart w:id="417" w:name="_Toc1740"/>
      <w:bookmarkStart w:id="418" w:name="_Toc26726"/>
      <w:bookmarkStart w:id="419" w:name="_Toc21732"/>
      <w:bookmarkStart w:id="420" w:name="_Toc5605"/>
      <w:bookmarkStart w:id="421" w:name="_Toc4338"/>
      <w:bookmarkStart w:id="422" w:name="_Toc28724"/>
      <w:bookmarkStart w:id="423" w:name="_Toc22175"/>
      <w:bookmarkStart w:id="424" w:name="_Toc5149"/>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6"/>
      <w:bookmarkEnd w:id="417"/>
      <w:bookmarkEnd w:id="418"/>
      <w:bookmarkEnd w:id="419"/>
      <w:bookmarkEnd w:id="420"/>
      <w:bookmarkEnd w:id="421"/>
      <w:bookmarkEnd w:id="422"/>
      <w:bookmarkEnd w:id="423"/>
      <w:bookmarkEnd w:id="424"/>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5" w:name="_Toc18983"/>
      <w:bookmarkStart w:id="426" w:name="_Toc9443"/>
      <w:bookmarkStart w:id="427" w:name="_Toc5708"/>
      <w:bookmarkStart w:id="428" w:name="_Toc1654"/>
      <w:bookmarkStart w:id="429" w:name="_Toc17957"/>
      <w:bookmarkStart w:id="430" w:name="_Toc10682"/>
      <w:bookmarkStart w:id="431" w:name="_Toc32083"/>
      <w:bookmarkStart w:id="432" w:name="_Toc9613"/>
      <w:bookmarkStart w:id="433" w:name="_Toc7036"/>
      <w:r>
        <w:rPr>
          <w:rFonts w:ascii="宋体" w:hAnsi="宋体" w:cs="宋体"/>
          <w:color w:val="auto"/>
          <w:kern w:val="0"/>
          <w:sz w:val="24"/>
          <w:highlight w:val="none"/>
        </w:rPr>
        <w:t xml:space="preserve">3.1 </w:t>
      </w:r>
      <w:bookmarkEnd w:id="425"/>
      <w:bookmarkEnd w:id="426"/>
      <w:bookmarkEnd w:id="427"/>
      <w:bookmarkEnd w:id="428"/>
      <w:bookmarkEnd w:id="429"/>
      <w:bookmarkEnd w:id="430"/>
      <w:bookmarkEnd w:id="431"/>
      <w:bookmarkEnd w:id="432"/>
      <w:bookmarkEnd w:id="433"/>
      <w:r>
        <w:rPr>
          <w:rFonts w:hint="eastAsia" w:ascii="宋体" w:hAnsi="宋体" w:cs="宋体"/>
          <w:color w:val="auto"/>
          <w:kern w:val="0"/>
          <w:sz w:val="24"/>
          <w:highlight w:val="none"/>
        </w:rPr>
        <w:t>初步评审</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的投标文件进行初步评审，以确定其是否满足招标文件的实质性要求，有一项不符合评标标准的，评标委员会应当认定其投标无效。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4" w:name="_Toc22449"/>
      <w:bookmarkStart w:id="435" w:name="_Toc1221"/>
      <w:bookmarkStart w:id="436" w:name="_Toc13336"/>
      <w:bookmarkStart w:id="437" w:name="_Toc12089"/>
      <w:bookmarkStart w:id="438" w:name="_Toc18705"/>
      <w:bookmarkStart w:id="439" w:name="_Toc30428"/>
      <w:bookmarkStart w:id="440" w:name="_Toc10132"/>
      <w:bookmarkStart w:id="441" w:name="_Toc24391"/>
      <w:bookmarkStart w:id="442" w:name="_Toc26213"/>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）同时出现两种以上不一致的，按照前款规定的顺序修正。投标人不确认的，其投标无效。</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4"/>
      <w:bookmarkEnd w:id="435"/>
      <w:bookmarkEnd w:id="436"/>
      <w:bookmarkEnd w:id="437"/>
      <w:bookmarkEnd w:id="438"/>
      <w:bookmarkEnd w:id="439"/>
      <w:bookmarkEnd w:id="440"/>
      <w:bookmarkEnd w:id="441"/>
      <w:bookmarkEnd w:id="442"/>
      <w:r>
        <w:rPr>
          <w:rFonts w:hint="eastAsia" w:ascii="宋体" w:hAnsi="宋体" w:cs="宋体"/>
          <w:color w:val="auto"/>
          <w:kern w:val="0"/>
          <w:sz w:val="24"/>
          <w:highlight w:val="none"/>
        </w:rPr>
        <w:t>评标</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3" w:name="_Toc5640"/>
      <w:bookmarkStart w:id="444" w:name="_Toc18083"/>
      <w:bookmarkStart w:id="445" w:name="_Toc11722"/>
      <w:bookmarkStart w:id="446" w:name="_Toc9150"/>
      <w:bookmarkStart w:id="447" w:name="_Toc2162"/>
      <w:bookmarkStart w:id="448" w:name="_Toc7845"/>
      <w:bookmarkStart w:id="449" w:name="_Toc18381"/>
      <w:bookmarkStart w:id="450" w:name="_Toc11785"/>
      <w:bookmarkStart w:id="451" w:name="_Toc6048"/>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3"/>
      <w:bookmarkEnd w:id="444"/>
      <w:bookmarkEnd w:id="445"/>
      <w:bookmarkEnd w:id="446"/>
      <w:bookmarkEnd w:id="447"/>
      <w:bookmarkEnd w:id="448"/>
      <w:bookmarkEnd w:id="449"/>
      <w:bookmarkEnd w:id="450"/>
      <w:bookmarkEnd w:id="451"/>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2" w:name="_Toc28041"/>
      <w:bookmarkStart w:id="453" w:name="_Toc25857"/>
      <w:bookmarkStart w:id="454" w:name="_Toc19426"/>
      <w:bookmarkStart w:id="455" w:name="_Toc7956"/>
      <w:bookmarkStart w:id="456" w:name="_Toc12108"/>
      <w:bookmarkStart w:id="457" w:name="_Toc10336"/>
      <w:bookmarkStart w:id="458" w:name="_Toc19756"/>
      <w:bookmarkStart w:id="459" w:name="_Toc27845"/>
      <w:bookmarkStart w:id="460" w:name="_Toc12060"/>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2"/>
      <w:bookmarkEnd w:id="453"/>
      <w:bookmarkEnd w:id="454"/>
      <w:bookmarkEnd w:id="455"/>
      <w:bookmarkEnd w:id="456"/>
      <w:bookmarkEnd w:id="457"/>
      <w:bookmarkEnd w:id="458"/>
      <w:bookmarkEnd w:id="459"/>
      <w:bookmarkEnd w:id="460"/>
    </w:p>
    <w:p>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pPr>
        <w:pStyle w:val="2"/>
        <w:rPr>
          <w:rFonts w:ascii="宋体" w:cs="宋体"/>
          <w:color w:val="auto"/>
          <w:szCs w:val="32"/>
          <w:highlight w:val="none"/>
        </w:rPr>
      </w:pPr>
      <w:bookmarkStart w:id="461" w:name="_Toc40112140"/>
      <w:bookmarkStart w:id="462" w:name="_Toc312133549"/>
      <w:r>
        <w:rPr>
          <w:rFonts w:ascii="宋体" w:cs="宋体"/>
          <w:color w:val="auto"/>
          <w:szCs w:val="32"/>
          <w:highlight w:val="none"/>
        </w:rPr>
        <w:br w:type="page"/>
      </w:r>
      <w:bookmarkStart w:id="463" w:name="_Toc17148"/>
      <w:bookmarkStart w:id="464" w:name="_Toc7178"/>
      <w:bookmarkStart w:id="465" w:name="_Toc16056"/>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61"/>
      <w:bookmarkEnd w:id="463"/>
      <w:bookmarkEnd w:id="464"/>
      <w:bookmarkEnd w:id="465"/>
    </w:p>
    <w:bookmarkEnd w:id="462"/>
    <w:p>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pPr>
        <w:widowControl/>
        <w:spacing w:line="360" w:lineRule="auto"/>
        <w:jc w:val="center"/>
        <w:rPr>
          <w:rFonts w:ascii="宋体" w:hAnsi="宋体" w:cs="宋体"/>
          <w:b/>
          <w:bCs/>
          <w:color w:val="auto"/>
          <w:sz w:val="52"/>
          <w:szCs w:val="52"/>
          <w:highlight w:val="none"/>
        </w:rPr>
      </w:pPr>
      <w:bookmarkStart w:id="466" w:name="_Toc29143"/>
      <w:r>
        <w:rPr>
          <w:rFonts w:hint="eastAsia" w:ascii="宋体" w:hAnsi="宋体" w:cs="宋体"/>
          <w:b/>
          <w:bCs/>
          <w:color w:val="auto"/>
          <w:sz w:val="52"/>
          <w:szCs w:val="52"/>
          <w:highlight w:val="none"/>
        </w:rPr>
        <w:t>合  同  书</w:t>
      </w:r>
    </w:p>
    <w:p>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pPr>
        <w:widowControl/>
        <w:spacing w:line="360" w:lineRule="auto"/>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合同编号：</w:t>
      </w:r>
      <w:r>
        <w:rPr>
          <w:rFonts w:hint="eastAsia" w:ascii="宋体" w:hAnsi="宋体" w:cs="宋体"/>
          <w:color w:val="auto"/>
          <w:sz w:val="28"/>
          <w:szCs w:val="28"/>
          <w:highlight w:val="none"/>
          <w:u w:val="single"/>
          <w:lang w:val="en-US" w:eastAsia="zh-CN"/>
        </w:rPr>
        <w:t xml:space="preserve">          </w:t>
      </w:r>
    </w:p>
    <w:p>
      <w:pPr>
        <w:widowControl/>
        <w:spacing w:line="360" w:lineRule="auto"/>
        <w:jc w:val="center"/>
        <w:rPr>
          <w:rFonts w:ascii="宋体" w:cs="宋体"/>
          <w:color w:val="auto"/>
          <w:szCs w:val="21"/>
          <w:highlight w:val="none"/>
        </w:rPr>
      </w:pPr>
    </w:p>
    <w:p>
      <w:pPr>
        <w:pStyle w:val="12"/>
        <w:spacing w:line="360" w:lineRule="auto"/>
        <w:ind w:left="0" w:leftChars="0" w:right="1470"/>
        <w:rPr>
          <w:rFonts w:ascii="宋体" w:cs="宋体"/>
          <w:color w:val="auto"/>
          <w:sz w:val="32"/>
          <w:szCs w:val="32"/>
          <w:highlight w:val="none"/>
        </w:rPr>
      </w:pPr>
      <w:r>
        <w:rPr>
          <w:rFonts w:hint="eastAsia" w:ascii="宋体" w:hAnsi="宋体" w:cs="宋体"/>
          <w:color w:val="auto"/>
          <w:w w:val="90"/>
          <w:sz w:val="44"/>
          <w:szCs w:val="44"/>
          <w:highlight w:val="none"/>
        </w:rPr>
        <w:t>项目名称：</w:t>
      </w:r>
      <w:r>
        <w:rPr>
          <w:rFonts w:hint="eastAsia" w:ascii="宋体" w:hAnsi="宋体" w:cs="宋体"/>
          <w:color w:val="auto"/>
          <w:w w:val="90"/>
          <w:sz w:val="44"/>
          <w:szCs w:val="44"/>
          <w:highlight w:val="none"/>
          <w:lang w:eastAsia="zh-CN"/>
        </w:rPr>
        <w:t>平顶山市消防救援支队河南省消防救援总队“自然灾害应急能力提升工程”平顶山支队装备建设项目</w:t>
      </w: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pStyle w:val="12"/>
        <w:spacing w:line="360" w:lineRule="auto"/>
        <w:ind w:left="0" w:leftChars="0" w:right="1470"/>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甲方（需方）：</w:t>
      </w:r>
    </w:p>
    <w:p>
      <w:pPr>
        <w:widowControl/>
        <w:spacing w:line="360" w:lineRule="auto"/>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 xml:space="preserve">乙方（供方）： </w:t>
      </w:r>
    </w:p>
    <w:p>
      <w:pPr>
        <w:widowControl/>
        <w:spacing w:line="360" w:lineRule="auto"/>
        <w:jc w:val="right"/>
        <w:rPr>
          <w:rFonts w:ascii="宋体" w:cs="宋体"/>
          <w:color w:val="auto"/>
          <w:sz w:val="32"/>
          <w:szCs w:val="32"/>
          <w:highlight w:val="none"/>
        </w:rPr>
      </w:pPr>
    </w:p>
    <w:p>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合同签订日期：二〇二</w:t>
      </w:r>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r>
        <w:rPr>
          <w:rFonts w:ascii="宋体" w:hAnsi="宋体" w:cs="宋体"/>
          <w:color w:val="auto"/>
          <w:sz w:val="32"/>
          <w:szCs w:val="32"/>
          <w:highlight w:val="none"/>
        </w:rPr>
        <w:t xml:space="preserve">   </w:t>
      </w:r>
    </w:p>
    <w:p>
      <w:pPr>
        <w:spacing w:line="384" w:lineRule="auto"/>
        <w:ind w:firstLine="520"/>
        <w:jc w:val="both"/>
        <w:rPr>
          <w:rFonts w:hint="eastAsia" w:ascii="宋体" w:hAnsi="宋体" w:eastAsia="宋体"/>
          <w:color w:val="auto"/>
          <w:sz w:val="27"/>
          <w:highlight w:val="none"/>
        </w:rPr>
      </w:pP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甲方：</w:t>
      </w:r>
      <w:r>
        <w:rPr>
          <w:rFonts w:hint="eastAsia" w:ascii="宋体" w:hAnsi="宋体" w:eastAsia="宋体"/>
          <w:color w:val="auto"/>
          <w:sz w:val="24"/>
          <w:szCs w:val="24"/>
          <w:highlight w:val="none"/>
          <w:u w:val="single"/>
        </w:rPr>
        <w:t xml:space="preserve">         </w:t>
      </w: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乙方：</w:t>
      </w:r>
      <w:r>
        <w:rPr>
          <w:rFonts w:hint="eastAsia" w:ascii="宋体" w:hAnsi="宋体" w:eastAsia="宋体"/>
          <w:color w:val="auto"/>
          <w:sz w:val="24"/>
          <w:szCs w:val="24"/>
          <w:highlight w:val="none"/>
          <w:u w:val="single"/>
        </w:rPr>
        <w:t xml:space="preserve">         </w:t>
      </w: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为了保护供需各方的合法权益，甲乙双方依照《中华人民共和国民法典》有关条款，就</w:t>
      </w:r>
      <w:r>
        <w:rPr>
          <w:rFonts w:hint="eastAsia" w:ascii="宋体" w:hAnsi="宋体"/>
          <w:color w:val="auto"/>
          <w:sz w:val="24"/>
          <w:szCs w:val="24"/>
          <w:highlight w:val="none"/>
          <w:u w:val="single"/>
          <w:lang w:val="en-US" w:eastAsia="zh-CN"/>
        </w:rPr>
        <w:t xml:space="preserve">          项目 </w:t>
      </w:r>
      <w:r>
        <w:rPr>
          <w:rFonts w:hint="eastAsia" w:ascii="宋体" w:hAnsi="宋体" w:eastAsia="宋体"/>
          <w:color w:val="auto"/>
          <w:sz w:val="24"/>
          <w:szCs w:val="24"/>
          <w:highlight w:val="none"/>
        </w:rPr>
        <w:t>（项目编号：</w:t>
      </w:r>
      <w:r>
        <w:rPr>
          <w:rFonts w:hint="eastAsia" w:ascii="宋体" w:hAnsi="宋体"/>
          <w:color w:val="auto"/>
          <w:sz w:val="24"/>
          <w:szCs w:val="24"/>
          <w:highlight w:val="none"/>
          <w:lang w:val="en-US" w:eastAsia="zh-CN"/>
        </w:rPr>
        <w:t xml:space="preserve">  </w:t>
      </w:r>
      <w:r>
        <w:rPr>
          <w:rFonts w:hint="eastAsia" w:ascii="宋体" w:hAnsi="宋体" w:eastAsia="宋体"/>
          <w:color w:val="auto"/>
          <w:sz w:val="24"/>
          <w:szCs w:val="24"/>
          <w:highlight w:val="none"/>
        </w:rPr>
        <w:t>）第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包中，乙方向甲方提供的供货及相关服务，经甲乙双方协商一致，签订本合同，共同遵守执行。</w:t>
      </w:r>
    </w:p>
    <w:p>
      <w:pPr>
        <w:spacing w:line="384" w:lineRule="auto"/>
        <w:ind w:firstLine="520"/>
        <w:jc w:val="both"/>
        <w:rPr>
          <w:color w:val="auto"/>
          <w:sz w:val="24"/>
          <w:szCs w:val="24"/>
          <w:highlight w:val="none"/>
        </w:rPr>
      </w:pP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．合同货物清单</w:t>
      </w:r>
    </w:p>
    <w:tbl>
      <w:tblPr>
        <w:tblStyle w:val="23"/>
        <w:tblW w:w="941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49"/>
        <w:gridCol w:w="1754"/>
        <w:gridCol w:w="1350"/>
        <w:gridCol w:w="631"/>
        <w:gridCol w:w="596"/>
        <w:gridCol w:w="701"/>
        <w:gridCol w:w="1297"/>
        <w:gridCol w:w="1227"/>
        <w:gridCol w:w="121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19"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序号</w:t>
            </w:r>
          </w:p>
        </w:tc>
        <w:tc>
          <w:tcPr>
            <w:tcW w:w="1754"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货物名称</w:t>
            </w:r>
          </w:p>
        </w:tc>
        <w:tc>
          <w:tcPr>
            <w:tcW w:w="135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产地厂家</w:t>
            </w:r>
          </w:p>
        </w:tc>
        <w:tc>
          <w:tcPr>
            <w:tcW w:w="631"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color w:val="auto"/>
                <w:sz w:val="24"/>
                <w:szCs w:val="24"/>
                <w:highlight w:val="none"/>
              </w:rPr>
            </w:pPr>
            <w:r>
              <w:rPr>
                <w:rFonts w:hint="eastAsia" w:ascii="宋体" w:hAnsi="宋体" w:eastAsia="宋体"/>
                <w:color w:val="auto"/>
                <w:sz w:val="24"/>
                <w:szCs w:val="24"/>
                <w:highlight w:val="none"/>
              </w:rPr>
              <w:t>单位</w:t>
            </w:r>
          </w:p>
        </w:tc>
        <w:tc>
          <w:tcPr>
            <w:tcW w:w="596"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color w:val="auto"/>
                <w:sz w:val="24"/>
                <w:szCs w:val="24"/>
                <w:highlight w:val="none"/>
              </w:rPr>
            </w:pPr>
            <w:r>
              <w:rPr>
                <w:rFonts w:hint="eastAsia" w:ascii="宋体" w:hAnsi="宋体" w:eastAsia="宋体"/>
                <w:color w:val="auto"/>
                <w:sz w:val="24"/>
                <w:szCs w:val="24"/>
                <w:highlight w:val="none"/>
              </w:rPr>
              <w:t>数量</w:t>
            </w:r>
          </w:p>
        </w:tc>
        <w:tc>
          <w:tcPr>
            <w:tcW w:w="70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规格型号</w:t>
            </w:r>
          </w:p>
        </w:tc>
        <w:tc>
          <w:tcPr>
            <w:tcW w:w="1297"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单价（元）</w:t>
            </w:r>
          </w:p>
        </w:tc>
        <w:tc>
          <w:tcPr>
            <w:tcW w:w="1227"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color w:val="auto"/>
                <w:sz w:val="24"/>
                <w:szCs w:val="24"/>
                <w:highlight w:val="none"/>
              </w:rPr>
            </w:pPr>
            <w:r>
              <w:rPr>
                <w:rFonts w:hint="eastAsia" w:ascii="宋体" w:hAnsi="宋体" w:eastAsia="宋体"/>
                <w:color w:val="auto"/>
                <w:sz w:val="24"/>
                <w:szCs w:val="24"/>
                <w:highlight w:val="none"/>
              </w:rPr>
              <w:t>小计（元）</w:t>
            </w:r>
          </w:p>
        </w:tc>
        <w:tc>
          <w:tcPr>
            <w:tcW w:w="1211"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color w:val="auto"/>
                <w:sz w:val="24"/>
                <w:szCs w:val="24"/>
                <w:highlight w:val="none"/>
              </w:rPr>
            </w:pPr>
            <w:r>
              <w:rPr>
                <w:rFonts w:hint="eastAsia" w:ascii="宋体" w:hAnsi="宋体" w:eastAsia="宋体"/>
                <w:color w:val="auto"/>
                <w:sz w:val="24"/>
                <w:szCs w:val="24"/>
                <w:highlight w:val="none"/>
              </w:rPr>
              <w:t>需求单位</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auto"/>
                <w:sz w:val="24"/>
                <w:szCs w:val="24"/>
                <w:highlight w:val="none"/>
                <w:lang w:val="en-US" w:eastAsia="zh-CN"/>
              </w:rPr>
            </w:pPr>
            <w:r>
              <w:rPr>
                <w:rFonts w:hint="eastAsia" w:ascii="Calibri" w:hAnsi="Calibri" w:eastAsia="宋体"/>
                <w:color w:val="auto"/>
                <w:sz w:val="24"/>
                <w:szCs w:val="24"/>
                <w:highlight w:val="none"/>
                <w:lang w:val="en-US" w:eastAsia="zh-CN"/>
              </w:rPr>
              <w:t>1</w:t>
            </w:r>
          </w:p>
        </w:tc>
        <w:tc>
          <w:tcPr>
            <w:tcW w:w="1754"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auto"/>
                <w:sz w:val="24"/>
                <w:szCs w:val="24"/>
                <w:highlight w:val="none"/>
                <w:lang w:val="en-US" w:eastAsia="zh-CN"/>
              </w:rPr>
            </w:pPr>
            <w:r>
              <w:rPr>
                <w:rFonts w:hint="eastAsia" w:ascii="Calibri" w:hAnsi="Calibri" w:eastAsia="宋体"/>
                <w:color w:val="auto"/>
                <w:sz w:val="24"/>
                <w:szCs w:val="24"/>
                <w:highlight w:val="none"/>
                <w:lang w:val="en-US" w:eastAsia="zh-CN"/>
              </w:rPr>
              <w:t>2</w:t>
            </w:r>
          </w:p>
        </w:tc>
        <w:tc>
          <w:tcPr>
            <w:tcW w:w="1754"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ascii="Calibri" w:hAnsi="Calibri" w:eastAsia="宋体"/>
                <w:color w:val="auto"/>
                <w:sz w:val="24"/>
                <w:szCs w:val="24"/>
                <w:highlight w:val="none"/>
                <w:lang w:val="en-US" w:eastAsia="zh-CN"/>
              </w:rPr>
            </w:pPr>
            <w:r>
              <w:rPr>
                <w:rFonts w:hint="eastAsia" w:ascii="Calibri" w:hAnsi="Calibri" w:eastAsia="宋体"/>
                <w:color w:val="auto"/>
                <w:sz w:val="24"/>
                <w:szCs w:val="24"/>
                <w:highlight w:val="none"/>
                <w:lang w:val="en-US" w:eastAsia="zh-CN"/>
              </w:rPr>
              <w:t>3</w:t>
            </w:r>
          </w:p>
        </w:tc>
        <w:tc>
          <w:tcPr>
            <w:tcW w:w="1754"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pPr>
              <w:spacing w:line="384" w:lineRule="auto"/>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4</w:t>
            </w:r>
          </w:p>
        </w:tc>
        <w:tc>
          <w:tcPr>
            <w:tcW w:w="1754"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32" w:hRule="atLeast"/>
          <w:jc w:val="center"/>
        </w:trPr>
        <w:tc>
          <w:tcPr>
            <w:tcW w:w="9416" w:type="dxa"/>
            <w:gridSpan w:val="9"/>
            <w:tcBorders>
              <w:top w:val="single" w:color="000000" w:sz="4" w:space="0"/>
              <w:left w:val="single" w:color="000000" w:sz="4" w:space="0"/>
              <w:bottom w:val="single" w:color="000000" w:sz="4" w:space="0"/>
              <w:right w:val="single" w:color="000000" w:sz="4" w:space="0"/>
            </w:tcBorders>
            <w:vAlign w:val="center"/>
          </w:tcPr>
          <w:p>
            <w:pPr>
              <w:spacing w:line="384" w:lineRule="auto"/>
              <w:ind w:firstLine="0"/>
              <w:jc w:val="both"/>
              <w:rPr>
                <w:color w:val="auto"/>
                <w:sz w:val="24"/>
                <w:szCs w:val="24"/>
                <w:highlight w:val="none"/>
              </w:rPr>
            </w:pPr>
            <w:r>
              <w:rPr>
                <w:rFonts w:hint="eastAsia" w:ascii="宋体" w:hAnsi="宋体" w:eastAsia="宋体"/>
                <w:color w:val="auto"/>
                <w:sz w:val="24"/>
                <w:szCs w:val="24"/>
                <w:highlight w:val="none"/>
              </w:rPr>
              <w:t>合计总价</w:t>
            </w:r>
            <w:r>
              <w:rPr>
                <w:rFonts w:hint="eastAsia" w:ascii="Calibri" w:hAnsi="Calibri" w:eastAsia="Calibri"/>
                <w:color w:val="auto"/>
                <w:sz w:val="24"/>
                <w:szCs w:val="24"/>
                <w:highlight w:val="none"/>
              </w:rPr>
              <w:t>RMB</w:t>
            </w:r>
            <w:r>
              <w:rPr>
                <w:rFonts w:hint="eastAsia" w:ascii="宋体" w:hAnsi="宋体" w:eastAsia="宋体"/>
                <w:color w:val="auto"/>
                <w:sz w:val="24"/>
                <w:szCs w:val="24"/>
                <w:highlight w:val="none"/>
              </w:rPr>
              <w:t>¥：   元</w:t>
            </w:r>
          </w:p>
        </w:tc>
      </w:tr>
    </w:tbl>
    <w:p>
      <w:pPr>
        <w:spacing w:line="384" w:lineRule="auto"/>
        <w:ind w:firstLine="520"/>
        <w:jc w:val="both"/>
        <w:rPr>
          <w:color w:val="auto"/>
          <w:sz w:val="24"/>
          <w:szCs w:val="24"/>
          <w:highlight w:val="none"/>
        </w:rPr>
      </w:pP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．合同总价</w:t>
      </w: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总价为人民币（大写）：</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整，即</w:t>
      </w:r>
      <w:r>
        <w:rPr>
          <w:rFonts w:hint="eastAsia" w:ascii="Calibri" w:hAnsi="Calibri" w:eastAsia="Calibri"/>
          <w:color w:val="auto"/>
          <w:sz w:val="24"/>
          <w:szCs w:val="24"/>
          <w:highlight w:val="none"/>
        </w:rPr>
        <w:t>RMB</w:t>
      </w:r>
      <w:r>
        <w:rPr>
          <w:rFonts w:hint="eastAsia" w:ascii="宋体" w:hAnsi="宋体" w:eastAsia="宋体"/>
          <w:color w:val="auto"/>
          <w:sz w:val="24"/>
          <w:szCs w:val="24"/>
          <w:highlight w:val="none"/>
        </w:rPr>
        <w:t>¥：</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元，合同总价包括货物的全部价款、税率及汇率的变化风险、包装、运输、装卸、安装、调试及出厂前验收、技术、指导、培训、咨询、服务、检测、保险、验收、交付、售后服务等全部费用，甲方不再另向乙方支付本合同规定之外的任何费用。本合同总价为固定不变价。</w:t>
      </w:r>
    </w:p>
    <w:p>
      <w:pPr>
        <w:spacing w:line="384" w:lineRule="auto"/>
        <w:ind w:firstLine="520"/>
        <w:jc w:val="both"/>
        <w:rPr>
          <w:color w:val="auto"/>
          <w:sz w:val="24"/>
          <w:szCs w:val="24"/>
          <w:highlight w:val="none"/>
        </w:rPr>
      </w:pP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．合同组成</w:t>
      </w:r>
    </w:p>
    <w:p>
      <w:pPr>
        <w:spacing w:line="384" w:lineRule="auto"/>
        <w:ind w:firstLine="520"/>
        <w:jc w:val="both"/>
        <w:rPr>
          <w:color w:val="auto"/>
          <w:sz w:val="24"/>
          <w:szCs w:val="24"/>
          <w:highlight w:val="none"/>
        </w:rPr>
      </w:pPr>
      <w:r>
        <w:rPr>
          <w:rFonts w:hint="eastAsia" w:ascii="宋体" w:hAnsi="宋体" w:eastAsia="宋体"/>
          <w:color w:val="auto"/>
          <w:sz w:val="24"/>
          <w:szCs w:val="24"/>
          <w:highlight w:val="none"/>
        </w:rPr>
        <w:t>技术规格、技术要求及其他有关货物的特定信息由合同附件说明。所有合同附件及本项目的报价文件、中标通知书、招标文件、投标文件、会议纪要、协议等均为本合同不可分割之部分。解释的顺序除特别说明外，以文件生成时间在后的为准。</w:t>
      </w:r>
    </w:p>
    <w:p>
      <w:pPr>
        <w:spacing w:line="384" w:lineRule="auto"/>
        <w:ind w:firstLine="52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．技术要求</w:t>
      </w:r>
    </w:p>
    <w:p>
      <w:pPr>
        <w:spacing w:line="360" w:lineRule="auto"/>
        <w:ind w:firstLine="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 xml:space="preserve"> 乙方提供的货物必须符合中华人民共和国国家安全环保标准、国家有关产品质量认证标准，以及甲方采购文件和乙方投标文件中规定的质量要求和技术指标；甲乙双方如遇对质量要求和技术指标的约定标准有相互抵触或异议的事项，由甲方在采购与投标文件中按质量要求和技术指标比较优胜的原则确定该项的约定标准。如果中华人民共和国没有相关标准的，则采用货物来源国适用的官方标准。这些标准必须是相关国家或行业机构发布的最新版标准。</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 xml:space="preserve"> 乙方保证提供的货物不侵犯任何第三方的专利、商标版权或其他知识产权。一旦出现任何第三方提出侵权指控，乙方必须与第三方交涉，并承担可能发生的一切责任与费用，如因此给甲方造成损失的，乙方负责全额赔偿。</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 xml:space="preserve"> 进口底盘及设备必须具备有效的原产地证明、报关手续、商检部门的检验证明及合法进口渠道证明。</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 xml:space="preserve"> 合同货物上均应标有铭牌（内容包括：制造商、货物名称、型号规格、出厂日期等），并附有产品质量检验合格标志。</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．合同货物交货及验收</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交货期</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交货时间：合同签订之日起</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日历天。</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交货地点：</w:t>
      </w:r>
    </w:p>
    <w:p>
      <w:pPr>
        <w:spacing w:line="360" w:lineRule="auto"/>
        <w:ind w:firstLine="1160"/>
        <w:jc w:val="both"/>
        <w:rPr>
          <w:color w:val="auto"/>
          <w:sz w:val="24"/>
          <w:szCs w:val="24"/>
          <w:highlight w:val="none"/>
        </w:rPr>
      </w:pPr>
      <w:r>
        <w:rPr>
          <w:rFonts w:hint="eastAsia" w:ascii="宋体" w:hAnsi="宋体" w:eastAsia="宋体"/>
          <w:color w:val="auto"/>
          <w:sz w:val="24"/>
          <w:szCs w:val="24"/>
          <w:highlight w:val="none"/>
        </w:rPr>
        <w:t>甲方联系人：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pPr>
        <w:spacing w:line="360" w:lineRule="auto"/>
        <w:ind w:firstLine="1160"/>
        <w:jc w:val="both"/>
        <w:rPr>
          <w:color w:val="auto"/>
          <w:sz w:val="24"/>
          <w:szCs w:val="24"/>
          <w:highlight w:val="none"/>
        </w:rPr>
      </w:pPr>
      <w:r>
        <w:rPr>
          <w:rFonts w:hint="eastAsia" w:ascii="宋体" w:hAnsi="宋体" w:eastAsia="宋体"/>
          <w:color w:val="auto"/>
          <w:sz w:val="24"/>
          <w:szCs w:val="24"/>
          <w:highlight w:val="none"/>
        </w:rPr>
        <w:t>乙方联系人：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u w:val="single"/>
        </w:rPr>
        <w:t xml:space="preserve">   </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．货物验收</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乙方交付的车辆（整车）应为已取得中华人民共和国工业和信息化部发布的对应车型《道路机动车辆生产企业及产品公告》的合格产品；所交付车辆已取得办理车辆产权（含上牌）所必需的一切手续资料，应符合现行国家专用汽车的相关要求，否则，甲方有权按照投标人虚假投标处理，解除合同、扣除履约保证金，收回预付款，拉入企业黑名单，并向上级部门上报相关情况；其它未尽事宜，按国家有关法律、法规执行；同时，乙方向甲方递交验收申请书；货物到达甲方指定地点，乙方应自行完成安装调试工作，货物安装调试完成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个工作日内，甲乙双方共同进行验收，验收合格后双方签订验收调试合格报告书一式</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份。</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货物验收时，乙方必须向甲方验收小组提供货物发票、合格证及相关检测证明资料，并同时向甲方设立的维修中心提供</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套完整的操作、维修技术资料，包括整车操作使用说明书及光盘（中文）、底盘使用说明书及光盘（中文）、整车操作维修手册（中文）、底盘操作维修手册（中文）等。</w:t>
      </w:r>
    </w:p>
    <w:p>
      <w:pPr>
        <w:spacing w:line="360" w:lineRule="auto"/>
        <w:ind w:firstLine="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验收按国家有关的规定、规范进行。验收时如发现所交付的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货物在运输和安装调试过程中发生短缺、损坏，乙方应及时安排换装，所需费用由乙方承担。</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乙方交货时应将货物的配置清单、用户手册、保修手册、原厂保修卡、产品合格证、资料及配件、随车工具、进口货物的商检证明、合法进口渠道证明、设计三视图等资料交付给甲方：乙方为执行本合同而提供的技术资料（具体内容见本合同</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条）、软件的使用权归甲方所有。乙方不能完整交付货物及本款规定的资料和工具的，视为未按合同约定交货，乙方必须负责补齐，因此导致逾期交付的，由乙方承担相关的违约责任。</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货物到达交货地点之前的所有保险费用和派往甲方进行服务人员的人身险和其他有关险种，以及有关费用由乙方负责。</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底盘进场后，甲方安排技术骨干驻厂监督（期间，人员食宿费自理）。监造过程中如发现有车辆主要部件性能不达标、质量差并经国家检测部门检测不符合国家或行业标准等问题拒不改正的，采购方有权终止合同，并按相关法律规定有权向上级主管机构举报，列入本系统消防车招标采购项目黑名单。</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甲方有正当理由拒收货物或者解除合同的，货物毁损、丢失的风险由乙方承担。</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．质量保证及售后服务</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乙方保证货物是通过合法渠道进货、全新且未使用过的，所有权权属无任何瑕疵（即不存在抵押或其他可能影响货物所有权属事宜），其质量、规格及技术特征要符合本合同及合同第</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条所包括的资料的要求。</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以书面形式提供货物原厂家承诺的质量保证。</w:t>
      </w:r>
    </w:p>
    <w:p>
      <w:pPr>
        <w:spacing w:line="360" w:lineRule="auto"/>
        <w:ind w:firstLine="480"/>
        <w:jc w:val="both"/>
        <w:rPr>
          <w:color w:val="auto"/>
          <w:sz w:val="24"/>
          <w:szCs w:val="24"/>
          <w:highlight w:val="none"/>
        </w:rPr>
      </w:pPr>
      <w:r>
        <w:rPr>
          <w:rFonts w:hint="eastAsia" w:ascii="宋体" w:hAnsi="宋体" w:eastAsia="宋体"/>
          <w:color w:val="auto"/>
          <w:sz w:val="24"/>
          <w:szCs w:val="24"/>
          <w:highlight w:val="none"/>
        </w:rPr>
        <w:t>乙方及货物原厂家应保证车辆在正常行驶状况下的安全性，而无安全隐患。乙方及货物原厂家应保证车辆在保修期内，所有《产品说明书》或《产品使用书》所载明的安全装置都处在有效的使用状态。</w:t>
      </w:r>
    </w:p>
    <w:p>
      <w:pPr>
        <w:spacing w:line="360" w:lineRule="auto"/>
        <w:ind w:firstLine="480"/>
        <w:jc w:val="both"/>
        <w:rPr>
          <w:color w:val="auto"/>
          <w:sz w:val="24"/>
          <w:szCs w:val="24"/>
          <w:highlight w:val="none"/>
        </w:rPr>
      </w:pPr>
      <w:r>
        <w:rPr>
          <w:rFonts w:hint="eastAsia" w:ascii="宋体" w:hAnsi="宋体" w:eastAsia="宋体"/>
          <w:color w:val="auto"/>
          <w:sz w:val="24"/>
          <w:szCs w:val="24"/>
          <w:highlight w:val="none"/>
        </w:rPr>
        <w:t>乙方提供整车（含车内和改装设备）不少于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的质保服务（与投标文件承诺一致），质保期自甲乙双方代表在货物交付后的验收合格报告书上签字之日起计算（如果乙方投标承诺或生产制造厂家提供的质保期超过本款要求，按乙方投标承诺或生产制造厂家的质保期执行），首保费用由中标人承担。</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质保期内非甲方的人为原因而出现货物质量及安装问题，由乙方负责包修、包换或包退，并承担因此而产生的一切费用。乙方应在收到甲方通知后派员在</w:t>
      </w:r>
    </w:p>
    <w:p>
      <w:pPr>
        <w:spacing w:line="384" w:lineRule="auto"/>
        <w:ind w:firstLine="0"/>
        <w:jc w:val="both"/>
        <w:rPr>
          <w:color w:val="auto"/>
          <w:sz w:val="24"/>
          <w:szCs w:val="24"/>
          <w:highlight w:val="none"/>
        </w:rPr>
      </w:pP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小时内到现场维修。质保期后，由乙方提供</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的免费保修服务，保修费用计入合同总价，乙方只收取材料费。</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如有下列情况之一乙方不负责免费保修：</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）甲方不按照乙方提供的正确方法使用而引致货物故障损坏；</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）甲方擅自改装货物：</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）各种不可抗力事件造成的损坏。</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货物交付使用后，仍需以书面形式承诺维修服务，实行终身维护：在质保期内，乙方必须提供至少</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次免费上门维保服务（与投标文件承诺一致），乙方必须提供</w:t>
      </w:r>
      <w:r>
        <w:rPr>
          <w:rFonts w:hint="eastAsia" w:ascii="Calibri" w:hAnsi="Calibri" w:eastAsia="Calibri"/>
          <w:color w:val="auto"/>
          <w:sz w:val="24"/>
          <w:szCs w:val="24"/>
          <w:highlight w:val="none"/>
        </w:rPr>
        <w:t>24</w:t>
      </w:r>
      <w:r>
        <w:rPr>
          <w:rFonts w:hint="eastAsia" w:ascii="宋体" w:hAnsi="宋体" w:eastAsia="宋体"/>
          <w:color w:val="auto"/>
          <w:sz w:val="24"/>
          <w:szCs w:val="24"/>
          <w:highlight w:val="none"/>
        </w:rPr>
        <w:t>小时电话服务热线，保证在接到甲方故障报告电话后</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小时内到达现场。</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保修期内，乙方负责对其提供的全部货物进行维修和维护，不再向甲方收取费用，但自然因素（如火灾、雷击等）造成的故障除外。货物厂家因货物发生质量问题需要成批召回维修的，乙方应及时通知甲方并积极协助办理有关手续，一切费用由乙方承担。</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所有货物保修服务方式均为乙方上门保修，即由乙方派员到甲方货物使用现场维修，由此产生的一切费用均由乙方承担。</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保修期内，乙方应负责货物运行的稳定性。</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乙方应于验收后向甲方提供项目各项详细验收报告、技术文档的归纳、整理、提交。并提供完整的硬件技术资料。</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技术文件：包括验收报告、技术文档、完整的软、硬件技术资料（含纸介质和光电介质），进口货物必须提供中文说明书。</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如甲方向乙方单独订购配件，乙方应按照投标（中标）文件中所约定的比例进行优惠。</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乙方应建立质量跟踪档案，每季度不少于一次向甲方进行现场（或电话）回访，以保证货物的正常高效使用，并以售后服务情况记录及甲方使用单位的反馈意见作为质量保证金退还凭证。如乙方已与甲方设立的维修中心签订了售后服务协议，乙方至少每半年与维修中心开展一次技术交流活动，并采取派人现场培训或入厂培训的方式对维修中心员工进行技术培训。</w:t>
      </w:r>
    </w:p>
    <w:p>
      <w:pPr>
        <w:spacing w:line="360" w:lineRule="auto"/>
        <w:ind w:firstLine="480" w:firstLineChars="20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依据法律规定或直观观察等日常使用情况能够直接确认的事实，可以直接作为判断是否有质量问题的依据，无需鉴定；确需鉴定的，以国家消防装备质量监督检验中心出具的书面鉴定意见为准。货物符合质量标准的，鉴定费用由甲方承担；货物不符合质量标准的，鉴定费用由乙方承担，并且甲方有权追究乙方的责任。</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乙方为甲方免费提供操作及维护培训，主要内容为货物的基本结构、性能、主要部件的构造及原理，日常使用操作、保养与管理，常见故障的排除，紧急情况的处理等，培训地点主要在货物安装现场或按甲乙双方协商安排。</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车辆控制面板的软件应用中，后期涉及所有更新换代及升级问题，乙方不得向甲方收取任何相关费用，终身免费升级维护。</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针对本标包产品（货物），甲方有权采取驻厂监督、随机送检、到货验收等方式全程监督货物质量。存在质量问题，拒不改正的，甲方有权单方解除合同，并依法追究乙方商违约责任。</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货物送达合同约定地点后，乙方书面向采购方递交验收申请，双方共同参与验收。必要时，甲方有权邀请参加本项目的评标专家或者第三方机构参与验收。对验收结果有争议的，可以委托国家相关机构质量检验，产生费用由过错方承担。</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乙方在批量生产前需提供详尽设计图纸及生产实施方案，待甲方确认后方可生产。样品或抽样送检费用由乙方承担，不计入中标合同数量及金额。质保期内乙方应到甲方开展技术巡检和售后服务。</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在发出信息、通知</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日内没有收到回复，视为对方收到信息、通知。</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．付款方式</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s="宋体"/>
          <w:color w:val="auto"/>
          <w:sz w:val="24"/>
          <w:szCs w:val="24"/>
          <w:highlight w:val="none"/>
        </w:rPr>
        <w:t>合同签订之日起 14 个工作日内，乙方向甲方提供合同总金额5%的履约保证金</w:t>
      </w:r>
      <w:r>
        <w:rPr>
          <w:rFonts w:hint="eastAsia" w:ascii="宋体" w:hAnsi="宋体" w:eastAsia="宋体"/>
          <w:color w:val="auto"/>
          <w:sz w:val="24"/>
          <w:szCs w:val="24"/>
          <w:highlight w:val="none"/>
        </w:rPr>
        <w:t>（履约保证金期限届满后</w:t>
      </w:r>
      <w:r>
        <w:rPr>
          <w:rFonts w:hint="eastAsia" w:ascii="Calibri" w:hAnsi="Calibri" w:eastAsia="Calibri"/>
          <w:color w:val="auto"/>
          <w:sz w:val="24"/>
          <w:szCs w:val="24"/>
          <w:highlight w:val="none"/>
        </w:rPr>
        <w:t>60</w:t>
      </w:r>
      <w:r>
        <w:rPr>
          <w:rFonts w:hint="eastAsia" w:ascii="宋体" w:hAnsi="宋体" w:eastAsia="宋体"/>
          <w:color w:val="auto"/>
          <w:sz w:val="24"/>
          <w:szCs w:val="24"/>
          <w:highlight w:val="none"/>
        </w:rPr>
        <w:t xml:space="preserve">日内向乙方退还）。同时乙方先向甲方提供合同金额 </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 xml:space="preserve">％的预付款银行保函（乙方提供的保函须为具有开保函资格和所属额度的信誉良好的地市级以上的国有或股份制商业银行分行或支行开具的独立保函，预付款银行保函有效期大于供货期 </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 xml:space="preserve">日历天以上，如乙方延期供货的，预付款保函有限期应相应的延长），甲方向乙方支付合同总金额 </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的预付款。车辆验收合格后，乙方向甲方提交车辆资料（产品出厂合格证、工信部公告、中文产品使用说明书、电子文档产品使用说明书、检验报告和货物有关配件等）及车辆质量验收报告及意见反馈单。经审核后，乙方向甲方提供审定金额全额发票后</w:t>
      </w:r>
      <w:r>
        <w:rPr>
          <w:rFonts w:hint="eastAsia" w:ascii="Calibri" w:hAnsi="Calibri" w:eastAsia="Calibri"/>
          <w:color w:val="auto"/>
          <w:sz w:val="24"/>
          <w:szCs w:val="24"/>
          <w:highlight w:val="none"/>
        </w:rPr>
        <w:t>60</w:t>
      </w:r>
      <w:r>
        <w:rPr>
          <w:rFonts w:hint="eastAsia" w:ascii="宋体" w:hAnsi="宋体" w:eastAsia="宋体"/>
          <w:color w:val="auto"/>
          <w:sz w:val="24"/>
          <w:szCs w:val="24"/>
          <w:highlight w:val="none"/>
        </w:rPr>
        <w:t>日历天内，甲方向乙方支付全部货款。质保期内乙方应到产品使用单位，开展技术巡检和售后服务。</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履约保证金的提交形式：转账及法律法规规定的其他形式。</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 xml:space="preserve"> 如乙方采用保函形式缴纳履约保证金的，则乙方提供的保函须为具有开保函资格和所属额度的信誉良好的地市级以上的国有或股份制商业银行分行或支行开具的独立保函，该保函需载明：（</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）见索即付：（</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 xml:space="preserve"> 履约保证金（履约保函等）期限：提交之日起至验收合格之日起的第</w:t>
      </w:r>
      <w:r>
        <w:rPr>
          <w:rFonts w:hint="eastAsia" w:ascii="Calibri" w:hAnsi="Calibri" w:eastAsia="Calibri"/>
          <w:color w:val="auto"/>
          <w:sz w:val="24"/>
          <w:szCs w:val="24"/>
          <w:highlight w:val="none"/>
        </w:rPr>
        <w:t>366</w:t>
      </w:r>
      <w:r>
        <w:rPr>
          <w:rFonts w:hint="eastAsia" w:ascii="宋体" w:hAnsi="宋体" w:eastAsia="宋体"/>
          <w:color w:val="auto"/>
          <w:sz w:val="24"/>
          <w:szCs w:val="24"/>
          <w:highlight w:val="none"/>
        </w:rPr>
        <w:t>天止。</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 xml:space="preserve"> 无论履约保证金、独立保函是否退还，采购人或采购人用户随时都有权对由中标人生产的尚未使用且在质量保证期内的产品发生的质量问题向乙方主张索赔。</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．保密条款</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未事先得到甲方书面同意，乙方不得将涉及货物的任何保密资料透露或以其他方式提供给合同以外的其他方或乙方内部与本合同无关的任何人员，乙方不得对保密信息进行拷贝或抄写。</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乙方在合同履行期间知悉的甲方秘密（包括业务信息在内），同样负有保密责任。</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乙方的保密责任不因合同的终止而终止，保密期限：永久（除非甲方将有关信息向社会公开）。</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．不可抗力</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不可抗力指战争、严重火灾、洪水、台风、地震等或其它双方认定的不可抗力事件。无法克服的技术因素不属于不可抗力范围。</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进口货物或附属设备及备品、备件由于出口国限制出口导致不能供货、政策变化等原因导致本采购项目不能继续实施，不属于不可抗力范围。</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9</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由于不可抗力导致本合同不能履行的，双方均不需承担违约责任。但如系因违约而遇上不可抗力，违约方不得以不可抗力为由进行抗辩，违约方仍应按本合同约定执行。</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索赔</w:t>
      </w:r>
    </w:p>
    <w:p>
      <w:pPr>
        <w:spacing w:line="360" w:lineRule="auto"/>
        <w:ind w:firstLine="480"/>
        <w:jc w:val="both"/>
        <w:rPr>
          <w:color w:val="auto"/>
          <w:sz w:val="24"/>
          <w:szCs w:val="24"/>
          <w:highlight w:val="none"/>
        </w:rPr>
      </w:pP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货物经两次验收仍不合格的，甲方将根据国家消防装备质量监督检验中心的检验结果向乙方提出索赔或乙方同意甲方选择下列一种或多种方式解决：</w:t>
      </w:r>
    </w:p>
    <w:p>
      <w:pPr>
        <w:spacing w:line="384" w:lineRule="auto"/>
        <w:ind w:firstLine="480" w:firstLineChars="20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）甲方拒收货物，乙方按合同规定的同种货币将货款退还给甲方，并承担由此发生的一切损失和费用。</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用符合规格、质量和性能要求的新零件、部件或货物来更换有缺陷的部分或修补缺陷的部分，乙方应承担一切费用和风险并赔偿甲方的一切直接损失和费用。同时，相应延长被更换零件、部件或货物的质量保证期。</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货物验收不合格，甲方按照</w:t>
      </w: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条款履行权利后，有权单方面解除合同。</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10</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如果在甲方发出索赔通知后</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天内，乙方未作答复，索赔应视为已被乙方接受。甲方将有权从合同款或从乙方的履约保证金中优先扣除索赔金额。若不足以赔偿索赔金额的，不足部分由乙方另行赔偿。</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．违约责任</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甲方无正当理由拒收货物的，甲方向乙方偿付货款总值</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％的违约金。</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乙方不能按期交付货物的，乙方每日向甲方支付货款总值</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‰的违约金。非不可抗力，延期交货超过</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个月的，甲方可以单方解除合同，若违约金不足以弥补损失的，由乙方继续承担全部损失。并扣除全部履约保证金。</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乙方所交货物品牌、型号、规格、产地及制造商、质量不符合合同约定标准的，甲方有权拒收。</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因货物质量问题发生争议的，由国家消防装备质量检验中心质量鉴定，该鉴定结论是终局的，甲乙双方均应当接受，发生的相关费用由责任方承担。</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因验收不合格需要更换同规格的货物时，货物更换完成时间晚于交货时间的视为逾期交货。</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12</w:t>
      </w:r>
      <w:r>
        <w:rPr>
          <w:rFonts w:hint="eastAsia" w:ascii="宋体" w:hAnsi="宋体" w:eastAsia="宋体"/>
          <w:color w:val="auto"/>
          <w:sz w:val="24"/>
          <w:szCs w:val="24"/>
          <w:highlight w:val="none"/>
        </w:rPr>
        <w:t>．合同解除和终止</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如果一方严重违反合同，并在收到对方违约通知书后在</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天内仍未能改正违约行为的，另一方可立即解除本合同。</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本合同履行完毕，自然终止。</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．法律诉讼</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凡与本合同有关的一切争议，甲乙双方应首先通过友好协商解决：如经协商后仍不能达成协议时，双方同意采取</w:t>
      </w:r>
      <w:r>
        <w:rPr>
          <w:rFonts w:hint="eastAsia" w:ascii="Calibri" w:hAnsi="Calibri" w:eastAsia="Calibri"/>
          <w:color w:val="auto"/>
          <w:sz w:val="24"/>
          <w:szCs w:val="24"/>
          <w:highlight w:val="none"/>
          <w:u w:val="single"/>
        </w:rPr>
        <w:t>13</w:t>
      </w:r>
      <w:r>
        <w:rPr>
          <w:rFonts w:hint="eastAsia" w:ascii="宋体" w:hAnsi="宋体" w:eastAsia="宋体"/>
          <w:color w:val="auto"/>
          <w:sz w:val="24"/>
          <w:szCs w:val="24"/>
          <w:highlight w:val="none"/>
          <w:u w:val="single"/>
        </w:rPr>
        <w:t>.</w:t>
      </w:r>
      <w:r>
        <w:rPr>
          <w:rFonts w:hint="eastAsia" w:ascii="Calibri" w:hAnsi="Calibri" w:eastAsia="Calibri"/>
          <w:color w:val="auto"/>
          <w:sz w:val="24"/>
          <w:szCs w:val="24"/>
          <w:highlight w:val="none"/>
          <w:u w:val="single"/>
        </w:rPr>
        <w:t>1</w:t>
      </w:r>
      <w:r>
        <w:rPr>
          <w:rFonts w:hint="eastAsia" w:ascii="宋体" w:hAnsi="宋体" w:eastAsia="宋体"/>
          <w:color w:val="auto"/>
          <w:sz w:val="24"/>
          <w:szCs w:val="24"/>
          <w:highlight w:val="none"/>
          <w:u w:val="single"/>
        </w:rPr>
        <w:t>.</w:t>
      </w:r>
      <w:r>
        <w:rPr>
          <w:rFonts w:hint="eastAsia" w:ascii="Calibri" w:hAnsi="Calibri" w:eastAsia="Calibri"/>
          <w:color w:val="auto"/>
          <w:sz w:val="24"/>
          <w:szCs w:val="24"/>
          <w:highlight w:val="none"/>
          <w:u w:val="single"/>
        </w:rPr>
        <w:t>2</w:t>
      </w:r>
      <w:r>
        <w:rPr>
          <w:rFonts w:hint="eastAsia" w:ascii="宋体" w:hAnsi="宋体" w:eastAsia="宋体"/>
          <w:color w:val="auto"/>
          <w:sz w:val="24"/>
          <w:szCs w:val="24"/>
          <w:highlight w:val="none"/>
        </w:rPr>
        <w:t>条款约定方式解决：</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向</w:t>
      </w:r>
      <w:r>
        <w:rPr>
          <w:rFonts w:hint="eastAsia" w:ascii="宋体" w:hAnsi="宋体" w:eastAsia="宋体"/>
          <w:color w:val="auto"/>
          <w:sz w:val="24"/>
          <w:szCs w:val="24"/>
          <w:highlight w:val="none"/>
          <w:u w:val="single"/>
        </w:rPr>
        <w:t xml:space="preserve">  ／  </w:t>
      </w:r>
      <w:r>
        <w:rPr>
          <w:rFonts w:hint="eastAsia" w:ascii="宋体" w:hAnsi="宋体" w:eastAsia="宋体"/>
          <w:color w:val="auto"/>
          <w:sz w:val="24"/>
          <w:szCs w:val="24"/>
          <w:highlight w:val="none"/>
        </w:rPr>
        <w:t>仲裁委员会申请仲裁：</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向甲方所在地法院提出诉讼。</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在仲裁或诉讼期间，除有争议部分的事项外，合同其他部分仍应继续履行。</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13</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甲乙双方共同确认，本合同中所列明的联系地址及电话，视为双方在履行本合同中及发生争议时，各类文书（包括法律文书）的送达地址。</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其他</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本合同一式</w:t>
      </w:r>
      <w:r>
        <w:rPr>
          <w:rFonts w:hint="eastAsia" w:ascii="宋体" w:hAnsi="宋体" w:eastAsia="宋体"/>
          <w:color w:val="auto"/>
          <w:sz w:val="24"/>
          <w:szCs w:val="24"/>
          <w:highlight w:val="none"/>
          <w:u w:val="single"/>
        </w:rPr>
        <w:t>肆</w:t>
      </w:r>
      <w:r>
        <w:rPr>
          <w:rFonts w:hint="eastAsia" w:ascii="宋体" w:hAnsi="宋体" w:eastAsia="宋体"/>
          <w:color w:val="auto"/>
          <w:sz w:val="24"/>
          <w:szCs w:val="24"/>
          <w:highlight w:val="none"/>
        </w:rPr>
        <w:t>份，均为正本，具有同等法律效力，甲方</w:t>
      </w:r>
      <w:r>
        <w:rPr>
          <w:rFonts w:hint="eastAsia" w:ascii="宋体" w:hAnsi="宋体" w:eastAsia="宋体"/>
          <w:color w:val="auto"/>
          <w:sz w:val="24"/>
          <w:szCs w:val="24"/>
          <w:highlight w:val="none"/>
          <w:u w:val="single"/>
        </w:rPr>
        <w:t>叁</w:t>
      </w:r>
      <w:r>
        <w:rPr>
          <w:rFonts w:hint="eastAsia" w:ascii="宋体" w:hAnsi="宋体" w:eastAsia="宋体"/>
          <w:color w:val="auto"/>
          <w:sz w:val="24"/>
          <w:szCs w:val="24"/>
          <w:highlight w:val="none"/>
        </w:rPr>
        <w:t>份，乙方</w:t>
      </w:r>
      <w:r>
        <w:rPr>
          <w:rFonts w:hint="eastAsia" w:ascii="宋体" w:hAnsi="宋体" w:eastAsia="宋体"/>
          <w:color w:val="auto"/>
          <w:sz w:val="24"/>
          <w:szCs w:val="24"/>
          <w:highlight w:val="none"/>
          <w:u w:val="single"/>
        </w:rPr>
        <w:t>壹</w:t>
      </w:r>
      <w:r>
        <w:rPr>
          <w:rFonts w:hint="eastAsia" w:ascii="宋体" w:hAnsi="宋体" w:eastAsia="宋体"/>
          <w:color w:val="auto"/>
          <w:sz w:val="24"/>
          <w:szCs w:val="24"/>
          <w:highlight w:val="none"/>
        </w:rPr>
        <w:t>份。合同自双方法人代表或授权代表签字并加盖合同专用章或公章之日起生效。合同生效日期以最后一个签字日期为准。</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合同附件包括：</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：投标一览表；</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：投标分项报价：</w:t>
      </w:r>
      <w:r>
        <w:rPr>
          <w:rFonts w:hint="eastAsia" w:ascii="Calibri" w:hAnsi="Calibri" w:eastAsia="Calibri"/>
          <w:color w:val="auto"/>
          <w:sz w:val="24"/>
          <w:szCs w:val="24"/>
          <w:highlight w:val="none"/>
        </w:rPr>
        <w:t xml:space="preserve">                       I</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3</w:t>
      </w:r>
      <w:r>
        <w:rPr>
          <w:rFonts w:hint="eastAsia" w:ascii="宋体" w:hAnsi="宋体" w:eastAsia="宋体"/>
          <w:color w:val="auto"/>
          <w:sz w:val="24"/>
          <w:szCs w:val="24"/>
          <w:highlight w:val="none"/>
        </w:rPr>
        <w:t>：技术规格偏离表：</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：技术规格及供货范围：</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5</w:t>
      </w:r>
      <w:r>
        <w:rPr>
          <w:rFonts w:hint="eastAsia" w:ascii="宋体" w:hAnsi="宋体" w:eastAsia="宋体"/>
          <w:color w:val="auto"/>
          <w:sz w:val="24"/>
          <w:szCs w:val="24"/>
          <w:highlight w:val="none"/>
        </w:rPr>
        <w:t>：技术文件（包括图纸、手册等）；</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6</w:t>
      </w:r>
      <w:r>
        <w:rPr>
          <w:rFonts w:hint="eastAsia" w:ascii="宋体" w:hAnsi="宋体" w:eastAsia="宋体"/>
          <w:color w:val="auto"/>
          <w:sz w:val="24"/>
          <w:szCs w:val="24"/>
          <w:highlight w:val="none"/>
        </w:rPr>
        <w:t>：售后服务条款（同投标文件内容一致）；</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7</w:t>
      </w:r>
      <w:r>
        <w:rPr>
          <w:rFonts w:hint="eastAsia" w:ascii="宋体" w:hAnsi="宋体" w:eastAsia="宋体"/>
          <w:color w:val="auto"/>
          <w:sz w:val="24"/>
          <w:szCs w:val="24"/>
          <w:highlight w:val="none"/>
        </w:rPr>
        <w:t>：合同最后一页请附中标通知书复印件；</w:t>
      </w:r>
    </w:p>
    <w:p>
      <w:pPr>
        <w:spacing w:line="384" w:lineRule="auto"/>
        <w:ind w:firstLine="480"/>
        <w:jc w:val="both"/>
        <w:rPr>
          <w:color w:val="auto"/>
          <w:sz w:val="24"/>
          <w:szCs w:val="24"/>
          <w:highlight w:val="none"/>
        </w:rPr>
      </w:pPr>
      <w:r>
        <w:rPr>
          <w:rFonts w:hint="eastAsia" w:ascii="宋体" w:hAnsi="宋体" w:eastAsia="宋体"/>
          <w:color w:val="auto"/>
          <w:sz w:val="24"/>
          <w:szCs w:val="24"/>
          <w:highlight w:val="none"/>
        </w:rPr>
        <w:t>附件</w:t>
      </w:r>
      <w:r>
        <w:rPr>
          <w:rFonts w:hint="eastAsia" w:ascii="Calibri" w:hAnsi="Calibri" w:eastAsia="Calibri"/>
          <w:color w:val="auto"/>
          <w:sz w:val="24"/>
          <w:szCs w:val="24"/>
          <w:highlight w:val="none"/>
        </w:rPr>
        <w:t>8</w:t>
      </w:r>
      <w:r>
        <w:rPr>
          <w:rFonts w:hint="eastAsia" w:ascii="宋体" w:hAnsi="宋体" w:eastAsia="宋体"/>
          <w:color w:val="auto"/>
          <w:sz w:val="24"/>
          <w:szCs w:val="24"/>
          <w:highlight w:val="none"/>
        </w:rPr>
        <w:t>：零配件清单报价表。</w:t>
      </w:r>
    </w:p>
    <w:p>
      <w:pPr>
        <w:spacing w:line="384" w:lineRule="auto"/>
        <w:ind w:firstLine="480"/>
        <w:jc w:val="both"/>
        <w:rPr>
          <w:color w:val="auto"/>
          <w:sz w:val="24"/>
          <w:szCs w:val="24"/>
          <w:highlight w:val="none"/>
        </w:rPr>
      </w:pPr>
      <w:r>
        <w:rPr>
          <w:rFonts w:hint="eastAsia" w:ascii="Calibri" w:hAnsi="Calibri" w:eastAsia="Calibri"/>
          <w:color w:val="auto"/>
          <w:sz w:val="24"/>
          <w:szCs w:val="24"/>
          <w:highlight w:val="none"/>
        </w:rPr>
        <w:t>14</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货物的技术规格、性能指标、培训计划及售后服务方案等以招投标文件为依据。本合同中未尽事宜，由双方协商处理。</w:t>
      </w:r>
    </w:p>
    <w:p>
      <w:pPr>
        <w:spacing w:line="360"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ind w:firstLine="480"/>
        <w:jc w:val="both"/>
        <w:rPr>
          <w:color w:val="auto"/>
          <w:sz w:val="24"/>
          <w:szCs w:val="24"/>
          <w:highlight w:val="none"/>
        </w:rPr>
      </w:pPr>
    </w:p>
    <w:p>
      <w:pPr>
        <w:spacing w:line="384" w:lineRule="auto"/>
        <w:jc w:val="both"/>
        <w:rPr>
          <w:color w:val="auto"/>
          <w:sz w:val="24"/>
          <w:szCs w:val="24"/>
          <w:highlight w:val="none"/>
        </w:rPr>
      </w:pPr>
    </w:p>
    <w:p>
      <w:pPr>
        <w:spacing w:line="360" w:lineRule="auto"/>
        <w:ind w:firstLine="480"/>
        <w:jc w:val="both"/>
        <w:rPr>
          <w:color w:val="auto"/>
          <w:sz w:val="24"/>
          <w:szCs w:val="24"/>
          <w:highlight w:val="none"/>
        </w:rPr>
      </w:pPr>
    </w:p>
    <w:p>
      <w:pPr>
        <w:rPr>
          <w:rFonts w:hint="eastAsia" w:ascii="宋体" w:cs="宋体"/>
          <w:color w:val="auto"/>
          <w:kern w:val="0"/>
          <w:sz w:val="24"/>
          <w:szCs w:val="24"/>
          <w:highlight w:val="none"/>
        </w:rPr>
      </w:pPr>
      <w:r>
        <w:rPr>
          <w:rFonts w:hint="eastAsia" w:ascii="宋体" w:cs="宋体"/>
          <w:color w:val="auto"/>
          <w:kern w:val="0"/>
          <w:sz w:val="24"/>
          <w:szCs w:val="24"/>
          <w:highlight w:val="none"/>
        </w:rPr>
        <w:t>（本页为签署页）</w:t>
      </w:r>
    </w:p>
    <w:tbl>
      <w:tblPr>
        <w:tblStyle w:val="23"/>
        <w:tblW w:w="8659" w:type="dxa"/>
        <w:tblInd w:w="0" w:type="dxa"/>
        <w:tblLayout w:type="fixed"/>
        <w:tblCellMar>
          <w:top w:w="0" w:type="dxa"/>
          <w:left w:w="108" w:type="dxa"/>
          <w:bottom w:w="0" w:type="dxa"/>
          <w:right w:w="108" w:type="dxa"/>
        </w:tblCellMar>
      </w:tblPr>
      <w:tblGrid>
        <w:gridCol w:w="4001"/>
        <w:gridCol w:w="4658"/>
      </w:tblGrid>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甲  方（盖章）：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  方（盖章）：</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法定代表人（签字）：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法定代表人（签字或盖章）：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甲方授权代表（签字）：</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乙方授权代表（签字）：</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地址：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邮政编码：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传真：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开户银行：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r>
              <w:rPr>
                <w:rFonts w:ascii="宋体" w:hAnsi="宋体" w:cs="宋体"/>
                <w:color w:val="auto"/>
                <w:kern w:val="0"/>
                <w:sz w:val="24"/>
                <w:szCs w:val="24"/>
                <w:highlight w:val="none"/>
              </w:rPr>
              <w:t xml:space="preserve"> </w:t>
            </w:r>
          </w:p>
        </w:tc>
      </w:tr>
      <w:tr>
        <w:tblPrEx>
          <w:tblCellMar>
            <w:top w:w="0" w:type="dxa"/>
            <w:left w:w="108" w:type="dxa"/>
            <w:bottom w:w="0" w:type="dxa"/>
            <w:right w:w="108" w:type="dxa"/>
          </w:tblCellMar>
        </w:tblPrEx>
        <w:trPr>
          <w:trHeight w:val="996" w:hRule="atLeast"/>
        </w:trPr>
        <w:tc>
          <w:tcPr>
            <w:tcW w:w="4001"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开户账号： </w:t>
            </w:r>
          </w:p>
        </w:tc>
        <w:tc>
          <w:tcPr>
            <w:tcW w:w="4658" w:type="dxa"/>
          </w:tcPr>
          <w:p>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开户账号：</w:t>
            </w:r>
          </w:p>
        </w:tc>
      </w:tr>
      <w:tr>
        <w:tblPrEx>
          <w:tblCellMar>
            <w:top w:w="0" w:type="dxa"/>
            <w:left w:w="108" w:type="dxa"/>
            <w:bottom w:w="0" w:type="dxa"/>
            <w:right w:w="108" w:type="dxa"/>
          </w:tblCellMar>
        </w:tblPrEx>
        <w:trPr>
          <w:trHeight w:val="996" w:hRule="atLeast"/>
        </w:trPr>
        <w:tc>
          <w:tcPr>
            <w:tcW w:w="4001" w:type="dxa"/>
            <w:vAlign w:val="center"/>
          </w:tcPr>
          <w:p>
            <w:pPr>
              <w:snapToGrid w:val="0"/>
              <w:spacing w:before="238" w:line="419" w:lineRule="atLeast"/>
              <w:ind w:firstLine="720" w:firstLineChars="3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年    月    日　                       </w:t>
            </w:r>
          </w:p>
        </w:tc>
        <w:tc>
          <w:tcPr>
            <w:tcW w:w="4658" w:type="dxa"/>
            <w:vAlign w:val="center"/>
          </w:tcPr>
          <w:p>
            <w:pPr>
              <w:snapToGrid w:val="0"/>
              <w:spacing w:before="238" w:line="419" w:lineRule="atLeast"/>
              <w:ind w:firstLine="720" w:firstLineChars="3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年    月    日　                       </w:t>
            </w:r>
          </w:p>
        </w:tc>
      </w:tr>
    </w:tbl>
    <w:p>
      <w:pPr>
        <w:snapToGrid w:val="0"/>
        <w:spacing w:before="119" w:line="360" w:lineRule="auto"/>
        <w:textAlignment w:val="baseline"/>
        <w:rPr>
          <w:rFonts w:hint="eastAsia" w:ascii="宋体" w:cs="宋体"/>
          <w:color w:val="auto"/>
          <w:kern w:val="0"/>
          <w:szCs w:val="21"/>
          <w:highlight w:val="none"/>
        </w:rPr>
      </w:pPr>
    </w:p>
    <w:p>
      <w:pPr>
        <w:pStyle w:val="22"/>
        <w:rPr>
          <w:rFonts w:hint="eastAsia"/>
          <w:color w:val="auto"/>
          <w:highlight w:val="none"/>
        </w:rPr>
      </w:pPr>
    </w:p>
    <w:p>
      <w:pPr>
        <w:pStyle w:val="6"/>
        <w:rPr>
          <w:rFonts w:hint="eastAsia"/>
          <w:color w:val="auto"/>
          <w:highlight w:val="none"/>
        </w:rPr>
      </w:pPr>
    </w:p>
    <w:bookmarkEnd w:id="466"/>
    <w:p>
      <w:pPr>
        <w:spacing w:line="360" w:lineRule="auto"/>
        <w:jc w:val="center"/>
        <w:rPr>
          <w:rFonts w:ascii="宋体" w:cs="宋体"/>
          <w:color w:val="auto"/>
          <w:sz w:val="36"/>
          <w:szCs w:val="44"/>
          <w:highlight w:val="none"/>
        </w:rPr>
      </w:pPr>
      <w:bookmarkStart w:id="467" w:name="bookmark23"/>
      <w:bookmarkStart w:id="468" w:name="bookmark22"/>
      <w:bookmarkStart w:id="469" w:name="bookmark24"/>
      <w:r>
        <w:rPr>
          <w:rFonts w:ascii="宋体" w:cs="宋体"/>
          <w:b/>
          <w:bCs/>
          <w:color w:val="auto"/>
          <w:sz w:val="36"/>
          <w:szCs w:val="36"/>
          <w:highlight w:val="none"/>
        </w:rPr>
        <w:br w:type="page"/>
      </w:r>
      <w:bookmarkEnd w:id="467"/>
      <w:bookmarkEnd w:id="468"/>
      <w:bookmarkEnd w:id="469"/>
      <w:r>
        <w:rPr>
          <w:rFonts w:hint="eastAsia" w:ascii="宋体" w:hAnsi="宋体" w:cs="宋体"/>
          <w:color w:val="auto"/>
          <w:sz w:val="36"/>
          <w:szCs w:val="44"/>
          <w:highlight w:val="none"/>
        </w:rPr>
        <w:t>政府采购廉政合同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甲方（供货方）：</w:t>
      </w:r>
      <w:r>
        <w:rPr>
          <w:rFonts w:ascii="宋体" w:hAnsi="宋体" w:cs="宋体"/>
          <w:color w:val="auto"/>
          <w:kern w:val="0"/>
          <w:sz w:val="24"/>
          <w:highlight w:val="none"/>
        </w:rPr>
        <w:t xml:space="preserve"> </w:t>
      </w:r>
      <w:r>
        <w:rPr>
          <w:rFonts w:ascii="宋体" w:hAnsi="宋体" w:cs="宋体"/>
          <w:color w:val="auto"/>
          <w:kern w:val="0"/>
          <w:sz w:val="24"/>
          <w:highlight w:val="none"/>
        </w:rPr>
        <w:tab/>
      </w:r>
      <w:r>
        <w:rPr>
          <w:rFonts w:ascii="宋体" w:hAnsi="宋体" w:cs="宋体"/>
          <w:color w:val="auto"/>
          <w:kern w:val="0"/>
          <w:sz w:val="24"/>
          <w:highlight w:val="none"/>
        </w:rPr>
        <w:t xml:space="preserve"> </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乙方（购货方）：</w:t>
      </w:r>
      <w:r>
        <w:rPr>
          <w:rFonts w:ascii="宋体" w:hAnsi="宋体" w:cs="宋体"/>
          <w:color w:val="auto"/>
          <w:kern w:val="0"/>
          <w:sz w:val="24"/>
          <w:highlight w:val="none"/>
        </w:rPr>
        <w:t xml:space="preserve"> </w:t>
      </w:r>
      <w:r>
        <w:rPr>
          <w:rFonts w:ascii="宋体" w:hAnsi="宋体" w:cs="宋体"/>
          <w:color w:val="auto"/>
          <w:kern w:val="0"/>
          <w:sz w:val="24"/>
          <w:highlight w:val="none"/>
        </w:rPr>
        <w:tab/>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为促进甲乙双方廉洁高效合作，促使甲乙双方工作人员廉洁从业，不断推动党风廉政建设工作，按照《中华人民共和国民法典》和国家其他有关法律法规、廉政规定，经甲乙双方协商一致，</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自愿签订以下廉政合同。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第一条：甲乙双方的权利和义务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（一）严格遵守党和国家有关法律法规及党风廉政建设各项规定。</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（二）严格履行《中华人民共和国反不正当竞争法》、《关于禁止商业贿赂行为的暂行规定》各项约定，杜绝违约行为的发生。</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（三）双方的业务活动坚持公开、公平、公正、诚信的原则（除法律认定的商业秘密和合同文件另有规定之外），严禁损害国家和集体利益，违反法律法规及规章制度。</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（四）建立健全党风廉政建设各项制度，开展党风廉政建设宣传教育，加强对本方工作人员的监督检查。</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（五）发现对方在业务活动中有违反廉政规定和本合同约定的行为时，有及时提醒和督促对方纠正的权利和义务。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（六）发现对方在业务活动中有违反廉政规定和本合同约定的行为时，有权向对方主管部门或有关机构检举、揭发。</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（七）经济合同变更时廉政合同内容也应做相应调整，并履行有关手续。第二条：甲方在廉政建设方面义务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（一）甲方不准以任何形式向乙方及其工作人员馈赠礼金、礼品、有价证券、支付凭证、贵重物品等财物。</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（二）甲方不准以任何名义为乙方及其工作人员报销应由乙方或个人支付的任何费用。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（三）甲方不准以任何理由邀请乙方工作人员参加有影响合作业务的宴请及娱乐活动；不准为其提供通讯工具、交通工具、高档办公用品等。</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（四）甲方不准为乙方工作人员在住房装修、婚丧嫁娶、配偶、子女、亲友出国（境）</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旅游提供方便；不准为乙方工作人员的配偶、子女及有利害关系的人员安排工作或劳务。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（五）甲方及其工作人员不准与监管单位串通，违反有关规定和程序，损害乙方利益。</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（六）不得有其他违反法律法规、党纪政纪行为。第三条：乙方在廉政建设方面的义务</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（一）乙方及其工作人员不得干扰协作企业正常的生产经营活动，不得以任何理由要挟甲方从事不属于甲方义务的工作。</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（二）乙方及其工作人员不得索要或接受甲方的礼金，有价证券、支付凭证、贵重物品等财物。</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（三）乙方及其工作人员不得在甲方报销应由乙方或个人支付的任何费用。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（四）乙方工作人员不得参加甲方提供的宴请、娱乐活动、高档消费；不得要求甲方提供交通工具、通讯工具、高档办公用品等。</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（五）乙方及其工作人员不得要求或者接受甲方为其住房装修、婚丧嫁娶、配偶、子女、亲友出国（境）旅游等违反规定的相关活动提供方便。</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（六）乙方及其工作人员不得要求甲方为其配偶、子女及有利害关系的人员安排工作或劳务；不得违反规定从事与甲方施工项目有关的材料设备供应、工程分包等经济活动。</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（七）乙方应根据经济合同约定进度付款，不得以不正当理由拖欠款项，不得超进度拨付款。</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第四条：违约责任</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（一）甲方违反本《廉政合同》规定义务的，须向乙方承担经济合同总额</w:t>
      </w:r>
      <w:r>
        <w:rPr>
          <w:rFonts w:ascii="宋体" w:hAnsi="宋体" w:cs="宋体"/>
          <w:color w:val="auto"/>
          <w:kern w:val="0"/>
          <w:sz w:val="24"/>
          <w:highlight w:val="none"/>
        </w:rPr>
        <w:t xml:space="preserve"> 3%</w:t>
      </w:r>
      <w:r>
        <w:rPr>
          <w:rFonts w:hint="eastAsia" w:ascii="宋体" w:hAnsi="宋体" w:cs="宋体"/>
          <w:color w:val="auto"/>
          <w:kern w:val="0"/>
          <w:sz w:val="24"/>
          <w:highlight w:val="none"/>
        </w:rPr>
        <w:t>的经济违约责任。</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（二）甲方发生多次违反廉政合同约定内容，乙方有权将甲方列入黑名单，禁止</w:t>
      </w:r>
      <w:r>
        <w:rPr>
          <w:rFonts w:ascii="宋体" w:hAnsi="宋体" w:cs="宋体"/>
          <w:color w:val="auto"/>
          <w:kern w:val="0"/>
          <w:sz w:val="24"/>
          <w:highlight w:val="none"/>
        </w:rPr>
        <w:t xml:space="preserve"> 3-5 </w:t>
      </w:r>
      <w:r>
        <w:rPr>
          <w:rFonts w:hint="eastAsia" w:ascii="宋体" w:hAnsi="宋体" w:cs="宋体"/>
          <w:color w:val="auto"/>
          <w:kern w:val="0"/>
          <w:sz w:val="24"/>
          <w:highlight w:val="none"/>
        </w:rPr>
        <w:t>年内进入乙方作业市场；给乙方造成经济损失、社会影响较大的，乙方有权终止履行合同。</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（三）乙方若违反本《廉政合同》有关规定的，对违法违纪人员，由乙方主管部门依据有关规定查处，给甲方造成的损失，按有关规定予以赔偿。</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第五条：检查方式</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本合同的履约情况由甲乙双方共同派员监督，检查方式为座谈、问卷调查、查看资料或由双方约定的其他方式等。检查时间、次数、方式、检查结论等由双方协商确定。</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第六条：本合同有效期同经济合同期限。</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第七条：本合同为经济合同附件，与主合同具有同等法律效力，甲乙双方签署后生效。</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第八条：本合同一式</w:t>
      </w:r>
      <w:r>
        <w:rPr>
          <w:rFonts w:ascii="宋体" w:cs="宋体"/>
          <w:color w:val="auto"/>
          <w:kern w:val="0"/>
          <w:sz w:val="24"/>
          <w:highlight w:val="none"/>
        </w:rPr>
        <w:tab/>
      </w:r>
      <w:r>
        <w:rPr>
          <w:rFonts w:hint="eastAsia" w:ascii="宋体" w:hAnsi="宋体" w:cs="宋体"/>
          <w:color w:val="auto"/>
          <w:kern w:val="0"/>
          <w:sz w:val="24"/>
          <w:highlight w:val="none"/>
        </w:rPr>
        <w:t>份，甲、乙双方</w:t>
      </w:r>
      <w:r>
        <w:rPr>
          <w:rFonts w:ascii="宋体" w:cs="宋体"/>
          <w:color w:val="auto"/>
          <w:kern w:val="0"/>
          <w:sz w:val="24"/>
          <w:highlight w:val="none"/>
        </w:rPr>
        <w:tab/>
      </w:r>
      <w:r>
        <w:rPr>
          <w:rFonts w:hint="eastAsia" w:ascii="宋体" w:hAnsi="宋体" w:cs="宋体"/>
          <w:color w:val="auto"/>
          <w:kern w:val="0"/>
          <w:sz w:val="24"/>
          <w:highlight w:val="none"/>
        </w:rPr>
        <w:t>份、采购办</w:t>
      </w:r>
      <w:r>
        <w:rPr>
          <w:rFonts w:ascii="宋体" w:cs="宋体"/>
          <w:color w:val="auto"/>
          <w:kern w:val="0"/>
          <w:sz w:val="24"/>
          <w:highlight w:val="none"/>
        </w:rPr>
        <w:tab/>
      </w:r>
      <w:r>
        <w:rPr>
          <w:rFonts w:hint="eastAsia" w:ascii="宋体" w:hAnsi="宋体" w:cs="宋体"/>
          <w:color w:val="auto"/>
          <w:kern w:val="0"/>
          <w:sz w:val="24"/>
          <w:highlight w:val="none"/>
        </w:rPr>
        <w:t>份。</w:t>
      </w:r>
    </w:p>
    <w:p>
      <w:pPr>
        <w:snapToGrid w:val="0"/>
        <w:spacing w:line="360" w:lineRule="auto"/>
        <w:ind w:firstLine="480" w:firstLineChars="200"/>
        <w:textAlignment w:val="baseline"/>
        <w:rPr>
          <w:rFonts w:ascii="宋体" w:cs="宋体"/>
          <w:color w:val="auto"/>
          <w:kern w:val="0"/>
          <w:sz w:val="24"/>
          <w:highlight w:val="none"/>
        </w:rPr>
      </w:pP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甲方单位：（盖章）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乙方单位：（盖章）</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法定代表人：</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法定代表人：</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（或委托代理人）签字：</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（或委托代理人）签字：</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单位地址：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单位地址：</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联系电话：</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联系电话：</w:t>
      </w:r>
    </w:p>
    <w:p>
      <w:pPr>
        <w:spacing w:line="360" w:lineRule="auto"/>
        <w:rPr>
          <w:color w:val="auto"/>
          <w:highlight w:val="none"/>
        </w:rPr>
      </w:pPr>
    </w:p>
    <w:p>
      <w:pPr>
        <w:spacing w:line="360" w:lineRule="auto"/>
        <w:rPr>
          <w:rFonts w:ascii="宋体" w:cs="宋体"/>
          <w:b/>
          <w:bCs/>
          <w:color w:val="auto"/>
          <w:sz w:val="32"/>
          <w:szCs w:val="40"/>
          <w:highlight w:val="none"/>
        </w:rPr>
      </w:pPr>
      <w:r>
        <w:rPr>
          <w:color w:val="auto"/>
          <w:highlight w:val="none"/>
        </w:rPr>
        <w:br w:type="page"/>
      </w:r>
    </w:p>
    <w:p>
      <w:pPr>
        <w:spacing w:line="360" w:lineRule="auto"/>
        <w:jc w:val="center"/>
        <w:rPr>
          <w:rFonts w:ascii="宋体" w:cs="宋体"/>
          <w:color w:val="auto"/>
          <w:sz w:val="36"/>
          <w:szCs w:val="44"/>
          <w:highlight w:val="none"/>
        </w:rPr>
      </w:pPr>
      <w:r>
        <w:rPr>
          <w:rFonts w:hint="eastAsia" w:ascii="宋体" w:hAnsi="宋体" w:cs="宋体"/>
          <w:color w:val="auto"/>
          <w:sz w:val="36"/>
          <w:szCs w:val="44"/>
          <w:highlight w:val="none"/>
        </w:rPr>
        <w:t>生产厂家售后服务承诺函</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pPr>
        <w:snapToGrid w:val="0"/>
        <w:spacing w:line="360" w:lineRule="auto"/>
        <w:textAlignment w:val="baseline"/>
        <w:rPr>
          <w:rFonts w:hint="eastAsia" w:ascii="宋体" w:hAnsi="宋体" w:cs="宋体"/>
          <w:color w:val="auto"/>
          <w:kern w:val="0"/>
          <w:sz w:val="24"/>
          <w:highlight w:val="none"/>
        </w:rPr>
      </w:pP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widowControl/>
        <w:spacing w:line="360" w:lineRule="auto"/>
        <w:rPr>
          <w:rFonts w:ascii="宋体" w:cs="宋体"/>
          <w:color w:val="auto"/>
          <w:szCs w:val="21"/>
          <w:highlight w:val="none"/>
        </w:rPr>
      </w:pPr>
    </w:p>
    <w:p>
      <w:pPr>
        <w:autoSpaceDE w:val="0"/>
        <w:autoSpaceDN w:val="0"/>
        <w:spacing w:line="360" w:lineRule="auto"/>
        <w:jc w:val="center"/>
        <w:rPr>
          <w:rFonts w:ascii="宋体" w:cs="宋体"/>
          <w:b/>
          <w:bCs/>
          <w:color w:val="auto"/>
          <w:sz w:val="36"/>
          <w:szCs w:val="36"/>
          <w:highlight w:val="none"/>
        </w:rPr>
      </w:pPr>
    </w:p>
    <w:p>
      <w:pPr>
        <w:pStyle w:val="21"/>
        <w:rPr>
          <w:rFonts w:ascii="宋体" w:cs="宋体"/>
          <w:b/>
          <w:bCs/>
          <w:color w:val="auto"/>
          <w:sz w:val="36"/>
          <w:szCs w:val="36"/>
          <w:highlight w:val="none"/>
        </w:rPr>
      </w:pPr>
    </w:p>
    <w:p>
      <w:pPr>
        <w:rPr>
          <w:rFonts w:ascii="宋体" w:cs="宋体"/>
          <w:b/>
          <w:bCs/>
          <w:color w:val="auto"/>
          <w:sz w:val="36"/>
          <w:szCs w:val="36"/>
          <w:highlight w:val="none"/>
        </w:rPr>
      </w:pPr>
    </w:p>
    <w:p>
      <w:pPr>
        <w:rPr>
          <w:rFonts w:ascii="宋体" w:cs="宋体"/>
          <w:b/>
          <w:bCs/>
          <w:color w:val="auto"/>
          <w:sz w:val="36"/>
          <w:szCs w:val="36"/>
          <w:highlight w:val="none"/>
        </w:rPr>
      </w:pPr>
    </w:p>
    <w:p>
      <w:pPr>
        <w:rPr>
          <w:rFonts w:ascii="宋体" w:cs="宋体"/>
          <w:b/>
          <w:bCs/>
          <w:color w:val="auto"/>
          <w:sz w:val="36"/>
          <w:szCs w:val="36"/>
          <w:highlight w:val="none"/>
        </w:rPr>
      </w:pPr>
    </w:p>
    <w:p>
      <w:pPr>
        <w:rPr>
          <w:color w:val="auto"/>
          <w:highlight w:val="none"/>
        </w:rPr>
      </w:pPr>
    </w:p>
    <w:p>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pPr>
        <w:snapToGrid w:val="0"/>
        <w:spacing w:line="500" w:lineRule="exact"/>
        <w:ind w:firstLine="480" w:firstLineChars="200"/>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队出具任何证明或陈述理由。</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pPr>
        <w:snapToGrid w:val="0"/>
        <w:spacing w:line="500" w:lineRule="exact"/>
        <w:ind w:firstLine="480" w:firstLineChars="200"/>
        <w:textAlignment w:val="baseline"/>
        <w:rPr>
          <w:rFonts w:ascii="宋体" w:cs="宋体"/>
          <w:color w:val="auto"/>
          <w:kern w:val="0"/>
          <w:sz w:val="24"/>
          <w:szCs w:val="24"/>
          <w:highlight w:val="none"/>
        </w:rPr>
      </w:pP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pPr>
        <w:widowControl/>
        <w:jc w:val="center"/>
        <w:rPr>
          <w:rFonts w:ascii="宋体" w:cs="宋体"/>
          <w:b/>
          <w:bCs/>
          <w:color w:val="auto"/>
          <w:sz w:val="36"/>
          <w:szCs w:val="36"/>
          <w:highlight w:val="none"/>
        </w:rPr>
      </w:pPr>
      <w:r>
        <w:rPr>
          <w:rFonts w:ascii="宋体" w:cs="宋体"/>
          <w:b/>
          <w:bCs/>
          <w:color w:val="auto"/>
          <w:sz w:val="36"/>
          <w:szCs w:val="36"/>
          <w:highlight w:val="none"/>
        </w:rPr>
        <w:br w:type="page"/>
      </w:r>
      <w:r>
        <w:rPr>
          <w:rFonts w:hint="eastAsia" w:ascii="宋体" w:hAnsi="宋体" w:cs="宋体"/>
          <w:b/>
          <w:bCs/>
          <w:color w:val="auto"/>
          <w:sz w:val="36"/>
          <w:szCs w:val="36"/>
          <w:highlight w:val="none"/>
        </w:rPr>
        <w:t>河南省政府采购合同融资政策告知函</w:t>
      </w:r>
    </w:p>
    <w:p>
      <w:pPr>
        <w:autoSpaceDE w:val="0"/>
        <w:autoSpaceDN w:val="0"/>
        <w:spacing w:line="360" w:lineRule="auto"/>
        <w:ind w:firstLine="480" w:firstLineChars="200"/>
        <w:rPr>
          <w:rFonts w:ascii="宋体" w:cs="宋体"/>
          <w:color w:val="auto"/>
          <w:sz w:val="24"/>
          <w:highlight w:val="none"/>
        </w:rPr>
      </w:pP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pPr>
        <w:autoSpaceDE w:val="0"/>
        <w:autoSpaceDN w:val="0"/>
        <w:spacing w:line="360" w:lineRule="auto"/>
        <w:ind w:firstLine="480" w:firstLineChars="200"/>
        <w:rPr>
          <w:rFonts w:ascii="宋体" w:cs="宋体"/>
          <w:color w:val="auto"/>
          <w:sz w:val="24"/>
          <w:highlight w:val="none"/>
        </w:rPr>
      </w:pPr>
    </w:p>
    <w:p>
      <w:pPr>
        <w:pStyle w:val="12"/>
        <w:spacing w:line="360" w:lineRule="auto"/>
        <w:ind w:left="31680" w:right="31680"/>
        <w:rPr>
          <w:rFonts w:ascii="宋体" w:cs="宋体"/>
          <w:bCs/>
          <w:color w:val="auto"/>
          <w:kern w:val="0"/>
          <w:sz w:val="32"/>
          <w:szCs w:val="32"/>
          <w:highlight w:val="none"/>
        </w:rPr>
      </w:pPr>
    </w:p>
    <w:p>
      <w:pPr>
        <w:pStyle w:val="12"/>
        <w:spacing w:line="360" w:lineRule="auto"/>
        <w:ind w:left="31680" w:right="31680"/>
        <w:rPr>
          <w:rFonts w:ascii="宋体" w:cs="宋体"/>
          <w:bCs/>
          <w:color w:val="auto"/>
          <w:kern w:val="0"/>
          <w:sz w:val="32"/>
          <w:szCs w:val="32"/>
          <w:highlight w:val="none"/>
        </w:rPr>
      </w:pPr>
    </w:p>
    <w:p>
      <w:pPr>
        <w:pStyle w:val="12"/>
        <w:spacing w:line="360" w:lineRule="auto"/>
        <w:ind w:left="31680" w:right="31680"/>
        <w:rPr>
          <w:rFonts w:ascii="宋体" w:cs="宋体"/>
          <w:bCs/>
          <w:color w:val="auto"/>
          <w:kern w:val="0"/>
          <w:sz w:val="32"/>
          <w:szCs w:val="32"/>
          <w:highlight w:val="none"/>
        </w:rPr>
        <w:sectPr>
          <w:footerReference r:id="rId8" w:type="default"/>
          <w:pgSz w:w="11911" w:h="16838"/>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linePitch="315" w:charSpace="0"/>
        </w:sectPr>
      </w:pPr>
    </w:p>
    <w:p>
      <w:pPr>
        <w:spacing w:line="360" w:lineRule="auto"/>
        <w:rPr>
          <w:rFonts w:ascii="宋体" w:cs="宋体"/>
          <w:bCs/>
          <w:color w:val="auto"/>
          <w:kern w:val="0"/>
          <w:szCs w:val="21"/>
          <w:highlight w:val="none"/>
        </w:rPr>
      </w:pPr>
    </w:p>
    <w:p>
      <w:pPr>
        <w:pStyle w:val="2"/>
        <w:rPr>
          <w:rFonts w:hint="eastAsia" w:ascii="宋体" w:hAnsi="宋体" w:cs="宋体"/>
          <w:color w:val="auto"/>
          <w:szCs w:val="32"/>
          <w:highlight w:val="none"/>
        </w:rPr>
      </w:pPr>
      <w:bookmarkStart w:id="470" w:name="_Toc22008"/>
      <w:bookmarkStart w:id="471" w:name="_Toc40112141"/>
      <w:bookmarkStart w:id="472" w:name="_Toc410"/>
      <w:bookmarkStart w:id="473" w:name="_Toc23795"/>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70"/>
      <w:bookmarkEnd w:id="471"/>
      <w:bookmarkEnd w:id="472"/>
      <w:bookmarkEnd w:id="473"/>
    </w:p>
    <w:p>
      <w:pPr>
        <w:spacing w:line="360" w:lineRule="auto"/>
        <w:jc w:val="center"/>
        <w:outlineLvl w:val="1"/>
        <w:rPr>
          <w:rFonts w:ascii="宋体" w:cs="宋体"/>
          <w:b/>
          <w:color w:val="auto"/>
          <w:sz w:val="32"/>
          <w:szCs w:val="32"/>
          <w:highlight w:val="none"/>
        </w:rPr>
      </w:pPr>
      <w:bookmarkStart w:id="474" w:name="_Toc2376"/>
      <w:bookmarkStart w:id="475" w:name="_Toc30884"/>
      <w:bookmarkStart w:id="476" w:name="_Toc24050"/>
      <w:bookmarkStart w:id="477" w:name="_Toc612"/>
      <w:r>
        <w:rPr>
          <w:rFonts w:hint="eastAsia" w:ascii="宋体" w:hAnsi="宋体" w:cs="宋体"/>
          <w:b/>
          <w:color w:val="auto"/>
          <w:sz w:val="32"/>
          <w:szCs w:val="32"/>
          <w:highlight w:val="none"/>
        </w:rPr>
        <w:t>一、项目需求</w:t>
      </w:r>
      <w:bookmarkEnd w:id="474"/>
      <w:bookmarkEnd w:id="475"/>
      <w:bookmarkEnd w:id="476"/>
      <w:bookmarkEnd w:id="477"/>
    </w:p>
    <w:p>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 项目名称：</w:t>
      </w:r>
      <w:r>
        <w:rPr>
          <w:rFonts w:hint="eastAsia" w:ascii="宋体" w:hAnsi="宋体" w:eastAsia="宋体" w:cs="宋体"/>
          <w:bCs/>
          <w:color w:val="auto"/>
          <w:sz w:val="24"/>
          <w:szCs w:val="24"/>
          <w:highlight w:val="none"/>
          <w:lang w:eastAsia="zh-CN"/>
        </w:rPr>
        <w:t>平顶山市消防救援支队河南省消防救援总队“自然灾害应急能力提升工程”平顶山支队装备建设项目</w:t>
      </w:r>
      <w:r>
        <w:rPr>
          <w:rFonts w:hint="eastAsia" w:ascii="宋体" w:hAnsi="宋体" w:cs="宋体"/>
          <w:bCs/>
          <w:color w:val="auto"/>
          <w:sz w:val="24"/>
          <w:szCs w:val="24"/>
          <w:highlight w:val="none"/>
          <w:lang w:eastAsia="zh-CN"/>
        </w:rPr>
        <w:t>（二次）</w:t>
      </w:r>
    </w:p>
    <w:p>
      <w:pPr>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 采购内容：</w:t>
      </w:r>
    </w:p>
    <w:p>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平公资采2024573号-</w:t>
      </w:r>
      <w:r>
        <w:rPr>
          <w:rFonts w:hint="eastAsia" w:ascii="宋体" w:hAnsi="宋体" w:cs="宋体"/>
          <w:i w:val="0"/>
          <w:iCs w:val="0"/>
          <w:color w:val="auto"/>
          <w:kern w:val="0"/>
          <w:sz w:val="24"/>
          <w:szCs w:val="24"/>
          <w:highlight w:val="none"/>
          <w:u w:val="none"/>
          <w:lang w:val="en-US" w:eastAsia="zh-CN" w:bidi="ar"/>
        </w:rPr>
        <w:t>1</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冷藏车1；</w:t>
      </w:r>
    </w:p>
    <w:p>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 质量要求：合格（符合现行国家、行业、地方相关规范要求）。</w:t>
      </w:r>
    </w:p>
    <w:p>
      <w:pPr>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1.4 交货期：采用进口底盘投标的，自合同签订之日起120日历天，采用国产底盘投标的，自合同签订之日起90日历天。</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交货地点：采购人指定地点。</w:t>
      </w:r>
    </w:p>
    <w:p>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本次采购车型整车质保期为5年（自验收合格之日算起）。</w:t>
      </w:r>
    </w:p>
    <w:p>
      <w:pPr>
        <w:spacing w:line="360" w:lineRule="auto"/>
        <w:ind w:firstLine="480" w:firstLineChars="200"/>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1.7标包划分（包3）：</w:t>
      </w:r>
    </w:p>
    <w:tbl>
      <w:tblPr>
        <w:tblStyle w:val="23"/>
        <w:tblW w:w="8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684"/>
        <w:gridCol w:w="1391"/>
        <w:gridCol w:w="939"/>
        <w:gridCol w:w="1082"/>
        <w:gridCol w:w="1111"/>
        <w:gridCol w:w="907"/>
        <w:gridCol w:w="1077"/>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包</w:t>
            </w:r>
            <w:r>
              <w:rPr>
                <w:rFonts w:hint="eastAsia" w:ascii="宋体" w:hAnsi="宋体" w:cs="宋体"/>
                <w:b/>
                <w:bCs/>
                <w:i w:val="0"/>
                <w:iCs w:val="0"/>
                <w:color w:val="auto"/>
                <w:kern w:val="0"/>
                <w:sz w:val="24"/>
                <w:szCs w:val="24"/>
                <w:highlight w:val="none"/>
                <w:u w:val="none"/>
                <w:lang w:val="en-US" w:eastAsia="zh-CN" w:bidi="ar"/>
              </w:rPr>
              <w:t>名称</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预算单价（单品最高限价）（万元）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单品合计金额（万元）</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包最高限价（万元）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质保期（年，自验收合格之日算起）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Style w:val="36"/>
                <w:color w:val="auto"/>
                <w:sz w:val="24"/>
                <w:szCs w:val="24"/>
                <w:highlight w:val="none"/>
                <w:lang w:val="en-US" w:eastAsia="zh-CN" w:bidi="ar"/>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包3</w:t>
            </w:r>
          </w:p>
        </w:tc>
        <w:tc>
          <w:tcPr>
            <w:tcW w:w="139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冷藏车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w:t>
            </w:r>
          </w:p>
        </w:tc>
        <w:tc>
          <w:tcPr>
            <w:tcW w:w="108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采用进口底盘投标的，自合同签订之日起120日历天，采用国产底盘投标的，自合同签订之日起90日历天</w:t>
            </w:r>
          </w:p>
        </w:tc>
      </w:tr>
    </w:tbl>
    <w:p>
      <w:pPr>
        <w:numPr>
          <w:ilvl w:val="0"/>
          <w:numId w:val="12"/>
        </w:numPr>
        <w:spacing w:line="360" w:lineRule="auto"/>
        <w:jc w:val="center"/>
        <w:outlineLvl w:val="1"/>
        <w:rPr>
          <w:rFonts w:hint="eastAsia" w:ascii="宋体" w:hAnsi="宋体" w:cs="宋体"/>
          <w:b/>
          <w:color w:val="auto"/>
          <w:sz w:val="32"/>
          <w:szCs w:val="32"/>
          <w:highlight w:val="none"/>
          <w:lang w:eastAsia="zh-CN"/>
        </w:rPr>
      </w:pPr>
      <w:bookmarkStart w:id="478" w:name="_Toc18501"/>
      <w:r>
        <w:rPr>
          <w:rFonts w:hint="eastAsia" w:ascii="宋体" w:hAnsi="宋体" w:cs="宋体"/>
          <w:b/>
          <w:color w:val="auto"/>
          <w:sz w:val="32"/>
          <w:szCs w:val="32"/>
          <w:highlight w:val="none"/>
        </w:rPr>
        <w:t>技术</w:t>
      </w:r>
      <w:r>
        <w:rPr>
          <w:rFonts w:hint="eastAsia" w:ascii="宋体" w:hAnsi="宋体" w:cs="宋体"/>
          <w:b/>
          <w:color w:val="auto"/>
          <w:sz w:val="32"/>
          <w:szCs w:val="32"/>
          <w:highlight w:val="none"/>
          <w:lang w:eastAsia="zh-CN"/>
        </w:rPr>
        <w:t>要求</w:t>
      </w:r>
      <w:bookmarkEnd w:id="478"/>
    </w:p>
    <w:p>
      <w:pPr>
        <w:rPr>
          <w:rFonts w:hint="eastAsia"/>
          <w:color w:val="auto"/>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szCs w:val="24"/>
          <w:highlight w:val="none"/>
        </w:rPr>
      </w:pPr>
      <w:bookmarkStart w:id="479" w:name="_Toc30543"/>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通用要求</w:t>
      </w:r>
      <w:bookmarkEnd w:id="4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1车辆整车外廓尺寸、轴荷及质量符合GB1589-2016《道路车辆外廓尺寸、轴荷及质量限值》规定。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2、车辆整车外部照明和信号装置符合GB4785《汽车及挂车外部照明和光信号装置的安装规定》的规定，车辆标识：按照《消防救援局关于做好消防救援车辆外观制式涂装工作的通知》（应急消[2019]76号）要求涂装。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3、车辆标记符合GB7258《机动车安全技术条件》。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4、车辆后下防护要求符合GB11567.1《汽车及挂车外部照明和信号装置的安装规定》。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应急消〔2020〕138号文件：所有消防车均应响应文件要求。底盘均应配置前轮盘式制动器（全驱越野底盘除外）、ABS（防抱死制动系统）和EBS（电控制动系统）等；配置ESP电子车身稳定系统，应设置限速装置，最高车速不得超过95Km/h，确保限制的车速不超过底盘厂允许的最高车速；加装排气制动、发动机缸内制动技术并配备液力缓速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安装主外视镜、广角外视镜、前视镜、补盲外视镜、外部照明、信号装置、反光警示标识、前后保险杠、侧面防护等安全防护性能，以及各类报警装置、后排座加装安全带，配备PDT制式350MHz数模两用车载台（符合PDT技术标准，兼容370MHz应急专用频段，天线阻抗50Ω；防水防尘≥IP54；含吸盘天线，北斗卫星定位装置，能接入北斗消防综合管理服务平台），360°无盲区高清行车记录仪、倒车雷达（≥4个）及高清倒车影像（彩色显示屏≥7寸，具有夜视功能，夜间图像清晰），记录仪为硬盘式存储≥500G；行车记录仪采用自动分段录制，记录卡录满后可以自行删除最早记录；预留12V车载台连接线、220V充电线，配置24V转12V和24V转220V逆变器，便于后期加装设备；轮胎采用子午线钢丝胎及胎压监测系统，并与原车前轮胎同品牌、同型号备用轮胎一条，配备专用防滑链，加装轮胎调压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7、车辆交付时须附着由“消防装备物资信息采集系统”统一发行的装备物资二维码（或RFID）。</w:t>
      </w:r>
      <w:r>
        <w:rPr>
          <w:rFonts w:hint="eastAsia" w:ascii="宋体" w:hAnsi="宋体" w:eastAsia="宋体" w:cs="宋体"/>
          <w:color w:val="auto"/>
          <w:sz w:val="24"/>
          <w:szCs w:val="24"/>
          <w:highlight w:val="none"/>
          <w:lang w:bidi="ar"/>
        </w:rPr>
        <w:t>按照采购人要求，免费安装消防车感知定位终端及车辆多模芯片；终端及芯片数据能够实时传输至河南消防总队应急装备物资保障管理平台及国家消防局“消防一张图”系统，可查看消防车辆的实时动态信息(位置、车速、发动机转速、剩余燃油、故障预警信息、水量、泡沫量等)和车辆基础数据信息(隶属单位、车辆类型、随车装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8、进口底盘入港时须做港检，交车现场须底盘厂家做PDI(交车前检测)。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各类车型显著位置须设置标注生产厂家名称、品牌名称、型号、发动机号、规格、生产日期、出厂日期等产品信息永久铭牌。各类操作开关、阀门、保险盒、随车器材等设置永久性标识。裸露在外的传动轴、皮带、设备等设置防护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在车厢结构设计布置时需提前与采购单位联系，设计方案必须经采购单位同意后方可进行生产，采购需求未全部列出所需功能或部件，投标时需全部列出其他全部配置以满足实际需求，保证所投车辆具备各项功能。若因投标人未全部列出其他配置导致产品不能正常使用，投标人需承诺免费增添部件或更换所供产品或作退货处理。交车时中标单位须提供详细电路图、水路图、液压管路图和保险分布图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11、器材箱改装后不得影响加油、清洗油箱管路滤网、更换蓄电池、燃油滤芯、干燥罐、空气滤芯、柴油滤芯等底盘部件正常维护保养。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bidi="ar"/>
        </w:rPr>
        <w:t>车辆排气管尾部配备防火罩。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各标包整车所有焊接部位牢固，光洁，平整；所有缝隙硅胶填充平整、密封良好。所有板材及骨架、零部件、结构件，均经过严格防锈处理，铝型材、铝板、花纹板均进行氧化处理。器材箱布置紧凑、装夹牢固，取用方便，使用防锈、防震、防脱落、防划伤的专用夹具固定随车器材（交车前固定完毕）。电气系统线路标识清楚，每根电线都具备单独编号，整车电气系统线路采用铜芯或铜合金芯电线，正负电极线路颜色区分明显，改装线路及接头采用防水、防尘材质，各线路捆扎整齐，线路铺设位置便于检查维修。改装线路裸露在车体外部、接近热源、靠近油箱等情况下应加装隔板或相应的保护。</w:t>
      </w:r>
    </w:p>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14、随车文件</w:t>
      </w:r>
      <w:r>
        <w:rPr>
          <w:rFonts w:hint="eastAsia" w:ascii="宋体" w:hAnsi="宋体" w:eastAsia="宋体" w:cs="宋体"/>
          <w:color w:val="auto"/>
          <w:sz w:val="24"/>
          <w:szCs w:val="24"/>
          <w:highlight w:val="none"/>
          <w:lang w:eastAsia="zh-CN"/>
        </w:rPr>
        <w:t>（附件）</w:t>
      </w:r>
      <w:r>
        <w:rPr>
          <w:rFonts w:hint="eastAsia" w:ascii="宋体" w:hAnsi="宋体" w:eastAsia="宋体" w:cs="宋体"/>
          <w:color w:val="auto"/>
          <w:sz w:val="24"/>
          <w:szCs w:val="24"/>
          <w:highlight w:val="none"/>
        </w:rPr>
        <w:t>：1、整车操作使用说明书，均为中文。纸制和电子（PPT格式）各一套；2、整车维护保养手册，均为中文。纸制和电子（PPT格式）各一套；3、整车零配件清单，提供不少于200种零配件，内附价格，质保期内可按照此价格采购；4、底盘质量保修卡；5、底盘合格证；6、底盘随车配件清单（需提供原装底盘保养滤芯1套（空滤、柴油油滤、机滤、空调滤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改装零件目录图：8、消防车消防器材清单；9、整车合格证；10、国家工信部公告；11、消防车跟踪服务卡；12、消防车交接清单；13、机动车销售统一发票、发动机号拓印件3份、车架号拓印件3份、车辆照片4张（左前45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、带接头的轮胎充气管1根≥10m，车辆限位块4块，车用三角</w:t>
      </w:r>
      <w:r>
        <w:rPr>
          <w:rFonts w:hint="eastAsia" w:ascii="宋体" w:hAnsi="宋体" w:eastAsia="宋体" w:cs="宋体"/>
          <w:color w:val="auto"/>
          <w:sz w:val="24"/>
          <w:szCs w:val="24"/>
          <w:highlight w:val="none"/>
          <w:lang w:eastAsia="zh-CN"/>
        </w:rPr>
        <w:t>警示架</w:t>
      </w:r>
      <w:r>
        <w:rPr>
          <w:rFonts w:hint="eastAsia" w:ascii="宋体" w:hAnsi="宋体" w:eastAsia="宋体" w:cs="宋体"/>
          <w:color w:val="auto"/>
          <w:sz w:val="24"/>
          <w:szCs w:val="24"/>
          <w:highlight w:val="none"/>
          <w:lang w:val="en-US" w:eastAsia="zh-CN"/>
        </w:rPr>
        <w:t>1套</w:t>
      </w:r>
      <w:r>
        <w:rPr>
          <w:rFonts w:hint="eastAsia" w:ascii="宋体" w:hAnsi="宋体" w:eastAsia="宋体" w:cs="宋体"/>
          <w:color w:val="auto"/>
          <w:sz w:val="24"/>
          <w:szCs w:val="24"/>
          <w:highlight w:val="none"/>
        </w:rPr>
        <w:t>，原装备用轮胎1个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防滑链1套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电路检测工具1套 ；15、配备维修工具≥150件套，符合国家有关标准；便携式拉杆箱分层设计，包括液压千斤顶≥30T、大小套筒、8-32#开口/梅花两用扳手、黄油枪等维修工具，维修组套≥150件、扭力扳手、棘轮扳手组、滤芯扳手、大中小#尖嘴钳、卡簧钳、大中小#大力钳等）</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备用保险套装1套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17、</w:t>
      </w:r>
      <w:r>
        <w:rPr>
          <w:rFonts w:hint="eastAsia" w:ascii="宋体" w:hAnsi="宋体" w:eastAsia="宋体" w:cs="宋体"/>
          <w:color w:val="auto"/>
          <w:sz w:val="24"/>
          <w:szCs w:val="24"/>
          <w:highlight w:val="none"/>
        </w:rPr>
        <w:t>灭火器（含支架）4kg2具</w:t>
      </w:r>
      <w:r>
        <w:rPr>
          <w:rFonts w:hint="eastAsia" w:ascii="宋体" w:hAnsi="宋体" w:eastAsia="宋体" w:cs="宋体"/>
          <w:color w:val="auto"/>
          <w:sz w:val="24"/>
          <w:szCs w:val="24"/>
          <w:highlight w:val="none"/>
          <w:lang w:eastAsia="zh-CN"/>
        </w:rPr>
        <w:t>。</w:t>
      </w:r>
    </w:p>
    <w:p>
      <w:pPr>
        <w:rPr>
          <w:rFonts w:hint="eastAsia"/>
          <w:color w:val="auto"/>
          <w:highlight w:val="none"/>
          <w:lang w:val="en-US" w:eastAsia="zh-CN"/>
        </w:rPr>
      </w:pPr>
    </w:p>
    <w:p>
      <w:pPr>
        <w:rPr>
          <w:rFonts w:hint="eastAsia"/>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color w:val="auto"/>
          <w:sz w:val="24"/>
          <w:szCs w:val="24"/>
          <w:highlight w:val="none"/>
        </w:rPr>
      </w:pPr>
      <w:bookmarkStart w:id="480" w:name="_Toc7135"/>
      <w:r>
        <w:rPr>
          <w:rFonts w:hint="eastAsia" w:ascii="宋体" w:hAnsi="宋体" w:eastAsia="宋体" w:cs="宋体"/>
          <w:b/>
          <w:color w:val="auto"/>
          <w:sz w:val="24"/>
          <w:szCs w:val="24"/>
          <w:highlight w:val="none"/>
          <w:lang w:eastAsia="zh-CN"/>
        </w:rPr>
        <w:t>（二）技术需求专用要求</w:t>
      </w:r>
      <w:bookmarkEnd w:id="48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冷藏车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技术参数：存储量满足 300 人以上至少 3 天所需的肉蛋蔬菜水果及主副食品。用于消防救援队伍野外长时间作战，处置灾害事故时餐饮保障储存各类副食品需要。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底盘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1、发动机及功率：柴油燃料，功率≥240kW；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2、排放标准：符合国家现行排放标准；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3、整车外形尺寸（mm，长*宽*高）:≥8900*2450*3800；底盘：最大允许总质量≥18T；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4、驱动：4×2；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5、油箱容积：≥300L；</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6、轮胎：原厂标准配置子午线钢丝真空轮胎，备用轮胎1个。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7、制动：包含全空气双回路刹车系统；具备防抱死制动系统（ABS）、电控制动系统（EBS）、驱动防滑系统（ASR）、电子车身稳定系统（ESP）和排气制动等；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8、驾乘室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8.1布局结构:双门单排驾驶室。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8.2座位设置:单排座，座位(1+1)。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8.3安全设置:主副驾驶安装有三点式预紧安全带及安全气囊。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8.4主副驾配有电动加热后视镜及电动玻璃升降器。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8.5音频：可通过手机蓝牙播放音频，带独立USB接口可播放音频。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9、车厢整体材质：304或更高不锈钢材质，保温车厢采用“钢骨架+蒙皮+保温材料”制作，防腐防漏性能≥5年；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10、车门：厢体设置两个手动外开门，前侧单开门可实现≥180°开启，后部对开门可实现≥270°开启；车门配套风钩，实现车门开启固定。车门设有保温帘；车厢内部设置自动照明灯，防雾、防爆、防水、防撞；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11、车内布局：舱体内部分为冷冻室和冷藏室两个区域：前部为冷冻室约占舱体容积的1/3。设置内部报警器，防止工作人员被误锁；厢体内设置温度记录仪，可通过蜂鸣器等方式进行自动监控报警。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12、冷冻室预留≥8个肉钩，每个肉钩承重≥75kg；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13、冷藏区一侧第一层货架高度≥80cm，配≥6个双层小推车，小推车带万向轮；冷藏区货架第二层，留≥4个大框放置；冷藏和冷冻区货框一半空心带孔，一半不带孔，存放不同食品。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14、配电系统：电源（配备市电220V和冷机380V）经电源输入插座接入；副电瓶：除原底盘启动电瓶增加12V副电瓶作为制冷机组的启动电瓶，配备安装电瓶总开关；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15、制冷机组可接外部电源；配备≥50米电源线缆盘外接电源，具备外接电优先功能。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16、冷藏设备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16.1厢体最低温度：≤-18℃；车厢前部安装制冷机组，型式：多温独立制冷机组，两台蒸发器可独立运行；制冷量≥3600W，可自动除霜；温度可调节：冷冻室最低温度≤-20°，冷藏室最低温度≤0°至-15°，驾驶室内设有LED 显示，可以实时显示温度。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16.2制冷机组含发电机，可实现行车途中制冷机正常工作，配备独立副油箱，保证不间断工作≥ 3 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17、货架：冷冻室和冷藏室各存放一组货架，采用不锈钢材质，与车身固定牢固。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18、周转筐≥100个，与货架配套使用，耐低温，在货架相应位置需设置固定周转筐装置。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19、边仓系统：车辆裙箱设计边仓。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20、液压系统：车辆尾部增加液压尾板。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21、水路系统：冷冻室和冷藏室水管相通，冷冻水、冷凝水和冷藏室污水存储不锈钢保温水箱内，水路保温处理，在低位设置污水排放口。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22、箱体左右安装LED频闪灯带；顶部后侧布置≥1个LED照明灯（功率≥100w）。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23、警灯警报：符合应急管理部相关标准。</w:t>
      </w:r>
    </w:p>
    <w:p>
      <w:pPr>
        <w:rPr>
          <w:rFonts w:hint="eastAsia" w:asciiTheme="minorEastAsia" w:hAnsiTheme="minorEastAsia" w:eastAsiaTheme="minorEastAsia" w:cstheme="minorEastAsia"/>
          <w:color w:val="auto"/>
          <w:sz w:val="24"/>
          <w:szCs w:val="24"/>
          <w:highlight w:val="none"/>
        </w:rPr>
      </w:pPr>
      <w:r>
        <w:rPr>
          <w:rFonts w:hint="eastAsia"/>
          <w:color w:val="auto"/>
          <w:highlight w:val="none"/>
        </w:rPr>
        <w:br w:type="page"/>
      </w:r>
    </w:p>
    <w:p>
      <w:pPr>
        <w:pStyle w:val="2"/>
        <w:rPr>
          <w:rFonts w:ascii="宋体" w:cs="宋体"/>
          <w:color w:val="auto"/>
          <w:szCs w:val="32"/>
          <w:highlight w:val="none"/>
        </w:rPr>
      </w:pPr>
      <w:bookmarkStart w:id="481" w:name="_Toc21444"/>
      <w:bookmarkStart w:id="482" w:name="_Toc40112142"/>
      <w:bookmarkStart w:id="483" w:name="_Toc11783"/>
      <w:bookmarkStart w:id="484" w:name="_Toc14044"/>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481"/>
      <w:bookmarkEnd w:id="482"/>
      <w:bookmarkEnd w:id="483"/>
      <w:bookmarkEnd w:id="484"/>
    </w:p>
    <w:p>
      <w:pPr>
        <w:spacing w:line="360" w:lineRule="auto"/>
        <w:ind w:left="720"/>
        <w:rPr>
          <w:color w:val="auto"/>
          <w:highlight w:val="none"/>
        </w:rPr>
      </w:pPr>
    </w:p>
    <w:p>
      <w:pPr>
        <w:pStyle w:val="13"/>
        <w:spacing w:beforeLines="100" w:afterLines="100" w:line="360" w:lineRule="auto"/>
        <w:jc w:val="center"/>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平顶山市消防救援支队河南省消防救援总队“自然灾害应急能力提升工程”平顶山支队装备建设项目（二次）</w:t>
      </w:r>
    </w:p>
    <w:p>
      <w:pPr>
        <w:pStyle w:val="13"/>
        <w:spacing w:beforeLines="100" w:afterLines="100" w:line="360" w:lineRule="auto"/>
        <w:jc w:val="center"/>
        <w:rPr>
          <w:rFonts w:hint="eastAsia" w:hAnsi="宋体" w:cs="宋体"/>
          <w:b/>
          <w:color w:val="auto"/>
          <w:sz w:val="44"/>
          <w:szCs w:val="44"/>
          <w:highlight w:val="none"/>
          <w:lang w:eastAsia="zh-CN"/>
        </w:rPr>
      </w:pPr>
    </w:p>
    <w:p>
      <w:pPr>
        <w:pStyle w:val="13"/>
        <w:spacing w:beforeLines="100" w:afterLines="100" w:line="360" w:lineRule="auto"/>
        <w:jc w:val="center"/>
        <w:rPr>
          <w:rFonts w:hint="eastAsia" w:hAnsi="宋体" w:cs="宋体"/>
          <w:b/>
          <w:color w:val="auto"/>
          <w:sz w:val="44"/>
          <w:szCs w:val="44"/>
          <w:highlight w:val="none"/>
          <w:lang w:eastAsia="zh-CN"/>
        </w:rPr>
      </w:pPr>
      <w:r>
        <w:rPr>
          <w:rFonts w:hint="eastAsia" w:hAnsi="宋体" w:cs="宋体"/>
          <w:b/>
          <w:color w:val="auto"/>
          <w:sz w:val="44"/>
          <w:szCs w:val="44"/>
          <w:highlight w:val="none"/>
          <w:lang w:eastAsia="zh-CN"/>
        </w:rPr>
        <w:t>（包</w:t>
      </w:r>
      <w:r>
        <w:rPr>
          <w:rFonts w:hint="eastAsia" w:hAnsi="宋体" w:cs="宋体"/>
          <w:b/>
          <w:color w:val="auto"/>
          <w:sz w:val="44"/>
          <w:szCs w:val="44"/>
          <w:highlight w:val="none"/>
          <w:lang w:val="en-US" w:eastAsia="zh-CN"/>
        </w:rPr>
        <w:t xml:space="preserve">  </w:t>
      </w:r>
      <w:r>
        <w:rPr>
          <w:rFonts w:hint="eastAsia" w:hAnsi="宋体" w:cs="宋体"/>
          <w:b/>
          <w:color w:val="auto"/>
          <w:sz w:val="44"/>
          <w:szCs w:val="44"/>
          <w:highlight w:val="none"/>
          <w:lang w:eastAsia="zh-CN"/>
        </w:rPr>
        <w:t>）</w:t>
      </w:r>
    </w:p>
    <w:p>
      <w:pPr>
        <w:pStyle w:val="13"/>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pPr>
        <w:pStyle w:val="13"/>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pPr>
        <w:pStyle w:val="13"/>
        <w:spacing w:beforeLines="100" w:afterLines="100" w:line="360" w:lineRule="auto"/>
        <w:rPr>
          <w:rFonts w:hAnsi="宋体" w:cs="宋体"/>
          <w:b/>
          <w:bCs/>
          <w:color w:val="auto"/>
          <w:sz w:val="32"/>
          <w:highlight w:val="none"/>
          <w:u w:val="single"/>
        </w:rPr>
      </w:pPr>
    </w:p>
    <w:p>
      <w:pPr>
        <w:pStyle w:val="13"/>
        <w:spacing w:beforeLines="100" w:afterLines="100" w:line="360" w:lineRule="auto"/>
        <w:jc w:val="center"/>
        <w:rPr>
          <w:rFonts w:hAnsi="宋体" w:cs="宋体"/>
          <w:b/>
          <w:bCs/>
          <w:color w:val="auto"/>
          <w:sz w:val="32"/>
          <w:highlight w:val="none"/>
          <w:u w:val="single"/>
        </w:rPr>
      </w:pPr>
    </w:p>
    <w:p>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pPr>
        <w:pStyle w:val="11"/>
        <w:spacing w:line="360" w:lineRule="auto"/>
        <w:ind w:left="0" w:leftChars="0" w:firstLine="2129" w:firstLineChars="707"/>
        <w:rPr>
          <w:rFonts w:ascii="宋体" w:cs="宋体"/>
          <w:b/>
          <w:bCs/>
          <w:color w:val="auto"/>
          <w:sz w:val="30"/>
          <w:szCs w:val="30"/>
          <w:highlight w:val="none"/>
        </w:rPr>
      </w:pPr>
    </w:p>
    <w:p>
      <w:pPr>
        <w:pStyle w:val="12"/>
        <w:spacing w:line="360" w:lineRule="auto"/>
        <w:ind w:left="31680" w:right="31680"/>
        <w:rPr>
          <w:rFonts w:ascii="宋体" w:cs="宋体"/>
          <w:b/>
          <w:color w:val="auto"/>
          <w:sz w:val="24"/>
          <w:highlight w:val="none"/>
        </w:rPr>
      </w:pPr>
    </w:p>
    <w:p>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pPr>
        <w:pStyle w:val="12"/>
        <w:spacing w:line="360" w:lineRule="auto"/>
        <w:ind w:left="0" w:leftChars="0" w:right="31680"/>
        <w:jc w:val="center"/>
        <w:rPr>
          <w:rFonts w:ascii="宋体" w:cs="宋体"/>
          <w:color w:val="auto"/>
          <w:highlight w:val="none"/>
        </w:rPr>
      </w:pPr>
    </w:p>
    <w:p>
      <w:pPr>
        <w:spacing w:line="360" w:lineRule="auto"/>
        <w:rPr>
          <w:rFonts w:ascii="宋体" w:cs="宋体"/>
          <w:bCs/>
          <w:color w:val="auto"/>
          <w:szCs w:val="21"/>
          <w:highlight w:val="none"/>
        </w:rPr>
      </w:pPr>
    </w:p>
    <w:p>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485" w:name="_Toc13005"/>
      <w:bookmarkStart w:id="486" w:name="_Toc5119"/>
      <w:bookmarkStart w:id="487" w:name="_Toc13982"/>
      <w:r>
        <w:rPr>
          <w:rFonts w:hint="eastAsia" w:ascii="宋体" w:hAnsi="宋体" w:cs="宋体"/>
          <w:b/>
          <w:color w:val="auto"/>
          <w:sz w:val="32"/>
          <w:highlight w:val="none"/>
        </w:rPr>
        <w:t>一、投标函及投标函附录</w:t>
      </w:r>
      <w:bookmarkEnd w:id="485"/>
      <w:bookmarkEnd w:id="486"/>
      <w:bookmarkEnd w:id="487"/>
    </w:p>
    <w:p>
      <w:pPr>
        <w:spacing w:before="212" w:line="360" w:lineRule="auto"/>
        <w:ind w:left="1"/>
        <w:jc w:val="center"/>
        <w:rPr>
          <w:b/>
          <w:color w:val="auto"/>
          <w:sz w:val="32"/>
          <w:highlight w:val="none"/>
        </w:rPr>
      </w:pPr>
      <w:bookmarkStart w:id="488" w:name="（一）投标函"/>
      <w:bookmarkEnd w:id="488"/>
      <w:r>
        <w:rPr>
          <w:rFonts w:hint="eastAsia"/>
          <w:b/>
          <w:color w:val="auto"/>
          <w:sz w:val="32"/>
          <w:highlight w:val="none"/>
        </w:rPr>
        <w:t>（一）投标函</w:t>
      </w:r>
    </w:p>
    <w:p>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pPr>
        <w:autoSpaceDE w:val="0"/>
        <w:autoSpaceDN w:val="0"/>
        <w:spacing w:line="360" w:lineRule="auto"/>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lang w:eastAsia="zh-CN"/>
        </w:rPr>
        <w:t>平顶山市消防救援支队河南省消防救援总队“自然灾害应急能力提升工程”平顶山支队装备建设项目（二次）</w:t>
      </w:r>
      <w:r>
        <w:rPr>
          <w:rFonts w:hint="eastAsia" w:ascii="宋体" w:hAnsi="宋体" w:cs="宋体"/>
          <w:color w:val="auto"/>
          <w:kern w:val="0"/>
          <w:sz w:val="24"/>
          <w:highlight w:val="none"/>
          <w:u w:val="single"/>
        </w:rPr>
        <w:t>（项目名称）（项目编号）（包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pPr>
        <w:numPr>
          <w:ilvl w:val="2"/>
          <w:numId w:val="13"/>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pPr>
        <w:numPr>
          <w:ilvl w:val="2"/>
          <w:numId w:val="13"/>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pPr>
        <w:numPr>
          <w:ilvl w:val="2"/>
          <w:numId w:val="13"/>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pPr>
        <w:numPr>
          <w:ilvl w:val="2"/>
          <w:numId w:val="13"/>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pPr>
        <w:numPr>
          <w:ilvl w:val="2"/>
          <w:numId w:val="13"/>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pPr>
        <w:spacing w:line="360" w:lineRule="auto"/>
        <w:ind w:firstLine="2400" w:firstLineChars="1000"/>
        <w:jc w:val="left"/>
        <w:rPr>
          <w:rFonts w:hint="eastAsia" w:ascii="宋体" w:hAnsi="宋体" w:cs="宋体"/>
          <w:color w:val="auto"/>
          <w:sz w:val="24"/>
          <w:highlight w:val="none"/>
          <w:lang w:eastAsia="zh-CN"/>
        </w:rPr>
      </w:pP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line="360" w:lineRule="auto"/>
        <w:jc w:val="right"/>
        <w:rPr>
          <w:rStyle w:val="30"/>
          <w:color w:val="auto"/>
          <w:szCs w:val="18"/>
          <w:highlight w:val="none"/>
        </w:rPr>
      </w:pPr>
    </w:p>
    <w:p>
      <w:pPr>
        <w:numPr>
          <w:ilvl w:val="0"/>
          <w:numId w:val="14"/>
        </w:numPr>
        <w:spacing w:before="217" w:line="360" w:lineRule="auto"/>
        <w:ind w:left="3"/>
        <w:jc w:val="center"/>
        <w:rPr>
          <w:b/>
          <w:color w:val="auto"/>
          <w:sz w:val="32"/>
          <w:highlight w:val="none"/>
        </w:rPr>
      </w:pPr>
      <w:bookmarkStart w:id="489" w:name="（二）投标函附录1"/>
      <w:bookmarkEnd w:id="489"/>
      <w:r>
        <w:rPr>
          <w:rFonts w:hint="eastAsia"/>
          <w:b/>
          <w:color w:val="auto"/>
          <w:sz w:val="32"/>
          <w:highlight w:val="none"/>
        </w:rPr>
        <w:t>投标函附录</w:t>
      </w:r>
      <w:r>
        <w:rPr>
          <w:b/>
          <w:color w:val="auto"/>
          <w:sz w:val="32"/>
          <w:highlight w:val="none"/>
        </w:rPr>
        <w:t xml:space="preserve"> </w:t>
      </w:r>
    </w:p>
    <w:p>
      <w:pPr>
        <w:pStyle w:val="12"/>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3"/>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pPr>
              <w:pStyle w:val="28"/>
              <w:spacing w:before="35" w:line="360" w:lineRule="auto"/>
              <w:ind w:left="106"/>
              <w:jc w:val="center"/>
              <w:rPr>
                <w:color w:val="auto"/>
                <w:highlight w:val="none"/>
              </w:rPr>
            </w:pPr>
            <w:r>
              <w:rPr>
                <w:rFonts w:hint="eastAsia"/>
                <w:color w:val="auto"/>
                <w:highlight w:val="none"/>
              </w:rPr>
              <w:t>投标人名称</w:t>
            </w:r>
          </w:p>
        </w:tc>
        <w:tc>
          <w:tcPr>
            <w:tcW w:w="6976"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pPr>
              <w:pStyle w:val="28"/>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pPr>
              <w:pStyle w:val="28"/>
              <w:spacing w:before="43" w:line="360" w:lineRule="auto"/>
              <w:jc w:val="center"/>
              <w:rPr>
                <w:rFonts w:hint="default"/>
                <w:color w:val="auto"/>
                <w:highlight w:val="none"/>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8"/>
              <w:spacing w:before="43" w:line="360" w:lineRule="auto"/>
              <w:ind w:left="106"/>
              <w:jc w:val="center"/>
              <w:rPr>
                <w:rFonts w:hint="eastAsia" w:eastAsia="宋体"/>
                <w:color w:val="auto"/>
                <w:highlight w:val="none"/>
                <w:lang w:eastAsia="zh-CN"/>
              </w:rPr>
            </w:pPr>
            <w:r>
              <w:rPr>
                <w:rFonts w:hint="eastAsia"/>
                <w:color w:val="auto"/>
                <w:highlight w:val="none"/>
                <w:lang w:eastAsia="zh-CN"/>
              </w:rPr>
              <w:t>包名称</w:t>
            </w:r>
          </w:p>
        </w:tc>
        <w:tc>
          <w:tcPr>
            <w:tcW w:w="6976" w:type="dxa"/>
            <w:vAlign w:val="center"/>
          </w:tcPr>
          <w:p>
            <w:pPr>
              <w:pStyle w:val="28"/>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pPr>
              <w:pStyle w:val="28"/>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pPr>
              <w:pStyle w:val="28"/>
              <w:spacing w:before="43" w:line="360" w:lineRule="auto"/>
              <w:jc w:val="both"/>
              <w:rPr>
                <w:rFonts w:hint="eastAsia"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8"/>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pPr>
              <w:pStyle w:val="28"/>
              <w:spacing w:before="43" w:line="360" w:lineRule="auto"/>
              <w:jc w:val="center"/>
              <w:rPr>
                <w:color w:val="auto"/>
                <w:highlight w:val="none"/>
              </w:rPr>
            </w:pPr>
            <w:r>
              <w:rPr>
                <w:rFonts w:hint="eastAsia"/>
                <w:color w:val="auto"/>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pPr>
              <w:pStyle w:val="28"/>
              <w:spacing w:before="43" w:line="360" w:lineRule="auto"/>
              <w:ind w:left="106"/>
              <w:jc w:val="center"/>
              <w:rPr>
                <w:color w:val="auto"/>
                <w:highlight w:val="none"/>
              </w:rPr>
            </w:pPr>
            <w:r>
              <w:rPr>
                <w:rFonts w:hint="eastAsia"/>
                <w:color w:val="auto"/>
                <w:highlight w:val="none"/>
              </w:rPr>
              <w:t>交货期</w:t>
            </w:r>
          </w:p>
        </w:tc>
        <w:tc>
          <w:tcPr>
            <w:tcW w:w="6976" w:type="dxa"/>
            <w:vAlign w:val="center"/>
          </w:tcPr>
          <w:p>
            <w:pPr>
              <w:pStyle w:val="28"/>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pPr>
              <w:pStyle w:val="28"/>
              <w:spacing w:before="1" w:line="360" w:lineRule="auto"/>
              <w:ind w:left="106"/>
              <w:jc w:val="center"/>
              <w:rPr>
                <w:color w:val="auto"/>
                <w:highlight w:val="none"/>
              </w:rPr>
            </w:pPr>
            <w:r>
              <w:rPr>
                <w:rFonts w:hint="eastAsia"/>
                <w:color w:val="auto"/>
                <w:highlight w:val="none"/>
              </w:rPr>
              <w:t>质量保证期</w:t>
            </w:r>
          </w:p>
        </w:tc>
        <w:tc>
          <w:tcPr>
            <w:tcW w:w="6976" w:type="dxa"/>
          </w:tcPr>
          <w:p>
            <w:pPr>
              <w:pStyle w:val="28"/>
              <w:spacing w:before="43" w:line="360" w:lineRule="auto"/>
              <w:jc w:val="center"/>
              <w:rPr>
                <w:rFonts w:hint="default" w:eastAsia="宋体"/>
                <w:color w:val="auto"/>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pPr>
              <w:pStyle w:val="28"/>
              <w:spacing w:before="17" w:line="360" w:lineRule="auto"/>
              <w:ind w:left="106"/>
              <w:jc w:val="center"/>
              <w:rPr>
                <w:color w:val="auto"/>
                <w:highlight w:val="none"/>
              </w:rPr>
            </w:pPr>
            <w:r>
              <w:rPr>
                <w:rFonts w:hint="eastAsia"/>
                <w:color w:val="auto"/>
                <w:highlight w:val="none"/>
              </w:rPr>
              <w:t>投标有效期</w:t>
            </w:r>
          </w:p>
        </w:tc>
        <w:tc>
          <w:tcPr>
            <w:tcW w:w="6976" w:type="dxa"/>
          </w:tcPr>
          <w:p>
            <w:pPr>
              <w:pStyle w:val="28"/>
              <w:spacing w:before="43" w:line="360" w:lineRule="auto"/>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8"/>
              <w:spacing w:before="18" w:line="360" w:lineRule="auto"/>
              <w:ind w:left="106" w:leftChars="0"/>
              <w:jc w:val="center"/>
              <w:rPr>
                <w:color w:val="auto"/>
                <w:highlight w:val="none"/>
              </w:rPr>
            </w:pPr>
            <w:r>
              <w:rPr>
                <w:rFonts w:hint="eastAsia"/>
                <w:color w:val="auto"/>
                <w:highlight w:val="none"/>
              </w:rPr>
              <w:t>质量要求</w:t>
            </w:r>
          </w:p>
        </w:tc>
        <w:tc>
          <w:tcPr>
            <w:tcW w:w="6976" w:type="dxa"/>
            <w:vAlign w:val="top"/>
          </w:tcPr>
          <w:p>
            <w:pPr>
              <w:pStyle w:val="28"/>
              <w:spacing w:before="43" w:line="360" w:lineRule="auto"/>
              <w:jc w:val="center"/>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8"/>
              <w:spacing w:before="43" w:line="360" w:lineRule="auto"/>
              <w:jc w:val="center"/>
              <w:rPr>
                <w:color w:val="auto"/>
                <w:highlight w:val="none"/>
              </w:rPr>
            </w:pPr>
            <w:r>
              <w:rPr>
                <w:rFonts w:hint="eastAsia" w:ascii="宋体" w:hAnsi="宋体" w:cs="宋体"/>
                <w:b w:val="0"/>
                <w:bCs w:val="0"/>
                <w:color w:val="auto"/>
                <w:sz w:val="24"/>
                <w:highlight w:val="none"/>
              </w:rPr>
              <w:t>交货地点</w:t>
            </w:r>
          </w:p>
        </w:tc>
        <w:tc>
          <w:tcPr>
            <w:tcW w:w="6976" w:type="dxa"/>
            <w:vAlign w:val="top"/>
          </w:tcPr>
          <w:p>
            <w:pPr>
              <w:pStyle w:val="28"/>
              <w:spacing w:before="43" w:line="360" w:lineRule="auto"/>
              <w:jc w:val="center"/>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pPr>
              <w:pStyle w:val="28"/>
              <w:spacing w:before="12" w:line="360" w:lineRule="auto"/>
              <w:ind w:left="106" w:leftChars="0"/>
              <w:jc w:val="center"/>
              <w:rPr>
                <w:rFonts w:hint="eastAsia" w:ascii="宋体" w:hAnsi="宋体" w:cs="宋体"/>
                <w:b w:val="0"/>
                <w:bCs w:val="0"/>
                <w:color w:val="auto"/>
                <w:sz w:val="24"/>
                <w:highlight w:val="none"/>
              </w:rPr>
            </w:pPr>
            <w:r>
              <w:rPr>
                <w:rFonts w:hint="eastAsia"/>
                <w:color w:val="auto"/>
                <w:highlight w:val="none"/>
              </w:rPr>
              <w:t>投标内容</w:t>
            </w:r>
          </w:p>
        </w:tc>
        <w:tc>
          <w:tcPr>
            <w:tcW w:w="6976" w:type="dxa"/>
            <w:vAlign w:val="top"/>
          </w:tcPr>
          <w:p>
            <w:pPr>
              <w:pStyle w:val="28"/>
              <w:spacing w:before="12" w:line="360" w:lineRule="auto"/>
              <w:ind w:left="107" w:leftChars="0"/>
              <w:jc w:val="center"/>
              <w:rPr>
                <w:rFonts w:hint="eastAsia" w:ascii="宋体" w:hAnsi="宋体" w:cs="宋体"/>
                <w:b w:val="0"/>
                <w:bCs w:val="0"/>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spacing w:before="12" w:line="360" w:lineRule="auto"/>
              <w:ind w:left="106"/>
              <w:jc w:val="center"/>
              <w:rPr>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pPr>
              <w:spacing w:before="12" w:line="360" w:lineRule="auto"/>
              <w:ind w:left="107"/>
              <w:jc w:val="left"/>
              <w:rPr>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pPr>
              <w:pStyle w:val="28"/>
              <w:spacing w:before="12" w:line="360" w:lineRule="auto"/>
              <w:ind w:left="106"/>
              <w:jc w:val="center"/>
              <w:rPr>
                <w:rFonts w:hint="eastAsia"/>
                <w:color w:val="auto"/>
                <w:highlight w:val="none"/>
              </w:rPr>
            </w:pPr>
            <w:r>
              <w:rPr>
                <w:rFonts w:hint="eastAsia"/>
                <w:color w:val="auto"/>
                <w:highlight w:val="none"/>
              </w:rPr>
              <w:t>其他声明</w:t>
            </w:r>
          </w:p>
        </w:tc>
        <w:tc>
          <w:tcPr>
            <w:tcW w:w="6976" w:type="dxa"/>
          </w:tcPr>
          <w:p>
            <w:pPr>
              <w:pStyle w:val="28"/>
              <w:spacing w:before="12" w:line="360" w:lineRule="auto"/>
              <w:ind w:left="107"/>
              <w:jc w:val="center"/>
              <w:rPr>
                <w:rFonts w:hint="eastAsia"/>
                <w:color w:val="auto"/>
                <w:highlight w:val="none"/>
              </w:rPr>
            </w:pPr>
          </w:p>
        </w:tc>
      </w:tr>
    </w:tbl>
    <w:p>
      <w:pPr>
        <w:pStyle w:val="7"/>
        <w:spacing w:line="360" w:lineRule="auto"/>
        <w:rPr>
          <w:b/>
          <w:color w:val="auto"/>
          <w:sz w:val="20"/>
          <w:highlight w:val="none"/>
        </w:rPr>
      </w:pPr>
    </w:p>
    <w:p>
      <w:pPr>
        <w:pStyle w:val="8"/>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b/>
          <w:color w:val="auto"/>
          <w:sz w:val="32"/>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before="216" w:line="240" w:lineRule="auto"/>
        <w:jc w:val="center"/>
        <w:textAlignment w:val="auto"/>
        <w:rPr>
          <w:b/>
          <w:color w:val="auto"/>
          <w:sz w:val="28"/>
          <w:highlight w:val="none"/>
        </w:rPr>
      </w:pPr>
      <w:bookmarkStart w:id="490" w:name="报价明细表"/>
      <w:bookmarkEnd w:id="490"/>
      <w:r>
        <w:rPr>
          <w:b/>
          <w:color w:val="auto"/>
          <w:sz w:val="28"/>
          <w:highlight w:val="none"/>
        </w:rPr>
        <w:t>2.</w:t>
      </w:r>
      <w:r>
        <w:rPr>
          <w:rFonts w:hint="eastAsia"/>
          <w:b/>
          <w:color w:val="auto"/>
          <w:sz w:val="28"/>
          <w:highlight w:val="none"/>
        </w:rPr>
        <w:t>报价明细表</w:t>
      </w:r>
    </w:p>
    <w:p>
      <w:pPr>
        <w:pStyle w:val="7"/>
        <w:keepNext w:val="0"/>
        <w:keepLines w:val="0"/>
        <w:pageBreakBefore w:val="0"/>
        <w:widowControl w:val="0"/>
        <w:kinsoku/>
        <w:wordWrap/>
        <w:overflowPunct/>
        <w:topLinePunct w:val="0"/>
        <w:autoSpaceDE/>
        <w:autoSpaceDN/>
        <w:bidi w:val="0"/>
        <w:adjustRightInd/>
        <w:snapToGrid/>
        <w:spacing w:before="4" w:line="240" w:lineRule="auto"/>
        <w:textAlignment w:val="auto"/>
        <w:rPr>
          <w:b/>
          <w:color w:val="auto"/>
          <w:sz w:val="9"/>
          <w:highlight w:val="none"/>
        </w:rPr>
      </w:pPr>
    </w:p>
    <w:p>
      <w:pPr>
        <w:pStyle w:val="7"/>
        <w:keepNext w:val="0"/>
        <w:keepLines w:val="0"/>
        <w:pageBreakBefore w:val="0"/>
        <w:widowControl w:val="0"/>
        <w:kinsoku/>
        <w:wordWrap/>
        <w:overflowPunct/>
        <w:topLinePunct w:val="0"/>
        <w:autoSpaceDE/>
        <w:autoSpaceDN/>
        <w:bidi w:val="0"/>
        <w:adjustRightInd/>
        <w:snapToGrid/>
        <w:spacing w:before="66" w:line="240" w:lineRule="auto"/>
        <w:ind w:right="333"/>
        <w:jc w:val="center"/>
        <w:textAlignment w:val="auto"/>
        <w:rPr>
          <w:rFonts w:hint="default" w:ascii="Calibri" w:hAnsi="Calibri" w:eastAsia="Calibri" w:cs="Times New Roman"/>
          <w:b/>
          <w:color w:val="auto"/>
          <w:kern w:val="2"/>
          <w:sz w:val="28"/>
          <w:szCs w:val="24"/>
          <w:highlight w:val="none"/>
          <w:lang w:val="en-US" w:eastAsia="zh-CN" w:bidi="ar-SA"/>
        </w:rPr>
      </w:pPr>
      <w:r>
        <w:rPr>
          <w:rFonts w:hint="eastAsia" w:ascii="Calibri" w:hAnsi="Calibri" w:eastAsia="Calibri" w:cs="Times New Roman"/>
          <w:b/>
          <w:color w:val="auto"/>
          <w:kern w:val="2"/>
          <w:sz w:val="28"/>
          <w:szCs w:val="24"/>
          <w:highlight w:val="none"/>
          <w:lang w:val="en-US" w:eastAsia="zh-CN" w:bidi="ar-SA"/>
        </w:rPr>
        <w:t>2.1车辆报价表</w:t>
      </w:r>
    </w:p>
    <w:tbl>
      <w:tblPr>
        <w:tblStyle w:val="23"/>
        <w:tblW w:w="10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2"/>
        <w:gridCol w:w="750"/>
        <w:gridCol w:w="711"/>
        <w:gridCol w:w="1149"/>
        <w:gridCol w:w="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88" w:hRule="atLeast"/>
          <w:jc w:val="center"/>
        </w:trPr>
        <w:tc>
          <w:tcPr>
            <w:tcW w:w="599" w:type="dxa"/>
            <w:vAlign w:val="center"/>
          </w:tcPr>
          <w:p>
            <w:pPr>
              <w:pStyle w:val="28"/>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pPr>
              <w:pStyle w:val="28"/>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pPr>
              <w:pStyle w:val="28"/>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pPr>
              <w:pStyle w:val="28"/>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pPr>
              <w:pStyle w:val="28"/>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pPr>
              <w:pStyle w:val="28"/>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pPr>
              <w:pStyle w:val="28"/>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pPr>
              <w:pStyle w:val="28"/>
              <w:spacing w:line="240" w:lineRule="auto"/>
              <w:ind w:left="186"/>
              <w:jc w:val="center"/>
              <w:rPr>
                <w:b w:val="0"/>
                <w:bCs w:val="0"/>
                <w:color w:val="auto"/>
                <w:highlight w:val="none"/>
              </w:rPr>
            </w:pPr>
            <w:r>
              <w:rPr>
                <w:rFonts w:hint="eastAsia"/>
                <w:b w:val="0"/>
                <w:bCs w:val="0"/>
                <w:color w:val="auto"/>
                <w:highlight w:val="none"/>
              </w:rPr>
              <w:t>单位</w:t>
            </w:r>
          </w:p>
        </w:tc>
        <w:tc>
          <w:tcPr>
            <w:tcW w:w="712" w:type="dxa"/>
            <w:vAlign w:val="center"/>
          </w:tcPr>
          <w:p>
            <w:pPr>
              <w:pStyle w:val="28"/>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pPr>
              <w:pStyle w:val="28"/>
              <w:spacing w:line="240" w:lineRule="auto"/>
              <w:ind w:left="171"/>
              <w:jc w:val="center"/>
              <w:rPr>
                <w:rFonts w:hint="eastAsia" w:eastAsia="宋体"/>
                <w:b w:val="0"/>
                <w:bCs w:val="0"/>
                <w:color w:val="auto"/>
                <w:highlight w:val="none"/>
                <w:lang w:eastAsia="zh-CN"/>
              </w:rPr>
            </w:pPr>
            <w:r>
              <w:rPr>
                <w:rFonts w:hint="eastAsia"/>
                <w:b w:val="0"/>
                <w:bCs w:val="0"/>
                <w:color w:val="auto"/>
                <w:highlight w:val="none"/>
              </w:rPr>
              <w:t>单价</w:t>
            </w:r>
            <w:r>
              <w:rPr>
                <w:rFonts w:hint="eastAsia"/>
                <w:b w:val="0"/>
                <w:bCs w:val="0"/>
                <w:color w:val="auto"/>
                <w:highlight w:val="none"/>
                <w:lang w:eastAsia="zh-CN"/>
              </w:rPr>
              <w:t>（元）</w:t>
            </w:r>
          </w:p>
        </w:tc>
        <w:tc>
          <w:tcPr>
            <w:tcW w:w="711" w:type="dxa"/>
            <w:vAlign w:val="center"/>
          </w:tcPr>
          <w:p>
            <w:pPr>
              <w:pStyle w:val="28"/>
              <w:spacing w:line="240" w:lineRule="auto"/>
              <w:ind w:left="171"/>
              <w:jc w:val="center"/>
              <w:rPr>
                <w:rFonts w:hint="eastAsia" w:eastAsia="宋体"/>
                <w:b w:val="0"/>
                <w:bCs w:val="0"/>
                <w:color w:val="auto"/>
                <w:highlight w:val="none"/>
                <w:lang w:eastAsia="zh-CN"/>
              </w:rPr>
            </w:pPr>
            <w:r>
              <w:rPr>
                <w:rFonts w:hint="eastAsia"/>
                <w:b w:val="0"/>
                <w:bCs w:val="0"/>
                <w:color w:val="auto"/>
                <w:highlight w:val="none"/>
              </w:rPr>
              <w:t>总价</w:t>
            </w:r>
            <w:r>
              <w:rPr>
                <w:rFonts w:hint="eastAsia"/>
                <w:b w:val="0"/>
                <w:bCs w:val="0"/>
                <w:color w:val="auto"/>
                <w:highlight w:val="none"/>
                <w:lang w:eastAsia="zh-CN"/>
              </w:rPr>
              <w:t>（元）</w:t>
            </w:r>
          </w:p>
        </w:tc>
        <w:tc>
          <w:tcPr>
            <w:tcW w:w="1149" w:type="dxa"/>
            <w:vAlign w:val="center"/>
          </w:tcPr>
          <w:p>
            <w:pPr>
              <w:pStyle w:val="28"/>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于中型、小</w:t>
            </w:r>
            <w:r>
              <w:rPr>
                <w:rFonts w:hint="eastAsia"/>
                <w:b w:val="0"/>
                <w:bCs w:val="0"/>
                <w:color w:val="auto"/>
                <w:spacing w:val="-2"/>
                <w:highlight w:val="none"/>
              </w:rPr>
              <w:t>型、微</w:t>
            </w:r>
            <w:r>
              <w:rPr>
                <w:rFonts w:hint="eastAsia"/>
                <w:b w:val="0"/>
                <w:bCs w:val="0"/>
                <w:color w:val="auto"/>
                <w:highlight w:val="none"/>
              </w:rPr>
              <w:t>型（填</w:t>
            </w:r>
          </w:p>
          <w:p>
            <w:pPr>
              <w:pStyle w:val="28"/>
              <w:spacing w:line="240" w:lineRule="auto"/>
              <w:ind w:left="107" w:right="60"/>
              <w:jc w:val="center"/>
              <w:rPr>
                <w:b w:val="0"/>
                <w:bCs w:val="0"/>
                <w:color w:val="auto"/>
                <w:highlight w:val="none"/>
              </w:rPr>
            </w:pPr>
            <w:r>
              <w:rPr>
                <w:rFonts w:hint="eastAsia"/>
                <w:b w:val="0"/>
                <w:bCs w:val="0"/>
                <w:color w:val="auto"/>
                <w:highlight w:val="none"/>
              </w:rPr>
              <w:t>中型或小型或微型）</w:t>
            </w:r>
          </w:p>
        </w:tc>
        <w:tc>
          <w:tcPr>
            <w:tcW w:w="634" w:type="dxa"/>
            <w:vAlign w:val="center"/>
          </w:tcPr>
          <w:p>
            <w:pPr>
              <w:pStyle w:val="28"/>
              <w:spacing w:line="240" w:lineRule="auto"/>
              <w:ind w:left="246"/>
              <w:jc w:val="center"/>
              <w:rPr>
                <w:b w:val="0"/>
                <w:bCs w:val="0"/>
                <w:color w:val="auto"/>
                <w:highlight w:val="none"/>
              </w:rPr>
            </w:pPr>
            <w:r>
              <w:rPr>
                <w:rFonts w:hint="eastAsia"/>
                <w:b w:val="0"/>
                <w:bCs w:val="0"/>
                <w:color w:val="auto"/>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99" w:type="dxa"/>
          </w:tcPr>
          <w:p>
            <w:pPr>
              <w:pStyle w:val="28"/>
              <w:spacing w:before="6" w:line="360" w:lineRule="auto"/>
              <w:rPr>
                <w:b w:val="0"/>
                <w:bCs w:val="0"/>
                <w:color w:val="auto"/>
                <w:sz w:val="26"/>
                <w:highlight w:val="none"/>
              </w:rPr>
            </w:pPr>
          </w:p>
          <w:p>
            <w:pPr>
              <w:pStyle w:val="28"/>
              <w:spacing w:line="360" w:lineRule="auto"/>
              <w:ind w:left="9"/>
              <w:jc w:val="center"/>
              <w:rPr>
                <w:b w:val="0"/>
                <w:bCs w:val="0"/>
                <w:color w:val="auto"/>
                <w:highlight w:val="none"/>
              </w:rPr>
            </w:pPr>
            <w:r>
              <w:rPr>
                <w:b w:val="0"/>
                <w:bCs w:val="0"/>
                <w:color w:val="auto"/>
                <w:highlight w:val="none"/>
              </w:rPr>
              <w:t>1</w:t>
            </w:r>
          </w:p>
        </w:tc>
        <w:tc>
          <w:tcPr>
            <w:tcW w:w="661" w:type="dxa"/>
          </w:tcPr>
          <w:p>
            <w:pPr>
              <w:pStyle w:val="28"/>
              <w:spacing w:line="360" w:lineRule="auto"/>
              <w:rPr>
                <w:b w:val="0"/>
                <w:bCs w:val="0"/>
                <w:color w:val="auto"/>
                <w:sz w:val="22"/>
                <w:highlight w:val="none"/>
              </w:rPr>
            </w:pPr>
          </w:p>
        </w:tc>
        <w:tc>
          <w:tcPr>
            <w:tcW w:w="1117" w:type="dxa"/>
            <w:gridSpan w:val="2"/>
          </w:tcPr>
          <w:p>
            <w:pPr>
              <w:pStyle w:val="28"/>
              <w:spacing w:line="360" w:lineRule="auto"/>
              <w:rPr>
                <w:b w:val="0"/>
                <w:bCs w:val="0"/>
                <w:color w:val="auto"/>
                <w:sz w:val="22"/>
                <w:highlight w:val="none"/>
              </w:rPr>
            </w:pPr>
          </w:p>
        </w:tc>
        <w:tc>
          <w:tcPr>
            <w:tcW w:w="632" w:type="dxa"/>
          </w:tcPr>
          <w:p>
            <w:pPr>
              <w:pStyle w:val="28"/>
              <w:spacing w:line="360" w:lineRule="auto"/>
              <w:rPr>
                <w:b w:val="0"/>
                <w:bCs w:val="0"/>
                <w:color w:val="auto"/>
                <w:sz w:val="22"/>
                <w:highlight w:val="none"/>
              </w:rPr>
            </w:pPr>
          </w:p>
        </w:tc>
        <w:tc>
          <w:tcPr>
            <w:tcW w:w="662" w:type="dxa"/>
          </w:tcPr>
          <w:p>
            <w:pPr>
              <w:pStyle w:val="28"/>
              <w:spacing w:line="360" w:lineRule="auto"/>
              <w:rPr>
                <w:b w:val="0"/>
                <w:bCs w:val="0"/>
                <w:color w:val="auto"/>
                <w:sz w:val="22"/>
                <w:highlight w:val="none"/>
              </w:rPr>
            </w:pPr>
          </w:p>
        </w:tc>
        <w:tc>
          <w:tcPr>
            <w:tcW w:w="662" w:type="dxa"/>
          </w:tcPr>
          <w:p>
            <w:pPr>
              <w:pStyle w:val="28"/>
              <w:spacing w:line="360" w:lineRule="auto"/>
              <w:rPr>
                <w:b w:val="0"/>
                <w:bCs w:val="0"/>
                <w:color w:val="auto"/>
                <w:sz w:val="22"/>
                <w:highlight w:val="none"/>
              </w:rPr>
            </w:pPr>
          </w:p>
        </w:tc>
        <w:tc>
          <w:tcPr>
            <w:tcW w:w="950" w:type="dxa"/>
          </w:tcPr>
          <w:p>
            <w:pPr>
              <w:pStyle w:val="28"/>
              <w:spacing w:line="360" w:lineRule="auto"/>
              <w:rPr>
                <w:b w:val="0"/>
                <w:bCs w:val="0"/>
                <w:color w:val="auto"/>
                <w:sz w:val="22"/>
                <w:highlight w:val="none"/>
              </w:rPr>
            </w:pPr>
          </w:p>
        </w:tc>
        <w:tc>
          <w:tcPr>
            <w:tcW w:w="775" w:type="dxa"/>
          </w:tcPr>
          <w:p>
            <w:pPr>
              <w:pStyle w:val="28"/>
              <w:spacing w:line="360" w:lineRule="auto"/>
              <w:rPr>
                <w:b w:val="0"/>
                <w:bCs w:val="0"/>
                <w:color w:val="auto"/>
                <w:sz w:val="22"/>
                <w:highlight w:val="none"/>
              </w:rPr>
            </w:pPr>
          </w:p>
        </w:tc>
        <w:tc>
          <w:tcPr>
            <w:tcW w:w="712" w:type="dxa"/>
          </w:tcPr>
          <w:p>
            <w:pPr>
              <w:pStyle w:val="28"/>
              <w:spacing w:line="360" w:lineRule="auto"/>
              <w:rPr>
                <w:b w:val="0"/>
                <w:bCs w:val="0"/>
                <w:color w:val="auto"/>
                <w:sz w:val="22"/>
                <w:highlight w:val="none"/>
              </w:rPr>
            </w:pPr>
          </w:p>
        </w:tc>
        <w:tc>
          <w:tcPr>
            <w:tcW w:w="750" w:type="dxa"/>
          </w:tcPr>
          <w:p>
            <w:pPr>
              <w:pStyle w:val="28"/>
              <w:spacing w:line="360" w:lineRule="auto"/>
              <w:rPr>
                <w:b w:val="0"/>
                <w:bCs w:val="0"/>
                <w:color w:val="auto"/>
                <w:sz w:val="22"/>
                <w:highlight w:val="none"/>
              </w:rPr>
            </w:pPr>
          </w:p>
        </w:tc>
        <w:tc>
          <w:tcPr>
            <w:tcW w:w="711" w:type="dxa"/>
          </w:tcPr>
          <w:p>
            <w:pPr>
              <w:pStyle w:val="28"/>
              <w:spacing w:line="360" w:lineRule="auto"/>
              <w:rPr>
                <w:b w:val="0"/>
                <w:bCs w:val="0"/>
                <w:color w:val="auto"/>
                <w:sz w:val="22"/>
                <w:highlight w:val="none"/>
              </w:rPr>
            </w:pPr>
          </w:p>
        </w:tc>
        <w:tc>
          <w:tcPr>
            <w:tcW w:w="1149" w:type="dxa"/>
          </w:tcPr>
          <w:p>
            <w:pPr>
              <w:pStyle w:val="28"/>
              <w:spacing w:line="360" w:lineRule="auto"/>
              <w:rPr>
                <w:b w:val="0"/>
                <w:bCs w:val="0"/>
                <w:color w:val="auto"/>
                <w:sz w:val="22"/>
                <w:highlight w:val="none"/>
              </w:rPr>
            </w:pPr>
          </w:p>
        </w:tc>
        <w:tc>
          <w:tcPr>
            <w:tcW w:w="634" w:type="dxa"/>
          </w:tcPr>
          <w:p>
            <w:pPr>
              <w:pStyle w:val="28"/>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599" w:type="dxa"/>
          </w:tcPr>
          <w:p>
            <w:pPr>
              <w:pStyle w:val="28"/>
              <w:spacing w:before="3" w:line="360" w:lineRule="auto"/>
              <w:rPr>
                <w:b w:val="0"/>
                <w:bCs w:val="0"/>
                <w:color w:val="auto"/>
                <w:sz w:val="21"/>
                <w:highlight w:val="none"/>
              </w:rPr>
            </w:pPr>
          </w:p>
          <w:p>
            <w:pPr>
              <w:pStyle w:val="28"/>
              <w:spacing w:before="1" w:line="360" w:lineRule="auto"/>
              <w:ind w:left="99" w:right="90"/>
              <w:jc w:val="center"/>
              <w:rPr>
                <w:b w:val="0"/>
                <w:bCs w:val="0"/>
                <w:color w:val="auto"/>
                <w:highlight w:val="none"/>
              </w:rPr>
            </w:pPr>
            <w:r>
              <w:rPr>
                <w:b w:val="0"/>
                <w:bCs w:val="0"/>
                <w:color w:val="auto"/>
                <w:highlight w:val="none"/>
              </w:rPr>
              <w:t>...</w:t>
            </w:r>
          </w:p>
        </w:tc>
        <w:tc>
          <w:tcPr>
            <w:tcW w:w="661" w:type="dxa"/>
          </w:tcPr>
          <w:p>
            <w:pPr>
              <w:pStyle w:val="28"/>
              <w:spacing w:line="360" w:lineRule="auto"/>
              <w:rPr>
                <w:b w:val="0"/>
                <w:bCs w:val="0"/>
                <w:color w:val="auto"/>
                <w:sz w:val="22"/>
                <w:highlight w:val="none"/>
              </w:rPr>
            </w:pPr>
          </w:p>
        </w:tc>
        <w:tc>
          <w:tcPr>
            <w:tcW w:w="1117" w:type="dxa"/>
            <w:gridSpan w:val="2"/>
          </w:tcPr>
          <w:p>
            <w:pPr>
              <w:pStyle w:val="28"/>
              <w:spacing w:line="360" w:lineRule="auto"/>
              <w:rPr>
                <w:b w:val="0"/>
                <w:bCs w:val="0"/>
                <w:color w:val="auto"/>
                <w:sz w:val="22"/>
                <w:highlight w:val="none"/>
              </w:rPr>
            </w:pPr>
          </w:p>
        </w:tc>
        <w:tc>
          <w:tcPr>
            <w:tcW w:w="632" w:type="dxa"/>
          </w:tcPr>
          <w:p>
            <w:pPr>
              <w:pStyle w:val="28"/>
              <w:spacing w:line="360" w:lineRule="auto"/>
              <w:rPr>
                <w:b w:val="0"/>
                <w:bCs w:val="0"/>
                <w:color w:val="auto"/>
                <w:sz w:val="22"/>
                <w:highlight w:val="none"/>
              </w:rPr>
            </w:pPr>
          </w:p>
        </w:tc>
        <w:tc>
          <w:tcPr>
            <w:tcW w:w="662" w:type="dxa"/>
          </w:tcPr>
          <w:p>
            <w:pPr>
              <w:pStyle w:val="28"/>
              <w:spacing w:line="360" w:lineRule="auto"/>
              <w:rPr>
                <w:b w:val="0"/>
                <w:bCs w:val="0"/>
                <w:color w:val="auto"/>
                <w:sz w:val="22"/>
                <w:highlight w:val="none"/>
              </w:rPr>
            </w:pPr>
          </w:p>
        </w:tc>
        <w:tc>
          <w:tcPr>
            <w:tcW w:w="662" w:type="dxa"/>
          </w:tcPr>
          <w:p>
            <w:pPr>
              <w:pStyle w:val="28"/>
              <w:spacing w:line="360" w:lineRule="auto"/>
              <w:rPr>
                <w:b w:val="0"/>
                <w:bCs w:val="0"/>
                <w:color w:val="auto"/>
                <w:sz w:val="22"/>
                <w:highlight w:val="none"/>
              </w:rPr>
            </w:pPr>
          </w:p>
        </w:tc>
        <w:tc>
          <w:tcPr>
            <w:tcW w:w="950" w:type="dxa"/>
          </w:tcPr>
          <w:p>
            <w:pPr>
              <w:pStyle w:val="28"/>
              <w:spacing w:line="360" w:lineRule="auto"/>
              <w:rPr>
                <w:b w:val="0"/>
                <w:bCs w:val="0"/>
                <w:color w:val="auto"/>
                <w:sz w:val="22"/>
                <w:highlight w:val="none"/>
              </w:rPr>
            </w:pPr>
          </w:p>
        </w:tc>
        <w:tc>
          <w:tcPr>
            <w:tcW w:w="775" w:type="dxa"/>
          </w:tcPr>
          <w:p>
            <w:pPr>
              <w:pStyle w:val="28"/>
              <w:spacing w:line="360" w:lineRule="auto"/>
              <w:rPr>
                <w:b w:val="0"/>
                <w:bCs w:val="0"/>
                <w:color w:val="auto"/>
                <w:sz w:val="22"/>
                <w:highlight w:val="none"/>
              </w:rPr>
            </w:pPr>
          </w:p>
        </w:tc>
        <w:tc>
          <w:tcPr>
            <w:tcW w:w="712" w:type="dxa"/>
          </w:tcPr>
          <w:p>
            <w:pPr>
              <w:pStyle w:val="28"/>
              <w:spacing w:line="360" w:lineRule="auto"/>
              <w:rPr>
                <w:b w:val="0"/>
                <w:bCs w:val="0"/>
                <w:color w:val="auto"/>
                <w:sz w:val="22"/>
                <w:highlight w:val="none"/>
              </w:rPr>
            </w:pPr>
          </w:p>
        </w:tc>
        <w:tc>
          <w:tcPr>
            <w:tcW w:w="750" w:type="dxa"/>
          </w:tcPr>
          <w:p>
            <w:pPr>
              <w:pStyle w:val="28"/>
              <w:spacing w:line="360" w:lineRule="auto"/>
              <w:rPr>
                <w:b w:val="0"/>
                <w:bCs w:val="0"/>
                <w:color w:val="auto"/>
                <w:sz w:val="22"/>
                <w:highlight w:val="none"/>
              </w:rPr>
            </w:pPr>
          </w:p>
        </w:tc>
        <w:tc>
          <w:tcPr>
            <w:tcW w:w="711" w:type="dxa"/>
          </w:tcPr>
          <w:p>
            <w:pPr>
              <w:pStyle w:val="28"/>
              <w:spacing w:line="360" w:lineRule="auto"/>
              <w:rPr>
                <w:b w:val="0"/>
                <w:bCs w:val="0"/>
                <w:color w:val="auto"/>
                <w:sz w:val="22"/>
                <w:highlight w:val="none"/>
              </w:rPr>
            </w:pPr>
          </w:p>
        </w:tc>
        <w:tc>
          <w:tcPr>
            <w:tcW w:w="1149" w:type="dxa"/>
          </w:tcPr>
          <w:p>
            <w:pPr>
              <w:pStyle w:val="28"/>
              <w:spacing w:line="360" w:lineRule="auto"/>
              <w:rPr>
                <w:b w:val="0"/>
                <w:bCs w:val="0"/>
                <w:color w:val="auto"/>
                <w:sz w:val="22"/>
                <w:highlight w:val="none"/>
              </w:rPr>
            </w:pPr>
          </w:p>
        </w:tc>
        <w:tc>
          <w:tcPr>
            <w:tcW w:w="634" w:type="dxa"/>
          </w:tcPr>
          <w:p>
            <w:pPr>
              <w:pStyle w:val="28"/>
              <w:spacing w:line="360" w:lineRule="auto"/>
              <w:rPr>
                <w:b w:val="0"/>
                <w:bCs w:val="0"/>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599" w:type="dxa"/>
          </w:tcPr>
          <w:p>
            <w:pPr>
              <w:pStyle w:val="28"/>
              <w:spacing w:before="1" w:line="360" w:lineRule="auto"/>
              <w:ind w:left="179"/>
              <w:rPr>
                <w:b w:val="0"/>
                <w:bCs w:val="0"/>
                <w:color w:val="auto"/>
                <w:highlight w:val="none"/>
              </w:rPr>
            </w:pPr>
            <w:r>
              <w:rPr>
                <w:rFonts w:hint="eastAsia"/>
                <w:b w:val="0"/>
                <w:bCs w:val="0"/>
                <w:color w:val="auto"/>
                <w:highlight w:val="none"/>
              </w:rPr>
              <w:t>合</w:t>
            </w:r>
          </w:p>
          <w:p>
            <w:pPr>
              <w:pStyle w:val="28"/>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pPr>
              <w:pStyle w:val="28"/>
              <w:spacing w:line="360" w:lineRule="auto"/>
              <w:rPr>
                <w:b w:val="0"/>
                <w:bCs w:val="0"/>
                <w:color w:val="auto"/>
                <w:sz w:val="22"/>
                <w:highlight w:val="none"/>
              </w:rPr>
            </w:pPr>
          </w:p>
        </w:tc>
        <w:tc>
          <w:tcPr>
            <w:tcW w:w="8753" w:type="dxa"/>
            <w:gridSpan w:val="11"/>
          </w:tcPr>
          <w:p>
            <w:pPr>
              <w:pStyle w:val="28"/>
              <w:spacing w:line="360" w:lineRule="auto"/>
              <w:rPr>
                <w:b w:val="0"/>
                <w:bCs w:val="0"/>
                <w:color w:val="auto"/>
                <w:sz w:val="22"/>
                <w:highlight w:val="none"/>
              </w:rPr>
            </w:pPr>
          </w:p>
        </w:tc>
      </w:tr>
    </w:tbl>
    <w:p>
      <w:pPr>
        <w:pStyle w:val="7"/>
        <w:spacing w:line="360" w:lineRule="auto"/>
        <w:rPr>
          <w:color w:val="auto"/>
          <w:highlight w:val="none"/>
        </w:rPr>
      </w:pPr>
    </w:p>
    <w:p>
      <w:pPr>
        <w:pStyle w:val="8"/>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288" w:lineRule="auto"/>
        <w:ind w:firstLine="2660"/>
        <w:jc w:val="both"/>
        <w:rPr>
          <w:rFonts w:hint="eastAsia" w:eastAsia="宋体"/>
          <w:color w:val="auto"/>
          <w:sz w:val="28"/>
          <w:highlight w:val="none"/>
          <w:lang w:eastAsia="zh-CN"/>
        </w:rPr>
      </w:pPr>
      <w:r>
        <w:rPr>
          <w:rFonts w:hint="eastAsia" w:ascii="Calibri" w:hAnsi="Calibri" w:eastAsia="Calibri"/>
          <w:b/>
          <w:color w:val="auto"/>
          <w:sz w:val="28"/>
          <w:highlight w:val="none"/>
        </w:rPr>
        <w:t>2</w:t>
      </w:r>
      <w:r>
        <w:rPr>
          <w:rFonts w:hint="eastAsia" w:ascii="宋体" w:hAnsi="宋体" w:eastAsia="宋体"/>
          <w:b/>
          <w:color w:val="auto"/>
          <w:sz w:val="28"/>
          <w:highlight w:val="none"/>
        </w:rPr>
        <w:t>.</w:t>
      </w:r>
      <w:r>
        <w:rPr>
          <w:rFonts w:hint="eastAsia" w:ascii="Calibri" w:hAnsi="Calibri" w:eastAsia="Calibri"/>
          <w:b/>
          <w:color w:val="auto"/>
          <w:sz w:val="28"/>
          <w:highlight w:val="none"/>
        </w:rPr>
        <w:t>2</w:t>
      </w:r>
      <w:r>
        <w:rPr>
          <w:rFonts w:hint="eastAsia" w:ascii="宋体" w:hAnsi="宋体" w:eastAsia="宋体"/>
          <w:b/>
          <w:color w:val="auto"/>
          <w:sz w:val="28"/>
          <w:highlight w:val="none"/>
        </w:rPr>
        <w:t xml:space="preserve"> 报价分析</w:t>
      </w:r>
      <w:r>
        <w:rPr>
          <w:rFonts w:hint="eastAsia" w:ascii="宋体" w:hAnsi="宋体" w:eastAsia="宋体"/>
          <w:b/>
          <w:color w:val="auto"/>
          <w:sz w:val="28"/>
          <w:highlight w:val="none"/>
          <w:lang w:eastAsia="zh-CN"/>
        </w:rPr>
        <w:t>表</w:t>
      </w:r>
    </w:p>
    <w:p>
      <w:pPr>
        <w:spacing w:line="360" w:lineRule="auto"/>
        <w:ind w:firstLine="0"/>
        <w:jc w:val="both"/>
        <w:rPr>
          <w:color w:val="auto"/>
          <w:sz w:val="27"/>
          <w:highlight w:val="none"/>
        </w:rPr>
      </w:pPr>
      <w:r>
        <w:rPr>
          <w:rFonts w:hint="eastAsia" w:ascii="宋体" w:hAnsi="宋体" w:eastAsia="宋体"/>
          <w:color w:val="auto"/>
          <w:sz w:val="27"/>
          <w:highlight w:val="none"/>
        </w:rPr>
        <w:t>投标车辆名称：</w:t>
      </w:r>
    </w:p>
    <w:tbl>
      <w:tblPr>
        <w:tblStyle w:val="23"/>
        <w:tblW w:w="1046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30"/>
        <w:gridCol w:w="3090"/>
        <w:gridCol w:w="2161"/>
        <w:gridCol w:w="1575"/>
        <w:gridCol w:w="1454"/>
        <w:gridCol w:w="105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序号</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分项内容</w:t>
            </w:r>
          </w:p>
        </w:tc>
        <w:tc>
          <w:tcPr>
            <w:tcW w:w="21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报价（元）</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产地及品牌</w:t>
            </w:r>
          </w:p>
        </w:tc>
        <w:tc>
          <w:tcPr>
            <w:tcW w:w="14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型号规格</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车辆配件</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1.1</w:t>
            </w:r>
          </w:p>
        </w:tc>
        <w:tc>
          <w:tcPr>
            <w:tcW w:w="30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1.2</w:t>
            </w:r>
          </w:p>
        </w:tc>
        <w:tc>
          <w:tcPr>
            <w:tcW w:w="30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jc w:val="center"/>
              <w:rPr>
                <w:color w:val="auto"/>
                <w:highlight w:val="none"/>
              </w:rPr>
            </w:pPr>
            <w:r>
              <w:rPr>
                <w:b w:val="0"/>
                <w:bCs w:val="0"/>
                <w:color w:val="auto"/>
                <w:highlight w:val="none"/>
              </w:rPr>
              <w:t>...</w:t>
            </w:r>
          </w:p>
        </w:tc>
        <w:tc>
          <w:tcPr>
            <w:tcW w:w="30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2</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安装调试费</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3</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首次保养</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1</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其它费用</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Calibri" w:hAnsi="Calibri" w:eastAsia="Calibri"/>
                <w:color w:val="auto"/>
                <w:sz w:val="27"/>
                <w:highlight w:val="none"/>
              </w:rPr>
              <w:t>5</w:t>
            </w:r>
          </w:p>
        </w:tc>
        <w:tc>
          <w:tcPr>
            <w:tcW w:w="3060" w:type="dxa"/>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rFonts w:hint="eastAsia" w:eastAsia="宋体"/>
                <w:color w:val="auto"/>
                <w:sz w:val="27"/>
                <w:highlight w:val="none"/>
                <w:lang w:val="en-US" w:eastAsia="zh-CN"/>
              </w:rPr>
            </w:pPr>
            <w:r>
              <w:rPr>
                <w:b w:val="0"/>
                <w:bCs w:val="0"/>
                <w:color w:val="auto"/>
                <w:highlight w:val="none"/>
              </w:rPr>
              <w:t>...</w:t>
            </w:r>
          </w:p>
        </w:tc>
        <w:tc>
          <w:tcPr>
            <w:tcW w:w="21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highlight w:val="non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4180" w:type="dxa"/>
            <w:gridSpan w:val="2"/>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color w:val="auto"/>
                <w:sz w:val="27"/>
                <w:highlight w:val="none"/>
              </w:rPr>
            </w:pPr>
            <w:r>
              <w:rPr>
                <w:rFonts w:hint="eastAsia" w:ascii="宋体" w:hAnsi="宋体" w:eastAsia="宋体"/>
                <w:color w:val="auto"/>
                <w:sz w:val="27"/>
                <w:highlight w:val="none"/>
              </w:rPr>
              <w:t>合计金额</w:t>
            </w:r>
          </w:p>
        </w:tc>
        <w:tc>
          <w:tcPr>
            <w:tcW w:w="6180" w:type="dxa"/>
            <w:gridSpan w:val="4"/>
            <w:tcBorders>
              <w:top w:val="single" w:color="000000" w:sz="4" w:space="0"/>
              <w:left w:val="single" w:color="000000" w:sz="4" w:space="0"/>
              <w:bottom w:val="single" w:color="000000" w:sz="4" w:space="0"/>
              <w:right w:val="single" w:color="000000" w:sz="4" w:space="0"/>
            </w:tcBorders>
            <w:vAlign w:val="center"/>
          </w:tcPr>
          <w:p>
            <w:pPr>
              <w:spacing w:line="288" w:lineRule="auto"/>
              <w:ind w:firstLine="0"/>
              <w:jc w:val="both"/>
              <w:rPr>
                <w:color w:val="auto"/>
                <w:sz w:val="27"/>
                <w:highlight w:val="none"/>
              </w:rPr>
            </w:pPr>
            <w:r>
              <w:rPr>
                <w:rFonts w:hint="eastAsia" w:ascii="宋体" w:hAnsi="宋体" w:eastAsia="宋体"/>
                <w:color w:val="auto"/>
                <w:sz w:val="27"/>
                <w:highlight w:val="none"/>
              </w:rPr>
              <w:t>小写：    大写：</w:t>
            </w:r>
          </w:p>
        </w:tc>
      </w:tr>
    </w:tbl>
    <w:p>
      <w:pPr>
        <w:spacing w:line="360" w:lineRule="auto"/>
        <w:ind w:firstLine="620"/>
        <w:jc w:val="both"/>
        <w:rPr>
          <w:color w:val="auto"/>
          <w:sz w:val="21"/>
          <w:szCs w:val="21"/>
          <w:highlight w:val="none"/>
        </w:rPr>
      </w:pPr>
      <w:r>
        <w:rPr>
          <w:rFonts w:hint="eastAsia" w:ascii="宋体" w:hAnsi="宋体" w:eastAsia="宋体"/>
          <w:color w:val="auto"/>
          <w:sz w:val="21"/>
          <w:szCs w:val="21"/>
          <w:highlight w:val="none"/>
        </w:rPr>
        <w:t>注：</w:t>
      </w:r>
      <w:r>
        <w:rPr>
          <w:rFonts w:hint="eastAsia" w:ascii="Calibri" w:hAnsi="Calibri" w:eastAsia="Calibri"/>
          <w:color w:val="auto"/>
          <w:sz w:val="21"/>
          <w:szCs w:val="21"/>
          <w:highlight w:val="none"/>
        </w:rPr>
        <w:t>1</w:t>
      </w:r>
      <w:r>
        <w:rPr>
          <w:rFonts w:hint="eastAsia" w:ascii="宋体" w:hAnsi="宋体" w:eastAsia="宋体"/>
          <w:color w:val="auto"/>
          <w:sz w:val="21"/>
          <w:szCs w:val="21"/>
          <w:highlight w:val="none"/>
        </w:rPr>
        <w:t>、请在左上角注明投标车辆型号；</w:t>
      </w:r>
    </w:p>
    <w:p>
      <w:pPr>
        <w:spacing w:line="360" w:lineRule="auto"/>
        <w:ind w:firstLine="620"/>
        <w:jc w:val="both"/>
        <w:rPr>
          <w:color w:val="auto"/>
          <w:sz w:val="21"/>
          <w:szCs w:val="21"/>
          <w:highlight w:val="none"/>
        </w:rPr>
      </w:pPr>
      <w:r>
        <w:rPr>
          <w:rFonts w:hint="eastAsia" w:ascii="Calibri" w:hAnsi="Calibri" w:eastAsia="Calibri"/>
          <w:color w:val="auto"/>
          <w:sz w:val="21"/>
          <w:szCs w:val="21"/>
          <w:highlight w:val="none"/>
        </w:rPr>
        <w:t>2</w:t>
      </w:r>
      <w:r>
        <w:rPr>
          <w:rFonts w:hint="eastAsia" w:ascii="宋体" w:hAnsi="宋体" w:eastAsia="宋体"/>
          <w:color w:val="auto"/>
          <w:sz w:val="21"/>
          <w:szCs w:val="21"/>
          <w:highlight w:val="none"/>
        </w:rPr>
        <w:t>．表中根据所投货物类型分项列明底盘、其他主要设备和安装调试费、首次保养及其他费用等的分项报价，合计金额应当与</w:t>
      </w:r>
      <w:r>
        <w:rPr>
          <w:rFonts w:hint="eastAsia" w:ascii="Calibri" w:hAnsi="Calibri" w:eastAsia="Calibri"/>
          <w:color w:val="auto"/>
          <w:sz w:val="21"/>
          <w:szCs w:val="21"/>
          <w:highlight w:val="none"/>
        </w:rPr>
        <w:t>2</w:t>
      </w:r>
      <w:r>
        <w:rPr>
          <w:rFonts w:hint="eastAsia" w:ascii="宋体" w:hAnsi="宋体" w:eastAsia="宋体"/>
          <w:color w:val="auto"/>
          <w:sz w:val="21"/>
          <w:szCs w:val="21"/>
          <w:highlight w:val="none"/>
        </w:rPr>
        <w:t>.</w:t>
      </w:r>
      <w:r>
        <w:rPr>
          <w:rFonts w:hint="eastAsia" w:ascii="Calibri" w:hAnsi="Calibri" w:eastAsia="Calibri"/>
          <w:color w:val="auto"/>
          <w:sz w:val="21"/>
          <w:szCs w:val="21"/>
          <w:highlight w:val="none"/>
        </w:rPr>
        <w:t>1</w:t>
      </w:r>
      <w:r>
        <w:rPr>
          <w:rFonts w:hint="eastAsia" w:ascii="宋体" w:hAnsi="宋体" w:eastAsia="宋体"/>
          <w:color w:val="auto"/>
          <w:sz w:val="21"/>
          <w:szCs w:val="21"/>
          <w:highlight w:val="none"/>
        </w:rPr>
        <w:t>车辆报价表中同类型货物单价相同；</w:t>
      </w:r>
    </w:p>
    <w:p>
      <w:pPr>
        <w:spacing w:line="360" w:lineRule="auto"/>
        <w:ind w:firstLine="62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所有货物的价格应包含货物及配置产品的设计、采购、制造、检测、试验、包装、运输、保险、税费和原厂服务内容的检验、验收、技术服务（包括技术资料、图纸的提供）、全部的辅助材料费用、安装费、招标代理服务费、首保费、质保期保障等的全部费用。所有价格均应以人民币报价，金额单位为元；</w:t>
      </w:r>
    </w:p>
    <w:p>
      <w:pPr>
        <w:spacing w:line="360" w:lineRule="auto"/>
        <w:ind w:firstLine="62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4．投标人在编写投标文件时，如果遇到技术参数内的产品名称／设备名称与投标产品的商品名称不一致的，须在“备注”内写明商品名称。</w:t>
      </w:r>
    </w:p>
    <w:p>
      <w:pPr>
        <w:pStyle w:val="7"/>
        <w:spacing w:before="2" w:line="360" w:lineRule="auto"/>
        <w:rPr>
          <w:color w:val="auto"/>
          <w:sz w:val="19"/>
          <w:highlight w:val="none"/>
        </w:rPr>
      </w:pP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rFonts w:hint="eastAsia"/>
          <w:color w:val="auto"/>
          <w:highlight w:val="none"/>
        </w:rPr>
      </w:pPr>
      <w:bookmarkStart w:id="491" w:name="_Toc75"/>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spacing w:before="54" w:line="360" w:lineRule="auto"/>
        <w:ind w:left="6"/>
        <w:jc w:val="center"/>
        <w:outlineLvl w:val="1"/>
        <w:rPr>
          <w:b/>
          <w:color w:val="auto"/>
          <w:w w:val="95"/>
          <w:sz w:val="32"/>
          <w:highlight w:val="none"/>
        </w:rPr>
      </w:pPr>
      <w:bookmarkStart w:id="492" w:name="_Toc9250"/>
      <w:bookmarkStart w:id="493" w:name="_Toc25454"/>
      <w:r>
        <w:rPr>
          <w:rFonts w:hint="eastAsia"/>
          <w:b/>
          <w:color w:val="auto"/>
          <w:w w:val="95"/>
          <w:sz w:val="32"/>
          <w:highlight w:val="none"/>
        </w:rPr>
        <w:t>二、法定代表人身份证明</w:t>
      </w:r>
      <w:bookmarkEnd w:id="491"/>
      <w:bookmarkEnd w:id="492"/>
      <w:bookmarkEnd w:id="493"/>
    </w:p>
    <w:p>
      <w:pPr>
        <w:pStyle w:val="7"/>
        <w:spacing w:line="360" w:lineRule="auto"/>
        <w:rPr>
          <w:b/>
          <w:color w:val="auto"/>
          <w:sz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pPr>
        <w:adjustRightInd w:val="0"/>
        <w:snapToGrid w:val="0"/>
        <w:spacing w:line="360" w:lineRule="auto"/>
        <w:ind w:right="-82" w:rightChars="-39"/>
        <w:jc w:val="left"/>
        <w:rPr>
          <w:rFonts w:ascii="宋体" w:cs="宋体"/>
          <w:color w:val="auto"/>
          <w:sz w:val="24"/>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pStyle w:val="12"/>
        <w:spacing w:line="360" w:lineRule="auto"/>
        <w:ind w:left="0" w:leftChars="0" w:right="31680" w:firstLine="0" w:firstLineChars="0"/>
        <w:rPr>
          <w:color w:val="auto"/>
          <w:highlight w:val="none"/>
        </w:rPr>
      </w:pPr>
    </w:p>
    <w:p>
      <w:pPr>
        <w:spacing w:before="54" w:line="360" w:lineRule="auto"/>
        <w:ind w:left="6"/>
        <w:jc w:val="center"/>
        <w:outlineLvl w:val="1"/>
        <w:rPr>
          <w:b/>
          <w:color w:val="auto"/>
          <w:w w:val="95"/>
          <w:sz w:val="32"/>
          <w:highlight w:val="none"/>
        </w:rPr>
      </w:pPr>
      <w:bookmarkStart w:id="494" w:name="_Toc670"/>
      <w:bookmarkStart w:id="495" w:name="_Toc30731"/>
      <w:bookmarkStart w:id="496" w:name="_Toc27272"/>
      <w:r>
        <w:rPr>
          <w:rFonts w:hint="eastAsia"/>
          <w:b/>
          <w:color w:val="auto"/>
          <w:w w:val="95"/>
          <w:sz w:val="32"/>
          <w:highlight w:val="none"/>
        </w:rPr>
        <w:t>三、授权委托书</w:t>
      </w:r>
      <w:bookmarkEnd w:id="494"/>
      <w:bookmarkEnd w:id="495"/>
      <w:bookmarkEnd w:id="496"/>
    </w:p>
    <w:p>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lang w:eastAsia="zh-CN"/>
        </w:rPr>
        <w:t>平顶山市消防救援支队河南省消防救援总队“自然灾害应急能力提升工程”平顶山支队装备建设项目（二次）</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pPr>
        <w:snapToGrid w:val="0"/>
        <w:spacing w:line="360" w:lineRule="auto"/>
        <w:ind w:firstLine="480" w:firstLineChars="200"/>
        <w:jc w:val="left"/>
        <w:rPr>
          <w:rFonts w:ascii="宋体" w:cs="宋体"/>
          <w:color w:val="auto"/>
          <w:sz w:val="24"/>
          <w:highlight w:val="none"/>
        </w:rPr>
      </w:pPr>
    </w:p>
    <w:p>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pPr>
        <w:pStyle w:val="21"/>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1"/>
        <w:jc w:val="center"/>
        <w:rPr>
          <w:b/>
          <w:color w:val="auto"/>
          <w:w w:val="95"/>
          <w:sz w:val="32"/>
          <w:highlight w:val="none"/>
        </w:rPr>
      </w:pPr>
    </w:p>
    <w:p>
      <w:pPr>
        <w:pStyle w:val="12"/>
        <w:spacing w:line="360" w:lineRule="auto"/>
        <w:ind w:left="31680" w:right="31680"/>
        <w:rPr>
          <w:b/>
          <w:color w:val="auto"/>
          <w:w w:val="95"/>
          <w:sz w:val="32"/>
          <w:highlight w:val="none"/>
        </w:rPr>
      </w:pPr>
    </w:p>
    <w:p>
      <w:pPr>
        <w:pStyle w:val="12"/>
        <w:spacing w:line="360" w:lineRule="auto"/>
        <w:ind w:left="31680" w:right="31680"/>
        <w:rPr>
          <w:b/>
          <w:color w:val="auto"/>
          <w:w w:val="95"/>
          <w:sz w:val="32"/>
          <w:highlight w:val="none"/>
        </w:rPr>
      </w:pPr>
    </w:p>
    <w:p>
      <w:pPr>
        <w:rPr>
          <w:color w:val="auto"/>
          <w:highlight w:val="none"/>
        </w:rPr>
      </w:pPr>
    </w:p>
    <w:p>
      <w:pPr>
        <w:rPr>
          <w:color w:val="auto"/>
          <w:highlight w:val="none"/>
        </w:rPr>
      </w:pPr>
    </w:p>
    <w:p>
      <w:pPr>
        <w:spacing w:before="54" w:line="360" w:lineRule="auto"/>
        <w:ind w:left="6"/>
        <w:jc w:val="center"/>
        <w:outlineLvl w:val="1"/>
        <w:rPr>
          <w:b/>
          <w:color w:val="auto"/>
          <w:w w:val="95"/>
          <w:sz w:val="32"/>
          <w:highlight w:val="none"/>
        </w:rPr>
      </w:pPr>
      <w:bookmarkStart w:id="497" w:name="_Toc15621"/>
      <w:bookmarkStart w:id="498" w:name="_Toc30345"/>
      <w:bookmarkStart w:id="499" w:name="_Toc15380"/>
      <w:r>
        <w:rPr>
          <w:rFonts w:hint="eastAsia"/>
          <w:b/>
          <w:color w:val="auto"/>
          <w:w w:val="95"/>
          <w:sz w:val="32"/>
          <w:highlight w:val="none"/>
        </w:rPr>
        <w:t>四、投标承诺书</w:t>
      </w:r>
      <w:bookmarkEnd w:id="497"/>
      <w:bookmarkEnd w:id="498"/>
      <w:bookmarkEnd w:id="499"/>
    </w:p>
    <w:p>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pStyle w:val="7"/>
        <w:spacing w:line="360" w:lineRule="auto"/>
        <w:rPr>
          <w:color w:val="auto"/>
          <w:highlight w:val="none"/>
        </w:rPr>
      </w:pP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500" w:name="_Toc32164"/>
      <w:bookmarkStart w:id="501" w:name="_Toc4122"/>
      <w:bookmarkStart w:id="502" w:name="_Toc14405"/>
      <w:r>
        <w:rPr>
          <w:rFonts w:hint="eastAsia"/>
          <w:b/>
          <w:color w:val="auto"/>
          <w:w w:val="95"/>
          <w:sz w:val="32"/>
          <w:highlight w:val="none"/>
        </w:rPr>
        <w:t>五、技术部分</w:t>
      </w:r>
      <w:bookmarkEnd w:id="500"/>
      <w:bookmarkEnd w:id="501"/>
      <w:bookmarkEnd w:id="502"/>
    </w:p>
    <w:p>
      <w:pPr>
        <w:spacing w:before="212" w:line="360" w:lineRule="auto"/>
        <w:ind w:left="1"/>
        <w:jc w:val="center"/>
        <w:rPr>
          <w:b/>
          <w:color w:val="auto"/>
          <w:sz w:val="32"/>
          <w:highlight w:val="none"/>
        </w:rPr>
      </w:pPr>
      <w:bookmarkStart w:id="503" w:name="（一）技术参数偏差表"/>
      <w:bookmarkEnd w:id="503"/>
      <w:r>
        <w:rPr>
          <w:rFonts w:hint="eastAsia"/>
          <w:b/>
          <w:color w:val="auto"/>
          <w:w w:val="95"/>
          <w:sz w:val="32"/>
          <w:highlight w:val="none"/>
        </w:rPr>
        <w:t>（一）技术参数偏差表</w:t>
      </w:r>
    </w:p>
    <w:p>
      <w:pPr>
        <w:pStyle w:val="31"/>
        <w:numPr>
          <w:ilvl w:val="0"/>
          <w:numId w:val="15"/>
        </w:numPr>
        <w:tabs>
          <w:tab w:val="left" w:pos="580"/>
        </w:tabs>
        <w:spacing w:line="360" w:lineRule="auto"/>
        <w:ind w:firstLine="31680"/>
        <w:jc w:val="left"/>
        <w:rPr>
          <w:b/>
          <w:color w:val="auto"/>
          <w:sz w:val="12"/>
          <w:highlight w:val="none"/>
        </w:rPr>
      </w:pPr>
      <w:r>
        <w:rPr>
          <w:rFonts w:hint="eastAsia"/>
          <w:b/>
          <w:color w:val="auto"/>
          <w:sz w:val="24"/>
          <w:highlight w:val="none"/>
        </w:rPr>
        <w:t>标注</w:t>
      </w:r>
      <w:r>
        <w:rPr>
          <w:b/>
          <w:color w:val="auto"/>
          <w:sz w:val="24"/>
          <w:highlight w:val="none"/>
        </w:rPr>
        <w:t>“</w:t>
      </w:r>
      <w:r>
        <w:rPr>
          <w:rFonts w:hint="eastAsia" w:ascii="宋体" w:hAnsi="宋体" w:cs="宋体"/>
          <w:color w:val="auto"/>
          <w:sz w:val="24"/>
          <w:szCs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8"/>
              <w:spacing w:before="4" w:line="360" w:lineRule="auto"/>
              <w:jc w:val="center"/>
              <w:rPr>
                <w:b/>
                <w:color w:val="auto"/>
                <w:sz w:val="18"/>
                <w:highlight w:val="none"/>
              </w:rPr>
            </w:pPr>
          </w:p>
          <w:p>
            <w:pPr>
              <w:pStyle w:val="28"/>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8"/>
              <w:spacing w:before="2" w:line="360" w:lineRule="auto"/>
              <w:ind w:left="22"/>
              <w:jc w:val="center"/>
              <w:rPr>
                <w:b/>
                <w:color w:val="auto"/>
                <w:highlight w:val="none"/>
              </w:rPr>
            </w:pPr>
            <w:r>
              <w:rPr>
                <w:rFonts w:hint="eastAsia"/>
                <w:b/>
                <w:color w:val="auto"/>
                <w:w w:val="99"/>
                <w:highlight w:val="none"/>
              </w:rPr>
              <w:t>名</w:t>
            </w:r>
          </w:p>
          <w:p>
            <w:pPr>
              <w:pStyle w:val="28"/>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8"/>
              <w:spacing w:before="2" w:line="360" w:lineRule="auto"/>
              <w:ind w:left="219" w:right="192"/>
              <w:jc w:val="center"/>
              <w:rPr>
                <w:b/>
                <w:color w:val="auto"/>
                <w:highlight w:val="none"/>
              </w:rPr>
            </w:pPr>
            <w:r>
              <w:rPr>
                <w:rFonts w:hint="eastAsia"/>
                <w:b/>
                <w:color w:val="auto"/>
                <w:highlight w:val="none"/>
              </w:rPr>
              <w:t>招标文件要求的</w:t>
            </w:r>
          </w:p>
          <w:p>
            <w:pPr>
              <w:pStyle w:val="28"/>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8"/>
              <w:spacing w:before="2" w:line="360" w:lineRule="auto"/>
              <w:ind w:left="14"/>
              <w:jc w:val="center"/>
              <w:rPr>
                <w:b/>
                <w:color w:val="auto"/>
                <w:highlight w:val="none"/>
              </w:rPr>
            </w:pPr>
            <w:r>
              <w:rPr>
                <w:rFonts w:hint="eastAsia"/>
                <w:b/>
                <w:color w:val="auto"/>
                <w:highlight w:val="none"/>
              </w:rPr>
              <w:t>投标文件所附</w:t>
            </w:r>
          </w:p>
          <w:p>
            <w:pPr>
              <w:pStyle w:val="28"/>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8"/>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8"/>
              <w:spacing w:before="4" w:line="360" w:lineRule="auto"/>
              <w:jc w:val="center"/>
              <w:rPr>
                <w:b/>
                <w:color w:val="auto"/>
                <w:sz w:val="18"/>
                <w:highlight w:val="none"/>
              </w:rPr>
            </w:pPr>
          </w:p>
          <w:p>
            <w:pPr>
              <w:pStyle w:val="28"/>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2" w:line="360" w:lineRule="auto"/>
              <w:ind w:left="15"/>
              <w:jc w:val="center"/>
              <w:rPr>
                <w:color w:val="auto"/>
                <w:highlight w:val="none"/>
              </w:rPr>
            </w:pPr>
            <w:r>
              <w:rPr>
                <w:color w:val="auto"/>
                <w:highlight w:val="none"/>
              </w:rPr>
              <w:t>1</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0" w:line="360" w:lineRule="auto"/>
              <w:ind w:left="15"/>
              <w:jc w:val="center"/>
              <w:rPr>
                <w:color w:val="auto"/>
                <w:highlight w:val="none"/>
              </w:rPr>
            </w:pPr>
            <w:r>
              <w:rPr>
                <w:color w:val="auto"/>
                <w:highlight w:val="none"/>
              </w:rPr>
              <w:t>2</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1" w:line="360" w:lineRule="auto"/>
              <w:ind w:left="15"/>
              <w:jc w:val="center"/>
              <w:rPr>
                <w:color w:val="auto"/>
                <w:highlight w:val="none"/>
              </w:rPr>
            </w:pPr>
            <w:r>
              <w:rPr>
                <w:color w:val="auto"/>
                <w:highlight w:val="none"/>
              </w:rPr>
              <w:t>3</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8"/>
              <w:spacing w:before="161" w:line="360" w:lineRule="auto"/>
              <w:ind w:left="15"/>
              <w:jc w:val="center"/>
              <w:rPr>
                <w:color w:val="auto"/>
                <w:highlight w:val="none"/>
              </w:rPr>
            </w:pPr>
            <w:r>
              <w:rPr>
                <w:color w:val="auto"/>
                <w:highlight w:val="none"/>
              </w:rPr>
              <w:t>4</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8"/>
              <w:spacing w:before="162" w:line="360" w:lineRule="auto"/>
              <w:ind w:left="15"/>
              <w:jc w:val="center"/>
              <w:rPr>
                <w:color w:val="auto"/>
                <w:highlight w:val="none"/>
              </w:rPr>
            </w:pPr>
            <w:r>
              <w:rPr>
                <w:color w:val="auto"/>
                <w:highlight w:val="none"/>
              </w:rPr>
              <w:t>5</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2" w:line="360" w:lineRule="auto"/>
              <w:ind w:left="241" w:right="226"/>
              <w:jc w:val="center"/>
              <w:rPr>
                <w:color w:val="auto"/>
                <w:highlight w:val="none"/>
              </w:rPr>
            </w:pPr>
            <w:r>
              <w:rPr>
                <w:color w:val="auto"/>
                <w:highlight w:val="none"/>
              </w:rPr>
              <w:t>...</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pStyle w:val="7"/>
        <w:spacing w:line="360" w:lineRule="auto"/>
        <w:rPr>
          <w:color w:val="auto"/>
          <w:sz w:val="20"/>
          <w:highlight w:val="none"/>
        </w:rPr>
      </w:pPr>
    </w:p>
    <w:p>
      <w:pPr>
        <w:pStyle w:val="8"/>
        <w:spacing w:line="360" w:lineRule="auto"/>
        <w:rPr>
          <w:color w:val="auto"/>
          <w:sz w:val="20"/>
          <w:highlight w:val="none"/>
        </w:rPr>
      </w:pPr>
    </w:p>
    <w:p>
      <w:pPr>
        <w:spacing w:line="360" w:lineRule="auto"/>
        <w:rPr>
          <w:color w:val="auto"/>
          <w:sz w:val="20"/>
          <w:highlight w:val="none"/>
        </w:rPr>
      </w:pPr>
    </w:p>
    <w:p>
      <w:pPr>
        <w:pStyle w:val="21"/>
        <w:spacing w:line="360" w:lineRule="auto"/>
        <w:ind w:firstLine="0"/>
        <w:rPr>
          <w:color w:val="auto"/>
          <w:sz w:val="20"/>
          <w:highlight w:val="none"/>
        </w:rPr>
      </w:pPr>
    </w:p>
    <w:p>
      <w:pPr>
        <w:pStyle w:val="31"/>
        <w:tabs>
          <w:tab w:val="left" w:pos="580"/>
        </w:tabs>
        <w:spacing w:before="215" w:line="360" w:lineRule="auto"/>
        <w:ind w:left="335" w:firstLine="0" w:firstLineChars="0"/>
        <w:jc w:val="left"/>
        <w:rPr>
          <w:b/>
          <w:color w:val="auto"/>
          <w:sz w:val="24"/>
          <w:highlight w:val="none"/>
        </w:rPr>
      </w:pPr>
    </w:p>
    <w:p>
      <w:pPr>
        <w:pStyle w:val="31"/>
        <w:tabs>
          <w:tab w:val="left" w:pos="580"/>
        </w:tabs>
        <w:spacing w:before="215" w:line="360" w:lineRule="auto"/>
        <w:ind w:left="335" w:firstLine="0" w:firstLineChars="0"/>
        <w:jc w:val="left"/>
        <w:rPr>
          <w:b/>
          <w:color w:val="auto"/>
          <w:sz w:val="24"/>
          <w:highlight w:val="none"/>
        </w:rPr>
      </w:pPr>
    </w:p>
    <w:p>
      <w:pPr>
        <w:pStyle w:val="31"/>
        <w:numPr>
          <w:ilvl w:val="0"/>
          <w:numId w:val="15"/>
        </w:numPr>
        <w:tabs>
          <w:tab w:val="left" w:pos="580"/>
        </w:tabs>
        <w:spacing w:line="360" w:lineRule="auto"/>
        <w:ind w:firstLine="31680"/>
        <w:jc w:val="left"/>
        <w:rPr>
          <w:b/>
          <w:color w:val="auto"/>
          <w:sz w:val="12"/>
          <w:highlight w:val="none"/>
        </w:rPr>
      </w:pPr>
      <w:r>
        <w:rPr>
          <w:rFonts w:hint="eastAsia"/>
          <w:b/>
          <w:color w:val="auto"/>
          <w:sz w:val="24"/>
          <w:highlight w:val="none"/>
        </w:rPr>
        <w:t>标注</w:t>
      </w:r>
      <w:r>
        <w:rPr>
          <w:b/>
          <w:color w:val="auto"/>
          <w:sz w:val="24"/>
          <w:highlight w:val="none"/>
        </w:rPr>
        <w:t>“</w:t>
      </w:r>
      <w:r>
        <w:rPr>
          <w:rFonts w:hint="eastAsia" w:ascii="宋体" w:hAnsi="宋体" w:cs="宋体"/>
          <w:color w:val="auto"/>
          <w:sz w:val="24"/>
          <w:szCs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pPr>
              <w:pStyle w:val="28"/>
              <w:spacing w:before="4" w:line="360" w:lineRule="auto"/>
              <w:jc w:val="center"/>
              <w:rPr>
                <w:b/>
                <w:color w:val="auto"/>
                <w:sz w:val="18"/>
                <w:highlight w:val="none"/>
              </w:rPr>
            </w:pPr>
          </w:p>
          <w:p>
            <w:pPr>
              <w:pStyle w:val="28"/>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pPr>
              <w:pStyle w:val="28"/>
              <w:spacing w:before="2" w:line="360" w:lineRule="auto"/>
              <w:ind w:left="22"/>
              <w:jc w:val="center"/>
              <w:rPr>
                <w:b/>
                <w:color w:val="auto"/>
                <w:highlight w:val="none"/>
              </w:rPr>
            </w:pPr>
            <w:r>
              <w:rPr>
                <w:rFonts w:hint="eastAsia"/>
                <w:b/>
                <w:color w:val="auto"/>
                <w:w w:val="99"/>
                <w:highlight w:val="none"/>
              </w:rPr>
              <w:t>名</w:t>
            </w:r>
          </w:p>
          <w:p>
            <w:pPr>
              <w:pStyle w:val="28"/>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pPr>
              <w:pStyle w:val="28"/>
              <w:spacing w:before="2" w:line="360" w:lineRule="auto"/>
              <w:ind w:left="219" w:right="192"/>
              <w:jc w:val="center"/>
              <w:rPr>
                <w:b/>
                <w:color w:val="auto"/>
                <w:highlight w:val="none"/>
              </w:rPr>
            </w:pPr>
            <w:r>
              <w:rPr>
                <w:rFonts w:hint="eastAsia"/>
                <w:b/>
                <w:color w:val="auto"/>
                <w:highlight w:val="none"/>
              </w:rPr>
              <w:t>招标文件要求的</w:t>
            </w:r>
          </w:p>
          <w:p>
            <w:pPr>
              <w:pStyle w:val="28"/>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pPr>
              <w:pStyle w:val="28"/>
              <w:spacing w:before="2" w:line="360" w:lineRule="auto"/>
              <w:ind w:left="14"/>
              <w:jc w:val="center"/>
              <w:rPr>
                <w:b/>
                <w:color w:val="auto"/>
                <w:highlight w:val="none"/>
              </w:rPr>
            </w:pPr>
            <w:r>
              <w:rPr>
                <w:rFonts w:hint="eastAsia"/>
                <w:b/>
                <w:color w:val="auto"/>
                <w:highlight w:val="none"/>
              </w:rPr>
              <w:t>投标文件所附</w:t>
            </w:r>
          </w:p>
          <w:p>
            <w:pPr>
              <w:pStyle w:val="28"/>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pPr>
              <w:pStyle w:val="28"/>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pPr>
              <w:pStyle w:val="28"/>
              <w:spacing w:before="4" w:line="360" w:lineRule="auto"/>
              <w:jc w:val="center"/>
              <w:rPr>
                <w:b/>
                <w:color w:val="auto"/>
                <w:sz w:val="18"/>
                <w:highlight w:val="none"/>
              </w:rPr>
            </w:pPr>
          </w:p>
          <w:p>
            <w:pPr>
              <w:pStyle w:val="28"/>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2" w:line="360" w:lineRule="auto"/>
              <w:ind w:left="15"/>
              <w:jc w:val="center"/>
              <w:rPr>
                <w:color w:val="auto"/>
                <w:highlight w:val="none"/>
              </w:rPr>
            </w:pPr>
            <w:r>
              <w:rPr>
                <w:color w:val="auto"/>
                <w:highlight w:val="none"/>
              </w:rPr>
              <w:t>1</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0" w:line="360" w:lineRule="auto"/>
              <w:ind w:left="15"/>
              <w:jc w:val="center"/>
              <w:rPr>
                <w:color w:val="auto"/>
                <w:highlight w:val="none"/>
              </w:rPr>
            </w:pPr>
            <w:r>
              <w:rPr>
                <w:color w:val="auto"/>
                <w:highlight w:val="none"/>
              </w:rPr>
              <w:t>2</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1" w:line="360" w:lineRule="auto"/>
              <w:ind w:left="15"/>
              <w:jc w:val="center"/>
              <w:rPr>
                <w:color w:val="auto"/>
                <w:highlight w:val="none"/>
              </w:rPr>
            </w:pPr>
            <w:r>
              <w:rPr>
                <w:color w:val="auto"/>
                <w:highlight w:val="none"/>
              </w:rPr>
              <w:t>3</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pPr>
              <w:pStyle w:val="28"/>
              <w:spacing w:before="161" w:line="360" w:lineRule="auto"/>
              <w:ind w:left="15"/>
              <w:jc w:val="center"/>
              <w:rPr>
                <w:color w:val="auto"/>
                <w:highlight w:val="none"/>
              </w:rPr>
            </w:pPr>
            <w:r>
              <w:rPr>
                <w:color w:val="auto"/>
                <w:highlight w:val="none"/>
              </w:rPr>
              <w:t>4</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pPr>
              <w:pStyle w:val="28"/>
              <w:spacing w:before="162" w:line="360" w:lineRule="auto"/>
              <w:ind w:left="15"/>
              <w:jc w:val="center"/>
              <w:rPr>
                <w:color w:val="auto"/>
                <w:highlight w:val="none"/>
              </w:rPr>
            </w:pPr>
            <w:r>
              <w:rPr>
                <w:color w:val="auto"/>
                <w:highlight w:val="none"/>
              </w:rPr>
              <w:t>5</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pPr>
              <w:pStyle w:val="28"/>
              <w:spacing w:before="162" w:line="360" w:lineRule="auto"/>
              <w:ind w:left="241" w:right="226"/>
              <w:jc w:val="center"/>
              <w:rPr>
                <w:color w:val="auto"/>
                <w:highlight w:val="none"/>
              </w:rPr>
            </w:pPr>
            <w:r>
              <w:rPr>
                <w:color w:val="auto"/>
                <w:highlight w:val="none"/>
              </w:rPr>
              <w:t>...</w:t>
            </w:r>
          </w:p>
        </w:tc>
        <w:tc>
          <w:tcPr>
            <w:tcW w:w="852" w:type="dxa"/>
          </w:tcPr>
          <w:p>
            <w:pPr>
              <w:pStyle w:val="28"/>
              <w:spacing w:line="360" w:lineRule="auto"/>
              <w:rPr>
                <w:color w:val="auto"/>
                <w:sz w:val="22"/>
                <w:highlight w:val="none"/>
              </w:rPr>
            </w:pPr>
          </w:p>
        </w:tc>
        <w:tc>
          <w:tcPr>
            <w:tcW w:w="2148" w:type="dxa"/>
          </w:tcPr>
          <w:p>
            <w:pPr>
              <w:pStyle w:val="28"/>
              <w:spacing w:line="360" w:lineRule="auto"/>
              <w:rPr>
                <w:color w:val="auto"/>
                <w:sz w:val="22"/>
                <w:highlight w:val="none"/>
              </w:rPr>
            </w:pPr>
          </w:p>
        </w:tc>
        <w:tc>
          <w:tcPr>
            <w:tcW w:w="1635" w:type="dxa"/>
          </w:tcPr>
          <w:p>
            <w:pPr>
              <w:pStyle w:val="28"/>
              <w:spacing w:line="360" w:lineRule="auto"/>
              <w:rPr>
                <w:color w:val="auto"/>
                <w:sz w:val="22"/>
                <w:highlight w:val="none"/>
              </w:rPr>
            </w:pPr>
          </w:p>
        </w:tc>
        <w:tc>
          <w:tcPr>
            <w:tcW w:w="2320" w:type="dxa"/>
          </w:tcPr>
          <w:p>
            <w:pPr>
              <w:pStyle w:val="28"/>
              <w:spacing w:line="360" w:lineRule="auto"/>
              <w:rPr>
                <w:color w:val="auto"/>
                <w:sz w:val="22"/>
                <w:highlight w:val="none"/>
              </w:rPr>
            </w:pPr>
          </w:p>
        </w:tc>
        <w:tc>
          <w:tcPr>
            <w:tcW w:w="1500" w:type="dxa"/>
          </w:tcPr>
          <w:p>
            <w:pPr>
              <w:pStyle w:val="28"/>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hint="eastAsia" w:ascii="宋体" w:hAns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spacing w:line="360" w:lineRule="auto"/>
        <w:ind w:right="-1"/>
        <w:rPr>
          <w:rFonts w:hint="eastAsia" w:ascii="宋体" w:hAnsi="宋体" w:cs="宋体"/>
          <w:color w:val="auto"/>
          <w:sz w:val="24"/>
          <w:szCs w:val="21"/>
          <w:highlight w:val="none"/>
        </w:rPr>
      </w:pPr>
    </w:p>
    <w:p>
      <w:pPr>
        <w:pStyle w:val="31"/>
        <w:numPr>
          <w:ilvl w:val="0"/>
          <w:numId w:val="15"/>
        </w:numPr>
        <w:tabs>
          <w:tab w:val="left" w:pos="580"/>
        </w:tabs>
        <w:spacing w:before="215" w:line="360" w:lineRule="auto"/>
        <w:ind w:firstLineChars="0"/>
        <w:jc w:val="left"/>
        <w:rPr>
          <w:b/>
          <w:color w:val="auto"/>
          <w:sz w:val="24"/>
          <w:highlight w:val="none"/>
        </w:rPr>
      </w:pPr>
      <w:r>
        <w:rPr>
          <w:rFonts w:hint="eastAsia"/>
          <w:b/>
          <w:color w:val="auto"/>
          <w:sz w:val="24"/>
          <w:highlight w:val="none"/>
        </w:rPr>
        <w:t>不带标注符号项技术参数偏差表</w:t>
      </w:r>
    </w:p>
    <w:p>
      <w:pPr>
        <w:pStyle w:val="7"/>
        <w:spacing w:before="5" w:line="360" w:lineRule="auto"/>
        <w:rPr>
          <w:b/>
          <w:color w:val="auto"/>
          <w:sz w:val="12"/>
          <w:highlight w:val="none"/>
        </w:rPr>
      </w:pP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991"/>
        <w:gridCol w:w="2478"/>
        <w:gridCol w:w="2231"/>
        <w:gridCol w:w="908"/>
        <w:gridCol w:w="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pPr>
              <w:pStyle w:val="28"/>
              <w:spacing w:before="4" w:line="360" w:lineRule="auto"/>
              <w:jc w:val="center"/>
              <w:rPr>
                <w:b/>
                <w:color w:val="auto"/>
                <w:sz w:val="18"/>
                <w:highlight w:val="none"/>
              </w:rPr>
            </w:pPr>
          </w:p>
          <w:p>
            <w:pPr>
              <w:pStyle w:val="28"/>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pPr>
              <w:pStyle w:val="28"/>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pPr>
              <w:pStyle w:val="28"/>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pPr>
              <w:pStyle w:val="28"/>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pPr>
              <w:pStyle w:val="28"/>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pPr>
              <w:pStyle w:val="28"/>
              <w:spacing w:before="4" w:line="360" w:lineRule="auto"/>
              <w:jc w:val="center"/>
              <w:rPr>
                <w:b/>
                <w:color w:val="auto"/>
                <w:sz w:val="18"/>
                <w:highlight w:val="none"/>
              </w:rPr>
            </w:pPr>
          </w:p>
          <w:p>
            <w:pPr>
              <w:pStyle w:val="28"/>
              <w:spacing w:line="360" w:lineRule="auto"/>
              <w:ind w:left="30"/>
              <w:jc w:val="center"/>
              <w:rPr>
                <w:b/>
                <w:color w:val="auto"/>
                <w:highlight w:val="none"/>
              </w:rPr>
            </w:pPr>
            <w:r>
              <w:rPr>
                <w:rFonts w:hint="eastAsia"/>
                <w:b/>
                <w:color w:val="auto"/>
                <w:highlight w:val="none"/>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pPr>
              <w:pStyle w:val="28"/>
              <w:spacing w:before="162" w:line="360" w:lineRule="auto"/>
              <w:ind w:left="15"/>
              <w:jc w:val="center"/>
              <w:rPr>
                <w:color w:val="auto"/>
                <w:highlight w:val="none"/>
              </w:rPr>
            </w:pPr>
            <w:r>
              <w:rPr>
                <w:color w:val="auto"/>
                <w:highlight w:val="none"/>
              </w:rPr>
              <w:t>1</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pPr>
              <w:pStyle w:val="28"/>
              <w:spacing w:before="162" w:line="360" w:lineRule="auto"/>
              <w:ind w:left="15"/>
              <w:jc w:val="center"/>
              <w:rPr>
                <w:color w:val="auto"/>
                <w:highlight w:val="none"/>
              </w:rPr>
            </w:pPr>
            <w:r>
              <w:rPr>
                <w:color w:val="auto"/>
                <w:highlight w:val="none"/>
              </w:rPr>
              <w:t>2</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8"/>
              <w:spacing w:before="161" w:line="360" w:lineRule="auto"/>
              <w:ind w:left="15"/>
              <w:jc w:val="center"/>
              <w:rPr>
                <w:color w:val="auto"/>
                <w:highlight w:val="none"/>
              </w:rPr>
            </w:pPr>
            <w:r>
              <w:rPr>
                <w:color w:val="auto"/>
                <w:highlight w:val="none"/>
              </w:rPr>
              <w:t>3</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8"/>
              <w:spacing w:before="161" w:line="360" w:lineRule="auto"/>
              <w:ind w:left="15"/>
              <w:jc w:val="center"/>
              <w:rPr>
                <w:color w:val="auto"/>
                <w:highlight w:val="none"/>
              </w:rPr>
            </w:pPr>
            <w:r>
              <w:rPr>
                <w:color w:val="auto"/>
                <w:highlight w:val="none"/>
              </w:rPr>
              <w:t>4</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8"/>
              <w:spacing w:before="162" w:line="360" w:lineRule="auto"/>
              <w:ind w:left="15"/>
              <w:jc w:val="center"/>
              <w:rPr>
                <w:color w:val="auto"/>
                <w:highlight w:val="none"/>
              </w:rPr>
            </w:pPr>
            <w:r>
              <w:rPr>
                <w:color w:val="auto"/>
                <w:highlight w:val="none"/>
              </w:rPr>
              <w:t>5</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pPr>
              <w:pStyle w:val="28"/>
              <w:spacing w:before="162" w:line="360" w:lineRule="auto"/>
              <w:ind w:left="241" w:right="226"/>
              <w:jc w:val="center"/>
              <w:rPr>
                <w:color w:val="auto"/>
                <w:highlight w:val="none"/>
              </w:rPr>
            </w:pPr>
            <w:r>
              <w:rPr>
                <w:color w:val="auto"/>
                <w:highlight w:val="none"/>
              </w:rPr>
              <w:t>...</w:t>
            </w:r>
          </w:p>
        </w:tc>
        <w:tc>
          <w:tcPr>
            <w:tcW w:w="596" w:type="pct"/>
          </w:tcPr>
          <w:p>
            <w:pPr>
              <w:pStyle w:val="28"/>
              <w:spacing w:line="360" w:lineRule="auto"/>
              <w:rPr>
                <w:color w:val="auto"/>
                <w:sz w:val="22"/>
                <w:highlight w:val="none"/>
              </w:rPr>
            </w:pPr>
          </w:p>
        </w:tc>
        <w:tc>
          <w:tcPr>
            <w:tcW w:w="1490" w:type="pct"/>
          </w:tcPr>
          <w:p>
            <w:pPr>
              <w:pStyle w:val="28"/>
              <w:spacing w:line="360" w:lineRule="auto"/>
              <w:rPr>
                <w:color w:val="auto"/>
                <w:sz w:val="22"/>
                <w:highlight w:val="none"/>
              </w:rPr>
            </w:pPr>
          </w:p>
        </w:tc>
        <w:tc>
          <w:tcPr>
            <w:tcW w:w="1341" w:type="pct"/>
          </w:tcPr>
          <w:p>
            <w:pPr>
              <w:pStyle w:val="28"/>
              <w:spacing w:line="360" w:lineRule="auto"/>
              <w:rPr>
                <w:color w:val="auto"/>
                <w:sz w:val="22"/>
                <w:highlight w:val="none"/>
              </w:rPr>
            </w:pPr>
          </w:p>
        </w:tc>
        <w:tc>
          <w:tcPr>
            <w:tcW w:w="546" w:type="pct"/>
          </w:tcPr>
          <w:p>
            <w:pPr>
              <w:pStyle w:val="28"/>
              <w:spacing w:line="360" w:lineRule="auto"/>
              <w:rPr>
                <w:color w:val="auto"/>
                <w:sz w:val="22"/>
                <w:highlight w:val="none"/>
              </w:rPr>
            </w:pPr>
          </w:p>
        </w:tc>
        <w:tc>
          <w:tcPr>
            <w:tcW w:w="578" w:type="pct"/>
          </w:tcPr>
          <w:p>
            <w:pPr>
              <w:pStyle w:val="28"/>
              <w:spacing w:line="360" w:lineRule="auto"/>
              <w:rPr>
                <w:color w:val="auto"/>
                <w:sz w:val="22"/>
                <w:highlight w:val="none"/>
              </w:rPr>
            </w:pPr>
          </w:p>
        </w:tc>
      </w:tr>
    </w:tbl>
    <w:p>
      <w:pPr>
        <w:pStyle w:val="7"/>
        <w:spacing w:line="360" w:lineRule="auto"/>
        <w:rPr>
          <w:b/>
          <w:color w:val="auto"/>
          <w:highlight w:val="none"/>
        </w:rPr>
      </w:pPr>
    </w:p>
    <w:p>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pPr>
        <w:spacing w:line="360" w:lineRule="auto"/>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pStyle w:val="12"/>
        <w:spacing w:line="360" w:lineRule="auto"/>
        <w:ind w:left="31680" w:right="31680"/>
        <w:rPr>
          <w:color w:val="auto"/>
          <w:highlight w:val="none"/>
        </w:rPr>
      </w:pPr>
    </w:p>
    <w:p>
      <w:pPr>
        <w:spacing w:line="240" w:lineRule="auto"/>
        <w:jc w:val="center"/>
        <w:rPr>
          <w:color w:val="auto"/>
          <w:sz w:val="24"/>
          <w:szCs w:val="24"/>
          <w:highlight w:val="none"/>
        </w:rPr>
      </w:pPr>
      <w:r>
        <w:rPr>
          <w:rFonts w:hint="eastAsia" w:ascii="宋体" w:hAnsi="宋体" w:eastAsia="宋体"/>
          <w:b/>
          <w:color w:val="auto"/>
          <w:sz w:val="24"/>
          <w:szCs w:val="24"/>
          <w:highlight w:val="none"/>
        </w:rPr>
        <w:t>（二）主要设备性能</w:t>
      </w:r>
    </w:p>
    <w:p>
      <w:pPr>
        <w:spacing w:line="288" w:lineRule="auto"/>
        <w:ind w:firstLine="0"/>
        <w:jc w:val="both"/>
        <w:rPr>
          <w:color w:val="auto"/>
          <w:sz w:val="24"/>
          <w:szCs w:val="24"/>
          <w:highlight w:val="none"/>
        </w:rPr>
      </w:pPr>
    </w:p>
    <w:p>
      <w:pPr>
        <w:spacing w:line="288" w:lineRule="auto"/>
        <w:ind w:firstLine="0"/>
        <w:jc w:val="both"/>
        <w:rPr>
          <w:color w:val="auto"/>
          <w:sz w:val="24"/>
          <w:szCs w:val="24"/>
          <w:highlight w:val="none"/>
        </w:rPr>
      </w:pPr>
    </w:p>
    <w:p>
      <w:pPr>
        <w:spacing w:line="360" w:lineRule="auto"/>
        <w:ind w:firstLine="0"/>
        <w:jc w:val="both"/>
        <w:rPr>
          <w:color w:val="auto"/>
          <w:sz w:val="24"/>
          <w:szCs w:val="24"/>
          <w:highlight w:val="none"/>
        </w:rPr>
      </w:pPr>
      <w:r>
        <w:rPr>
          <w:rFonts w:hint="eastAsia" w:ascii="宋体" w:hAnsi="宋体" w:eastAsia="宋体"/>
          <w:color w:val="auto"/>
          <w:sz w:val="24"/>
          <w:szCs w:val="24"/>
          <w:highlight w:val="none"/>
        </w:rPr>
        <w:t>投标车辆名称</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u w:val="single"/>
        </w:rPr>
        <w:t xml:space="preserve">           </w:t>
      </w:r>
    </w:p>
    <w:p>
      <w:pPr>
        <w:spacing w:line="360" w:lineRule="auto"/>
        <w:ind w:firstLine="0"/>
        <w:jc w:val="both"/>
        <w:rPr>
          <w:color w:val="auto"/>
          <w:sz w:val="24"/>
          <w:szCs w:val="24"/>
          <w:highlight w:val="none"/>
        </w:rPr>
      </w:pPr>
    </w:p>
    <w:tbl>
      <w:tblPr>
        <w:tblStyle w:val="23"/>
        <w:tblW w:w="1000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91"/>
        <w:gridCol w:w="2130"/>
        <w:gridCol w:w="1095"/>
        <w:gridCol w:w="1055"/>
        <w:gridCol w:w="2596"/>
        <w:gridCol w:w="2333"/>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型号</w:t>
            </w:r>
          </w:p>
        </w:tc>
        <w:tc>
          <w:tcPr>
            <w:tcW w:w="104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品牌</w:t>
            </w:r>
          </w:p>
        </w:tc>
        <w:tc>
          <w:tcPr>
            <w:tcW w:w="256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性能描述</w:t>
            </w: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底盘</w:t>
            </w: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2</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3</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4</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408"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5</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宋体" w:hAnsi="宋体" w:eastAsia="宋体"/>
                <w:color w:val="auto"/>
                <w:sz w:val="24"/>
                <w:szCs w:val="24"/>
                <w:highlight w:val="none"/>
              </w:rPr>
              <w:t>见投标文件（）页</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color w:val="auto"/>
                <w:sz w:val="24"/>
                <w:szCs w:val="24"/>
                <w:highlight w:val="none"/>
              </w:rPr>
            </w:pPr>
            <w:r>
              <w:rPr>
                <w:rFonts w:hint="eastAsia" w:ascii="Calibri" w:hAnsi="Calibri" w:eastAsia="Calibri"/>
                <w:color w:val="auto"/>
                <w:sz w:val="24"/>
                <w:szCs w:val="24"/>
                <w:highlight w:val="none"/>
              </w:rPr>
              <w:t>6</w:t>
            </w:r>
          </w:p>
        </w:tc>
        <w:tc>
          <w:tcPr>
            <w:tcW w:w="21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pPr>
              <w:rPr>
                <w:color w:val="auto"/>
                <w:sz w:val="24"/>
                <w:szCs w:val="24"/>
                <w:highlight w:val="none"/>
              </w:rPr>
            </w:pPr>
          </w:p>
        </w:tc>
      </w:tr>
    </w:tbl>
    <w:p>
      <w:pPr>
        <w:spacing w:line="360" w:lineRule="auto"/>
        <w:ind w:firstLine="0"/>
        <w:jc w:val="both"/>
        <w:rPr>
          <w:color w:val="auto"/>
          <w:sz w:val="24"/>
          <w:szCs w:val="24"/>
          <w:highlight w:val="none"/>
        </w:rPr>
      </w:pPr>
    </w:p>
    <w:p>
      <w:pPr>
        <w:spacing w:line="360" w:lineRule="auto"/>
        <w:ind w:firstLine="0"/>
        <w:jc w:val="both"/>
        <w:rPr>
          <w:color w:val="auto"/>
          <w:sz w:val="24"/>
          <w:szCs w:val="24"/>
          <w:highlight w:val="none"/>
        </w:rPr>
      </w:pPr>
      <w:r>
        <w:rPr>
          <w:rFonts w:hint="eastAsia" w:ascii="宋体" w:hAnsi="宋体" w:eastAsia="宋体"/>
          <w:color w:val="auto"/>
          <w:sz w:val="24"/>
          <w:szCs w:val="24"/>
          <w:highlight w:val="none"/>
        </w:rPr>
        <w:t>注：</w:t>
      </w:r>
    </w:p>
    <w:p>
      <w:pPr>
        <w:spacing w:line="360" w:lineRule="auto"/>
        <w:ind w:firstLine="540"/>
        <w:jc w:val="both"/>
        <w:rPr>
          <w:color w:val="auto"/>
          <w:sz w:val="24"/>
          <w:szCs w:val="24"/>
          <w:highlight w:val="none"/>
        </w:rPr>
      </w:pP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．本表所填内容应与招标文件第四章“评标办法”</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w:t>
      </w:r>
      <w:r>
        <w:rPr>
          <w:rFonts w:hint="eastAsia" w:ascii="Calibri" w:hAnsi="Calibri" w:eastAsia="宋体"/>
          <w:color w:val="auto"/>
          <w:sz w:val="24"/>
          <w:szCs w:val="24"/>
          <w:highlight w:val="none"/>
          <w:lang w:val="en-US" w:eastAsia="zh-CN"/>
        </w:rPr>
        <w:t>2</w:t>
      </w:r>
      <w:r>
        <w:rPr>
          <w:rFonts w:hint="eastAsia" w:ascii="宋体" w:hAnsi="宋体" w:eastAsia="宋体"/>
          <w:color w:val="auto"/>
          <w:sz w:val="24"/>
          <w:szCs w:val="24"/>
          <w:highlight w:val="none"/>
        </w:rPr>
        <w:t>）款中的评标内容相照应，为评标委员会方便评标使用。</w:t>
      </w:r>
    </w:p>
    <w:p>
      <w:pPr>
        <w:spacing w:line="360" w:lineRule="auto"/>
        <w:ind w:firstLine="540"/>
        <w:jc w:val="both"/>
        <w:rPr>
          <w:color w:val="auto"/>
          <w:sz w:val="24"/>
          <w:szCs w:val="24"/>
          <w:highlight w:val="none"/>
        </w:rPr>
      </w:pP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．投标人应根据所投标包对应的评分标准进行填写，表中名称内容可根据投报设备情况自行增加（删减）调整。</w:t>
      </w:r>
    </w:p>
    <w:p>
      <w:pPr>
        <w:rPr>
          <w:rFonts w:hint="eastAsia"/>
          <w:color w:val="auto"/>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sz w:val="24"/>
          <w:szCs w:val="24"/>
          <w:highlight w:val="none"/>
        </w:rPr>
      </w:pPr>
    </w:p>
    <w:p>
      <w:pPr>
        <w:rPr>
          <w:rFonts w:hint="eastAsia"/>
          <w:color w:val="auto"/>
          <w:highlight w:val="none"/>
        </w:rPr>
      </w:pPr>
    </w:p>
    <w:p>
      <w:pPr>
        <w:numPr>
          <w:ilvl w:val="0"/>
          <w:numId w:val="14"/>
        </w:numPr>
        <w:spacing w:line="240" w:lineRule="auto"/>
        <w:ind w:left="3" w:leftChars="0" w:firstLine="0" w:firstLineChars="0"/>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技术参数证明材料</w:t>
      </w:r>
    </w:p>
    <w:p>
      <w:pPr>
        <w:numPr>
          <w:ilvl w:val="0"/>
          <w:numId w:val="0"/>
        </w:numPr>
        <w:spacing w:line="240" w:lineRule="auto"/>
        <w:ind w:left="3" w:leftChars="0"/>
        <w:jc w:val="both"/>
        <w:rPr>
          <w:rFonts w:hint="eastAsia" w:ascii="宋体" w:hAnsi="宋体" w:eastAsia="宋体"/>
          <w:b/>
          <w:color w:val="auto"/>
          <w:sz w:val="24"/>
          <w:szCs w:val="24"/>
          <w:highlight w:val="none"/>
        </w:rPr>
      </w:pPr>
    </w:p>
    <w:p>
      <w:pPr>
        <w:keepNext/>
        <w:keepLines/>
        <w:spacing w:line="360" w:lineRule="auto"/>
        <w:jc w:val="center"/>
        <w:rPr>
          <w:rFonts w:ascii="宋体" w:cs="宋体"/>
          <w:b/>
          <w:bCs/>
          <w:color w:val="auto"/>
          <w:kern w:val="0"/>
          <w:sz w:val="24"/>
          <w:highlight w:val="none"/>
        </w:rPr>
      </w:pPr>
    </w:p>
    <w:p>
      <w:pPr>
        <w:pStyle w:val="12"/>
        <w:spacing w:line="360" w:lineRule="auto"/>
        <w:ind w:left="31680" w:right="31680"/>
        <w:rPr>
          <w:color w:val="auto"/>
          <w:highlight w:val="none"/>
        </w:rPr>
        <w:sectPr>
          <w:footerReference r:id="rId9"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jc w:val="center"/>
        <w:outlineLvl w:val="1"/>
        <w:rPr>
          <w:b/>
          <w:color w:val="auto"/>
          <w:sz w:val="32"/>
          <w:highlight w:val="none"/>
        </w:rPr>
      </w:pPr>
      <w:bookmarkStart w:id="504" w:name="_Toc26886"/>
      <w:bookmarkStart w:id="505" w:name="_Toc31940"/>
      <w:bookmarkStart w:id="506" w:name="_Toc9417"/>
      <w:r>
        <w:rPr>
          <w:rFonts w:hint="eastAsia"/>
          <w:b/>
          <w:color w:val="auto"/>
          <w:w w:val="95"/>
          <w:sz w:val="32"/>
          <w:highlight w:val="none"/>
        </w:rPr>
        <w:t>六、</w:t>
      </w:r>
      <w:r>
        <w:rPr>
          <w:rFonts w:hint="eastAsia"/>
          <w:b/>
          <w:color w:val="auto"/>
          <w:w w:val="95"/>
          <w:sz w:val="32"/>
          <w:highlight w:val="none"/>
          <w:lang w:eastAsia="zh-CN"/>
        </w:rPr>
        <w:t>类似</w:t>
      </w:r>
      <w:r>
        <w:rPr>
          <w:rFonts w:hint="eastAsia"/>
          <w:b/>
          <w:color w:val="auto"/>
          <w:sz w:val="32"/>
          <w:highlight w:val="none"/>
        </w:rPr>
        <w:t>业绩</w:t>
      </w:r>
      <w:bookmarkEnd w:id="504"/>
      <w:bookmarkEnd w:id="505"/>
      <w:bookmarkEnd w:id="506"/>
    </w:p>
    <w:p>
      <w:pPr>
        <w:pStyle w:val="7"/>
        <w:spacing w:before="12" w:line="360" w:lineRule="auto"/>
        <w:rPr>
          <w:b/>
          <w:color w:val="auto"/>
          <w:sz w:val="19"/>
          <w:highlight w:val="none"/>
        </w:rPr>
      </w:pPr>
    </w:p>
    <w:p>
      <w:pPr>
        <w:pStyle w:val="7"/>
        <w:spacing w:before="66" w:line="360" w:lineRule="auto"/>
        <w:ind w:right="412"/>
        <w:jc w:val="right"/>
        <w:rPr>
          <w:color w:val="auto"/>
          <w:highlight w:val="none"/>
        </w:rPr>
      </w:pPr>
      <w:r>
        <w:rPr>
          <w:rFonts w:hint="eastAsia"/>
          <w:color w:val="auto"/>
          <w:highlight w:val="none"/>
        </w:rPr>
        <w:t>金额单位：元</w:t>
      </w:r>
    </w:p>
    <w:p>
      <w:pPr>
        <w:pStyle w:val="7"/>
        <w:spacing w:before="3" w:line="360" w:lineRule="auto"/>
        <w:rPr>
          <w:color w:val="auto"/>
          <w:sz w:val="12"/>
          <w:highlight w:val="none"/>
        </w:rPr>
      </w:pPr>
    </w:p>
    <w:tbl>
      <w:tblPr>
        <w:tblStyle w:val="23"/>
        <w:tblW w:w="51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9"/>
        <w:gridCol w:w="1214"/>
        <w:gridCol w:w="903"/>
        <w:gridCol w:w="937"/>
        <w:gridCol w:w="1158"/>
        <w:gridCol w:w="991"/>
        <w:gridCol w:w="946"/>
        <w:gridCol w:w="1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83" w:type="pct"/>
          </w:tcPr>
          <w:p>
            <w:pPr>
              <w:pStyle w:val="28"/>
              <w:spacing w:line="360" w:lineRule="auto"/>
              <w:jc w:val="center"/>
              <w:rPr>
                <w:color w:val="auto"/>
                <w:highlight w:val="none"/>
              </w:rPr>
            </w:pPr>
          </w:p>
          <w:p>
            <w:pPr>
              <w:pStyle w:val="28"/>
              <w:spacing w:before="161" w:line="360" w:lineRule="auto"/>
              <w:ind w:right="132"/>
              <w:jc w:val="center"/>
              <w:rPr>
                <w:color w:val="auto"/>
                <w:highlight w:val="none"/>
              </w:rPr>
            </w:pPr>
            <w:r>
              <w:rPr>
                <w:rFonts w:hint="eastAsia"/>
                <w:color w:val="auto"/>
                <w:highlight w:val="none"/>
              </w:rPr>
              <w:t>序号</w:t>
            </w:r>
          </w:p>
        </w:tc>
        <w:tc>
          <w:tcPr>
            <w:tcW w:w="706" w:type="pct"/>
          </w:tcPr>
          <w:p>
            <w:pPr>
              <w:pStyle w:val="28"/>
              <w:spacing w:before="3" w:line="360" w:lineRule="auto"/>
              <w:jc w:val="center"/>
              <w:rPr>
                <w:color w:val="auto"/>
                <w:sz w:val="18"/>
                <w:highlight w:val="none"/>
              </w:rPr>
            </w:pPr>
          </w:p>
          <w:p>
            <w:pPr>
              <w:pStyle w:val="28"/>
              <w:spacing w:line="360" w:lineRule="auto"/>
              <w:ind w:left="138" w:right="128"/>
              <w:jc w:val="center"/>
              <w:rPr>
                <w:color w:val="auto"/>
                <w:spacing w:val="-2"/>
                <w:highlight w:val="none"/>
              </w:rPr>
            </w:pPr>
            <w:r>
              <w:rPr>
                <w:rFonts w:hint="eastAsia"/>
                <w:color w:val="auto"/>
                <w:spacing w:val="-2"/>
                <w:highlight w:val="none"/>
              </w:rPr>
              <w:t>用户单位</w:t>
            </w:r>
          </w:p>
          <w:p>
            <w:pPr>
              <w:pStyle w:val="28"/>
              <w:spacing w:line="360" w:lineRule="auto"/>
              <w:ind w:left="138" w:right="128"/>
              <w:jc w:val="center"/>
              <w:rPr>
                <w:color w:val="auto"/>
                <w:highlight w:val="none"/>
              </w:rPr>
            </w:pPr>
            <w:r>
              <w:rPr>
                <w:rFonts w:hint="eastAsia"/>
                <w:color w:val="auto"/>
                <w:spacing w:val="-2"/>
                <w:highlight w:val="none"/>
              </w:rPr>
              <w:t>名称</w:t>
            </w:r>
          </w:p>
        </w:tc>
        <w:tc>
          <w:tcPr>
            <w:tcW w:w="525" w:type="pct"/>
          </w:tcPr>
          <w:p>
            <w:pPr>
              <w:pStyle w:val="28"/>
              <w:spacing w:before="3" w:line="360" w:lineRule="auto"/>
              <w:jc w:val="center"/>
              <w:rPr>
                <w:color w:val="auto"/>
                <w:sz w:val="18"/>
                <w:highlight w:val="none"/>
              </w:rPr>
            </w:pPr>
          </w:p>
          <w:p>
            <w:pPr>
              <w:pStyle w:val="28"/>
              <w:spacing w:line="360" w:lineRule="auto"/>
              <w:ind w:left="152" w:right="140"/>
              <w:jc w:val="center"/>
              <w:rPr>
                <w:color w:val="auto"/>
                <w:highlight w:val="none"/>
              </w:rPr>
            </w:pPr>
            <w:r>
              <w:rPr>
                <w:rFonts w:hint="eastAsia"/>
                <w:color w:val="auto"/>
                <w:spacing w:val="-2"/>
                <w:highlight w:val="none"/>
              </w:rPr>
              <w:t>项目内容</w:t>
            </w:r>
          </w:p>
        </w:tc>
        <w:tc>
          <w:tcPr>
            <w:tcW w:w="545" w:type="pct"/>
          </w:tcPr>
          <w:p>
            <w:pPr>
              <w:pStyle w:val="28"/>
              <w:spacing w:line="360" w:lineRule="auto"/>
              <w:jc w:val="center"/>
              <w:rPr>
                <w:color w:val="auto"/>
                <w:highlight w:val="none"/>
              </w:rPr>
            </w:pPr>
          </w:p>
          <w:p>
            <w:pPr>
              <w:pStyle w:val="28"/>
              <w:spacing w:before="161" w:line="360" w:lineRule="auto"/>
              <w:ind w:left="147"/>
              <w:jc w:val="center"/>
              <w:rPr>
                <w:color w:val="auto"/>
                <w:highlight w:val="none"/>
              </w:rPr>
            </w:pPr>
            <w:r>
              <w:rPr>
                <w:rFonts w:hint="eastAsia"/>
                <w:color w:val="auto"/>
                <w:highlight w:val="none"/>
              </w:rPr>
              <w:t>实施地点</w:t>
            </w:r>
          </w:p>
        </w:tc>
        <w:tc>
          <w:tcPr>
            <w:tcW w:w="673" w:type="pct"/>
          </w:tcPr>
          <w:p>
            <w:pPr>
              <w:pStyle w:val="28"/>
              <w:spacing w:before="3" w:line="360" w:lineRule="auto"/>
              <w:jc w:val="center"/>
              <w:rPr>
                <w:color w:val="auto"/>
                <w:sz w:val="18"/>
                <w:highlight w:val="none"/>
              </w:rPr>
            </w:pPr>
          </w:p>
          <w:p>
            <w:pPr>
              <w:pStyle w:val="28"/>
              <w:spacing w:line="360" w:lineRule="auto"/>
              <w:ind w:left="136" w:right="128"/>
              <w:jc w:val="center"/>
              <w:rPr>
                <w:color w:val="auto"/>
                <w:spacing w:val="-1"/>
                <w:highlight w:val="none"/>
              </w:rPr>
            </w:pPr>
            <w:r>
              <w:rPr>
                <w:rFonts w:hint="eastAsia"/>
                <w:color w:val="auto"/>
                <w:spacing w:val="-1"/>
                <w:highlight w:val="none"/>
              </w:rPr>
              <w:t>用户联系人</w:t>
            </w:r>
          </w:p>
          <w:p>
            <w:pPr>
              <w:pStyle w:val="28"/>
              <w:spacing w:line="360" w:lineRule="auto"/>
              <w:ind w:left="136" w:right="128"/>
              <w:jc w:val="center"/>
              <w:rPr>
                <w:color w:val="auto"/>
                <w:highlight w:val="none"/>
              </w:rPr>
            </w:pPr>
            <w:r>
              <w:rPr>
                <w:rFonts w:hint="eastAsia"/>
                <w:color w:val="auto"/>
                <w:spacing w:val="-1"/>
                <w:highlight w:val="none"/>
              </w:rPr>
              <w:t>及联系方式</w:t>
            </w:r>
          </w:p>
        </w:tc>
        <w:tc>
          <w:tcPr>
            <w:tcW w:w="576" w:type="pct"/>
          </w:tcPr>
          <w:p>
            <w:pPr>
              <w:pStyle w:val="28"/>
              <w:spacing w:before="3" w:line="360" w:lineRule="auto"/>
              <w:jc w:val="center"/>
              <w:rPr>
                <w:color w:val="auto"/>
                <w:sz w:val="18"/>
                <w:highlight w:val="none"/>
              </w:rPr>
            </w:pPr>
          </w:p>
          <w:p>
            <w:pPr>
              <w:pStyle w:val="28"/>
              <w:spacing w:line="360" w:lineRule="auto"/>
              <w:ind w:left="214" w:right="204"/>
              <w:jc w:val="center"/>
              <w:rPr>
                <w:color w:val="auto"/>
                <w:highlight w:val="none"/>
              </w:rPr>
            </w:pPr>
            <w:r>
              <w:rPr>
                <w:rFonts w:hint="eastAsia"/>
                <w:color w:val="auto"/>
                <w:spacing w:val="-2"/>
                <w:highlight w:val="none"/>
              </w:rPr>
              <w:t>项目起止时间</w:t>
            </w:r>
          </w:p>
        </w:tc>
        <w:tc>
          <w:tcPr>
            <w:tcW w:w="550" w:type="pct"/>
          </w:tcPr>
          <w:p>
            <w:pPr>
              <w:pStyle w:val="28"/>
              <w:spacing w:before="3" w:line="360" w:lineRule="auto"/>
              <w:jc w:val="center"/>
              <w:rPr>
                <w:color w:val="auto"/>
                <w:sz w:val="18"/>
                <w:highlight w:val="none"/>
              </w:rPr>
            </w:pPr>
          </w:p>
          <w:p>
            <w:pPr>
              <w:pStyle w:val="28"/>
              <w:spacing w:line="360" w:lineRule="auto"/>
              <w:ind w:left="148" w:right="140"/>
              <w:jc w:val="center"/>
              <w:rPr>
                <w:color w:val="auto"/>
                <w:spacing w:val="-2"/>
                <w:highlight w:val="none"/>
              </w:rPr>
            </w:pPr>
            <w:r>
              <w:rPr>
                <w:rFonts w:hint="eastAsia"/>
                <w:color w:val="auto"/>
                <w:spacing w:val="-2"/>
                <w:highlight w:val="none"/>
              </w:rPr>
              <w:t>合同</w:t>
            </w:r>
          </w:p>
          <w:p>
            <w:pPr>
              <w:pStyle w:val="28"/>
              <w:spacing w:line="360" w:lineRule="auto"/>
              <w:ind w:left="148" w:right="140"/>
              <w:jc w:val="center"/>
              <w:rPr>
                <w:color w:val="auto"/>
                <w:highlight w:val="none"/>
              </w:rPr>
            </w:pPr>
            <w:r>
              <w:rPr>
                <w:rFonts w:hint="eastAsia"/>
                <w:color w:val="auto"/>
                <w:spacing w:val="-2"/>
                <w:highlight w:val="none"/>
              </w:rPr>
              <w:t>金额</w:t>
            </w:r>
          </w:p>
        </w:tc>
        <w:tc>
          <w:tcPr>
            <w:tcW w:w="1038" w:type="pct"/>
          </w:tcPr>
          <w:p>
            <w:pPr>
              <w:pStyle w:val="28"/>
              <w:spacing w:before="8" w:line="360" w:lineRule="auto"/>
              <w:ind w:left="838" w:right="110" w:hanging="720"/>
              <w:jc w:val="center"/>
              <w:rPr>
                <w:rFonts w:ascii="宋体" w:cs="宋体"/>
                <w:color w:val="auto"/>
                <w:highlight w:val="none"/>
              </w:rPr>
            </w:pPr>
          </w:p>
          <w:p>
            <w:pPr>
              <w:pStyle w:val="28"/>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8"/>
              <w:spacing w:before="1" w:line="360" w:lineRule="auto"/>
              <w:ind w:left="9"/>
              <w:jc w:val="center"/>
              <w:rPr>
                <w:color w:val="auto"/>
                <w:highlight w:val="none"/>
              </w:rPr>
            </w:pPr>
            <w:r>
              <w:rPr>
                <w:color w:val="auto"/>
                <w:highlight w:val="none"/>
              </w:rPr>
              <w:t>1</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83" w:type="pct"/>
          </w:tcPr>
          <w:p>
            <w:pPr>
              <w:pStyle w:val="28"/>
              <w:spacing w:before="2" w:line="360" w:lineRule="auto"/>
              <w:ind w:left="9"/>
              <w:jc w:val="center"/>
              <w:rPr>
                <w:color w:val="auto"/>
                <w:highlight w:val="none"/>
              </w:rPr>
            </w:pPr>
            <w:r>
              <w:rPr>
                <w:color w:val="auto"/>
                <w:highlight w:val="none"/>
              </w:rPr>
              <w:t>2</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before="2"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83" w:type="pct"/>
          </w:tcPr>
          <w:p>
            <w:pPr>
              <w:pStyle w:val="28"/>
              <w:spacing w:line="360" w:lineRule="auto"/>
              <w:ind w:left="9"/>
              <w:jc w:val="center"/>
              <w:rPr>
                <w:color w:val="auto"/>
                <w:highlight w:val="none"/>
              </w:rPr>
            </w:pPr>
            <w:r>
              <w:rPr>
                <w:color w:val="auto"/>
                <w:highlight w:val="none"/>
              </w:rPr>
              <w:t>3</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8"/>
              <w:spacing w:line="360" w:lineRule="auto"/>
              <w:ind w:left="9"/>
              <w:jc w:val="center"/>
              <w:rPr>
                <w:color w:val="auto"/>
                <w:highlight w:val="none"/>
              </w:rPr>
            </w:pPr>
            <w:r>
              <w:rPr>
                <w:color w:val="auto"/>
                <w:highlight w:val="none"/>
              </w:rPr>
              <w:t>4</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pPr>
              <w:pStyle w:val="28"/>
              <w:spacing w:before="1" w:line="360" w:lineRule="auto"/>
              <w:ind w:left="9"/>
              <w:jc w:val="center"/>
              <w:rPr>
                <w:color w:val="auto"/>
                <w:highlight w:val="none"/>
              </w:rPr>
            </w:pPr>
            <w:r>
              <w:rPr>
                <w:color w:val="auto"/>
                <w:highlight w:val="none"/>
              </w:rPr>
              <w:t>5</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before="1" w:line="360" w:lineRule="auto"/>
              <w:ind w:left="118"/>
              <w:rPr>
                <w:color w:val="auto"/>
                <w:highlight w:val="none"/>
              </w:rPr>
            </w:pPr>
            <w:r>
              <w:rPr>
                <w:rFonts w:hint="eastAsia"/>
                <w:color w:val="auto"/>
                <w:highlight w:val="none"/>
              </w:rPr>
              <w:t>见投标文件（）页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83" w:type="pct"/>
          </w:tcPr>
          <w:p>
            <w:pPr>
              <w:pStyle w:val="28"/>
              <w:spacing w:before="3" w:line="360" w:lineRule="auto"/>
              <w:ind w:right="192"/>
              <w:jc w:val="right"/>
              <w:rPr>
                <w:color w:val="auto"/>
                <w:highlight w:val="none"/>
              </w:rPr>
            </w:pPr>
            <w:r>
              <w:rPr>
                <w:color w:val="auto"/>
                <w:highlight w:val="none"/>
              </w:rPr>
              <w:t>...</w:t>
            </w:r>
          </w:p>
        </w:tc>
        <w:tc>
          <w:tcPr>
            <w:tcW w:w="706" w:type="pct"/>
          </w:tcPr>
          <w:p>
            <w:pPr>
              <w:pStyle w:val="28"/>
              <w:spacing w:line="360" w:lineRule="auto"/>
              <w:rPr>
                <w:color w:val="auto"/>
                <w:sz w:val="22"/>
                <w:highlight w:val="none"/>
              </w:rPr>
            </w:pPr>
          </w:p>
        </w:tc>
        <w:tc>
          <w:tcPr>
            <w:tcW w:w="525" w:type="pct"/>
          </w:tcPr>
          <w:p>
            <w:pPr>
              <w:pStyle w:val="28"/>
              <w:spacing w:line="360" w:lineRule="auto"/>
              <w:rPr>
                <w:color w:val="auto"/>
                <w:sz w:val="22"/>
                <w:highlight w:val="none"/>
              </w:rPr>
            </w:pPr>
          </w:p>
        </w:tc>
        <w:tc>
          <w:tcPr>
            <w:tcW w:w="545" w:type="pct"/>
          </w:tcPr>
          <w:p>
            <w:pPr>
              <w:pStyle w:val="28"/>
              <w:spacing w:line="360" w:lineRule="auto"/>
              <w:rPr>
                <w:color w:val="auto"/>
                <w:sz w:val="22"/>
                <w:highlight w:val="none"/>
              </w:rPr>
            </w:pPr>
          </w:p>
        </w:tc>
        <w:tc>
          <w:tcPr>
            <w:tcW w:w="673" w:type="pct"/>
          </w:tcPr>
          <w:p>
            <w:pPr>
              <w:pStyle w:val="28"/>
              <w:spacing w:line="360" w:lineRule="auto"/>
              <w:rPr>
                <w:color w:val="auto"/>
                <w:sz w:val="22"/>
                <w:highlight w:val="none"/>
              </w:rPr>
            </w:pPr>
          </w:p>
        </w:tc>
        <w:tc>
          <w:tcPr>
            <w:tcW w:w="576" w:type="pct"/>
          </w:tcPr>
          <w:p>
            <w:pPr>
              <w:pStyle w:val="28"/>
              <w:spacing w:line="360" w:lineRule="auto"/>
              <w:rPr>
                <w:color w:val="auto"/>
                <w:sz w:val="22"/>
                <w:highlight w:val="none"/>
              </w:rPr>
            </w:pPr>
          </w:p>
        </w:tc>
        <w:tc>
          <w:tcPr>
            <w:tcW w:w="550" w:type="pct"/>
          </w:tcPr>
          <w:p>
            <w:pPr>
              <w:pStyle w:val="28"/>
              <w:spacing w:line="360" w:lineRule="auto"/>
              <w:rPr>
                <w:color w:val="auto"/>
                <w:sz w:val="22"/>
                <w:highlight w:val="none"/>
              </w:rPr>
            </w:pPr>
          </w:p>
        </w:tc>
        <w:tc>
          <w:tcPr>
            <w:tcW w:w="1038" w:type="pct"/>
          </w:tcPr>
          <w:p>
            <w:pPr>
              <w:pStyle w:val="28"/>
              <w:spacing w:line="360" w:lineRule="auto"/>
              <w:rPr>
                <w:color w:val="auto"/>
                <w:sz w:val="22"/>
                <w:highlight w:val="none"/>
              </w:rPr>
            </w:pPr>
          </w:p>
        </w:tc>
      </w:tr>
    </w:tbl>
    <w:p>
      <w:pPr>
        <w:pStyle w:val="7"/>
        <w:spacing w:line="360" w:lineRule="auto"/>
        <w:rPr>
          <w:color w:val="auto"/>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pPr>
        <w:spacing w:line="360" w:lineRule="auto"/>
        <w:rPr>
          <w:color w:val="auto"/>
          <w:highlight w:val="none"/>
        </w:rPr>
        <w:sectPr>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jc w:val="center"/>
        <w:outlineLvl w:val="1"/>
        <w:rPr>
          <w:b/>
          <w:color w:val="auto"/>
          <w:sz w:val="32"/>
          <w:highlight w:val="none"/>
        </w:rPr>
      </w:pPr>
      <w:bookmarkStart w:id="507" w:name="七、售后服务及优惠条件"/>
      <w:bookmarkEnd w:id="507"/>
      <w:bookmarkStart w:id="508" w:name="_Toc27520"/>
      <w:bookmarkStart w:id="509" w:name="_Toc8374"/>
      <w:bookmarkStart w:id="510" w:name="_Toc24889"/>
      <w:bookmarkStart w:id="511" w:name="_Toc24222"/>
      <w:r>
        <w:rPr>
          <w:rFonts w:hint="eastAsia"/>
          <w:b/>
          <w:color w:val="auto"/>
          <w:sz w:val="32"/>
          <w:highlight w:val="none"/>
        </w:rPr>
        <w:t>七、实施方案</w:t>
      </w:r>
      <w:bookmarkEnd w:id="508"/>
      <w:bookmarkEnd w:id="509"/>
      <w:bookmarkEnd w:id="510"/>
      <w:bookmarkEnd w:id="511"/>
    </w:p>
    <w:p>
      <w:pPr>
        <w:jc w:val="center"/>
        <w:rPr>
          <w:color w:val="auto"/>
          <w:highlight w:val="none"/>
        </w:rPr>
      </w:pPr>
      <w:bookmarkStart w:id="512" w:name="_Toc24813"/>
      <w:bookmarkStart w:id="513" w:name="_Toc16080"/>
      <w:bookmarkStart w:id="514" w:name="_Toc24558"/>
      <w:r>
        <w:rPr>
          <w:rFonts w:hint="eastAsia"/>
          <w:color w:val="auto"/>
          <w:highlight w:val="none"/>
        </w:rPr>
        <w:t>（格式自拟）</w:t>
      </w:r>
      <w:bookmarkEnd w:id="512"/>
      <w:bookmarkEnd w:id="513"/>
      <w:bookmarkEnd w:id="514"/>
    </w:p>
    <w:p>
      <w:pPr>
        <w:pStyle w:val="21"/>
        <w:spacing w:line="360" w:lineRule="auto"/>
        <w:ind w:left="420" w:leftChars="200" w:firstLine="0"/>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pStyle w:val="21"/>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before="54" w:line="360" w:lineRule="auto"/>
        <w:ind w:left="6"/>
        <w:jc w:val="center"/>
        <w:outlineLvl w:val="1"/>
        <w:rPr>
          <w:b/>
          <w:color w:val="auto"/>
          <w:sz w:val="32"/>
          <w:highlight w:val="none"/>
        </w:rPr>
      </w:pPr>
      <w:bookmarkStart w:id="515" w:name="_Toc20033"/>
      <w:bookmarkStart w:id="516" w:name="_Toc25273"/>
      <w:bookmarkStart w:id="517" w:name="_Toc7491"/>
      <w:r>
        <w:rPr>
          <w:rFonts w:hint="eastAsia"/>
          <w:b/>
          <w:color w:val="auto"/>
          <w:sz w:val="32"/>
          <w:highlight w:val="none"/>
        </w:rPr>
        <w:t>八、履约能力</w:t>
      </w:r>
      <w:bookmarkEnd w:id="515"/>
      <w:bookmarkEnd w:id="516"/>
      <w:bookmarkEnd w:id="517"/>
    </w:p>
    <w:p>
      <w:pPr>
        <w:spacing w:before="54" w:line="360" w:lineRule="auto"/>
        <w:ind w:left="6"/>
        <w:jc w:val="center"/>
        <w:rPr>
          <w:bCs/>
          <w:color w:val="auto"/>
          <w:szCs w:val="21"/>
          <w:highlight w:val="none"/>
        </w:rPr>
      </w:pPr>
      <w:r>
        <w:rPr>
          <w:rFonts w:hint="eastAsia"/>
          <w:bCs/>
          <w:color w:val="auto"/>
          <w:szCs w:val="21"/>
          <w:highlight w:val="none"/>
        </w:rPr>
        <w:t>（格式自拟）</w:t>
      </w:r>
    </w:p>
    <w:p>
      <w:pPr>
        <w:jc w:val="left"/>
        <w:rPr>
          <w:b/>
          <w:color w:val="auto"/>
          <w:sz w:val="32"/>
          <w:highlight w:val="none"/>
        </w:rPr>
      </w:pPr>
      <w:r>
        <w:rPr>
          <w:b/>
          <w:color w:val="auto"/>
          <w:sz w:val="32"/>
          <w:highlight w:val="none"/>
        </w:rPr>
        <w:br w:type="page"/>
      </w:r>
    </w:p>
    <w:p>
      <w:pPr>
        <w:spacing w:before="54" w:line="360" w:lineRule="auto"/>
        <w:ind w:left="6"/>
        <w:jc w:val="center"/>
        <w:outlineLvl w:val="1"/>
        <w:rPr>
          <w:b/>
          <w:color w:val="auto"/>
          <w:sz w:val="32"/>
          <w:highlight w:val="none"/>
        </w:rPr>
      </w:pPr>
      <w:bookmarkStart w:id="518" w:name="_Toc16342"/>
      <w:bookmarkStart w:id="519" w:name="_Toc11835"/>
      <w:bookmarkStart w:id="520" w:name="_Toc21298"/>
      <w:r>
        <w:rPr>
          <w:rFonts w:hint="eastAsia"/>
          <w:b/>
          <w:color w:val="auto"/>
          <w:sz w:val="32"/>
          <w:highlight w:val="none"/>
        </w:rPr>
        <w:t>九、售后服务及培训方案</w:t>
      </w:r>
      <w:bookmarkEnd w:id="518"/>
      <w:bookmarkEnd w:id="519"/>
      <w:bookmarkEnd w:id="520"/>
    </w:p>
    <w:p>
      <w:pPr>
        <w:spacing w:before="54" w:line="360" w:lineRule="auto"/>
        <w:ind w:left="6"/>
        <w:jc w:val="center"/>
        <w:rPr>
          <w:b/>
          <w:color w:val="auto"/>
          <w:w w:val="95"/>
          <w:sz w:val="32"/>
          <w:highlight w:val="none"/>
        </w:rPr>
      </w:pPr>
    </w:p>
    <w:p>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pPr>
        <w:pStyle w:val="12"/>
        <w:spacing w:line="360" w:lineRule="auto"/>
        <w:ind w:left="31680" w:right="31680"/>
        <w:rPr>
          <w:color w:val="auto"/>
          <w:highlight w:val="none"/>
        </w:rPr>
        <w:sectPr>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pPr>
        <w:spacing w:before="54" w:line="360" w:lineRule="auto"/>
        <w:ind w:left="6"/>
        <w:jc w:val="center"/>
        <w:outlineLvl w:val="1"/>
        <w:rPr>
          <w:b/>
          <w:color w:val="auto"/>
          <w:sz w:val="32"/>
          <w:highlight w:val="none"/>
        </w:rPr>
      </w:pPr>
      <w:bookmarkStart w:id="521" w:name="_Toc11976"/>
      <w:bookmarkStart w:id="522" w:name="_Toc29592"/>
      <w:bookmarkStart w:id="523" w:name="_Toc12316"/>
      <w:r>
        <w:rPr>
          <w:rFonts w:hint="eastAsia"/>
          <w:b/>
          <w:color w:val="auto"/>
          <w:sz w:val="32"/>
          <w:highlight w:val="none"/>
        </w:rPr>
        <w:t>十、资格证明文件</w:t>
      </w:r>
      <w:bookmarkEnd w:id="521"/>
      <w:bookmarkEnd w:id="522"/>
      <w:bookmarkEnd w:id="523"/>
    </w:p>
    <w:p>
      <w:pPr>
        <w:spacing w:before="212" w:line="360" w:lineRule="auto"/>
        <w:ind w:left="628" w:right="408"/>
        <w:jc w:val="center"/>
        <w:rPr>
          <w:b/>
          <w:color w:val="auto"/>
          <w:w w:val="95"/>
          <w:sz w:val="32"/>
          <w:highlight w:val="none"/>
        </w:rPr>
      </w:pPr>
      <w:bookmarkStart w:id="524" w:name="（一）资格审查资料"/>
      <w:bookmarkEnd w:id="524"/>
      <w:bookmarkStart w:id="525" w:name="_Toc16240"/>
      <w:bookmarkStart w:id="526" w:name="_Toc12520"/>
      <w:bookmarkStart w:id="527" w:name="_Toc32080"/>
      <w:bookmarkStart w:id="528" w:name="_Toc25140"/>
      <w:bookmarkStart w:id="529" w:name="_Toc100065839"/>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25"/>
      <w:bookmarkEnd w:id="526"/>
      <w:bookmarkEnd w:id="527"/>
      <w:bookmarkEnd w:id="528"/>
      <w:bookmarkEnd w:id="529"/>
    </w:p>
    <w:tbl>
      <w:tblPr>
        <w:tblStyle w:val="2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6"/>
        <w:gridCol w:w="873"/>
        <w:gridCol w:w="708"/>
        <w:gridCol w:w="818"/>
        <w:gridCol w:w="234"/>
        <w:gridCol w:w="166"/>
        <w:gridCol w:w="1028"/>
        <w:gridCol w:w="210"/>
        <w:gridCol w:w="584"/>
        <w:gridCol w:w="1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pPr>
              <w:autoSpaceDE w:val="0"/>
              <w:autoSpaceDN w:val="0"/>
              <w:rPr>
                <w:rFonts w:ascii="宋体" w:cs="宋体"/>
                <w:color w:val="auto"/>
                <w:sz w:val="22"/>
                <w:szCs w:val="22"/>
                <w:highlight w:val="none"/>
                <w:lang w:eastAsia="en-US"/>
              </w:rPr>
            </w:pPr>
          </w:p>
        </w:tc>
        <w:tc>
          <w:tcPr>
            <w:tcW w:w="618" w:type="pct"/>
          </w:tcPr>
          <w:p>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pPr>
              <w:autoSpaceDE w:val="0"/>
              <w:autoSpaceDN w:val="0"/>
              <w:spacing w:before="4"/>
              <w:rPr>
                <w:rFonts w:ascii="宋体" w:cs="宋体"/>
                <w:b/>
                <w:color w:val="auto"/>
                <w:sz w:val="26"/>
                <w:szCs w:val="22"/>
                <w:highlight w:val="none"/>
                <w:lang w:eastAsia="en-US"/>
              </w:rPr>
            </w:pPr>
          </w:p>
          <w:p>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pPr>
              <w:widowControl/>
              <w:jc w:val="left"/>
              <w:rPr>
                <w:rFonts w:ascii="宋体" w:cs="宋体"/>
                <w:color w:val="auto"/>
                <w:sz w:val="24"/>
                <w:szCs w:val="22"/>
                <w:highlight w:val="none"/>
                <w:lang w:eastAsia="en-US"/>
              </w:rPr>
            </w:pPr>
          </w:p>
        </w:tc>
        <w:tc>
          <w:tcPr>
            <w:tcW w:w="525" w:type="pct"/>
          </w:tcPr>
          <w:p>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pPr>
              <w:autoSpaceDE w:val="0"/>
              <w:autoSpaceDN w:val="0"/>
              <w:rPr>
                <w:rFonts w:ascii="宋体" w:cs="宋体"/>
                <w:color w:val="auto"/>
                <w:sz w:val="22"/>
                <w:szCs w:val="22"/>
                <w:highlight w:val="none"/>
                <w:lang w:eastAsia="en-US"/>
              </w:rPr>
            </w:pPr>
          </w:p>
        </w:tc>
        <w:tc>
          <w:tcPr>
            <w:tcW w:w="618" w:type="pct"/>
          </w:tcPr>
          <w:p>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pPr>
              <w:autoSpaceDE w:val="0"/>
              <w:autoSpaceDN w:val="0"/>
              <w:rPr>
                <w:rFonts w:ascii="宋体" w:cs="宋体"/>
                <w:color w:val="auto"/>
                <w:sz w:val="22"/>
                <w:szCs w:val="22"/>
                <w:highlight w:val="none"/>
                <w:lang w:eastAsia="en-US"/>
              </w:rPr>
            </w:pPr>
          </w:p>
        </w:tc>
        <w:tc>
          <w:tcPr>
            <w:tcW w:w="633" w:type="pct"/>
            <w:gridSpan w:val="2"/>
          </w:tcPr>
          <w:p>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pPr>
              <w:autoSpaceDE w:val="0"/>
              <w:autoSpaceDN w:val="0"/>
              <w:rPr>
                <w:rFonts w:ascii="宋体" w:cs="宋体"/>
                <w:color w:val="auto"/>
                <w:sz w:val="22"/>
                <w:szCs w:val="22"/>
                <w:highlight w:val="none"/>
                <w:lang w:eastAsia="en-US"/>
              </w:rPr>
            </w:pPr>
          </w:p>
        </w:tc>
        <w:tc>
          <w:tcPr>
            <w:tcW w:w="351" w:type="pct"/>
          </w:tcPr>
          <w:p>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pPr>
              <w:autoSpaceDE w:val="0"/>
              <w:autoSpaceDN w:val="0"/>
              <w:rPr>
                <w:rFonts w:ascii="宋体" w:cs="宋体"/>
                <w:color w:val="auto"/>
                <w:sz w:val="22"/>
                <w:szCs w:val="22"/>
                <w:highlight w:val="none"/>
                <w:lang w:eastAsia="en-US"/>
              </w:rPr>
            </w:pPr>
          </w:p>
        </w:tc>
        <w:tc>
          <w:tcPr>
            <w:tcW w:w="2985" w:type="pct"/>
            <w:gridSpan w:val="7"/>
          </w:tcPr>
          <w:p>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restart"/>
          </w:tcPr>
          <w:p>
            <w:pPr>
              <w:autoSpaceDE w:val="0"/>
              <w:autoSpaceDN w:val="0"/>
              <w:rPr>
                <w:rFonts w:ascii="宋体" w:cs="宋体"/>
                <w:color w:val="auto"/>
                <w:sz w:val="22"/>
                <w:szCs w:val="22"/>
                <w:highlight w:val="none"/>
                <w:lang w:eastAsia="en-US"/>
              </w:rPr>
            </w:pPr>
          </w:p>
        </w:tc>
        <w:tc>
          <w:tcPr>
            <w:tcW w:w="985" w:type="pct"/>
            <w:gridSpan w:val="4"/>
          </w:tcPr>
          <w:p>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pPr>
              <w:autoSpaceDE w:val="0"/>
              <w:autoSpaceDN w:val="0"/>
              <w:rPr>
                <w:rFonts w:ascii="宋体" w:cs="宋体"/>
                <w:color w:val="auto"/>
                <w:sz w:val="22"/>
                <w:szCs w:val="22"/>
                <w:highlight w:val="none"/>
                <w:lang w:eastAsia="en-US"/>
              </w:rPr>
            </w:pPr>
          </w:p>
        </w:tc>
        <w:tc>
          <w:tcPr>
            <w:tcW w:w="492" w:type="pct"/>
            <w:vMerge w:val="continue"/>
            <w:vAlign w:val="center"/>
          </w:tcPr>
          <w:p>
            <w:pPr>
              <w:widowControl/>
              <w:jc w:val="left"/>
              <w:rPr>
                <w:rFonts w:ascii="宋体" w:cs="宋体"/>
                <w:color w:val="auto"/>
                <w:sz w:val="22"/>
                <w:szCs w:val="22"/>
                <w:highlight w:val="none"/>
                <w:lang w:eastAsia="en-US"/>
              </w:rPr>
            </w:pPr>
          </w:p>
        </w:tc>
        <w:tc>
          <w:tcPr>
            <w:tcW w:w="985" w:type="pct"/>
            <w:gridSpan w:val="4"/>
          </w:tcPr>
          <w:p>
            <w:pPr>
              <w:autoSpaceDE w:val="0"/>
              <w:autoSpaceDN w:val="0"/>
              <w:rPr>
                <w:rFonts w:ascii="宋体" w:cs="宋体"/>
                <w:color w:val="auto"/>
                <w:sz w:val="22"/>
                <w:szCs w:val="22"/>
                <w:highlight w:val="none"/>
                <w:lang w:eastAsia="en-US"/>
              </w:rPr>
            </w:pPr>
          </w:p>
        </w:tc>
        <w:tc>
          <w:tcPr>
            <w:tcW w:w="1507" w:type="pct"/>
            <w:gridSpan w:val="2"/>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pPr>
              <w:autoSpaceDE w:val="0"/>
              <w:autoSpaceDN w:val="0"/>
              <w:spacing w:before="8"/>
              <w:rPr>
                <w:rFonts w:ascii="宋体" w:cs="宋体"/>
                <w:b/>
                <w:color w:val="auto"/>
                <w:sz w:val="33"/>
                <w:szCs w:val="22"/>
                <w:highlight w:val="none"/>
                <w:lang w:eastAsia="en-US"/>
              </w:rPr>
            </w:pPr>
          </w:p>
          <w:p>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pPr>
              <w:autoSpaceDE w:val="0"/>
              <w:autoSpaceDN w:val="0"/>
              <w:rPr>
                <w:rFonts w:ascii="宋体" w:cs="宋体"/>
                <w:color w:val="auto"/>
                <w:sz w:val="22"/>
                <w:szCs w:val="22"/>
                <w:highlight w:val="none"/>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pPr>
              <w:autoSpaceDE w:val="0"/>
              <w:autoSpaceDN w:val="0"/>
              <w:rPr>
                <w:rFonts w:ascii="宋体" w:cs="宋体"/>
                <w:color w:val="auto"/>
                <w:sz w:val="22"/>
                <w:szCs w:val="22"/>
                <w:highlight w:val="none"/>
                <w:lang w:eastAsia="en-US"/>
              </w:rPr>
            </w:pPr>
          </w:p>
        </w:tc>
      </w:tr>
    </w:tbl>
    <w:p>
      <w:pPr>
        <w:spacing w:after="120"/>
        <w:rPr>
          <w:rFonts w:ascii="宋体" w:cs="宋体"/>
          <w:b/>
          <w:color w:val="auto"/>
          <w:sz w:val="20"/>
          <w:highlight w:val="none"/>
        </w:rPr>
      </w:pPr>
    </w:p>
    <w:p>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r>
        <w:rPr>
          <w:rFonts w:hint="eastAsia" w:ascii="宋体" w:hAnsi="宋体" w:cs="宋体"/>
          <w:color w:val="auto"/>
          <w:highlight w:val="none"/>
          <w:lang w:eastAsia="zh-CN"/>
        </w:rPr>
        <w:t>等材料</w:t>
      </w:r>
      <w:r>
        <w:rPr>
          <w:rFonts w:hint="eastAsia" w:ascii="宋体" w:hAnsi="宋体" w:cs="宋体"/>
          <w:color w:val="auto"/>
          <w:highlight w:val="none"/>
        </w:rPr>
        <w:t>。</w:t>
      </w:r>
    </w:p>
    <w:p>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pPr>
        <w:rPr>
          <w:rFonts w:hint="eastAsia" w:ascii="宋体" w:hAnsi="宋体" w:eastAsia="宋体" w:cs="宋体"/>
          <w:b/>
          <w:bCs/>
          <w:color w:val="auto"/>
          <w:sz w:val="28"/>
          <w:szCs w:val="28"/>
          <w:highlight w:val="none"/>
          <w:shd w:val="clear" w:color="FFFFFF" w:fill="auto"/>
          <w:lang w:eastAsia="zh-CN"/>
        </w:rPr>
      </w:pPr>
      <w:bookmarkStart w:id="530" w:name="（二）供应商基本情况表"/>
      <w:bookmarkEnd w:id="530"/>
      <w:r>
        <w:rPr>
          <w:rFonts w:hint="eastAsia" w:ascii="宋体" w:hAnsi="宋体" w:eastAsia="宋体" w:cs="宋体"/>
          <w:b/>
          <w:bCs/>
          <w:color w:val="auto"/>
          <w:sz w:val="28"/>
          <w:szCs w:val="28"/>
          <w:highlight w:val="none"/>
          <w:shd w:val="clear" w:color="FFFFFF" w:fill="auto"/>
          <w:lang w:eastAsia="zh-CN"/>
        </w:rPr>
        <w:br w:type="page"/>
      </w:r>
    </w:p>
    <w:p>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pPr>
        <w:spacing w:line="360" w:lineRule="auto"/>
        <w:ind w:firstLine="560"/>
        <w:jc w:val="both"/>
        <w:rPr>
          <w:rFonts w:hint="eastAsia" w:ascii="宋体" w:hAnsi="宋体" w:eastAsia="宋体"/>
          <w:color w:val="auto"/>
          <w:sz w:val="24"/>
          <w:szCs w:val="24"/>
          <w:highlight w:val="none"/>
        </w:rPr>
      </w:pPr>
    </w:p>
    <w:p>
      <w:pPr>
        <w:spacing w:line="360" w:lineRule="auto"/>
        <w:ind w:firstLine="560"/>
        <w:jc w:val="both"/>
        <w:rPr>
          <w:color w:val="auto"/>
          <w:sz w:val="24"/>
          <w:szCs w:val="24"/>
          <w:highlight w:val="none"/>
        </w:rPr>
      </w:pPr>
      <w:r>
        <w:rPr>
          <w:rFonts w:hint="eastAsia" w:ascii="宋体" w:hAnsi="宋体" w:eastAsia="宋体"/>
          <w:color w:val="auto"/>
          <w:sz w:val="24"/>
          <w:szCs w:val="24"/>
          <w:highlight w:val="none"/>
        </w:rPr>
        <w:t>我公司</w:t>
      </w:r>
      <w:r>
        <w:rPr>
          <w:rFonts w:hint="eastAsia" w:ascii="宋体" w:hAnsi="宋体" w:eastAsia="宋体"/>
          <w:color w:val="auto"/>
          <w:sz w:val="24"/>
          <w:szCs w:val="24"/>
          <w:highlight w:val="none"/>
          <w:u w:val="single"/>
        </w:rPr>
        <w:t>（投标人名称）</w:t>
      </w:r>
      <w:r>
        <w:rPr>
          <w:rFonts w:hint="eastAsia" w:ascii="宋体" w:hAnsi="宋体" w:eastAsia="宋体"/>
          <w:color w:val="auto"/>
          <w:sz w:val="24"/>
          <w:szCs w:val="24"/>
          <w:highlight w:val="none"/>
        </w:rPr>
        <w:t>参加（</w:t>
      </w:r>
      <w:r>
        <w:rPr>
          <w:rFonts w:hint="eastAsia" w:ascii="宋体" w:hAnsi="宋体" w:eastAsia="宋体"/>
          <w:color w:val="auto"/>
          <w:sz w:val="24"/>
          <w:szCs w:val="24"/>
          <w:highlight w:val="none"/>
          <w:u w:val="single"/>
        </w:rPr>
        <w:t>项目名称、项目编号、</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包</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rPr>
        <w:t>）采购活动，现郑重承诺：</w:t>
      </w:r>
    </w:p>
    <w:p>
      <w:pPr>
        <w:spacing w:line="360" w:lineRule="auto"/>
        <w:ind w:firstLine="560"/>
        <w:jc w:val="both"/>
        <w:rPr>
          <w:color w:val="auto"/>
          <w:sz w:val="24"/>
          <w:szCs w:val="24"/>
          <w:highlight w:val="none"/>
        </w:rPr>
      </w:pPr>
      <w:r>
        <w:rPr>
          <w:rFonts w:hint="eastAsia" w:ascii="Calibri" w:hAnsi="Calibri" w:eastAsia="Calibri"/>
          <w:color w:val="auto"/>
          <w:sz w:val="24"/>
          <w:szCs w:val="24"/>
          <w:highlight w:val="none"/>
        </w:rPr>
        <w:t>1</w:t>
      </w:r>
      <w:r>
        <w:rPr>
          <w:rFonts w:hint="eastAsia" w:ascii="宋体" w:hAnsi="宋体" w:eastAsia="宋体"/>
          <w:color w:val="auto"/>
          <w:sz w:val="24"/>
          <w:szCs w:val="24"/>
          <w:highlight w:val="none"/>
        </w:rPr>
        <w:t>．所投车辆交车时（整车）是已取得中华人民共和国工业和信息化部发布的对应车型《道路机动车辆生产企业及产品公告》的合格产品（须提供工信部官方查询平台查询截图和网址链接）。</w:t>
      </w:r>
    </w:p>
    <w:p>
      <w:pPr>
        <w:spacing w:line="360" w:lineRule="auto"/>
        <w:ind w:firstLine="560"/>
        <w:jc w:val="both"/>
        <w:rPr>
          <w:color w:val="auto"/>
          <w:sz w:val="24"/>
          <w:szCs w:val="24"/>
          <w:highlight w:val="none"/>
        </w:rPr>
      </w:pPr>
      <w:r>
        <w:rPr>
          <w:rFonts w:hint="eastAsia" w:ascii="Calibri" w:hAnsi="Calibri" w:eastAsia="Calibri"/>
          <w:color w:val="auto"/>
          <w:sz w:val="24"/>
          <w:szCs w:val="24"/>
          <w:highlight w:val="none"/>
        </w:rPr>
        <w:t>2</w:t>
      </w:r>
      <w:r>
        <w:rPr>
          <w:rFonts w:hint="eastAsia" w:ascii="宋体" w:hAnsi="宋体" w:eastAsia="宋体"/>
          <w:color w:val="auto"/>
          <w:sz w:val="24"/>
          <w:szCs w:val="24"/>
          <w:highlight w:val="none"/>
        </w:rPr>
        <w:t>．我公司为所投车辆的生产企业。</w:t>
      </w:r>
    </w:p>
    <w:p>
      <w:pPr>
        <w:spacing w:line="360" w:lineRule="auto"/>
        <w:ind w:firstLine="560"/>
        <w:jc w:val="both"/>
        <w:rPr>
          <w:color w:val="auto"/>
          <w:sz w:val="24"/>
          <w:szCs w:val="24"/>
          <w:highlight w:val="none"/>
        </w:rPr>
      </w:pPr>
      <w:r>
        <w:rPr>
          <w:rFonts w:hint="eastAsia" w:ascii="Calibri" w:hAnsi="Calibri" w:eastAsia="宋体"/>
          <w:color w:val="auto"/>
          <w:sz w:val="24"/>
          <w:szCs w:val="24"/>
          <w:highlight w:val="none"/>
          <w:lang w:val="en-US" w:eastAsia="zh-CN"/>
        </w:rPr>
        <w:t>3</w:t>
      </w:r>
      <w:r>
        <w:rPr>
          <w:rFonts w:hint="eastAsia" w:ascii="宋体" w:hAnsi="宋体" w:eastAsia="宋体"/>
          <w:color w:val="auto"/>
          <w:sz w:val="24"/>
          <w:szCs w:val="24"/>
          <w:highlight w:val="none"/>
        </w:rPr>
        <w:t>．所投车辆（整车）交车验收时需取得办理车辆产权（含上牌）所必需的一切其他手续资料、应符合现行国家专用汽车的相关要求。若不能按要求时限提供上述手续，采购人有权按照投标人</w:t>
      </w:r>
      <w:r>
        <w:rPr>
          <w:rFonts w:hint="eastAsia" w:ascii="宋体" w:hAnsi="宋体" w:eastAsia="宋体"/>
          <w:color w:val="auto"/>
          <w:sz w:val="24"/>
          <w:szCs w:val="24"/>
          <w:highlight w:val="none"/>
          <w:lang w:eastAsia="zh-CN"/>
        </w:rPr>
        <w:t>虚</w:t>
      </w:r>
      <w:r>
        <w:rPr>
          <w:rFonts w:hint="eastAsia" w:ascii="宋体" w:hAnsi="宋体" w:eastAsia="宋体"/>
          <w:color w:val="auto"/>
          <w:sz w:val="24"/>
          <w:szCs w:val="24"/>
          <w:highlight w:val="none"/>
        </w:rPr>
        <w:t>假投标处理，解除合同、扣除</w:t>
      </w:r>
      <w:r>
        <w:rPr>
          <w:rFonts w:hint="eastAsia" w:ascii="宋体" w:hAnsi="宋体" w:eastAsia="宋体"/>
          <w:color w:val="auto"/>
          <w:sz w:val="24"/>
          <w:szCs w:val="24"/>
          <w:highlight w:val="none"/>
          <w:lang w:eastAsia="zh-CN"/>
        </w:rPr>
        <w:t>履</w:t>
      </w:r>
      <w:r>
        <w:rPr>
          <w:rFonts w:hint="eastAsia" w:ascii="宋体" w:hAnsi="宋体" w:eastAsia="宋体"/>
          <w:color w:val="auto"/>
          <w:sz w:val="24"/>
          <w:szCs w:val="24"/>
          <w:highlight w:val="none"/>
        </w:rPr>
        <w:t>约保证金，拉入企业黑名单，并向上级部门上报相关情况。</w:t>
      </w:r>
    </w:p>
    <w:p>
      <w:pPr>
        <w:spacing w:line="360" w:lineRule="auto"/>
        <w:ind w:firstLine="560"/>
        <w:jc w:val="both"/>
        <w:rPr>
          <w:color w:val="auto"/>
          <w:sz w:val="24"/>
          <w:szCs w:val="24"/>
          <w:highlight w:val="none"/>
        </w:rPr>
      </w:pPr>
      <w:r>
        <w:rPr>
          <w:rFonts w:hint="eastAsia" w:ascii="Calibri" w:hAnsi="Calibri" w:eastAsia="Calibri"/>
          <w:color w:val="auto"/>
          <w:sz w:val="24"/>
          <w:szCs w:val="24"/>
          <w:highlight w:val="none"/>
        </w:rPr>
        <w:t>4</w:t>
      </w:r>
      <w:r>
        <w:rPr>
          <w:rFonts w:hint="eastAsia" w:ascii="宋体" w:hAnsi="宋体" w:eastAsia="宋体"/>
          <w:color w:val="auto"/>
          <w:sz w:val="24"/>
          <w:szCs w:val="24"/>
          <w:highlight w:val="none"/>
        </w:rPr>
        <w:t>．限公司所提供的所有技术及商务证明材料真实有效，若提供虚假文件将愿意接受任何法律的制裁。</w:t>
      </w:r>
    </w:p>
    <w:p>
      <w:pPr>
        <w:spacing w:line="360" w:lineRule="auto"/>
        <w:ind w:firstLine="0"/>
        <w:jc w:val="both"/>
        <w:rPr>
          <w:color w:val="auto"/>
          <w:sz w:val="24"/>
          <w:szCs w:val="24"/>
          <w:highlight w:val="none"/>
        </w:rPr>
      </w:pPr>
    </w:p>
    <w:p>
      <w:pPr>
        <w:spacing w:line="360" w:lineRule="auto"/>
        <w:ind w:firstLine="560"/>
        <w:jc w:val="both"/>
        <w:rPr>
          <w:color w:val="auto"/>
          <w:sz w:val="24"/>
          <w:szCs w:val="24"/>
          <w:highlight w:val="none"/>
        </w:rPr>
      </w:pPr>
      <w:r>
        <w:rPr>
          <w:rFonts w:hint="eastAsia" w:ascii="宋体" w:hAnsi="宋体" w:eastAsia="宋体"/>
          <w:color w:val="auto"/>
          <w:sz w:val="24"/>
          <w:szCs w:val="24"/>
          <w:highlight w:val="none"/>
          <w:lang w:eastAsia="zh-CN"/>
        </w:rPr>
        <w:t>特</w:t>
      </w:r>
      <w:r>
        <w:rPr>
          <w:rFonts w:hint="eastAsia" w:ascii="宋体" w:hAnsi="宋体" w:eastAsia="宋体"/>
          <w:color w:val="auto"/>
          <w:sz w:val="24"/>
          <w:szCs w:val="24"/>
          <w:highlight w:val="none"/>
        </w:rPr>
        <w:t>此承诺</w:t>
      </w:r>
    </w:p>
    <w:p>
      <w:pPr>
        <w:spacing w:line="360" w:lineRule="auto"/>
        <w:ind w:firstLine="0"/>
        <w:jc w:val="both"/>
        <w:rPr>
          <w:color w:val="auto"/>
          <w:sz w:val="24"/>
          <w:szCs w:val="24"/>
          <w:highlight w:val="none"/>
        </w:rPr>
      </w:pPr>
    </w:p>
    <w:p>
      <w:pPr>
        <w:spacing w:line="360" w:lineRule="auto"/>
        <w:ind w:firstLine="0"/>
        <w:jc w:val="both"/>
        <w:rPr>
          <w:color w:val="auto"/>
          <w:sz w:val="24"/>
          <w:szCs w:val="24"/>
          <w:highlight w:val="none"/>
        </w:rPr>
      </w:pPr>
    </w:p>
    <w:p>
      <w:pPr>
        <w:spacing w:line="360" w:lineRule="auto"/>
        <w:ind w:firstLine="0"/>
        <w:jc w:val="both"/>
        <w:rPr>
          <w:color w:val="auto"/>
          <w:sz w:val="24"/>
          <w:szCs w:val="24"/>
          <w:highlight w:val="none"/>
        </w:rPr>
      </w:pPr>
    </w:p>
    <w:p>
      <w:pPr>
        <w:spacing w:line="360" w:lineRule="auto"/>
        <w:ind w:firstLine="2720"/>
        <w:jc w:val="both"/>
        <w:rPr>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eastAsia="zh-CN"/>
        </w:rPr>
        <w:t>投</w:t>
      </w:r>
      <w:r>
        <w:rPr>
          <w:rFonts w:hint="eastAsia" w:ascii="宋体" w:hAnsi="宋体" w:eastAsia="宋体"/>
          <w:color w:val="auto"/>
          <w:sz w:val="24"/>
          <w:szCs w:val="24"/>
          <w:highlight w:val="none"/>
        </w:rPr>
        <w:t>标人：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（电子签章）</w:t>
      </w:r>
    </w:p>
    <w:p>
      <w:pPr>
        <w:spacing w:line="360" w:lineRule="auto"/>
        <w:ind w:firstLine="2720"/>
        <w:jc w:val="both"/>
        <w:rPr>
          <w:color w:val="auto"/>
          <w:sz w:val="24"/>
          <w:szCs w:val="24"/>
          <w:highlight w:val="none"/>
        </w:rPr>
      </w:pPr>
      <w:r>
        <w:rPr>
          <w:rFonts w:hint="eastAsia" w:ascii="宋体" w:hAnsi="宋体" w:eastAsia="宋体"/>
          <w:color w:val="auto"/>
          <w:sz w:val="24"/>
          <w:szCs w:val="24"/>
          <w:highlight w:val="none"/>
        </w:rPr>
        <w:t>法定代表人或委托代理人：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（电子签章或签字）</w:t>
      </w:r>
    </w:p>
    <w:p>
      <w:pPr>
        <w:spacing w:line="360" w:lineRule="auto"/>
        <w:ind w:firstLine="0"/>
        <w:jc w:val="right"/>
        <w:rPr>
          <w:color w:val="auto"/>
          <w:sz w:val="24"/>
          <w:szCs w:val="24"/>
          <w:highlight w:val="none"/>
        </w:rPr>
      </w:pPr>
      <w:r>
        <w:rPr>
          <w:rFonts w:hint="eastAsia" w:ascii="宋体" w:hAnsi="宋体" w:eastAsia="宋体"/>
          <w:color w:val="auto"/>
          <w:sz w:val="24"/>
          <w:szCs w:val="24"/>
          <w:highlight w:val="none"/>
        </w:rPr>
        <w:t>日 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pStyle w:val="21"/>
        <w:rPr>
          <w:color w:val="auto"/>
          <w:highlight w:val="none"/>
        </w:rPr>
      </w:pPr>
    </w:p>
    <w:p>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31" w:name="_Toc16445"/>
      <w:bookmarkStart w:id="532" w:name="_Toc13247"/>
      <w:bookmarkStart w:id="533" w:name="_Toc29503"/>
      <w:bookmarkStart w:id="534" w:name="_Toc24610"/>
      <w:bookmarkStart w:id="535" w:name="_Toc30714"/>
      <w:bookmarkStart w:id="536" w:name="_Toc17484"/>
      <w:bookmarkStart w:id="537" w:name="_Toc9291"/>
      <w:bookmarkStart w:id="538" w:name="_Toc1425"/>
      <w:r>
        <w:rPr>
          <w:rFonts w:hint="eastAsia"/>
          <w:b/>
          <w:color w:val="auto"/>
          <w:sz w:val="32"/>
          <w:highlight w:val="none"/>
        </w:rPr>
        <w:t>十一、</w:t>
      </w:r>
      <w:bookmarkEnd w:id="531"/>
      <w:bookmarkEnd w:id="532"/>
      <w:bookmarkEnd w:id="533"/>
      <w:r>
        <w:rPr>
          <w:rFonts w:hint="eastAsia"/>
          <w:b/>
          <w:color w:val="auto"/>
          <w:sz w:val="32"/>
          <w:highlight w:val="none"/>
        </w:rPr>
        <w:t>其他资料</w:t>
      </w:r>
      <w:bookmarkEnd w:id="534"/>
      <w:bookmarkEnd w:id="535"/>
      <w:bookmarkEnd w:id="536"/>
      <w:bookmarkEnd w:id="537"/>
      <w:bookmarkEnd w:id="538"/>
    </w:p>
    <w:p>
      <w:pPr>
        <w:pStyle w:val="4"/>
        <w:jc w:val="center"/>
        <w:rPr>
          <w:color w:val="auto"/>
          <w:highlight w:val="none"/>
        </w:rPr>
      </w:pPr>
      <w:bookmarkStart w:id="539" w:name="_Toc31476"/>
      <w:bookmarkStart w:id="540" w:name="_Toc14926"/>
      <w:bookmarkStart w:id="541" w:name="_Toc4468"/>
      <w:bookmarkStart w:id="542" w:name="_Toc20383"/>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39"/>
      <w:bookmarkEnd w:id="540"/>
      <w:bookmarkEnd w:id="541"/>
      <w:bookmarkEnd w:id="542"/>
    </w:p>
    <w:p>
      <w:pPr>
        <w:spacing w:line="360" w:lineRule="auto"/>
        <w:jc w:val="center"/>
        <w:rPr>
          <w:rFonts w:ascii="宋体" w:cs="宋体"/>
          <w:color w:val="auto"/>
          <w:sz w:val="32"/>
          <w:szCs w:val="32"/>
          <w:highlight w:val="none"/>
        </w:rPr>
      </w:pPr>
    </w:p>
    <w:p>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pPr>
        <w:spacing w:line="360" w:lineRule="auto"/>
        <w:jc w:val="left"/>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wordWrap w:val="0"/>
        <w:spacing w:line="360" w:lineRule="auto"/>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pPr>
        <w:pStyle w:val="4"/>
        <w:jc w:val="center"/>
        <w:rPr>
          <w:color w:val="auto"/>
          <w:highlight w:val="none"/>
        </w:rPr>
      </w:pPr>
      <w:bookmarkStart w:id="543" w:name="_Toc13340"/>
      <w:bookmarkStart w:id="544" w:name="_Toc10731"/>
      <w:bookmarkStart w:id="545" w:name="_Toc10490"/>
      <w:r>
        <w:rPr>
          <w:color w:val="auto"/>
          <w:highlight w:val="none"/>
        </w:rPr>
        <w:br w:type="page"/>
      </w:r>
      <w:bookmarkStart w:id="546" w:name="_Toc28969"/>
      <w:r>
        <w:rPr>
          <w:rFonts w:hint="eastAsia"/>
          <w:color w:val="auto"/>
          <w:highlight w:val="none"/>
        </w:rPr>
        <w:t>（二）反商业贿赂承诺书</w:t>
      </w:r>
      <w:bookmarkEnd w:id="543"/>
      <w:bookmarkEnd w:id="544"/>
      <w:bookmarkEnd w:id="545"/>
      <w:bookmarkEnd w:id="546"/>
    </w:p>
    <w:p>
      <w:pPr>
        <w:spacing w:line="360" w:lineRule="auto"/>
        <w:jc w:val="center"/>
        <w:rPr>
          <w:rFonts w:ascii="宋体" w:cs="宋体"/>
          <w:color w:val="auto"/>
          <w:sz w:val="32"/>
          <w:szCs w:val="32"/>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pPr>
        <w:spacing w:line="360" w:lineRule="auto"/>
        <w:ind w:firstLine="480" w:firstLineChars="200"/>
        <w:jc w:val="left"/>
        <w:rPr>
          <w:rFonts w:ascii="宋体" w:cs="宋体"/>
          <w:color w:val="auto"/>
          <w:sz w:val="24"/>
          <w:highlight w:val="none"/>
        </w:rPr>
      </w:pPr>
    </w:p>
    <w:p>
      <w:pPr>
        <w:adjustRightInd w:val="0"/>
        <w:snapToGrid w:val="0"/>
        <w:spacing w:line="360" w:lineRule="auto"/>
        <w:ind w:right="-82" w:rightChars="-39"/>
        <w:jc w:val="left"/>
        <w:rPr>
          <w:rFonts w:ascii="宋体" w:cs="宋体"/>
          <w:color w:val="auto"/>
          <w:sz w:val="24"/>
          <w:highlight w:val="none"/>
        </w:rPr>
      </w:pPr>
    </w:p>
    <w:p>
      <w:pPr>
        <w:spacing w:line="360" w:lineRule="auto"/>
        <w:rPr>
          <w:rFonts w:ascii="宋体" w:cs="宋体"/>
          <w:color w:val="auto"/>
          <w:sz w:val="24"/>
          <w:highlight w:val="none"/>
        </w:rPr>
      </w:pPr>
    </w:p>
    <w:p>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pPr>
        <w:jc w:val="center"/>
        <w:rPr>
          <w:rFonts w:ascii="宋体" w:cs="宋体"/>
          <w:color w:val="auto"/>
          <w:sz w:val="24"/>
          <w:highlight w:val="none"/>
        </w:rPr>
      </w:pPr>
      <w:bookmarkStart w:id="547" w:name="_Toc6109"/>
      <w:bookmarkStart w:id="548" w:name="_Toc1453"/>
      <w:bookmarkStart w:id="549" w:name="_Toc7741"/>
      <w:r>
        <w:rPr>
          <w:rFonts w:ascii="宋体" w:cs="宋体"/>
          <w:color w:val="auto"/>
          <w:sz w:val="24"/>
          <w:highlight w:val="none"/>
        </w:rPr>
        <w:br w:type="page"/>
      </w:r>
    </w:p>
    <w:p>
      <w:pPr>
        <w:jc w:val="center"/>
        <w:rPr>
          <w:rFonts w:ascii="宋体" w:cs="宋体"/>
          <w:color w:val="auto"/>
          <w:sz w:val="2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eastAsia="宋体"/>
          <w:color w:val="auto"/>
          <w:highlight w:val="none"/>
        </w:rPr>
      </w:pPr>
      <w:r>
        <w:rPr>
          <w:rFonts w:hint="eastAsia" w:ascii="Times New Roman" w:hAnsi="Times New Roman" w:eastAsia="宋体" w:cs="Times New Roman"/>
          <w:b/>
          <w:color w:val="auto"/>
          <w:kern w:val="2"/>
          <w:sz w:val="21"/>
          <w:szCs w:val="20"/>
          <w:highlight w:val="none"/>
          <w:lang w:val="en-US" w:eastAsia="zh-CN" w:bidi="ar-SA"/>
        </w:rPr>
        <w:t>（三）投标人认为需提供的其他材料</w:t>
      </w:r>
      <w:bookmarkEnd w:id="547"/>
      <w:bookmarkEnd w:id="548"/>
      <w:bookmarkEnd w:id="549"/>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p>
    <w:p>
      <w:pPr>
        <w:spacing w:line="360" w:lineRule="auto"/>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1.优惠条款</w:t>
      </w:r>
    </w:p>
    <w:p>
      <w:pPr>
        <w:spacing w:line="360" w:lineRule="auto"/>
        <w:rPr>
          <w:rFonts w:hint="eastAsia" w:ascii="宋体" w:cs="宋体"/>
          <w:color w:val="auto"/>
          <w:sz w:val="24"/>
          <w:szCs w:val="24"/>
          <w:highlight w:val="none"/>
          <w:lang w:val="en-US" w:eastAsia="zh-CN"/>
        </w:rPr>
      </w:pPr>
    </w:p>
    <w:p>
      <w:pPr>
        <w:numPr>
          <w:ilvl w:val="0"/>
          <w:numId w:val="10"/>
        </w:numPr>
        <w:spacing w:line="360" w:lineRule="auto"/>
        <w:ind w:left="0" w:leftChars="0" w:firstLine="0" w:firstLineChars="0"/>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车辆选型（整体设计）</w:t>
      </w:r>
    </w:p>
    <w:p>
      <w:pPr>
        <w:numPr>
          <w:ilvl w:val="0"/>
          <w:numId w:val="0"/>
        </w:numPr>
        <w:spacing w:line="360" w:lineRule="auto"/>
        <w:ind w:leftChars="0"/>
        <w:rPr>
          <w:rFonts w:hint="eastAsia" w:ascii="宋体" w:cs="宋体"/>
          <w:color w:val="auto"/>
          <w:sz w:val="24"/>
          <w:szCs w:val="24"/>
          <w:highlight w:val="none"/>
          <w:lang w:val="en-US" w:eastAsia="zh-CN"/>
        </w:rPr>
      </w:pPr>
    </w:p>
    <w:p>
      <w:pPr>
        <w:numPr>
          <w:ilvl w:val="0"/>
          <w:numId w:val="10"/>
        </w:numPr>
        <w:spacing w:line="360" w:lineRule="auto"/>
        <w:ind w:left="0" w:leftChars="0" w:firstLine="0" w:firstLineChars="0"/>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车辆制造商专业技术生产能力</w:t>
      </w:r>
    </w:p>
    <w:p>
      <w:pPr>
        <w:numPr>
          <w:ilvl w:val="0"/>
          <w:numId w:val="0"/>
        </w:numPr>
        <w:spacing w:line="360" w:lineRule="auto"/>
        <w:ind w:leftChars="0"/>
        <w:rPr>
          <w:rFonts w:hint="eastAsia" w:ascii="宋体" w:cs="宋体"/>
          <w:color w:val="auto"/>
          <w:sz w:val="24"/>
          <w:szCs w:val="24"/>
          <w:highlight w:val="none"/>
          <w:lang w:val="en-US" w:eastAsia="zh-CN"/>
        </w:rPr>
      </w:pPr>
    </w:p>
    <w:p>
      <w:pPr>
        <w:numPr>
          <w:ilvl w:val="0"/>
          <w:numId w:val="0"/>
        </w:numPr>
        <w:spacing w:line="360" w:lineRule="auto"/>
        <w:ind w:leftChars="0"/>
        <w:rPr>
          <w:rFonts w:ascii="宋体" w:cs="宋体"/>
          <w:b/>
          <w:color w:val="auto"/>
          <w:sz w:val="28"/>
          <w:szCs w:val="28"/>
          <w:highlight w:val="none"/>
        </w:rPr>
      </w:pPr>
      <w:r>
        <w:rPr>
          <w:rFonts w:hint="eastAsia" w:ascii="宋体" w:cs="宋体"/>
          <w:color w:val="auto"/>
          <w:sz w:val="24"/>
          <w:szCs w:val="24"/>
          <w:highlight w:val="none"/>
          <w:lang w:val="en-US" w:eastAsia="zh-CN"/>
        </w:rPr>
        <w:t>4.投标人认为应附的其他材料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pPr>
        <w:keepNext/>
        <w:keepLines/>
        <w:spacing w:line="360" w:lineRule="auto"/>
        <w:jc w:val="center"/>
        <w:outlineLvl w:val="2"/>
        <w:rPr>
          <w:rFonts w:ascii="宋体" w:cs="宋体"/>
          <w:b/>
          <w:bCs/>
          <w:color w:val="auto"/>
          <w:kern w:val="0"/>
          <w:sz w:val="32"/>
          <w:szCs w:val="32"/>
          <w:highlight w:val="none"/>
        </w:rPr>
      </w:pPr>
      <w:bookmarkStart w:id="550" w:name="_Toc26116"/>
      <w:bookmarkStart w:id="551" w:name="_Toc15503"/>
      <w:bookmarkStart w:id="552" w:name="_Toc131"/>
      <w:r>
        <w:rPr>
          <w:rFonts w:hint="eastAsia" w:ascii="宋体" w:hAnsi="宋体" w:cs="宋体"/>
          <w:b/>
          <w:bCs/>
          <w:color w:val="auto"/>
          <w:kern w:val="0"/>
          <w:sz w:val="32"/>
          <w:szCs w:val="32"/>
          <w:highlight w:val="none"/>
        </w:rPr>
        <w:t>中小企业声明函（货物）</w:t>
      </w:r>
      <w:bookmarkEnd w:id="550"/>
      <w:bookmarkEnd w:id="551"/>
      <w:bookmarkEnd w:id="552"/>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pPr>
        <w:adjustRightInd w:val="0"/>
        <w:snapToGrid w:val="0"/>
        <w:spacing w:line="360" w:lineRule="auto"/>
        <w:ind w:right="-82" w:rightChars="-39"/>
        <w:jc w:val="left"/>
        <w:rPr>
          <w:rFonts w:ascii="宋体" w:cs="宋体"/>
          <w:color w:val="auto"/>
          <w:sz w:val="24"/>
          <w:highlight w:val="none"/>
        </w:rPr>
      </w:pPr>
    </w:p>
    <w:p>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pPr>
        <w:spacing w:line="360" w:lineRule="auto"/>
        <w:jc w:val="left"/>
        <w:rPr>
          <w:rFonts w:ascii="宋体" w:cs="宋体"/>
          <w:color w:val="auto"/>
          <w:sz w:val="24"/>
          <w:highlight w:val="none"/>
        </w:rPr>
      </w:pPr>
    </w:p>
    <w:p>
      <w:pPr>
        <w:spacing w:line="360" w:lineRule="auto"/>
        <w:ind w:firstLine="482"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pPr>
        <w:spacing w:line="360" w:lineRule="auto"/>
        <w:rPr>
          <w:rFonts w:ascii="宋体" w:cs="宋体"/>
          <w:color w:val="auto"/>
          <w:sz w:val="24"/>
          <w:highlight w:val="none"/>
        </w:rPr>
      </w:pPr>
      <w:r>
        <w:rPr>
          <w:rFonts w:hint="eastAsia" w:ascii="宋体" w:hAnsi="宋体" w:cs="宋体"/>
          <w:color w:val="auto"/>
          <w:sz w:val="24"/>
          <w:highlight w:val="none"/>
        </w:rPr>
        <w:t>注：</w:t>
      </w:r>
    </w:p>
    <w:p>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pPr>
        <w:spacing w:line="360" w:lineRule="auto"/>
        <w:jc w:val="center"/>
        <w:rPr>
          <w:rFonts w:ascii="宋体" w:cs="宋体"/>
          <w:color w:val="auto"/>
          <w:sz w:val="32"/>
          <w:szCs w:val="32"/>
          <w:highlight w:val="none"/>
        </w:rPr>
      </w:pPr>
      <w:r>
        <w:rPr>
          <w:rFonts w:ascii="宋体" w:cs="宋体"/>
          <w:color w:val="auto"/>
          <w:szCs w:val="21"/>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53" w:name="_Toc16860"/>
      <w:bookmarkStart w:id="554" w:name="_Toc27929"/>
      <w:r>
        <w:rPr>
          <w:rFonts w:hint="eastAsia" w:ascii="宋体" w:hAnsi="宋体" w:cs="宋体"/>
          <w:b/>
          <w:bCs/>
          <w:color w:val="auto"/>
          <w:kern w:val="0"/>
          <w:sz w:val="32"/>
          <w:szCs w:val="32"/>
          <w:highlight w:val="none"/>
        </w:rPr>
        <w:t>监狱企业的证明文件</w:t>
      </w:r>
      <w:bookmarkEnd w:id="553"/>
      <w:bookmarkEnd w:id="554"/>
    </w:p>
    <w:p>
      <w:pPr>
        <w:spacing w:line="360" w:lineRule="auto"/>
        <w:jc w:val="center"/>
        <w:rPr>
          <w:rFonts w:ascii="宋体" w:cs="宋体"/>
          <w:color w:val="auto"/>
          <w:kern w:val="0"/>
          <w:sz w:val="32"/>
          <w:szCs w:val="32"/>
          <w:highlight w:val="none"/>
        </w:rPr>
      </w:pPr>
    </w:p>
    <w:p>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pPr>
        <w:keepNext/>
        <w:keepLines/>
        <w:spacing w:line="360" w:lineRule="auto"/>
        <w:jc w:val="center"/>
        <w:outlineLvl w:val="2"/>
        <w:rPr>
          <w:rFonts w:ascii="宋体" w:cs="宋体"/>
          <w:b/>
          <w:bCs/>
          <w:color w:val="auto"/>
          <w:kern w:val="0"/>
          <w:sz w:val="32"/>
          <w:szCs w:val="32"/>
          <w:highlight w:val="none"/>
        </w:rPr>
      </w:pPr>
      <w:bookmarkStart w:id="555" w:name="_Toc5950"/>
      <w:bookmarkStart w:id="556" w:name="_Toc5146"/>
      <w:r>
        <w:rPr>
          <w:rFonts w:hint="eastAsia" w:ascii="宋体" w:hAnsi="宋体" w:cs="宋体"/>
          <w:b/>
          <w:bCs/>
          <w:color w:val="auto"/>
          <w:kern w:val="0"/>
          <w:sz w:val="32"/>
          <w:szCs w:val="32"/>
          <w:highlight w:val="none"/>
        </w:rPr>
        <w:t>残疾人福利性单位声明函</w:t>
      </w:r>
      <w:bookmarkEnd w:id="555"/>
      <w:bookmarkEnd w:id="556"/>
    </w:p>
    <w:p>
      <w:pPr>
        <w:spacing w:line="360" w:lineRule="auto"/>
        <w:jc w:val="center"/>
        <w:rPr>
          <w:rFonts w:ascii="宋体" w:cs="宋体"/>
          <w:b/>
          <w:color w:val="auto"/>
          <w:spacing w:val="6"/>
          <w:sz w:val="32"/>
          <w:szCs w:val="32"/>
          <w:highlight w:val="none"/>
        </w:rPr>
      </w:pP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pPr>
        <w:spacing w:line="360" w:lineRule="auto"/>
        <w:ind w:firstLine="504" w:firstLineChars="200"/>
        <w:jc w:val="left"/>
        <w:rPr>
          <w:rFonts w:ascii="宋体" w:cs="宋体"/>
          <w:color w:val="auto"/>
          <w:spacing w:val="6"/>
          <w:sz w:val="24"/>
          <w:szCs w:val="21"/>
          <w:highlight w:val="none"/>
        </w:rPr>
      </w:pPr>
    </w:p>
    <w:p>
      <w:pPr>
        <w:spacing w:line="360" w:lineRule="auto"/>
        <w:ind w:firstLine="504" w:firstLineChars="200"/>
        <w:jc w:val="left"/>
        <w:rPr>
          <w:rFonts w:ascii="宋体" w:cs="宋体"/>
          <w:color w:val="auto"/>
          <w:spacing w:val="6"/>
          <w:sz w:val="24"/>
          <w:szCs w:val="21"/>
          <w:highlight w:val="none"/>
        </w:rPr>
      </w:pPr>
    </w:p>
    <w:p>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pPr>
        <w:widowControl/>
        <w:spacing w:line="360" w:lineRule="auto"/>
        <w:ind w:firstLine="562" w:firstLineChars="200"/>
        <w:jc w:val="left"/>
        <w:rPr>
          <w:rFonts w:ascii="宋体" w:cs="宋体"/>
          <w:bCs/>
          <w:color w:val="auto"/>
          <w:sz w:val="24"/>
          <w:highlight w:val="none"/>
        </w:rPr>
      </w:pPr>
      <w:r>
        <w:rPr>
          <w:rFonts w:ascii="宋体" w:cs="宋体"/>
          <w:b/>
          <w:color w:val="auto"/>
          <w:sz w:val="28"/>
          <w:szCs w:val="28"/>
          <w:highlight w:val="none"/>
        </w:rPr>
        <w:br w:type="page"/>
      </w:r>
    </w:p>
    <w:p>
      <w:pPr>
        <w:widowControl/>
        <w:spacing w:line="360" w:lineRule="auto"/>
        <w:jc w:val="center"/>
        <w:outlineLvl w:val="2"/>
        <w:rPr>
          <w:rFonts w:ascii="微软雅黑" w:hAnsi="微软雅黑" w:eastAsia="微软雅黑" w:cs="宋体"/>
          <w:b/>
          <w:bCs/>
          <w:color w:val="auto"/>
          <w:kern w:val="36"/>
          <w:sz w:val="28"/>
          <w:szCs w:val="28"/>
          <w:highlight w:val="none"/>
        </w:rPr>
      </w:pPr>
      <w:bookmarkStart w:id="557" w:name="_Toc5378"/>
      <w:r>
        <w:rPr>
          <w:rFonts w:hint="eastAsia" w:ascii="宋体" w:hAnsi="宋体" w:cs="宋体"/>
          <w:b/>
          <w:bCs/>
          <w:color w:val="auto"/>
          <w:sz w:val="24"/>
          <w:szCs w:val="21"/>
          <w:highlight w:val="none"/>
        </w:rPr>
        <w:t>关于印发节能产品政府采购品目清单的通知</w:t>
      </w:r>
      <w:bookmarkEnd w:id="557"/>
    </w:p>
    <w:p>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pPr>
        <w:autoSpaceDE w:val="0"/>
        <w:autoSpaceDN w:val="0"/>
        <w:adjustRightInd w:val="0"/>
        <w:spacing w:line="360" w:lineRule="auto"/>
        <w:jc w:val="left"/>
        <w:rPr>
          <w:rFonts w:ascii="宋体" w:cs="宋体"/>
          <w:color w:val="auto"/>
          <w:kern w:val="0"/>
          <w:sz w:val="24"/>
          <w:highlight w:val="none"/>
        </w:rPr>
      </w:pP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pPr>
        <w:spacing w:line="360" w:lineRule="auto"/>
        <w:jc w:val="righ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pStyle w:val="21"/>
        <w:spacing w:line="360" w:lineRule="auto"/>
        <w:rPr>
          <w:color w:val="auto"/>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spacing w:line="360" w:lineRule="auto"/>
        <w:jc w:val="left"/>
        <w:rPr>
          <w:color w:val="auto"/>
          <w:sz w:val="24"/>
          <w:highlight w:val="none"/>
        </w:rPr>
      </w:pPr>
    </w:p>
    <w:p>
      <w:pPr>
        <w:autoSpaceDE w:val="0"/>
        <w:autoSpaceDN w:val="0"/>
        <w:adjustRightInd w:val="0"/>
        <w:spacing w:line="360" w:lineRule="auto"/>
        <w:jc w:val="left"/>
        <w:rPr>
          <w:rFonts w:ascii="宋体" w:cs="宋体"/>
          <w:color w:val="auto"/>
          <w:kern w:val="0"/>
          <w:sz w:val="24"/>
          <w:highlight w:val="none"/>
        </w:rPr>
      </w:pPr>
    </w:p>
    <w:p>
      <w:pPr>
        <w:widowControl/>
        <w:spacing w:line="360" w:lineRule="auto"/>
        <w:jc w:val="center"/>
        <w:outlineLvl w:val="2"/>
        <w:rPr>
          <w:rFonts w:ascii="宋体" w:cs="宋体"/>
          <w:b/>
          <w:bCs/>
          <w:color w:val="auto"/>
          <w:sz w:val="24"/>
          <w:szCs w:val="21"/>
          <w:highlight w:val="none"/>
        </w:rPr>
      </w:pPr>
      <w:bookmarkStart w:id="558" w:name="_Toc873"/>
      <w:r>
        <w:rPr>
          <w:rFonts w:hint="eastAsia" w:ascii="宋体" w:hAnsi="宋体" w:cs="宋体"/>
          <w:b/>
          <w:bCs/>
          <w:color w:val="auto"/>
          <w:sz w:val="24"/>
          <w:szCs w:val="21"/>
          <w:highlight w:val="none"/>
        </w:rPr>
        <w:t>节能产品政府采购品目清单</w:t>
      </w:r>
      <w:bookmarkEnd w:id="558"/>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6"/>
        <w:gridCol w:w="1825"/>
        <w:gridCol w:w="1599"/>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1071" w:type="pct"/>
            <w:vMerge w:val="restart"/>
          </w:tcPr>
          <w:p>
            <w:pPr>
              <w:spacing w:line="360" w:lineRule="auto"/>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pPr>
              <w:spacing w:line="360" w:lineRule="auto"/>
              <w:rPr>
                <w:rFonts w:ascii="宋体" w:cs="宋体"/>
                <w:color w:val="auto"/>
                <w:szCs w:val="21"/>
                <w:highlight w:val="none"/>
              </w:rPr>
            </w:pPr>
          </w:p>
        </w:tc>
        <w:tc>
          <w:tcPr>
            <w:tcW w:w="1743" w:type="pct"/>
          </w:tcPr>
          <w:p>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kern w:val="0"/>
                <w:szCs w:val="21"/>
                <w:highlight w:val="none"/>
              </w:rPr>
            </w:pPr>
          </w:p>
          <w:p>
            <w:pPr>
              <w:spacing w:line="360" w:lineRule="auto"/>
              <w:rPr>
                <w:color w:val="auto"/>
                <w:sz w:val="24"/>
                <w:highlight w:val="none"/>
              </w:rPr>
            </w:pPr>
          </w:p>
          <w:p>
            <w:pPr>
              <w:autoSpaceDE w:val="0"/>
              <w:autoSpaceDN w:val="0"/>
              <w:adjustRightInd w:val="0"/>
              <w:spacing w:line="360" w:lineRule="auto"/>
              <w:rPr>
                <w:rFonts w:ascii="宋体" w:cs="宋体"/>
                <w:color w:val="auto"/>
                <w:kern w:val="0"/>
                <w:sz w:val="24"/>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★普通照明用双瑞荧光灯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vMerge w:val="restart"/>
          </w:tcPr>
          <w:p>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pPr>
              <w:spacing w:line="360" w:lineRule="auto"/>
              <w:rPr>
                <w:rFonts w:ascii="宋体" w:cs="宋体"/>
                <w:color w:val="auto"/>
                <w:szCs w:val="21"/>
                <w:highlight w:val="none"/>
              </w:rPr>
            </w:pPr>
          </w:p>
        </w:tc>
        <w:tc>
          <w:tcPr>
            <w:tcW w:w="813" w:type="pct"/>
            <w:vMerge w:val="continue"/>
          </w:tcPr>
          <w:p>
            <w:pPr>
              <w:spacing w:line="360" w:lineRule="auto"/>
              <w:rPr>
                <w:rFonts w:ascii="宋体" w:cs="宋体"/>
                <w:color w:val="auto"/>
                <w:szCs w:val="21"/>
                <w:highlight w:val="none"/>
              </w:rPr>
            </w:pPr>
          </w:p>
        </w:tc>
        <w:tc>
          <w:tcPr>
            <w:tcW w:w="1071"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pPr>
              <w:spacing w:line="360" w:lineRule="auto"/>
              <w:rPr>
                <w:rFonts w:ascii="宋体" w:cs="宋体"/>
                <w:color w:val="auto"/>
                <w:szCs w:val="21"/>
                <w:highlight w:val="none"/>
              </w:rPr>
            </w:pPr>
          </w:p>
        </w:tc>
        <w:tc>
          <w:tcPr>
            <w:tcW w:w="937" w:type="pct"/>
          </w:tcPr>
          <w:p>
            <w:pPr>
              <w:spacing w:line="360" w:lineRule="auto"/>
              <w:rPr>
                <w:rFonts w:ascii="宋体" w:cs="宋体"/>
                <w:color w:val="auto"/>
                <w:szCs w:val="21"/>
                <w:highlight w:val="none"/>
              </w:rPr>
            </w:pPr>
          </w:p>
        </w:tc>
        <w:tc>
          <w:tcPr>
            <w:tcW w:w="1743" w:type="pct"/>
          </w:tcPr>
          <w:p>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pPr>
        <w:spacing w:line="360" w:lineRule="auto"/>
        <w:jc w:val="left"/>
        <w:rPr>
          <w:rFonts w:ascii="宋体" w:cs="宋体"/>
          <w:color w:val="auto"/>
          <w:szCs w:val="21"/>
          <w:highlight w:val="none"/>
        </w:rPr>
      </w:pPr>
    </w:p>
    <w:p>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以“★”标注的为政府强制采购产品。</w:t>
      </w:r>
    </w:p>
    <w:p>
      <w:pPr>
        <w:pStyle w:val="15"/>
        <w:spacing w:line="360" w:lineRule="auto"/>
        <w:ind w:left="0" w:leftChars="0"/>
        <w:jc w:val="center"/>
        <w:outlineLvl w:val="2"/>
        <w:rPr>
          <w:color w:val="auto"/>
          <w:highlight w:val="none"/>
        </w:rPr>
      </w:pPr>
      <w:r>
        <w:rPr>
          <w:color w:val="auto"/>
          <w:highlight w:val="none"/>
        </w:rPr>
        <w:br w:type="page"/>
      </w:r>
      <w:bookmarkStart w:id="559" w:name="_Toc7371"/>
      <w:r>
        <w:rPr>
          <w:rStyle w:val="32"/>
          <w:rFonts w:hint="eastAsia"/>
          <w:color w:val="auto"/>
          <w:highlight w:val="none"/>
        </w:rPr>
        <w:t>关于印发环境标志产品政府采购品目清单的通知</w:t>
      </w:r>
      <w:bookmarkEnd w:id="559"/>
    </w:p>
    <w:p>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pPr>
        <w:spacing w:line="360" w:lineRule="auto"/>
        <w:rPr>
          <w:color w:val="auto"/>
          <w:highlight w:val="none"/>
        </w:rPr>
      </w:pPr>
    </w:p>
    <w:p>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pPr>
        <w:spacing w:line="360" w:lineRule="auto"/>
        <w:rPr>
          <w:color w:val="auto"/>
          <w:highlight w:val="none"/>
        </w:rPr>
      </w:pPr>
    </w:p>
    <w:p>
      <w:pPr>
        <w:spacing w:line="360" w:lineRule="auto"/>
        <w:rPr>
          <w:color w:val="auto"/>
          <w:highlight w:val="none"/>
        </w:rPr>
      </w:pPr>
      <w:r>
        <w:rPr>
          <w:rFonts w:hint="eastAsia"/>
          <w:color w:val="auto"/>
          <w:highlight w:val="none"/>
        </w:rPr>
        <w:t>　　附件：环境标志产品政府采购品目清单</w:t>
      </w:r>
    </w:p>
    <w:p>
      <w:pPr>
        <w:spacing w:line="360" w:lineRule="auto"/>
        <w:rPr>
          <w:color w:val="auto"/>
          <w:highlight w:val="none"/>
        </w:rPr>
      </w:pPr>
    </w:p>
    <w:p>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pPr>
        <w:pStyle w:val="4"/>
        <w:jc w:val="center"/>
        <w:rPr>
          <w:color w:val="auto"/>
          <w:highlight w:val="none"/>
        </w:rPr>
      </w:pPr>
      <w:r>
        <w:rPr>
          <w:color w:val="auto"/>
          <w:highlight w:val="none"/>
        </w:rPr>
        <w:br w:type="page"/>
      </w:r>
      <w:bookmarkStart w:id="560" w:name="_Toc4050"/>
      <w:r>
        <w:rPr>
          <w:rFonts w:hint="eastAsia"/>
          <w:color w:val="auto"/>
          <w:highlight w:val="none"/>
        </w:rPr>
        <w:t>环境标志产品政府采购品目清单</w:t>
      </w:r>
      <w:bookmarkEnd w:id="560"/>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7"/>
        <w:gridCol w:w="2348"/>
        <w:gridCol w:w="1667"/>
        <w:gridCol w:w="24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pPr>
              <w:spacing w:line="360" w:lineRule="auto"/>
              <w:jc w:val="center"/>
              <w:rPr>
                <w:color w:val="auto"/>
                <w:highlight w:val="none"/>
              </w:rPr>
            </w:pPr>
            <w:r>
              <w:rPr>
                <w:rFonts w:hint="eastAsia"/>
                <w:color w:val="auto"/>
                <w:highlight w:val="none"/>
              </w:rPr>
              <w:t>名称</w:t>
            </w:r>
          </w:p>
        </w:tc>
        <w:tc>
          <w:tcPr>
            <w:tcW w:w="1460" w:type="pct"/>
            <w:vAlign w:val="center"/>
          </w:tcPr>
          <w:p>
            <w:pPr>
              <w:spacing w:line="360" w:lineRule="auto"/>
              <w:jc w:val="center"/>
              <w:rPr>
                <w:color w:val="auto"/>
                <w:highlight w:val="none"/>
              </w:rPr>
            </w:pPr>
            <w:r>
              <w:rPr>
                <w:rFonts w:hint="eastAsia"/>
                <w:color w:val="auto"/>
                <w:highlight w:val="none"/>
              </w:rPr>
              <w:t>依据的标准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pPr>
              <w:spacing w:line="360" w:lineRule="auto"/>
              <w:jc w:val="center"/>
              <w:rPr>
                <w:color w:val="auto"/>
                <w:highlight w:val="none"/>
              </w:rPr>
            </w:pPr>
            <w:r>
              <w:rPr>
                <w:color w:val="auto"/>
                <w:highlight w:val="none"/>
              </w:rPr>
              <w:t>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bottom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restart"/>
            <w:tcBorders>
              <w:bottom w:val="nil"/>
            </w:tcBorders>
          </w:tcPr>
          <w:p>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vMerge w:val="continue"/>
            <w:tcBorders>
              <w:top w:val="nil"/>
            </w:tcBorders>
          </w:tcPr>
          <w:p>
            <w:pPr>
              <w:spacing w:line="360" w:lineRule="auto"/>
              <w:jc w:val="left"/>
              <w:rPr>
                <w:color w:val="auto"/>
                <w:highlight w:val="none"/>
              </w:rPr>
            </w:pPr>
          </w:p>
        </w:tc>
        <w:tc>
          <w:tcPr>
            <w:tcW w:w="1002" w:type="pct"/>
          </w:tcPr>
          <w:p>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3</w:t>
            </w:r>
          </w:p>
        </w:tc>
        <w:tc>
          <w:tcPr>
            <w:tcW w:w="702" w:type="pct"/>
          </w:tcPr>
          <w:p>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pPr>
              <w:spacing w:line="360" w:lineRule="auto"/>
              <w:jc w:val="center"/>
              <w:rPr>
                <w:color w:val="auto"/>
                <w:highlight w:val="none"/>
              </w:rPr>
            </w:pPr>
            <w:r>
              <w:rPr>
                <w:color w:val="auto"/>
                <w:highlight w:val="none"/>
              </w:rPr>
              <w:t>4</w:t>
            </w:r>
          </w:p>
        </w:tc>
        <w:tc>
          <w:tcPr>
            <w:tcW w:w="702" w:type="pct"/>
          </w:tcPr>
          <w:p>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5</w:t>
            </w:r>
          </w:p>
        </w:tc>
        <w:tc>
          <w:tcPr>
            <w:tcW w:w="702" w:type="pct"/>
          </w:tcPr>
          <w:p>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6</w:t>
            </w:r>
          </w:p>
        </w:tc>
        <w:tc>
          <w:tcPr>
            <w:tcW w:w="702" w:type="pct"/>
          </w:tcPr>
          <w:p>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pPr>
              <w:spacing w:line="360" w:lineRule="auto"/>
              <w:jc w:val="center"/>
              <w:rPr>
                <w:color w:val="auto"/>
                <w:highlight w:val="none"/>
              </w:rPr>
            </w:pPr>
            <w:r>
              <w:rPr>
                <w:color w:val="auto"/>
                <w:highlight w:val="none"/>
              </w:rPr>
              <w:t>7</w:t>
            </w:r>
          </w:p>
        </w:tc>
        <w:tc>
          <w:tcPr>
            <w:tcW w:w="702" w:type="pct"/>
          </w:tcPr>
          <w:p>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pPr>
              <w:spacing w:line="360" w:lineRule="auto"/>
              <w:jc w:val="center"/>
              <w:rPr>
                <w:color w:val="auto"/>
                <w:highlight w:val="none"/>
              </w:rPr>
            </w:pPr>
            <w:r>
              <w:rPr>
                <w:color w:val="auto"/>
                <w:highlight w:val="none"/>
              </w:rPr>
              <w:t>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9</w:t>
            </w:r>
          </w:p>
        </w:tc>
        <w:tc>
          <w:tcPr>
            <w:tcW w:w="702" w:type="pct"/>
          </w:tcPr>
          <w:p>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10</w:t>
            </w:r>
          </w:p>
        </w:tc>
        <w:tc>
          <w:tcPr>
            <w:tcW w:w="702" w:type="pct"/>
          </w:tcPr>
          <w:p>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pPr>
              <w:spacing w:line="360" w:lineRule="auto"/>
              <w:jc w:val="center"/>
              <w:rPr>
                <w:color w:val="auto"/>
                <w:highlight w:val="none"/>
              </w:rPr>
            </w:pPr>
            <w:r>
              <w:rPr>
                <w:color w:val="auto"/>
                <w:highlight w:val="none"/>
              </w:rPr>
              <w:t>11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13</w:t>
            </w:r>
          </w:p>
        </w:tc>
        <w:tc>
          <w:tcPr>
            <w:tcW w:w="702" w:type="pct"/>
          </w:tcPr>
          <w:p>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center"/>
              <w:rPr>
                <w:color w:val="auto"/>
                <w:highlight w:val="none"/>
              </w:rPr>
            </w:pPr>
            <w:r>
              <w:rPr>
                <w:color w:val="auto"/>
                <w:highlight w:val="none"/>
              </w:rPr>
              <w:t>14</w:t>
            </w:r>
          </w:p>
        </w:tc>
        <w:tc>
          <w:tcPr>
            <w:tcW w:w="702" w:type="pct"/>
          </w:tcPr>
          <w:p>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center"/>
              <w:rPr>
                <w:color w:val="auto"/>
                <w:highlight w:val="none"/>
              </w:rPr>
            </w:pPr>
            <w:r>
              <w:rPr>
                <w:color w:val="auto"/>
                <w:highlight w:val="none"/>
              </w:rPr>
              <w:t>15</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pPr>
              <w:spacing w:line="360" w:lineRule="auto"/>
              <w:jc w:val="center"/>
              <w:rPr>
                <w:color w:val="auto"/>
                <w:highlight w:val="none"/>
              </w:rPr>
            </w:pPr>
            <w:r>
              <w:rPr>
                <w:color w:val="auto"/>
                <w:highlight w:val="none"/>
              </w:rPr>
              <w:t>16</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17</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18</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19</w:t>
            </w:r>
          </w:p>
        </w:tc>
        <w:tc>
          <w:tcPr>
            <w:tcW w:w="702" w:type="pct"/>
          </w:tcPr>
          <w:p>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20</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center"/>
              <w:rPr>
                <w:color w:val="auto"/>
                <w:highlight w:val="none"/>
              </w:rPr>
            </w:pPr>
          </w:p>
        </w:tc>
        <w:tc>
          <w:tcPr>
            <w:tcW w:w="702" w:type="pct"/>
            <w:vMerge w:val="continue"/>
            <w:tcBorders>
              <w:top w:val="nil"/>
              <w:bottom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21</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center"/>
              <w:rPr>
                <w:color w:val="auto"/>
                <w:highlight w:val="none"/>
              </w:rPr>
            </w:pPr>
            <w:r>
              <w:rPr>
                <w:color w:val="auto"/>
                <w:highlight w:val="none"/>
              </w:rPr>
              <w:t>22</w:t>
            </w:r>
          </w:p>
        </w:tc>
        <w:tc>
          <w:tcPr>
            <w:tcW w:w="702" w:type="pct"/>
            <w:vMerge w:val="restart"/>
            <w:tcBorders>
              <w:bottom w:val="nil"/>
            </w:tcBorders>
          </w:tcPr>
          <w:p>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center"/>
              <w:rPr>
                <w:color w:val="auto"/>
                <w:highlight w:val="none"/>
              </w:rPr>
            </w:pPr>
          </w:p>
        </w:tc>
        <w:tc>
          <w:tcPr>
            <w:tcW w:w="702" w:type="pct"/>
            <w:vMerge w:val="continue"/>
            <w:tcBorders>
              <w:top w:val="nil"/>
            </w:tcBorders>
          </w:tcPr>
          <w:p>
            <w:pPr>
              <w:spacing w:line="360" w:lineRule="auto"/>
              <w:jc w:val="center"/>
              <w:rPr>
                <w:color w:val="auto"/>
                <w:highlight w:val="none"/>
              </w:rPr>
            </w:pPr>
          </w:p>
        </w:tc>
        <w:tc>
          <w:tcPr>
            <w:tcW w:w="1413" w:type="pct"/>
          </w:tcPr>
          <w:p>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23</w:t>
            </w:r>
          </w:p>
        </w:tc>
        <w:tc>
          <w:tcPr>
            <w:tcW w:w="702" w:type="pct"/>
          </w:tcPr>
          <w:p>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24</w:t>
            </w:r>
          </w:p>
        </w:tc>
        <w:tc>
          <w:tcPr>
            <w:tcW w:w="702" w:type="pct"/>
          </w:tcPr>
          <w:p>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pPr>
              <w:spacing w:line="360" w:lineRule="auto"/>
              <w:jc w:val="center"/>
              <w:rPr>
                <w:color w:val="auto"/>
                <w:highlight w:val="none"/>
              </w:rPr>
            </w:pPr>
            <w:r>
              <w:rPr>
                <w:color w:val="auto"/>
                <w:highlight w:val="none"/>
              </w:rPr>
              <w:t>25</w:t>
            </w:r>
          </w:p>
        </w:tc>
        <w:tc>
          <w:tcPr>
            <w:tcW w:w="702" w:type="pct"/>
          </w:tcPr>
          <w:p>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pPr>
              <w:spacing w:line="360" w:lineRule="auto"/>
              <w:jc w:val="center"/>
              <w:rPr>
                <w:color w:val="auto"/>
                <w:highlight w:val="none"/>
              </w:rPr>
            </w:pPr>
            <w:r>
              <w:rPr>
                <w:color w:val="auto"/>
                <w:highlight w:val="none"/>
              </w:rPr>
              <w:t>26</w:t>
            </w:r>
          </w:p>
        </w:tc>
        <w:tc>
          <w:tcPr>
            <w:tcW w:w="702" w:type="pct"/>
          </w:tcPr>
          <w:p>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center"/>
              <w:rPr>
                <w:color w:val="auto"/>
                <w:highlight w:val="none"/>
              </w:rPr>
            </w:pPr>
            <w:r>
              <w:rPr>
                <w:color w:val="auto"/>
                <w:highlight w:val="none"/>
              </w:rPr>
              <w:t>27</w:t>
            </w:r>
          </w:p>
        </w:tc>
        <w:tc>
          <w:tcPr>
            <w:tcW w:w="702" w:type="pct"/>
          </w:tcPr>
          <w:p>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pPr>
              <w:spacing w:line="360" w:lineRule="auto"/>
              <w:jc w:val="center"/>
              <w:rPr>
                <w:color w:val="auto"/>
                <w:highlight w:val="none"/>
              </w:rPr>
            </w:pPr>
            <w:r>
              <w:rPr>
                <w:color w:val="auto"/>
                <w:highlight w:val="none"/>
              </w:rPr>
              <w:t>28</w:t>
            </w:r>
          </w:p>
        </w:tc>
        <w:tc>
          <w:tcPr>
            <w:tcW w:w="702" w:type="pct"/>
          </w:tcPr>
          <w:p>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center"/>
              <w:rPr>
                <w:color w:val="auto"/>
                <w:highlight w:val="none"/>
              </w:rPr>
            </w:pPr>
            <w:r>
              <w:rPr>
                <w:color w:val="auto"/>
                <w:highlight w:val="none"/>
              </w:rPr>
              <w:t>29</w:t>
            </w:r>
          </w:p>
        </w:tc>
        <w:tc>
          <w:tcPr>
            <w:tcW w:w="702" w:type="pct"/>
          </w:tcPr>
          <w:p>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pPr>
              <w:spacing w:line="360" w:lineRule="auto"/>
              <w:jc w:val="left"/>
              <w:rPr>
                <w:color w:val="auto"/>
                <w:highlight w:val="none"/>
              </w:rPr>
            </w:pPr>
            <w:r>
              <w:rPr>
                <w:color w:val="auto"/>
                <w:highlight w:val="none"/>
              </w:rPr>
              <w:t>30</w:t>
            </w:r>
          </w:p>
        </w:tc>
        <w:tc>
          <w:tcPr>
            <w:tcW w:w="702" w:type="pct"/>
          </w:tcPr>
          <w:p>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pPr>
              <w:spacing w:line="360" w:lineRule="auto"/>
              <w:jc w:val="left"/>
              <w:rPr>
                <w:color w:val="auto"/>
                <w:highlight w:val="none"/>
              </w:rPr>
            </w:pPr>
            <w:r>
              <w:rPr>
                <w:color w:val="auto"/>
                <w:highlight w:val="none"/>
              </w:rPr>
              <w:t>31</w:t>
            </w:r>
          </w:p>
        </w:tc>
        <w:tc>
          <w:tcPr>
            <w:tcW w:w="702" w:type="pct"/>
          </w:tcPr>
          <w:p>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pPr>
              <w:spacing w:line="360" w:lineRule="auto"/>
              <w:jc w:val="left"/>
              <w:rPr>
                <w:color w:val="auto"/>
                <w:highlight w:val="none"/>
              </w:rPr>
            </w:pPr>
            <w:r>
              <w:rPr>
                <w:color w:val="auto"/>
                <w:highlight w:val="none"/>
              </w:rPr>
              <w:t>32</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pPr>
              <w:spacing w:line="360" w:lineRule="auto"/>
              <w:jc w:val="left"/>
              <w:rPr>
                <w:color w:val="auto"/>
                <w:highlight w:val="none"/>
              </w:rPr>
            </w:pPr>
            <w:r>
              <w:rPr>
                <w:color w:val="auto"/>
                <w:highlight w:val="none"/>
              </w:rPr>
              <w:t>33</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A100204 </w:t>
            </w:r>
            <w:r>
              <w:rPr>
                <w:rFonts w:hint="eastAsia"/>
                <w:color w:val="auto"/>
                <w:highlight w:val="none"/>
              </w:rPr>
              <w:t>二次加</w:t>
            </w:r>
            <w:r>
              <w:rPr>
                <w:color w:val="auto"/>
                <w:highlight w:val="none"/>
              </w:rPr>
              <w:t xml:space="preserve"> </w:t>
            </w:r>
            <w:r>
              <w:rPr>
                <w:rFonts w:hint="eastAsia"/>
                <w:color w:val="auto"/>
                <w:highlight w:val="none"/>
              </w:rPr>
              <w:t>工材，相关板材</w:t>
            </w: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34</w:t>
            </w:r>
          </w:p>
        </w:tc>
        <w:tc>
          <w:tcPr>
            <w:tcW w:w="702" w:type="pct"/>
          </w:tcPr>
          <w:p>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35</w:t>
            </w:r>
          </w:p>
        </w:tc>
        <w:tc>
          <w:tcPr>
            <w:tcW w:w="702" w:type="pct"/>
          </w:tcPr>
          <w:p>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36</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37</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pPr>
              <w:spacing w:line="360" w:lineRule="auto"/>
              <w:jc w:val="left"/>
              <w:rPr>
                <w:color w:val="auto"/>
                <w:highlight w:val="none"/>
              </w:rPr>
            </w:pPr>
            <w:r>
              <w:rPr>
                <w:color w:val="auto"/>
                <w:highlight w:val="none"/>
              </w:rPr>
              <w:t>38</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39</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pPr>
              <w:spacing w:line="360" w:lineRule="auto"/>
              <w:jc w:val="left"/>
              <w:rPr>
                <w:color w:val="auto"/>
                <w:highlight w:val="none"/>
              </w:rPr>
            </w:pPr>
          </w:p>
        </w:tc>
        <w:tc>
          <w:tcPr>
            <w:tcW w:w="702" w:type="pct"/>
            <w:vMerge w:val="continue"/>
            <w:tcBorders>
              <w:top w:val="nil"/>
              <w:bottom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pPr>
              <w:spacing w:line="360" w:lineRule="auto"/>
              <w:jc w:val="left"/>
              <w:rPr>
                <w:color w:val="auto"/>
                <w:highlight w:val="none"/>
              </w:rPr>
            </w:pPr>
            <w:r>
              <w:rPr>
                <w:color w:val="auto"/>
                <w:highlight w:val="none"/>
              </w:rPr>
              <w:t>40</w:t>
            </w:r>
          </w:p>
        </w:tc>
        <w:tc>
          <w:tcPr>
            <w:tcW w:w="702" w:type="pct"/>
            <w:vMerge w:val="restart"/>
            <w:tcBorders>
              <w:bottom w:val="nil"/>
            </w:tcBorders>
          </w:tcPr>
          <w:p>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pPr>
              <w:spacing w:line="360" w:lineRule="auto"/>
              <w:jc w:val="left"/>
              <w:rPr>
                <w:color w:val="auto"/>
                <w:highlight w:val="none"/>
              </w:rPr>
            </w:pPr>
          </w:p>
        </w:tc>
        <w:tc>
          <w:tcPr>
            <w:tcW w:w="702" w:type="pct"/>
            <w:vMerge w:val="continue"/>
            <w:tcBorders>
              <w:top w:val="nil"/>
            </w:tcBorders>
          </w:tcPr>
          <w:p>
            <w:pPr>
              <w:spacing w:line="360" w:lineRule="auto"/>
              <w:jc w:val="left"/>
              <w:rPr>
                <w:color w:val="auto"/>
                <w:highlight w:val="none"/>
              </w:rPr>
            </w:pPr>
          </w:p>
        </w:tc>
        <w:tc>
          <w:tcPr>
            <w:tcW w:w="1413" w:type="pct"/>
          </w:tcPr>
          <w:p>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pPr>
              <w:spacing w:line="360" w:lineRule="auto"/>
              <w:jc w:val="left"/>
              <w:rPr>
                <w:color w:val="auto"/>
                <w:highlight w:val="none"/>
              </w:rPr>
            </w:pPr>
            <w:r>
              <w:rPr>
                <w:color w:val="auto"/>
                <w:highlight w:val="none"/>
              </w:rPr>
              <w:t>41</w:t>
            </w:r>
          </w:p>
        </w:tc>
        <w:tc>
          <w:tcPr>
            <w:tcW w:w="702" w:type="pct"/>
          </w:tcPr>
          <w:p>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pPr>
              <w:spacing w:line="360" w:lineRule="auto"/>
              <w:jc w:val="left"/>
              <w:rPr>
                <w:color w:val="auto"/>
                <w:highlight w:val="none"/>
              </w:rPr>
            </w:pP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pPr>
              <w:spacing w:line="360" w:lineRule="auto"/>
              <w:jc w:val="left"/>
              <w:rPr>
                <w:color w:val="auto"/>
                <w:highlight w:val="none"/>
              </w:rPr>
            </w:pPr>
            <w:r>
              <w:rPr>
                <w:color w:val="auto"/>
                <w:highlight w:val="none"/>
              </w:rPr>
              <w:t>42</w:t>
            </w:r>
          </w:p>
        </w:tc>
        <w:tc>
          <w:tcPr>
            <w:tcW w:w="702" w:type="pct"/>
          </w:tcPr>
          <w:p>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pPr>
              <w:spacing w:line="360" w:lineRule="auto"/>
              <w:jc w:val="left"/>
              <w:rPr>
                <w:color w:val="auto"/>
                <w:highlight w:val="none"/>
              </w:rPr>
            </w:pPr>
          </w:p>
        </w:tc>
        <w:tc>
          <w:tcPr>
            <w:tcW w:w="1460" w:type="pct"/>
          </w:tcPr>
          <w:p>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pPr>
        <w:spacing w:line="360" w:lineRule="auto"/>
        <w:jc w:val="left"/>
        <w:rPr>
          <w:color w:val="auto"/>
          <w:highlight w:val="none"/>
        </w:rPr>
      </w:pPr>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8"/>
        <w:gridCol w:w="2545"/>
        <w:gridCol w:w="1803"/>
        <w:gridCol w:w="19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pPr>
              <w:spacing w:line="360" w:lineRule="auto"/>
              <w:jc w:val="left"/>
              <w:rPr>
                <w:color w:val="auto"/>
                <w:highlight w:val="none"/>
              </w:rPr>
            </w:pPr>
            <w:r>
              <w:rPr>
                <w:color w:val="auto"/>
                <w:highlight w:val="none"/>
              </w:rPr>
              <w:t>43</w:t>
            </w:r>
          </w:p>
        </w:tc>
        <w:tc>
          <w:tcPr>
            <w:tcW w:w="883" w:type="pct"/>
            <w:vMerge w:val="restart"/>
            <w:tcBorders>
              <w:bottom w:val="nil"/>
            </w:tcBorders>
          </w:tcPr>
          <w:p>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pPr>
              <w:spacing w:line="360" w:lineRule="auto"/>
              <w:jc w:val="left"/>
              <w:rPr>
                <w:color w:val="auto"/>
                <w:highlight w:val="none"/>
              </w:rPr>
            </w:pPr>
          </w:p>
        </w:tc>
        <w:tc>
          <w:tcPr>
            <w:tcW w:w="883" w:type="pct"/>
            <w:vMerge w:val="continue"/>
            <w:tcBorders>
              <w:top w:val="nil"/>
              <w:bottom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pPr>
              <w:spacing w:line="360" w:lineRule="auto"/>
              <w:jc w:val="left"/>
              <w:rPr>
                <w:color w:val="auto"/>
                <w:highlight w:val="none"/>
              </w:rPr>
            </w:pPr>
          </w:p>
        </w:tc>
        <w:tc>
          <w:tcPr>
            <w:tcW w:w="883" w:type="pct"/>
            <w:vMerge w:val="continue"/>
            <w:tcBorders>
              <w:top w:val="nil"/>
            </w:tcBorders>
          </w:tcPr>
          <w:p>
            <w:pPr>
              <w:spacing w:line="360" w:lineRule="auto"/>
              <w:jc w:val="left"/>
              <w:rPr>
                <w:color w:val="auto"/>
                <w:highlight w:val="none"/>
              </w:rPr>
            </w:pPr>
          </w:p>
        </w:tc>
        <w:tc>
          <w:tcPr>
            <w:tcW w:w="1531" w:type="pct"/>
          </w:tcPr>
          <w:p>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44</w:t>
            </w:r>
          </w:p>
        </w:tc>
        <w:tc>
          <w:tcPr>
            <w:tcW w:w="883" w:type="pct"/>
          </w:tcPr>
          <w:p>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pPr>
              <w:spacing w:line="360" w:lineRule="auto"/>
              <w:jc w:val="left"/>
              <w:rPr>
                <w:color w:val="auto"/>
                <w:highlight w:val="none"/>
              </w:rPr>
            </w:pPr>
            <w:r>
              <w:rPr>
                <w:color w:val="auto"/>
                <w:highlight w:val="none"/>
              </w:rPr>
              <w:t>45</w:t>
            </w:r>
          </w:p>
        </w:tc>
        <w:tc>
          <w:tcPr>
            <w:tcW w:w="883" w:type="pct"/>
          </w:tcPr>
          <w:p>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pPr>
              <w:spacing w:line="360" w:lineRule="auto"/>
              <w:jc w:val="left"/>
              <w:rPr>
                <w:color w:val="auto"/>
                <w:highlight w:val="none"/>
              </w:rPr>
            </w:pPr>
            <w:r>
              <w:rPr>
                <w:color w:val="auto"/>
                <w:highlight w:val="none"/>
              </w:rPr>
              <w:t>46</w:t>
            </w:r>
          </w:p>
        </w:tc>
        <w:tc>
          <w:tcPr>
            <w:tcW w:w="883" w:type="pct"/>
          </w:tcPr>
          <w:p>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pPr>
              <w:spacing w:line="360" w:lineRule="auto"/>
              <w:jc w:val="left"/>
              <w:rPr>
                <w:color w:val="auto"/>
                <w:highlight w:val="none"/>
              </w:rPr>
            </w:pPr>
            <w:r>
              <w:rPr>
                <w:color w:val="auto"/>
                <w:highlight w:val="none"/>
              </w:rPr>
              <w:t>47</w:t>
            </w:r>
          </w:p>
        </w:tc>
        <w:tc>
          <w:tcPr>
            <w:tcW w:w="883" w:type="pct"/>
          </w:tcPr>
          <w:p>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pPr>
              <w:spacing w:line="360" w:lineRule="auto"/>
              <w:jc w:val="left"/>
              <w:rPr>
                <w:color w:val="auto"/>
                <w:highlight w:val="none"/>
              </w:rPr>
            </w:pPr>
            <w:r>
              <w:rPr>
                <w:color w:val="auto"/>
                <w:highlight w:val="none"/>
              </w:rPr>
              <w:t>48</w:t>
            </w:r>
          </w:p>
        </w:tc>
        <w:tc>
          <w:tcPr>
            <w:tcW w:w="883" w:type="pct"/>
          </w:tcPr>
          <w:p>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pPr>
              <w:spacing w:line="360" w:lineRule="auto"/>
              <w:jc w:val="left"/>
              <w:rPr>
                <w:color w:val="auto"/>
                <w:highlight w:val="none"/>
              </w:rPr>
            </w:pPr>
            <w:r>
              <w:rPr>
                <w:color w:val="auto"/>
                <w:highlight w:val="none"/>
              </w:rPr>
              <w:t>49</w:t>
            </w:r>
          </w:p>
        </w:tc>
        <w:tc>
          <w:tcPr>
            <w:tcW w:w="883" w:type="pct"/>
          </w:tcPr>
          <w:p>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pPr>
              <w:spacing w:line="360" w:lineRule="auto"/>
              <w:jc w:val="left"/>
              <w:rPr>
                <w:color w:val="auto"/>
                <w:highlight w:val="none"/>
              </w:rPr>
            </w:pPr>
            <w:r>
              <w:rPr>
                <w:color w:val="auto"/>
                <w:highlight w:val="none"/>
              </w:rPr>
              <w:t>50</w:t>
            </w:r>
          </w:p>
        </w:tc>
        <w:tc>
          <w:tcPr>
            <w:tcW w:w="883" w:type="pct"/>
          </w:tcPr>
          <w:p>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pPr>
              <w:spacing w:line="360" w:lineRule="auto"/>
              <w:jc w:val="left"/>
              <w:rPr>
                <w:color w:val="auto"/>
                <w:highlight w:val="none"/>
              </w:rPr>
            </w:pPr>
          </w:p>
        </w:tc>
        <w:tc>
          <w:tcPr>
            <w:tcW w:w="1085" w:type="pct"/>
          </w:tcPr>
          <w:p>
            <w:pPr>
              <w:spacing w:line="360" w:lineRule="auto"/>
              <w:jc w:val="left"/>
              <w:rPr>
                <w:color w:val="auto"/>
                <w:highlight w:val="none"/>
              </w:rPr>
            </w:pPr>
          </w:p>
        </w:tc>
        <w:tc>
          <w:tcPr>
            <w:tcW w:w="1165" w:type="pct"/>
          </w:tcPr>
          <w:p>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pPr>
        <w:rPr>
          <w:color w:val="auto"/>
          <w:highlight w:val="none"/>
        </w:rPr>
      </w:pPr>
    </w:p>
    <w:p>
      <w:pPr>
        <w:rPr>
          <w:color w:val="auto"/>
          <w:highlight w:val="none"/>
        </w:rPr>
      </w:pPr>
    </w:p>
    <w:sectPr>
      <w:headerReference r:id="rId10"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firstLine="315" w:firstLineChars="150"/>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lang w:eastAsia="zh-CN"/>
      </w:rPr>
      <w:tab/>
    </w:r>
    <w:r>
      <w:rPr>
        <w:rFonts w:hint="eastAsia"/>
        <w:sz w:val="21"/>
        <w:szCs w:val="21"/>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62</w:t>
                    </w:r>
                    <w:r>
                      <w:fldChar w:fldCharType="end"/>
                    </w:r>
                  </w:p>
                </w:txbxContent>
              </v:textbox>
            </v:shape>
          </w:pict>
        </mc:Fallback>
      </mc:AlternateContent>
    </w:r>
    <w:r>
      <w:t xml:space="preserve"> </w:t>
    </w:r>
    <w:r>
      <w:rPr>
        <w:rFonts w:hint="eastAsia"/>
        <w:lang w:val="en-US" w:eastAsia="zh-CN"/>
      </w:rPr>
      <w:t xml:space="preserve">         </w: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Lines="100" w:afterLines="100" w:line="360" w:lineRule="auto"/>
      <w:jc w:val="both"/>
      <w:rPr>
        <w:rFonts w:ascii="宋体" w:cs="宋体"/>
        <w:b/>
        <w:bC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1">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2">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3">
    <w:nsid w:val="D8DFCB99"/>
    <w:multiLevelType w:val="singleLevel"/>
    <w:tmpl w:val="D8DFCB99"/>
    <w:lvl w:ilvl="0" w:tentative="0">
      <w:start w:val="1"/>
      <w:numFmt w:val="decimal"/>
      <w:lvlText w:val="%1."/>
      <w:lvlJc w:val="left"/>
      <w:pPr>
        <w:tabs>
          <w:tab w:val="left" w:pos="312"/>
        </w:tabs>
      </w:pPr>
    </w:lvl>
  </w:abstractNum>
  <w:abstractNum w:abstractNumId="4">
    <w:nsid w:val="DE9385D2"/>
    <w:multiLevelType w:val="multilevel"/>
    <w:tmpl w:val="DE9385D2"/>
    <w:lvl w:ilvl="0" w:tentative="0">
      <w:start w:val="1"/>
      <w:numFmt w:val="decimal"/>
      <w:lvlText w:val="%1."/>
      <w:lvlJc w:val="left"/>
      <w:pPr>
        <w:ind w:left="579" w:hanging="244"/>
      </w:pPr>
      <w:rPr>
        <w:rFonts w:hint="default" w:ascii="宋体" w:hAnsi="宋体" w:eastAsia="宋体" w:cs="宋体"/>
        <w:b/>
        <w:bCs/>
        <w:i w:val="0"/>
        <w:iCs w:val="0"/>
        <w:spacing w:val="0"/>
        <w:w w:val="99"/>
        <w:sz w:val="22"/>
        <w:szCs w:val="22"/>
      </w:rPr>
    </w:lvl>
    <w:lvl w:ilvl="1" w:tentative="0">
      <w:start w:val="1"/>
      <w:numFmt w:val="decimal"/>
      <w:lvlText w:val="%2."/>
      <w:lvlJc w:val="left"/>
      <w:pPr>
        <w:ind w:left="636" w:hanging="241"/>
      </w:pPr>
      <w:rPr>
        <w:rFonts w:hint="default" w:ascii="宋体" w:hAnsi="宋体" w:eastAsia="宋体" w:cs="宋体"/>
        <w:b w:val="0"/>
        <w:bCs w:val="0"/>
        <w:i w:val="0"/>
        <w:iCs w:val="0"/>
        <w:w w:val="100"/>
        <w:sz w:val="22"/>
        <w:szCs w:val="22"/>
      </w:rPr>
    </w:lvl>
    <w:lvl w:ilvl="2" w:tentative="0">
      <w:start w:val="0"/>
      <w:numFmt w:val="bullet"/>
      <w:lvlText w:val="•"/>
      <w:lvlJc w:val="left"/>
      <w:pPr>
        <w:ind w:left="1683" w:hanging="241"/>
      </w:pPr>
      <w:rPr>
        <w:rFonts w:hint="default"/>
      </w:rPr>
    </w:lvl>
    <w:lvl w:ilvl="3" w:tentative="0">
      <w:start w:val="0"/>
      <w:numFmt w:val="bullet"/>
      <w:lvlText w:val="•"/>
      <w:lvlJc w:val="left"/>
      <w:pPr>
        <w:ind w:left="2726" w:hanging="241"/>
      </w:pPr>
      <w:rPr>
        <w:rFonts w:hint="default"/>
      </w:rPr>
    </w:lvl>
    <w:lvl w:ilvl="4" w:tentative="0">
      <w:start w:val="0"/>
      <w:numFmt w:val="bullet"/>
      <w:lvlText w:val="•"/>
      <w:lvlJc w:val="left"/>
      <w:pPr>
        <w:ind w:left="3770"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856" w:hanging="241"/>
      </w:pPr>
      <w:rPr>
        <w:rFonts w:hint="default"/>
      </w:rPr>
    </w:lvl>
    <w:lvl w:ilvl="7" w:tentative="0">
      <w:start w:val="0"/>
      <w:numFmt w:val="bullet"/>
      <w:lvlText w:val="•"/>
      <w:lvlJc w:val="left"/>
      <w:pPr>
        <w:ind w:left="6900" w:hanging="241"/>
      </w:pPr>
      <w:rPr>
        <w:rFonts w:hint="default"/>
      </w:rPr>
    </w:lvl>
    <w:lvl w:ilvl="8" w:tentative="0">
      <w:start w:val="0"/>
      <w:numFmt w:val="bullet"/>
      <w:lvlText w:val="•"/>
      <w:lvlJc w:val="left"/>
      <w:pPr>
        <w:ind w:left="7943" w:hanging="241"/>
      </w:pPr>
      <w:rPr>
        <w:rFonts w:hint="default"/>
      </w:rPr>
    </w:lvl>
  </w:abstractNum>
  <w:abstractNum w:abstractNumId="5">
    <w:nsid w:val="F365E3D1"/>
    <w:multiLevelType w:val="singleLevel"/>
    <w:tmpl w:val="F365E3D1"/>
    <w:lvl w:ilvl="0" w:tentative="0">
      <w:start w:val="2"/>
      <w:numFmt w:val="chineseCounting"/>
      <w:suff w:val="nothing"/>
      <w:lvlText w:val="%1、"/>
      <w:lvlJc w:val="left"/>
      <w:rPr>
        <w:rFonts w:hint="eastAsia"/>
      </w:rPr>
    </w:lvl>
  </w:abstractNum>
  <w:abstractNum w:abstractNumId="6">
    <w:nsid w:val="1068C811"/>
    <w:multiLevelType w:val="singleLevel"/>
    <w:tmpl w:val="1068C811"/>
    <w:lvl w:ilvl="0" w:tentative="0">
      <w:start w:val="1"/>
      <w:numFmt w:val="decimal"/>
      <w:suff w:val="space"/>
      <w:lvlText w:val="%1."/>
      <w:lvlJc w:val="left"/>
      <w:rPr>
        <w:rFonts w:cs="Times New Roman"/>
      </w:rPr>
    </w:lvl>
  </w:abstractNum>
  <w:abstractNum w:abstractNumId="7">
    <w:nsid w:val="24619331"/>
    <w:multiLevelType w:val="singleLevel"/>
    <w:tmpl w:val="24619331"/>
    <w:lvl w:ilvl="0" w:tentative="0">
      <w:start w:val="1"/>
      <w:numFmt w:val="decimal"/>
      <w:suff w:val="nothing"/>
      <w:lvlText w:val="（%1）"/>
      <w:lvlJc w:val="left"/>
    </w:lvl>
  </w:abstractNum>
  <w:abstractNum w:abstractNumId="8">
    <w:nsid w:val="2554A3B8"/>
    <w:multiLevelType w:val="singleLevel"/>
    <w:tmpl w:val="2554A3B8"/>
    <w:lvl w:ilvl="0" w:tentative="0">
      <w:start w:val="1"/>
      <w:numFmt w:val="decimal"/>
      <w:lvlText w:val="%1."/>
      <w:lvlJc w:val="left"/>
      <w:pPr>
        <w:tabs>
          <w:tab w:val="left" w:pos="312"/>
        </w:tabs>
      </w:pPr>
    </w:lvl>
  </w:abstractNum>
  <w:abstractNum w:abstractNumId="9">
    <w:nsid w:val="2F542411"/>
    <w:multiLevelType w:val="singleLevel"/>
    <w:tmpl w:val="2F542411"/>
    <w:lvl w:ilvl="0" w:tentative="0">
      <w:start w:val="1"/>
      <w:numFmt w:val="upperLetter"/>
      <w:suff w:val="nothing"/>
      <w:lvlText w:val="%1、"/>
      <w:lvlJc w:val="left"/>
    </w:lvl>
  </w:abstractNum>
  <w:abstractNum w:abstractNumId="10">
    <w:nsid w:val="3486C138"/>
    <w:multiLevelType w:val="singleLevel"/>
    <w:tmpl w:val="3486C138"/>
    <w:lvl w:ilvl="0" w:tentative="0">
      <w:start w:val="1"/>
      <w:numFmt w:val="decimal"/>
      <w:suff w:val="nothing"/>
      <w:lvlText w:val="（%1）"/>
      <w:lvlJc w:val="left"/>
      <w:rPr>
        <w:rFonts w:cs="Times New Roman"/>
      </w:rPr>
    </w:lvl>
  </w:abstractNum>
  <w:abstractNum w:abstractNumId="11">
    <w:nsid w:val="426AA2D1"/>
    <w:multiLevelType w:val="singleLevel"/>
    <w:tmpl w:val="426AA2D1"/>
    <w:lvl w:ilvl="0" w:tentative="0">
      <w:start w:val="1"/>
      <w:numFmt w:val="decimal"/>
      <w:lvlText w:val="%1."/>
      <w:lvlJc w:val="left"/>
      <w:pPr>
        <w:tabs>
          <w:tab w:val="left" w:pos="312"/>
        </w:tabs>
      </w:pPr>
    </w:lvl>
  </w:abstractNum>
  <w:abstractNum w:abstractNumId="12">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3">
    <w:nsid w:val="53F3EEF4"/>
    <w:multiLevelType w:val="singleLevel"/>
    <w:tmpl w:val="53F3EEF4"/>
    <w:lvl w:ilvl="0" w:tentative="0">
      <w:start w:val="1"/>
      <w:numFmt w:val="decimal"/>
      <w:suff w:val="nothing"/>
      <w:lvlText w:val="%1、"/>
      <w:lvlJc w:val="left"/>
    </w:lvl>
  </w:abstractNum>
  <w:abstractNum w:abstractNumId="14">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12"/>
  </w:num>
  <w:num w:numId="2">
    <w:abstractNumId w:val="3"/>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3"/>
  </w:num>
  <w:num w:numId="10">
    <w:abstractNumId w:val="8"/>
  </w:num>
  <w:num w:numId="11">
    <w:abstractNumId w:val="7"/>
  </w:num>
  <w:num w:numId="12">
    <w:abstractNumId w:val="5"/>
  </w:num>
  <w:num w:numId="13">
    <w:abstractNumId w:val="1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OTI2YzZlY2Y1YzA2M2NiYzQ3NmMyZWVlZWQ0NjUifQ=="/>
  </w:docVars>
  <w:rsids>
    <w:rsidRoot w:val="6CCC1D1B"/>
    <w:rsid w:val="000B6281"/>
    <w:rsid w:val="00665BAD"/>
    <w:rsid w:val="01042CD0"/>
    <w:rsid w:val="01395070"/>
    <w:rsid w:val="0156352C"/>
    <w:rsid w:val="01F84816"/>
    <w:rsid w:val="02854DA6"/>
    <w:rsid w:val="02B56978"/>
    <w:rsid w:val="02C63366"/>
    <w:rsid w:val="02CF7A3A"/>
    <w:rsid w:val="02DB65A7"/>
    <w:rsid w:val="02E5280C"/>
    <w:rsid w:val="034E1A4E"/>
    <w:rsid w:val="035E4919"/>
    <w:rsid w:val="03810CCF"/>
    <w:rsid w:val="03ED5FC9"/>
    <w:rsid w:val="03FB03BA"/>
    <w:rsid w:val="03FD2384"/>
    <w:rsid w:val="04143B3D"/>
    <w:rsid w:val="043D6C25"/>
    <w:rsid w:val="043F31AA"/>
    <w:rsid w:val="0488132A"/>
    <w:rsid w:val="04BA3DF1"/>
    <w:rsid w:val="057D0931"/>
    <w:rsid w:val="05D62E8D"/>
    <w:rsid w:val="05FB64DB"/>
    <w:rsid w:val="060024AE"/>
    <w:rsid w:val="06103112"/>
    <w:rsid w:val="067601CC"/>
    <w:rsid w:val="069D39AB"/>
    <w:rsid w:val="076A2FDB"/>
    <w:rsid w:val="07BF5EA8"/>
    <w:rsid w:val="07DA01B9"/>
    <w:rsid w:val="07F25F78"/>
    <w:rsid w:val="086A6259"/>
    <w:rsid w:val="0895702F"/>
    <w:rsid w:val="08F301FA"/>
    <w:rsid w:val="099E6AD6"/>
    <w:rsid w:val="09AC5DD3"/>
    <w:rsid w:val="0A0856C6"/>
    <w:rsid w:val="0A5F5B47"/>
    <w:rsid w:val="0A8530D4"/>
    <w:rsid w:val="0A856C30"/>
    <w:rsid w:val="0AA12D94"/>
    <w:rsid w:val="0AB17A25"/>
    <w:rsid w:val="0AD84D58"/>
    <w:rsid w:val="0AFF4C34"/>
    <w:rsid w:val="0B1137D4"/>
    <w:rsid w:val="0B2226D0"/>
    <w:rsid w:val="0B2843B0"/>
    <w:rsid w:val="0B8D20D9"/>
    <w:rsid w:val="0BD63AB0"/>
    <w:rsid w:val="0BF978D5"/>
    <w:rsid w:val="0C2B1A59"/>
    <w:rsid w:val="0C73630C"/>
    <w:rsid w:val="0C7451AE"/>
    <w:rsid w:val="0CC673BF"/>
    <w:rsid w:val="0CE42333"/>
    <w:rsid w:val="0D066349"/>
    <w:rsid w:val="0D2564A8"/>
    <w:rsid w:val="0DA273CD"/>
    <w:rsid w:val="0DC23114"/>
    <w:rsid w:val="0DDB2286"/>
    <w:rsid w:val="0E016238"/>
    <w:rsid w:val="0EBB0830"/>
    <w:rsid w:val="0EC96337"/>
    <w:rsid w:val="0EDB7766"/>
    <w:rsid w:val="0F250FAA"/>
    <w:rsid w:val="10156CA8"/>
    <w:rsid w:val="101A42BE"/>
    <w:rsid w:val="10535D9C"/>
    <w:rsid w:val="10685029"/>
    <w:rsid w:val="10764133"/>
    <w:rsid w:val="10A926FD"/>
    <w:rsid w:val="1131366D"/>
    <w:rsid w:val="118C2F9A"/>
    <w:rsid w:val="11BF511D"/>
    <w:rsid w:val="11CD7AC2"/>
    <w:rsid w:val="120B0362"/>
    <w:rsid w:val="121723F3"/>
    <w:rsid w:val="121D0DB5"/>
    <w:rsid w:val="121E0096"/>
    <w:rsid w:val="12211934"/>
    <w:rsid w:val="12490E8B"/>
    <w:rsid w:val="124B075F"/>
    <w:rsid w:val="125E66E4"/>
    <w:rsid w:val="126B39CE"/>
    <w:rsid w:val="12E14A8F"/>
    <w:rsid w:val="132C6C0E"/>
    <w:rsid w:val="13561AB1"/>
    <w:rsid w:val="138403CC"/>
    <w:rsid w:val="138A62D2"/>
    <w:rsid w:val="13A730FF"/>
    <w:rsid w:val="1444682C"/>
    <w:rsid w:val="14847F58"/>
    <w:rsid w:val="149E563B"/>
    <w:rsid w:val="14DA34ED"/>
    <w:rsid w:val="14F055ED"/>
    <w:rsid w:val="150E0609"/>
    <w:rsid w:val="1534372C"/>
    <w:rsid w:val="15685C72"/>
    <w:rsid w:val="159E5049"/>
    <w:rsid w:val="15EC2259"/>
    <w:rsid w:val="164C6DAB"/>
    <w:rsid w:val="165513CD"/>
    <w:rsid w:val="16585B40"/>
    <w:rsid w:val="16610551"/>
    <w:rsid w:val="1662251B"/>
    <w:rsid w:val="168626AD"/>
    <w:rsid w:val="16BA5EB3"/>
    <w:rsid w:val="170B4961"/>
    <w:rsid w:val="174D31CB"/>
    <w:rsid w:val="17A30EF0"/>
    <w:rsid w:val="17B574AD"/>
    <w:rsid w:val="17B9616B"/>
    <w:rsid w:val="18025D64"/>
    <w:rsid w:val="180E66B2"/>
    <w:rsid w:val="182B52BA"/>
    <w:rsid w:val="18A1732B"/>
    <w:rsid w:val="18D47700"/>
    <w:rsid w:val="18ED3323"/>
    <w:rsid w:val="19053D5D"/>
    <w:rsid w:val="19434886"/>
    <w:rsid w:val="1977008B"/>
    <w:rsid w:val="19792055"/>
    <w:rsid w:val="19A560B8"/>
    <w:rsid w:val="19BD1B7A"/>
    <w:rsid w:val="19D83220"/>
    <w:rsid w:val="19F06A96"/>
    <w:rsid w:val="1B3C0B7D"/>
    <w:rsid w:val="1B3D393E"/>
    <w:rsid w:val="1B994BDB"/>
    <w:rsid w:val="1BED2887"/>
    <w:rsid w:val="1C0323C0"/>
    <w:rsid w:val="1C1918CE"/>
    <w:rsid w:val="1C4E5A1B"/>
    <w:rsid w:val="1C9F1DD3"/>
    <w:rsid w:val="1CFB015B"/>
    <w:rsid w:val="1D6B6159"/>
    <w:rsid w:val="1D7E5E8C"/>
    <w:rsid w:val="1D9B6A3E"/>
    <w:rsid w:val="1DA33B45"/>
    <w:rsid w:val="1DB91C7D"/>
    <w:rsid w:val="1DCF0F79"/>
    <w:rsid w:val="1DFF039E"/>
    <w:rsid w:val="1E276524"/>
    <w:rsid w:val="1EA336D1"/>
    <w:rsid w:val="1EB55657"/>
    <w:rsid w:val="1ED558F8"/>
    <w:rsid w:val="1F433F10"/>
    <w:rsid w:val="1F95570F"/>
    <w:rsid w:val="1FDB2EE6"/>
    <w:rsid w:val="1FE10954"/>
    <w:rsid w:val="20065D2D"/>
    <w:rsid w:val="202820DF"/>
    <w:rsid w:val="204213F3"/>
    <w:rsid w:val="208F215E"/>
    <w:rsid w:val="20DF4E94"/>
    <w:rsid w:val="21331FC1"/>
    <w:rsid w:val="21C422DC"/>
    <w:rsid w:val="21E36C06"/>
    <w:rsid w:val="21FC6C72"/>
    <w:rsid w:val="22141307"/>
    <w:rsid w:val="22230DB0"/>
    <w:rsid w:val="22364F87"/>
    <w:rsid w:val="223E5BEA"/>
    <w:rsid w:val="225E628C"/>
    <w:rsid w:val="22851A6B"/>
    <w:rsid w:val="22A243CB"/>
    <w:rsid w:val="22B569E9"/>
    <w:rsid w:val="22BD7457"/>
    <w:rsid w:val="22C02AA3"/>
    <w:rsid w:val="22D20CB4"/>
    <w:rsid w:val="22D80C0E"/>
    <w:rsid w:val="23403BE4"/>
    <w:rsid w:val="235D4796"/>
    <w:rsid w:val="23C91E2B"/>
    <w:rsid w:val="24402A93"/>
    <w:rsid w:val="248D62D0"/>
    <w:rsid w:val="24D82326"/>
    <w:rsid w:val="255E0351"/>
    <w:rsid w:val="25A530AD"/>
    <w:rsid w:val="25D52D09"/>
    <w:rsid w:val="26153106"/>
    <w:rsid w:val="268C786C"/>
    <w:rsid w:val="26957503"/>
    <w:rsid w:val="26A821CC"/>
    <w:rsid w:val="26AB75C6"/>
    <w:rsid w:val="26E36D60"/>
    <w:rsid w:val="27677991"/>
    <w:rsid w:val="278542BB"/>
    <w:rsid w:val="27A84A9C"/>
    <w:rsid w:val="27BF77CD"/>
    <w:rsid w:val="27DA4607"/>
    <w:rsid w:val="280678EA"/>
    <w:rsid w:val="28096170"/>
    <w:rsid w:val="288F4F38"/>
    <w:rsid w:val="289742A6"/>
    <w:rsid w:val="28C055AB"/>
    <w:rsid w:val="28F434A6"/>
    <w:rsid w:val="29086F52"/>
    <w:rsid w:val="299D756B"/>
    <w:rsid w:val="29B8189D"/>
    <w:rsid w:val="29C349B7"/>
    <w:rsid w:val="2A3F4BF5"/>
    <w:rsid w:val="2A846AAC"/>
    <w:rsid w:val="2AB0164F"/>
    <w:rsid w:val="2ABC6246"/>
    <w:rsid w:val="2ACA0963"/>
    <w:rsid w:val="2AE84E91"/>
    <w:rsid w:val="2AF76522"/>
    <w:rsid w:val="2B475E24"/>
    <w:rsid w:val="2B9F3B9D"/>
    <w:rsid w:val="2BAA2542"/>
    <w:rsid w:val="2BCA4992"/>
    <w:rsid w:val="2BF46A00"/>
    <w:rsid w:val="2C0E0D23"/>
    <w:rsid w:val="2C471B3F"/>
    <w:rsid w:val="2C646B95"/>
    <w:rsid w:val="2C901738"/>
    <w:rsid w:val="2CC31B0E"/>
    <w:rsid w:val="2CE7712B"/>
    <w:rsid w:val="2CF81446"/>
    <w:rsid w:val="2D0D0FDB"/>
    <w:rsid w:val="2DBB4593"/>
    <w:rsid w:val="2DEB6E74"/>
    <w:rsid w:val="2E1D524D"/>
    <w:rsid w:val="2EA119DB"/>
    <w:rsid w:val="2F0401BB"/>
    <w:rsid w:val="2F320885"/>
    <w:rsid w:val="2FB223BC"/>
    <w:rsid w:val="2FDD4C94"/>
    <w:rsid w:val="2FF131D4"/>
    <w:rsid w:val="30226B4B"/>
    <w:rsid w:val="30B637BB"/>
    <w:rsid w:val="30D836AE"/>
    <w:rsid w:val="30DB4CF6"/>
    <w:rsid w:val="313B316A"/>
    <w:rsid w:val="31456F95"/>
    <w:rsid w:val="31AE3364"/>
    <w:rsid w:val="31E00A6C"/>
    <w:rsid w:val="31ED1F65"/>
    <w:rsid w:val="320F1351"/>
    <w:rsid w:val="32110C25"/>
    <w:rsid w:val="321D3A6E"/>
    <w:rsid w:val="325B2637"/>
    <w:rsid w:val="32B90276"/>
    <w:rsid w:val="330445FA"/>
    <w:rsid w:val="334F40FB"/>
    <w:rsid w:val="339E5B16"/>
    <w:rsid w:val="33A61841"/>
    <w:rsid w:val="33BB6DF6"/>
    <w:rsid w:val="33D04B10"/>
    <w:rsid w:val="34403A44"/>
    <w:rsid w:val="34684A32"/>
    <w:rsid w:val="347656B7"/>
    <w:rsid w:val="34A264AC"/>
    <w:rsid w:val="34BE15C4"/>
    <w:rsid w:val="34E95E89"/>
    <w:rsid w:val="34F0546A"/>
    <w:rsid w:val="351D5B33"/>
    <w:rsid w:val="35E87EEF"/>
    <w:rsid w:val="360D3DFA"/>
    <w:rsid w:val="362C1AE2"/>
    <w:rsid w:val="362D1DA6"/>
    <w:rsid w:val="364D069A"/>
    <w:rsid w:val="36A007CA"/>
    <w:rsid w:val="36C56482"/>
    <w:rsid w:val="37716772"/>
    <w:rsid w:val="3772660A"/>
    <w:rsid w:val="37887BDC"/>
    <w:rsid w:val="37BE184F"/>
    <w:rsid w:val="37D67D2A"/>
    <w:rsid w:val="38327B47"/>
    <w:rsid w:val="389425B0"/>
    <w:rsid w:val="38A5656B"/>
    <w:rsid w:val="38D155B2"/>
    <w:rsid w:val="391601B4"/>
    <w:rsid w:val="39643D30"/>
    <w:rsid w:val="399C796E"/>
    <w:rsid w:val="399F745E"/>
    <w:rsid w:val="39C944DB"/>
    <w:rsid w:val="39E84962"/>
    <w:rsid w:val="3A157778"/>
    <w:rsid w:val="3AAF722D"/>
    <w:rsid w:val="3AB111F7"/>
    <w:rsid w:val="3ACF5B21"/>
    <w:rsid w:val="3B0C4680"/>
    <w:rsid w:val="3B20637D"/>
    <w:rsid w:val="3B581673"/>
    <w:rsid w:val="3B702E61"/>
    <w:rsid w:val="3BC60CD2"/>
    <w:rsid w:val="3BD77022"/>
    <w:rsid w:val="3C29300F"/>
    <w:rsid w:val="3C96602F"/>
    <w:rsid w:val="3CDC62D4"/>
    <w:rsid w:val="3DBF59D9"/>
    <w:rsid w:val="3DD57B16"/>
    <w:rsid w:val="3DE82891"/>
    <w:rsid w:val="3DFA1607"/>
    <w:rsid w:val="3E156929"/>
    <w:rsid w:val="3E333F33"/>
    <w:rsid w:val="3E377C66"/>
    <w:rsid w:val="3E4D7A48"/>
    <w:rsid w:val="3E9230EE"/>
    <w:rsid w:val="3EAE5A4E"/>
    <w:rsid w:val="3F5860E5"/>
    <w:rsid w:val="3F7722E4"/>
    <w:rsid w:val="3F7B2E16"/>
    <w:rsid w:val="3F890995"/>
    <w:rsid w:val="3F9F4F42"/>
    <w:rsid w:val="40185875"/>
    <w:rsid w:val="40294FD0"/>
    <w:rsid w:val="402B1824"/>
    <w:rsid w:val="41097E97"/>
    <w:rsid w:val="41160006"/>
    <w:rsid w:val="415D5C35"/>
    <w:rsid w:val="41A04032"/>
    <w:rsid w:val="41D61543"/>
    <w:rsid w:val="41E12488"/>
    <w:rsid w:val="41EC0D67"/>
    <w:rsid w:val="41EF2605"/>
    <w:rsid w:val="42114C71"/>
    <w:rsid w:val="42273E61"/>
    <w:rsid w:val="423B3A9C"/>
    <w:rsid w:val="4249440B"/>
    <w:rsid w:val="426A2D2C"/>
    <w:rsid w:val="43525522"/>
    <w:rsid w:val="438077F3"/>
    <w:rsid w:val="43A318F9"/>
    <w:rsid w:val="43F3462F"/>
    <w:rsid w:val="44501A81"/>
    <w:rsid w:val="44AC2A30"/>
    <w:rsid w:val="44BD69EB"/>
    <w:rsid w:val="45120AE5"/>
    <w:rsid w:val="4517434D"/>
    <w:rsid w:val="45285849"/>
    <w:rsid w:val="4547215D"/>
    <w:rsid w:val="4580244D"/>
    <w:rsid w:val="458A4B1F"/>
    <w:rsid w:val="459D5567"/>
    <w:rsid w:val="45B85B30"/>
    <w:rsid w:val="46027B5A"/>
    <w:rsid w:val="4647558D"/>
    <w:rsid w:val="46D02A05"/>
    <w:rsid w:val="46E14C12"/>
    <w:rsid w:val="47055C12"/>
    <w:rsid w:val="474B6530"/>
    <w:rsid w:val="476D46F8"/>
    <w:rsid w:val="47705F96"/>
    <w:rsid w:val="47A03E00"/>
    <w:rsid w:val="47A14939"/>
    <w:rsid w:val="47B562E3"/>
    <w:rsid w:val="47C36A0E"/>
    <w:rsid w:val="48195DD4"/>
    <w:rsid w:val="48541414"/>
    <w:rsid w:val="48BF2D31"/>
    <w:rsid w:val="48CE7418"/>
    <w:rsid w:val="48EC789E"/>
    <w:rsid w:val="491F5D08"/>
    <w:rsid w:val="49E14F29"/>
    <w:rsid w:val="49EF440A"/>
    <w:rsid w:val="49F20EE5"/>
    <w:rsid w:val="4A301A0D"/>
    <w:rsid w:val="4A3C3144"/>
    <w:rsid w:val="4A54710F"/>
    <w:rsid w:val="4A9C36AB"/>
    <w:rsid w:val="4B5E0F27"/>
    <w:rsid w:val="4C060CE1"/>
    <w:rsid w:val="4C247489"/>
    <w:rsid w:val="4C431ECB"/>
    <w:rsid w:val="4C433C79"/>
    <w:rsid w:val="4C5479B0"/>
    <w:rsid w:val="4CB16E35"/>
    <w:rsid w:val="4CC90623"/>
    <w:rsid w:val="4D115B26"/>
    <w:rsid w:val="4D3D4B6D"/>
    <w:rsid w:val="4D447DD6"/>
    <w:rsid w:val="4D4952BF"/>
    <w:rsid w:val="4D5D520F"/>
    <w:rsid w:val="4D9F3131"/>
    <w:rsid w:val="4DA64B6C"/>
    <w:rsid w:val="4DBB3B00"/>
    <w:rsid w:val="4DDF79D2"/>
    <w:rsid w:val="4E094A4F"/>
    <w:rsid w:val="4E165AE9"/>
    <w:rsid w:val="4E2F2C58"/>
    <w:rsid w:val="4E485577"/>
    <w:rsid w:val="4E48737C"/>
    <w:rsid w:val="4E6F6FA8"/>
    <w:rsid w:val="4EA75C5A"/>
    <w:rsid w:val="4EE259CC"/>
    <w:rsid w:val="4EE631A7"/>
    <w:rsid w:val="4F302BDB"/>
    <w:rsid w:val="4F6A1303"/>
    <w:rsid w:val="4F764366"/>
    <w:rsid w:val="4FBC621D"/>
    <w:rsid w:val="4FC11A85"/>
    <w:rsid w:val="4FC568A1"/>
    <w:rsid w:val="500E7CC5"/>
    <w:rsid w:val="501C315F"/>
    <w:rsid w:val="501E6ED7"/>
    <w:rsid w:val="502E3492"/>
    <w:rsid w:val="50350ED7"/>
    <w:rsid w:val="504E68E8"/>
    <w:rsid w:val="50AF5D81"/>
    <w:rsid w:val="50E83041"/>
    <w:rsid w:val="510760F2"/>
    <w:rsid w:val="51106C21"/>
    <w:rsid w:val="51263104"/>
    <w:rsid w:val="51B80C66"/>
    <w:rsid w:val="51BF1FF4"/>
    <w:rsid w:val="51FF0643"/>
    <w:rsid w:val="526F0D33"/>
    <w:rsid w:val="52787DBA"/>
    <w:rsid w:val="52C23008"/>
    <w:rsid w:val="52D03D8D"/>
    <w:rsid w:val="52E50EA7"/>
    <w:rsid w:val="534E6397"/>
    <w:rsid w:val="541008E5"/>
    <w:rsid w:val="5414112F"/>
    <w:rsid w:val="54183C3E"/>
    <w:rsid w:val="543550AF"/>
    <w:rsid w:val="54574766"/>
    <w:rsid w:val="54AA4020"/>
    <w:rsid w:val="54D1276A"/>
    <w:rsid w:val="552A1E7F"/>
    <w:rsid w:val="5540047B"/>
    <w:rsid w:val="55826B5A"/>
    <w:rsid w:val="5583158B"/>
    <w:rsid w:val="5588094F"/>
    <w:rsid w:val="55CB0FAC"/>
    <w:rsid w:val="55CE45EF"/>
    <w:rsid w:val="56301712"/>
    <w:rsid w:val="566118CC"/>
    <w:rsid w:val="5717642E"/>
    <w:rsid w:val="575256B8"/>
    <w:rsid w:val="575D6537"/>
    <w:rsid w:val="576066BE"/>
    <w:rsid w:val="577675F9"/>
    <w:rsid w:val="577B69BD"/>
    <w:rsid w:val="57A579F3"/>
    <w:rsid w:val="57CE2EBC"/>
    <w:rsid w:val="57D31D9D"/>
    <w:rsid w:val="580E0C05"/>
    <w:rsid w:val="581C4403"/>
    <w:rsid w:val="58904F59"/>
    <w:rsid w:val="58C12AF6"/>
    <w:rsid w:val="592762E1"/>
    <w:rsid w:val="59305585"/>
    <w:rsid w:val="59510812"/>
    <w:rsid w:val="595353A2"/>
    <w:rsid w:val="5978648C"/>
    <w:rsid w:val="5A042C75"/>
    <w:rsid w:val="5A137381"/>
    <w:rsid w:val="5A780A25"/>
    <w:rsid w:val="5A8262B5"/>
    <w:rsid w:val="5A900D5F"/>
    <w:rsid w:val="5AF730C2"/>
    <w:rsid w:val="5B5C6B06"/>
    <w:rsid w:val="5B946295"/>
    <w:rsid w:val="5BA26C0E"/>
    <w:rsid w:val="5BC72888"/>
    <w:rsid w:val="5C076A71"/>
    <w:rsid w:val="5C245875"/>
    <w:rsid w:val="5C294C3A"/>
    <w:rsid w:val="5C3163EC"/>
    <w:rsid w:val="5C447CC6"/>
    <w:rsid w:val="5C616DD3"/>
    <w:rsid w:val="5C78796F"/>
    <w:rsid w:val="5C790656"/>
    <w:rsid w:val="5D027239"/>
    <w:rsid w:val="5D573A29"/>
    <w:rsid w:val="5E272947"/>
    <w:rsid w:val="5E481638"/>
    <w:rsid w:val="5E7919F9"/>
    <w:rsid w:val="5E864BBA"/>
    <w:rsid w:val="5ED06A86"/>
    <w:rsid w:val="5EEC63F2"/>
    <w:rsid w:val="5F0B0F9E"/>
    <w:rsid w:val="5F13572D"/>
    <w:rsid w:val="5F296CFF"/>
    <w:rsid w:val="5F3C2ED6"/>
    <w:rsid w:val="5F772160"/>
    <w:rsid w:val="600A6B30"/>
    <w:rsid w:val="60234096"/>
    <w:rsid w:val="609B00D0"/>
    <w:rsid w:val="609C06B7"/>
    <w:rsid w:val="61646714"/>
    <w:rsid w:val="619458FD"/>
    <w:rsid w:val="61A60ADB"/>
    <w:rsid w:val="61E17D65"/>
    <w:rsid w:val="624F1172"/>
    <w:rsid w:val="62854B94"/>
    <w:rsid w:val="62D358FF"/>
    <w:rsid w:val="632653D9"/>
    <w:rsid w:val="634C47E8"/>
    <w:rsid w:val="637A3FCD"/>
    <w:rsid w:val="638D707F"/>
    <w:rsid w:val="63A332E7"/>
    <w:rsid w:val="63FE69AC"/>
    <w:rsid w:val="64195594"/>
    <w:rsid w:val="643E324C"/>
    <w:rsid w:val="64BB2AEF"/>
    <w:rsid w:val="64DE67DD"/>
    <w:rsid w:val="64F41B5D"/>
    <w:rsid w:val="6545060B"/>
    <w:rsid w:val="6582360D"/>
    <w:rsid w:val="65FF4C5D"/>
    <w:rsid w:val="665E57F4"/>
    <w:rsid w:val="67123833"/>
    <w:rsid w:val="67241AA7"/>
    <w:rsid w:val="67281F92"/>
    <w:rsid w:val="673144D8"/>
    <w:rsid w:val="674768BC"/>
    <w:rsid w:val="674C7A2E"/>
    <w:rsid w:val="679F11A6"/>
    <w:rsid w:val="67C73559"/>
    <w:rsid w:val="67E4235D"/>
    <w:rsid w:val="68260593"/>
    <w:rsid w:val="6850354E"/>
    <w:rsid w:val="685F3791"/>
    <w:rsid w:val="686134C7"/>
    <w:rsid w:val="68882CE8"/>
    <w:rsid w:val="68E85E7D"/>
    <w:rsid w:val="6907076B"/>
    <w:rsid w:val="691A0A26"/>
    <w:rsid w:val="693D5649"/>
    <w:rsid w:val="696574CD"/>
    <w:rsid w:val="69AB38CC"/>
    <w:rsid w:val="6A1D3904"/>
    <w:rsid w:val="6A7B27A9"/>
    <w:rsid w:val="6ABA5FF7"/>
    <w:rsid w:val="6AD93CCF"/>
    <w:rsid w:val="6AE82881"/>
    <w:rsid w:val="6AEF704E"/>
    <w:rsid w:val="6B036F9E"/>
    <w:rsid w:val="6B20545A"/>
    <w:rsid w:val="6B264A3A"/>
    <w:rsid w:val="6B3B6738"/>
    <w:rsid w:val="6B68554D"/>
    <w:rsid w:val="6B8974A3"/>
    <w:rsid w:val="6BAE6F0A"/>
    <w:rsid w:val="6BE01F8A"/>
    <w:rsid w:val="6C25027B"/>
    <w:rsid w:val="6C44161C"/>
    <w:rsid w:val="6CCC1D1B"/>
    <w:rsid w:val="6D167479"/>
    <w:rsid w:val="6D2356D5"/>
    <w:rsid w:val="6D2646F7"/>
    <w:rsid w:val="6D5E670D"/>
    <w:rsid w:val="6DA560EA"/>
    <w:rsid w:val="6DE3690D"/>
    <w:rsid w:val="6DF36E56"/>
    <w:rsid w:val="6E0252EB"/>
    <w:rsid w:val="6E0A23F1"/>
    <w:rsid w:val="6E1D46BB"/>
    <w:rsid w:val="6EA37EDF"/>
    <w:rsid w:val="6EB760D5"/>
    <w:rsid w:val="6EB84D6F"/>
    <w:rsid w:val="6EBD1290"/>
    <w:rsid w:val="6EE45C9F"/>
    <w:rsid w:val="6EFC61DE"/>
    <w:rsid w:val="6F103A37"/>
    <w:rsid w:val="6F433AAD"/>
    <w:rsid w:val="6F4A6F49"/>
    <w:rsid w:val="6F5C6C7D"/>
    <w:rsid w:val="6FB865A9"/>
    <w:rsid w:val="6FCC795E"/>
    <w:rsid w:val="6FCF56A0"/>
    <w:rsid w:val="6FD827A7"/>
    <w:rsid w:val="7036571F"/>
    <w:rsid w:val="705F07D2"/>
    <w:rsid w:val="70B56644"/>
    <w:rsid w:val="70F52EE5"/>
    <w:rsid w:val="710E12C0"/>
    <w:rsid w:val="719324B2"/>
    <w:rsid w:val="71A52B5D"/>
    <w:rsid w:val="71BE3C1E"/>
    <w:rsid w:val="722F2426"/>
    <w:rsid w:val="725974A3"/>
    <w:rsid w:val="726E2F4F"/>
    <w:rsid w:val="72D919F1"/>
    <w:rsid w:val="73012015"/>
    <w:rsid w:val="731004AA"/>
    <w:rsid w:val="733B7C71"/>
    <w:rsid w:val="7342122D"/>
    <w:rsid w:val="73614861"/>
    <w:rsid w:val="7374041D"/>
    <w:rsid w:val="73942E89"/>
    <w:rsid w:val="739629B5"/>
    <w:rsid w:val="73B91F3F"/>
    <w:rsid w:val="742D0BE7"/>
    <w:rsid w:val="746A5998"/>
    <w:rsid w:val="7491469F"/>
    <w:rsid w:val="74956EB9"/>
    <w:rsid w:val="74A0585D"/>
    <w:rsid w:val="74CB28DA"/>
    <w:rsid w:val="7537044B"/>
    <w:rsid w:val="759E1D9D"/>
    <w:rsid w:val="75A241B6"/>
    <w:rsid w:val="75F220E9"/>
    <w:rsid w:val="76893729"/>
    <w:rsid w:val="76CA730F"/>
    <w:rsid w:val="76DA5057"/>
    <w:rsid w:val="77626DFA"/>
    <w:rsid w:val="77732F67"/>
    <w:rsid w:val="77A3571E"/>
    <w:rsid w:val="77A45665"/>
    <w:rsid w:val="77B77146"/>
    <w:rsid w:val="77B80A62"/>
    <w:rsid w:val="77DE08BF"/>
    <w:rsid w:val="77E12415"/>
    <w:rsid w:val="781F7B88"/>
    <w:rsid w:val="78270C1F"/>
    <w:rsid w:val="784D3606"/>
    <w:rsid w:val="785227EC"/>
    <w:rsid w:val="7881167C"/>
    <w:rsid w:val="78A05E2C"/>
    <w:rsid w:val="78BF6934"/>
    <w:rsid w:val="78D02DFD"/>
    <w:rsid w:val="78D21D5D"/>
    <w:rsid w:val="790939D1"/>
    <w:rsid w:val="79B2253B"/>
    <w:rsid w:val="79B2594A"/>
    <w:rsid w:val="79B53B59"/>
    <w:rsid w:val="7A6A1F9F"/>
    <w:rsid w:val="7AE446F6"/>
    <w:rsid w:val="7B195B51"/>
    <w:rsid w:val="7B2C1BF9"/>
    <w:rsid w:val="7B42141C"/>
    <w:rsid w:val="7B7D06A6"/>
    <w:rsid w:val="7B937896"/>
    <w:rsid w:val="7BB56B01"/>
    <w:rsid w:val="7BB75966"/>
    <w:rsid w:val="7C0E12FE"/>
    <w:rsid w:val="7CA10D08"/>
    <w:rsid w:val="7CA67789"/>
    <w:rsid w:val="7CBC6FAC"/>
    <w:rsid w:val="7D3E3E65"/>
    <w:rsid w:val="7D4C20DE"/>
    <w:rsid w:val="7DB57F98"/>
    <w:rsid w:val="7DC51384"/>
    <w:rsid w:val="7DD93BCA"/>
    <w:rsid w:val="7DEB7B49"/>
    <w:rsid w:val="7E094473"/>
    <w:rsid w:val="7EB0669D"/>
    <w:rsid w:val="7F1E7AAB"/>
    <w:rsid w:val="7F270A21"/>
    <w:rsid w:val="7F2A72D7"/>
    <w:rsid w:val="7F2E23E3"/>
    <w:rsid w:val="7F736048"/>
    <w:rsid w:val="7F7E5CC6"/>
    <w:rsid w:val="7FEE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spacing w:line="360" w:lineRule="auto"/>
      <w:jc w:val="center"/>
      <w:outlineLvl w:val="0"/>
    </w:pPr>
    <w:rPr>
      <w:b/>
      <w:kern w:val="44"/>
      <w:sz w:val="32"/>
      <w:szCs w:val="20"/>
    </w:rPr>
  </w:style>
  <w:style w:type="paragraph" w:styleId="3">
    <w:name w:val="heading 2"/>
    <w:basedOn w:val="1"/>
    <w:next w:val="1"/>
    <w:link w:val="29"/>
    <w:qFormat/>
    <w:uiPriority w:val="99"/>
    <w:pPr>
      <w:keepNext/>
      <w:keepLines/>
      <w:spacing w:line="360" w:lineRule="auto"/>
      <w:jc w:val="left"/>
      <w:outlineLvl w:val="1"/>
    </w:pPr>
    <w:rPr>
      <w:rFonts w:ascii="Arial" w:hAnsi="Arial"/>
      <w:b/>
      <w:sz w:val="24"/>
      <w:szCs w:val="20"/>
    </w:rPr>
  </w:style>
  <w:style w:type="paragraph" w:styleId="4">
    <w:name w:val="heading 3"/>
    <w:basedOn w:val="1"/>
    <w:next w:val="1"/>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next w:val="8"/>
    <w:autoRedefine/>
    <w:qFormat/>
    <w:uiPriority w:val="99"/>
    <w:pPr>
      <w:spacing w:after="120"/>
    </w:pPr>
    <w:rPr>
      <w:sz w:val="24"/>
      <w:szCs w:val="20"/>
    </w:rPr>
  </w:style>
  <w:style w:type="paragraph" w:customStyle="1" w:styleId="8">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9">
    <w:name w:val="Body Text Indent"/>
    <w:basedOn w:val="1"/>
    <w:next w:val="10"/>
    <w:autoRedefine/>
    <w:qFormat/>
    <w:uiPriority w:val="99"/>
    <w:pPr>
      <w:spacing w:after="120"/>
      <w:ind w:left="420" w:leftChars="200"/>
    </w:pPr>
    <w:rPr>
      <w:sz w:val="24"/>
      <w:szCs w:val="20"/>
    </w:rPr>
  </w:style>
  <w:style w:type="paragraph" w:styleId="10">
    <w:name w:val="envelope return"/>
    <w:basedOn w:val="1"/>
    <w:autoRedefine/>
    <w:qFormat/>
    <w:uiPriority w:val="99"/>
    <w:pPr>
      <w:snapToGrid w:val="0"/>
      <w:jc w:val="left"/>
    </w:pPr>
    <w:rPr>
      <w:rFonts w:ascii="Arial" w:hAnsi="Arial" w:cs="黑体"/>
      <w:kern w:val="0"/>
      <w:sz w:val="22"/>
      <w:szCs w:val="22"/>
      <w:lang w:eastAsia="en-US"/>
    </w:rPr>
  </w:style>
  <w:style w:type="paragraph" w:styleId="11">
    <w:name w:val="List 2"/>
    <w:basedOn w:val="1"/>
    <w:autoRedefine/>
    <w:qFormat/>
    <w:uiPriority w:val="99"/>
    <w:pPr>
      <w:ind w:left="100" w:leftChars="200" w:hanging="200" w:hangingChars="200"/>
    </w:pPr>
  </w:style>
  <w:style w:type="paragraph" w:styleId="12">
    <w:name w:val="Block Text"/>
    <w:basedOn w:val="1"/>
    <w:autoRedefine/>
    <w:qFormat/>
    <w:uiPriority w:val="99"/>
    <w:pPr>
      <w:spacing w:after="120"/>
      <w:ind w:left="1440" w:leftChars="700" w:right="1440" w:rightChars="700"/>
    </w:pPr>
  </w:style>
  <w:style w:type="paragraph" w:styleId="13">
    <w:name w:val="Plain Text"/>
    <w:basedOn w:val="1"/>
    <w:autoRedefine/>
    <w:qFormat/>
    <w:uiPriority w:val="99"/>
    <w:rPr>
      <w:rFonts w:ascii="宋体" w:hAnsi="Courier New"/>
      <w:szCs w:val="20"/>
    </w:rPr>
  </w:style>
  <w:style w:type="paragraph" w:styleId="14">
    <w:name w:val="Date"/>
    <w:basedOn w:val="1"/>
    <w:next w:val="1"/>
    <w:unhideWhenUsed/>
    <w:qFormat/>
    <w:uiPriority w:val="99"/>
    <w:pPr>
      <w:tabs>
        <w:tab w:val="left" w:pos="420"/>
      </w:tabs>
      <w:ind w:left="100" w:leftChars="2500"/>
    </w:pPr>
  </w:style>
  <w:style w:type="paragraph" w:styleId="15">
    <w:name w:val="Body Text Indent 2"/>
    <w:basedOn w:val="1"/>
    <w:next w:val="1"/>
    <w:autoRedefine/>
    <w:qFormat/>
    <w:uiPriority w:val="99"/>
    <w:pPr>
      <w:spacing w:after="120" w:line="480" w:lineRule="auto"/>
      <w:ind w:left="420" w:leftChars="200"/>
    </w:pPr>
    <w:rPr>
      <w:sz w:val="24"/>
      <w:szCs w:val="20"/>
    </w:rPr>
  </w:style>
  <w:style w:type="paragraph" w:styleId="16">
    <w:name w:val="footer"/>
    <w:basedOn w:val="1"/>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99"/>
    <w:pPr>
      <w:spacing w:line="360" w:lineRule="auto"/>
    </w:pPr>
    <w:rPr>
      <w:b/>
      <w:sz w:val="28"/>
    </w:rPr>
  </w:style>
  <w:style w:type="paragraph" w:styleId="19">
    <w:name w:val="List 5"/>
    <w:basedOn w:val="1"/>
    <w:autoRedefine/>
    <w:qFormat/>
    <w:uiPriority w:val="99"/>
    <w:pPr>
      <w:ind w:left="2100" w:hanging="420"/>
    </w:pPr>
    <w:rPr>
      <w:rFonts w:eastAsia="楷体_GB2312"/>
      <w:sz w:val="32"/>
      <w:szCs w:val="20"/>
    </w:rPr>
  </w:style>
  <w:style w:type="paragraph" w:styleId="20">
    <w:name w:val="toc 2"/>
    <w:basedOn w:val="1"/>
    <w:next w:val="1"/>
    <w:autoRedefine/>
    <w:qFormat/>
    <w:uiPriority w:val="99"/>
    <w:pPr>
      <w:spacing w:line="360" w:lineRule="auto"/>
    </w:pPr>
    <w:rPr>
      <w:sz w:val="28"/>
    </w:rPr>
  </w:style>
  <w:style w:type="paragraph" w:styleId="21">
    <w:name w:val="Body Text First Indent"/>
    <w:basedOn w:val="7"/>
    <w:next w:val="1"/>
    <w:autoRedefine/>
    <w:qFormat/>
    <w:uiPriority w:val="99"/>
    <w:pPr>
      <w:ind w:firstLine="420"/>
    </w:pPr>
    <w:rPr>
      <w:rFonts w:eastAsia="楷体_GB2312"/>
      <w:sz w:val="32"/>
    </w:rPr>
  </w:style>
  <w:style w:type="paragraph" w:styleId="22">
    <w:name w:val="Body Text First Indent 2"/>
    <w:basedOn w:val="9"/>
    <w:next w:val="6"/>
    <w:autoRedefine/>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basedOn w:val="25"/>
    <w:qFormat/>
    <w:uiPriority w:val="0"/>
    <w:rPr>
      <w:color w:val="0000FF"/>
      <w:u w:val="single"/>
    </w:rPr>
  </w:style>
  <w:style w:type="character" w:customStyle="1" w:styleId="27">
    <w:name w:val="Heading 1 Char"/>
    <w:basedOn w:val="25"/>
    <w:link w:val="2"/>
    <w:autoRedefine/>
    <w:qFormat/>
    <w:locked/>
    <w:uiPriority w:val="99"/>
    <w:rPr>
      <w:b/>
      <w:kern w:val="44"/>
      <w:sz w:val="32"/>
      <w:szCs w:val="20"/>
    </w:rPr>
  </w:style>
  <w:style w:type="paragraph" w:customStyle="1" w:styleId="28">
    <w:name w:val="Table Paragraph"/>
    <w:basedOn w:val="1"/>
    <w:autoRedefine/>
    <w:qFormat/>
    <w:uiPriority w:val="99"/>
    <w:rPr>
      <w:sz w:val="24"/>
    </w:rPr>
  </w:style>
  <w:style w:type="character" w:customStyle="1" w:styleId="29">
    <w:name w:val="Heading 2 Char"/>
    <w:basedOn w:val="25"/>
    <w:link w:val="3"/>
    <w:autoRedefine/>
    <w:qFormat/>
    <w:locked/>
    <w:uiPriority w:val="99"/>
    <w:rPr>
      <w:rFonts w:ascii="Arial" w:hAnsi="Arial"/>
      <w:b/>
      <w:sz w:val="24"/>
      <w:szCs w:val="20"/>
    </w:rPr>
  </w:style>
  <w:style w:type="character" w:customStyle="1" w:styleId="30">
    <w:name w:val="Char Char11"/>
    <w:autoRedefine/>
    <w:qFormat/>
    <w:uiPriority w:val="99"/>
    <w:rPr>
      <w:kern w:val="2"/>
      <w:sz w:val="18"/>
    </w:rPr>
  </w:style>
  <w:style w:type="paragraph" w:styleId="31">
    <w:name w:val="List Paragraph"/>
    <w:basedOn w:val="1"/>
    <w:autoRedefine/>
    <w:qFormat/>
    <w:uiPriority w:val="99"/>
    <w:pPr>
      <w:ind w:firstLine="420" w:firstLineChars="200"/>
    </w:pPr>
    <w:rPr>
      <w:rFonts w:ascii="Calibri" w:hAnsi="Calibri"/>
      <w:szCs w:val="22"/>
    </w:rPr>
  </w:style>
  <w:style w:type="character" w:customStyle="1" w:styleId="32">
    <w:name w:val="标题 3 Char1"/>
    <w:autoRedefine/>
    <w:qFormat/>
    <w:locked/>
    <w:uiPriority w:val="99"/>
    <w:rPr>
      <w:rFonts w:ascii="Times New Roman" w:hAnsi="Times New Roman" w:eastAsia="宋体"/>
      <w:b/>
      <w:kern w:val="2"/>
      <w:sz w:val="28"/>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 w:type="character" w:customStyle="1" w:styleId="35">
    <w:name w:val="font51"/>
    <w:basedOn w:val="25"/>
    <w:qFormat/>
    <w:uiPriority w:val="0"/>
    <w:rPr>
      <w:rFonts w:hint="eastAsia" w:ascii="宋体" w:hAnsi="宋体" w:eastAsia="宋体" w:cs="宋体"/>
      <w:b/>
      <w:bCs/>
      <w:color w:val="000000"/>
      <w:sz w:val="21"/>
      <w:szCs w:val="21"/>
      <w:u w:val="none"/>
    </w:rPr>
  </w:style>
  <w:style w:type="character" w:customStyle="1" w:styleId="36">
    <w:name w:val="font21"/>
    <w:basedOn w:val="2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104</Pages>
  <Words>47171</Words>
  <Characters>51303</Characters>
  <Lines>0</Lines>
  <Paragraphs>0</Paragraphs>
  <TotalTime>13</TotalTime>
  <ScaleCrop>false</ScaleCrop>
  <LinksUpToDate>false</LinksUpToDate>
  <CharactersWithSpaces>53654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申连鹤</cp:lastModifiedBy>
  <cp:lastPrinted>2024-05-30T04:11:00Z</cp:lastPrinted>
  <dcterms:modified xsi:type="dcterms:W3CDTF">2024-07-15T07:02:55Z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1300A2F02D8B48AAA3B28CE57CE4C240_13</vt:lpwstr>
  </property>
</Properties>
</file>