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68BE6">
      <w:pPr>
        <w:spacing w:line="360" w:lineRule="auto"/>
        <w:rPr>
          <w:rFonts w:ascii="宋体" w:cs="宋体"/>
          <w:b/>
          <w:color w:val="auto"/>
          <w:sz w:val="52"/>
          <w:szCs w:val="52"/>
          <w:highlight w:val="none"/>
        </w:rPr>
      </w:pPr>
      <w:bookmarkStart w:id="0" w:name="_Toc22804073"/>
      <w:bookmarkEnd w:id="0"/>
    </w:p>
    <w:p w14:paraId="4544179F">
      <w:pPr>
        <w:spacing w:line="360" w:lineRule="auto"/>
        <w:jc w:val="center"/>
        <w:rPr>
          <w:rFonts w:hint="eastAsia" w:ascii="宋体" w:hAnsi="宋体" w:eastAsia="宋体" w:cs="宋体"/>
          <w:b/>
          <w:color w:val="auto"/>
          <w:sz w:val="30"/>
          <w:szCs w:val="30"/>
          <w:highlight w:val="none"/>
        </w:rPr>
      </w:pPr>
      <w:r>
        <w:rPr>
          <w:rFonts w:hint="eastAsia" w:ascii="宋体" w:cs="宋体"/>
          <w:b/>
          <w:color w:val="auto"/>
          <w:sz w:val="44"/>
          <w:szCs w:val="44"/>
          <w:highlight w:val="none"/>
          <w:lang w:eastAsia="zh-CN"/>
        </w:rPr>
        <w:t>平顶山市消防救援支队河南省消防救援总队“自然灾害应急能力提升工程”平顶山支队装备建设项目（三次）</w:t>
      </w:r>
    </w:p>
    <w:p w14:paraId="574238AF">
      <w:pPr>
        <w:spacing w:line="360" w:lineRule="auto"/>
        <w:jc w:val="center"/>
        <w:rPr>
          <w:rFonts w:hint="eastAsia" w:ascii="宋体" w:hAnsi="宋体" w:eastAsia="宋体" w:cs="宋体"/>
          <w:b/>
          <w:color w:val="auto"/>
          <w:sz w:val="30"/>
          <w:szCs w:val="30"/>
          <w:highlight w:val="none"/>
          <w:lang w:eastAsia="zh-CN"/>
        </w:rPr>
      </w:pPr>
    </w:p>
    <w:p w14:paraId="3F2A9956">
      <w:pPr>
        <w:spacing w:line="360" w:lineRule="auto"/>
        <w:jc w:val="center"/>
        <w:rPr>
          <w:rFonts w:hint="eastAsia" w:ascii="宋体" w:hAnsi="宋体" w:eastAsia="宋体" w:cs="宋体"/>
          <w:b/>
          <w:color w:val="auto"/>
          <w:sz w:val="30"/>
          <w:szCs w:val="30"/>
          <w:highlight w:val="none"/>
        </w:rPr>
      </w:pPr>
    </w:p>
    <w:p w14:paraId="64A9F79C">
      <w:pPr>
        <w:spacing w:line="360" w:lineRule="auto"/>
        <w:jc w:val="center"/>
        <w:rPr>
          <w:rFonts w:hint="eastAsia" w:ascii="宋体" w:hAnsi="宋体" w:eastAsia="宋体" w:cs="宋体"/>
          <w:b/>
          <w:color w:val="auto"/>
          <w:sz w:val="30"/>
          <w:szCs w:val="30"/>
          <w:highlight w:val="none"/>
        </w:rPr>
      </w:pPr>
    </w:p>
    <w:p w14:paraId="2AA89CC3">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w:t>
      </w:r>
      <w:r>
        <w:rPr>
          <w:rFonts w:hint="eastAsia" w:ascii="宋体" w:hAnsi="宋体" w:cs="宋体"/>
          <w:b/>
          <w:color w:val="auto"/>
          <w:sz w:val="44"/>
          <w:szCs w:val="44"/>
          <w:highlight w:val="none"/>
          <w:lang w:val="en-US" w:eastAsia="zh-CN"/>
        </w:rPr>
        <w:t>包6、包9</w:t>
      </w:r>
      <w:r>
        <w:rPr>
          <w:rFonts w:hint="eastAsia" w:ascii="宋体" w:hAnsi="宋体" w:cs="宋体"/>
          <w:b/>
          <w:color w:val="auto"/>
          <w:sz w:val="44"/>
          <w:szCs w:val="44"/>
          <w:highlight w:val="none"/>
          <w:lang w:eastAsia="zh-CN"/>
        </w:rPr>
        <w:t>）</w:t>
      </w:r>
    </w:p>
    <w:p w14:paraId="7D68F8F2">
      <w:pPr>
        <w:jc w:val="center"/>
        <w:rPr>
          <w:rFonts w:hint="eastAsia" w:ascii="宋体" w:hAnsi="宋体" w:eastAsia="宋体" w:cs="宋体"/>
          <w:b/>
          <w:color w:val="auto"/>
          <w:sz w:val="130"/>
          <w:szCs w:val="130"/>
          <w:highlight w:val="none"/>
        </w:rPr>
      </w:pPr>
      <w:r>
        <w:rPr>
          <w:rFonts w:hint="eastAsia" w:ascii="宋体" w:hAnsi="宋体" w:eastAsia="宋体" w:cs="宋体"/>
          <w:b/>
          <w:color w:val="auto"/>
          <w:sz w:val="130"/>
          <w:szCs w:val="130"/>
          <w:highlight w:val="none"/>
        </w:rPr>
        <w:t>招标文件</w:t>
      </w:r>
    </w:p>
    <w:p w14:paraId="17A21454">
      <w:pPr>
        <w:spacing w:line="360" w:lineRule="auto"/>
        <w:jc w:val="center"/>
        <w:rPr>
          <w:rFonts w:hint="default" w:ascii="宋体" w:eastAsia="宋体" w:cs="宋体"/>
          <w:b/>
          <w:color w:val="auto"/>
          <w:sz w:val="30"/>
          <w:szCs w:val="30"/>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val="en-US" w:eastAsia="zh-CN"/>
        </w:rPr>
        <w:t xml:space="preserve"> 平采招标-2024-35</w:t>
      </w:r>
    </w:p>
    <w:p w14:paraId="0BF1DC56">
      <w:pPr>
        <w:pStyle w:val="10"/>
        <w:spacing w:line="360" w:lineRule="auto"/>
        <w:ind w:left="0" w:leftChars="0" w:right="31680"/>
        <w:rPr>
          <w:rFonts w:ascii="宋体" w:cs="宋体"/>
          <w:b/>
          <w:color w:val="auto"/>
          <w:sz w:val="30"/>
          <w:szCs w:val="30"/>
          <w:highlight w:val="none"/>
        </w:rPr>
      </w:pPr>
    </w:p>
    <w:p w14:paraId="674C0141">
      <w:pPr>
        <w:pStyle w:val="10"/>
        <w:spacing w:line="360" w:lineRule="auto"/>
        <w:ind w:left="0" w:leftChars="0" w:right="31680"/>
        <w:rPr>
          <w:rFonts w:ascii="宋体" w:cs="宋体"/>
          <w:b/>
          <w:color w:val="auto"/>
          <w:sz w:val="30"/>
          <w:szCs w:val="30"/>
          <w:highlight w:val="none"/>
        </w:rPr>
      </w:pPr>
    </w:p>
    <w:p w14:paraId="0C89B371">
      <w:pPr>
        <w:pStyle w:val="10"/>
        <w:spacing w:line="360" w:lineRule="auto"/>
        <w:ind w:left="0" w:leftChars="0" w:right="31680"/>
        <w:rPr>
          <w:rFonts w:ascii="宋体" w:cs="宋体"/>
          <w:b/>
          <w:color w:val="auto"/>
          <w:sz w:val="30"/>
          <w:szCs w:val="30"/>
          <w:highlight w:val="none"/>
        </w:rPr>
      </w:pPr>
    </w:p>
    <w:p w14:paraId="52C9459C">
      <w:pPr>
        <w:pStyle w:val="10"/>
        <w:spacing w:line="360" w:lineRule="auto"/>
        <w:ind w:left="0" w:leftChars="0" w:right="31680"/>
        <w:rPr>
          <w:rFonts w:ascii="宋体" w:cs="宋体"/>
          <w:b/>
          <w:color w:val="auto"/>
          <w:sz w:val="30"/>
          <w:szCs w:val="30"/>
          <w:highlight w:val="none"/>
        </w:rPr>
      </w:pPr>
    </w:p>
    <w:p w14:paraId="0D9FA450">
      <w:pPr>
        <w:spacing w:line="360" w:lineRule="auto"/>
        <w:rPr>
          <w:rFonts w:ascii="宋体" w:cs="宋体"/>
          <w:b/>
          <w:color w:val="auto"/>
          <w:sz w:val="30"/>
          <w:szCs w:val="30"/>
          <w:highlight w:val="none"/>
        </w:rPr>
      </w:pPr>
    </w:p>
    <w:p w14:paraId="43E1894D">
      <w:pPr>
        <w:spacing w:line="360" w:lineRule="auto"/>
        <w:ind w:firstLine="900" w:firstLineChars="300"/>
        <w:jc w:val="left"/>
        <w:rPr>
          <w:rFonts w:hint="eastAsia" w:ascii="宋体" w:eastAsia="宋体" w:cs="宋体"/>
          <w:b/>
          <w:bCs/>
          <w:color w:val="auto"/>
          <w:sz w:val="30"/>
          <w:szCs w:val="30"/>
          <w:highlight w:val="none"/>
          <w:lang w:eastAsia="zh-CN"/>
        </w:rPr>
      </w:pPr>
      <w:r>
        <w:rPr>
          <w:rFonts w:hint="eastAsia" w:ascii="宋体" w:hAnsi="宋体" w:cs="宋体"/>
          <w:b/>
          <w:bCs/>
          <w:color w:val="auto"/>
          <w:sz w:val="30"/>
          <w:szCs w:val="30"/>
          <w:highlight w:val="none"/>
        </w:rPr>
        <w:t>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购</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eastAsia="zh-CN"/>
        </w:rPr>
        <w:t>平顶山市消防救援支队</w:t>
      </w:r>
    </w:p>
    <w:p w14:paraId="3E5E2BEE">
      <w:pPr>
        <w:spacing w:line="360" w:lineRule="auto"/>
        <w:ind w:firstLine="900" w:firstLineChars="300"/>
        <w:jc w:val="left"/>
        <w:rPr>
          <w:rFonts w:ascii="宋体" w:cs="宋体"/>
          <w:b/>
          <w:color w:val="auto"/>
          <w:highlight w:val="none"/>
        </w:rPr>
      </w:pPr>
      <w:r>
        <w:rPr>
          <w:rFonts w:hint="eastAsia" w:ascii="宋体" w:hAnsi="宋体" w:cs="宋体"/>
          <w:b/>
          <w:bCs/>
          <w:color w:val="auto"/>
          <w:sz w:val="30"/>
          <w:szCs w:val="30"/>
          <w:highlight w:val="none"/>
        </w:rPr>
        <w:t>采购代理机构：</w:t>
      </w:r>
      <w:r>
        <w:rPr>
          <w:rFonts w:hint="eastAsia" w:ascii="宋体" w:hAnsi="宋体" w:cs="宋体"/>
          <w:b/>
          <w:bCs/>
          <w:iCs/>
          <w:color w:val="auto"/>
          <w:sz w:val="30"/>
          <w:szCs w:val="30"/>
          <w:highlight w:val="none"/>
          <w:lang w:val="en-US" w:eastAsia="zh-CN"/>
        </w:rPr>
        <w:t>中发祥和工程管理有限公司</w:t>
      </w:r>
    </w:p>
    <w:p w14:paraId="6A48EE54">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八</w:t>
      </w:r>
      <w:r>
        <w:rPr>
          <w:rFonts w:hint="eastAsia" w:ascii="宋体" w:hAnsi="宋体" w:cs="宋体"/>
          <w:b/>
          <w:bCs/>
          <w:color w:val="auto"/>
          <w:sz w:val="30"/>
          <w:szCs w:val="30"/>
          <w:highlight w:val="none"/>
        </w:rPr>
        <w:t>月</w:t>
      </w:r>
    </w:p>
    <w:p w14:paraId="410D2420">
      <w:pPr>
        <w:tabs>
          <w:tab w:val="left" w:pos="602"/>
          <w:tab w:val="left" w:pos="1204"/>
          <w:tab w:val="left" w:pos="1807"/>
        </w:tabs>
        <w:spacing w:before="43" w:line="360" w:lineRule="auto"/>
        <w:ind w:right="295"/>
        <w:jc w:val="center"/>
        <w:rPr>
          <w:rFonts w:ascii="宋体" w:cs="宋体"/>
          <w:b/>
          <w:color w:val="auto"/>
          <w:sz w:val="36"/>
          <w:szCs w:val="36"/>
          <w:highlight w:val="none"/>
        </w:rPr>
        <w:sectPr>
          <w:headerReference r:id="rId4" w:type="first"/>
          <w:headerReference r:id="rId3" w:type="default"/>
          <w:pgSz w:w="11910" w:h="16840"/>
          <w:pgMar w:top="1440" w:right="1800" w:bottom="1440" w:left="1800" w:header="0" w:footer="992" w:gutter="0"/>
          <w:pgBorders>
            <w:top w:val="none" w:sz="0" w:space="0"/>
            <w:left w:val="none" w:sz="0" w:space="0"/>
            <w:bottom w:val="none" w:sz="0" w:space="0"/>
            <w:right w:val="none" w:sz="0" w:space="0"/>
          </w:pgBorders>
          <w:cols w:space="720" w:num="1"/>
          <w:titlePg/>
          <w:docGrid w:type="linesAndChars" w:linePitch="312" w:charSpace="0"/>
        </w:sectPr>
      </w:pPr>
    </w:p>
    <w:p w14:paraId="5A1769F5">
      <w:pPr>
        <w:pStyle w:val="17"/>
        <w:tabs>
          <w:tab w:val="right" w:leader="dot" w:pos="8306"/>
        </w:tabs>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录</w:t>
      </w:r>
    </w:p>
    <w:p w14:paraId="6980FCA5">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 TOC \o "1-2"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32BF5F">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_Toc22667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690370">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8A34103">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_Toc20527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AA2C46">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 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B350397">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 投标文件的编写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2D51D4">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_Toc14536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 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BC552B4">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 开标、资格审查与评标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17B9B55">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 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C4DB9A">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 信用记录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ECE6FE7">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 需要补充的其他内容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6539DD">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_Toc4110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07B304">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评标办法（综合评分法）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A0EBB67">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_Toc30127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_Toc30127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20DFD9">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招标项目需求及技术要求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0E86C2">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_Toc4083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_Toc4083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850B886">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_Toc4452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FA38649">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_Toc32581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_Toc32581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E9BAE3">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76569C">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_Toc13887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二、法定代表人身份证明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_Toc13887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7BA949">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三、授权委托书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70D63A8">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_Toc8474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四、投标承诺书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_Toc8474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69F2D4">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_Toc15713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五、技术部分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B5DB9B">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_Toc14810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六、</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_Toc14810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86B3D9">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_Toc26288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七、实施方案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_Toc26288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1F51C5">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4EA511">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八、履约能力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6B1335">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九、售后服务及培训方案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02891C">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十、资格证明文件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A7AB27">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0ABD71">
      <w:pPr>
        <w:pStyle w:val="2"/>
        <w:spacing w:line="360" w:lineRule="auto"/>
        <w:rPr>
          <w:rFonts w:ascii="宋体" w:cs="宋体"/>
          <w:color w:val="auto"/>
          <w:szCs w:val="32"/>
          <w:highlight w:val="none"/>
        </w:rPr>
        <w:sectPr>
          <w:headerReference r:id="rId5" w:type="default"/>
          <w:footerReference r:id="rId6" w:type="default"/>
          <w:pgSz w:w="11906" w:h="16838"/>
          <w:pgMar w:top="1440" w:right="1800" w:bottom="1440" w:left="1800" w:header="850" w:footer="964" w:gutter="0"/>
          <w:pgBorders>
            <w:top w:val="none" w:sz="0" w:space="0"/>
            <w:left w:val="none" w:sz="0" w:space="0"/>
            <w:bottom w:val="none" w:sz="0" w:space="0"/>
            <w:right w:val="none" w:sz="0" w:space="0"/>
          </w:pgBorders>
          <w:pgNumType w:fmt="numberInDash" w:start="1"/>
          <w:cols w:space="720" w:num="1"/>
          <w:docGrid w:type="lines" w:linePitch="315" w:charSpace="0"/>
        </w:sectPr>
      </w:pPr>
      <w:r>
        <w:rPr>
          <w:rFonts w:hint="eastAsia" w:ascii="宋体" w:hAnsi="宋体" w:eastAsia="宋体" w:cs="宋体"/>
          <w:color w:val="auto"/>
          <w:sz w:val="24"/>
          <w:szCs w:val="24"/>
          <w:highlight w:val="none"/>
        </w:rPr>
        <w:fldChar w:fldCharType="end"/>
      </w:r>
      <w:bookmarkStart w:id="1" w:name="_Toc40112127"/>
    </w:p>
    <w:p w14:paraId="102860FF">
      <w:pPr>
        <w:pStyle w:val="2"/>
        <w:outlineLvl w:val="0"/>
        <w:rPr>
          <w:rStyle w:val="26"/>
          <w:rFonts w:ascii="宋体" w:cs="宋体"/>
          <w:b/>
          <w:color w:val="auto"/>
          <w:highlight w:val="none"/>
        </w:rPr>
      </w:pPr>
      <w:bookmarkStart w:id="2" w:name="_Toc16715"/>
      <w:r>
        <w:rPr>
          <w:rStyle w:val="26"/>
          <w:rFonts w:hint="eastAsia" w:ascii="宋体" w:hAnsi="宋体" w:cs="宋体"/>
          <w:b/>
          <w:color w:val="auto"/>
          <w:highlight w:val="none"/>
        </w:rPr>
        <w:t>第一章</w:t>
      </w:r>
      <w:r>
        <w:rPr>
          <w:rStyle w:val="26"/>
          <w:rFonts w:ascii="宋体" w:hAnsi="宋体" w:cs="宋体"/>
          <w:b/>
          <w:color w:val="auto"/>
          <w:highlight w:val="none"/>
        </w:rPr>
        <w:t xml:space="preserve"> </w:t>
      </w:r>
      <w:r>
        <w:rPr>
          <w:rStyle w:val="26"/>
          <w:rFonts w:hint="eastAsia" w:ascii="宋体" w:hAnsi="宋体" w:cs="宋体"/>
          <w:b/>
          <w:color w:val="auto"/>
          <w:highlight w:val="none"/>
        </w:rPr>
        <w:t>招标公告</w:t>
      </w:r>
      <w:bookmarkEnd w:id="1"/>
      <w:bookmarkEnd w:id="2"/>
    </w:p>
    <w:p w14:paraId="5D7618E8">
      <w:pPr>
        <w:spacing w:line="360" w:lineRule="auto"/>
        <w:jc w:val="center"/>
        <w:rPr>
          <w:rFonts w:ascii="Calibri" w:hAnsi="Calibri"/>
          <w:b/>
          <w:bCs/>
          <w:color w:val="auto"/>
          <w:sz w:val="28"/>
          <w:szCs w:val="36"/>
          <w:highlight w:val="none"/>
        </w:rPr>
      </w:pPr>
      <w:r>
        <w:rPr>
          <w:rFonts w:hint="eastAsia" w:ascii="Calibri" w:hAnsi="Calibri"/>
          <w:b/>
          <w:bCs/>
          <w:color w:val="auto"/>
          <w:sz w:val="28"/>
          <w:szCs w:val="36"/>
          <w:highlight w:val="none"/>
          <w:lang w:val="en-US" w:eastAsia="zh-CN"/>
        </w:rPr>
        <w:t>【平公资采2024681号】平顶山市消防救援支队河南省消防救援总队“自然灾害应急能力提升工程”平顶山支队装备建设项目（包6、包9）三次-</w:t>
      </w:r>
      <w:r>
        <w:rPr>
          <w:rFonts w:hint="eastAsia" w:ascii="Calibri" w:hAnsi="Calibri"/>
          <w:b/>
          <w:bCs/>
          <w:color w:val="auto"/>
          <w:sz w:val="28"/>
          <w:szCs w:val="36"/>
          <w:highlight w:val="none"/>
        </w:rPr>
        <w:t>公开招标公告</w:t>
      </w:r>
    </w:p>
    <w:p w14:paraId="005A9CEC">
      <w:pPr>
        <w:widowControl/>
        <w:adjustRightInd w:val="0"/>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项目概况</w:t>
      </w:r>
    </w:p>
    <w:p w14:paraId="505B3A62">
      <w:pPr>
        <w:widowControl/>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r>
        <w:rPr>
          <w:rFonts w:hint="eastAsia" w:ascii="宋体" w:hAnsi="宋体" w:cs="宋体"/>
          <w:b w:val="0"/>
          <w:bCs w:val="0"/>
          <w:color w:val="auto"/>
          <w:sz w:val="24"/>
          <w:highlight w:val="none"/>
        </w:rPr>
        <w:t>招标项目的潜在投标人应在</w:t>
      </w:r>
      <w:r>
        <w:rPr>
          <w:rFonts w:hint="eastAsia" w:ascii="宋体" w:hAnsi="宋体" w:eastAsia="宋体" w:cs="宋体"/>
          <w:b w:val="0"/>
          <w:bCs w:val="0"/>
          <w:color w:val="auto"/>
          <w:sz w:val="24"/>
          <w:szCs w:val="24"/>
          <w:highlight w:val="none"/>
        </w:rPr>
        <w:t>《全国公共资源交易平台（河南省·平顶山市）》（网址：http://ggzy.pds.gov.cn/)</w:t>
      </w:r>
      <w:r>
        <w:rPr>
          <w:rFonts w:hint="eastAsia" w:ascii="宋体" w:hAnsi="宋体" w:cs="宋体"/>
          <w:b w:val="0"/>
          <w:bCs w:val="0"/>
          <w:color w:val="auto"/>
          <w:sz w:val="24"/>
          <w:highlight w:val="none"/>
        </w:rPr>
        <w:t>获取招标文件，并于202</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09</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02</w:t>
      </w:r>
      <w:r>
        <w:rPr>
          <w:rFonts w:hint="eastAsia" w:ascii="宋体" w:hAnsi="宋体" w:cs="宋体"/>
          <w:b w:val="0"/>
          <w:bCs w:val="0"/>
          <w:color w:val="auto"/>
          <w:sz w:val="24"/>
          <w:highlight w:val="none"/>
        </w:rPr>
        <w:t>日</w:t>
      </w:r>
      <w:r>
        <w:rPr>
          <w:rFonts w:hint="eastAsia" w:ascii="宋体" w:hAnsi="宋体" w:cs="宋体"/>
          <w:b w:val="0"/>
          <w:bCs w:val="0"/>
          <w:color w:val="auto"/>
          <w:sz w:val="24"/>
          <w:highlight w:val="none"/>
          <w:lang w:val="en-US" w:eastAsia="zh-CN"/>
        </w:rPr>
        <w:t>08</w:t>
      </w:r>
      <w:r>
        <w:rPr>
          <w:rFonts w:hint="eastAsia" w:ascii="宋体" w:hAnsi="宋体" w:cs="宋体"/>
          <w:b w:val="0"/>
          <w:bCs w:val="0"/>
          <w:color w:val="auto"/>
          <w:sz w:val="24"/>
          <w:highlight w:val="none"/>
        </w:rPr>
        <w:t>时</w:t>
      </w:r>
      <w:r>
        <w:rPr>
          <w:rFonts w:hint="eastAsia" w:ascii="宋体" w:hAnsi="宋体" w:cs="宋体"/>
          <w:b w:val="0"/>
          <w:bCs w:val="0"/>
          <w:color w:val="auto"/>
          <w:sz w:val="24"/>
          <w:highlight w:val="none"/>
          <w:lang w:val="en-US" w:eastAsia="zh-CN"/>
        </w:rPr>
        <w:t>40</w:t>
      </w:r>
      <w:r>
        <w:rPr>
          <w:rFonts w:hint="eastAsia" w:ascii="宋体" w:hAnsi="宋体" w:cs="宋体"/>
          <w:b w:val="0"/>
          <w:bCs w:val="0"/>
          <w:color w:val="auto"/>
          <w:sz w:val="24"/>
          <w:highlight w:val="none"/>
        </w:rPr>
        <w:t>分（北京时间）前递交投标文件。</w:t>
      </w:r>
    </w:p>
    <w:p w14:paraId="6445C902">
      <w:pPr>
        <w:widowControl/>
        <w:adjustRightInd w:val="0"/>
        <w:snapToGrid w:val="0"/>
        <w:spacing w:line="360" w:lineRule="auto"/>
        <w:jc w:val="left"/>
        <w:rPr>
          <w:rFonts w:ascii="宋体" w:cs="宋体"/>
          <w:b w:val="0"/>
          <w:bCs w:val="0"/>
          <w:color w:val="auto"/>
          <w:sz w:val="24"/>
          <w:highlight w:val="none"/>
        </w:rPr>
      </w:pPr>
      <w:r>
        <w:rPr>
          <w:rFonts w:hint="eastAsia" w:ascii="宋体" w:hAnsi="宋体" w:cs="宋体"/>
          <w:b w:val="0"/>
          <w:bCs w:val="0"/>
          <w:color w:val="auto"/>
          <w:sz w:val="24"/>
          <w:highlight w:val="none"/>
        </w:rPr>
        <w:t>一、项目基本情况</w:t>
      </w:r>
    </w:p>
    <w:p w14:paraId="3CB747C3">
      <w:pPr>
        <w:widowControl/>
        <w:adjustRightInd w:val="0"/>
        <w:snapToGrid w:val="0"/>
        <w:spacing w:line="360" w:lineRule="auto"/>
        <w:ind w:firstLine="480" w:firstLineChars="200"/>
        <w:jc w:val="left"/>
        <w:rPr>
          <w:rFonts w:hint="eastAsia" w:ascii="宋体" w:cs="宋体"/>
          <w:b w:val="0"/>
          <w:bCs w:val="0"/>
          <w:color w:val="auto"/>
          <w:sz w:val="24"/>
          <w:highlight w:val="none"/>
          <w:lang w:val="en-US" w:eastAsia="zh-CN"/>
        </w:rPr>
      </w:pPr>
      <w:r>
        <w:rPr>
          <w:rFonts w:ascii="宋体" w:hAnsi="宋体" w:cs="宋体"/>
          <w:b w:val="0"/>
          <w:bCs w:val="0"/>
          <w:color w:val="auto"/>
          <w:sz w:val="24"/>
          <w:highlight w:val="none"/>
        </w:rPr>
        <w:t>1</w:t>
      </w:r>
      <w:r>
        <w:rPr>
          <w:rFonts w:hint="eastAsia" w:ascii="宋体" w:hAnsi="宋体" w:cs="宋体"/>
          <w:b w:val="0"/>
          <w:bCs w:val="0"/>
          <w:color w:val="auto"/>
          <w:sz w:val="24"/>
          <w:highlight w:val="none"/>
        </w:rPr>
        <w:t>、项目编号：平采招标-2024-35</w:t>
      </w:r>
    </w:p>
    <w:p w14:paraId="74C23964">
      <w:pPr>
        <w:adjustRightInd w:val="0"/>
        <w:snapToGrid w:val="0"/>
        <w:spacing w:line="360" w:lineRule="auto"/>
        <w:ind w:firstLine="480" w:firstLineChars="200"/>
        <w:jc w:val="left"/>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2</w:t>
      </w:r>
      <w:r>
        <w:rPr>
          <w:rFonts w:hint="eastAsia" w:ascii="宋体" w:hAnsi="宋体" w:cs="宋体"/>
          <w:b w:val="0"/>
          <w:bCs w:val="0"/>
          <w:color w:val="auto"/>
          <w:sz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p>
    <w:p w14:paraId="1A88F717">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3</w:t>
      </w:r>
      <w:r>
        <w:rPr>
          <w:rFonts w:hint="eastAsia" w:ascii="宋体" w:hAnsi="宋体" w:cs="宋体"/>
          <w:b w:val="0"/>
          <w:bCs w:val="0"/>
          <w:color w:val="auto"/>
          <w:sz w:val="24"/>
          <w:highlight w:val="none"/>
        </w:rPr>
        <w:t>、采购方式：公开招标</w:t>
      </w:r>
    </w:p>
    <w:p w14:paraId="2B8FB180">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11782830.00</w:t>
      </w:r>
      <w:r>
        <w:rPr>
          <w:rFonts w:hint="eastAsia" w:ascii="宋体" w:hAnsi="宋体" w:cs="宋体"/>
          <w:b w:val="0"/>
          <w:bCs w:val="0"/>
          <w:color w:val="auto"/>
          <w:sz w:val="24"/>
          <w:highlight w:val="none"/>
        </w:rPr>
        <w:t>元</w:t>
      </w:r>
    </w:p>
    <w:p w14:paraId="17D4E701">
      <w:pPr>
        <w:adjustRightInd w:val="0"/>
        <w:snapToGrid w:val="0"/>
        <w:spacing w:line="360" w:lineRule="auto"/>
        <w:ind w:left="0" w:leftChars="0" w:firstLine="840" w:firstLineChars="3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3640480.00</w:t>
      </w:r>
      <w:r>
        <w:rPr>
          <w:rFonts w:hint="eastAsia" w:ascii="宋体" w:hAnsi="宋体" w:cs="宋体"/>
          <w:b w:val="0"/>
          <w:bCs w:val="0"/>
          <w:color w:val="auto"/>
          <w:sz w:val="24"/>
          <w:highlight w:val="none"/>
        </w:rPr>
        <w:t>元</w:t>
      </w:r>
    </w:p>
    <w:tbl>
      <w:tblPr>
        <w:tblStyle w:val="2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34"/>
        <w:gridCol w:w="986"/>
        <w:gridCol w:w="1215"/>
        <w:gridCol w:w="1216"/>
        <w:gridCol w:w="1019"/>
        <w:gridCol w:w="1683"/>
      </w:tblGrid>
      <w:tr w14:paraId="7758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A6ED4C4">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34" w:type="dxa"/>
            <w:vAlign w:val="center"/>
          </w:tcPr>
          <w:p w14:paraId="7DFB7299">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包号</w:t>
            </w:r>
          </w:p>
        </w:tc>
        <w:tc>
          <w:tcPr>
            <w:tcW w:w="986" w:type="dxa"/>
            <w:vAlign w:val="center"/>
          </w:tcPr>
          <w:p w14:paraId="248EA7C5">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215" w:type="dxa"/>
            <w:vAlign w:val="center"/>
          </w:tcPr>
          <w:p w14:paraId="528EB2AF">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216" w:type="dxa"/>
            <w:vAlign w:val="center"/>
          </w:tcPr>
          <w:p w14:paraId="579373AD">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包最高限价（元）</w:t>
            </w:r>
          </w:p>
        </w:tc>
        <w:tc>
          <w:tcPr>
            <w:tcW w:w="1019" w:type="dxa"/>
            <w:vAlign w:val="center"/>
          </w:tcPr>
          <w:p w14:paraId="53770954">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是否专门面向中小企业</w:t>
            </w:r>
          </w:p>
        </w:tc>
        <w:tc>
          <w:tcPr>
            <w:tcW w:w="1683" w:type="dxa"/>
            <w:vAlign w:val="center"/>
          </w:tcPr>
          <w:p w14:paraId="19B64D29">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14:paraId="25F6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2C2281B">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34" w:type="dxa"/>
            <w:vAlign w:val="center"/>
          </w:tcPr>
          <w:p w14:paraId="0B78ABB9">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681</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2</w:t>
            </w:r>
          </w:p>
        </w:tc>
        <w:tc>
          <w:tcPr>
            <w:tcW w:w="986" w:type="dxa"/>
            <w:vAlign w:val="center"/>
          </w:tcPr>
          <w:p w14:paraId="7AB904CA">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包6</w:t>
            </w:r>
          </w:p>
        </w:tc>
        <w:tc>
          <w:tcPr>
            <w:tcW w:w="1215" w:type="dxa"/>
            <w:vAlign w:val="center"/>
          </w:tcPr>
          <w:p w14:paraId="7AC9CC9C">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216" w:type="dxa"/>
            <w:vAlign w:val="center"/>
          </w:tcPr>
          <w:p w14:paraId="57436056">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019" w:type="dxa"/>
            <w:vAlign w:val="center"/>
          </w:tcPr>
          <w:p w14:paraId="540377B9">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14:paraId="4A93077D">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1084160</w:t>
            </w:r>
          </w:p>
        </w:tc>
      </w:tr>
      <w:tr w14:paraId="45E5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53DF7DC">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34" w:type="dxa"/>
            <w:vAlign w:val="center"/>
          </w:tcPr>
          <w:p w14:paraId="6545B691">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681</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3</w:t>
            </w:r>
          </w:p>
        </w:tc>
        <w:tc>
          <w:tcPr>
            <w:tcW w:w="986" w:type="dxa"/>
            <w:vAlign w:val="center"/>
          </w:tcPr>
          <w:p w14:paraId="0FBB16F8">
            <w:pPr>
              <w:adjustRightInd w:val="0"/>
              <w:snapToGrid w:val="0"/>
              <w:spacing w:line="240" w:lineRule="auto"/>
              <w:jc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包9</w:t>
            </w:r>
          </w:p>
        </w:tc>
        <w:tc>
          <w:tcPr>
            <w:tcW w:w="1215" w:type="dxa"/>
            <w:vAlign w:val="center"/>
          </w:tcPr>
          <w:p w14:paraId="6C3559D6">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216" w:type="dxa"/>
            <w:vAlign w:val="center"/>
          </w:tcPr>
          <w:p w14:paraId="089C57E6">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019" w:type="dxa"/>
            <w:vAlign w:val="center"/>
          </w:tcPr>
          <w:p w14:paraId="0CC3977C">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14:paraId="30244FD6">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1556320</w:t>
            </w:r>
          </w:p>
        </w:tc>
      </w:tr>
    </w:tbl>
    <w:p w14:paraId="49D7F8D0">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5</w:t>
      </w:r>
      <w:r>
        <w:rPr>
          <w:rFonts w:hint="eastAsia" w:ascii="宋体" w:hAnsi="宋体" w:cs="宋体"/>
          <w:b w:val="0"/>
          <w:bCs w:val="0"/>
          <w:color w:val="auto"/>
          <w:sz w:val="24"/>
          <w:highlight w:val="none"/>
        </w:rPr>
        <w:t>、采购需求：（包括但不限于标的的名称、数量、简要技术需求或服务要求等）</w:t>
      </w:r>
    </w:p>
    <w:p w14:paraId="4963D8FF">
      <w:pPr>
        <w:adjustRightInd w:val="0"/>
        <w:snapToGrid w:val="0"/>
        <w:spacing w:line="360" w:lineRule="auto"/>
        <w:ind w:firstLine="480" w:firstLineChars="200"/>
        <w:jc w:val="left"/>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5.1</w:t>
      </w:r>
      <w:r>
        <w:rPr>
          <w:rFonts w:hint="eastAsia" w:ascii="宋体" w:hAnsi="宋体" w:cs="宋体"/>
          <w:b w:val="0"/>
          <w:bCs w:val="0"/>
          <w:color w:val="auto"/>
          <w:sz w:val="24"/>
          <w:szCs w:val="24"/>
          <w:highlight w:val="none"/>
        </w:rPr>
        <w:t>采购内容：</w:t>
      </w:r>
    </w:p>
    <w:p w14:paraId="4A961BB6">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681</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AED除颤仪5、便携式推车10、充气帐篷（40m2）5、充气帐篷（60m2）5、大功率发电机1、单兵携行包（箱）30、浮艇泵3、航空运输箱30、静音发电机5、空气呼吸器瓶30、千斤顶5、手抬机动泵3、婴儿呼吸袋5；</w:t>
      </w:r>
    </w:p>
    <w:p w14:paraId="02F051FB">
      <w:pPr>
        <w:adjustRightInd w:val="0"/>
        <w:snapToGrid w:val="0"/>
        <w:spacing w:line="360" w:lineRule="auto"/>
        <w:ind w:firstLine="480" w:firstLineChars="200"/>
        <w:jc w:val="left"/>
        <w:rPr>
          <w:rFonts w:hint="default" w:ascii="宋体" w:hAnsi="宋体" w:cs="宋体"/>
          <w:b w:val="0"/>
          <w:bCs w:val="0"/>
          <w:color w:val="auto"/>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681</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冰面救援滑板4、充气救援艇（橡皮艇）1、船型担架5、多功能担架15、多功能省力系统50、多功能水枪44、救生抛投器5、救援三角架6、卷扬机5、可漂浮救生担架5、气动起重气垫2、躯体固定气囊5、水面漂浮救生绳（200米）1、通用安全绳（200米）30、舷外机（含油箱防护罩）2、橡皮艇1、移动供气源6、移动式消防炮5、肢体固定气囊5、重型支撑套具2。</w:t>
      </w:r>
    </w:p>
    <w:p w14:paraId="44578B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5.2</w:t>
      </w:r>
      <w:r>
        <w:rPr>
          <w:rFonts w:hint="eastAsia" w:ascii="宋体" w:hAnsi="宋体" w:cs="宋体"/>
          <w:b w:val="0"/>
          <w:bCs w:val="0"/>
          <w:color w:val="auto"/>
          <w:sz w:val="24"/>
          <w:highlight w:val="none"/>
        </w:rPr>
        <w:t>资金来源：财政资金；</w:t>
      </w:r>
    </w:p>
    <w:p w14:paraId="70AB26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5.3</w:t>
      </w:r>
      <w:r>
        <w:rPr>
          <w:rFonts w:hint="eastAsia" w:ascii="宋体" w:hAnsi="宋体" w:cs="宋体"/>
          <w:b w:val="0"/>
          <w:bCs w:val="0"/>
          <w:color w:val="auto"/>
          <w:sz w:val="24"/>
          <w:highlight w:val="none"/>
        </w:rPr>
        <w:t>质量要求：合格（符合现行国家、行业、地方相关规范要求）；</w:t>
      </w:r>
    </w:p>
    <w:p w14:paraId="2791F5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rPr>
      </w:pPr>
      <w:r>
        <w:rPr>
          <w:rFonts w:ascii="宋体" w:hAnsi="宋体" w:cs="宋体"/>
          <w:b w:val="0"/>
          <w:bCs w:val="0"/>
          <w:color w:val="auto"/>
          <w:sz w:val="24"/>
          <w:highlight w:val="none"/>
        </w:rPr>
        <w:t>5.4</w:t>
      </w:r>
      <w:r>
        <w:rPr>
          <w:rFonts w:hint="eastAsia" w:ascii="宋体" w:hAnsi="宋体" w:cs="宋体"/>
          <w:b w:val="0"/>
          <w:bCs w:val="0"/>
          <w:color w:val="auto"/>
          <w:sz w:val="24"/>
          <w:highlight w:val="none"/>
        </w:rPr>
        <w:t>交货期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包6、包9</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自样品验收合格之日起30日历天，合格样品须于合同签订之日起10日内提供，交货的货物必须是发布中标公告后生产日期（验收时，提供证明或原材料进货证明）</w:t>
      </w:r>
      <w:r>
        <w:rPr>
          <w:rFonts w:hint="eastAsia" w:ascii="宋体" w:hAnsi="宋体" w:cs="宋体"/>
          <w:b w:val="0"/>
          <w:bCs w:val="0"/>
          <w:color w:val="auto"/>
          <w:sz w:val="24"/>
          <w:highlight w:val="none"/>
        </w:rPr>
        <w:t>；</w:t>
      </w:r>
    </w:p>
    <w:p w14:paraId="1CE305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5.5</w:t>
      </w:r>
      <w:r>
        <w:rPr>
          <w:rFonts w:hint="eastAsia" w:ascii="宋体" w:hAnsi="宋体" w:cs="宋体"/>
          <w:b w:val="0"/>
          <w:bCs w:val="0"/>
          <w:color w:val="auto"/>
          <w:sz w:val="24"/>
          <w:highlight w:val="none"/>
        </w:rPr>
        <w:t>交货地点：采购人指定地点；</w:t>
      </w:r>
    </w:p>
    <w:p w14:paraId="449F75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5.6</w:t>
      </w:r>
      <w:r>
        <w:rPr>
          <w:rFonts w:hint="eastAsia" w:ascii="宋体" w:hAnsi="宋体" w:cs="宋体"/>
          <w:b w:val="0"/>
          <w:bCs w:val="0"/>
          <w:color w:val="auto"/>
          <w:sz w:val="24"/>
          <w:highlight w:val="none"/>
        </w:rPr>
        <w:t>质保期：</w:t>
      </w:r>
      <w:r>
        <w:rPr>
          <w:rFonts w:hint="eastAsia" w:ascii="宋体" w:hAnsi="宋体" w:cs="宋体"/>
          <w:color w:val="auto"/>
          <w:sz w:val="24"/>
          <w:highlight w:val="none"/>
        </w:rPr>
        <w:t>详见招标文件</w:t>
      </w:r>
      <w:r>
        <w:rPr>
          <w:rFonts w:hint="eastAsia" w:ascii="宋体" w:hAnsi="宋体" w:cs="宋体"/>
          <w:b w:val="0"/>
          <w:bCs w:val="0"/>
          <w:color w:val="auto"/>
          <w:sz w:val="24"/>
          <w:highlight w:val="none"/>
          <w:lang w:eastAsia="zh-CN"/>
        </w:rPr>
        <w:t>；</w:t>
      </w:r>
    </w:p>
    <w:p w14:paraId="490ACF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6</w:t>
      </w:r>
      <w:r>
        <w:rPr>
          <w:rFonts w:hint="eastAsia" w:ascii="宋体" w:hAnsi="宋体" w:cs="宋体"/>
          <w:b w:val="0"/>
          <w:bCs w:val="0"/>
          <w:color w:val="auto"/>
          <w:sz w:val="24"/>
          <w:highlight w:val="none"/>
        </w:rPr>
        <w:t>、合同履行期限：合同签订之日至质保期结束；</w:t>
      </w:r>
    </w:p>
    <w:p w14:paraId="6DDDC3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7</w:t>
      </w:r>
      <w:r>
        <w:rPr>
          <w:rFonts w:hint="eastAsia" w:ascii="宋体" w:hAnsi="宋体" w:cs="宋体"/>
          <w:b w:val="0"/>
          <w:bCs w:val="0"/>
          <w:color w:val="auto"/>
          <w:sz w:val="24"/>
          <w:highlight w:val="none"/>
        </w:rPr>
        <w:t>、本项目是否接受联合体投标：否；</w:t>
      </w:r>
    </w:p>
    <w:p w14:paraId="08D5D1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8</w:t>
      </w:r>
      <w:r>
        <w:rPr>
          <w:rFonts w:hint="eastAsia" w:ascii="宋体" w:hAnsi="宋体" w:cs="宋体"/>
          <w:b w:val="0"/>
          <w:bCs w:val="0"/>
          <w:color w:val="auto"/>
          <w:sz w:val="24"/>
          <w:highlight w:val="none"/>
        </w:rPr>
        <w:t>、是否接受进口产品：否。</w:t>
      </w:r>
    </w:p>
    <w:p w14:paraId="69B09E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9</w:t>
      </w:r>
      <w:r>
        <w:rPr>
          <w:rFonts w:hint="eastAsia" w:ascii="宋体" w:hAnsi="宋体" w:cs="宋体"/>
          <w:b w:val="0"/>
          <w:bCs w:val="0"/>
          <w:color w:val="auto"/>
          <w:sz w:val="24"/>
          <w:highlight w:val="none"/>
        </w:rPr>
        <w:t>、是否专门面向中小企业：是。</w:t>
      </w:r>
    </w:p>
    <w:p w14:paraId="0CE77C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二、申请人资格要求</w:t>
      </w:r>
    </w:p>
    <w:p w14:paraId="4525E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14:paraId="77961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2、落实政府采购政策满足的资格要求：本项目</w:t>
      </w:r>
      <w:r>
        <w:rPr>
          <w:rFonts w:hint="eastAsia" w:ascii="宋体" w:hAnsi="宋体" w:cs="宋体"/>
          <w:b w:val="0"/>
          <w:bCs w:val="0"/>
          <w:color w:val="auto"/>
          <w:sz w:val="24"/>
          <w:szCs w:val="24"/>
          <w:highlight w:val="none"/>
          <w:lang w:val="en-US" w:eastAsia="zh-CN"/>
        </w:rPr>
        <w:t>包6、包9</w:t>
      </w:r>
      <w:r>
        <w:rPr>
          <w:rFonts w:hint="eastAsia" w:ascii="宋体" w:hAnsi="宋体" w:eastAsia="宋体" w:cs="宋体"/>
          <w:b w:val="0"/>
          <w:bCs w:val="0"/>
          <w:color w:val="auto"/>
          <w:sz w:val="24"/>
          <w:szCs w:val="24"/>
          <w:highlight w:val="none"/>
        </w:rPr>
        <w:t>专门面向</w:t>
      </w:r>
      <w:r>
        <w:rPr>
          <w:rFonts w:hint="eastAsia" w:ascii="宋体" w:hAnsi="宋体" w:cs="宋体"/>
          <w:b w:val="0"/>
          <w:bCs w:val="0"/>
          <w:color w:val="auto"/>
          <w:sz w:val="24"/>
          <w:szCs w:val="24"/>
          <w:highlight w:val="none"/>
          <w:lang w:val="en-US" w:eastAsia="zh-CN"/>
        </w:rPr>
        <w:t>小微</w:t>
      </w:r>
      <w:r>
        <w:rPr>
          <w:rFonts w:hint="eastAsia" w:ascii="宋体" w:hAnsi="宋体" w:eastAsia="宋体" w:cs="宋体"/>
          <w:b w:val="0"/>
          <w:bCs w:val="0"/>
          <w:color w:val="auto"/>
          <w:sz w:val="24"/>
          <w:szCs w:val="24"/>
          <w:highlight w:val="none"/>
        </w:rPr>
        <w:t>企业采购</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需提供《中小企业声明函》或《残疾人福利性单位声明函》或《监狱企业的证明文件》。</w:t>
      </w:r>
    </w:p>
    <w:p w14:paraId="5831C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14:paraId="61AD19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应在中华人民共和国境内注册，具有独立承担民事责任的能力。（须提供营业执照或自然人的身份证明等）</w:t>
      </w:r>
      <w:r>
        <w:rPr>
          <w:rFonts w:hint="eastAsia" w:ascii="宋体" w:hAnsi="宋体" w:cs="宋体"/>
          <w:b w:val="0"/>
          <w:bCs w:val="0"/>
          <w:color w:val="auto"/>
          <w:sz w:val="24"/>
          <w:szCs w:val="24"/>
          <w:highlight w:val="none"/>
          <w:lang w:eastAsia="zh-CN"/>
        </w:rPr>
        <w:t>；</w:t>
      </w:r>
    </w:p>
    <w:p w14:paraId="6A1C34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具有良好的商业信誉和健全的财务会计制度（须提供2022年度</w:t>
      </w:r>
      <w:r>
        <w:rPr>
          <w:rFonts w:hint="eastAsia" w:ascii="宋体" w:hAnsi="宋体" w:cs="宋体"/>
          <w:b w:val="0"/>
          <w:bCs w:val="0"/>
          <w:color w:val="auto"/>
          <w:sz w:val="24"/>
          <w:szCs w:val="24"/>
          <w:highlight w:val="none"/>
          <w:lang w:val="en-US" w:eastAsia="zh-CN"/>
        </w:rPr>
        <w:t>或2023年度</w:t>
      </w:r>
      <w:r>
        <w:rPr>
          <w:rFonts w:hint="eastAsia" w:ascii="宋体" w:hAnsi="宋体" w:eastAsia="宋体" w:cs="宋体"/>
          <w:b w:val="0"/>
          <w:bCs w:val="0"/>
          <w:color w:val="auto"/>
          <w:sz w:val="24"/>
          <w:szCs w:val="24"/>
          <w:highlight w:val="none"/>
        </w:rPr>
        <w:t>经会计师事务所或第三方审计机构审计后的财务报告（须包括资产负债表、现金流量表、利润表和附注)，新成立企业自成立之日起不足一年的须提供基本开户行出具的银行资信证明）</w:t>
      </w:r>
      <w:r>
        <w:rPr>
          <w:rFonts w:hint="eastAsia" w:ascii="宋体" w:hAnsi="宋体" w:cs="宋体"/>
          <w:b w:val="0"/>
          <w:bCs w:val="0"/>
          <w:color w:val="auto"/>
          <w:sz w:val="24"/>
          <w:szCs w:val="24"/>
          <w:highlight w:val="none"/>
          <w:lang w:eastAsia="zh-CN"/>
        </w:rPr>
        <w:t>；</w:t>
      </w:r>
    </w:p>
    <w:p w14:paraId="5CDD73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具有履行合同所必需的设备和专业技术能力(须提供承诺函，承诺函格式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14:paraId="56AEA7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有依法缴纳税收和社会保障资金的良好记录(提供2024年1月1日以来任意1个月依法缴纳税收和社会保障金的相关证明,依法免税或不需要缴纳社会保障资金的，应提供相应证明文件)</w:t>
      </w:r>
      <w:r>
        <w:rPr>
          <w:rFonts w:hint="eastAsia" w:ascii="宋体" w:hAnsi="宋体" w:cs="宋体"/>
          <w:b w:val="0"/>
          <w:bCs w:val="0"/>
          <w:color w:val="auto"/>
          <w:sz w:val="24"/>
          <w:szCs w:val="24"/>
          <w:highlight w:val="none"/>
          <w:lang w:eastAsia="zh-CN"/>
        </w:rPr>
        <w:t>；</w:t>
      </w:r>
    </w:p>
    <w:p w14:paraId="1AE9A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参加政府采购活动前三年内，在经营活动中没有重大违法记录(须提供承诺函，承诺函格式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14:paraId="712F0E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单位负责人为同一人或者存在直接控股、管理关系的不同供应商，不得参加同一合同项下的政府采购活动(须提供承诺函，承诺函格式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14:paraId="16277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highlight w:val="none"/>
          <w:lang w:val="en-US" w:eastAsia="zh-CN"/>
        </w:rPr>
      </w:pPr>
      <w:r>
        <w:rPr>
          <w:rFonts w:hint="eastAsia" w:ascii="宋体" w:hAnsi="宋体" w:cs="宋体"/>
          <w:b w:val="0"/>
          <w:bCs w:val="0"/>
          <w:color w:val="auto"/>
          <w:kern w:val="0"/>
          <w:sz w:val="24"/>
          <w:szCs w:val="21"/>
          <w:highlight w:val="none"/>
        </w:rPr>
        <w:t>3.</w:t>
      </w:r>
      <w:r>
        <w:rPr>
          <w:rFonts w:hint="eastAsia" w:ascii="宋体" w:hAnsi="宋体" w:cs="宋体"/>
          <w:b w:val="0"/>
          <w:bCs w:val="0"/>
          <w:color w:val="auto"/>
          <w:kern w:val="0"/>
          <w:sz w:val="24"/>
          <w:szCs w:val="21"/>
          <w:highlight w:val="none"/>
          <w:lang w:val="en-US" w:eastAsia="zh-CN"/>
        </w:rPr>
        <w:t>7</w:t>
      </w:r>
      <w:r>
        <w:rPr>
          <w:rFonts w:hint="eastAsia" w:ascii="宋体" w:hAnsi="宋体" w:cs="宋体"/>
          <w:b w:val="0"/>
          <w:bCs w:val="0"/>
          <w:color w:val="auto"/>
          <w:kern w:val="0"/>
          <w:sz w:val="24"/>
          <w:szCs w:val="21"/>
          <w:highlight w:val="none"/>
        </w:rPr>
        <w:t>根据《关于在政府采购活动中查询及使用信用记录有关问题的通知》(财库[2016]125号)的规定，</w:t>
      </w:r>
      <w:r>
        <w:rPr>
          <w:rFonts w:hint="eastAsia" w:ascii="宋体" w:hAnsi="宋体" w:cs="宋体"/>
          <w:b w:val="0"/>
          <w:bCs w:val="0"/>
          <w:color w:val="auto"/>
          <w:kern w:val="0"/>
          <w:sz w:val="24"/>
          <w:szCs w:val="21"/>
          <w:highlight w:val="none"/>
          <w:lang w:eastAsia="zh-CN"/>
        </w:rPr>
        <w:t>开标结束后至符合性审查前</w:t>
      </w:r>
      <w:r>
        <w:rPr>
          <w:rFonts w:hint="eastAsia" w:ascii="宋体" w:hAnsi="宋体" w:cs="宋体"/>
          <w:b w:val="0"/>
          <w:bCs w:val="0"/>
          <w:color w:val="auto"/>
          <w:kern w:val="0"/>
          <w:sz w:val="24"/>
          <w:szCs w:val="21"/>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cs="宋体"/>
          <w:b w:val="0"/>
          <w:bCs w:val="0"/>
          <w:color w:val="auto"/>
          <w:kern w:val="0"/>
          <w:sz w:val="24"/>
          <w:szCs w:val="21"/>
          <w:highlight w:val="none"/>
          <w:lang w:eastAsia="zh-CN"/>
        </w:rPr>
        <w:t>投标人</w:t>
      </w:r>
      <w:r>
        <w:rPr>
          <w:rFonts w:hint="eastAsia" w:ascii="宋体" w:hAnsi="宋体" w:cs="宋体"/>
          <w:b w:val="0"/>
          <w:bCs w:val="0"/>
          <w:color w:val="auto"/>
          <w:kern w:val="0"/>
          <w:sz w:val="24"/>
          <w:szCs w:val="21"/>
          <w:highlight w:val="none"/>
        </w:rPr>
        <w:t>，将拒绝参与本次政府采购活动</w:t>
      </w:r>
      <w:r>
        <w:rPr>
          <w:rFonts w:hint="eastAsia" w:ascii="宋体" w:hAnsi="宋体" w:cs="宋体"/>
          <w:b w:val="0"/>
          <w:bCs w:val="0"/>
          <w:color w:val="auto"/>
          <w:kern w:val="0"/>
          <w:sz w:val="24"/>
          <w:szCs w:val="21"/>
          <w:highlight w:val="none"/>
          <w:lang w:eastAsia="zh-CN"/>
        </w:rPr>
        <w:t>；</w:t>
      </w:r>
    </w:p>
    <w:p w14:paraId="4FB06B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14:paraId="44C828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日至202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01</w:t>
      </w:r>
      <w:r>
        <w:rPr>
          <w:rFonts w:hint="eastAsia" w:ascii="宋体" w:hAnsi="宋体" w:eastAsia="宋体" w:cs="宋体"/>
          <w:b w:val="0"/>
          <w:bCs w:val="0"/>
          <w:color w:val="auto"/>
          <w:sz w:val="24"/>
          <w:szCs w:val="24"/>
          <w:highlight w:val="none"/>
        </w:rPr>
        <w:t>日。每天上午00时00分至12时00分，下午12时00分至23时59分（北京时间，法定节假日除外。）</w:t>
      </w:r>
    </w:p>
    <w:p w14:paraId="7C274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14:paraId="13AC0D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3、方式：潜在供应商需凭CA数字证书通过《全国公共资源交易平台（河南省·平顶山市）》（网址：http://ggzy.pds.gov.cn/“</w:t>
      </w:r>
      <w:r>
        <w:rPr>
          <w:rFonts w:hint="eastAsia" w:ascii="宋体" w:hAnsi="宋体" w:cs="宋体"/>
          <w:b w:val="0"/>
          <w:bCs w:val="0"/>
          <w:color w:val="auto"/>
          <w:sz w:val="24"/>
          <w:szCs w:val="24"/>
          <w:highlight w:val="none"/>
          <w:lang w:eastAsia="zh-CN"/>
        </w:rPr>
        <w:t>交易主体登录</w:t>
      </w:r>
      <w:r>
        <w:rPr>
          <w:rFonts w:hint="eastAsia" w:ascii="宋体" w:hAnsi="宋体" w:eastAsia="宋体" w:cs="宋体"/>
          <w:b w:val="0"/>
          <w:bCs w:val="0"/>
          <w:color w:val="auto"/>
          <w:sz w:val="24"/>
          <w:szCs w:val="24"/>
          <w:highlight w:val="none"/>
        </w:rPr>
        <w:t>”入口进入交易系统进行下载文件。</w:t>
      </w:r>
    </w:p>
    <w:p w14:paraId="400E9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4、售价：0元</w:t>
      </w:r>
    </w:p>
    <w:p w14:paraId="632114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四、投标截止时间及地点</w:t>
      </w:r>
    </w:p>
    <w:p w14:paraId="7ECBA4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0分（北京时间）</w:t>
      </w:r>
    </w:p>
    <w:p w14:paraId="33F62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14:paraId="5CC5D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需要在投标截止时间前在</w:t>
      </w:r>
      <w:r>
        <w:rPr>
          <w:rFonts w:hint="eastAsia" w:ascii="宋体" w:hAnsi="宋体" w:cs="宋体"/>
          <w:b w:val="0"/>
          <w:bCs w:val="0"/>
          <w:color w:val="auto"/>
          <w:sz w:val="24"/>
          <w:szCs w:val="24"/>
          <w:highlight w:val="none"/>
          <w:lang w:eastAsia="zh-CN"/>
        </w:rPr>
        <w:t>《全国公共资源交易平台（河南省·平顶山市）》</w:t>
      </w:r>
      <w:r>
        <w:rPr>
          <w:rFonts w:hint="eastAsia" w:ascii="宋体" w:hAnsi="宋体" w:eastAsia="宋体" w:cs="宋体"/>
          <w:b w:val="0"/>
          <w:bCs w:val="0"/>
          <w:color w:val="auto"/>
          <w:sz w:val="24"/>
          <w:szCs w:val="24"/>
          <w:highlight w:val="none"/>
        </w:rPr>
        <w:t>交易系统中上传加密电子投标文件。</w:t>
      </w:r>
    </w:p>
    <w:p w14:paraId="75CCAF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五、开标时间及地点</w:t>
      </w:r>
    </w:p>
    <w:p w14:paraId="2AD74B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0分（北京时间）</w:t>
      </w:r>
    </w:p>
    <w:p w14:paraId="635F9A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2、地点：《全国公共资源交易平台（河南省·平顶山市）》（网址：http://ggzy.pds.gov.cn/)</w:t>
      </w:r>
    </w:p>
    <w:p w14:paraId="73E8B6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六、发布公告的媒介及招标公告期限</w:t>
      </w:r>
    </w:p>
    <w:p w14:paraId="1032E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本次招标公告在</w:t>
      </w:r>
      <w:r>
        <w:rPr>
          <w:rFonts w:hint="eastAsia" w:ascii="宋体" w:hAnsi="宋体" w:cs="宋体"/>
          <w:color w:val="auto"/>
          <w:sz w:val="24"/>
          <w:highlight w:val="none"/>
        </w:rPr>
        <w:t>《中国政府采购网》、</w:t>
      </w:r>
      <w:r>
        <w:rPr>
          <w:rFonts w:hint="eastAsia" w:ascii="宋体" w:hAnsi="宋体" w:eastAsia="宋体" w:cs="宋体"/>
          <w:b w:val="0"/>
          <w:bCs w:val="0"/>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《平顶山市政府采购网》</w:t>
      </w:r>
      <w:r>
        <w:rPr>
          <w:rFonts w:hint="eastAsia" w:ascii="宋体" w:hAnsi="宋体" w:eastAsia="宋体" w:cs="宋体"/>
          <w:b w:val="0"/>
          <w:bCs w:val="0"/>
          <w:color w:val="auto"/>
          <w:sz w:val="24"/>
          <w:szCs w:val="24"/>
          <w:highlight w:val="none"/>
        </w:rPr>
        <w:t>、</w:t>
      </w:r>
      <w:r>
        <w:rPr>
          <w:rFonts w:hint="eastAsia" w:ascii="宋体" w:hAnsi="宋体" w:cs="宋体"/>
          <w:color w:val="auto"/>
          <w:sz w:val="24"/>
          <w:highlight w:val="none"/>
        </w:rPr>
        <w:t>《中国招标投标公共服务平台》、《河南省电子招标投标公共服务平台》</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《全国公共资源交易平台（河南省·平顶山）》上发布</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招标公告期限为五个工作日。</w:t>
      </w:r>
    </w:p>
    <w:p w14:paraId="1FFFA3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七、其他补充事宜： </w:t>
      </w:r>
    </w:p>
    <w:p w14:paraId="463CEFD6">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3" w:name="_Toc26073"/>
      <w:r>
        <w:rPr>
          <w:rFonts w:hint="eastAsia" w:ascii="宋体" w:hAnsi="宋体" w:cs="宋体"/>
          <w:b w:val="0"/>
          <w:bCs w:val="0"/>
          <w:color w:val="auto"/>
          <w:sz w:val="24"/>
          <w:highlight w:val="none"/>
          <w:lang w:val="en-US" w:eastAsia="zh-CN"/>
        </w:rPr>
        <w:t>1、本项目执行落实支持创新、绿色发展、节能环保、促进中小型企业发展政策（监狱企业、残疾人福利性企业视同小微企业），优先采购节能环保产品，政府强制采购节能产品等。</w:t>
      </w:r>
      <w:bookmarkEnd w:id="3"/>
    </w:p>
    <w:p w14:paraId="4B1EEED4">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4" w:name="_Toc9504"/>
      <w:r>
        <w:rPr>
          <w:rFonts w:hint="eastAsia" w:ascii="宋体" w:hAnsi="宋体" w:cs="宋体"/>
          <w:b w:val="0"/>
          <w:bCs w:val="0"/>
          <w:color w:val="auto"/>
          <w:sz w:val="24"/>
          <w:highlight w:val="none"/>
          <w:lang w:val="en-US" w:eastAsia="zh-CN"/>
        </w:rPr>
        <w:t>2、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bookmarkEnd w:id="4"/>
    </w:p>
    <w:p w14:paraId="5FA8E21F">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5" w:name="_Toc19321"/>
      <w:r>
        <w:rPr>
          <w:rFonts w:hint="eastAsia" w:ascii="宋体" w:hAnsi="宋体" w:cs="宋体"/>
          <w:b w:val="0"/>
          <w:bCs w:val="0"/>
          <w:color w:val="auto"/>
          <w:sz w:val="24"/>
          <w:highlight w:val="none"/>
          <w:lang w:val="en-US" w:eastAsia="zh-CN"/>
        </w:rPr>
        <w:t>3、供应商可通过平顶山市公共资源交易平台向采购人（代理机构）、行政监督部门提出在线质疑（异议）、投诉。</w:t>
      </w:r>
      <w:bookmarkEnd w:id="5"/>
    </w:p>
    <w:p w14:paraId="60FC4E69">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6" w:name="_Toc22227"/>
      <w:r>
        <w:rPr>
          <w:rFonts w:hint="eastAsia" w:ascii="宋体" w:hAnsi="宋体" w:cs="宋体"/>
          <w:b w:val="0"/>
          <w:bCs w:val="0"/>
          <w:color w:val="auto"/>
          <w:sz w:val="24"/>
          <w:highlight w:val="none"/>
          <w:lang w:val="en-US" w:eastAsia="zh-CN"/>
        </w:rPr>
        <w:t>4、该公告已同步至“平顶山市公共资源交易中心微信公众号”，可通过公众号中的服务栏目进行查阅”。</w:t>
      </w:r>
      <w:bookmarkEnd w:id="6"/>
    </w:p>
    <w:p w14:paraId="5C8A8C2F">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7" w:name="_Toc30915"/>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可同时参与多个标包投标，可同时中标不同产品多个标包。同一产品划分多个标包的，</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可同时参与多个标包投标，但只允许中取一个标包（若同一投标人在多个包中综合得分排名第一时，确定其为包号顺序靠前</w:t>
      </w:r>
      <w:r>
        <w:rPr>
          <w:rFonts w:hint="eastAsia" w:ascii="宋体" w:hAnsi="宋体" w:cs="宋体"/>
          <w:b w:val="0"/>
          <w:bCs w:val="0"/>
          <w:color w:val="auto"/>
          <w:sz w:val="24"/>
          <w:highlight w:val="none"/>
          <w:lang w:val="en-US" w:eastAsia="zh-CN"/>
        </w:rPr>
        <w:t>标</w:t>
      </w:r>
      <w:r>
        <w:rPr>
          <w:rFonts w:hint="eastAsia" w:ascii="宋体" w:hAnsi="宋体" w:cs="宋体"/>
          <w:b w:val="0"/>
          <w:bCs w:val="0"/>
          <w:color w:val="auto"/>
          <w:sz w:val="24"/>
          <w:highlight w:val="none"/>
        </w:rPr>
        <w:t>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bookmarkEnd w:id="7"/>
    </w:p>
    <w:p w14:paraId="10CBD27E">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8" w:name="_Toc18792"/>
      <w:r>
        <w:rPr>
          <w:rFonts w:hint="eastAsia" w:ascii="宋体" w:hAnsi="宋体" w:cs="宋体"/>
          <w:b w:val="0"/>
          <w:bCs w:val="0"/>
          <w:color w:val="auto"/>
          <w:sz w:val="24"/>
          <w:highlight w:val="none"/>
          <w:lang w:val="en-US" w:eastAsia="zh-CN"/>
        </w:rPr>
        <w:t>6、监督单位：平顶山市政府采购服务中心</w:t>
      </w:r>
      <w:bookmarkEnd w:id="8"/>
    </w:p>
    <w:p w14:paraId="6CDD4942">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9" w:name="_Toc27846"/>
      <w:r>
        <w:rPr>
          <w:rFonts w:hint="eastAsia" w:ascii="宋体" w:hAnsi="宋体" w:cs="宋体"/>
          <w:b w:val="0"/>
          <w:bCs w:val="0"/>
          <w:color w:val="auto"/>
          <w:sz w:val="24"/>
          <w:highlight w:val="none"/>
          <w:lang w:val="en-US" w:eastAsia="zh-CN"/>
        </w:rPr>
        <w:t>联系方式：0375-262759</w:t>
      </w:r>
      <w:bookmarkEnd w:id="9"/>
      <w:r>
        <w:rPr>
          <w:rFonts w:hint="eastAsia" w:ascii="宋体" w:hAnsi="宋体" w:cs="宋体"/>
          <w:b w:val="0"/>
          <w:bCs w:val="0"/>
          <w:color w:val="auto"/>
          <w:sz w:val="24"/>
          <w:highlight w:val="none"/>
          <w:lang w:val="en-US" w:eastAsia="zh-CN"/>
        </w:rPr>
        <w:t>3</w:t>
      </w:r>
    </w:p>
    <w:p w14:paraId="607B105B">
      <w:pPr>
        <w:widowControl/>
        <w:spacing w:line="360" w:lineRule="auto"/>
        <w:ind w:firstLine="480" w:firstLineChars="200"/>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统一社会信用代码：12410400MB1N33980Q</w:t>
      </w:r>
    </w:p>
    <w:p w14:paraId="6E4225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八、凡对本次招标提出询问，请按照以下方式联系</w:t>
      </w:r>
    </w:p>
    <w:p w14:paraId="7B3DA1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14:paraId="236B8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r>
        <w:rPr>
          <w:rFonts w:hint="eastAsia" w:ascii="宋体" w:hAnsi="宋体" w:cs="宋体"/>
          <w:b w:val="0"/>
          <w:bCs w:val="0"/>
          <w:color w:val="auto"/>
          <w:sz w:val="24"/>
          <w:szCs w:val="24"/>
          <w:highlight w:val="none"/>
          <w:lang w:eastAsia="zh-CN"/>
        </w:rPr>
        <w:t>平顶山市消防救援支队</w:t>
      </w:r>
      <w:r>
        <w:rPr>
          <w:rFonts w:hint="eastAsia" w:ascii="宋体" w:hAnsi="宋体" w:eastAsia="宋体" w:cs="宋体"/>
          <w:b w:val="0"/>
          <w:bCs w:val="0"/>
          <w:color w:val="auto"/>
          <w:sz w:val="24"/>
          <w:szCs w:val="24"/>
          <w:highlight w:val="none"/>
        </w:rPr>
        <w:t xml:space="preserve">  </w:t>
      </w:r>
    </w:p>
    <w:p w14:paraId="2848B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地址：平顶山市新城区未来路与吉祥路交叉口</w:t>
      </w:r>
    </w:p>
    <w:p w14:paraId="05575C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张文超</w:t>
      </w:r>
    </w:p>
    <w:p w14:paraId="4831E1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0375-2235025</w:t>
      </w:r>
      <w:r>
        <w:rPr>
          <w:rFonts w:hint="eastAsia" w:ascii="宋体" w:hAnsi="宋体" w:eastAsia="宋体" w:cs="宋体"/>
          <w:b w:val="0"/>
          <w:bCs w:val="0"/>
          <w:color w:val="auto"/>
          <w:sz w:val="24"/>
          <w:szCs w:val="24"/>
          <w:highlight w:val="none"/>
        </w:rPr>
        <w:t xml:space="preserve"> </w:t>
      </w:r>
    </w:p>
    <w:p w14:paraId="6B397660">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0" w:name="_Toc30939"/>
      <w:r>
        <w:rPr>
          <w:rFonts w:hint="eastAsia" w:ascii="宋体" w:hAnsi="宋体" w:cs="宋体"/>
          <w:b w:val="0"/>
          <w:bCs w:val="0"/>
          <w:color w:val="auto"/>
          <w:sz w:val="24"/>
          <w:highlight w:val="none"/>
        </w:rPr>
        <w:t>2.采购代理机构信息（如有）</w:t>
      </w:r>
      <w:bookmarkEnd w:id="10"/>
      <w:r>
        <w:rPr>
          <w:rFonts w:hint="eastAsia" w:ascii="宋体" w:hAnsi="宋体" w:cs="宋体"/>
          <w:b w:val="0"/>
          <w:bCs w:val="0"/>
          <w:color w:val="auto"/>
          <w:sz w:val="24"/>
          <w:highlight w:val="none"/>
        </w:rPr>
        <w:t xml:space="preserve"> </w:t>
      </w:r>
    </w:p>
    <w:p w14:paraId="5732A674">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w:t>
      </w:r>
      <w:r>
        <w:rPr>
          <w:rFonts w:hint="eastAsia" w:ascii="宋体" w:hAnsi="宋体" w:cs="宋体"/>
          <w:b w:val="0"/>
          <w:bCs w:val="0"/>
          <w:color w:val="auto"/>
          <w:sz w:val="24"/>
          <w:highlight w:val="none"/>
          <w:lang w:eastAsia="zh-CN"/>
        </w:rPr>
        <w:t>中发祥和工程管理有限公司</w:t>
      </w:r>
      <w:r>
        <w:rPr>
          <w:rFonts w:hint="eastAsia" w:ascii="宋体" w:hAnsi="宋体" w:cs="宋体"/>
          <w:b w:val="0"/>
          <w:bCs w:val="0"/>
          <w:color w:val="auto"/>
          <w:sz w:val="24"/>
          <w:highlight w:val="none"/>
        </w:rPr>
        <w:t xml:space="preserve"> </w:t>
      </w:r>
    </w:p>
    <w:p w14:paraId="0DC81168">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地址：河南省郑州市中原区建设西路198号院B座12层10号、11号</w:t>
      </w:r>
    </w:p>
    <w:p w14:paraId="1F5BC096">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eastAsia="zh-CN"/>
        </w:rPr>
        <w:t>张克玉</w:t>
      </w:r>
    </w:p>
    <w:p w14:paraId="10F50367">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14:paraId="6DE06DEA">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1" w:name="_Toc15407"/>
      <w:r>
        <w:rPr>
          <w:rFonts w:hint="eastAsia" w:ascii="宋体" w:hAnsi="宋体" w:cs="宋体"/>
          <w:b w:val="0"/>
          <w:bCs w:val="0"/>
          <w:color w:val="auto"/>
          <w:sz w:val="24"/>
          <w:highlight w:val="none"/>
        </w:rPr>
        <w:t>3.项目联系方式</w:t>
      </w:r>
      <w:bookmarkEnd w:id="11"/>
      <w:r>
        <w:rPr>
          <w:rFonts w:hint="eastAsia" w:ascii="宋体" w:hAnsi="宋体" w:cs="宋体"/>
          <w:b w:val="0"/>
          <w:bCs w:val="0"/>
          <w:color w:val="auto"/>
          <w:sz w:val="24"/>
          <w:highlight w:val="none"/>
        </w:rPr>
        <w:t xml:space="preserve"> </w:t>
      </w:r>
    </w:p>
    <w:p w14:paraId="0D62E3EC">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项目联系人：</w:t>
      </w:r>
      <w:r>
        <w:rPr>
          <w:rFonts w:hint="eastAsia" w:ascii="宋体" w:hAnsi="宋体" w:cs="宋体"/>
          <w:b w:val="0"/>
          <w:bCs w:val="0"/>
          <w:color w:val="auto"/>
          <w:sz w:val="24"/>
          <w:highlight w:val="none"/>
          <w:lang w:eastAsia="zh-CN"/>
        </w:rPr>
        <w:t>张克玉</w:t>
      </w:r>
    </w:p>
    <w:p w14:paraId="3E104C34">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14:paraId="3B97B6F2">
      <w:pPr>
        <w:adjustRightInd w:val="0"/>
        <w:snapToGrid w:val="0"/>
        <w:spacing w:line="360" w:lineRule="auto"/>
        <w:ind w:firstLine="480" w:firstLineChars="200"/>
        <w:jc w:val="left"/>
        <w:rPr>
          <w:color w:val="auto"/>
          <w:highlight w:val="none"/>
        </w:rPr>
      </w:pPr>
      <w:r>
        <w:rPr>
          <w:rFonts w:ascii="宋体" w:hAnsi="宋体" w:cs="宋体"/>
          <w:color w:val="auto"/>
          <w:sz w:val="24"/>
          <w:highlight w:val="none"/>
        </w:rPr>
        <w:t xml:space="preserve">  </w:t>
      </w:r>
    </w:p>
    <w:p w14:paraId="393684F2">
      <w:pPr>
        <w:numPr>
          <w:ilvl w:val="0"/>
          <w:numId w:val="1"/>
        </w:numPr>
        <w:spacing w:line="360" w:lineRule="auto"/>
        <w:jc w:val="center"/>
        <w:outlineLvl w:val="0"/>
        <w:rPr>
          <w:rStyle w:val="26"/>
          <w:rFonts w:ascii="宋体" w:cs="宋体"/>
          <w:color w:val="auto"/>
          <w:highlight w:val="none"/>
        </w:rPr>
      </w:pPr>
      <w:bookmarkStart w:id="12" w:name="_Toc40112128"/>
      <w:bookmarkStart w:id="13" w:name="_Toc25086"/>
      <w:r>
        <w:rPr>
          <w:rStyle w:val="26"/>
          <w:rFonts w:ascii="宋体" w:cs="宋体"/>
          <w:color w:val="auto"/>
          <w:highlight w:val="none"/>
        </w:rPr>
        <w:br w:type="page"/>
      </w:r>
      <w:bookmarkStart w:id="14" w:name="_Toc22667"/>
      <w:bookmarkStart w:id="15" w:name="_Toc25487"/>
      <w:bookmarkStart w:id="16" w:name="_Toc4342"/>
      <w:r>
        <w:rPr>
          <w:rStyle w:val="26"/>
          <w:rFonts w:hint="eastAsia" w:ascii="宋体" w:hAnsi="宋体" w:cs="宋体"/>
          <w:color w:val="auto"/>
          <w:highlight w:val="none"/>
          <w:lang w:eastAsia="zh-CN"/>
        </w:rPr>
        <w:t>投标人</w:t>
      </w:r>
      <w:r>
        <w:rPr>
          <w:rStyle w:val="26"/>
          <w:rFonts w:hint="eastAsia" w:ascii="宋体" w:hAnsi="宋体" w:cs="宋体"/>
          <w:color w:val="auto"/>
          <w:highlight w:val="none"/>
        </w:rPr>
        <w:t>须知</w:t>
      </w:r>
      <w:bookmarkEnd w:id="12"/>
      <w:bookmarkEnd w:id="13"/>
      <w:bookmarkEnd w:id="14"/>
      <w:bookmarkEnd w:id="15"/>
      <w:bookmarkEnd w:id="16"/>
    </w:p>
    <w:p w14:paraId="032E8825">
      <w:pPr>
        <w:pStyle w:val="3"/>
        <w:ind w:left="420"/>
        <w:jc w:val="center"/>
        <w:rPr>
          <w:rStyle w:val="26"/>
          <w:rFonts w:ascii="宋体" w:hAnsi="Arial" w:cs="宋体"/>
          <w:b/>
          <w:bCs/>
          <w:color w:val="auto"/>
          <w:szCs w:val="32"/>
          <w:highlight w:val="none"/>
        </w:rPr>
      </w:pPr>
      <w:bookmarkStart w:id="17" w:name="_Toc9954"/>
      <w:bookmarkStart w:id="18" w:name="_Toc2805"/>
      <w:bookmarkStart w:id="19" w:name="_Toc14706"/>
      <w:bookmarkStart w:id="20" w:name="_Toc40112129"/>
      <w:bookmarkStart w:id="21" w:name="_Toc29940"/>
      <w:r>
        <w:rPr>
          <w:rStyle w:val="26"/>
          <w:rFonts w:hint="eastAsia" w:ascii="宋体" w:hAnsi="宋体" w:cs="宋体"/>
          <w:b/>
          <w:bCs/>
          <w:color w:val="auto"/>
          <w:szCs w:val="32"/>
          <w:highlight w:val="none"/>
          <w:lang w:eastAsia="zh-CN"/>
        </w:rPr>
        <w:t>投标人</w:t>
      </w:r>
      <w:r>
        <w:rPr>
          <w:rStyle w:val="26"/>
          <w:rFonts w:hint="eastAsia" w:ascii="宋体" w:hAnsi="宋体" w:cs="宋体"/>
          <w:b/>
          <w:bCs/>
          <w:color w:val="auto"/>
          <w:szCs w:val="32"/>
          <w:highlight w:val="none"/>
        </w:rPr>
        <w:t>须知前附表</w:t>
      </w:r>
      <w:bookmarkEnd w:id="17"/>
      <w:bookmarkEnd w:id="18"/>
      <w:bookmarkEnd w:id="19"/>
      <w:bookmarkEnd w:id="20"/>
      <w:bookmarkEnd w:id="21"/>
    </w:p>
    <w:p w14:paraId="60E935A1">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本表是对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须知的具体补充和修改，如有矛盾，应以本表为准。</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546"/>
      </w:tblGrid>
      <w:tr w14:paraId="41C4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4EEB6733">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70" w:type="pct"/>
            <w:vAlign w:val="center"/>
          </w:tcPr>
          <w:p w14:paraId="0389D848">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412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14:paraId="6FF10A80">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470" w:type="pct"/>
            <w:vAlign w:val="center"/>
          </w:tcPr>
          <w:p w14:paraId="76FEA511">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平顶山市消防救援支队</w:t>
            </w:r>
            <w:r>
              <w:rPr>
                <w:rFonts w:hint="eastAsia" w:ascii="宋体" w:hAnsi="宋体" w:eastAsia="宋体" w:cs="宋体"/>
                <w:color w:val="auto"/>
                <w:sz w:val="24"/>
                <w:szCs w:val="24"/>
                <w:highlight w:val="none"/>
              </w:rPr>
              <w:t xml:space="preserve">  </w:t>
            </w:r>
          </w:p>
          <w:p w14:paraId="662BBE1A">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地址：平顶山市新城区未来路与吉祥路交叉口</w:t>
            </w:r>
          </w:p>
          <w:p w14:paraId="1BE45F22">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张文超</w:t>
            </w:r>
          </w:p>
          <w:p w14:paraId="53AA183F">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0375-2235025</w:t>
            </w:r>
            <w:r>
              <w:rPr>
                <w:rFonts w:hint="eastAsia" w:ascii="宋体" w:hAnsi="宋体" w:eastAsia="宋体" w:cs="宋体"/>
                <w:color w:val="auto"/>
                <w:sz w:val="24"/>
                <w:szCs w:val="24"/>
                <w:highlight w:val="none"/>
              </w:rPr>
              <w:t xml:space="preserve"> </w:t>
            </w:r>
          </w:p>
        </w:tc>
      </w:tr>
      <w:tr w14:paraId="6A3E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529" w:type="pct"/>
            <w:vAlign w:val="center"/>
          </w:tcPr>
          <w:p w14:paraId="212AB1EF">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470" w:type="pct"/>
            <w:vAlign w:val="center"/>
          </w:tcPr>
          <w:p w14:paraId="6D78629C">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中发祥和工程管理有限公司</w:t>
            </w:r>
            <w:r>
              <w:rPr>
                <w:rFonts w:hint="eastAsia" w:ascii="宋体" w:hAnsi="宋体" w:eastAsia="宋体" w:cs="宋体"/>
                <w:color w:val="auto"/>
                <w:sz w:val="24"/>
                <w:szCs w:val="24"/>
                <w:highlight w:val="none"/>
              </w:rPr>
              <w:t xml:space="preserve"> </w:t>
            </w:r>
          </w:p>
          <w:p w14:paraId="5E64DE5B">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地址：河南省郑州市中原区建设西路198号院B座12层10号、11号</w:t>
            </w:r>
          </w:p>
          <w:p w14:paraId="164A0BF8">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张克玉</w:t>
            </w:r>
          </w:p>
          <w:p w14:paraId="0C5FB90A">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0371-63399916,15639044333</w:t>
            </w:r>
          </w:p>
        </w:tc>
      </w:tr>
      <w:tr w14:paraId="725D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29" w:type="pct"/>
            <w:vAlign w:val="center"/>
          </w:tcPr>
          <w:p w14:paraId="4CBA1C79">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4470" w:type="pct"/>
            <w:vAlign w:val="center"/>
          </w:tcPr>
          <w:p w14:paraId="79BC41C5">
            <w:pPr>
              <w:widowControl/>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b w:val="0"/>
                <w:bCs w:val="0"/>
                <w:color w:val="auto"/>
                <w:sz w:val="24"/>
                <w:highlight w:val="none"/>
              </w:rPr>
              <w:t>平采招标-2024-35</w:t>
            </w:r>
          </w:p>
          <w:p w14:paraId="52E92CCE">
            <w:pPr>
              <w:widowControl/>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平顶山市消防救援支队河南省消防救援总队“自然灾害应急能力提升工程”平顶山支队装备建设项目（三次）</w:t>
            </w:r>
          </w:p>
        </w:tc>
      </w:tr>
      <w:tr w14:paraId="4F60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29" w:type="pct"/>
            <w:vAlign w:val="center"/>
          </w:tcPr>
          <w:p w14:paraId="30B92928">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4470" w:type="pct"/>
            <w:vAlign w:val="center"/>
          </w:tcPr>
          <w:p w14:paraId="7CD7EE22">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具体技术参数要求详见招标文件“第六章招标项目需求及技术要求”。</w:t>
            </w:r>
          </w:p>
        </w:tc>
      </w:tr>
      <w:tr w14:paraId="73A4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29" w:type="pct"/>
            <w:vAlign w:val="center"/>
          </w:tcPr>
          <w:p w14:paraId="2D388E84">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4470" w:type="pct"/>
            <w:vAlign w:val="center"/>
          </w:tcPr>
          <w:p w14:paraId="0F96EC9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14:paraId="4CEEE890">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11782830.00</w:t>
            </w:r>
            <w:r>
              <w:rPr>
                <w:rFonts w:hint="eastAsia" w:ascii="宋体" w:hAnsi="宋体" w:eastAsia="宋体" w:cs="宋体"/>
                <w:color w:val="auto"/>
                <w:sz w:val="24"/>
                <w:szCs w:val="24"/>
                <w:highlight w:val="none"/>
              </w:rPr>
              <w:t>元，最高限价：</w:t>
            </w:r>
            <w:r>
              <w:rPr>
                <w:rFonts w:hint="eastAsia" w:ascii="宋体" w:hAnsi="宋体" w:cs="宋体"/>
                <w:b w:val="0"/>
                <w:bCs w:val="0"/>
                <w:color w:val="auto"/>
                <w:sz w:val="24"/>
                <w:highlight w:val="none"/>
                <w:lang w:val="en-US" w:eastAsia="zh-CN"/>
              </w:rPr>
              <w:t>3640480.00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所投标包投标总报价不可超过所投标包最高限价，且该标包中各单品报价不得超过单品最高限价，否则按无效标处理。各标包最高限价及单品限价详见“第六章  招标项目需求及技术要求”。</w:t>
            </w:r>
          </w:p>
        </w:tc>
      </w:tr>
      <w:tr w14:paraId="4217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9" w:type="pct"/>
            <w:vAlign w:val="center"/>
          </w:tcPr>
          <w:p w14:paraId="64AE915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4470" w:type="pct"/>
            <w:vAlign w:val="center"/>
          </w:tcPr>
          <w:p w14:paraId="1C91C94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交货期：</w:t>
            </w:r>
            <w:r>
              <w:rPr>
                <w:rFonts w:hint="eastAsia" w:ascii="宋体" w:hAnsi="宋体" w:eastAsia="宋体" w:cs="宋体"/>
                <w:color w:val="auto"/>
                <w:sz w:val="24"/>
                <w:szCs w:val="24"/>
                <w:highlight w:val="none"/>
              </w:rPr>
              <w:t>详见招标文件“第六章招标项目需求及技术要求”。</w:t>
            </w:r>
          </w:p>
        </w:tc>
      </w:tr>
      <w:tr w14:paraId="7BEC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9" w:type="pct"/>
            <w:vAlign w:val="center"/>
          </w:tcPr>
          <w:p w14:paraId="3071B236">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4470" w:type="pct"/>
            <w:vAlign w:val="center"/>
          </w:tcPr>
          <w:p w14:paraId="01DC2A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tc>
      </w:tr>
      <w:tr w14:paraId="1163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43F10DE3">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4470" w:type="pct"/>
            <w:vAlign w:val="center"/>
          </w:tcPr>
          <w:p w14:paraId="18C7AC8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详见</w:t>
            </w:r>
            <w:r>
              <w:rPr>
                <w:rFonts w:hint="eastAsia" w:ascii="宋体" w:hAnsi="宋体" w:eastAsia="宋体" w:cs="宋体"/>
                <w:color w:val="auto"/>
                <w:sz w:val="24"/>
                <w:szCs w:val="24"/>
                <w:highlight w:val="none"/>
              </w:rPr>
              <w:t>招标文件“第六章招标项目需求及技术要求”，自验收合格之日算起。</w:t>
            </w:r>
          </w:p>
        </w:tc>
      </w:tr>
      <w:tr w14:paraId="1A05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5CA1352E">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4470" w:type="pct"/>
            <w:vAlign w:val="center"/>
          </w:tcPr>
          <w:p w14:paraId="2D99B30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cs="宋体"/>
                <w:color w:val="auto"/>
                <w:sz w:val="24"/>
                <w:highlight w:val="none"/>
              </w:rPr>
              <w:t>合格（符合现行国家、行业、地方相关规范要求）</w:t>
            </w:r>
          </w:p>
        </w:tc>
      </w:tr>
      <w:tr w14:paraId="0497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29" w:type="pct"/>
            <w:vAlign w:val="center"/>
          </w:tcPr>
          <w:p w14:paraId="04A1A38A">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4470" w:type="pct"/>
            <w:vAlign w:val="center"/>
          </w:tcPr>
          <w:p w14:paraId="11D0550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资格要求：详见招标公告“二、申请人资格要求”。</w:t>
            </w:r>
          </w:p>
        </w:tc>
      </w:tr>
      <w:tr w14:paraId="6F75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9" w:type="pct"/>
            <w:vAlign w:val="center"/>
          </w:tcPr>
          <w:p w14:paraId="44A86862">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4470" w:type="pct"/>
            <w:vAlign w:val="center"/>
          </w:tcPr>
          <w:p w14:paraId="5E02866D">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是否接受联合体投标：不接受</w:t>
            </w:r>
          </w:p>
        </w:tc>
      </w:tr>
      <w:tr w14:paraId="496B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529" w:type="pct"/>
            <w:vAlign w:val="center"/>
          </w:tcPr>
          <w:p w14:paraId="3F6D4955">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4470" w:type="pct"/>
            <w:vAlign w:val="center"/>
          </w:tcPr>
          <w:p w14:paraId="3E01C210">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不得存在的其他情形：</w:t>
            </w:r>
          </w:p>
          <w:p w14:paraId="3631E6C3">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14:paraId="48D4F7A8">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p>
          <w:p w14:paraId="28D0108B">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14:paraId="14ECBA28">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（4）不得以向采购人行贿或者采取其他不正当手段谋取非法利益；</w:t>
            </w:r>
          </w:p>
          <w:p w14:paraId="18AB2A4F">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（5）为本项目提供招标代理服务的；</w:t>
            </w:r>
          </w:p>
          <w:p w14:paraId="5B0B1A9F">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14:paraId="722D0A5F">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14:paraId="0B8B7662">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14:paraId="5718FF0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（9）在最近三年内有骗取中标或严重违约或重大质量问题的。</w:t>
            </w:r>
          </w:p>
        </w:tc>
      </w:tr>
      <w:tr w14:paraId="0C39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5D2D268E">
            <w:pPr>
              <w:adjustRightInd w:val="0"/>
              <w:snapToGrid w:val="0"/>
              <w:spacing w:line="360" w:lineRule="auto"/>
              <w:ind w:left="38" w:leftChars="18"/>
              <w:jc w:val="center"/>
              <w:rPr>
                <w:rFonts w:hint="eastAsia" w:ascii="宋体" w:hAnsi="宋体" w:eastAsia="宋体" w:cs="宋体"/>
                <w:color w:val="auto"/>
                <w:sz w:val="24"/>
                <w:szCs w:val="24"/>
                <w:highlight w:val="none"/>
                <w:u w:val="wave"/>
              </w:rPr>
            </w:pPr>
            <w:r>
              <w:rPr>
                <w:rFonts w:hint="eastAsia" w:ascii="宋体" w:hAnsi="宋体" w:eastAsia="宋体" w:cs="宋体"/>
                <w:color w:val="auto"/>
                <w:sz w:val="24"/>
                <w:szCs w:val="24"/>
                <w:highlight w:val="none"/>
              </w:rPr>
              <w:t>1.4.1</w:t>
            </w:r>
          </w:p>
        </w:tc>
        <w:tc>
          <w:tcPr>
            <w:tcW w:w="4470" w:type="pct"/>
            <w:vAlign w:val="center"/>
          </w:tcPr>
          <w:p w14:paraId="62341333">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现场考察：不组织</w:t>
            </w:r>
          </w:p>
        </w:tc>
      </w:tr>
      <w:tr w14:paraId="5A48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29909F05">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4470" w:type="pct"/>
            <w:vAlign w:val="center"/>
          </w:tcPr>
          <w:p w14:paraId="705564AB">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答疑会：不召开</w:t>
            </w:r>
          </w:p>
        </w:tc>
      </w:tr>
      <w:tr w14:paraId="24ED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705E66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70" w:type="pct"/>
            <w:vAlign w:val="center"/>
          </w:tcPr>
          <w:p w14:paraId="17B73D01">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分包：不允许</w:t>
            </w:r>
          </w:p>
        </w:tc>
      </w:tr>
      <w:tr w14:paraId="22A0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15E03DC9">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4470" w:type="pct"/>
            <w:vAlign w:val="center"/>
          </w:tcPr>
          <w:p w14:paraId="7F3CA5DD">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实质性要求及条件：投标无效条款；招标文件中用“拒绝”、“不（予）接受”、“不得”、“不允许”、“否决”等文字规定的条款；法律、法规、规章的相关规定。</w:t>
            </w:r>
          </w:p>
        </w:tc>
      </w:tr>
      <w:tr w14:paraId="0E1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E31EE5D">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p>
        </w:tc>
        <w:tc>
          <w:tcPr>
            <w:tcW w:w="4470" w:type="pct"/>
            <w:vAlign w:val="center"/>
          </w:tcPr>
          <w:p w14:paraId="051EEDF3">
            <w:pPr>
              <w:adjustRightInd w:val="0"/>
              <w:snapToGrid w:val="0"/>
              <w:spacing w:line="360" w:lineRule="auto"/>
              <w:rPr>
                <w:rFonts w:hint="default" w:ascii="宋体" w:hAnsi="宋体" w:eastAsia="宋体" w:cs="宋体"/>
                <w:color w:val="auto"/>
                <w:sz w:val="24"/>
                <w:szCs w:val="24"/>
                <w:highlight w:val="none"/>
                <w:u w:val="wave"/>
                <w:lang w:val="en-US" w:eastAsia="zh-CN"/>
              </w:rPr>
            </w:pPr>
            <w:r>
              <w:rPr>
                <w:rFonts w:hint="eastAsia" w:ascii="宋体" w:hAnsi="宋体" w:eastAsia="宋体" w:cs="宋体"/>
                <w:color w:val="auto"/>
                <w:sz w:val="24"/>
                <w:szCs w:val="24"/>
                <w:highlight w:val="none"/>
              </w:rPr>
              <w:t>偏差： 实质性要求和条件不允许偏差，其他允许偏差。</w:t>
            </w:r>
          </w:p>
        </w:tc>
      </w:tr>
      <w:tr w14:paraId="24AB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9" w:type="pct"/>
            <w:vAlign w:val="center"/>
          </w:tcPr>
          <w:p w14:paraId="45A3262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70" w:type="pct"/>
            <w:vAlign w:val="center"/>
          </w:tcPr>
          <w:p w14:paraId="4FCCE047">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质量把控： </w:t>
            </w:r>
          </w:p>
          <w:p w14:paraId="2BD9B193">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1、投标人需在投标文件中提供投标产品3张以上图片或有关设计图纸。</w:t>
            </w:r>
          </w:p>
          <w:p w14:paraId="1571BF2D">
            <w:pPr>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2、中标后，批量生产前，需提供样品，由验收小组根据招标文件要求和投标文件承诺进行初验，样品验收合格后中标人方可批量生产。</w:t>
            </w:r>
            <w:r>
              <w:rPr>
                <w:rFonts w:hint="eastAsia" w:ascii="宋体" w:hAnsi="宋体" w:eastAsia="宋体" w:cs="宋体"/>
                <w:color w:val="auto"/>
                <w:sz w:val="24"/>
                <w:szCs w:val="24"/>
                <w:highlight w:val="none"/>
                <w:lang w:val="en-US" w:eastAsia="zh-CN"/>
              </w:rPr>
              <w:t>中标人提供样品进行验收的次数不得超过2次</w:t>
            </w:r>
            <w:r>
              <w:rPr>
                <w:rFonts w:hint="eastAsia" w:ascii="宋体" w:hAnsi="宋体" w:cs="宋体"/>
                <w:color w:val="auto"/>
                <w:sz w:val="24"/>
                <w:szCs w:val="24"/>
                <w:highlight w:val="none"/>
                <w:lang w:val="en-US" w:eastAsia="zh-CN"/>
              </w:rPr>
              <w:t>；若第1次样品验收不通过，中标人须在第1次样品验收之日起10日内提交第2次样品验收；</w:t>
            </w:r>
            <w:r>
              <w:rPr>
                <w:rFonts w:hint="eastAsia" w:ascii="宋体" w:hAnsi="宋体" w:eastAsia="宋体" w:cs="宋体"/>
                <w:color w:val="auto"/>
                <w:sz w:val="24"/>
                <w:szCs w:val="24"/>
                <w:highlight w:val="none"/>
                <w:lang w:val="en-US" w:eastAsia="zh-CN"/>
              </w:rPr>
              <w:t>若2次样品验收均不通过的，可视为中标人违约，采购人有权终止合同。</w:t>
            </w:r>
          </w:p>
          <w:p w14:paraId="06A5FCD6">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3、样品需要抽样送检的相关费用由中标人承担。</w:t>
            </w:r>
          </w:p>
          <w:p w14:paraId="7CEBC0C5">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应到产品使用单位，开展技术巡检和售后服务。</w:t>
            </w:r>
          </w:p>
          <w:p w14:paraId="272DD592">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5、投标人所投产品需附</w:t>
            </w:r>
            <w:r>
              <w:rPr>
                <w:rFonts w:hint="eastAsia" w:ascii="宋体" w:hAnsi="宋体" w:eastAsia="宋体" w:cs="宋体"/>
                <w:color w:val="auto"/>
                <w:sz w:val="24"/>
                <w:szCs w:val="24"/>
                <w:highlight w:val="none"/>
                <w:lang w:val="en-US" w:eastAsia="zh-CN"/>
              </w:rPr>
              <w:t>具有合法资质</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检测机构出具的检测报告</w:t>
            </w:r>
            <w:r>
              <w:rPr>
                <w:rFonts w:hint="eastAsia" w:ascii="宋体" w:hAnsi="宋体" w:cs="宋体"/>
                <w:color w:val="auto"/>
                <w:sz w:val="24"/>
                <w:szCs w:val="24"/>
                <w:highlight w:val="none"/>
                <w:lang w:val="en-US" w:eastAsia="zh-CN"/>
              </w:rPr>
              <w:t>或检验报告</w:t>
            </w:r>
            <w:r>
              <w:rPr>
                <w:rFonts w:hint="eastAsia" w:ascii="宋体" w:hAnsi="宋体" w:eastAsia="宋体" w:cs="宋体"/>
                <w:color w:val="auto"/>
                <w:sz w:val="24"/>
                <w:szCs w:val="24"/>
                <w:highlight w:val="none"/>
              </w:rPr>
              <w:t>或产品合格证书，具体要求详见“第六章招标项目需求及技术要求”。</w:t>
            </w:r>
          </w:p>
        </w:tc>
      </w:tr>
      <w:tr w14:paraId="6378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Merge w:val="restart"/>
            <w:vAlign w:val="center"/>
          </w:tcPr>
          <w:p w14:paraId="2AE1431B">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4470" w:type="pct"/>
            <w:vAlign w:val="center"/>
          </w:tcPr>
          <w:p w14:paraId="16C8C90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提出问题的截止时</w:t>
            </w:r>
            <w:r>
              <w:rPr>
                <w:rFonts w:hint="eastAsia" w:ascii="宋体" w:hAnsi="宋体" w:eastAsia="宋体" w:cs="宋体"/>
                <w:color w:val="auto"/>
                <w:sz w:val="24"/>
                <w:szCs w:val="24"/>
                <w:highlight w:val="none"/>
              </w:rPr>
              <w:t>间：</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文件公告期限届满之日起7个工作日内</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tc>
      </w:tr>
      <w:tr w14:paraId="62D2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Merge w:val="continue"/>
            <w:vAlign w:val="center"/>
          </w:tcPr>
          <w:p w14:paraId="3EF4B5E3">
            <w:pPr>
              <w:adjustRightInd w:val="0"/>
              <w:snapToGrid w:val="0"/>
              <w:spacing w:line="360" w:lineRule="auto"/>
              <w:ind w:left="38" w:leftChars="18"/>
              <w:jc w:val="center"/>
              <w:rPr>
                <w:rFonts w:hint="eastAsia" w:ascii="宋体" w:hAnsi="宋体" w:eastAsia="宋体" w:cs="宋体"/>
                <w:color w:val="auto"/>
                <w:sz w:val="24"/>
                <w:szCs w:val="24"/>
                <w:highlight w:val="none"/>
              </w:rPr>
            </w:pPr>
          </w:p>
        </w:tc>
        <w:tc>
          <w:tcPr>
            <w:tcW w:w="4470" w:type="pct"/>
            <w:vAlign w:val="center"/>
          </w:tcPr>
          <w:p w14:paraId="155A1E95">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采购人书面澄清时间及方式：</w:t>
            </w:r>
            <w:r>
              <w:rPr>
                <w:rFonts w:hint="eastAsia" w:ascii="宋体" w:hAnsi="宋体" w:eastAsia="宋体" w:cs="宋体"/>
                <w:color w:val="auto"/>
                <w:sz w:val="24"/>
                <w:szCs w:val="24"/>
                <w:highlight w:val="none"/>
              </w:rPr>
              <w:t>递交投标文件的截止之日15日前，在</w:t>
            </w:r>
            <w:r>
              <w:rPr>
                <w:rFonts w:hint="eastAsia" w:ascii="宋体" w:hAnsi="宋体" w:cs="宋体"/>
                <w:color w:val="auto"/>
                <w:sz w:val="24"/>
                <w:szCs w:val="24"/>
                <w:highlight w:val="none"/>
                <w:shd w:val="clear" w:color="auto" w:fill="FFFFFF"/>
                <w:lang w:eastAsia="zh-CN"/>
              </w:rPr>
              <w:t>《全国公共资源交易平台（河南省·平顶山市）》</w:t>
            </w:r>
            <w:r>
              <w:rPr>
                <w:rFonts w:hint="eastAsia" w:ascii="宋体" w:hAnsi="宋体" w:eastAsia="宋体" w:cs="宋体"/>
                <w:color w:val="auto"/>
                <w:sz w:val="24"/>
                <w:szCs w:val="24"/>
                <w:highlight w:val="none"/>
              </w:rPr>
              <w:t>发布，发出即为收到。</w:t>
            </w:r>
          </w:p>
        </w:tc>
      </w:tr>
      <w:tr w14:paraId="2637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C3076A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4470" w:type="pct"/>
            <w:vAlign w:val="center"/>
          </w:tcPr>
          <w:p w14:paraId="3B51380D">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招标文件澄清发出形式：在“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14:paraId="4BC5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474645E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4470" w:type="pct"/>
            <w:vAlign w:val="center"/>
          </w:tcPr>
          <w:p w14:paraId="45C0F6A5">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招标文件修改发出形式：在“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14:paraId="0FBB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13704C30">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4470" w:type="pct"/>
            <w:vAlign w:val="center"/>
          </w:tcPr>
          <w:p w14:paraId="5F22785A">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根据《河南省财政厅关于优化政府采购营商环境有关问题的通知》豫财购【2019】4号文要求，不再收取</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rPr>
              <w:t>。</w:t>
            </w:r>
          </w:p>
        </w:tc>
      </w:tr>
      <w:tr w14:paraId="04D8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263EBFB">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4470" w:type="pct"/>
            <w:vAlign w:val="center"/>
          </w:tcPr>
          <w:p w14:paraId="6AC25BCB">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投标有效期：递交投标文件截止之日起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14:paraId="79C9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29" w:type="pct"/>
            <w:vAlign w:val="center"/>
          </w:tcPr>
          <w:p w14:paraId="1A35F451">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470" w:type="pct"/>
            <w:vAlign w:val="center"/>
          </w:tcPr>
          <w:p w14:paraId="49B98639">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电子投标文件须按招标文件格式要求进行电子签章或签字。</w:t>
            </w:r>
          </w:p>
          <w:p w14:paraId="4D54ED83">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若委托代理人签字的，且委托代理人没有CA锁，则投标文件需上传有手写签名的扫描件。</w:t>
            </w:r>
          </w:p>
          <w:p w14:paraId="7CAA3147">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必须在投标截止时间前，按系统指定位置上传投标文件。同时参与多个包(若有)的须分别编制递交投标文件。</w:t>
            </w:r>
          </w:p>
        </w:tc>
      </w:tr>
      <w:tr w14:paraId="6008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211E8E70">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470" w:type="pct"/>
            <w:vAlign w:val="center"/>
          </w:tcPr>
          <w:p w14:paraId="57E834F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截</w:t>
            </w:r>
            <w:r>
              <w:rPr>
                <w:rFonts w:hint="eastAsia" w:ascii="宋体" w:hAnsi="宋体" w:eastAsia="宋体" w:cs="宋体"/>
                <w:color w:val="auto"/>
                <w:kern w:val="0"/>
                <w:sz w:val="24"/>
                <w:szCs w:val="24"/>
                <w:highlight w:val="none"/>
              </w:rPr>
              <w:t>止</w:t>
            </w:r>
            <w:r>
              <w:rPr>
                <w:rFonts w:hint="eastAsia" w:ascii="宋体" w:hAnsi="宋体" w:eastAsia="宋体" w:cs="宋体"/>
                <w:color w:val="auto"/>
                <w:spacing w:val="-2"/>
                <w:kern w:val="0"/>
                <w:sz w:val="24"/>
                <w:szCs w:val="24"/>
                <w:highlight w:val="none"/>
              </w:rPr>
              <w:t>时</w:t>
            </w:r>
            <w:r>
              <w:rPr>
                <w:rFonts w:hint="eastAsia" w:ascii="宋体" w:hAnsi="宋体" w:eastAsia="宋体" w:cs="宋体"/>
                <w:color w:val="auto"/>
                <w:kern w:val="0"/>
                <w:sz w:val="24"/>
                <w:szCs w:val="24"/>
                <w:highlight w:val="none"/>
              </w:rPr>
              <w:t>间：</w:t>
            </w:r>
            <w:r>
              <w:rPr>
                <w:rFonts w:hint="eastAsia" w:ascii="宋体" w:hAnsi="宋体" w:eastAsia="宋体" w:cs="宋体"/>
                <w:b w:val="0"/>
                <w:bCs w:val="0"/>
                <w:color w:val="auto"/>
                <w:sz w:val="24"/>
                <w:szCs w:val="24"/>
                <w:highlight w:val="none"/>
              </w:rPr>
              <w:t>2024年0</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02</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0分（北京时间）</w:t>
            </w:r>
          </w:p>
        </w:tc>
      </w:tr>
      <w:tr w14:paraId="565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298BBB6F">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470" w:type="pct"/>
            <w:vAlign w:val="center"/>
          </w:tcPr>
          <w:p w14:paraId="635455E8">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递交投标文件地点：</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 xml:space="preserve">电子交易平台 </w:t>
            </w:r>
          </w:p>
        </w:tc>
      </w:tr>
      <w:tr w14:paraId="5A4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14:paraId="46D16462">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4470" w:type="pct"/>
            <w:vAlign w:val="center"/>
          </w:tcPr>
          <w:p w14:paraId="30BBEDA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开标时间：同投标截止时间 </w:t>
            </w:r>
          </w:p>
          <w:p w14:paraId="0E283DB9">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cs="宋体"/>
                <w:color w:val="auto"/>
                <w:kern w:val="0"/>
                <w:sz w:val="24"/>
                <w:szCs w:val="24"/>
                <w:highlight w:val="none"/>
                <w:lang w:eastAsia="zh-CN"/>
              </w:rPr>
              <w:t>《全国公共资源交易平台（河南省·平顶山市）》</w:t>
            </w:r>
          </w:p>
        </w:tc>
      </w:tr>
      <w:tr w14:paraId="4838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29" w:type="pct"/>
            <w:vAlign w:val="center"/>
          </w:tcPr>
          <w:p w14:paraId="2CE38B12">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w:t>
            </w:r>
          </w:p>
        </w:tc>
        <w:tc>
          <w:tcPr>
            <w:tcW w:w="4470" w:type="pct"/>
            <w:vAlign w:val="center"/>
          </w:tcPr>
          <w:p w14:paraId="357ABA5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评标委员会组成：评标委员会由采购人代表和评标专家组成，成员人数为7人。其中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采购人（评委）代表2人，评</w:t>
            </w:r>
            <w:r>
              <w:rPr>
                <w:rFonts w:hint="eastAsia" w:ascii="宋体" w:hAnsi="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专家5人。评标专家从政府采购专家库中随机抽取。</w:t>
            </w:r>
          </w:p>
        </w:tc>
      </w:tr>
      <w:tr w14:paraId="3002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14:paraId="7AB91B6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p>
        </w:tc>
        <w:tc>
          <w:tcPr>
            <w:tcW w:w="4470" w:type="pct"/>
            <w:vAlign w:val="center"/>
          </w:tcPr>
          <w:p w14:paraId="7CD29B5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推</w:t>
            </w:r>
            <w:r>
              <w:rPr>
                <w:rFonts w:hint="eastAsia" w:ascii="宋体" w:hAnsi="宋体" w:eastAsia="宋体" w:cs="宋体"/>
                <w:color w:val="auto"/>
                <w:spacing w:val="-2"/>
                <w:kern w:val="0"/>
                <w:sz w:val="24"/>
                <w:szCs w:val="24"/>
                <w:highlight w:val="none"/>
              </w:rPr>
              <w:t>荐</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候</w:t>
            </w:r>
            <w:r>
              <w:rPr>
                <w:rFonts w:hint="eastAsia" w:ascii="宋体" w:hAnsi="宋体" w:eastAsia="宋体" w:cs="宋体"/>
                <w:color w:val="auto"/>
                <w:spacing w:val="-2"/>
                <w:kern w:val="0"/>
                <w:sz w:val="24"/>
                <w:szCs w:val="24"/>
                <w:highlight w:val="none"/>
              </w:rPr>
              <w:t>选</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1名。</w:t>
            </w:r>
          </w:p>
        </w:tc>
      </w:tr>
      <w:tr w14:paraId="27EC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9" w:type="pct"/>
            <w:vAlign w:val="center"/>
          </w:tcPr>
          <w:p w14:paraId="1E476E93">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p>
        </w:tc>
        <w:tc>
          <w:tcPr>
            <w:tcW w:w="4470" w:type="pct"/>
            <w:vAlign w:val="center"/>
          </w:tcPr>
          <w:p w14:paraId="570CF8AB">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w:t>
            </w:r>
          </w:p>
          <w:p w14:paraId="3A17326D">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履约保证金的金额：中标金额的5%</w:t>
            </w:r>
          </w:p>
          <w:p w14:paraId="5E867510">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缴纳时间及其他要求：</w:t>
            </w:r>
            <w:r>
              <w:rPr>
                <w:rFonts w:hint="eastAsia" w:ascii="宋体" w:hAnsi="宋体" w:cs="宋体"/>
                <w:color w:val="auto"/>
                <w:spacing w:val="-3"/>
                <w:sz w:val="24"/>
                <w:highlight w:val="none"/>
                <w:lang w:eastAsia="zh-CN"/>
              </w:rPr>
              <w:t>中标人应在</w:t>
            </w:r>
            <w:r>
              <w:rPr>
                <w:rFonts w:hint="eastAsia" w:ascii="宋体" w:hAnsi="宋体" w:eastAsia="宋体" w:cs="宋体"/>
                <w:color w:val="auto"/>
                <w:sz w:val="24"/>
                <w:szCs w:val="24"/>
                <w:highlight w:val="none"/>
              </w:rPr>
              <w:t>合同签订之日起 14 个工作日内</w:t>
            </w:r>
            <w:r>
              <w:rPr>
                <w:rFonts w:hint="eastAsia" w:ascii="宋体" w:hAnsi="宋体" w:cs="宋体"/>
                <w:color w:val="auto"/>
                <w:spacing w:val="-3"/>
                <w:sz w:val="24"/>
                <w:highlight w:val="none"/>
              </w:rPr>
              <w:t>向采购人提交履约保证金。</w:t>
            </w:r>
          </w:p>
          <w:p w14:paraId="3806316E">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提交形式：转账及法律法规规定的能切实发挥履约保证作用的其他形式。但如中标人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3）有效期为保函开具之日起至全部货物到货验收合格之日起的第366天为止；（4）担保金额为中标金额的 5%（如中标人提供的保函未载明前述内容的，采购人直接拒收该保函，中标人应以银行转账或其他能切实发挥履约担保作用的方式提供履约保证金）。 </w:t>
            </w:r>
          </w:p>
          <w:p w14:paraId="715AB775">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履约保证金期限：提交之日起至全部货物到货验收合格之日起的第366天止。 </w:t>
            </w:r>
          </w:p>
          <w:p w14:paraId="065BA0DE">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可直接使用中标人提供的履约保证金进行抵扣或直接向出具独立保函的金融机构主张索赔；如违约责任/索赔金额/罚金应向采购人用户支付，则采购人用户有权报告采购人直接使用中标人提供的履约保证金进行抵扣或委托采购人向出具独立保函的金融机构主张索赔。 </w:t>
            </w:r>
          </w:p>
          <w:p w14:paraId="64E9791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pacing w:val="-3"/>
                <w:sz w:val="24"/>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14:paraId="2265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vAlign w:val="center"/>
          </w:tcPr>
          <w:p w14:paraId="5714273B">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tc>
      </w:tr>
      <w:tr w14:paraId="3922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52F32831">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4470" w:type="pct"/>
            <w:vAlign w:val="center"/>
          </w:tcPr>
          <w:p w14:paraId="71656B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14:paraId="158B1BF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（1）提供虚假材料谋取中标、成交的； </w:t>
            </w:r>
          </w:p>
          <w:p w14:paraId="349A81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 </w:t>
            </w:r>
          </w:p>
          <w:p w14:paraId="35D4486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14:paraId="1E0579B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（4）向采购人、采购代理机构行贿或者提供其他不正当利益的； </w:t>
            </w:r>
          </w:p>
          <w:p w14:paraId="1A2C66F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（5）在招标采购过程中与采购人进行协商谈判的； </w:t>
            </w:r>
          </w:p>
          <w:p w14:paraId="5F34023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（6）拒绝有关部门监督检查或者提供虚假情况的。 </w:t>
            </w:r>
          </w:p>
          <w:p w14:paraId="3E5AC88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有上述第 1 至 5 项情形之一的，中标无效。</w:t>
            </w:r>
          </w:p>
        </w:tc>
      </w:tr>
      <w:tr w14:paraId="1340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48A02F51">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8.2</w:t>
            </w:r>
          </w:p>
        </w:tc>
        <w:tc>
          <w:tcPr>
            <w:tcW w:w="4470" w:type="pct"/>
            <w:vAlign w:val="center"/>
          </w:tcPr>
          <w:p w14:paraId="6313D34B">
            <w:pPr>
              <w:pStyle w:val="27"/>
              <w:numPr>
                <w:ilvl w:val="0"/>
                <w:numId w:val="2"/>
              </w:numPr>
              <w:spacing w:line="360" w:lineRule="auto"/>
              <w:ind w:left="28"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14:paraId="3299E075">
            <w:pPr>
              <w:pStyle w:val="27"/>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中小企业划型标准以工信部联企业〔2011〕300号《工业和信息化部、国家统计局、国家发展和改革委员会、财政部关于印发中小企业划型标准规定的通知》为依据。</w:t>
            </w:r>
          </w:p>
          <w:p w14:paraId="0B24BFCD">
            <w:pPr>
              <w:pStyle w:val="27"/>
              <w:spacing w:line="360" w:lineRule="auto"/>
              <w:ind w:right="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697E931">
            <w:pPr>
              <w:pStyle w:val="27"/>
              <w:spacing w:line="360" w:lineRule="auto"/>
              <w:ind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符合中小企业划分标准的个体工商户，在政府采购活动中视同中小企业。小型、微型企业提供中型企业制造的货物的，视同为中型企业。</w:t>
            </w:r>
          </w:p>
          <w:p w14:paraId="01342FC9">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提供的货物、工程或者服务符合下列情形的，享受本办法规定的中小企业扶持政策：</w:t>
            </w:r>
          </w:p>
          <w:p w14:paraId="02DAC612">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7893A1BF">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7C49E6C9">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（三）在服务采购项目中，服务由中小企业承接，即提供服务的人员为中小企业依照《中华人民共和国民法典》订立劳动合同的从业人员。</w:t>
            </w:r>
          </w:p>
          <w:p w14:paraId="2AA3997E">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提供的货物既有中小企业制造货物，也有大型企业制造货物的，不享受本办法规定的中小企业扶持政策。</w:t>
            </w:r>
          </w:p>
          <w:p w14:paraId="2C6B0C81">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5ABE7F85">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关于投标报价评分中给予中小企业优惠的说明：评审时给予小型或微型企业10%的价格扣除，用扣除后的价格参与评审。</w:t>
            </w:r>
          </w:p>
          <w:p w14:paraId="284EC711">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大型企业评标报价=投标报价</w:t>
            </w:r>
          </w:p>
          <w:p w14:paraId="670F1AAE">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中型企业评标报价=投标报价</w:t>
            </w:r>
          </w:p>
          <w:p w14:paraId="71630EC7">
            <w:pPr>
              <w:pStyle w:val="27"/>
              <w:spacing w:line="360" w:lineRule="auto"/>
              <w:ind w:left="28" w:right="-72" w:firstLine="480" w:firstLineChars="200"/>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小型或微型企业评标报价=投标报价*（1-10%）</w:t>
            </w:r>
          </w:p>
          <w:p w14:paraId="7157CDD9">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包6、包9</w:t>
            </w:r>
            <w:r>
              <w:rPr>
                <w:rFonts w:hint="eastAsia" w:ascii="宋体" w:hAnsi="宋体" w:eastAsia="宋体" w:cs="宋体"/>
                <w:b/>
                <w:bCs/>
                <w:color w:val="auto"/>
                <w:sz w:val="24"/>
                <w:szCs w:val="24"/>
                <w:highlight w:val="none"/>
              </w:rPr>
              <w:t>为专门面向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企业采购，需提供《中小企业声明函》或《残疾人福利性单位声明函》或《监狱企业的证明文件》</w:t>
            </w:r>
          </w:p>
          <w:p w14:paraId="376E90D2">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企业采购，不再对小微企业的价格给予扣除。</w:t>
            </w:r>
          </w:p>
          <w:p w14:paraId="324DA8ED">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14:paraId="46D853F7">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w:t>
            </w:r>
          </w:p>
          <w:p w14:paraId="4DECB1C2">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14:paraId="258AEDA0">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E、根据政府采购政策，本项目如涉及到自主创新首购产品，应当采购由财政部会同科技部等部门制定的《政府采购自主创新产品目录》内的产品。</w:t>
            </w:r>
          </w:p>
          <w:p w14:paraId="4C19FAA6">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F、根据政府采购政策，本项目如涉及到无线局域网产品，应当优先采购《无线局域网认证产品政府采购清单》内的产品，如涉及到信息安全产品，应当采购经国家认证的信息安全产品。</w:t>
            </w:r>
          </w:p>
          <w:p w14:paraId="3A619298">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G、根据政府采购政策，本项目如涉及到计算机办公设备产品，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所投产品必须是预装正版操作系统软件的计算机产品。</w:t>
            </w:r>
          </w:p>
          <w:p w14:paraId="12626DE5">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H、本项目采购标的所对应的中小</w:t>
            </w:r>
            <w:r>
              <w:rPr>
                <w:rFonts w:hint="eastAsia" w:ascii="宋体" w:hAnsi="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rPr>
              <w:t>企业划分标准所属行业：工业。</w:t>
            </w:r>
          </w:p>
          <w:p w14:paraId="13DDF118">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I、其它未尽事宜，按国家有关法律、法规执行。</w:t>
            </w:r>
          </w:p>
        </w:tc>
      </w:tr>
      <w:tr w14:paraId="055B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2166BA0F">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w:t>
            </w:r>
          </w:p>
        </w:tc>
        <w:tc>
          <w:tcPr>
            <w:tcW w:w="4470" w:type="pct"/>
            <w:vAlign w:val="center"/>
          </w:tcPr>
          <w:p w14:paraId="4BCFBB5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本项目产品需求及技术要求以招标文件第六章招标项目需求及技术要求为准。</w:t>
            </w:r>
          </w:p>
        </w:tc>
      </w:tr>
      <w:tr w14:paraId="157C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18FC71ED">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8.4</w:t>
            </w:r>
          </w:p>
        </w:tc>
        <w:tc>
          <w:tcPr>
            <w:tcW w:w="4470" w:type="pct"/>
            <w:vAlign w:val="center"/>
          </w:tcPr>
          <w:p w14:paraId="6F2641B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所投标包投标总报价不可超过所投标包最高限价，且该标包中各单品报价不得超过单品最高限价，否则按无效标处理。</w:t>
            </w:r>
          </w:p>
        </w:tc>
      </w:tr>
      <w:tr w14:paraId="070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7C208E01">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w:t>
            </w:r>
          </w:p>
        </w:tc>
        <w:tc>
          <w:tcPr>
            <w:tcW w:w="4470" w:type="pct"/>
            <w:vAlign w:val="center"/>
          </w:tcPr>
          <w:p w14:paraId="74D26AD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1.合同付款方式：详见招标文件“第五章合同”中的要求。</w:t>
            </w:r>
          </w:p>
          <w:p w14:paraId="17BCE11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2.验收标准：符合招标文件的要求和投标文件的实质性承诺。</w:t>
            </w:r>
          </w:p>
          <w:p w14:paraId="4ED786C6">
            <w:pPr>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tc>
      </w:tr>
      <w:tr w14:paraId="0712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0BD770E3">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w:t>
            </w:r>
          </w:p>
        </w:tc>
        <w:tc>
          <w:tcPr>
            <w:tcW w:w="4470" w:type="pct"/>
            <w:vAlign w:val="center"/>
          </w:tcPr>
          <w:p w14:paraId="23C39A9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违约责任约定：</w:t>
            </w:r>
          </w:p>
          <w:p w14:paraId="761A2B7B">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1．甲方应依合同规定时间内，向乙方支付货款，每拖延一天乙方可向甲方加收合同金额的1‰的违约金，但不超过合同金额的2%。</w:t>
            </w:r>
          </w:p>
          <w:p w14:paraId="1D323148">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cs="宋体"/>
                <w:color w:val="auto"/>
                <w:sz w:val="24"/>
                <w:szCs w:val="24"/>
                <w:highlight w:val="none"/>
                <w:lang w:val="en-US" w:eastAsia="zh-CN"/>
              </w:rPr>
              <w:t>乙双方协商后，</w:t>
            </w:r>
            <w:r>
              <w:rPr>
                <w:rFonts w:hint="eastAsia" w:ascii="宋体" w:hAnsi="宋体" w:eastAsia="宋体" w:cs="宋体"/>
                <w:color w:val="auto"/>
                <w:sz w:val="24"/>
                <w:szCs w:val="24"/>
                <w:highlight w:val="none"/>
              </w:rPr>
              <w:t xml:space="preserve">选择继续履行本合同的，甲方将从本合同货款总额内一次性扣除10%作为乙方的违约金。 </w:t>
            </w:r>
          </w:p>
          <w:p w14:paraId="750D6C9C">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乙方交付货物不符合合同规定的或性能参数达不到招标文件要求、投标文件承诺的</w:t>
            </w:r>
            <w:r>
              <w:rPr>
                <w:rFonts w:hint="eastAsia" w:ascii="宋体" w:hAnsi="宋体" w:eastAsia="宋体" w:cs="宋体"/>
                <w:color w:val="auto"/>
                <w:sz w:val="24"/>
                <w:szCs w:val="24"/>
                <w:highlight w:val="none"/>
              </w:rPr>
              <w:t>，甲方有权拒收或单方面解除本合同，并要求乙方赔付合同价款的10%作为违约金，同时甲方向采购监管部门申请将乙方列入“黑名单”，禁止乙方在三年内参与甲方及甲方下属机构的任何招投标采购活动。</w:t>
            </w:r>
          </w:p>
          <w:p w14:paraId="07B2A7E0">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因验收不合格需要更换同规格的货物时，货物更换完成时间晚于交货时间的视为逾期交货。</w:t>
            </w:r>
          </w:p>
          <w:p w14:paraId="68BE92D8">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甲方无正当理由拒收乙方按照合同约定提供合格货物的，甲方应向乙方支付合同金额的10%作为违约金。</w:t>
            </w:r>
          </w:p>
          <w:p w14:paraId="76274E07">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．乙方未能按照故障响应时间履行售后维修、培训等服务的，甲方根据使用单位书面反馈情况，经核实属实的，每次乙方应支付合同金额的1%作为违约金，但不超过合同金额的5%。</w:t>
            </w:r>
          </w:p>
          <w:p w14:paraId="137ED1D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．质保期满后，乙方未提供货物使用所有单位每半年巡检记录的，乙方应向甲方支付合同金额的5%作为违约金。</w:t>
            </w:r>
          </w:p>
        </w:tc>
      </w:tr>
      <w:tr w14:paraId="7DD5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6E9C8C46">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8.7</w:t>
            </w:r>
          </w:p>
        </w:tc>
        <w:tc>
          <w:tcPr>
            <w:tcW w:w="4470" w:type="pct"/>
            <w:vAlign w:val="center"/>
          </w:tcPr>
          <w:p w14:paraId="516FB50E">
            <w:pP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专利权和保密要求：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应保证使用方在使用该货物或其任何一部分时，不受第三方侵权指控。同时，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不得向第三方泄露招标人提供的技术文件等资料。</w:t>
            </w:r>
          </w:p>
        </w:tc>
      </w:tr>
      <w:tr w14:paraId="2881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108A6E5C">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w:t>
            </w:r>
          </w:p>
        </w:tc>
        <w:tc>
          <w:tcPr>
            <w:tcW w:w="4470" w:type="pct"/>
            <w:vAlign w:val="center"/>
          </w:tcPr>
          <w:p w14:paraId="37D6047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投标文件制作机器码一致时投标文件视为无效投标。</w:t>
            </w:r>
          </w:p>
        </w:tc>
      </w:tr>
      <w:tr w14:paraId="2C4B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77AE2A9F">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8.9</w:t>
            </w:r>
          </w:p>
        </w:tc>
        <w:tc>
          <w:tcPr>
            <w:tcW w:w="4470" w:type="pct"/>
            <w:vAlign w:val="center"/>
          </w:tcPr>
          <w:p w14:paraId="5F0C4B9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可同时参与多个标包投标</w:t>
            </w:r>
            <w:r>
              <w:rPr>
                <w:rFonts w:hint="eastAsia" w:ascii="宋体" w:hAnsi="宋体" w:eastAsia="宋体" w:cs="宋体"/>
                <w:b w:val="0"/>
                <w:bCs w:val="0"/>
                <w:color w:val="auto"/>
                <w:sz w:val="24"/>
                <w:szCs w:val="24"/>
                <w:highlight w:val="none"/>
              </w:rPr>
              <w:t>，可同时中标不同产品多个标包。同一产品划分多个标包的，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可同时参与多个标包投标，但只允许中取一个标包（若同一投标人在多个包中综合得分</w:t>
            </w:r>
            <w:r>
              <w:rPr>
                <w:rFonts w:hint="eastAsia" w:ascii="宋体" w:hAnsi="宋体" w:eastAsia="宋体" w:cs="宋体"/>
                <w:color w:val="auto"/>
                <w:sz w:val="24"/>
                <w:szCs w:val="24"/>
                <w:highlight w:val="none"/>
              </w:rPr>
              <w:t>排名第一时，确定其为包号顺序靠前一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14:paraId="2738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1378F3FB">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8.10</w:t>
            </w:r>
          </w:p>
        </w:tc>
        <w:tc>
          <w:tcPr>
            <w:tcW w:w="4470" w:type="pct"/>
            <w:vAlign w:val="center"/>
          </w:tcPr>
          <w:p w14:paraId="071DE3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w:t>
            </w:r>
            <w:r>
              <w:rPr>
                <w:rFonts w:hint="eastAsia" w:ascii="宋体" w:hAnsi="宋体" w:eastAsia="宋体" w:cs="宋体"/>
                <w:bCs/>
                <w:color w:val="auto"/>
                <w:kern w:val="0"/>
                <w:sz w:val="24"/>
                <w:szCs w:val="24"/>
                <w:highlight w:val="none"/>
                <w:lang w:val="en-US" w:eastAsia="zh-CN"/>
              </w:rPr>
              <w:t>采购代理服务费由中标单位支付，收费标准按照</w:t>
            </w:r>
            <w:r>
              <w:rPr>
                <w:rFonts w:hint="eastAsia" w:ascii="宋体" w:hAnsi="宋体" w:eastAsia="宋体" w:cs="宋体"/>
                <w:color w:val="auto"/>
                <w:sz w:val="24"/>
                <w:szCs w:val="24"/>
                <w:highlight w:val="none"/>
              </w:rPr>
              <w:t>《河南省招标代理服务收费指导意见》（豫招协【2023】002号）文件的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中标人应在领取中标通知书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一次性缴纳。</w:t>
            </w:r>
          </w:p>
          <w:p w14:paraId="68051C1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代理服务费收取账号：</w:t>
            </w:r>
          </w:p>
          <w:p w14:paraId="2F12F18B">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中发祥和工程管理有限公司</w:t>
            </w:r>
          </w:p>
          <w:p w14:paraId="32BBD36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开户行：中国农业银行股份有限公司郑州商都支行</w:t>
            </w:r>
          </w:p>
          <w:p w14:paraId="70E78CCF">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账号：16003101040007372</w:t>
            </w:r>
          </w:p>
        </w:tc>
      </w:tr>
      <w:tr w14:paraId="4CE4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3E6CE68B">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8.11</w:t>
            </w:r>
          </w:p>
        </w:tc>
        <w:tc>
          <w:tcPr>
            <w:tcW w:w="4470" w:type="pct"/>
            <w:vAlign w:val="center"/>
          </w:tcPr>
          <w:p w14:paraId="4629B702">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w:t>
            </w:r>
            <w:r>
              <w:rPr>
                <w:rFonts w:hint="eastAsia" w:ascii="宋体" w:hAnsi="宋体" w:cs="宋体"/>
                <w:b/>
                <w:bCs/>
                <w:color w:val="auto"/>
                <w:sz w:val="24"/>
                <w:szCs w:val="24"/>
                <w:highlight w:val="none"/>
                <w:lang w:val="en-US" w:eastAsia="zh-CN"/>
              </w:rPr>
              <w:t>各标包</w:t>
            </w:r>
            <w:r>
              <w:rPr>
                <w:rFonts w:hint="eastAsia" w:ascii="宋体" w:hAnsi="宋体" w:eastAsia="宋体" w:cs="宋体"/>
                <w:b/>
                <w:bCs/>
                <w:color w:val="auto"/>
                <w:sz w:val="24"/>
                <w:szCs w:val="24"/>
                <w:highlight w:val="none"/>
              </w:rPr>
              <w:t>核心产品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详见第六章招标项目需求及技术要求。</w:t>
            </w:r>
          </w:p>
        </w:tc>
      </w:tr>
      <w:tr w14:paraId="1255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517A5556">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8.12</w:t>
            </w:r>
          </w:p>
        </w:tc>
        <w:tc>
          <w:tcPr>
            <w:tcW w:w="4470" w:type="pct"/>
            <w:vAlign w:val="center"/>
          </w:tcPr>
          <w:p w14:paraId="0766EE50">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质疑函接收信息</w:t>
            </w:r>
          </w:p>
          <w:p w14:paraId="07BCA4F6">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14:paraId="0091F7BD">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14:paraId="4D410C1F">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3.供应商应当在法定质疑期内一次性提出针对同一采购程序环节的质疑。</w:t>
            </w:r>
          </w:p>
          <w:p w14:paraId="48DCE675">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4.采购人、采购代理机构接收质疑函的方式、联系部门、联系电话和通讯地址：</w:t>
            </w:r>
          </w:p>
          <w:p w14:paraId="2515502B">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中发祥和工程管理有限公司</w:t>
            </w:r>
          </w:p>
          <w:p w14:paraId="2084E27F">
            <w:pPr>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张克玉</w:t>
            </w:r>
          </w:p>
          <w:p w14:paraId="22E0088D">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highlight w:val="none"/>
                <w:lang w:val="en-US" w:eastAsia="zh-CN"/>
              </w:rPr>
              <w:t>0371-63399916,15639044333</w:t>
            </w:r>
          </w:p>
          <w:p w14:paraId="7D0624F6">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通讯地址：</w:t>
            </w:r>
            <w:r>
              <w:rPr>
                <w:rFonts w:hint="eastAsia" w:ascii="宋体" w:hAnsi="宋体" w:cs="宋体"/>
                <w:b w:val="0"/>
                <w:bCs w:val="0"/>
                <w:color w:val="auto"/>
                <w:sz w:val="24"/>
                <w:highlight w:val="none"/>
              </w:rPr>
              <w:t>河南省郑州市中原区建设西路198号院B座12层10号、11号</w:t>
            </w:r>
          </w:p>
          <w:p w14:paraId="1EDAC36D">
            <w:p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接收质疑函的方式：供应商应以书面形式提供质疑函原件。采购人、采购代理机构应当向质疑供应商以书面形式签收回执。</w:t>
            </w:r>
          </w:p>
        </w:tc>
      </w:tr>
      <w:tr w14:paraId="7181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286E139A">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8.13</w:t>
            </w:r>
          </w:p>
        </w:tc>
        <w:tc>
          <w:tcPr>
            <w:tcW w:w="4470" w:type="pct"/>
            <w:vAlign w:val="center"/>
          </w:tcPr>
          <w:p w14:paraId="7D0B51EA">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了不影响投标，交易主体（投标人）务必尽快根据自己的实际情况和招标文件要求，在网上添加市场主体类型，完善各投标人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投标人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tc>
      </w:tr>
      <w:tr w14:paraId="223A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273B53DA">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8.14</w:t>
            </w:r>
          </w:p>
        </w:tc>
        <w:tc>
          <w:tcPr>
            <w:tcW w:w="4470" w:type="pct"/>
            <w:vAlign w:val="center"/>
          </w:tcPr>
          <w:p w14:paraId="5FF033F5">
            <w:pPr>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投标人在制作电子投标文件时，开标一览表为系统默认设置，供交易系统唱标时使用，若其中内容无法填写或不适用可填写“0”或“/”。本项目以投标人电子投标文件中的投标函及投标函附录中的内容为准。</w:t>
            </w:r>
          </w:p>
        </w:tc>
      </w:tr>
      <w:tr w14:paraId="14BF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14:paraId="7BBD2196">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8.15</w:t>
            </w:r>
          </w:p>
        </w:tc>
        <w:tc>
          <w:tcPr>
            <w:tcW w:w="4470" w:type="pct"/>
            <w:vAlign w:val="center"/>
          </w:tcPr>
          <w:p w14:paraId="6D1CA0DB">
            <w:pPr>
              <w:pStyle w:val="21"/>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w:t>
            </w:r>
            <w:r>
              <w:rPr>
                <w:rFonts w:hint="eastAsia" w:ascii="宋体" w:hAnsi="宋体" w:eastAsia="宋体" w:cs="宋体"/>
                <w:b/>
                <w:bCs/>
                <w:color w:val="auto"/>
                <w:sz w:val="24"/>
                <w:szCs w:val="24"/>
                <w:highlight w:val="none"/>
                <w:lang w:val="en-US" w:eastAsia="zh-CN"/>
              </w:rPr>
              <w:t>第六章招标项目需求及技术要求</w:t>
            </w:r>
            <w:r>
              <w:rPr>
                <w:rFonts w:hint="eastAsia" w:ascii="宋体" w:hAnsi="宋体" w:eastAsia="宋体" w:cs="宋体"/>
                <w:b/>
                <w:bCs/>
                <w:color w:val="auto"/>
                <w:sz w:val="24"/>
                <w:szCs w:val="24"/>
                <w:highlight w:val="none"/>
              </w:rPr>
              <w:t>中的★标注</w:t>
            </w:r>
            <w:r>
              <w:rPr>
                <w:rFonts w:hint="eastAsia" w:ascii="宋体" w:hAnsi="宋体" w:cs="宋体"/>
                <w:b/>
                <w:bCs/>
                <w:color w:val="auto"/>
                <w:sz w:val="24"/>
                <w:szCs w:val="24"/>
                <w:highlight w:val="none"/>
                <w:lang w:eastAsia="zh-CN"/>
              </w:rPr>
              <w:t>技术</w:t>
            </w:r>
            <w:r>
              <w:rPr>
                <w:rFonts w:hint="eastAsia" w:ascii="宋体" w:hAnsi="宋体" w:eastAsia="宋体" w:cs="宋体"/>
                <w:b/>
                <w:bCs/>
                <w:color w:val="auto"/>
                <w:sz w:val="24"/>
                <w:szCs w:val="24"/>
                <w:highlight w:val="none"/>
              </w:rPr>
              <w:t>参数，用户与中标单位在签订合同前，用户有权要求中标单位现场测试。对于虚假标注参数或参数实际不满足的，将报请财政部门取消其中标资格并按政府采购相关法律法规进行处理。</w:t>
            </w:r>
          </w:p>
          <w:p w14:paraId="40732CC1">
            <w:pPr>
              <w:pStyle w:val="21"/>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参与本项目政府采购活动的供应商，在中标后可以持政府采购合同向融资机构申请贷款，融资渠道和方式见“河南省政府采购合同融资平台”。</w:t>
            </w:r>
          </w:p>
        </w:tc>
      </w:tr>
    </w:tbl>
    <w:p w14:paraId="7A5D4662">
      <w:pPr>
        <w:adjustRightInd w:val="0"/>
        <w:snapToGrid w:val="0"/>
        <w:spacing w:line="360" w:lineRule="auto"/>
        <w:ind w:left="38" w:leftChars="18"/>
        <w:jc w:val="center"/>
        <w:rPr>
          <w:rFonts w:hint="eastAsia" w:ascii="宋体" w:hAnsi="宋体" w:eastAsia="宋体" w:cs="宋体"/>
          <w:color w:val="auto"/>
          <w:sz w:val="24"/>
          <w:szCs w:val="24"/>
          <w:highlight w:val="none"/>
        </w:rPr>
        <w:sectPr>
          <w:footerReference r:id="rId7" w:type="default"/>
          <w:pgSz w:w="11906" w:h="16838"/>
          <w:pgMar w:top="1440" w:right="1800" w:bottom="1440" w:left="1800" w:header="850" w:footer="964" w:gutter="0"/>
          <w:pgBorders>
            <w:top w:val="none" w:sz="0" w:space="0"/>
            <w:left w:val="none" w:sz="0" w:space="0"/>
            <w:bottom w:val="none" w:sz="0" w:space="0"/>
            <w:right w:val="none" w:sz="0" w:space="0"/>
          </w:pgBorders>
          <w:pgNumType w:fmt="decimal" w:start="1"/>
          <w:cols w:space="720" w:num="1"/>
          <w:docGrid w:type="lines" w:linePitch="315" w:charSpace="0"/>
        </w:sectPr>
      </w:pPr>
    </w:p>
    <w:p w14:paraId="7593093A">
      <w:pPr>
        <w:numPr>
          <w:ilvl w:val="0"/>
          <w:numId w:val="0"/>
        </w:numPr>
        <w:spacing w:line="360" w:lineRule="auto"/>
        <w:jc w:val="center"/>
        <w:outlineLvl w:val="1"/>
        <w:rPr>
          <w:rFonts w:hint="eastAsia" w:ascii="宋体" w:hAnsi="宋体" w:eastAsia="宋体" w:cs="宋体"/>
          <w:color w:val="auto"/>
          <w:sz w:val="24"/>
          <w:szCs w:val="24"/>
          <w:highlight w:val="none"/>
        </w:rPr>
      </w:pPr>
      <w:bookmarkStart w:id="22" w:name="_Toc40112130"/>
      <w:bookmarkStart w:id="23" w:name="_Toc20527"/>
      <w:bookmarkStart w:id="24" w:name="_Toc3925"/>
      <w:bookmarkStart w:id="25" w:name="_Toc15365"/>
      <w:bookmarkStart w:id="26" w:name="_Toc17929"/>
      <w:r>
        <w:rPr>
          <w:rStyle w:val="28"/>
          <w:rFonts w:hint="eastAsia" w:ascii="宋体" w:hAnsi="宋体" w:eastAsia="宋体" w:cs="宋体"/>
          <w:color w:val="auto"/>
          <w:sz w:val="24"/>
          <w:szCs w:val="24"/>
          <w:highlight w:val="none"/>
        </w:rPr>
        <w:t>总则</w:t>
      </w:r>
      <w:bookmarkEnd w:id="22"/>
      <w:bookmarkEnd w:id="23"/>
      <w:bookmarkEnd w:id="24"/>
      <w:bookmarkEnd w:id="25"/>
      <w:bookmarkEnd w:id="26"/>
    </w:p>
    <w:p w14:paraId="24148757">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27" w:name="_Toc20743"/>
      <w:bookmarkStart w:id="28" w:name="_Toc14496"/>
      <w:bookmarkStart w:id="29" w:name="_Toc5358"/>
      <w:bookmarkStart w:id="30" w:name="_Toc2081"/>
      <w:bookmarkStart w:id="31" w:name="_Toc28200"/>
      <w:bookmarkStart w:id="32" w:name="_Toc4828"/>
      <w:bookmarkStart w:id="33" w:name="_Toc30513"/>
      <w:bookmarkStart w:id="34" w:name="_Toc15062"/>
      <w:bookmarkStart w:id="35" w:name="_Toc28377"/>
      <w:bookmarkStart w:id="36" w:name="_Toc2427"/>
      <w:bookmarkStart w:id="37" w:name="_Toc30432"/>
      <w:r>
        <w:rPr>
          <w:rFonts w:hint="eastAsia" w:ascii="宋体" w:hAnsi="宋体" w:eastAsia="宋体" w:cs="宋体"/>
          <w:b/>
          <w:bCs/>
          <w:color w:val="auto"/>
          <w:sz w:val="24"/>
          <w:szCs w:val="24"/>
          <w:highlight w:val="none"/>
        </w:rPr>
        <w:t>适用范围</w:t>
      </w:r>
      <w:bookmarkEnd w:id="27"/>
      <w:bookmarkEnd w:id="28"/>
      <w:bookmarkEnd w:id="29"/>
      <w:bookmarkEnd w:id="30"/>
      <w:bookmarkEnd w:id="31"/>
      <w:bookmarkEnd w:id="32"/>
      <w:bookmarkEnd w:id="33"/>
      <w:bookmarkEnd w:id="34"/>
      <w:bookmarkEnd w:id="35"/>
      <w:bookmarkEnd w:id="36"/>
      <w:bookmarkEnd w:id="37"/>
    </w:p>
    <w:p w14:paraId="088869F7">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本招标文件仅适用于本次所述的货物及其伴随的服务采购。</w:t>
      </w:r>
    </w:p>
    <w:p w14:paraId="65672E72">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本招标文件的解释权归采购人所有。</w:t>
      </w:r>
    </w:p>
    <w:p w14:paraId="214F834C">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38" w:name="_Toc18955"/>
      <w:bookmarkStart w:id="39" w:name="_Toc19192"/>
      <w:bookmarkStart w:id="40" w:name="_Toc29424"/>
      <w:bookmarkStart w:id="41" w:name="_Toc16716"/>
      <w:r>
        <w:rPr>
          <w:rFonts w:hint="eastAsia" w:ascii="宋体" w:hAnsi="宋体" w:eastAsia="宋体" w:cs="宋体"/>
          <w:b/>
          <w:bCs/>
          <w:color w:val="auto"/>
          <w:sz w:val="24"/>
          <w:szCs w:val="24"/>
          <w:highlight w:val="none"/>
        </w:rPr>
        <w:t>招标项目概况</w:t>
      </w:r>
      <w:bookmarkEnd w:id="38"/>
      <w:bookmarkEnd w:id="39"/>
      <w:bookmarkEnd w:id="40"/>
      <w:bookmarkEnd w:id="41"/>
    </w:p>
    <w:p w14:paraId="5FDA8C13">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须知前附表中所述的、依法进行政府采购的国家机关、事业单位、团体组织。</w:t>
      </w:r>
    </w:p>
    <w:p w14:paraId="181FF2CF">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采购代理机构：受采购人委托组织招标活动，在招标过程中负有相应责任的社会中介组织。</w:t>
      </w:r>
    </w:p>
    <w:p w14:paraId="6668C4F4">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项目编号及项目名称：见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14:paraId="011CCECD">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本次采购内容：见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14:paraId="5B3F81F1">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资金来源及预算金额：见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670CA102">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62CB0640">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13D1AD09">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5A7F1BE1">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14:paraId="1BB05D31">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资格要求：详见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14:paraId="50320EAA">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不接受联合体投标。</w:t>
      </w:r>
    </w:p>
    <w:p w14:paraId="12E87CA3">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不得存在下列情形之一：</w:t>
      </w:r>
    </w:p>
    <w:p w14:paraId="7FD89968">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为采购人不具有独立法人资格的附属机构（单位）；</w:t>
      </w:r>
    </w:p>
    <w:p w14:paraId="3D954A02">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2978476C">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14:paraId="0345FA34">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不得以向采购人行贿或者采取其他不正当手段谋取非法利益；</w:t>
      </w:r>
    </w:p>
    <w:p w14:paraId="730C1200">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为本项目提供招标代理服务的；</w:t>
      </w:r>
    </w:p>
    <w:p w14:paraId="4F50493A">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被责令停业的；</w:t>
      </w:r>
    </w:p>
    <w:p w14:paraId="35471FD6">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被暂停或取消投标资格的；</w:t>
      </w:r>
    </w:p>
    <w:p w14:paraId="52E660F9">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财产被接管或冻结的；</w:t>
      </w:r>
    </w:p>
    <w:p w14:paraId="40EFDDB3">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在最近三年内有骗取中标或严重违约或重大质量问题的。</w:t>
      </w:r>
    </w:p>
    <w:p w14:paraId="637A015F">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中标人：接到并接受中标通知，最终被授予合同的供应商。</w:t>
      </w:r>
    </w:p>
    <w:p w14:paraId="4C82D151">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根据招标文件提交的所有文件。</w:t>
      </w:r>
    </w:p>
    <w:p w14:paraId="6B09B9F7">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2" w:name="_Toc8166"/>
      <w:bookmarkStart w:id="43" w:name="_Toc4927"/>
      <w:bookmarkStart w:id="44" w:name="_Toc25850"/>
      <w:bookmarkStart w:id="45" w:name="_Toc9501"/>
      <w:r>
        <w:rPr>
          <w:rFonts w:hint="eastAsia" w:ascii="宋体" w:hAnsi="宋体" w:eastAsia="宋体" w:cs="宋体"/>
          <w:b/>
          <w:bCs/>
          <w:color w:val="auto"/>
          <w:sz w:val="24"/>
          <w:szCs w:val="24"/>
          <w:highlight w:val="none"/>
        </w:rPr>
        <w:t>投标费用</w:t>
      </w:r>
      <w:bookmarkEnd w:id="42"/>
      <w:bookmarkEnd w:id="43"/>
      <w:bookmarkEnd w:id="44"/>
      <w:bookmarkEnd w:id="45"/>
    </w:p>
    <w:p w14:paraId="116B1FF7">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46" w:name="_Toc22953398"/>
      <w:bookmarkEnd w:id="46"/>
      <w:bookmarkStart w:id="47" w:name="_Toc312133544"/>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准备和参加投标活动发生的费用自理。</w:t>
      </w:r>
    </w:p>
    <w:p w14:paraId="6D8D6F77">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8" w:name="_Toc27047"/>
      <w:bookmarkStart w:id="49" w:name="_Toc28577"/>
      <w:bookmarkStart w:id="50" w:name="_Toc30990"/>
      <w:bookmarkStart w:id="51" w:name="_Toc28829"/>
      <w:bookmarkStart w:id="52" w:name="_Toc12301"/>
      <w:bookmarkStart w:id="53" w:name="_Toc31440"/>
      <w:bookmarkStart w:id="54" w:name="_Toc23865"/>
      <w:bookmarkStart w:id="55" w:name="_Toc1130"/>
      <w:bookmarkStart w:id="56" w:name="_Toc18613"/>
      <w:bookmarkStart w:id="57" w:name="_Toc13179"/>
      <w:bookmarkStart w:id="58" w:name="_Toc13660"/>
      <w:r>
        <w:rPr>
          <w:rFonts w:hint="eastAsia" w:ascii="宋体" w:hAnsi="宋体" w:eastAsia="宋体" w:cs="宋体"/>
          <w:b/>
          <w:bCs/>
          <w:color w:val="auto"/>
          <w:sz w:val="24"/>
          <w:szCs w:val="24"/>
          <w:highlight w:val="none"/>
        </w:rPr>
        <w:t>现场考察或答疑会</w:t>
      </w:r>
      <w:bookmarkEnd w:id="48"/>
      <w:bookmarkEnd w:id="49"/>
      <w:bookmarkEnd w:id="50"/>
      <w:bookmarkEnd w:id="51"/>
      <w:bookmarkEnd w:id="52"/>
      <w:bookmarkEnd w:id="53"/>
      <w:bookmarkEnd w:id="54"/>
      <w:bookmarkEnd w:id="55"/>
      <w:bookmarkEnd w:id="56"/>
      <w:bookmarkEnd w:id="57"/>
      <w:bookmarkEnd w:id="58"/>
    </w:p>
    <w:p w14:paraId="6D2CFE2E">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前附表规定组织现场考察的，采购人按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前附表规定的时间、地点组织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考察项目现场。部分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未按时参加现场考察的，不影响现场考察的正常进行。</w:t>
      </w:r>
    </w:p>
    <w:p w14:paraId="26AF0665">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现场考察发生的费用自理。</w:t>
      </w:r>
    </w:p>
    <w:p w14:paraId="6D99BA66">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除采购人的原因外，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自行负责在现场考察中所发生的人员伤亡和财产损失。</w:t>
      </w:r>
    </w:p>
    <w:p w14:paraId="324FDA07">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采购人在现场考察中介绍的项目场地和相关的周边环境情况，供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在编制投标文件时参考，采购人不对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据此作出的判断和决策负责。</w:t>
      </w:r>
    </w:p>
    <w:p w14:paraId="1AFBE226">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566B4343">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59" w:name="_Toc8265"/>
      <w:bookmarkStart w:id="60" w:name="_Toc11040"/>
      <w:bookmarkStart w:id="61" w:name="_Toc20467"/>
      <w:bookmarkStart w:id="62" w:name="_Toc7448"/>
      <w:bookmarkStart w:id="63" w:name="_Toc27635"/>
      <w:bookmarkStart w:id="64" w:name="_Toc9110"/>
      <w:bookmarkStart w:id="65" w:name="_Toc10737"/>
      <w:bookmarkStart w:id="66" w:name="_Toc26711"/>
      <w:bookmarkStart w:id="67" w:name="_Toc9561"/>
      <w:bookmarkStart w:id="68" w:name="_Toc28493"/>
      <w:bookmarkStart w:id="69" w:name="_Toc6051"/>
      <w:r>
        <w:rPr>
          <w:rFonts w:hint="eastAsia" w:ascii="宋体" w:hAnsi="宋体" w:eastAsia="宋体" w:cs="宋体"/>
          <w:b/>
          <w:bCs/>
          <w:color w:val="auto"/>
          <w:sz w:val="24"/>
          <w:szCs w:val="24"/>
          <w:highlight w:val="none"/>
        </w:rPr>
        <w:t>分包</w:t>
      </w:r>
      <w:bookmarkEnd w:id="59"/>
      <w:bookmarkEnd w:id="60"/>
      <w:bookmarkEnd w:id="61"/>
      <w:bookmarkEnd w:id="62"/>
      <w:bookmarkEnd w:id="63"/>
      <w:bookmarkEnd w:id="64"/>
      <w:bookmarkEnd w:id="65"/>
      <w:bookmarkEnd w:id="66"/>
      <w:bookmarkEnd w:id="67"/>
      <w:bookmarkEnd w:id="68"/>
      <w:bookmarkEnd w:id="69"/>
    </w:p>
    <w:p w14:paraId="2C52FC32">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p>
    <w:p w14:paraId="298DF114">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70" w:name="_Toc20874"/>
      <w:bookmarkStart w:id="71" w:name="_Toc26863"/>
      <w:bookmarkStart w:id="72" w:name="_Toc31207"/>
      <w:bookmarkStart w:id="73" w:name="_Toc6725"/>
      <w:bookmarkStart w:id="74" w:name="_Toc28651"/>
      <w:bookmarkStart w:id="75" w:name="_Toc6977"/>
      <w:bookmarkStart w:id="76" w:name="_Toc11954"/>
      <w:bookmarkStart w:id="77" w:name="_Toc2167"/>
      <w:bookmarkStart w:id="78" w:name="_Toc9963"/>
      <w:bookmarkStart w:id="79" w:name="_Toc18743"/>
      <w:bookmarkStart w:id="80" w:name="_Toc21582"/>
      <w:bookmarkStart w:id="81" w:name="_Toc10914"/>
      <w:bookmarkStart w:id="82" w:name="_Toc26753"/>
      <w:r>
        <w:rPr>
          <w:rFonts w:hint="eastAsia" w:ascii="宋体" w:hAnsi="宋体" w:eastAsia="宋体" w:cs="宋体"/>
          <w:b/>
          <w:bCs/>
          <w:color w:val="auto"/>
          <w:sz w:val="24"/>
          <w:szCs w:val="24"/>
          <w:highlight w:val="none"/>
        </w:rPr>
        <w:t>响应和偏差</w:t>
      </w:r>
      <w:bookmarkEnd w:id="70"/>
      <w:bookmarkEnd w:id="71"/>
      <w:bookmarkEnd w:id="72"/>
      <w:bookmarkEnd w:id="73"/>
      <w:bookmarkEnd w:id="74"/>
      <w:bookmarkEnd w:id="75"/>
      <w:bookmarkEnd w:id="76"/>
      <w:bookmarkEnd w:id="77"/>
      <w:bookmarkEnd w:id="78"/>
      <w:bookmarkEnd w:id="79"/>
      <w:bookmarkEnd w:id="80"/>
      <w:bookmarkEnd w:id="81"/>
      <w:bookmarkEnd w:id="82"/>
    </w:p>
    <w:p w14:paraId="7B7D8A09">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投标文件应当对招标文件的实质性要求和条件作出响应，实质性要求和条件见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34B24A5F">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投标文件中应针对实质性要求和条件中列明的技术要求提供技术支持资料。技术支持资料以制造商公开发布的产品说明书，或检测机构</w:t>
      </w:r>
      <w:r>
        <w:rPr>
          <w:rFonts w:hint="eastAsia" w:ascii="宋体" w:hAnsi="宋体" w:eastAsia="宋体" w:cs="宋体"/>
          <w:color w:val="auto"/>
          <w:spacing w:val="-2"/>
          <w:kern w:val="0"/>
          <w:sz w:val="24"/>
          <w:szCs w:val="24"/>
          <w:highlight w:val="none"/>
        </w:rPr>
        <w:t>出具的检测报告或检验报告，</w:t>
      </w:r>
      <w:r>
        <w:rPr>
          <w:rFonts w:hint="eastAsia" w:ascii="宋体" w:hAnsi="宋体" w:eastAsia="宋体" w:cs="宋体"/>
          <w:color w:val="auto"/>
          <w:kern w:val="0"/>
          <w:sz w:val="24"/>
          <w:szCs w:val="24"/>
          <w:highlight w:val="none"/>
        </w:rPr>
        <w:t>或其他相关证明材料为准，不符合前述要求的，视为无技术支持资料。</w:t>
      </w:r>
    </w:p>
    <w:p w14:paraId="5C0283D2">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前附表允许投标文件偏离招标文件某些要求的，偏差应当符合招标文件规定的偏差范围和幅度。</w:t>
      </w:r>
    </w:p>
    <w:p w14:paraId="3A084658">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件对招标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件的全部偏差，均应在</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标文件</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商务和技术偏</w:t>
      </w:r>
      <w:r>
        <w:rPr>
          <w:rFonts w:hint="eastAsia" w:ascii="宋体" w:hAnsi="宋体" w:eastAsia="宋体" w:cs="宋体"/>
          <w:color w:val="auto"/>
          <w:spacing w:val="-2"/>
          <w:kern w:val="0"/>
          <w:sz w:val="24"/>
          <w:szCs w:val="24"/>
          <w:highlight w:val="none"/>
        </w:rPr>
        <w:t>差</w:t>
      </w:r>
      <w:r>
        <w:rPr>
          <w:rFonts w:hint="eastAsia" w:ascii="宋体" w:hAnsi="宋体" w:eastAsia="宋体" w:cs="宋体"/>
          <w:color w:val="auto"/>
          <w:kern w:val="0"/>
          <w:sz w:val="24"/>
          <w:szCs w:val="24"/>
          <w:highlight w:val="none"/>
        </w:rPr>
        <w:t>表中列明，除列明</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容</w:t>
      </w:r>
      <w:r>
        <w:rPr>
          <w:rFonts w:hint="eastAsia" w:ascii="宋体" w:hAnsi="宋体" w:eastAsia="宋体" w:cs="宋体"/>
          <w:color w:val="auto"/>
          <w:kern w:val="0"/>
          <w:sz w:val="24"/>
          <w:szCs w:val="24"/>
          <w:highlight w:val="none"/>
        </w:rPr>
        <w:t>外</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视</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响</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招</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全</w:t>
      </w:r>
      <w:r>
        <w:rPr>
          <w:rFonts w:hint="eastAsia" w:ascii="宋体" w:hAnsi="宋体" w:eastAsia="宋体" w:cs="宋体"/>
          <w:color w:val="auto"/>
          <w:kern w:val="0"/>
          <w:sz w:val="24"/>
          <w:szCs w:val="24"/>
          <w:highlight w:val="none"/>
        </w:rPr>
        <w:t>部</w:t>
      </w:r>
      <w:r>
        <w:rPr>
          <w:rFonts w:hint="eastAsia" w:ascii="宋体" w:hAnsi="宋体" w:eastAsia="宋体" w:cs="宋体"/>
          <w:color w:val="auto"/>
          <w:spacing w:val="-2"/>
          <w:kern w:val="0"/>
          <w:sz w:val="24"/>
          <w:szCs w:val="24"/>
          <w:highlight w:val="none"/>
        </w:rPr>
        <w:t>要</w:t>
      </w:r>
      <w:r>
        <w:rPr>
          <w:rFonts w:hint="eastAsia" w:ascii="宋体" w:hAnsi="宋体" w:eastAsia="宋体" w:cs="宋体"/>
          <w:color w:val="auto"/>
          <w:kern w:val="0"/>
          <w:sz w:val="24"/>
          <w:szCs w:val="24"/>
          <w:highlight w:val="none"/>
        </w:rPr>
        <w:t>求。</w:t>
      </w:r>
    </w:p>
    <w:p w14:paraId="7BD1F045">
      <w:pPr>
        <w:numPr>
          <w:ilvl w:val="1"/>
          <w:numId w:val="3"/>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质量把控</w:t>
      </w:r>
    </w:p>
    <w:p w14:paraId="40063F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7DB3DEDB">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83" w:name="_Toc15630"/>
      <w:bookmarkStart w:id="84" w:name="_Toc25924"/>
      <w:bookmarkStart w:id="85" w:name="_Toc9588"/>
      <w:bookmarkStart w:id="86" w:name="_Toc29855"/>
      <w:bookmarkStart w:id="87" w:name="_Toc9147"/>
      <w:bookmarkStart w:id="88" w:name="_Toc12963"/>
      <w:bookmarkStart w:id="89" w:name="_Toc29202"/>
      <w:bookmarkStart w:id="90" w:name="_Toc11845"/>
      <w:bookmarkStart w:id="91" w:name="_Toc16595"/>
      <w:bookmarkStart w:id="92" w:name="_Toc5477"/>
      <w:bookmarkStart w:id="93" w:name="_Toc14740"/>
      <w:r>
        <w:rPr>
          <w:rFonts w:hint="eastAsia" w:ascii="宋体" w:hAnsi="宋体" w:eastAsia="宋体" w:cs="宋体"/>
          <w:b/>
          <w:bCs/>
          <w:color w:val="auto"/>
          <w:sz w:val="24"/>
          <w:szCs w:val="24"/>
          <w:highlight w:val="none"/>
        </w:rPr>
        <w:t>投标语言</w:t>
      </w:r>
      <w:bookmarkEnd w:id="83"/>
      <w:bookmarkEnd w:id="84"/>
      <w:bookmarkEnd w:id="85"/>
      <w:bookmarkEnd w:id="86"/>
      <w:bookmarkEnd w:id="87"/>
      <w:bookmarkEnd w:id="88"/>
      <w:bookmarkEnd w:id="89"/>
      <w:bookmarkEnd w:id="90"/>
      <w:bookmarkEnd w:id="91"/>
      <w:bookmarkEnd w:id="92"/>
      <w:bookmarkEnd w:id="93"/>
    </w:p>
    <w:p w14:paraId="0C3DBD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言</w:t>
      </w:r>
      <w:r>
        <w:rPr>
          <w:rFonts w:hint="eastAsia" w:ascii="宋体" w:hAnsi="宋体" w:eastAsia="宋体" w:cs="宋体"/>
          <w:color w:val="auto"/>
          <w:kern w:val="0"/>
          <w:sz w:val="24"/>
          <w:szCs w:val="24"/>
          <w:highlight w:val="none"/>
        </w:rPr>
        <w:t>文字</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2"/>
          <w:kern w:val="0"/>
          <w:sz w:val="24"/>
          <w:szCs w:val="24"/>
          <w:highlight w:val="none"/>
        </w:rPr>
        <w:t>专</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用外</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应</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有</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注</w:t>
      </w:r>
      <w:r>
        <w:rPr>
          <w:rFonts w:hint="eastAsia" w:ascii="宋体" w:hAnsi="宋体" w:eastAsia="宋体" w:cs="宋体"/>
          <w:color w:val="auto"/>
          <w:kern w:val="0"/>
          <w:sz w:val="24"/>
          <w:szCs w:val="24"/>
          <w:highlight w:val="none"/>
        </w:rPr>
        <w:t>释</w:t>
      </w:r>
      <w:r>
        <w:rPr>
          <w:rFonts w:hint="eastAsia" w:ascii="宋体" w:hAnsi="宋体" w:eastAsia="宋体" w:cs="宋体"/>
          <w:color w:val="auto"/>
          <w:sz w:val="24"/>
          <w:szCs w:val="24"/>
          <w:highlight w:val="none"/>
        </w:rPr>
        <w:t>。</w:t>
      </w:r>
    </w:p>
    <w:p w14:paraId="2399F74A">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94" w:name="_Toc7785"/>
      <w:bookmarkStart w:id="95" w:name="_Toc14186"/>
      <w:bookmarkStart w:id="96" w:name="_Toc19599"/>
      <w:bookmarkStart w:id="97" w:name="_Toc20418"/>
      <w:bookmarkStart w:id="98" w:name="_Toc22605"/>
      <w:bookmarkStart w:id="99" w:name="_Toc14812"/>
      <w:bookmarkStart w:id="100" w:name="_Toc9167"/>
      <w:bookmarkStart w:id="101" w:name="_Toc30395"/>
      <w:bookmarkStart w:id="102" w:name="_Toc21374"/>
      <w:bookmarkStart w:id="103" w:name="_Toc5019"/>
      <w:bookmarkStart w:id="104" w:name="_Toc22466"/>
      <w:r>
        <w:rPr>
          <w:rFonts w:hint="eastAsia" w:ascii="宋体" w:hAnsi="宋体" w:eastAsia="宋体" w:cs="宋体"/>
          <w:b/>
          <w:bCs/>
          <w:color w:val="auto"/>
          <w:sz w:val="24"/>
          <w:szCs w:val="24"/>
          <w:highlight w:val="none"/>
        </w:rPr>
        <w:t>投标文件计量单位</w:t>
      </w:r>
      <w:bookmarkEnd w:id="94"/>
      <w:bookmarkEnd w:id="95"/>
      <w:bookmarkEnd w:id="96"/>
      <w:bookmarkEnd w:id="97"/>
      <w:bookmarkEnd w:id="98"/>
      <w:bookmarkEnd w:id="99"/>
      <w:bookmarkEnd w:id="100"/>
      <w:bookmarkEnd w:id="101"/>
      <w:bookmarkEnd w:id="102"/>
      <w:bookmarkEnd w:id="103"/>
      <w:bookmarkEnd w:id="104"/>
    </w:p>
    <w:p w14:paraId="4731C81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除在招标文件的技术文件中另有规定外，计量单位均使用中华人民共和国法定计量标准单位。</w:t>
      </w:r>
    </w:p>
    <w:p w14:paraId="016FC82B">
      <w:pPr>
        <w:numPr>
          <w:ilvl w:val="1"/>
          <w:numId w:val="3"/>
        </w:numPr>
        <w:spacing w:line="360" w:lineRule="auto"/>
        <w:ind w:firstLine="482" w:firstLineChars="200"/>
        <w:rPr>
          <w:rFonts w:hint="eastAsia" w:ascii="宋体" w:hAnsi="宋体" w:eastAsia="宋体" w:cs="宋体"/>
          <w:color w:val="auto"/>
          <w:sz w:val="24"/>
          <w:szCs w:val="24"/>
          <w:highlight w:val="none"/>
        </w:rPr>
      </w:pPr>
      <w:bookmarkStart w:id="105" w:name="_Toc16602"/>
      <w:bookmarkStart w:id="106" w:name="_Toc10045"/>
      <w:bookmarkStart w:id="107" w:name="_Toc26769"/>
      <w:bookmarkStart w:id="108" w:name="_Toc19923"/>
      <w:bookmarkStart w:id="109" w:name="_Toc23957"/>
      <w:bookmarkStart w:id="110" w:name="_Toc23880"/>
      <w:bookmarkStart w:id="111" w:name="_Toc4326"/>
      <w:bookmarkStart w:id="112" w:name="_Toc12071"/>
      <w:bookmarkStart w:id="113" w:name="_Toc24747"/>
      <w:bookmarkStart w:id="114" w:name="_Toc15754"/>
      <w:bookmarkStart w:id="115" w:name="_Toc2806"/>
      <w:r>
        <w:rPr>
          <w:rFonts w:hint="eastAsia" w:ascii="宋体" w:hAnsi="宋体" w:eastAsia="宋体" w:cs="宋体"/>
          <w:b/>
          <w:bCs/>
          <w:color w:val="auto"/>
          <w:sz w:val="24"/>
          <w:szCs w:val="24"/>
          <w:highlight w:val="none"/>
        </w:rPr>
        <w:t>投标货币</w:t>
      </w:r>
      <w:bookmarkEnd w:id="105"/>
      <w:bookmarkEnd w:id="106"/>
      <w:bookmarkEnd w:id="107"/>
      <w:bookmarkEnd w:id="108"/>
      <w:bookmarkEnd w:id="109"/>
      <w:bookmarkEnd w:id="110"/>
      <w:bookmarkEnd w:id="111"/>
      <w:bookmarkEnd w:id="112"/>
      <w:bookmarkEnd w:id="113"/>
      <w:bookmarkEnd w:id="114"/>
      <w:bookmarkEnd w:id="115"/>
    </w:p>
    <w:p w14:paraId="0ED8F9B2">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除非另有规定，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提供的所有服务用人民币报价。</w:t>
      </w:r>
    </w:p>
    <w:p w14:paraId="5CC0AD93">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116" w:name="_Toc32032"/>
      <w:bookmarkStart w:id="117" w:name="_Toc4030"/>
      <w:bookmarkStart w:id="118" w:name="_Toc28184"/>
      <w:bookmarkStart w:id="119" w:name="_Toc24561"/>
      <w:bookmarkStart w:id="120" w:name="_Toc29095"/>
      <w:bookmarkStart w:id="121" w:name="_Toc26021"/>
      <w:bookmarkStart w:id="122" w:name="_Toc16853"/>
      <w:bookmarkStart w:id="123" w:name="_Toc19335"/>
      <w:bookmarkStart w:id="124" w:name="_Toc11598"/>
      <w:bookmarkStart w:id="125" w:name="_Toc141"/>
      <w:bookmarkStart w:id="126" w:name="_Toc14764"/>
      <w:bookmarkStart w:id="127" w:name="_Toc12030"/>
      <w:bookmarkStart w:id="128" w:name="_Toc31058"/>
      <w:r>
        <w:rPr>
          <w:rFonts w:hint="eastAsia" w:ascii="宋体" w:hAnsi="宋体" w:eastAsia="宋体" w:cs="宋体"/>
          <w:b/>
          <w:bCs/>
          <w:color w:val="auto"/>
          <w:sz w:val="24"/>
          <w:szCs w:val="24"/>
          <w:highlight w:val="none"/>
        </w:rPr>
        <w:t>保密</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5798D45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34A45DD2">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29" w:name="_Toc26702"/>
      <w:bookmarkStart w:id="130" w:name="_Toc40112131"/>
      <w:bookmarkStart w:id="131" w:name="_Toc12581"/>
      <w:bookmarkStart w:id="132" w:name="_Toc6378"/>
      <w:bookmarkStart w:id="133" w:name="_Toc20563"/>
      <w:r>
        <w:rPr>
          <w:rStyle w:val="28"/>
          <w:rFonts w:hint="eastAsia" w:ascii="宋体" w:hAnsi="宋体" w:eastAsia="宋体" w:cs="宋体"/>
          <w:color w:val="auto"/>
          <w:sz w:val="24"/>
          <w:szCs w:val="24"/>
          <w:highlight w:val="none"/>
        </w:rPr>
        <w:t>招标文件</w:t>
      </w:r>
      <w:bookmarkEnd w:id="47"/>
      <w:bookmarkEnd w:id="129"/>
      <w:bookmarkEnd w:id="130"/>
      <w:bookmarkEnd w:id="131"/>
      <w:bookmarkEnd w:id="132"/>
      <w:bookmarkEnd w:id="133"/>
    </w:p>
    <w:p w14:paraId="443CCC0B">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4" w:name="_Toc14801"/>
      <w:bookmarkStart w:id="135" w:name="_Toc20524"/>
      <w:bookmarkStart w:id="136" w:name="_Toc8008"/>
      <w:bookmarkStart w:id="137" w:name="_Toc3764"/>
      <w:r>
        <w:rPr>
          <w:rFonts w:hint="eastAsia" w:ascii="宋体" w:hAnsi="宋体" w:eastAsia="宋体" w:cs="宋体"/>
          <w:b/>
          <w:bCs/>
          <w:color w:val="auto"/>
          <w:sz w:val="24"/>
          <w:szCs w:val="24"/>
          <w:highlight w:val="none"/>
        </w:rPr>
        <w:t>招标文件的构成</w:t>
      </w:r>
      <w:bookmarkEnd w:id="134"/>
      <w:bookmarkEnd w:id="135"/>
      <w:bookmarkEnd w:id="136"/>
      <w:bookmarkEnd w:id="137"/>
    </w:p>
    <w:p w14:paraId="0386119C">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招标文件用以阐明本次招标的货物和服务要求、招标投标程序和合同条件。</w:t>
      </w:r>
    </w:p>
    <w:p w14:paraId="41C8BDD6">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招标文件由下述部分组成： </w:t>
      </w:r>
    </w:p>
    <w:p w14:paraId="050E085F">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招标公告</w:t>
      </w:r>
    </w:p>
    <w:p w14:paraId="53F61153">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投标人须知</w:t>
      </w:r>
    </w:p>
    <w:p w14:paraId="068CF958">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资格审查</w:t>
      </w:r>
    </w:p>
    <w:p w14:paraId="56533867">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评标办法（综合评分法）</w:t>
      </w:r>
    </w:p>
    <w:p w14:paraId="460A278C">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w:t>
      </w:r>
    </w:p>
    <w:p w14:paraId="33CE6194">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招标项目需求及技术要求</w:t>
      </w:r>
    </w:p>
    <w:p w14:paraId="5E2A6F48">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投标文件格式</w:t>
      </w:r>
    </w:p>
    <w:p w14:paraId="6DB5A97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应仔细阅读招标文件中</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、合同条款的所有事项、格式要求和技术规范，按招标文件的要求提供投标文件，并保证所提供的全部资料的真实性，以使其投标对招标文件做出实质性响应，否则，将承担其</w:t>
      </w:r>
      <w:r>
        <w:rPr>
          <w:rFonts w:hint="eastAsia" w:ascii="宋体" w:hAnsi="宋体" w:eastAsia="宋体" w:cs="宋体"/>
          <w:b/>
          <w:bCs/>
          <w:color w:val="auto"/>
          <w:sz w:val="24"/>
          <w:szCs w:val="24"/>
          <w:highlight w:val="none"/>
        </w:rPr>
        <w:t>投标被拒绝或认定为投标无效</w:t>
      </w:r>
      <w:r>
        <w:rPr>
          <w:rFonts w:hint="eastAsia" w:ascii="宋体" w:hAnsi="宋体" w:eastAsia="宋体" w:cs="宋体"/>
          <w:color w:val="auto"/>
          <w:sz w:val="24"/>
          <w:szCs w:val="24"/>
          <w:highlight w:val="none"/>
        </w:rPr>
        <w:t>的风险。</w:t>
      </w:r>
    </w:p>
    <w:p w14:paraId="2515B2B5">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制作投标文件时应充分完整理解招标文件的整体要求。</w:t>
      </w:r>
    </w:p>
    <w:p w14:paraId="2CBC489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根据本章第1.4款、第2.2款和第2.3款对招标文件所做的澄清和修改，构成招标文件的组成部分。</w:t>
      </w:r>
    </w:p>
    <w:p w14:paraId="219E7773">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8" w:name="_Toc3408"/>
      <w:bookmarkStart w:id="139" w:name="_Toc23431"/>
      <w:bookmarkStart w:id="140" w:name="_Toc6978"/>
      <w:bookmarkStart w:id="141" w:name="_Toc7923"/>
      <w:r>
        <w:rPr>
          <w:rFonts w:hint="eastAsia" w:ascii="宋体" w:hAnsi="宋体" w:eastAsia="宋体" w:cs="宋体"/>
          <w:b/>
          <w:bCs/>
          <w:color w:val="auto"/>
          <w:sz w:val="24"/>
          <w:szCs w:val="24"/>
          <w:highlight w:val="none"/>
        </w:rPr>
        <w:t>招标文件的澄清</w:t>
      </w:r>
      <w:bookmarkEnd w:id="138"/>
      <w:bookmarkEnd w:id="139"/>
      <w:bookmarkEnd w:id="140"/>
      <w:bookmarkEnd w:id="141"/>
    </w:p>
    <w:p w14:paraId="085DE60A">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前附表规定的时间和形式将提出的问题送达采购人，要求采购人对招标文件予以澄清。</w:t>
      </w:r>
    </w:p>
    <w:p w14:paraId="324C13D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前附表规定的形式发给所有购买招标文件的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，但不指明澄清问题的来源。澄清发出的时间距本章第4.2.1项规定的投标截止时间不足15日的，并且澄清内容可能影响投标文件编制的，将相应延长投标截止时间。</w:t>
      </w:r>
    </w:p>
    <w:p w14:paraId="60DB0A8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前附表规定的时间和形式通知采购人，确认已收到该澄清。</w:t>
      </w:r>
    </w:p>
    <w:p w14:paraId="4DC6443C">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除非采购人认为确有必要答复，否则，采购人有权拒绝回复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在本章第 2.2.1 项规定的时间后的任何澄清要求。在规定的时间内未提出疑问的，将被视为对招标文件完全认可。</w:t>
      </w:r>
    </w:p>
    <w:p w14:paraId="020ED802">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42" w:name="_Toc28742"/>
      <w:bookmarkStart w:id="143" w:name="_Toc12162"/>
      <w:bookmarkStart w:id="144" w:name="_Toc32510"/>
      <w:bookmarkStart w:id="145" w:name="_Toc25801"/>
      <w:r>
        <w:rPr>
          <w:rFonts w:hint="eastAsia" w:ascii="宋体" w:hAnsi="宋体" w:eastAsia="宋体" w:cs="宋体"/>
          <w:b/>
          <w:bCs/>
          <w:color w:val="auto"/>
          <w:sz w:val="24"/>
          <w:szCs w:val="24"/>
          <w:highlight w:val="none"/>
        </w:rPr>
        <w:t>招标文件的修改</w:t>
      </w:r>
      <w:bookmarkEnd w:id="142"/>
      <w:bookmarkEnd w:id="143"/>
      <w:bookmarkEnd w:id="144"/>
      <w:bookmarkEnd w:id="145"/>
    </w:p>
    <w:p w14:paraId="59ADD86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采购人或采购代理机构可以对已发出的招标文件进行必要的修改，但不得改变采购标的和资格条件，修改的内容为招标文件的组成部分。</w:t>
      </w:r>
    </w:p>
    <w:p w14:paraId="57D49BC8">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前附表规定的形式修改招标文件，并通知所有已购买招标文件的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。修改招标文件的时间距本章第4.2.1项规定的投标截止时间不足15日的，并且修改内容可能影响投标文件编制的，将相应延长投标截止时间。</w:t>
      </w:r>
    </w:p>
    <w:p w14:paraId="04804D7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前附表规定的时间和形式通知采购人，确认已收到该修改。</w:t>
      </w:r>
    </w:p>
    <w:p w14:paraId="21780330">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46" w:name="_Toc312133545"/>
      <w:bookmarkStart w:id="147" w:name="_Toc26472"/>
      <w:bookmarkStart w:id="148" w:name="_Toc18538"/>
      <w:bookmarkStart w:id="149" w:name="_Toc23680"/>
      <w:bookmarkStart w:id="150" w:name="_Toc12525"/>
      <w:bookmarkStart w:id="151" w:name="_Toc40112132"/>
      <w:r>
        <w:rPr>
          <w:rStyle w:val="28"/>
          <w:rFonts w:hint="eastAsia" w:ascii="宋体" w:hAnsi="宋体" w:eastAsia="宋体" w:cs="宋体"/>
          <w:color w:val="auto"/>
          <w:sz w:val="24"/>
          <w:szCs w:val="24"/>
          <w:highlight w:val="none"/>
        </w:rPr>
        <w:t>投标文件的编写</w:t>
      </w:r>
      <w:bookmarkEnd w:id="146"/>
      <w:bookmarkEnd w:id="147"/>
      <w:bookmarkEnd w:id="148"/>
      <w:bookmarkEnd w:id="149"/>
      <w:bookmarkEnd w:id="150"/>
      <w:bookmarkEnd w:id="151"/>
    </w:p>
    <w:p w14:paraId="70D82D84">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2" w:name="_Toc27498"/>
      <w:bookmarkStart w:id="153" w:name="_Toc17436"/>
      <w:bookmarkStart w:id="154" w:name="_Toc9605"/>
      <w:bookmarkStart w:id="155" w:name="_Toc21879"/>
      <w:r>
        <w:rPr>
          <w:rFonts w:hint="eastAsia" w:ascii="宋体" w:hAnsi="宋体" w:eastAsia="宋体" w:cs="宋体"/>
          <w:b/>
          <w:bCs/>
          <w:color w:val="auto"/>
          <w:sz w:val="24"/>
          <w:szCs w:val="24"/>
          <w:highlight w:val="none"/>
        </w:rPr>
        <w:t>投标文件的组成</w:t>
      </w:r>
      <w:bookmarkEnd w:id="152"/>
      <w:bookmarkEnd w:id="153"/>
      <w:bookmarkEnd w:id="154"/>
      <w:bookmarkEnd w:id="155"/>
    </w:p>
    <w:p w14:paraId="30BEA73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投标文件包括下列部分：详见第七章投标文件格式</w:t>
      </w:r>
    </w:p>
    <w:p w14:paraId="398DABD7">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投标文件应按招标文件中投标文件格式编写。</w:t>
      </w:r>
    </w:p>
    <w:p w14:paraId="2CF99EFB">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招标文件中的每个分包，是项目招标不可拆分的最小投标单元，</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必须按此分包编制投标文件，提交相应的文件资料，拆包投标将视为漏项或非实质性响应予以</w:t>
      </w:r>
      <w:r>
        <w:rPr>
          <w:rFonts w:hint="eastAsia" w:ascii="宋体" w:hAnsi="宋体" w:eastAsia="宋体" w:cs="宋体"/>
          <w:b/>
          <w:bCs/>
          <w:color w:val="auto"/>
          <w:sz w:val="24"/>
          <w:szCs w:val="24"/>
          <w:highlight w:val="none"/>
        </w:rPr>
        <w:t>认定为投标无效</w:t>
      </w:r>
      <w:r>
        <w:rPr>
          <w:rFonts w:hint="eastAsia" w:ascii="宋体" w:hAnsi="宋体" w:eastAsia="宋体" w:cs="宋体"/>
          <w:color w:val="auto"/>
          <w:sz w:val="24"/>
          <w:szCs w:val="24"/>
          <w:highlight w:val="none"/>
        </w:rPr>
        <w:t>。</w:t>
      </w:r>
    </w:p>
    <w:p w14:paraId="74DC750D">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6" w:name="_Toc4941"/>
      <w:bookmarkStart w:id="157" w:name="_Toc1833"/>
      <w:bookmarkStart w:id="158" w:name="_Toc2826"/>
      <w:bookmarkStart w:id="159" w:name="_Toc32754"/>
      <w:r>
        <w:rPr>
          <w:rFonts w:hint="eastAsia" w:ascii="宋体" w:hAnsi="宋体" w:eastAsia="宋体" w:cs="宋体"/>
          <w:b/>
          <w:bCs/>
          <w:color w:val="auto"/>
          <w:sz w:val="24"/>
          <w:szCs w:val="24"/>
          <w:highlight w:val="none"/>
        </w:rPr>
        <w:t>投标报价</w:t>
      </w:r>
      <w:bookmarkEnd w:id="156"/>
      <w:bookmarkEnd w:id="157"/>
      <w:bookmarkEnd w:id="158"/>
      <w:bookmarkEnd w:id="159"/>
    </w:p>
    <w:p w14:paraId="4AFCA43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应按照招标文件提供的报价明细表格式填写提供各项货物及服务的单价、分项总价和总投标价。</w:t>
      </w:r>
    </w:p>
    <w:p w14:paraId="400F781A">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总报价应是采购人指定地点交货的，包括基于交货或提供服务前发生的各种包括但不限于货物及配置产品的设计、采购、制造、检测、试验、包装、运输、保险、装卸、货款、安装调试、培训、保修维护、技术支持、质保期服务、税费和服务内容的检验、验收、技术服务（包括技术资料、图纸的提供）、质保期保障等的全部费用的总报价</w:t>
      </w:r>
      <w:r>
        <w:rPr>
          <w:rFonts w:hint="eastAsia" w:ascii="宋体" w:hAnsi="宋体" w:eastAsia="宋体" w:cs="宋体"/>
          <w:color w:val="auto"/>
          <w:sz w:val="24"/>
          <w:szCs w:val="24"/>
          <w:highlight w:val="none"/>
        </w:rPr>
        <w:t>。</w:t>
      </w:r>
    </w:p>
    <w:p w14:paraId="233AA02C">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根据上述规定所作分项报价的目的只是为了评标时对投标文件进行比较的方便，但并不限制采购人订立合同的权力。</w:t>
      </w:r>
    </w:p>
    <w:p w14:paraId="02D10ABD">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投标报价应完全包括招标文件规定的全部货物及其伴随的服务范围，不得任意分割或合并所规定的货物及其伴随的服务分项。</w:t>
      </w:r>
    </w:p>
    <w:p w14:paraId="15FD23B7">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对每种货物只允许有一个报价，采购人和采购代理机构不接受有任何选择报价的投标。</w:t>
      </w:r>
    </w:p>
    <w:p w14:paraId="4EDDB14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不得以任何理由在</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后对投标报价予以修改，报价在投标有效期内是固定的，不因任何原因而改变。任何包含价格调整要求和条件的投标，将被视为非实质性响应投标而予以拒绝。最低投标报价并不意味着一定中标。</w:t>
      </w:r>
    </w:p>
    <w:p w14:paraId="5F59A5CC">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60" w:name="_Toc28543"/>
      <w:bookmarkStart w:id="161" w:name="_Toc25999"/>
      <w:bookmarkStart w:id="162" w:name="_Toc31023"/>
      <w:bookmarkStart w:id="163" w:name="_Toc26916"/>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资格的证明文件</w:t>
      </w:r>
      <w:bookmarkEnd w:id="160"/>
      <w:bookmarkEnd w:id="161"/>
      <w:bookmarkEnd w:id="162"/>
      <w:bookmarkEnd w:id="163"/>
    </w:p>
    <w:p w14:paraId="6BC03C86">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4" w:name="_Toc28461"/>
      <w:bookmarkStart w:id="165" w:name="_Toc30002"/>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前附表中的要求提交相应的资格证明文件，作为投标文件资格审查的一部分，以证明其有资格进行投标和有能力履行合同。</w:t>
      </w:r>
    </w:p>
    <w:p w14:paraId="21A5E3C2">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66" w:name="_Toc13866"/>
      <w:bookmarkStart w:id="167" w:name="_Toc7564"/>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技术证明文件</w:t>
      </w:r>
      <w:bookmarkEnd w:id="164"/>
      <w:bookmarkEnd w:id="165"/>
      <w:bookmarkEnd w:id="166"/>
      <w:bookmarkEnd w:id="167"/>
    </w:p>
    <w:p w14:paraId="50C2090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8" w:name="_Toc14418"/>
      <w:bookmarkStart w:id="169" w:name="_Toc26009"/>
      <w:bookmarkStart w:id="170" w:name="_Toc26473"/>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应提交证明其拟供货物及伴随服务符合招标文件规定的技术响应文件，作为投标文件的一部分。</w:t>
      </w:r>
    </w:p>
    <w:p w14:paraId="25664D2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在投标文件中应说明各项货物名称、数量、单价、规格型号等。</w:t>
      </w:r>
    </w:p>
    <w:p w14:paraId="0021BB6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证明文件可以是文字资料、图纸和数据。</w:t>
      </w:r>
    </w:p>
    <w:p w14:paraId="3E21C64B">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1" w:name="_Toc20716"/>
      <w:r>
        <w:rPr>
          <w:rFonts w:hint="eastAsia" w:ascii="宋体" w:hAnsi="宋体" w:eastAsia="宋体" w:cs="宋体"/>
          <w:b/>
          <w:bCs/>
          <w:color w:val="auto"/>
          <w:sz w:val="24"/>
          <w:szCs w:val="24"/>
          <w:highlight w:val="none"/>
        </w:rPr>
        <w:t>投标保证金</w:t>
      </w:r>
      <w:bookmarkEnd w:id="168"/>
      <w:bookmarkEnd w:id="169"/>
      <w:bookmarkEnd w:id="170"/>
      <w:bookmarkEnd w:id="171"/>
    </w:p>
    <w:p w14:paraId="6EF9E1CB">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根据豫财购【2019】4号文要求，不再收取投标保证金。</w:t>
      </w:r>
    </w:p>
    <w:p w14:paraId="2FF23EC4">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2" w:name="_Toc878"/>
      <w:bookmarkStart w:id="173" w:name="_Toc11749"/>
      <w:bookmarkStart w:id="174" w:name="_Toc29010"/>
      <w:bookmarkStart w:id="175" w:name="_Toc11525"/>
      <w:r>
        <w:rPr>
          <w:rFonts w:hint="eastAsia" w:ascii="宋体" w:hAnsi="宋体" w:eastAsia="宋体" w:cs="宋体"/>
          <w:b/>
          <w:bCs/>
          <w:color w:val="auto"/>
          <w:sz w:val="24"/>
          <w:szCs w:val="24"/>
          <w:highlight w:val="none"/>
        </w:rPr>
        <w:t>投标有效期</w:t>
      </w:r>
      <w:bookmarkEnd w:id="172"/>
      <w:bookmarkEnd w:id="173"/>
      <w:bookmarkEnd w:id="174"/>
      <w:bookmarkEnd w:id="175"/>
    </w:p>
    <w:p w14:paraId="77A8D2CB">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前附表，从递交投标文件的截止之日起算。投标有效期内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不得要求撤销投标文件。</w:t>
      </w:r>
    </w:p>
    <w:p w14:paraId="599FCEF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投标文件应自递交投标文件的截止之日起，在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前附表规定的时间内保持有效。投标有效期不足的将被视为非响应投标而予以拒绝。</w:t>
      </w:r>
    </w:p>
    <w:p w14:paraId="5E67B8CB">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在特殊情况下，在原投标有效期截止之前，采购人和采购代理机构可征求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同意延长投标有效期。这种要求与答复均应以书面形式提交。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可以拒绝这种要求。同意延期的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将不会被要求也不允许修改其投标。</w:t>
      </w:r>
    </w:p>
    <w:p w14:paraId="12C8F270">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6" w:name="_Toc5773"/>
      <w:bookmarkStart w:id="177" w:name="_Toc10777"/>
      <w:bookmarkStart w:id="178" w:name="_Toc9753"/>
      <w:bookmarkStart w:id="179" w:name="_Toc25251"/>
      <w:r>
        <w:rPr>
          <w:rFonts w:hint="eastAsia" w:ascii="宋体" w:hAnsi="宋体" w:eastAsia="宋体" w:cs="宋体"/>
          <w:b/>
          <w:bCs/>
          <w:color w:val="auto"/>
          <w:sz w:val="24"/>
          <w:szCs w:val="24"/>
          <w:highlight w:val="none"/>
        </w:rPr>
        <w:t>投标文件编制</w:t>
      </w:r>
      <w:bookmarkEnd w:id="176"/>
      <w:bookmarkEnd w:id="177"/>
      <w:bookmarkEnd w:id="178"/>
      <w:bookmarkEnd w:id="179"/>
    </w:p>
    <w:p w14:paraId="5E819B8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80" w:name="_Toc312133546"/>
      <w:r>
        <w:rPr>
          <w:rFonts w:hint="eastAsia" w:ascii="宋体" w:hAnsi="宋体" w:eastAsia="宋体" w:cs="宋体"/>
          <w:color w:val="auto"/>
          <w:sz w:val="24"/>
          <w:szCs w:val="24"/>
          <w:highlight w:val="none"/>
        </w:rPr>
        <w:t>投标文件应按第七章“投标文件格式”进行编写，如有必要，可以增加附页，作为投标文件的组成部分。其中，投标函附录在满足招标文件实质性要求的基础上，可以提出比招标文件要求更有利于采购人的承诺。</w:t>
      </w:r>
    </w:p>
    <w:p w14:paraId="0C7B598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投标文件应当对招标文件有关投标有效期、招标范围等实质性内容作出响应。</w:t>
      </w:r>
    </w:p>
    <w:p w14:paraId="2515DAC0">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投标文件须是已上传加密的的电子投标文件，并按招标文件中要求签字盖章，如授权代表签字或盖章，授权代表必须将书面形式出具的法定代表人授权委托书附在投标文件中。</w:t>
      </w:r>
    </w:p>
    <w:p w14:paraId="21881773">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任何行间插字、涂改和增删，必须由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法定代表人或其委托代理人在旁边签字或加盖公章后有效。</w:t>
      </w:r>
    </w:p>
    <w:p w14:paraId="31248268">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电报、电传和传真投标文件一律不接受。</w:t>
      </w:r>
    </w:p>
    <w:p w14:paraId="231D8588">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81" w:name="_Toc25147"/>
      <w:bookmarkStart w:id="182" w:name="_Toc5919"/>
      <w:bookmarkStart w:id="183" w:name="_Toc18954"/>
      <w:bookmarkStart w:id="184" w:name="_Toc14536"/>
      <w:bookmarkStart w:id="185" w:name="_Toc40112133"/>
      <w:r>
        <w:rPr>
          <w:rStyle w:val="28"/>
          <w:rFonts w:hint="eastAsia" w:ascii="宋体" w:hAnsi="宋体" w:eastAsia="宋体" w:cs="宋体"/>
          <w:color w:val="auto"/>
          <w:sz w:val="24"/>
          <w:szCs w:val="24"/>
          <w:highlight w:val="none"/>
        </w:rPr>
        <w:t>投标</w:t>
      </w:r>
      <w:bookmarkEnd w:id="180"/>
      <w:bookmarkEnd w:id="181"/>
      <w:bookmarkEnd w:id="182"/>
      <w:bookmarkEnd w:id="183"/>
      <w:bookmarkEnd w:id="184"/>
      <w:bookmarkEnd w:id="185"/>
    </w:p>
    <w:p w14:paraId="37C172EC">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86" w:name="_Toc15515"/>
      <w:bookmarkStart w:id="187" w:name="_Toc17190"/>
      <w:bookmarkStart w:id="188" w:name="_Toc2541"/>
      <w:bookmarkStart w:id="189" w:name="_Toc7201"/>
      <w:bookmarkStart w:id="190" w:name="_Toc25740"/>
      <w:bookmarkStart w:id="191" w:name="_Toc9486"/>
      <w:bookmarkStart w:id="192" w:name="_Toc24770"/>
      <w:bookmarkStart w:id="193" w:name="_Toc7004"/>
      <w:bookmarkStart w:id="194" w:name="_Toc24089"/>
      <w:bookmarkStart w:id="195" w:name="_Toc23777"/>
      <w:bookmarkStart w:id="196" w:name="_Toc22690"/>
      <w:bookmarkStart w:id="197" w:name="_Toc312133547"/>
      <w:r>
        <w:rPr>
          <w:rFonts w:hint="eastAsia" w:ascii="宋体" w:hAnsi="宋体" w:eastAsia="宋体" w:cs="宋体"/>
          <w:b/>
          <w:bCs/>
          <w:color w:val="auto"/>
          <w:sz w:val="24"/>
          <w:szCs w:val="24"/>
          <w:highlight w:val="none"/>
        </w:rPr>
        <w:t>投标文件签署和盖章</w:t>
      </w:r>
      <w:bookmarkEnd w:id="186"/>
      <w:bookmarkEnd w:id="187"/>
      <w:bookmarkEnd w:id="188"/>
      <w:bookmarkEnd w:id="189"/>
      <w:bookmarkEnd w:id="190"/>
      <w:bookmarkEnd w:id="191"/>
      <w:bookmarkEnd w:id="192"/>
      <w:bookmarkEnd w:id="193"/>
      <w:bookmarkEnd w:id="194"/>
      <w:bookmarkEnd w:id="195"/>
      <w:bookmarkEnd w:id="196"/>
    </w:p>
    <w:p w14:paraId="1608277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按照招标文件中格式的要求签字或盖章。</w:t>
      </w:r>
    </w:p>
    <w:p w14:paraId="0D7FBEC6">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98" w:name="_Toc17234"/>
      <w:bookmarkStart w:id="199" w:name="_Toc27859"/>
      <w:bookmarkStart w:id="200" w:name="_Toc8642"/>
      <w:bookmarkStart w:id="201" w:name="_Toc20161"/>
      <w:bookmarkStart w:id="202" w:name="_Toc27621"/>
      <w:bookmarkStart w:id="203" w:name="_Toc14647"/>
      <w:bookmarkStart w:id="204" w:name="_Toc28937"/>
      <w:bookmarkStart w:id="205" w:name="_Toc2882"/>
      <w:bookmarkStart w:id="206" w:name="_Toc25206"/>
      <w:bookmarkStart w:id="207" w:name="_Toc10849"/>
      <w:bookmarkStart w:id="208" w:name="_Toc17164"/>
      <w:r>
        <w:rPr>
          <w:rFonts w:hint="eastAsia" w:ascii="宋体" w:hAnsi="宋体" w:eastAsia="宋体" w:cs="宋体"/>
          <w:b/>
          <w:bCs/>
          <w:color w:val="auto"/>
          <w:sz w:val="24"/>
          <w:szCs w:val="24"/>
          <w:highlight w:val="none"/>
        </w:rPr>
        <w:t>投标文件的递交</w:t>
      </w:r>
      <w:bookmarkEnd w:id="198"/>
      <w:bookmarkEnd w:id="199"/>
      <w:bookmarkEnd w:id="200"/>
      <w:bookmarkEnd w:id="201"/>
      <w:bookmarkEnd w:id="202"/>
      <w:bookmarkEnd w:id="203"/>
      <w:bookmarkEnd w:id="204"/>
      <w:bookmarkEnd w:id="205"/>
      <w:bookmarkEnd w:id="206"/>
      <w:bookmarkEnd w:id="207"/>
      <w:bookmarkEnd w:id="208"/>
    </w:p>
    <w:p w14:paraId="420C1E6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在</w:t>
      </w:r>
      <w:r>
        <w:rPr>
          <w:rFonts w:hint="eastAsia" w:ascii="宋体" w:hAnsi="宋体" w:eastAsia="宋体" w:cs="宋体"/>
          <w:color w:val="auto"/>
          <w:spacing w:val="-2"/>
          <w:kern w:val="0"/>
          <w:sz w:val="24"/>
          <w:szCs w:val="24"/>
          <w:highlight w:val="none"/>
          <w:lang w:eastAsia="zh-CN"/>
        </w:rPr>
        <w:t>投标人须知</w:t>
      </w:r>
      <w:r>
        <w:rPr>
          <w:rFonts w:hint="eastAsia" w:ascii="宋体" w:hAnsi="宋体" w:eastAsia="宋体" w:cs="宋体"/>
          <w:color w:val="auto"/>
          <w:kern w:val="0"/>
          <w:sz w:val="24"/>
          <w:szCs w:val="24"/>
          <w:highlight w:val="none"/>
        </w:rPr>
        <w:t>前</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表</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截</w:t>
      </w:r>
      <w:r>
        <w:rPr>
          <w:rFonts w:hint="eastAsia" w:ascii="宋体" w:hAnsi="宋体" w:eastAsia="宋体" w:cs="宋体"/>
          <w:color w:val="auto"/>
          <w:spacing w:val="-2"/>
          <w:kern w:val="0"/>
          <w:sz w:val="24"/>
          <w:szCs w:val="24"/>
          <w:highlight w:val="none"/>
        </w:rPr>
        <w:t>止</w:t>
      </w:r>
      <w:r>
        <w:rPr>
          <w:rFonts w:hint="eastAsia" w:ascii="宋体" w:hAnsi="宋体" w:eastAsia="宋体" w:cs="宋体"/>
          <w:color w:val="auto"/>
          <w:kern w:val="0"/>
          <w:sz w:val="24"/>
          <w:szCs w:val="24"/>
          <w:highlight w:val="none"/>
        </w:rPr>
        <w:t>时间</w:t>
      </w:r>
      <w:r>
        <w:rPr>
          <w:rFonts w:hint="eastAsia" w:ascii="宋体" w:hAnsi="宋体" w:eastAsia="宋体" w:cs="宋体"/>
          <w:color w:val="auto"/>
          <w:spacing w:val="-2"/>
          <w:kern w:val="0"/>
          <w:sz w:val="24"/>
          <w:szCs w:val="24"/>
          <w:highlight w:val="none"/>
        </w:rPr>
        <w:t>前</w:t>
      </w:r>
      <w:r>
        <w:rPr>
          <w:rFonts w:hint="eastAsia" w:ascii="宋体" w:hAnsi="宋体" w:eastAsia="宋体" w:cs="宋体"/>
          <w:color w:val="auto"/>
          <w:kern w:val="0"/>
          <w:sz w:val="24"/>
          <w:szCs w:val="24"/>
          <w:highlight w:val="none"/>
        </w:rPr>
        <w:t>递</w:t>
      </w:r>
      <w:r>
        <w:rPr>
          <w:rFonts w:hint="eastAsia" w:ascii="宋体" w:hAnsi="宋体" w:eastAsia="宋体" w:cs="宋体"/>
          <w:color w:val="auto"/>
          <w:spacing w:val="-2"/>
          <w:kern w:val="0"/>
          <w:sz w:val="24"/>
          <w:szCs w:val="24"/>
          <w:highlight w:val="none"/>
        </w:rPr>
        <w:t>交</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w:t>
      </w:r>
    </w:p>
    <w:p w14:paraId="78B0F72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电子投标文件的递交： </w:t>
      </w:r>
    </w:p>
    <w:p w14:paraId="7B132A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应在投标截止时间前上传加密的电子投标文件到电子交易平台系统的指定位置。上传时必须得到电脑“上传成功”的确认。请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在上传时认真检查上传投标文件是否完整、正确。 </w:t>
      </w:r>
    </w:p>
    <w:p w14:paraId="68E1FCE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因交易中心投标系统问题无法上传电子投标文件时，请在工作时间与</w:t>
      </w:r>
      <w:r>
        <w:rPr>
          <w:rFonts w:hint="eastAsia" w:ascii="宋体" w:hAnsi="宋体" w:eastAsia="宋体" w:cs="宋体"/>
          <w:color w:val="auto"/>
          <w:sz w:val="24"/>
          <w:szCs w:val="24"/>
          <w:highlight w:val="none"/>
          <w:lang w:eastAsia="zh-CN"/>
        </w:rPr>
        <w:t>《全国公共资源交易平台（河南省·平顶山市）》</w:t>
      </w:r>
      <w:r>
        <w:rPr>
          <w:rFonts w:hint="eastAsia" w:ascii="宋体" w:hAnsi="宋体" w:eastAsia="宋体" w:cs="宋体"/>
          <w:color w:val="auto"/>
          <w:sz w:val="24"/>
          <w:szCs w:val="24"/>
          <w:highlight w:val="none"/>
        </w:rPr>
        <w:t xml:space="preserve">联系。 </w:t>
      </w:r>
    </w:p>
    <w:p w14:paraId="52D6CABD">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09" w:name="_Toc27900"/>
      <w:bookmarkStart w:id="210" w:name="_Toc31018"/>
      <w:bookmarkStart w:id="211" w:name="_Toc8025"/>
      <w:bookmarkStart w:id="212" w:name="_Toc3471"/>
      <w:bookmarkStart w:id="213" w:name="_Toc19554"/>
      <w:bookmarkStart w:id="214" w:name="_Toc32365"/>
      <w:bookmarkStart w:id="215" w:name="_Toc22212"/>
      <w:bookmarkStart w:id="216" w:name="_Toc13886"/>
      <w:bookmarkStart w:id="217" w:name="_Toc7423"/>
      <w:bookmarkStart w:id="218" w:name="_Toc23125"/>
      <w:bookmarkStart w:id="219" w:name="_Toc27084"/>
      <w:r>
        <w:rPr>
          <w:rFonts w:hint="eastAsia" w:ascii="宋体" w:hAnsi="宋体" w:eastAsia="宋体" w:cs="宋体"/>
          <w:b/>
          <w:bCs/>
          <w:color w:val="auto"/>
          <w:sz w:val="24"/>
          <w:szCs w:val="24"/>
          <w:highlight w:val="none"/>
        </w:rPr>
        <w:t>投标文件的修改和撤回</w:t>
      </w:r>
      <w:bookmarkEnd w:id="209"/>
      <w:bookmarkEnd w:id="210"/>
      <w:bookmarkEnd w:id="211"/>
      <w:bookmarkEnd w:id="212"/>
      <w:bookmarkEnd w:id="213"/>
      <w:bookmarkEnd w:id="214"/>
      <w:bookmarkEnd w:id="215"/>
      <w:bookmarkEnd w:id="216"/>
      <w:bookmarkEnd w:id="217"/>
      <w:bookmarkEnd w:id="218"/>
      <w:bookmarkEnd w:id="219"/>
    </w:p>
    <w:p w14:paraId="382A2EB0">
      <w:pPr>
        <w:numPr>
          <w:ilvl w:val="2"/>
          <w:numId w:val="5"/>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在本章第4.2.1项规定的投标截止时间前，</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可以修改或撤回已上传的投标文件。</w:t>
      </w:r>
    </w:p>
    <w:p w14:paraId="659464D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在投标截止时间之后，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不得对其投标文件做任何修改。</w:t>
      </w:r>
    </w:p>
    <w:p w14:paraId="5798C12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从投标截止时间至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在投标文件中载明的投标有效期满期间，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不得撤回其投标文件。</w:t>
      </w:r>
    </w:p>
    <w:p w14:paraId="349F59D5">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220" w:name="_Toc40112134"/>
      <w:bookmarkStart w:id="221" w:name="_Toc17439"/>
      <w:bookmarkStart w:id="222" w:name="_Toc32258"/>
      <w:bookmarkStart w:id="223" w:name="_Toc20910"/>
      <w:bookmarkStart w:id="224" w:name="_Toc27025"/>
      <w:r>
        <w:rPr>
          <w:rStyle w:val="28"/>
          <w:rFonts w:hint="eastAsia" w:ascii="宋体" w:hAnsi="宋体" w:eastAsia="宋体" w:cs="宋体"/>
          <w:color w:val="auto"/>
          <w:sz w:val="24"/>
          <w:szCs w:val="24"/>
          <w:highlight w:val="none"/>
        </w:rPr>
        <w:t>开标、资格审查与评标</w:t>
      </w:r>
      <w:bookmarkEnd w:id="197"/>
      <w:bookmarkEnd w:id="220"/>
      <w:bookmarkEnd w:id="221"/>
      <w:bookmarkEnd w:id="222"/>
      <w:bookmarkEnd w:id="223"/>
      <w:bookmarkEnd w:id="224"/>
    </w:p>
    <w:p w14:paraId="7D22B0A1">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25" w:name="_Toc10372"/>
      <w:bookmarkStart w:id="226" w:name="_Toc3802"/>
      <w:bookmarkStart w:id="227" w:name="_Toc18834"/>
      <w:bookmarkStart w:id="228" w:name="_Toc10066"/>
      <w:bookmarkStart w:id="229" w:name="_Toc3484"/>
      <w:bookmarkStart w:id="230" w:name="_Toc1051"/>
      <w:bookmarkStart w:id="231" w:name="_Toc28821"/>
      <w:bookmarkStart w:id="232" w:name="_Toc30917"/>
      <w:bookmarkStart w:id="233" w:name="_Toc21689"/>
      <w:bookmarkStart w:id="234" w:name="_Toc22058"/>
      <w:bookmarkStart w:id="235" w:name="_Toc24837"/>
      <w:bookmarkStart w:id="236" w:name="_Toc312133548"/>
      <w:r>
        <w:rPr>
          <w:rFonts w:hint="eastAsia" w:ascii="宋体" w:hAnsi="宋体" w:eastAsia="宋体" w:cs="宋体"/>
          <w:b/>
          <w:bCs/>
          <w:color w:val="auto"/>
          <w:sz w:val="24"/>
          <w:szCs w:val="24"/>
          <w:highlight w:val="none"/>
        </w:rPr>
        <w:t>开标</w:t>
      </w:r>
      <w:bookmarkEnd w:id="225"/>
      <w:bookmarkEnd w:id="226"/>
      <w:bookmarkEnd w:id="227"/>
      <w:bookmarkEnd w:id="228"/>
      <w:bookmarkEnd w:id="229"/>
      <w:bookmarkEnd w:id="230"/>
      <w:bookmarkEnd w:id="231"/>
      <w:bookmarkEnd w:id="232"/>
      <w:bookmarkEnd w:id="233"/>
      <w:bookmarkEnd w:id="234"/>
      <w:bookmarkEnd w:id="235"/>
    </w:p>
    <w:p w14:paraId="63274D9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前附表中规定的时间和地点组织公开开标。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不足3家的，不得开标。开标由采购代理机构主持，邀请所有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的法定代表人或委托代理人参加远程不见面开标会议。</w:t>
      </w:r>
    </w:p>
    <w:p w14:paraId="60F9484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p w14:paraId="01A1BFA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37" w:name="_Toc14761"/>
      <w:r>
        <w:rPr>
          <w:rFonts w:hint="eastAsia" w:ascii="宋体" w:hAnsi="宋体" w:eastAsia="宋体" w:cs="宋体"/>
          <w:color w:val="auto"/>
          <w:sz w:val="24"/>
          <w:szCs w:val="24"/>
          <w:highlight w:val="none"/>
        </w:rPr>
        <w:t>公布投标人</w:t>
      </w:r>
      <w:bookmarkEnd w:id="237"/>
      <w:r>
        <w:rPr>
          <w:rFonts w:hint="eastAsia" w:ascii="宋体" w:hAnsi="宋体" w:eastAsia="宋体" w:cs="宋体"/>
          <w:color w:val="auto"/>
          <w:sz w:val="24"/>
          <w:szCs w:val="24"/>
          <w:highlight w:val="none"/>
        </w:rPr>
        <w:t>（供应商）；</w:t>
      </w:r>
    </w:p>
    <w:p w14:paraId="246307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238" w:name="_Toc2651"/>
      <w:r>
        <w:rPr>
          <w:rFonts w:hint="eastAsia" w:ascii="宋体" w:hAnsi="宋体" w:eastAsia="宋体" w:cs="宋体"/>
          <w:color w:val="auto"/>
          <w:sz w:val="24"/>
          <w:szCs w:val="24"/>
          <w:highlight w:val="none"/>
        </w:rPr>
        <w:t>投标人（供应商）解密</w:t>
      </w:r>
      <w:bookmarkEnd w:id="238"/>
      <w:r>
        <w:rPr>
          <w:rFonts w:hint="eastAsia" w:ascii="宋体" w:hAnsi="宋体" w:eastAsia="宋体" w:cs="宋体"/>
          <w:color w:val="auto"/>
          <w:sz w:val="24"/>
          <w:szCs w:val="24"/>
          <w:highlight w:val="none"/>
        </w:rPr>
        <w:t>；</w:t>
      </w:r>
    </w:p>
    <w:p w14:paraId="1B7210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（3）批量导入完成后，公布开标结果；</w:t>
      </w:r>
    </w:p>
    <w:p w14:paraId="2FCBAB7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239" w:name="_Toc17366"/>
      <w:r>
        <w:rPr>
          <w:rFonts w:hint="eastAsia" w:ascii="宋体" w:hAnsi="宋体" w:eastAsia="宋体" w:cs="宋体"/>
          <w:color w:val="auto"/>
          <w:sz w:val="24"/>
          <w:szCs w:val="24"/>
          <w:highlight w:val="none"/>
        </w:rPr>
        <w:t>异议答复</w:t>
      </w:r>
      <w:bookmarkEnd w:id="239"/>
      <w:r>
        <w:rPr>
          <w:rFonts w:hint="eastAsia" w:ascii="宋体" w:hAnsi="宋体" w:eastAsia="宋体" w:cs="宋体"/>
          <w:color w:val="auto"/>
          <w:sz w:val="24"/>
          <w:szCs w:val="24"/>
          <w:highlight w:val="none"/>
        </w:rPr>
        <w:t>；</w:t>
      </w:r>
    </w:p>
    <w:p w14:paraId="17A9223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w:t>
      </w:r>
    </w:p>
    <w:p w14:paraId="062C8009">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代表提出的询问或者回避申请应当及时处理，并制作记录。</w:t>
      </w:r>
    </w:p>
    <w:p w14:paraId="6A6F008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14:paraId="2180F0E2">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40" w:name="_Toc22209"/>
      <w:bookmarkStart w:id="241" w:name="_Toc29955"/>
      <w:bookmarkStart w:id="242" w:name="_Toc13168"/>
      <w:bookmarkStart w:id="243" w:name="_Toc29315"/>
      <w:bookmarkStart w:id="244" w:name="_Toc18862"/>
      <w:bookmarkStart w:id="245" w:name="_Toc29588"/>
      <w:bookmarkStart w:id="246" w:name="_Toc24277"/>
      <w:bookmarkStart w:id="247" w:name="_Toc3031"/>
      <w:bookmarkStart w:id="248" w:name="_Toc29637"/>
      <w:bookmarkStart w:id="249" w:name="_Toc11192"/>
      <w:bookmarkStart w:id="250" w:name="_Toc22131"/>
      <w:r>
        <w:rPr>
          <w:rFonts w:hint="eastAsia" w:ascii="宋体" w:hAnsi="宋体" w:eastAsia="宋体" w:cs="宋体"/>
          <w:b/>
          <w:bCs/>
          <w:color w:val="auto"/>
          <w:sz w:val="24"/>
          <w:szCs w:val="24"/>
          <w:highlight w:val="none"/>
        </w:rPr>
        <w:t>资格审查工作</w:t>
      </w:r>
      <w:bookmarkEnd w:id="240"/>
      <w:bookmarkEnd w:id="241"/>
      <w:bookmarkEnd w:id="242"/>
      <w:bookmarkEnd w:id="243"/>
      <w:bookmarkEnd w:id="244"/>
      <w:bookmarkEnd w:id="245"/>
      <w:bookmarkEnd w:id="246"/>
      <w:bookmarkEnd w:id="247"/>
      <w:bookmarkEnd w:id="248"/>
      <w:bookmarkEnd w:id="249"/>
      <w:bookmarkEnd w:id="250"/>
    </w:p>
    <w:p w14:paraId="68BA9C0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开标结束后，采购代理机构应当依法对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的资格进行审查。合格</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不足3家的，不得评标。</w:t>
      </w:r>
    </w:p>
    <w:p w14:paraId="0CD92637">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51" w:name="_Toc26746"/>
      <w:bookmarkStart w:id="252" w:name="_Toc16180"/>
      <w:bookmarkStart w:id="253" w:name="_Toc8092"/>
      <w:bookmarkStart w:id="254" w:name="_Toc12598"/>
      <w:bookmarkStart w:id="255" w:name="_Toc2042"/>
      <w:bookmarkStart w:id="256" w:name="_Toc31129"/>
      <w:bookmarkStart w:id="257" w:name="_Toc24379"/>
      <w:bookmarkStart w:id="258" w:name="_Toc32305"/>
      <w:bookmarkStart w:id="259" w:name="_Toc22105"/>
      <w:bookmarkStart w:id="260" w:name="_Toc19513"/>
      <w:bookmarkStart w:id="261" w:name="_Toc31474"/>
      <w:r>
        <w:rPr>
          <w:rFonts w:hint="eastAsia" w:ascii="宋体" w:hAnsi="宋体" w:eastAsia="宋体" w:cs="宋体"/>
          <w:b/>
          <w:bCs/>
          <w:color w:val="auto"/>
          <w:sz w:val="24"/>
          <w:szCs w:val="24"/>
          <w:highlight w:val="none"/>
        </w:rPr>
        <w:t>评标工作</w:t>
      </w:r>
      <w:bookmarkEnd w:id="251"/>
      <w:bookmarkEnd w:id="252"/>
      <w:bookmarkEnd w:id="253"/>
      <w:bookmarkEnd w:id="254"/>
      <w:bookmarkEnd w:id="255"/>
      <w:bookmarkEnd w:id="256"/>
      <w:bookmarkEnd w:id="257"/>
      <w:bookmarkEnd w:id="258"/>
      <w:bookmarkEnd w:id="259"/>
      <w:bookmarkEnd w:id="260"/>
      <w:bookmarkEnd w:id="261"/>
    </w:p>
    <w:p w14:paraId="3B309B8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w:t>
      </w:r>
    </w:p>
    <w:p w14:paraId="1F769EA7">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（1）评标工作由采购人依法组建的评标委员会负责，对符合资格的投标人的投标文件进行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，并按评标办法规定的方式推荐出</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前附表中载明数量的中标候选人。</w:t>
      </w:r>
    </w:p>
    <w:p w14:paraId="10D02621">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（2）评标委员会由采购人代表和评标专家组成，见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14:paraId="26EC577F">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评标专家对本单位的采购项目只能作为采购人代表参与评标，</w:t>
      </w:r>
      <w:r>
        <w:rPr>
          <w:rFonts w:hint="eastAsia" w:ascii="宋体" w:hAnsi="宋体" w:eastAsia="宋体" w:cs="宋体"/>
          <w:color w:val="auto"/>
          <w:kern w:val="0"/>
          <w:sz w:val="24"/>
          <w:szCs w:val="24"/>
          <w:highlight w:val="none"/>
          <w:lang w:eastAsia="zh-CN"/>
        </w:rPr>
        <w:t>对技术复杂、专业性强的采购项目，通过随机方式难以确定合适评审专家的，经主管预算单位同意，采购人可以自行选定相应专业领域的评审专家</w:t>
      </w:r>
      <w:r>
        <w:rPr>
          <w:rFonts w:hint="eastAsia" w:ascii="宋体" w:hAnsi="宋体" w:eastAsia="宋体" w:cs="宋体"/>
          <w:color w:val="auto"/>
          <w:kern w:val="0"/>
          <w:sz w:val="24"/>
          <w:szCs w:val="24"/>
          <w:highlight w:val="none"/>
        </w:rPr>
        <w:t>。</w:t>
      </w:r>
    </w:p>
    <w:p w14:paraId="634C6F0F">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（4）采购代理机构工作人员不得参加由本机构代理的政府采购项目的评标。</w:t>
      </w:r>
    </w:p>
    <w:p w14:paraId="16C0DB66">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（5）评标委员会成员名单在评标结果公告前应当保密。</w:t>
      </w:r>
    </w:p>
    <w:p w14:paraId="0D76760E">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14:paraId="76A27412">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（1）确定参与评标至评标结束前私自接触</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w:t>
      </w:r>
    </w:p>
    <w:p w14:paraId="744C231B">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（2）接受</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提出的与投标文件不一致的澄清或者说明（对于投标文件中含义不明确、同类问题表述不一致或者有明显文字和计算错误的内容，评标委员会以书面形式要求</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作出必要的澄清、说明或者补正的除外）；</w:t>
      </w:r>
    </w:p>
    <w:p w14:paraId="10755415">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（3）违反评标纪律发表倾向性意见或者征询采购人的倾向性意见；</w:t>
      </w:r>
    </w:p>
    <w:p w14:paraId="6D8DAC04">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（4）在评标过程中擅离职守，影响评标程序正常进行的；</w:t>
      </w:r>
    </w:p>
    <w:p w14:paraId="66CDA21E">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（5）记录、复制或者带走任何评标资料；</w:t>
      </w:r>
    </w:p>
    <w:p w14:paraId="5041AC3A">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（6）其他不遵守评标纪律的行为。</w:t>
      </w:r>
    </w:p>
    <w:p w14:paraId="0FAF0CED">
      <w:pPr>
        <w:tabs>
          <w:tab w:val="left" w:pos="72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评标委员会成员有本章第</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.3.2项第（1）至（6）目行为之一的，其评标意见无效，并不得获取评标劳务报酬和报销异地评标差旅费。</w:t>
      </w:r>
    </w:p>
    <w:p w14:paraId="5948C26F">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49EEAAF">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7DDB9732">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（1）评标委员会按照第四章评标办法规定的方法、评标因素、标准和程序对投标文件进行评标。第四章评标办法没有规定的方法、评标因素和标准，不作为评标依据。</w:t>
      </w:r>
    </w:p>
    <w:p w14:paraId="6C9C3753">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（2）评标委员会完成评标后，评标委员会应当向</w:t>
      </w:r>
      <w:r>
        <w:rPr>
          <w:rFonts w:hint="eastAsia" w:ascii="宋体" w:hAnsi="宋体" w:eastAsia="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评标系统上提交书面评标报告和中标候选人名单。评标委员会推荐中标候选人的人数见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14:paraId="3DEEAB4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评标委员会成员有下列情形之一的，应当回避：</w:t>
      </w:r>
    </w:p>
    <w:p w14:paraId="2B402EFF">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(一)参加采购活动前三年内，与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存在劳动关系，或者担任过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的董事、监事，或者是</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的控股股东或实际控制人；</w:t>
      </w:r>
    </w:p>
    <w:p w14:paraId="5BD00CD7">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的法定代表人或者负责人有夫妻、直系血亲、三代以内旁系血亲或者近姻亲关系；</w:t>
      </w:r>
    </w:p>
    <w:p w14:paraId="4BE6020F">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有其他可能影响政府采购活动公平、公正进行的关系。</w:t>
      </w:r>
    </w:p>
    <w:p w14:paraId="618FE5CB">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评标专家发现本人与参加采购活动的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有利害关系的，应当主动提出回避。采购代理机构发现评标专家与参加采购活动的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有利害关系的，应当要求其回避。</w:t>
      </w:r>
    </w:p>
    <w:p w14:paraId="6E50DE85">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62" w:name="_Toc5830"/>
      <w:bookmarkStart w:id="263" w:name="_Toc25755"/>
      <w:bookmarkStart w:id="264" w:name="_Toc25530"/>
      <w:bookmarkStart w:id="265" w:name="_Toc7396"/>
      <w:bookmarkStart w:id="266" w:name="_Toc25509"/>
      <w:bookmarkStart w:id="267" w:name="_Toc8996"/>
      <w:bookmarkStart w:id="268" w:name="_Toc12609"/>
      <w:bookmarkStart w:id="269" w:name="_Toc608"/>
      <w:bookmarkStart w:id="270" w:name="_Toc22420"/>
      <w:bookmarkStart w:id="271" w:name="_Toc10927"/>
      <w:bookmarkStart w:id="272" w:name="_Toc12131"/>
      <w:r>
        <w:rPr>
          <w:rFonts w:hint="eastAsia" w:ascii="宋体" w:hAnsi="宋体" w:eastAsia="宋体" w:cs="宋体"/>
          <w:b/>
          <w:bCs/>
          <w:color w:val="auto"/>
          <w:sz w:val="24"/>
          <w:szCs w:val="24"/>
          <w:highlight w:val="none"/>
        </w:rPr>
        <w:t>保密及其它注意事项</w:t>
      </w:r>
      <w:bookmarkEnd w:id="262"/>
      <w:bookmarkEnd w:id="263"/>
      <w:bookmarkEnd w:id="264"/>
      <w:bookmarkEnd w:id="265"/>
      <w:bookmarkEnd w:id="266"/>
      <w:bookmarkEnd w:id="267"/>
      <w:bookmarkEnd w:id="268"/>
      <w:bookmarkEnd w:id="269"/>
      <w:bookmarkEnd w:id="270"/>
      <w:bookmarkEnd w:id="271"/>
      <w:bookmarkEnd w:id="272"/>
    </w:p>
    <w:p w14:paraId="6BAF0A5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评标是招标工作的重要环节，评标工作在评标委员会内独立进行。</w:t>
      </w:r>
    </w:p>
    <w:p w14:paraId="63B3EA4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评标委员会将遵照规定的评标方法，公正、平等地对待所有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0C4E278F">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在开标、评标期间，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不得向评委询问评标情况，不得进行旨在影响评标结果的活动。否则其投标可能被拒绝。</w:t>
      </w:r>
    </w:p>
    <w:p w14:paraId="137988E9">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为保证评标的公正性，开标后直至授予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合同，评委不得与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私下交换意见。</w:t>
      </w:r>
    </w:p>
    <w:p w14:paraId="45DE5430">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在评标工作结束后，凡与评标情况有接触的任何人不得擅自将评标情况扩散出评标人员之外。</w:t>
      </w:r>
    </w:p>
    <w:p w14:paraId="4B692CEE">
      <w:pPr>
        <w:numPr>
          <w:ilvl w:val="2"/>
          <w:numId w:val="5"/>
        </w:num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评标结束后，投标文件概不退还。</w:t>
      </w:r>
      <w:bookmarkStart w:id="273" w:name="_Toc40112135"/>
      <w:bookmarkStart w:id="274" w:name="_Toc30376"/>
    </w:p>
    <w:p w14:paraId="3B9574A5">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275" w:name="_Toc11279"/>
      <w:bookmarkStart w:id="276" w:name="_Toc11701"/>
      <w:bookmarkStart w:id="277" w:name="_Toc21032"/>
      <w:r>
        <w:rPr>
          <w:rStyle w:val="28"/>
          <w:rFonts w:hint="eastAsia" w:ascii="宋体" w:hAnsi="宋体" w:eastAsia="宋体" w:cs="宋体"/>
          <w:color w:val="auto"/>
          <w:sz w:val="24"/>
          <w:szCs w:val="24"/>
          <w:highlight w:val="none"/>
        </w:rPr>
        <w:t>授予合同</w:t>
      </w:r>
      <w:bookmarkEnd w:id="236"/>
      <w:bookmarkEnd w:id="273"/>
      <w:bookmarkEnd w:id="274"/>
      <w:bookmarkEnd w:id="275"/>
      <w:bookmarkEnd w:id="276"/>
      <w:bookmarkEnd w:id="277"/>
    </w:p>
    <w:p w14:paraId="7D1259BE">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78" w:name="_Toc15637"/>
      <w:bookmarkStart w:id="279" w:name="_Toc16230"/>
      <w:bookmarkStart w:id="280" w:name="_Toc6320"/>
      <w:bookmarkStart w:id="281" w:name="_Toc3574"/>
      <w:bookmarkStart w:id="282" w:name="_Toc27126"/>
      <w:bookmarkStart w:id="283" w:name="_Toc22971"/>
      <w:bookmarkStart w:id="284" w:name="_Toc32241"/>
      <w:bookmarkStart w:id="285" w:name="_Toc13599"/>
      <w:bookmarkStart w:id="286" w:name="_Toc7898"/>
      <w:bookmarkStart w:id="287" w:name="_Toc21756"/>
      <w:bookmarkStart w:id="288" w:name="_Toc22245"/>
      <w:bookmarkStart w:id="289" w:name="_Toc30644"/>
      <w:bookmarkStart w:id="290" w:name="_Toc22088"/>
      <w:bookmarkStart w:id="291" w:name="_Toc22457"/>
      <w:bookmarkStart w:id="292" w:name="_Toc26604"/>
      <w:bookmarkStart w:id="293" w:name="_Toc23900"/>
      <w:bookmarkStart w:id="294" w:name="_Toc17818"/>
      <w:r>
        <w:rPr>
          <w:rFonts w:hint="eastAsia" w:ascii="宋体" w:hAnsi="宋体" w:eastAsia="宋体" w:cs="宋体"/>
          <w:b/>
          <w:bCs/>
          <w:color w:val="auto"/>
          <w:sz w:val="24"/>
          <w:szCs w:val="24"/>
          <w:highlight w:val="none"/>
        </w:rPr>
        <w:t>中标公告</w:t>
      </w:r>
      <w:bookmarkEnd w:id="278"/>
      <w:bookmarkEnd w:id="279"/>
      <w:bookmarkEnd w:id="280"/>
      <w:bookmarkEnd w:id="281"/>
      <w:bookmarkEnd w:id="282"/>
      <w:bookmarkEnd w:id="283"/>
      <w:bookmarkEnd w:id="284"/>
      <w:bookmarkEnd w:id="285"/>
      <w:bookmarkEnd w:id="286"/>
      <w:bookmarkEnd w:id="287"/>
      <w:bookmarkEnd w:id="288"/>
    </w:p>
    <w:p w14:paraId="4D21C122">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采购代理机构应当在评标结束后2个工作日内将评标报告送采购人。采购人应自收到评标报告之日起5个工作日内，依法确定中标人。中标候选人并列的，由采购人确定中标人。</w:t>
      </w:r>
    </w:p>
    <w:p w14:paraId="4123BA6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采购代理机构应当自中标人确定之日起2个工作日内，在省级以上财政部门指定的媒体上公告中标结果，招标文件应当随中标结果同时公告。</w:t>
      </w:r>
    </w:p>
    <w:p w14:paraId="198E51E7">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1个工作日。</w:t>
      </w:r>
    </w:p>
    <w:p w14:paraId="0ED8E30F">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在公告中标结果的同时，采购代理机构应当向中标人发出中标通知书；对未通过资格审查的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，应当告知其未通过的原因；采用综合评分法评标的，还应当告知未中标人单位的评审得分与排序。</w:t>
      </w:r>
    </w:p>
    <w:p w14:paraId="734CC926">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中标通知书发出后，采购人无正当理由不得改变中标结果，中标人无正当理由不得放弃中标。</w:t>
      </w:r>
    </w:p>
    <w:p w14:paraId="14E62844">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中标人为中小企业的，采购代理机构将随中标结果同时公告其《中小企业声明函》；中标人为残疾人福利性单位的，采购代理机构将随中标结果同时公告其《残疾人福利性单位声明函》，接受社会监督。</w:t>
      </w:r>
    </w:p>
    <w:p w14:paraId="1D5BCE19">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各有关当事人对中标结果有异议的，可以在</w:t>
      </w:r>
      <w:r>
        <w:rPr>
          <w:rFonts w:hint="eastAsia" w:ascii="宋体" w:hAnsi="宋体" w:eastAsia="宋体" w:cs="宋体"/>
          <w:color w:val="auto"/>
          <w:sz w:val="24"/>
          <w:szCs w:val="24"/>
          <w:highlight w:val="none"/>
          <w:lang w:eastAsia="zh-CN"/>
        </w:rPr>
        <w:t>中标结果公告</w:t>
      </w:r>
      <w:r>
        <w:rPr>
          <w:rFonts w:hint="eastAsia" w:ascii="宋体" w:hAnsi="宋体" w:eastAsia="宋体" w:cs="宋体"/>
          <w:color w:val="auto"/>
          <w:sz w:val="24"/>
          <w:szCs w:val="24"/>
          <w:highlight w:val="none"/>
        </w:rPr>
        <w:t>期限届满之日起七个工作日内，按《政府采购质疑和投诉办法》（财政部令第94号）要求以书面形式同时向采购人和采购代理机构提出质疑，逾期提交或未按照要求提交的质疑函将不予受理。</w:t>
      </w:r>
    </w:p>
    <w:bookmarkEnd w:id="289"/>
    <w:bookmarkEnd w:id="290"/>
    <w:bookmarkEnd w:id="291"/>
    <w:bookmarkEnd w:id="292"/>
    <w:bookmarkEnd w:id="293"/>
    <w:bookmarkEnd w:id="294"/>
    <w:p w14:paraId="06D81AD1">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5" w:name="_Toc7497"/>
      <w:r>
        <w:rPr>
          <w:rFonts w:hint="eastAsia" w:ascii="宋体" w:hAnsi="宋体" w:eastAsia="宋体" w:cs="宋体"/>
          <w:b/>
          <w:bCs/>
          <w:color w:val="auto"/>
          <w:sz w:val="24"/>
          <w:szCs w:val="24"/>
          <w:highlight w:val="none"/>
        </w:rPr>
        <w:t>采购任务取消</w:t>
      </w:r>
      <w:bookmarkEnd w:id="295"/>
    </w:p>
    <w:p w14:paraId="3A00AC7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采购人有权拒绝任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中标，且对受影响的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不承担任何责任。</w:t>
      </w:r>
    </w:p>
    <w:p w14:paraId="6C166F64">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6" w:name="_Toc29785"/>
      <w:bookmarkStart w:id="297" w:name="_Toc24223"/>
      <w:bookmarkStart w:id="298" w:name="_Toc1468"/>
      <w:bookmarkStart w:id="299" w:name="_Toc21282"/>
      <w:bookmarkStart w:id="300" w:name="_Toc3846"/>
      <w:bookmarkStart w:id="301" w:name="_Toc23214"/>
      <w:bookmarkStart w:id="302" w:name="_Toc5799"/>
      <w:bookmarkStart w:id="303" w:name="_Toc14610"/>
      <w:bookmarkStart w:id="304" w:name="_Toc25326"/>
      <w:bookmarkStart w:id="305" w:name="_Toc12305"/>
      <w:bookmarkStart w:id="306" w:name="_Toc12174"/>
      <w:r>
        <w:rPr>
          <w:rFonts w:hint="eastAsia" w:ascii="宋体" w:hAnsi="宋体" w:eastAsia="宋体" w:cs="宋体"/>
          <w:b/>
          <w:bCs/>
          <w:color w:val="auto"/>
          <w:sz w:val="24"/>
          <w:szCs w:val="24"/>
          <w:highlight w:val="none"/>
        </w:rPr>
        <w:t>中标通知书</w:t>
      </w:r>
      <w:bookmarkEnd w:id="296"/>
      <w:bookmarkEnd w:id="297"/>
      <w:bookmarkEnd w:id="298"/>
      <w:bookmarkEnd w:id="299"/>
      <w:bookmarkEnd w:id="300"/>
      <w:bookmarkEnd w:id="301"/>
      <w:bookmarkEnd w:id="302"/>
      <w:bookmarkEnd w:id="303"/>
      <w:bookmarkEnd w:id="304"/>
      <w:bookmarkEnd w:id="305"/>
      <w:bookmarkEnd w:id="306"/>
    </w:p>
    <w:p w14:paraId="7E248A8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在公告中标结果的同时，采购人或采购代理机构应当向中标人发出中标通知书，中标通知书将作为进行签订合同的依据。</w:t>
      </w:r>
    </w:p>
    <w:p w14:paraId="5261A655">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07" w:name="_Toc3979"/>
      <w:bookmarkStart w:id="308" w:name="_Toc25686"/>
      <w:bookmarkStart w:id="309" w:name="_Toc11448"/>
      <w:bookmarkStart w:id="310" w:name="_Toc15209"/>
      <w:bookmarkStart w:id="311" w:name="_Toc20517"/>
      <w:bookmarkStart w:id="312" w:name="_Toc26111"/>
      <w:bookmarkStart w:id="313" w:name="_Toc21924"/>
      <w:bookmarkStart w:id="314" w:name="_Toc9428"/>
      <w:bookmarkStart w:id="315" w:name="_Toc14397"/>
      <w:bookmarkStart w:id="316" w:name="_Toc25990"/>
      <w:bookmarkStart w:id="317" w:name="_Toc9865"/>
      <w:bookmarkStart w:id="318" w:name="_Toc26471"/>
      <w:bookmarkStart w:id="319" w:name="_Toc15061"/>
      <w:bookmarkStart w:id="320" w:name="_Toc3376"/>
      <w:bookmarkStart w:id="321" w:name="_Toc12530"/>
      <w:bookmarkStart w:id="322" w:name="_Toc1226"/>
      <w:bookmarkStart w:id="323" w:name="_Toc11221"/>
      <w:r>
        <w:rPr>
          <w:rFonts w:hint="eastAsia" w:ascii="宋体" w:hAnsi="宋体" w:eastAsia="宋体" w:cs="宋体"/>
          <w:b/>
          <w:bCs/>
          <w:color w:val="auto"/>
          <w:sz w:val="24"/>
          <w:szCs w:val="24"/>
          <w:highlight w:val="none"/>
        </w:rPr>
        <w:t>履约保证金</w:t>
      </w:r>
      <w:bookmarkEnd w:id="307"/>
      <w:bookmarkEnd w:id="308"/>
      <w:bookmarkEnd w:id="309"/>
      <w:bookmarkEnd w:id="310"/>
      <w:bookmarkEnd w:id="311"/>
      <w:bookmarkEnd w:id="312"/>
      <w:bookmarkEnd w:id="313"/>
      <w:bookmarkEnd w:id="314"/>
      <w:bookmarkEnd w:id="315"/>
      <w:bookmarkEnd w:id="316"/>
      <w:bookmarkEnd w:id="317"/>
    </w:p>
    <w:p w14:paraId="5DFDD15D">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24" w:name="_Toc24299"/>
      <w:bookmarkStart w:id="325" w:name="_Toc1508"/>
      <w:bookmarkStart w:id="326" w:name="_Toc22384"/>
      <w:bookmarkStart w:id="327" w:name="_Toc13295"/>
      <w:r>
        <w:rPr>
          <w:rFonts w:hint="eastAsia" w:ascii="宋体" w:hAnsi="宋体" w:eastAsia="宋体" w:cs="宋体"/>
          <w:color w:val="auto"/>
          <w:sz w:val="24"/>
          <w:szCs w:val="24"/>
          <w:highlight w:val="none"/>
          <w:lang w:val="en-US" w:eastAsia="zh-CN"/>
        </w:rPr>
        <w:t>中标人应按投标人须知前附表规定的形式、金额和招标文件第五章“合同条款及格式”的规定向招标人提交履约保证金</w:t>
      </w:r>
      <w:r>
        <w:rPr>
          <w:rFonts w:hint="eastAsia" w:ascii="宋体" w:hAnsi="宋体" w:eastAsia="宋体" w:cs="宋体"/>
          <w:color w:val="auto"/>
          <w:sz w:val="24"/>
          <w:szCs w:val="24"/>
          <w:highlight w:val="none"/>
        </w:rPr>
        <w:t>。</w:t>
      </w:r>
    </w:p>
    <w:p w14:paraId="77170137">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中标人不能按</w:t>
      </w:r>
      <w:r>
        <w:rPr>
          <w:rFonts w:hint="eastAsia" w:ascii="宋体" w:hAnsi="宋体" w:cs="宋体"/>
          <w:color w:val="auto"/>
          <w:sz w:val="24"/>
          <w:szCs w:val="24"/>
          <w:highlight w:val="none"/>
          <w:lang w:val="en-US" w:eastAsia="zh-CN"/>
        </w:rPr>
        <w:t>投标须知前附表</w:t>
      </w:r>
      <w:r>
        <w:rPr>
          <w:rFonts w:hint="eastAsia" w:ascii="宋体" w:hAnsi="宋体" w:eastAsia="宋体" w:cs="宋体"/>
          <w:color w:val="auto"/>
          <w:sz w:val="24"/>
          <w:szCs w:val="24"/>
          <w:highlight w:val="none"/>
        </w:rPr>
        <w:t>第6.4.1项要求提交履约保证金的，视为放弃中标。</w:t>
      </w:r>
    </w:p>
    <w:p w14:paraId="30D7195B">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28" w:name="_Toc20184"/>
      <w:r>
        <w:rPr>
          <w:rFonts w:hint="eastAsia" w:ascii="宋体" w:hAnsi="宋体" w:eastAsia="宋体" w:cs="宋体"/>
          <w:b/>
          <w:bCs/>
          <w:color w:val="auto"/>
          <w:sz w:val="24"/>
          <w:szCs w:val="24"/>
          <w:highlight w:val="none"/>
        </w:rPr>
        <w:t>签订合同</w:t>
      </w:r>
      <w:bookmarkEnd w:id="318"/>
      <w:bookmarkEnd w:id="319"/>
      <w:bookmarkEnd w:id="320"/>
      <w:bookmarkEnd w:id="321"/>
      <w:bookmarkEnd w:id="322"/>
      <w:bookmarkEnd w:id="323"/>
      <w:bookmarkEnd w:id="324"/>
      <w:bookmarkEnd w:id="325"/>
      <w:bookmarkEnd w:id="326"/>
      <w:bookmarkEnd w:id="327"/>
      <w:bookmarkEnd w:id="328"/>
    </w:p>
    <w:p w14:paraId="7A0503DD">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采购人应当自中标通知书发出之日起</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日内，按照招标文件和中标人投标文件的规定，与中标人签订书面合同。所签订的合同不得对招标文件确定的事项和中标人投标文件作实质性修改。</w:t>
      </w:r>
    </w:p>
    <w:p w14:paraId="015D0231">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招标文件、中标人的投标文件和澄清文件等，均应作为签约合同文本的基础。</w:t>
      </w:r>
    </w:p>
    <w:p w14:paraId="023771C3">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如中标人拒签合同，则按违约处理。对违约方收取中标金额2%的违约金。</w:t>
      </w:r>
    </w:p>
    <w:p w14:paraId="7C704570">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政府采购合同应当包括采购人与中标人的名称和住所、标的、数量、质量、价款或者报酬、履行期限及地点和方式、验收要求、违约责任、解决争议的方法等内容。</w:t>
      </w:r>
    </w:p>
    <w:p w14:paraId="6D4F3CF5">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如中标人不按约定签订合同，采购人将报请取消其中标决定。采购人可重新招标。</w:t>
      </w:r>
    </w:p>
    <w:p w14:paraId="1363DD1B">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329" w:name="_Toc3577"/>
      <w:bookmarkStart w:id="330" w:name="_Toc31652"/>
      <w:bookmarkStart w:id="331" w:name="_Toc40112136"/>
      <w:bookmarkStart w:id="332" w:name="_Toc23358"/>
      <w:bookmarkStart w:id="333" w:name="_Toc11106"/>
      <w:r>
        <w:rPr>
          <w:rStyle w:val="28"/>
          <w:rFonts w:hint="eastAsia" w:ascii="宋体" w:hAnsi="宋体" w:eastAsia="宋体" w:cs="宋体"/>
          <w:color w:val="auto"/>
          <w:sz w:val="24"/>
          <w:szCs w:val="24"/>
          <w:highlight w:val="none"/>
        </w:rPr>
        <w:t>信用记录</w:t>
      </w:r>
      <w:bookmarkEnd w:id="329"/>
      <w:bookmarkEnd w:id="330"/>
      <w:bookmarkEnd w:id="331"/>
      <w:bookmarkEnd w:id="332"/>
      <w:bookmarkEnd w:id="333"/>
    </w:p>
    <w:p w14:paraId="1E31E6D7">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34" w:name="_Toc40112137"/>
      <w:bookmarkStart w:id="335" w:name="_Toc18298"/>
      <w:bookmarkStart w:id="336" w:name="_Toc16339"/>
      <w:r>
        <w:rPr>
          <w:rFonts w:hint="eastAsia" w:ascii="宋体" w:hAnsi="宋体" w:eastAsia="宋体" w:cs="宋体"/>
          <w:color w:val="auto"/>
          <w:sz w:val="24"/>
          <w:szCs w:val="24"/>
          <w:highlight w:val="none"/>
        </w:rPr>
        <w:t>根据《关于在政府采购活动中查询及使用信用记录有关问题的通知》(财库[2016]125号)的规定，</w:t>
      </w:r>
      <w:r>
        <w:rPr>
          <w:rFonts w:hint="eastAsia" w:ascii="宋体" w:hAnsi="宋体" w:eastAsia="宋体" w:cs="宋体"/>
          <w:color w:val="auto"/>
          <w:sz w:val="24"/>
          <w:szCs w:val="24"/>
          <w:highlight w:val="none"/>
          <w:lang w:eastAsia="zh-CN"/>
        </w:rPr>
        <w:t>开标结束后至符合性审查前</w:t>
      </w:r>
      <w:r>
        <w:rPr>
          <w:rFonts w:hint="eastAsia" w:ascii="宋体" w:hAnsi="宋体" w:eastAsia="宋体" w:cs="宋体"/>
          <w:color w:val="auto"/>
          <w:sz w:val="24"/>
          <w:szCs w:val="24"/>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，将拒绝参与本次政府采购活动。</w:t>
      </w:r>
    </w:p>
    <w:p w14:paraId="2D27CC3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在本招标文件规定的查询时间之后，网站信息发生的任何变更均不再作为评标依据。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自行提供的与网站信息不一致的其他证明材料亦不作为资格审查的依据。信用信息查询记录及相关证据与其他采购文件一并保存。</w:t>
      </w:r>
    </w:p>
    <w:p w14:paraId="2ADF45AA">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337" w:name="_Toc6419"/>
      <w:bookmarkStart w:id="338" w:name="_Toc7802"/>
      <w:bookmarkStart w:id="339" w:name="_Toc10534"/>
      <w:r>
        <w:rPr>
          <w:rStyle w:val="28"/>
          <w:rFonts w:hint="eastAsia" w:ascii="宋体" w:hAnsi="宋体" w:eastAsia="宋体" w:cs="宋体"/>
          <w:color w:val="auto"/>
          <w:sz w:val="24"/>
          <w:szCs w:val="24"/>
          <w:highlight w:val="none"/>
        </w:rPr>
        <w:t>需要补充的其他内容</w:t>
      </w:r>
      <w:bookmarkEnd w:id="334"/>
      <w:bookmarkEnd w:id="335"/>
      <w:bookmarkEnd w:id="337"/>
      <w:bookmarkEnd w:id="338"/>
      <w:bookmarkEnd w:id="339"/>
    </w:p>
    <w:p w14:paraId="470DB3B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bookmarkEnd w:id="336"/>
    </w:p>
    <w:p w14:paraId="3508717B">
      <w:pPr>
        <w:rPr>
          <w:color w:val="auto"/>
          <w:highlight w:val="none"/>
        </w:rPr>
      </w:pPr>
      <w:r>
        <w:rPr>
          <w:color w:val="auto"/>
          <w:highlight w:val="none"/>
        </w:rPr>
        <w:br w:type="page"/>
      </w:r>
    </w:p>
    <w:p w14:paraId="38F215DB">
      <w:pPr>
        <w:pStyle w:val="2"/>
        <w:adjustRightInd w:val="0"/>
        <w:snapToGrid w:val="0"/>
        <w:rPr>
          <w:rFonts w:ascii="宋体" w:cs="宋体"/>
          <w:color w:val="auto"/>
          <w:szCs w:val="32"/>
          <w:highlight w:val="none"/>
        </w:rPr>
      </w:pPr>
      <w:bookmarkStart w:id="340" w:name="_Toc4110"/>
      <w:bookmarkStart w:id="341" w:name="_Toc11970"/>
      <w:bookmarkStart w:id="342" w:name="_Toc40112138"/>
      <w:bookmarkStart w:id="343" w:name="_Toc19667"/>
      <w:bookmarkStart w:id="344" w:name="_Toc28292"/>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bookmarkEnd w:id="340"/>
      <w:bookmarkEnd w:id="341"/>
      <w:bookmarkEnd w:id="342"/>
      <w:bookmarkEnd w:id="343"/>
      <w:bookmarkEnd w:id="344"/>
    </w:p>
    <w:p w14:paraId="707C1C68">
      <w:pPr>
        <w:pStyle w:val="4"/>
        <w:adjustRightInd w:val="0"/>
        <w:snapToGrid w:val="0"/>
        <w:ind w:left="482"/>
        <w:jc w:val="center"/>
        <w:rPr>
          <w:rFonts w:hint="eastAsia" w:ascii="宋体" w:eastAsia="宋体" w:cs="宋体"/>
          <w:color w:val="auto"/>
          <w:sz w:val="24"/>
          <w:szCs w:val="24"/>
          <w:highlight w:val="none"/>
          <w:lang w:eastAsia="zh-CN"/>
        </w:rPr>
      </w:pPr>
      <w:bookmarkStart w:id="345" w:name="_Toc27033"/>
      <w:bookmarkStart w:id="346" w:name="_Toc13197"/>
      <w:bookmarkStart w:id="347" w:name="_Toc30398"/>
      <w:bookmarkStart w:id="348" w:name="_Toc28519"/>
      <w:bookmarkStart w:id="349" w:name="_Toc6735"/>
      <w:bookmarkStart w:id="350" w:name="_Toc16729"/>
      <w:bookmarkStart w:id="351" w:name="_Toc21173"/>
      <w:bookmarkStart w:id="352" w:name="_Toc27205"/>
      <w:bookmarkStart w:id="353" w:name="_Toc11714"/>
      <w:r>
        <w:rPr>
          <w:rFonts w:hint="eastAsia" w:ascii="宋体" w:hAnsi="宋体" w:cs="宋体"/>
          <w:color w:val="auto"/>
          <w:sz w:val="24"/>
          <w:szCs w:val="24"/>
          <w:highlight w:val="none"/>
        </w:rPr>
        <w:t>资格审查前附表</w:t>
      </w:r>
      <w:bookmarkEnd w:id="345"/>
      <w:bookmarkEnd w:id="346"/>
      <w:bookmarkEnd w:id="347"/>
      <w:bookmarkEnd w:id="348"/>
      <w:bookmarkEnd w:id="349"/>
      <w:bookmarkEnd w:id="350"/>
      <w:bookmarkEnd w:id="351"/>
      <w:bookmarkEnd w:id="352"/>
      <w:bookmarkEnd w:id="353"/>
    </w:p>
    <w:tbl>
      <w:tblPr>
        <w:tblStyle w:val="22"/>
        <w:tblpPr w:leftFromText="180" w:rightFromText="180" w:vertAnchor="text" w:horzAnchor="page" w:tblpX="1455" w:tblpY="71"/>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4"/>
        <w:gridCol w:w="5153"/>
      </w:tblGrid>
      <w:tr w14:paraId="6EA2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 w:type="dxa"/>
            <w:vAlign w:val="center"/>
          </w:tcPr>
          <w:p w14:paraId="07B13C7D">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条款</w:t>
            </w:r>
          </w:p>
        </w:tc>
        <w:tc>
          <w:tcPr>
            <w:tcW w:w="3104" w:type="dxa"/>
            <w:vAlign w:val="center"/>
          </w:tcPr>
          <w:p w14:paraId="13AE4C37">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评审因素</w:t>
            </w:r>
          </w:p>
        </w:tc>
        <w:tc>
          <w:tcPr>
            <w:tcW w:w="5153" w:type="dxa"/>
            <w:vAlign w:val="center"/>
          </w:tcPr>
          <w:p w14:paraId="11B667AB">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r>
      <w:tr w14:paraId="7F81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14:paraId="4006CBBE">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资格审查</w:t>
            </w:r>
            <w:r>
              <w:rPr>
                <w:rFonts w:hint="eastAsia" w:ascii="宋体" w:hAnsi="宋体" w:cs="宋体"/>
                <w:color w:val="auto"/>
                <w:kern w:val="0"/>
                <w:sz w:val="24"/>
                <w:highlight w:val="none"/>
              </w:rPr>
              <w:t>标准</w:t>
            </w:r>
          </w:p>
        </w:tc>
        <w:tc>
          <w:tcPr>
            <w:tcW w:w="3104" w:type="dxa"/>
            <w:vAlign w:val="center"/>
          </w:tcPr>
          <w:p w14:paraId="66C271DC">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应在中华人民共和国境内注册，具有独立承担民事责任的能力</w:t>
            </w:r>
          </w:p>
        </w:tc>
        <w:tc>
          <w:tcPr>
            <w:tcW w:w="5153" w:type="dxa"/>
            <w:vAlign w:val="center"/>
          </w:tcPr>
          <w:p w14:paraId="1E610A37">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提供营业执照或自然人的身份证明等</w:t>
            </w:r>
          </w:p>
        </w:tc>
      </w:tr>
      <w:tr w14:paraId="3226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14:paraId="6CC208A6">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7B003731">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具有良好的商业信誉和健全的财务会计制度</w:t>
            </w:r>
          </w:p>
        </w:tc>
        <w:tc>
          <w:tcPr>
            <w:tcW w:w="5153" w:type="dxa"/>
            <w:vAlign w:val="center"/>
          </w:tcPr>
          <w:p w14:paraId="327FD532">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须提供</w:t>
            </w:r>
            <w:r>
              <w:rPr>
                <w:color w:val="auto"/>
                <w:sz w:val="24"/>
                <w:szCs w:val="24"/>
                <w:highlight w:val="none"/>
                <w:lang w:eastAsia="zh-CN"/>
              </w:rPr>
              <w:t>202</w:t>
            </w:r>
            <w:r>
              <w:rPr>
                <w:rFonts w:hint="eastAsia"/>
                <w:color w:val="auto"/>
                <w:sz w:val="24"/>
                <w:szCs w:val="24"/>
                <w:highlight w:val="none"/>
                <w:lang w:val="en-US" w:eastAsia="zh-CN"/>
              </w:rPr>
              <w:t>2</w:t>
            </w:r>
            <w:r>
              <w:rPr>
                <w:rFonts w:hint="eastAsia"/>
                <w:color w:val="auto"/>
                <w:sz w:val="24"/>
                <w:szCs w:val="24"/>
                <w:highlight w:val="none"/>
                <w:lang w:eastAsia="zh-CN"/>
              </w:rPr>
              <w:t>年度</w:t>
            </w:r>
            <w:r>
              <w:rPr>
                <w:rFonts w:hint="eastAsia"/>
                <w:color w:val="auto"/>
                <w:sz w:val="24"/>
                <w:szCs w:val="24"/>
                <w:highlight w:val="none"/>
                <w:lang w:val="en-US" w:eastAsia="zh-CN"/>
              </w:rPr>
              <w:t>或2023年度</w:t>
            </w:r>
            <w:r>
              <w:rPr>
                <w:rFonts w:hint="eastAsia"/>
                <w:color w:val="auto"/>
                <w:sz w:val="24"/>
                <w:szCs w:val="24"/>
                <w:highlight w:val="none"/>
                <w:lang w:eastAsia="zh-CN"/>
              </w:rPr>
              <w:t>经会计师事务所或第三方审计机构审计后的财务报告（须包括资产负债表、现金流量表、利润表和附注</w:t>
            </w:r>
            <w:r>
              <w:rPr>
                <w:color w:val="auto"/>
                <w:sz w:val="24"/>
                <w:szCs w:val="24"/>
                <w:highlight w:val="none"/>
                <w:lang w:eastAsia="zh-CN"/>
              </w:rPr>
              <w:t>)</w:t>
            </w:r>
            <w:r>
              <w:rPr>
                <w:rFonts w:hint="eastAsia"/>
                <w:color w:val="auto"/>
                <w:sz w:val="24"/>
                <w:szCs w:val="24"/>
                <w:highlight w:val="none"/>
                <w:lang w:eastAsia="zh-CN"/>
              </w:rPr>
              <w:t>，新成立企业自成立之日起不足一年的须提供基本开户行出具的银行资信证明</w:t>
            </w:r>
          </w:p>
        </w:tc>
      </w:tr>
      <w:tr w14:paraId="1080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2" w:type="dxa"/>
            <w:vMerge w:val="continue"/>
            <w:vAlign w:val="center"/>
          </w:tcPr>
          <w:p w14:paraId="616FD744">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76290824">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具有履行合同所必需的设备和专业技术能力</w:t>
            </w:r>
          </w:p>
        </w:tc>
        <w:tc>
          <w:tcPr>
            <w:tcW w:w="5153" w:type="dxa"/>
            <w:vAlign w:val="center"/>
          </w:tcPr>
          <w:p w14:paraId="03014EEE">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14:paraId="2B2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72" w:type="dxa"/>
            <w:vMerge w:val="continue"/>
            <w:vAlign w:val="center"/>
          </w:tcPr>
          <w:p w14:paraId="233E9D57">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4868EBB8">
            <w:pPr>
              <w:widowControl/>
              <w:adjustRightInd w:val="0"/>
              <w:snapToGrid w:val="0"/>
              <w:spacing w:line="360" w:lineRule="auto"/>
              <w:jc w:val="center"/>
              <w:rPr>
                <w:rFonts w:hint="default" w:ascii="宋体" w:eastAsia="宋体" w:cs="宋体"/>
                <w:color w:val="auto"/>
                <w:kern w:val="0"/>
                <w:sz w:val="24"/>
                <w:highlight w:val="none"/>
                <w:lang w:val="en-US" w:eastAsia="zh-CN"/>
              </w:rPr>
            </w:pP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和社会保障资金</w:t>
            </w:r>
          </w:p>
        </w:tc>
        <w:tc>
          <w:tcPr>
            <w:tcW w:w="5153" w:type="dxa"/>
            <w:vAlign w:val="center"/>
          </w:tcPr>
          <w:p w14:paraId="65075463">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提供</w:t>
            </w:r>
            <w:r>
              <w:rPr>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w:t>
            </w:r>
            <w:r>
              <w:rPr>
                <w:color w:val="auto"/>
                <w:sz w:val="24"/>
                <w:szCs w:val="24"/>
                <w:highlight w:val="none"/>
                <w:lang w:eastAsia="zh-CN"/>
              </w:rPr>
              <w:t>1</w:t>
            </w:r>
            <w:r>
              <w:rPr>
                <w:rFonts w:hint="eastAsia"/>
                <w:color w:val="auto"/>
                <w:sz w:val="24"/>
                <w:szCs w:val="24"/>
                <w:highlight w:val="none"/>
                <w:lang w:eastAsia="zh-CN"/>
              </w:rPr>
              <w:t>月</w:t>
            </w:r>
            <w:r>
              <w:rPr>
                <w:color w:val="auto"/>
                <w:sz w:val="24"/>
                <w:szCs w:val="24"/>
                <w:highlight w:val="none"/>
                <w:lang w:eastAsia="zh-CN"/>
              </w:rPr>
              <w:t>1</w:t>
            </w:r>
            <w:r>
              <w:rPr>
                <w:rFonts w:hint="eastAsia"/>
                <w:color w:val="auto"/>
                <w:sz w:val="24"/>
                <w:szCs w:val="24"/>
                <w:highlight w:val="none"/>
                <w:lang w:eastAsia="zh-CN"/>
              </w:rPr>
              <w:t>日以来任意</w:t>
            </w:r>
            <w:r>
              <w:rPr>
                <w:color w:val="auto"/>
                <w:sz w:val="24"/>
                <w:szCs w:val="24"/>
                <w:highlight w:val="none"/>
                <w:lang w:eastAsia="zh-CN"/>
              </w:rPr>
              <w:t>1</w:t>
            </w:r>
            <w:r>
              <w:rPr>
                <w:rFonts w:hint="eastAsia"/>
                <w:color w:val="auto"/>
                <w:sz w:val="24"/>
                <w:szCs w:val="24"/>
                <w:highlight w:val="none"/>
                <w:lang w:eastAsia="zh-CN"/>
              </w:rPr>
              <w:t>个月依法缴纳税收</w:t>
            </w:r>
            <w:r>
              <w:rPr>
                <w:rFonts w:hint="eastAsia" w:ascii="宋体" w:hAnsi="宋体" w:cs="宋体"/>
                <w:color w:val="auto"/>
                <w:sz w:val="24"/>
                <w:highlight w:val="none"/>
                <w:lang w:val="en-US" w:eastAsia="zh-CN"/>
              </w:rPr>
              <w:t>和社会保障资金</w:t>
            </w:r>
            <w:r>
              <w:rPr>
                <w:rFonts w:hint="eastAsia"/>
                <w:color w:val="auto"/>
                <w:sz w:val="24"/>
                <w:szCs w:val="24"/>
                <w:highlight w:val="none"/>
                <w:lang w:eastAsia="zh-CN"/>
              </w:rPr>
              <w:t>的相关证明，依法免税的，应提供相应证明文件</w:t>
            </w:r>
          </w:p>
        </w:tc>
      </w:tr>
      <w:tr w14:paraId="172C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72" w:type="dxa"/>
            <w:vMerge w:val="continue"/>
            <w:vAlign w:val="center"/>
          </w:tcPr>
          <w:p w14:paraId="4D917084">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63C91FF9">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参加政府采购活动前三年内，在经营活动中没有重大违法记录</w:t>
            </w:r>
          </w:p>
        </w:tc>
        <w:tc>
          <w:tcPr>
            <w:tcW w:w="5153" w:type="dxa"/>
            <w:vAlign w:val="center"/>
          </w:tcPr>
          <w:p w14:paraId="36FB0F79">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14:paraId="381E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14:paraId="118F63AC">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4D0C85BC">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tc>
        <w:tc>
          <w:tcPr>
            <w:tcW w:w="5153" w:type="dxa"/>
            <w:vAlign w:val="center"/>
          </w:tcPr>
          <w:p w14:paraId="5F6B93E4">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14:paraId="5B5C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14:paraId="3441FFE8">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7727F907">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信用记录</w:t>
            </w:r>
          </w:p>
        </w:tc>
        <w:tc>
          <w:tcPr>
            <w:tcW w:w="5153" w:type="dxa"/>
            <w:vAlign w:val="center"/>
          </w:tcPr>
          <w:p w14:paraId="09E7018A">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根据《关于在政府采购活动中查询及使用信用记录有关问题的通知》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[2016]125</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的规定，</w:t>
            </w:r>
            <w:r>
              <w:rPr>
                <w:rFonts w:hint="eastAsia" w:ascii="宋体" w:hAnsi="宋体" w:cs="宋体"/>
                <w:color w:val="auto"/>
                <w:kern w:val="0"/>
                <w:sz w:val="24"/>
                <w:highlight w:val="none"/>
                <w:lang w:eastAsia="zh-CN"/>
              </w:rPr>
              <w:t>开标结束后至符合性审查前</w:t>
            </w:r>
            <w:r>
              <w:rPr>
                <w:rFonts w:hint="eastAsia" w:ascii="宋体" w:hAnsi="宋体" w:cs="宋体"/>
                <w:color w:val="auto"/>
                <w:kern w:val="0"/>
                <w:sz w:val="24"/>
                <w:highlight w:val="none"/>
              </w:rPr>
              <w:t>采购代理机构通过“信用中国”网站（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）、“中国执行信息公开网”网站（</w:t>
            </w:r>
            <w:r>
              <w:rPr>
                <w:rFonts w:ascii="宋体" w:hAnsi="宋体" w:cs="宋体"/>
                <w:color w:val="auto"/>
                <w:kern w:val="0"/>
                <w:sz w:val="24"/>
                <w:highlight w:val="none"/>
              </w:rPr>
              <w:t>zxgk.court.gov.cn</w:t>
            </w:r>
            <w:r>
              <w:rPr>
                <w:rFonts w:hint="eastAsia" w:ascii="宋体" w:hAnsi="宋体" w:cs="宋体"/>
                <w:color w:val="auto"/>
                <w:kern w:val="0"/>
                <w:sz w:val="24"/>
                <w:highlight w:val="none"/>
              </w:rPr>
              <w:t>）和中国政府采购网（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）查询企业的信用记录，列入“中国执行信息公开网”网站的“失信被执行人”、“信用中国”网站的</w:t>
            </w:r>
            <w:r>
              <w:rPr>
                <w:rFonts w:hint="eastAsia" w:ascii="宋体" w:hAnsi="宋体" w:cs="宋体"/>
                <w:color w:val="auto"/>
                <w:sz w:val="24"/>
                <w:highlight w:val="none"/>
              </w:rPr>
              <w:t>“重大税收违法失信主体”</w:t>
            </w:r>
            <w:r>
              <w:rPr>
                <w:rFonts w:hint="eastAsia" w:ascii="宋体" w:hAnsi="宋体" w:cs="宋体"/>
                <w:color w:val="auto"/>
                <w:kern w:val="0"/>
                <w:sz w:val="24"/>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，将拒绝参与本次政府采购活动。</w:t>
            </w:r>
          </w:p>
        </w:tc>
      </w:tr>
      <w:tr w14:paraId="65EA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72" w:type="dxa"/>
            <w:vMerge w:val="continue"/>
            <w:vAlign w:val="center"/>
          </w:tcPr>
          <w:p w14:paraId="7811C83A">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4FB2DE10">
            <w:pPr>
              <w:widowControl/>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专门面向小微企业采购</w:t>
            </w:r>
          </w:p>
          <w:p w14:paraId="42007CF5">
            <w:pPr>
              <w:widowControl/>
              <w:adjustRightInd w:val="0"/>
              <w:snapToGrid w:val="0"/>
              <w:spacing w:line="360" w:lineRule="auto"/>
              <w:jc w:val="center"/>
              <w:rPr>
                <w:rFonts w:hint="eastAsia" w:ascii="宋体" w:eastAsia="宋体" w:cs="宋体"/>
                <w:color w:val="auto"/>
                <w:kern w:val="0"/>
                <w:sz w:val="24"/>
                <w:highlight w:val="none"/>
                <w:lang w:eastAsia="zh-CN"/>
              </w:rPr>
            </w:pPr>
            <w:r>
              <w:rPr>
                <w:rFonts w:hint="eastAsia" w:ascii="宋体" w:hAnsi="宋体" w:cs="宋体"/>
                <w:b/>
                <w:bCs/>
                <w:color w:val="auto"/>
                <w:kern w:val="0"/>
                <w:sz w:val="24"/>
                <w:highlight w:val="none"/>
                <w:lang w:eastAsia="zh-CN"/>
              </w:rPr>
              <w:t>（包</w:t>
            </w:r>
            <w:r>
              <w:rPr>
                <w:rFonts w:hint="eastAsia" w:ascii="宋体" w:hAnsi="宋体" w:cs="宋体"/>
                <w:b/>
                <w:bCs/>
                <w:color w:val="auto"/>
                <w:kern w:val="0"/>
                <w:sz w:val="24"/>
                <w:highlight w:val="none"/>
                <w:lang w:val="en-US" w:eastAsia="zh-CN"/>
              </w:rPr>
              <w:t>6、包9</w:t>
            </w:r>
            <w:r>
              <w:rPr>
                <w:rFonts w:hint="eastAsia" w:ascii="宋体" w:hAnsi="宋体" w:cs="宋体"/>
                <w:b/>
                <w:bCs/>
                <w:color w:val="auto"/>
                <w:kern w:val="0"/>
                <w:sz w:val="24"/>
                <w:highlight w:val="none"/>
                <w:lang w:eastAsia="zh-CN"/>
              </w:rPr>
              <w:t>）</w:t>
            </w:r>
          </w:p>
        </w:tc>
        <w:tc>
          <w:tcPr>
            <w:tcW w:w="5153" w:type="dxa"/>
            <w:vAlign w:val="center"/>
          </w:tcPr>
          <w:p w14:paraId="0BC2AAE4">
            <w:pPr>
              <w:widowControl/>
              <w:adjustRightInd w:val="0"/>
              <w:snapToGrid w:val="0"/>
              <w:spacing w:line="360" w:lineRule="auto"/>
              <w:jc w:val="left"/>
              <w:rPr>
                <w:rFonts w:ascii="宋体" w:cs="宋体"/>
                <w:color w:val="auto"/>
                <w:kern w:val="0"/>
                <w:sz w:val="24"/>
                <w:highlight w:val="none"/>
              </w:rPr>
            </w:pPr>
            <w:r>
              <w:rPr>
                <w:rFonts w:hint="eastAsia" w:ascii="宋体" w:hAnsi="宋体" w:eastAsia="宋体" w:cs="宋体"/>
                <w:b/>
                <w:bCs/>
                <w:color w:val="auto"/>
                <w:kern w:val="0"/>
                <w:sz w:val="24"/>
                <w:highlight w:val="none"/>
              </w:rPr>
              <w:t>需提供《中小企业声明函》或《残疾人福利性单位声明函》或《监狱企业的证明文件》</w:t>
            </w:r>
            <w:r>
              <w:rPr>
                <w:rFonts w:hint="eastAsia" w:ascii="宋体" w:hAnsi="宋体" w:cs="宋体"/>
                <w:b/>
                <w:bCs/>
                <w:color w:val="auto"/>
                <w:kern w:val="0"/>
                <w:sz w:val="24"/>
                <w:highlight w:val="none"/>
                <w:lang w:eastAsia="zh-CN"/>
              </w:rPr>
              <w:t>。</w:t>
            </w:r>
          </w:p>
        </w:tc>
      </w:tr>
    </w:tbl>
    <w:p w14:paraId="0DD84AB1">
      <w:pPr>
        <w:pStyle w:val="4"/>
        <w:numPr>
          <w:ilvl w:val="0"/>
          <w:numId w:val="6"/>
        </w:numPr>
        <w:adjustRightInd w:val="0"/>
        <w:snapToGrid w:val="0"/>
        <w:rPr>
          <w:rFonts w:ascii="宋体" w:cs="宋体"/>
          <w:color w:val="auto"/>
          <w:sz w:val="24"/>
          <w:szCs w:val="24"/>
          <w:highlight w:val="none"/>
        </w:rPr>
      </w:pPr>
      <w:bookmarkStart w:id="354" w:name="_Toc16266"/>
      <w:bookmarkStart w:id="355" w:name="_Toc25514"/>
      <w:bookmarkStart w:id="356" w:name="_Toc16607"/>
      <w:bookmarkStart w:id="357" w:name="_Toc19241"/>
      <w:bookmarkStart w:id="358" w:name="_Toc23399"/>
      <w:bookmarkStart w:id="359" w:name="_Toc2378"/>
      <w:bookmarkStart w:id="360" w:name="_Toc1301"/>
      <w:bookmarkStart w:id="361" w:name="_Toc16293"/>
      <w:bookmarkStart w:id="362" w:name="_Toc465"/>
      <w:bookmarkStart w:id="363" w:name="_Toc21337"/>
      <w:r>
        <w:rPr>
          <w:rFonts w:hint="eastAsia" w:ascii="宋体" w:hAnsi="宋体" w:cs="宋体"/>
          <w:color w:val="auto"/>
          <w:sz w:val="24"/>
          <w:szCs w:val="24"/>
          <w:highlight w:val="none"/>
        </w:rPr>
        <w:t>资格审查</w:t>
      </w:r>
      <w:bookmarkEnd w:id="354"/>
      <w:bookmarkEnd w:id="355"/>
      <w:bookmarkEnd w:id="356"/>
      <w:bookmarkEnd w:id="357"/>
      <w:bookmarkEnd w:id="358"/>
      <w:bookmarkEnd w:id="359"/>
      <w:bookmarkEnd w:id="360"/>
      <w:bookmarkEnd w:id="361"/>
      <w:bookmarkEnd w:id="362"/>
      <w:bookmarkEnd w:id="363"/>
    </w:p>
    <w:p w14:paraId="43B4BB2D">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开标结束后，采购代理机构应当依法对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14:paraId="3A25DD00">
      <w:pPr>
        <w:pStyle w:val="4"/>
        <w:numPr>
          <w:ilvl w:val="0"/>
          <w:numId w:val="6"/>
        </w:numPr>
        <w:adjustRightInd w:val="0"/>
        <w:snapToGrid w:val="0"/>
        <w:rPr>
          <w:rFonts w:ascii="宋体" w:cs="宋体"/>
          <w:color w:val="auto"/>
          <w:sz w:val="24"/>
          <w:szCs w:val="24"/>
          <w:highlight w:val="none"/>
        </w:rPr>
      </w:pPr>
      <w:bookmarkStart w:id="364" w:name="_Toc21593"/>
      <w:bookmarkStart w:id="365" w:name="_Toc3310"/>
      <w:bookmarkStart w:id="366" w:name="_Toc12137"/>
      <w:bookmarkStart w:id="367" w:name="_Toc2610"/>
      <w:bookmarkStart w:id="368" w:name="_Toc23230"/>
      <w:bookmarkStart w:id="369" w:name="_Toc18033"/>
      <w:bookmarkStart w:id="370" w:name="_Toc29893"/>
      <w:bookmarkStart w:id="371" w:name="_Toc8280"/>
      <w:bookmarkStart w:id="372" w:name="_Toc8631"/>
      <w:bookmarkStart w:id="373" w:name="_Toc11542"/>
      <w:r>
        <w:rPr>
          <w:rFonts w:hint="eastAsia" w:ascii="宋体" w:hAnsi="宋体" w:cs="宋体"/>
          <w:color w:val="auto"/>
          <w:sz w:val="24"/>
          <w:szCs w:val="24"/>
          <w:highlight w:val="none"/>
        </w:rPr>
        <w:t>资格审查标准</w:t>
      </w:r>
      <w:bookmarkEnd w:id="364"/>
      <w:bookmarkEnd w:id="365"/>
      <w:bookmarkEnd w:id="366"/>
      <w:bookmarkEnd w:id="367"/>
      <w:bookmarkEnd w:id="368"/>
      <w:bookmarkEnd w:id="369"/>
      <w:bookmarkEnd w:id="370"/>
      <w:bookmarkEnd w:id="371"/>
      <w:bookmarkEnd w:id="372"/>
      <w:bookmarkEnd w:id="373"/>
    </w:p>
    <w:p w14:paraId="79DB35F0">
      <w:pPr>
        <w:autoSpaceDE w:val="0"/>
        <w:autoSpaceDN w:val="0"/>
        <w:adjustRightInd w:val="0"/>
        <w:snapToGrid w:val="0"/>
        <w:spacing w:line="360" w:lineRule="auto"/>
        <w:ind w:right="-20"/>
        <w:jc w:val="left"/>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资格审查标准：见资格审查前附表。</w:t>
      </w:r>
    </w:p>
    <w:p w14:paraId="2D2BD8D1">
      <w:pPr>
        <w:pStyle w:val="4"/>
        <w:numPr>
          <w:ilvl w:val="0"/>
          <w:numId w:val="6"/>
        </w:numPr>
        <w:adjustRightInd w:val="0"/>
        <w:snapToGrid w:val="0"/>
        <w:rPr>
          <w:rFonts w:ascii="宋体" w:cs="宋体"/>
          <w:color w:val="auto"/>
          <w:sz w:val="24"/>
          <w:szCs w:val="24"/>
          <w:highlight w:val="none"/>
        </w:rPr>
      </w:pPr>
      <w:bookmarkStart w:id="374" w:name="_Toc2259"/>
      <w:bookmarkStart w:id="375" w:name="_Toc10180"/>
      <w:bookmarkStart w:id="376" w:name="_Toc920"/>
      <w:bookmarkStart w:id="377" w:name="_Toc32375"/>
      <w:bookmarkStart w:id="378" w:name="_Toc13549"/>
      <w:bookmarkStart w:id="379" w:name="_Toc16031"/>
      <w:bookmarkStart w:id="380" w:name="_Toc19383"/>
      <w:bookmarkStart w:id="381" w:name="_Toc5940"/>
      <w:bookmarkStart w:id="382" w:name="_Toc2029"/>
      <w:bookmarkStart w:id="383" w:name="_Toc14072"/>
      <w:r>
        <w:rPr>
          <w:rFonts w:hint="eastAsia" w:ascii="宋体" w:hAnsi="宋体" w:cs="宋体"/>
          <w:color w:val="auto"/>
          <w:sz w:val="24"/>
          <w:szCs w:val="24"/>
          <w:highlight w:val="none"/>
        </w:rPr>
        <w:t>资格审查程序</w:t>
      </w:r>
      <w:bookmarkEnd w:id="374"/>
      <w:bookmarkEnd w:id="375"/>
      <w:bookmarkEnd w:id="376"/>
      <w:bookmarkEnd w:id="377"/>
      <w:bookmarkEnd w:id="378"/>
      <w:bookmarkEnd w:id="379"/>
      <w:bookmarkEnd w:id="380"/>
      <w:bookmarkEnd w:id="381"/>
      <w:bookmarkEnd w:id="382"/>
      <w:bookmarkEnd w:id="383"/>
    </w:p>
    <w:p w14:paraId="6C37F6EA">
      <w:pPr>
        <w:autoSpaceDE w:val="0"/>
        <w:autoSpaceDN w:val="0"/>
        <w:adjustRightInd w:val="0"/>
        <w:snapToGrid w:val="0"/>
        <w:spacing w:line="360" w:lineRule="auto"/>
        <w:ind w:right="40" w:firstLine="472" w:firstLineChars="200"/>
        <w:jc w:val="left"/>
        <w:rPr>
          <w:rFonts w:ascii="宋体" w:cs="宋体"/>
          <w:color w:val="auto"/>
          <w:kern w:val="0"/>
          <w:sz w:val="24"/>
          <w:highlight w:val="none"/>
        </w:rPr>
      </w:pPr>
      <w:r>
        <w:rPr>
          <w:rFonts w:hint="eastAsia" w:ascii="宋体" w:hAnsi="宋体" w:cs="宋体"/>
          <w:color w:val="auto"/>
          <w:spacing w:val="-2"/>
          <w:kern w:val="0"/>
          <w:sz w:val="24"/>
          <w:highlight w:val="none"/>
        </w:rPr>
        <w:t>资格审查人员依</w:t>
      </w:r>
      <w:r>
        <w:rPr>
          <w:rFonts w:hint="eastAsia" w:ascii="宋体" w:hAnsi="宋体" w:cs="宋体"/>
          <w:color w:val="auto"/>
          <w:kern w:val="0"/>
          <w:sz w:val="24"/>
          <w:highlight w:val="none"/>
        </w:rPr>
        <w:t>据本</w:t>
      </w:r>
      <w:r>
        <w:rPr>
          <w:rFonts w:hint="eastAsia" w:ascii="宋体" w:hAnsi="宋体" w:cs="宋体"/>
          <w:color w:val="auto"/>
          <w:spacing w:val="-2"/>
          <w:kern w:val="0"/>
          <w:sz w:val="24"/>
          <w:highlight w:val="none"/>
        </w:rPr>
        <w:t>章</w:t>
      </w:r>
      <w:r>
        <w:rPr>
          <w:rFonts w:hint="eastAsia" w:ascii="宋体" w:hAnsi="宋体" w:cs="宋体"/>
          <w:color w:val="auto"/>
          <w:kern w:val="0"/>
          <w:sz w:val="24"/>
          <w:highlight w:val="none"/>
        </w:rPr>
        <w:t>资格审查前附表</w:t>
      </w:r>
      <w:r>
        <w:rPr>
          <w:rFonts w:hint="eastAsia" w:ascii="宋体" w:hAnsi="宋体" w:cs="宋体"/>
          <w:color w:val="auto"/>
          <w:spacing w:val="-2"/>
          <w:kern w:val="0"/>
          <w:sz w:val="24"/>
          <w:highlight w:val="none"/>
        </w:rPr>
        <w:t>规</w:t>
      </w:r>
      <w:r>
        <w:rPr>
          <w:rFonts w:hint="eastAsia" w:ascii="宋体" w:hAnsi="宋体" w:cs="宋体"/>
          <w:color w:val="auto"/>
          <w:kern w:val="0"/>
          <w:sz w:val="24"/>
          <w:highlight w:val="none"/>
        </w:rPr>
        <w:t>定</w:t>
      </w:r>
      <w:r>
        <w:rPr>
          <w:rFonts w:hint="eastAsia" w:ascii="宋体" w:hAnsi="宋体" w:cs="宋体"/>
          <w:color w:val="auto"/>
          <w:spacing w:val="-2"/>
          <w:kern w:val="0"/>
          <w:sz w:val="24"/>
          <w:highlight w:val="none"/>
        </w:rPr>
        <w:t>的标</w:t>
      </w:r>
      <w:r>
        <w:rPr>
          <w:rFonts w:hint="eastAsia" w:ascii="宋体" w:hAnsi="宋体" w:cs="宋体"/>
          <w:color w:val="auto"/>
          <w:kern w:val="0"/>
          <w:sz w:val="24"/>
          <w:highlight w:val="none"/>
        </w:rPr>
        <w:t>准对</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w:t>
      </w:r>
      <w:r>
        <w:rPr>
          <w:rFonts w:hint="eastAsia" w:ascii="宋体" w:hAnsi="宋体" w:cs="宋体"/>
          <w:color w:val="auto"/>
          <w:spacing w:val="-2"/>
          <w:kern w:val="0"/>
          <w:sz w:val="24"/>
          <w:highlight w:val="none"/>
        </w:rPr>
        <w:t>文</w:t>
      </w:r>
      <w:r>
        <w:rPr>
          <w:rFonts w:hint="eastAsia" w:ascii="宋体" w:hAnsi="宋体" w:cs="宋体"/>
          <w:color w:val="auto"/>
          <w:kern w:val="0"/>
          <w:sz w:val="24"/>
          <w:highlight w:val="none"/>
        </w:rPr>
        <w:t>件</w:t>
      </w:r>
      <w:r>
        <w:rPr>
          <w:rFonts w:hint="eastAsia" w:ascii="宋体" w:hAnsi="宋体" w:cs="宋体"/>
          <w:color w:val="auto"/>
          <w:spacing w:val="-2"/>
          <w:kern w:val="0"/>
          <w:sz w:val="24"/>
          <w:highlight w:val="none"/>
        </w:rPr>
        <w:t>进</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格审查，以确定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是否具备投标资格，有一项不符合评审标准的，资格审查人员应当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，合格</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不足</w:t>
      </w:r>
      <w:r>
        <w:rPr>
          <w:rFonts w:ascii="宋体" w:hAnsi="宋体" w:cs="宋体"/>
          <w:color w:val="auto"/>
          <w:kern w:val="0"/>
          <w:sz w:val="24"/>
          <w:highlight w:val="none"/>
        </w:rPr>
        <w:t>3</w:t>
      </w:r>
      <w:r>
        <w:rPr>
          <w:rFonts w:hint="eastAsia" w:ascii="宋体" w:hAnsi="宋体" w:cs="宋体"/>
          <w:color w:val="auto"/>
          <w:kern w:val="0"/>
          <w:sz w:val="24"/>
          <w:highlight w:val="none"/>
        </w:rPr>
        <w:t>家的，不得评标。</w:t>
      </w:r>
    </w:p>
    <w:p w14:paraId="3016740E">
      <w:pPr>
        <w:pStyle w:val="2"/>
        <w:rPr>
          <w:rFonts w:ascii="宋体" w:cs="宋体"/>
          <w:color w:val="auto"/>
          <w:szCs w:val="32"/>
          <w:highlight w:val="none"/>
        </w:rPr>
      </w:pPr>
      <w:r>
        <w:rPr>
          <w:rFonts w:ascii="宋体" w:cs="宋体"/>
          <w:color w:val="auto"/>
          <w:highlight w:val="none"/>
        </w:rPr>
        <w:br w:type="page"/>
      </w:r>
      <w:bookmarkStart w:id="384" w:name="_Toc40112139"/>
      <w:bookmarkStart w:id="385" w:name="_Toc9844"/>
      <w:bookmarkStart w:id="386" w:name="_Toc31076"/>
      <w:bookmarkStart w:id="387" w:name="_Toc2792"/>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bookmarkEnd w:id="384"/>
      <w:bookmarkEnd w:id="385"/>
      <w:bookmarkEnd w:id="386"/>
      <w:bookmarkEnd w:id="387"/>
    </w:p>
    <w:p w14:paraId="0111C018">
      <w:pPr>
        <w:keepNext/>
        <w:keepLines/>
        <w:spacing w:line="360" w:lineRule="auto"/>
        <w:ind w:left="482"/>
        <w:jc w:val="center"/>
        <w:rPr>
          <w:color w:val="auto"/>
          <w:highlight w:val="none"/>
        </w:rPr>
      </w:pPr>
      <w:bookmarkStart w:id="388" w:name="_Toc23659"/>
      <w:bookmarkStart w:id="389" w:name="_Toc4734"/>
      <w:bookmarkStart w:id="390" w:name="_Toc12415"/>
      <w:bookmarkStart w:id="391" w:name="_Toc1534"/>
      <w:bookmarkStart w:id="392" w:name="_Toc14114"/>
      <w:bookmarkStart w:id="393" w:name="_Toc16950"/>
      <w:bookmarkStart w:id="394" w:name="_Toc22753"/>
      <w:bookmarkStart w:id="395" w:name="_Toc16535"/>
      <w:bookmarkStart w:id="396" w:name="_Toc22649"/>
      <w:bookmarkStart w:id="397" w:name="_Toc6633"/>
      <w:r>
        <w:rPr>
          <w:rFonts w:hint="eastAsia" w:ascii="宋体" w:hAnsi="宋体" w:cs="宋体"/>
          <w:b/>
          <w:bCs/>
          <w:color w:val="auto"/>
          <w:sz w:val="30"/>
          <w:szCs w:val="30"/>
          <w:highlight w:val="none"/>
        </w:rPr>
        <w:t>评标办法前附表</w:t>
      </w:r>
      <w:bookmarkEnd w:id="388"/>
      <w:bookmarkEnd w:id="389"/>
      <w:bookmarkEnd w:id="390"/>
      <w:bookmarkEnd w:id="391"/>
      <w:bookmarkEnd w:id="392"/>
      <w:bookmarkEnd w:id="393"/>
      <w:bookmarkEnd w:id="394"/>
      <w:bookmarkEnd w:id="395"/>
      <w:bookmarkEnd w:id="396"/>
      <w:bookmarkEnd w:id="397"/>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9"/>
        <w:gridCol w:w="929"/>
        <w:gridCol w:w="3"/>
        <w:gridCol w:w="1449"/>
        <w:gridCol w:w="3"/>
        <w:gridCol w:w="5177"/>
        <w:gridCol w:w="7"/>
      </w:tblGrid>
      <w:tr w14:paraId="4686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05" w:type="pct"/>
            <w:gridSpan w:val="4"/>
            <w:vAlign w:val="center"/>
          </w:tcPr>
          <w:p w14:paraId="28C176D5">
            <w:pPr>
              <w:widowControl/>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852" w:type="pct"/>
            <w:gridSpan w:val="2"/>
            <w:vAlign w:val="center"/>
          </w:tcPr>
          <w:p w14:paraId="53172444">
            <w:pPr>
              <w:autoSpaceDE w:val="0"/>
              <w:autoSpaceDN w:val="0"/>
              <w:adjustRightInd w:val="0"/>
              <w:snapToGrid w:val="0"/>
              <w:spacing w:line="360" w:lineRule="auto"/>
              <w:ind w:left="38" w:leftChars="18"/>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042" w:type="pct"/>
            <w:gridSpan w:val="2"/>
            <w:vAlign w:val="center"/>
          </w:tcPr>
          <w:p w14:paraId="13398D65">
            <w:pPr>
              <w:autoSpaceDE w:val="0"/>
              <w:autoSpaceDN w:val="0"/>
              <w:adjustRightInd w:val="0"/>
              <w:snapToGrid w:val="0"/>
              <w:spacing w:line="360" w:lineRule="auto"/>
              <w:ind w:left="38" w:leftChars="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评审标准</w:t>
            </w:r>
          </w:p>
        </w:tc>
      </w:tr>
      <w:tr w14:paraId="3D48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58" w:type="pct"/>
            <w:gridSpan w:val="2"/>
            <w:vMerge w:val="restart"/>
            <w:vAlign w:val="center"/>
          </w:tcPr>
          <w:p w14:paraId="67E74623">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47" w:type="pct"/>
            <w:gridSpan w:val="2"/>
            <w:vMerge w:val="restart"/>
            <w:vAlign w:val="center"/>
          </w:tcPr>
          <w:p w14:paraId="27125FC7">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形式</w:t>
            </w:r>
          </w:p>
          <w:p w14:paraId="44E9CD3E">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w:t>
            </w:r>
          </w:p>
        </w:tc>
        <w:tc>
          <w:tcPr>
            <w:tcW w:w="852" w:type="pct"/>
            <w:gridSpan w:val="2"/>
            <w:vAlign w:val="center"/>
          </w:tcPr>
          <w:p w14:paraId="4661FF19">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投标文件签署、盖章</w:t>
            </w:r>
          </w:p>
        </w:tc>
        <w:tc>
          <w:tcPr>
            <w:tcW w:w="3042" w:type="pct"/>
            <w:gridSpan w:val="2"/>
            <w:vAlign w:val="center"/>
          </w:tcPr>
          <w:p w14:paraId="30060875">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投标文件按招标文件要求签署、盖章</w:t>
            </w:r>
          </w:p>
        </w:tc>
      </w:tr>
      <w:tr w14:paraId="26A8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58" w:type="pct"/>
            <w:gridSpan w:val="2"/>
            <w:vMerge w:val="continue"/>
            <w:vAlign w:val="center"/>
          </w:tcPr>
          <w:p w14:paraId="04EBBCEE">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511731A2">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53E77E79">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投标文件格式</w:t>
            </w:r>
          </w:p>
        </w:tc>
        <w:tc>
          <w:tcPr>
            <w:tcW w:w="3042" w:type="pct"/>
            <w:gridSpan w:val="2"/>
            <w:vAlign w:val="center"/>
          </w:tcPr>
          <w:p w14:paraId="560D5290">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符合招标文件中提供的投标文件格式</w:t>
            </w:r>
          </w:p>
        </w:tc>
      </w:tr>
      <w:tr w14:paraId="459C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58" w:type="pct"/>
            <w:gridSpan w:val="2"/>
            <w:vMerge w:val="continue"/>
            <w:vAlign w:val="center"/>
          </w:tcPr>
          <w:p w14:paraId="08CEA4AB">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401A74EF">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6D2E3FF4">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总报价唯一</w:t>
            </w:r>
          </w:p>
        </w:tc>
        <w:tc>
          <w:tcPr>
            <w:tcW w:w="3042" w:type="pct"/>
            <w:gridSpan w:val="2"/>
            <w:vAlign w:val="center"/>
          </w:tcPr>
          <w:p w14:paraId="187FF10B">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只能有一个有效报价</w:t>
            </w:r>
          </w:p>
        </w:tc>
      </w:tr>
      <w:tr w14:paraId="6EAE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558" w:type="pct"/>
            <w:gridSpan w:val="2"/>
            <w:vMerge w:val="continue"/>
            <w:vAlign w:val="center"/>
          </w:tcPr>
          <w:p w14:paraId="47ABCCF5">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2E4A43F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4D530574">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tc>
        <w:tc>
          <w:tcPr>
            <w:tcW w:w="3042" w:type="pct"/>
            <w:gridSpan w:val="2"/>
            <w:vAlign w:val="center"/>
          </w:tcPr>
          <w:p w14:paraId="36E17AE6">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所投标包投标总报价不可超过所投标包最高限价，且该标包中各单品报价不得超过单品最高限价。</w:t>
            </w:r>
          </w:p>
        </w:tc>
      </w:tr>
      <w:tr w14:paraId="7261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58" w:type="pct"/>
            <w:gridSpan w:val="2"/>
            <w:vMerge w:val="restart"/>
            <w:vAlign w:val="center"/>
          </w:tcPr>
          <w:p w14:paraId="3E2F2AB9">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47" w:type="pct"/>
            <w:gridSpan w:val="2"/>
            <w:vMerge w:val="restart"/>
            <w:vAlign w:val="center"/>
          </w:tcPr>
          <w:p w14:paraId="39F4722E">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符合性审查</w:t>
            </w:r>
            <w:r>
              <w:rPr>
                <w:rFonts w:hint="eastAsia" w:ascii="宋体" w:hAnsi="宋体" w:eastAsia="宋体" w:cs="宋体"/>
                <w:color w:val="auto"/>
                <w:kern w:val="0"/>
                <w:sz w:val="21"/>
                <w:szCs w:val="21"/>
                <w:highlight w:val="none"/>
              </w:rPr>
              <w:t>标准</w:t>
            </w:r>
          </w:p>
        </w:tc>
        <w:tc>
          <w:tcPr>
            <w:tcW w:w="852" w:type="pct"/>
            <w:gridSpan w:val="2"/>
            <w:vAlign w:val="center"/>
          </w:tcPr>
          <w:p w14:paraId="73BD40E1">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交货期</w:t>
            </w:r>
          </w:p>
        </w:tc>
        <w:tc>
          <w:tcPr>
            <w:tcW w:w="3042" w:type="pct"/>
            <w:gridSpan w:val="2"/>
            <w:vAlign w:val="center"/>
          </w:tcPr>
          <w:p w14:paraId="4407370C">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前附表”第1.2.6项规定</w:t>
            </w:r>
          </w:p>
        </w:tc>
      </w:tr>
      <w:tr w14:paraId="4735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558" w:type="pct"/>
            <w:gridSpan w:val="2"/>
            <w:vMerge w:val="continue"/>
            <w:vAlign w:val="center"/>
          </w:tcPr>
          <w:p w14:paraId="28F6E4AC">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1776BF0A">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2D3BCA89">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交货地点</w:t>
            </w:r>
          </w:p>
        </w:tc>
        <w:tc>
          <w:tcPr>
            <w:tcW w:w="3042" w:type="pct"/>
            <w:gridSpan w:val="2"/>
            <w:vAlign w:val="center"/>
          </w:tcPr>
          <w:p w14:paraId="702AEC01">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前附表”第1.2.7项规定</w:t>
            </w:r>
          </w:p>
        </w:tc>
      </w:tr>
      <w:tr w14:paraId="47D5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pct"/>
            <w:gridSpan w:val="2"/>
            <w:vMerge w:val="continue"/>
            <w:vAlign w:val="center"/>
          </w:tcPr>
          <w:p w14:paraId="27175584">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5D298B4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490EB26D">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3042" w:type="pct"/>
            <w:gridSpan w:val="2"/>
            <w:vAlign w:val="center"/>
          </w:tcPr>
          <w:p w14:paraId="40A823ED">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前附表”第1.2.8项规定</w:t>
            </w:r>
          </w:p>
        </w:tc>
      </w:tr>
      <w:tr w14:paraId="28C8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8" w:type="pct"/>
            <w:gridSpan w:val="2"/>
            <w:vMerge w:val="continue"/>
            <w:vAlign w:val="center"/>
          </w:tcPr>
          <w:p w14:paraId="2D78B0B5">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378BBC6F">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667CC8D4">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3042" w:type="pct"/>
            <w:gridSpan w:val="2"/>
            <w:vAlign w:val="center"/>
          </w:tcPr>
          <w:p w14:paraId="1738ABED">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前附表”第1.2.9项规定</w:t>
            </w:r>
          </w:p>
        </w:tc>
      </w:tr>
      <w:tr w14:paraId="5BA1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212D97ED">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3183D71A">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53A71F09">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042" w:type="pct"/>
            <w:gridSpan w:val="2"/>
            <w:vAlign w:val="center"/>
          </w:tcPr>
          <w:p w14:paraId="4D30A045">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前附表”第3.6.1项规定</w:t>
            </w:r>
          </w:p>
        </w:tc>
      </w:tr>
      <w:tr w14:paraId="28F2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2565930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0452632D">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4E911C31">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w:t>
            </w:r>
          </w:p>
        </w:tc>
        <w:tc>
          <w:tcPr>
            <w:tcW w:w="3042" w:type="pct"/>
            <w:gridSpan w:val="2"/>
            <w:vAlign w:val="center"/>
          </w:tcPr>
          <w:p w14:paraId="05C531FC">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投标文件制作机器码一致的视为无效投标</w:t>
            </w:r>
          </w:p>
        </w:tc>
      </w:tr>
      <w:tr w14:paraId="2C66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7B7D9D3E">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3EE6ABA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70074BA1">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具有合法资质的</w:t>
            </w:r>
            <w:r>
              <w:rPr>
                <w:rFonts w:hint="eastAsia" w:ascii="宋体" w:hAnsi="宋体" w:eastAsia="宋体" w:cs="宋体"/>
                <w:color w:val="auto"/>
                <w:sz w:val="21"/>
                <w:szCs w:val="21"/>
                <w:highlight w:val="none"/>
              </w:rPr>
              <w:t>检测机构出具的检测报告或</w:t>
            </w:r>
            <w:r>
              <w:rPr>
                <w:rFonts w:hint="eastAsia" w:ascii="宋体" w:hAnsi="宋体" w:eastAsia="宋体" w:cs="宋体"/>
                <w:color w:val="auto"/>
                <w:sz w:val="21"/>
                <w:szCs w:val="21"/>
                <w:highlight w:val="none"/>
                <w:lang w:val="en-US" w:eastAsia="zh-CN"/>
              </w:rPr>
              <w:t>检验报告或</w:t>
            </w:r>
            <w:r>
              <w:rPr>
                <w:rFonts w:hint="eastAsia" w:ascii="宋体" w:hAnsi="宋体" w:eastAsia="宋体" w:cs="宋体"/>
                <w:color w:val="auto"/>
                <w:sz w:val="21"/>
                <w:szCs w:val="21"/>
                <w:highlight w:val="none"/>
              </w:rPr>
              <w:t>产品合格证书</w:t>
            </w:r>
          </w:p>
        </w:tc>
        <w:tc>
          <w:tcPr>
            <w:tcW w:w="3042" w:type="pct"/>
            <w:gridSpan w:val="2"/>
            <w:vAlign w:val="center"/>
          </w:tcPr>
          <w:p w14:paraId="137F4192">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前附表”第1.7项第5条规定</w:t>
            </w:r>
          </w:p>
        </w:tc>
      </w:tr>
      <w:tr w14:paraId="299A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7D5ECC13">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14:paraId="7071A5E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14:paraId="311025B7">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042" w:type="pct"/>
            <w:gridSpan w:val="2"/>
            <w:vAlign w:val="center"/>
          </w:tcPr>
          <w:p w14:paraId="492256AC">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响应招标文件规定的其他实质性内容</w:t>
            </w:r>
          </w:p>
        </w:tc>
      </w:tr>
      <w:tr w14:paraId="0CD3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05" w:type="pct"/>
            <w:gridSpan w:val="4"/>
            <w:vAlign w:val="center"/>
          </w:tcPr>
          <w:p w14:paraId="72D67777">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14:paraId="5C323DC0">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14:paraId="727DD8D7">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评审内容</w:t>
            </w:r>
          </w:p>
        </w:tc>
      </w:tr>
      <w:tr w14:paraId="72ED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gridSpan w:val="4"/>
            <w:vAlign w:val="center"/>
          </w:tcPr>
          <w:p w14:paraId="23B3B563">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852" w:type="pct"/>
            <w:gridSpan w:val="2"/>
            <w:vAlign w:val="center"/>
          </w:tcPr>
          <w:p w14:paraId="2D1D8680">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14:paraId="4F881F78">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3042" w:type="pct"/>
            <w:gridSpan w:val="2"/>
            <w:vAlign w:val="center"/>
          </w:tcPr>
          <w:p w14:paraId="64483F1D">
            <w:pPr>
              <w:autoSpaceDE w:val="0"/>
              <w:autoSpaceDN w:val="0"/>
              <w:adjustRightInd w:val="0"/>
              <w:snapToGrid w:val="0"/>
              <w:spacing w:line="360" w:lineRule="auto"/>
              <w:ind w:left="38" w:leftChars="18"/>
              <w:jc w:val="left"/>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投标报价</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 xml:space="preserve">分  </w:t>
            </w:r>
          </w:p>
          <w:p w14:paraId="2DEB6246">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 xml:space="preserve">分   </w:t>
            </w:r>
          </w:p>
          <w:p w14:paraId="323197C9">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c>
      </w:tr>
      <w:tr w14:paraId="5316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5" w:type="pct"/>
            <w:gridSpan w:val="4"/>
            <w:vAlign w:val="center"/>
          </w:tcPr>
          <w:p w14:paraId="76431728">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14:paraId="6C5718FB">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14:paraId="3AA4085C">
            <w:pPr>
              <w:autoSpaceDE w:val="0"/>
              <w:autoSpaceDN w:val="0"/>
              <w:adjustRightInd w:val="0"/>
              <w:snapToGrid w:val="0"/>
              <w:spacing w:line="360" w:lineRule="auto"/>
              <w:ind w:left="38" w:leftChars="18"/>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评审内容</w:t>
            </w:r>
          </w:p>
        </w:tc>
      </w:tr>
      <w:tr w14:paraId="0DBE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42" w:hRule="atLeast"/>
          <w:jc w:val="center"/>
        </w:trPr>
        <w:tc>
          <w:tcPr>
            <w:tcW w:w="488" w:type="pct"/>
            <w:vAlign w:val="center"/>
          </w:tcPr>
          <w:p w14:paraId="30400FFC">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615" w:type="pct"/>
            <w:gridSpan w:val="2"/>
            <w:vAlign w:val="center"/>
          </w:tcPr>
          <w:p w14:paraId="3891333C">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投标报价</w:t>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852" w:type="pct"/>
            <w:gridSpan w:val="2"/>
            <w:vAlign w:val="center"/>
          </w:tcPr>
          <w:p w14:paraId="30CF9915">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投标报价标准</w:t>
            </w:r>
          </w:p>
        </w:tc>
        <w:tc>
          <w:tcPr>
            <w:tcW w:w="3040" w:type="pct"/>
            <w:gridSpan w:val="2"/>
            <w:vAlign w:val="center"/>
          </w:tcPr>
          <w:p w14:paraId="2CF29B92">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计算方法如下：</w:t>
            </w:r>
          </w:p>
          <w:p w14:paraId="769F0FEC">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评标基准值=有效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的最低评标报价</w:t>
            </w:r>
          </w:p>
          <w:p w14:paraId="3EA26E86">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投标报价得分=评标基准值/评标报价×3</w:t>
            </w:r>
            <w:r>
              <w:rPr>
                <w:rFonts w:hint="eastAsia" w:ascii="宋体" w:hAnsi="宋体" w:eastAsia="宋体" w:cs="宋体"/>
                <w:color w:val="auto"/>
                <w:kern w:val="0"/>
                <w:sz w:val="21"/>
                <w:szCs w:val="21"/>
                <w:highlight w:val="none"/>
                <w:lang w:val="en-US" w:eastAsia="zh-CN"/>
              </w:rPr>
              <w:t>0</w:t>
            </w:r>
          </w:p>
          <w:p w14:paraId="64D3434F">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10%的价格扣除，用扣除后的价格参与评审。同一</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，小微企业、监狱企业、残疾人福利性单位价格扣除优惠只享受一次，不得重复享受。应提供《中小企业声明函》、《残疾人福利性单位声明函》、《监狱企业的证明文件》，格式见</w:t>
            </w:r>
            <w:r>
              <w:rPr>
                <w:rFonts w:hint="eastAsia" w:ascii="宋体" w:hAnsi="宋体" w:eastAsia="宋体" w:cs="宋体"/>
                <w:color w:val="auto"/>
                <w:kern w:val="0"/>
                <w:sz w:val="21"/>
                <w:szCs w:val="21"/>
                <w:highlight w:val="none"/>
                <w:lang w:eastAsia="zh-CN"/>
              </w:rPr>
              <w:t>投标文件格式</w:t>
            </w:r>
            <w:r>
              <w:rPr>
                <w:rFonts w:hint="eastAsia" w:ascii="宋体" w:hAnsi="宋体" w:eastAsia="宋体" w:cs="宋体"/>
                <w:color w:val="auto"/>
                <w:kern w:val="0"/>
                <w:sz w:val="21"/>
                <w:szCs w:val="21"/>
                <w:highlight w:val="none"/>
              </w:rPr>
              <w:t>，未提供声明函者不予认定。</w:t>
            </w:r>
          </w:p>
          <w:p w14:paraId="4C01C7AE">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（2）评标委员会认定某</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的投标报价明显低于其他有效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投标报价，有可能影响产品质量或者不能诚信履约的，评标委员会有权要求该</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对其报价的合理性作出书面说明，并提供相关证明材料，否则作为无效投标处理。</w:t>
            </w:r>
          </w:p>
          <w:p w14:paraId="5709CA32">
            <w:pPr>
              <w:adjustRightInd w:val="0"/>
              <w:snapToGrid w:val="0"/>
              <w:spacing w:line="360" w:lineRule="auto"/>
              <w:ind w:firstLine="0" w:firstLineChars="0"/>
              <w:jc w:val="lef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（3）专门面向</w:t>
            </w:r>
            <w:r>
              <w:rPr>
                <w:rFonts w:hint="eastAsia" w:ascii="宋体" w:hAnsi="宋体" w:cs="宋体"/>
                <w:b/>
                <w:bCs/>
                <w:color w:val="auto"/>
                <w:kern w:val="0"/>
                <w:sz w:val="21"/>
                <w:szCs w:val="21"/>
                <w:highlight w:val="none"/>
                <w:lang w:val="en-US" w:eastAsia="zh-CN"/>
              </w:rPr>
              <w:t>小微企业</w:t>
            </w:r>
            <w:r>
              <w:rPr>
                <w:rFonts w:hint="eastAsia" w:ascii="宋体" w:hAnsi="宋体" w:eastAsia="宋体" w:cs="宋体"/>
                <w:b/>
                <w:bCs/>
                <w:color w:val="auto"/>
                <w:kern w:val="0"/>
                <w:sz w:val="21"/>
                <w:szCs w:val="21"/>
                <w:highlight w:val="none"/>
              </w:rPr>
              <w:t>采购的标包不再进行价格扣除。</w:t>
            </w:r>
          </w:p>
          <w:p w14:paraId="671E95B0">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14:paraId="6038EDB3">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1、有效投标人是指响应招标文件要求并通过资格审查、形式评审、符合性审查未被判定为无效投标的所有投标人。</w:t>
            </w:r>
          </w:p>
        </w:tc>
      </w:tr>
      <w:tr w14:paraId="245E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243" w:hRule="atLeast"/>
          <w:jc w:val="center"/>
        </w:trPr>
        <w:tc>
          <w:tcPr>
            <w:tcW w:w="488" w:type="pct"/>
            <w:vMerge w:val="restart"/>
            <w:vAlign w:val="center"/>
          </w:tcPr>
          <w:p w14:paraId="2D5F81A5">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6A2A764E">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3866FDC2">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740F4FCF">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6AF2E8E3">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414662BB">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4EE1A2E9">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p w14:paraId="7718FC59">
            <w:pPr>
              <w:widowControl/>
              <w:adjustRightInd w:val="0"/>
              <w:snapToGrid w:val="0"/>
              <w:spacing w:line="360" w:lineRule="auto"/>
              <w:jc w:val="center"/>
              <w:rPr>
                <w:rFonts w:hint="eastAsia" w:ascii="宋体" w:hAnsi="宋体" w:eastAsia="宋体" w:cs="宋体"/>
                <w:color w:val="auto"/>
                <w:sz w:val="21"/>
                <w:szCs w:val="21"/>
                <w:highlight w:val="none"/>
              </w:rPr>
            </w:pPr>
          </w:p>
          <w:p w14:paraId="330F81DE">
            <w:pPr>
              <w:spacing w:after="120" w:line="360" w:lineRule="auto"/>
              <w:ind w:left="1470" w:leftChars="700" w:right="1470" w:rightChars="700"/>
              <w:rPr>
                <w:rFonts w:hint="eastAsia" w:ascii="宋体" w:hAnsi="宋体" w:eastAsia="宋体" w:cs="宋体"/>
                <w:color w:val="auto"/>
                <w:sz w:val="21"/>
                <w:szCs w:val="21"/>
                <w:highlight w:val="none"/>
              </w:rPr>
            </w:pPr>
          </w:p>
        </w:tc>
        <w:tc>
          <w:tcPr>
            <w:tcW w:w="615" w:type="pct"/>
            <w:gridSpan w:val="2"/>
            <w:vMerge w:val="restart"/>
            <w:vAlign w:val="center"/>
          </w:tcPr>
          <w:p w14:paraId="723AC7C9">
            <w:pPr>
              <w:widowControl/>
              <w:adjustRightInd w:val="0"/>
              <w:snapToGrid w:val="0"/>
              <w:spacing w:line="360" w:lineRule="auto"/>
              <w:jc w:val="center"/>
              <w:rPr>
                <w:rFonts w:hint="eastAsia" w:ascii="宋体" w:hAnsi="宋体" w:eastAsia="宋体" w:cs="宋体"/>
                <w:b/>
                <w:color w:val="auto"/>
                <w:sz w:val="21"/>
                <w:szCs w:val="21"/>
                <w:highlight w:val="none"/>
              </w:rPr>
            </w:pPr>
          </w:p>
          <w:p w14:paraId="39668E1C">
            <w:pPr>
              <w:widowControl/>
              <w:adjustRightInd w:val="0"/>
              <w:snapToGrid w:val="0"/>
              <w:spacing w:line="360" w:lineRule="auto"/>
              <w:jc w:val="center"/>
              <w:rPr>
                <w:rFonts w:hint="eastAsia" w:ascii="宋体" w:hAnsi="宋体" w:eastAsia="宋体" w:cs="宋体"/>
                <w:b/>
                <w:color w:val="auto"/>
                <w:sz w:val="21"/>
                <w:szCs w:val="21"/>
                <w:highlight w:val="none"/>
              </w:rPr>
            </w:pPr>
          </w:p>
          <w:p w14:paraId="7AA287ED">
            <w:pPr>
              <w:widowControl/>
              <w:adjustRightInd w:val="0"/>
              <w:snapToGrid w:val="0"/>
              <w:spacing w:line="360" w:lineRule="auto"/>
              <w:jc w:val="center"/>
              <w:rPr>
                <w:rFonts w:hint="eastAsia" w:ascii="宋体" w:hAnsi="宋体" w:eastAsia="宋体" w:cs="宋体"/>
                <w:b/>
                <w:color w:val="auto"/>
                <w:sz w:val="21"/>
                <w:szCs w:val="21"/>
                <w:highlight w:val="none"/>
              </w:rPr>
            </w:pPr>
          </w:p>
          <w:p w14:paraId="536DC538">
            <w:pPr>
              <w:widowControl/>
              <w:adjustRightInd w:val="0"/>
              <w:snapToGrid w:val="0"/>
              <w:spacing w:line="360" w:lineRule="auto"/>
              <w:jc w:val="center"/>
              <w:rPr>
                <w:rFonts w:hint="eastAsia" w:ascii="宋体" w:hAnsi="宋体" w:eastAsia="宋体" w:cs="宋体"/>
                <w:b/>
                <w:color w:val="auto"/>
                <w:sz w:val="21"/>
                <w:szCs w:val="21"/>
                <w:highlight w:val="none"/>
              </w:rPr>
            </w:pPr>
          </w:p>
          <w:p w14:paraId="188FBA51">
            <w:pPr>
              <w:widowControl/>
              <w:adjustRightInd w:val="0"/>
              <w:snapToGrid w:val="0"/>
              <w:spacing w:line="360" w:lineRule="auto"/>
              <w:jc w:val="center"/>
              <w:rPr>
                <w:rFonts w:hint="eastAsia" w:ascii="宋体" w:hAnsi="宋体" w:eastAsia="宋体" w:cs="宋体"/>
                <w:b/>
                <w:color w:val="auto"/>
                <w:sz w:val="21"/>
                <w:szCs w:val="21"/>
                <w:highlight w:val="none"/>
              </w:rPr>
            </w:pPr>
          </w:p>
          <w:p w14:paraId="1E88D4C0">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p>
          <w:p w14:paraId="192D9110">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14:paraId="467D1B5D">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c>
          <w:tcPr>
            <w:tcW w:w="852" w:type="pct"/>
            <w:gridSpan w:val="2"/>
            <w:vAlign w:val="center"/>
          </w:tcPr>
          <w:p w14:paraId="7F216EFD">
            <w:pPr>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货物响应招标文件参数情况</w:t>
            </w:r>
          </w:p>
          <w:p w14:paraId="40CEA126">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（0-</w:t>
            </w:r>
            <w:r>
              <w:rPr>
                <w:rFonts w:hint="eastAsia" w:ascii="宋体" w:hAnsi="宋体" w:eastAsia="宋体" w:cs="宋体"/>
                <w:b/>
                <w:bCs/>
                <w:color w:val="auto"/>
                <w:kern w:val="0"/>
                <w:sz w:val="21"/>
                <w:szCs w:val="21"/>
                <w:highlight w:val="none"/>
                <w:lang w:val="en-US" w:eastAsia="zh-CN"/>
              </w:rPr>
              <w:t>35</w:t>
            </w:r>
            <w:r>
              <w:rPr>
                <w:rFonts w:hint="eastAsia" w:ascii="宋体" w:hAnsi="宋体" w:eastAsia="宋体" w:cs="宋体"/>
                <w:b/>
                <w:bCs/>
                <w:color w:val="auto"/>
                <w:kern w:val="0"/>
                <w:sz w:val="21"/>
                <w:szCs w:val="21"/>
                <w:highlight w:val="none"/>
              </w:rPr>
              <w:t>分）</w:t>
            </w:r>
          </w:p>
        </w:tc>
        <w:tc>
          <w:tcPr>
            <w:tcW w:w="3040" w:type="pct"/>
            <w:gridSpan w:val="2"/>
            <w:vAlign w:val="center"/>
          </w:tcPr>
          <w:p w14:paraId="13B24776">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投标货物完全满足招标文件参数要求的；得满分35分；投标技术参数与招标文件参数要求有负偏离的在35分的基础上，非“★”项每项扣2分，带“★”项每项扣6分，扣完为止。</w:t>
            </w:r>
          </w:p>
          <w:p w14:paraId="019A1B91">
            <w:pPr>
              <w:adjustRightInd w:val="0"/>
              <w:snapToGrid w:val="0"/>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注：投标人所投产品需附具有合法资质的检测机构出具的检测报告或检验报告或产品合格证书。带“★”项以检测报告或检验报告中的相应指标为准，检测报告或检验报告中应体现技术参数中要求的带“★”参数相应内容。</w:t>
            </w:r>
          </w:p>
        </w:tc>
      </w:tr>
      <w:tr w14:paraId="1C3B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14:paraId="100AD0FC">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2DB01BA9">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5077D2EA">
            <w:pPr>
              <w:adjustRightInd w:val="0"/>
              <w:snapToGrid w:val="0"/>
              <w:spacing w:line="360" w:lineRule="auto"/>
              <w:jc w:val="left"/>
              <w:rPr>
                <w:rFonts w:hint="eastAsia" w:ascii="宋体" w:hAnsi="宋体" w:eastAsia="宋体" w:cs="宋体"/>
                <w:color w:val="auto"/>
                <w:kern w:val="0"/>
                <w:sz w:val="21"/>
                <w:szCs w:val="21"/>
                <w:highlight w:val="none"/>
              </w:rPr>
            </w:pPr>
          </w:p>
          <w:p w14:paraId="142CE68B">
            <w:pPr>
              <w:adjustRightInd w:val="0"/>
              <w:snapToGrid w:val="0"/>
              <w:spacing w:line="360" w:lineRule="auto"/>
              <w:jc w:val="left"/>
              <w:rPr>
                <w:rFonts w:hint="eastAsia" w:ascii="宋体" w:hAnsi="宋体" w:eastAsia="宋体" w:cs="宋体"/>
                <w:color w:val="auto"/>
                <w:kern w:val="0"/>
                <w:sz w:val="21"/>
                <w:szCs w:val="21"/>
                <w:highlight w:val="none"/>
              </w:rPr>
            </w:pPr>
          </w:p>
          <w:p w14:paraId="147A15F7">
            <w:pPr>
              <w:adjustRightInd w:val="0"/>
              <w:snapToGrid w:val="0"/>
              <w:spacing w:line="360" w:lineRule="auto"/>
              <w:jc w:val="left"/>
              <w:rPr>
                <w:rFonts w:hint="eastAsia" w:ascii="宋体" w:hAnsi="宋体" w:eastAsia="宋体" w:cs="宋体"/>
                <w:color w:val="auto"/>
                <w:kern w:val="0"/>
                <w:sz w:val="21"/>
                <w:szCs w:val="21"/>
                <w:highlight w:val="none"/>
              </w:rPr>
            </w:pPr>
          </w:p>
          <w:p w14:paraId="75CBD79C">
            <w:pPr>
              <w:adjustRightInd w:val="0"/>
              <w:snapToGrid w:val="0"/>
              <w:spacing w:line="360" w:lineRule="auto"/>
              <w:ind w:firstLine="207" w:firstLineChars="98"/>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产品选型</w:t>
            </w:r>
          </w:p>
          <w:p w14:paraId="2463A25D">
            <w:pPr>
              <w:adjustRightInd w:val="0"/>
              <w:snapToGrid w:val="0"/>
              <w:spacing w:line="360" w:lineRule="auto"/>
              <w:ind w:left="31680" w:hanging="310" w:hangingChars="147"/>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（整体设计）</w:t>
            </w:r>
          </w:p>
          <w:p w14:paraId="7F1F104F">
            <w:pPr>
              <w:adjustRightInd w:val="0"/>
              <w:snapToGrid w:val="0"/>
              <w:spacing w:line="360" w:lineRule="auto"/>
              <w:ind w:left="31680" w:hanging="310" w:hangingChars="147"/>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5分）</w:t>
            </w:r>
          </w:p>
        </w:tc>
        <w:tc>
          <w:tcPr>
            <w:tcW w:w="3040" w:type="pct"/>
            <w:gridSpan w:val="2"/>
            <w:vAlign w:val="center"/>
          </w:tcPr>
          <w:p w14:paraId="226515F2">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合本项目采购需求及实际应用场景环境等要求提出产品整体选型、各部件的结构设计、产品功能设计，各部件间适配性、系统配置、产品工艺等内容（须提供设计说明、整体设计图、结构设计图、功能设计图等）。</w:t>
            </w:r>
          </w:p>
          <w:p w14:paraId="0274C7EB">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选型先进、设计完善合理、功能全面、适配性强、操作简单易用、耐用实用、对本项目具有针对性、可行性强的得5分，</w:t>
            </w:r>
          </w:p>
          <w:p w14:paraId="72337E0C">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选型先进、设计合理、功能全面、具有适配性、操作简单易用、耐用实用、对本项目具有针对性、可行性得3分。</w:t>
            </w:r>
          </w:p>
          <w:p w14:paraId="5C672246">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选型基本合理、功能基本完善、具有适配性及针对性的得1分，</w:t>
            </w:r>
          </w:p>
          <w:p w14:paraId="4C673696">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各部件设计不合理、功能不足，无法满足本项目需求的得0 分。</w:t>
            </w:r>
          </w:p>
        </w:tc>
      </w:tr>
      <w:tr w14:paraId="5BCE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14:paraId="25E554EC">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79A419FD">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041BA34B">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专业技术生产能力（0-</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r>
              <w:rPr>
                <w:rFonts w:hint="eastAsia" w:ascii="宋体" w:hAnsi="宋体" w:eastAsia="宋体" w:cs="宋体"/>
                <w:color w:val="auto"/>
                <w:kern w:val="0"/>
                <w:sz w:val="21"/>
                <w:szCs w:val="21"/>
                <w:highlight w:val="none"/>
              </w:rPr>
              <w:t>）</w:t>
            </w:r>
          </w:p>
        </w:tc>
        <w:tc>
          <w:tcPr>
            <w:tcW w:w="3040" w:type="pct"/>
            <w:gridSpan w:val="2"/>
            <w:vAlign w:val="center"/>
          </w:tcPr>
          <w:p w14:paraId="602F9943">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根据所投产品制造商专业技术生产能力（包括但不限于自主研发能力、生产工艺、生产步骤、产品检验等）进行评审：</w:t>
            </w:r>
          </w:p>
          <w:p w14:paraId="3B1D863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核心产品及所投其他产品制造商具备自主研发能力（提供研发团队名单、研发成果名称）、具拥有完整工艺流程图并配有详细的图片和文字说明，能够提供各环节完整的生产车间环境及详细的实际生产实景照片，具有完整的产品检验流程，各检验流程均配备有检验设备、检验步骤严密，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14:paraId="760D10E6">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未对是否有自主研发能力作出说明，提供的工艺流程图配有图片和文字说明，能够提供大部分生产环节生产车间环境及实际生产实景照片，提供有产品检验主要流程，重要检验节点配备有检验设备，得3分；</w:t>
            </w:r>
          </w:p>
          <w:p w14:paraId="04CA6150">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所投产品制造商生产工艺简单粗糙，生产步骤说明不完整，未能提供生产车间环境及实际生产照片，产品检验流程及具体检验步骤前后不连贯，各检验步骤未明确检验设备配置，得1分；</w:t>
            </w:r>
          </w:p>
          <w:p w14:paraId="51FE3137">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未提供得0分。</w:t>
            </w:r>
          </w:p>
        </w:tc>
      </w:tr>
      <w:tr w14:paraId="4F06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91" w:hRule="atLeast"/>
          <w:jc w:val="center"/>
        </w:trPr>
        <w:tc>
          <w:tcPr>
            <w:tcW w:w="488" w:type="pct"/>
            <w:vMerge w:val="restart"/>
            <w:vAlign w:val="center"/>
          </w:tcPr>
          <w:p w14:paraId="2BD04845">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615" w:type="pct"/>
            <w:gridSpan w:val="2"/>
            <w:vMerge w:val="restart"/>
            <w:vAlign w:val="center"/>
          </w:tcPr>
          <w:p w14:paraId="1EDDD474">
            <w:pPr>
              <w:widowControl/>
              <w:adjustRightInd w:val="0"/>
              <w:snapToGrid w:val="0"/>
              <w:spacing w:line="360" w:lineRule="auto"/>
              <w:jc w:val="center"/>
              <w:rPr>
                <w:rFonts w:hint="eastAsia" w:ascii="宋体" w:hAnsi="宋体" w:eastAsia="宋体" w:cs="宋体"/>
                <w:b/>
                <w:color w:val="auto"/>
                <w:sz w:val="21"/>
                <w:szCs w:val="21"/>
                <w:highlight w:val="none"/>
              </w:rPr>
            </w:pPr>
          </w:p>
          <w:p w14:paraId="626E7B7A">
            <w:pPr>
              <w:widowControl/>
              <w:adjustRightInd w:val="0"/>
              <w:snapToGrid w:val="0"/>
              <w:spacing w:line="360" w:lineRule="auto"/>
              <w:jc w:val="center"/>
              <w:rPr>
                <w:rFonts w:hint="eastAsia" w:ascii="宋体" w:hAnsi="宋体" w:eastAsia="宋体" w:cs="宋体"/>
                <w:b/>
                <w:color w:val="auto"/>
                <w:sz w:val="21"/>
                <w:szCs w:val="21"/>
                <w:highlight w:val="none"/>
              </w:rPr>
            </w:pPr>
          </w:p>
          <w:p w14:paraId="1D481EEF">
            <w:pPr>
              <w:widowControl/>
              <w:adjustRightInd w:val="0"/>
              <w:snapToGrid w:val="0"/>
              <w:spacing w:line="360" w:lineRule="auto"/>
              <w:jc w:val="center"/>
              <w:rPr>
                <w:rFonts w:hint="eastAsia" w:ascii="宋体" w:hAnsi="宋体" w:eastAsia="宋体" w:cs="宋体"/>
                <w:b/>
                <w:color w:val="auto"/>
                <w:sz w:val="21"/>
                <w:szCs w:val="21"/>
                <w:highlight w:val="none"/>
              </w:rPr>
            </w:pPr>
          </w:p>
          <w:p w14:paraId="307D1354">
            <w:pPr>
              <w:widowControl/>
              <w:adjustRightInd w:val="0"/>
              <w:snapToGrid w:val="0"/>
              <w:spacing w:line="360" w:lineRule="auto"/>
              <w:jc w:val="center"/>
              <w:rPr>
                <w:rFonts w:hint="eastAsia" w:ascii="宋体" w:hAnsi="宋体" w:eastAsia="宋体" w:cs="宋体"/>
                <w:b/>
                <w:color w:val="auto"/>
                <w:sz w:val="21"/>
                <w:szCs w:val="21"/>
                <w:highlight w:val="none"/>
              </w:rPr>
            </w:pPr>
          </w:p>
          <w:p w14:paraId="322A9AA6">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w:t>
            </w:r>
          </w:p>
          <w:p w14:paraId="757DEDAB">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14:paraId="30607BDF">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14:paraId="252346AB">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698F51C1">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企业认证</w:t>
            </w:r>
          </w:p>
          <w:p w14:paraId="58901616">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14:paraId="067A7506">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具备质量管理体系认证、职业健康安全管理体系认证、环境管理体系认证，提供证书扫描件。每提供1种证书得1分，最多3分。</w:t>
            </w:r>
          </w:p>
          <w:p w14:paraId="15FDCF11">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注：投标文件中须附证书扫描件，清晰可辨。</w:t>
            </w:r>
          </w:p>
        </w:tc>
      </w:tr>
      <w:tr w14:paraId="668C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07" w:hRule="atLeast"/>
          <w:jc w:val="center"/>
        </w:trPr>
        <w:tc>
          <w:tcPr>
            <w:tcW w:w="488" w:type="pct"/>
            <w:vMerge w:val="continue"/>
            <w:vAlign w:val="center"/>
          </w:tcPr>
          <w:p w14:paraId="74B1EDB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764AAA69">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7474F4F8">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产品业绩</w:t>
            </w:r>
          </w:p>
          <w:p w14:paraId="700AFE5F">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14:paraId="6DA465CC">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产品业绩：指投标人所投标包项目同产品的业绩，产品业绩项目时间要求：2021年1月1日至今（以合同签订时间为准）：</w:t>
            </w:r>
          </w:p>
          <w:p w14:paraId="47AD316E">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产品业绩项目证明材料：须提供中标（成交）通知书、合同协议书（含首页、关键页、签章页），应清晰可辨，合同签订主体为投标人，以上内容缺一不得分。</w:t>
            </w:r>
          </w:p>
          <w:p w14:paraId="65E876F5">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一个标包含有多种产品的，须提供核心产品的业绩方可认定加分。代理商投标的，不得将其他代理商或厂家自身的业绩作为投标人业绩加分。</w:t>
            </w:r>
          </w:p>
          <w:p w14:paraId="27EFD294">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每提供一份业绩加1分，最多加3分。</w:t>
            </w:r>
          </w:p>
        </w:tc>
      </w:tr>
      <w:tr w14:paraId="2BB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331" w:hRule="atLeast"/>
          <w:jc w:val="center"/>
        </w:trPr>
        <w:tc>
          <w:tcPr>
            <w:tcW w:w="488" w:type="pct"/>
            <w:vMerge w:val="continue"/>
            <w:vAlign w:val="center"/>
          </w:tcPr>
          <w:p w14:paraId="6B946F7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5515C05E">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restart"/>
            <w:vAlign w:val="center"/>
          </w:tcPr>
          <w:p w14:paraId="786DDFE3">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节能环保产品</w:t>
            </w:r>
          </w:p>
          <w:p w14:paraId="240CEE24">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（0-1分）</w:t>
            </w:r>
          </w:p>
        </w:tc>
        <w:tc>
          <w:tcPr>
            <w:tcW w:w="3040" w:type="pct"/>
            <w:gridSpan w:val="2"/>
            <w:vAlign w:val="center"/>
          </w:tcPr>
          <w:p w14:paraId="70962E70">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所投产品如为节能产品政府采购品目清单内非强制节能产品的，加0.5分</w:t>
            </w:r>
          </w:p>
          <w:p w14:paraId="36BCB3FA">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 xml:space="preserve">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    </w:t>
            </w:r>
          </w:p>
        </w:tc>
      </w:tr>
      <w:tr w14:paraId="40BE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66" w:hRule="atLeast"/>
          <w:jc w:val="center"/>
        </w:trPr>
        <w:tc>
          <w:tcPr>
            <w:tcW w:w="488" w:type="pct"/>
            <w:vMerge w:val="continue"/>
            <w:vAlign w:val="center"/>
          </w:tcPr>
          <w:p w14:paraId="54A8010A">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612A01C8">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continue"/>
            <w:vAlign w:val="center"/>
          </w:tcPr>
          <w:p w14:paraId="26A2949A">
            <w:pPr>
              <w:widowControl/>
              <w:adjustRightInd w:val="0"/>
              <w:snapToGrid w:val="0"/>
              <w:spacing w:line="360" w:lineRule="auto"/>
              <w:jc w:val="left"/>
              <w:rPr>
                <w:rFonts w:hint="eastAsia" w:ascii="宋体" w:hAnsi="宋体" w:eastAsia="宋体" w:cs="宋体"/>
                <w:b/>
                <w:color w:val="auto"/>
                <w:kern w:val="0"/>
                <w:sz w:val="21"/>
                <w:szCs w:val="21"/>
                <w:highlight w:val="none"/>
              </w:rPr>
            </w:pPr>
          </w:p>
        </w:tc>
        <w:tc>
          <w:tcPr>
            <w:tcW w:w="3040" w:type="pct"/>
            <w:gridSpan w:val="2"/>
            <w:vAlign w:val="center"/>
          </w:tcPr>
          <w:p w14:paraId="084C8F65">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所投产品如为环境标志产品政府采购品目清单内的产品，加0.5分。</w:t>
            </w:r>
          </w:p>
          <w:p w14:paraId="36F15149">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14:paraId="665F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897" w:hRule="atLeast"/>
          <w:jc w:val="center"/>
        </w:trPr>
        <w:tc>
          <w:tcPr>
            <w:tcW w:w="488" w:type="pct"/>
            <w:vMerge w:val="continue"/>
            <w:vAlign w:val="center"/>
          </w:tcPr>
          <w:p w14:paraId="3F388A8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2B69A9E5">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088C6818">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质保期</w:t>
            </w:r>
          </w:p>
          <w:p w14:paraId="5973C111">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14:paraId="4702FAF8">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在招标文件要求的质保期基础上，每承诺延长一年质保期得1.5分，最多得3分，未承诺的不得分。</w:t>
            </w:r>
          </w:p>
          <w:p w14:paraId="42AB3D41">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（注：如标包内有多个产品的，所有产品的质保期均需延长，否则不得分）</w:t>
            </w:r>
          </w:p>
        </w:tc>
      </w:tr>
      <w:tr w14:paraId="1593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14:paraId="5B3FCCF3">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47FB8D7B">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67AF7FEB">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实施方案（0-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tc>
        <w:tc>
          <w:tcPr>
            <w:tcW w:w="3040" w:type="pct"/>
            <w:gridSpan w:val="2"/>
            <w:vAlign w:val="center"/>
          </w:tcPr>
          <w:p w14:paraId="6DDB0E34">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1、项目具体实施进度方案：</w:t>
            </w:r>
          </w:p>
          <w:p w14:paraId="7A57505D">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整体实施进度方案详实、全面可行，生产进度规划科学、原材料采购及生产计划响应迅速，供货周期优于项目要求，进度保障措施规划详细、响应周全、切实可行，项目组人员配备科学、分工明确、团队力量强得2分；</w:t>
            </w:r>
          </w:p>
          <w:p w14:paraId="39FB14E3">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（2）整体实施进度方案详细，生产进度规划合理、原材料采购及生产计划响应较快，供货周期优于项目要求，进度保障措施规划详细，项目组人员分工明确、团队力量较强得1分；</w:t>
            </w:r>
          </w:p>
          <w:p w14:paraId="332E60BB">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（3）整体实施进度方案简单，原材料采购及生产计划响应缓慢，进度保障措施规划简单，项目组人员配置较少、分工不够明确得0.5分；</w:t>
            </w:r>
          </w:p>
          <w:p w14:paraId="7249C491">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14:paraId="4AC0755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2、质量保障措施：</w:t>
            </w:r>
          </w:p>
          <w:p w14:paraId="6418DBA2">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（1）质量保障方案制定详实、周全，质量保障制度制定完善、科学合理、可操作性强，质量保障人员配备科学、分工明确、团队力量强，有专门的的质量保障经费规划，质量保障设施设备配备齐全得 2分；</w:t>
            </w:r>
          </w:p>
          <w:p w14:paraId="4106713E">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（2）质量保障方案制定详细，质量保障制度制定完善，质量保障人员配备充足、分工明确，有专门的的质量保障经费规划，质量保障设施设备配备较全得 1分；</w:t>
            </w:r>
          </w:p>
          <w:p w14:paraId="32AD9F79">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（3）质量保障方案、质量保障制度制定简单，质量保障人员配备较少，分工不够明确，质量保障设施设备配备较少得 0.5分；</w:t>
            </w:r>
          </w:p>
          <w:p w14:paraId="018EF99C">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14:paraId="58077DAD">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3、项目测试方案、验收方案：</w:t>
            </w:r>
          </w:p>
          <w:p w14:paraId="64FD037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（1）方案提供的测试、验收依据和相关的技术标准准确完整，方案制定的测试、验收的组织形式、程序、注意事项周全详实，测试、验收环节和内容设置合理、全面得 2分；</w:t>
            </w:r>
          </w:p>
          <w:p w14:paraId="1745E7E1">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（2）方案提供的测试、验收依据和相关的技术标准准确，方案制定的测试、验收的组织形式、程序、注意事项较完整，测试、验收环节和内容设置简单得 1分；</w:t>
            </w:r>
          </w:p>
          <w:p w14:paraId="00C9F992">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（3）方案提供的测试、验收依据和相关的技术标准未提供，方案制定的测试、验收的组织形式、程序、注意事项简单，测试、验收环节和内容设置简单得0.5分；</w:t>
            </w:r>
          </w:p>
          <w:p w14:paraId="1F95D1F1">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（4）未提供或其他得0分。</w:t>
            </w:r>
          </w:p>
        </w:tc>
      </w:tr>
      <w:tr w14:paraId="4611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14:paraId="10F52270">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5879DC32">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4AEF09B9">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履约能力（0-</w:t>
            </w:r>
            <w:r>
              <w:rPr>
                <w:rFonts w:hint="eastAsia" w:ascii="宋体" w:hAnsi="宋体" w:eastAsia="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rPr>
              <w:t>分）</w:t>
            </w:r>
          </w:p>
          <w:p w14:paraId="446DED61">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p>
        </w:tc>
        <w:tc>
          <w:tcPr>
            <w:tcW w:w="3040" w:type="pct"/>
            <w:gridSpan w:val="2"/>
            <w:vAlign w:val="center"/>
          </w:tcPr>
          <w:p w14:paraId="608107B5">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1.各阶段资金使用计划规划科学、各环节资金投入明确且保障有力得1分，不科学、不明确、没有保障或未提供该项内容得 0 分。 </w:t>
            </w:r>
          </w:p>
          <w:p w14:paraId="3C9A2468">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2.生产过程有落实节能环保相关措施且科学可行得1分，措施不可行或未提供该项内容得 0 分。 </w:t>
            </w:r>
          </w:p>
          <w:p w14:paraId="7793C315">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3.与各用户单位沟通和协调管理制度完善可行得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分，不完善、不可行或未提供该项内容得0分。</w:t>
            </w:r>
          </w:p>
        </w:tc>
      </w:tr>
      <w:tr w14:paraId="5581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14:paraId="78FEC969">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4747EB3F">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restart"/>
            <w:vAlign w:val="center"/>
          </w:tcPr>
          <w:p w14:paraId="7BC0B3E1">
            <w:pPr>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售后服务及培训方案（0-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p w14:paraId="39C19C91">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14:paraId="582CFF3B">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B0ECEBB">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（1）根据投标人</w:t>
            </w:r>
            <w:r>
              <w:rPr>
                <w:rFonts w:hint="eastAsia" w:ascii="宋体" w:hAnsi="宋体" w:eastAsia="宋体" w:cs="宋体"/>
                <w:color w:val="auto"/>
                <w:sz w:val="21"/>
                <w:szCs w:val="21"/>
                <w:highlight w:val="none"/>
                <w:lang w:val="en-US" w:eastAsia="zh-CN"/>
              </w:rPr>
              <w:t>售后</w:t>
            </w:r>
            <w:r>
              <w:rPr>
                <w:rFonts w:hint="eastAsia" w:ascii="宋体" w:hAnsi="宋体" w:eastAsia="宋体" w:cs="宋体"/>
                <w:color w:val="auto"/>
                <w:sz w:val="21"/>
                <w:szCs w:val="21"/>
                <w:highlight w:val="none"/>
              </w:rPr>
              <w:t>服务计划（内容包括但不限于</w:t>
            </w:r>
            <w:r>
              <w:rPr>
                <w:rFonts w:hint="eastAsia" w:ascii="宋体" w:hAnsi="宋体" w:eastAsia="宋体" w:cs="宋体"/>
                <w:color w:val="auto"/>
                <w:sz w:val="21"/>
                <w:szCs w:val="21"/>
                <w:highlight w:val="none"/>
                <w:lang w:val="en-US" w:eastAsia="zh-CN"/>
              </w:rPr>
              <w:t>质保期内及质保期外</w:t>
            </w:r>
            <w:r>
              <w:rPr>
                <w:rFonts w:hint="eastAsia" w:ascii="宋体" w:hAnsi="宋体" w:eastAsia="宋体" w:cs="宋体"/>
                <w:color w:val="auto"/>
                <w:sz w:val="21"/>
                <w:szCs w:val="21"/>
                <w:highlight w:val="none"/>
              </w:rPr>
              <w:t>服务内容、售后服务体系、故障响应、备品备件保障供应、巡检服务等）</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应急维修保障措施（内容包括但不限应急维修程序、应急维修预案、应急维修人员配备等）进行综合评分：</w:t>
            </w:r>
          </w:p>
          <w:p w14:paraId="3789D2A7">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维修保障措施完整（涵盖上述全部内容，根据项目实际情况有新增加）、详尽，完全满足项目要求的，得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3105748">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维修保障措施（涵盖上述全部内容，但是内容不够详尽或者其中某项描述欠缺的），基本满足项目要求的，得1分；</w:t>
            </w:r>
          </w:p>
          <w:p w14:paraId="62A88865">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维修保障措施（内容缺少一项或多项的）的，或者服务计划无法满足采购需求的得0.5分；</w:t>
            </w:r>
          </w:p>
          <w:p w14:paraId="0FAF7713">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无服务计划的不得分。</w:t>
            </w:r>
          </w:p>
          <w:p w14:paraId="66B98AC9">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投标人提供本地化服务承诺（</w:t>
            </w:r>
            <w:r>
              <w:rPr>
                <w:rFonts w:hint="eastAsia" w:ascii="宋体" w:hAnsi="宋体" w:eastAsia="宋体" w:cs="宋体"/>
                <w:color w:val="auto"/>
                <w:sz w:val="21"/>
                <w:szCs w:val="21"/>
                <w:highlight w:val="none"/>
                <w:lang w:val="en-US" w:eastAsia="zh-CN"/>
              </w:rPr>
              <w:t>承诺书中需明确</w:t>
            </w:r>
            <w:r>
              <w:rPr>
                <w:rFonts w:hint="eastAsia" w:ascii="宋体" w:hAnsi="宋体" w:eastAsia="宋体" w:cs="宋体"/>
                <w:color w:val="auto"/>
                <w:sz w:val="21"/>
                <w:szCs w:val="21"/>
                <w:highlight w:val="none"/>
                <w:lang w:eastAsia="zh-CN"/>
              </w:rPr>
              <w:t>具体实施方式在合同中约定）的得</w:t>
            </w:r>
            <w:r>
              <w:rPr>
                <w:rFonts w:hint="eastAsia" w:ascii="宋体" w:hAnsi="宋体" w:eastAsia="宋体" w:cs="宋体"/>
                <w:color w:val="auto"/>
                <w:sz w:val="21"/>
                <w:szCs w:val="21"/>
                <w:highlight w:val="none"/>
                <w:lang w:val="en-US" w:eastAsia="zh-CN"/>
              </w:rPr>
              <w:t>1分，未提供的得0份</w:t>
            </w:r>
            <w:r>
              <w:rPr>
                <w:rFonts w:hint="eastAsia" w:ascii="宋体" w:hAnsi="宋体" w:eastAsia="宋体" w:cs="宋体"/>
                <w:color w:val="auto"/>
                <w:sz w:val="21"/>
                <w:szCs w:val="21"/>
                <w:highlight w:val="none"/>
              </w:rPr>
              <w:t>。</w:t>
            </w:r>
          </w:p>
        </w:tc>
      </w:tr>
      <w:tr w14:paraId="7FD7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14:paraId="2E8FA8FF">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55E19617">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continue"/>
            <w:vAlign w:val="center"/>
          </w:tcPr>
          <w:p w14:paraId="5230D4CB">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14:paraId="1BE59133">
            <w:pPr>
              <w:adjustRightInd w:val="0"/>
              <w:snapToGrid w:val="0"/>
              <w:spacing w:line="360" w:lineRule="auto"/>
              <w:jc w:val="left"/>
              <w:rPr>
                <w:rFonts w:hint="eastAsia" w:ascii="宋体" w:hAnsi="宋体" w:eastAsia="宋体" w:cs="宋体"/>
                <w:color w:val="auto"/>
                <w:kern w:val="0"/>
                <w:sz w:val="21"/>
                <w:szCs w:val="21"/>
                <w:highlight w:val="none"/>
              </w:rPr>
            </w:pPr>
            <w:bookmarkStart w:id="590" w:name="_GoBack"/>
            <w:r>
              <w:rPr>
                <w:rFonts w:hint="eastAsia" w:ascii="宋体" w:hAnsi="宋体" w:eastAsia="宋体" w:cs="宋体"/>
                <w:color w:val="auto"/>
                <w:kern w:val="0"/>
                <w:sz w:val="21"/>
                <w:szCs w:val="21"/>
                <w:highlight w:val="none"/>
              </w:rPr>
              <w:t>2.培训方案（</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173300D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培训方案（内容包括但不限于培训内容、培训形式、培训计划和培训效果、培训师资力量等）进行综合评分，培训方案全面（涵盖上述全部内容，根据项目实际情况有新增加）、详尽，符合项目特点，针对性强，确保满足培训效果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分；培训方案（内容缺少其中至少一项）、针对性不强，得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分；培训方案无法满足项目实际需求的得0.5分；方案未提供不得分。</w:t>
            </w:r>
            <w:bookmarkEnd w:id="590"/>
          </w:p>
        </w:tc>
      </w:tr>
    </w:tbl>
    <w:p w14:paraId="1642D32B">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、本次招标采用综合评分法评标，投标文件满足招标文件全部实质性要求，且按照评标因素的量化指标评标得分最高的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为中标候选人的评标方法。评分相等时，以投标报价低的优先；投标报价也相等的，以技术评分得分高的优先。</w:t>
      </w:r>
    </w:p>
    <w:p w14:paraId="412A1379">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采购人已根据采购项目技术构成、产品价格比重等合理确定各标包核心产品，并在招标文件中载明。多家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提供的核心产品品牌相同的，按以下规定处理：提供相同品牌产品且通过资格审查、符合性审查的不同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计算，评标后得分最高的同品牌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获得中标人推荐资格；评标得分相同的，由采购人或者采购人委托评标委员会按照招标文件规定的方式确定一个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获得中标人推荐资格，招标文件未规定的采取随机抽取方式确定，其他同品牌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bookmarkStart w:id="398" w:name="_Toc13454"/>
      <w:bookmarkStart w:id="399" w:name="_Toc6135"/>
      <w:bookmarkStart w:id="400" w:name="_Toc17219"/>
      <w:bookmarkStart w:id="401" w:name="_Toc4003"/>
      <w:bookmarkStart w:id="402" w:name="_Toc30234"/>
      <w:bookmarkStart w:id="403" w:name="_Toc3406"/>
      <w:bookmarkStart w:id="404" w:name="_Toc5920"/>
      <w:bookmarkStart w:id="405" w:name="_Toc30895"/>
      <w:bookmarkStart w:id="406" w:name="_Toc26533"/>
    </w:p>
    <w:p w14:paraId="34BED979">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、评标标准</w:t>
      </w:r>
      <w:bookmarkEnd w:id="398"/>
      <w:bookmarkEnd w:id="399"/>
      <w:bookmarkEnd w:id="400"/>
      <w:bookmarkEnd w:id="401"/>
      <w:bookmarkEnd w:id="402"/>
      <w:bookmarkEnd w:id="403"/>
      <w:bookmarkEnd w:id="404"/>
      <w:bookmarkEnd w:id="405"/>
      <w:bookmarkEnd w:id="406"/>
    </w:p>
    <w:p w14:paraId="353DA313">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初步评审标准</w:t>
      </w:r>
    </w:p>
    <w:p w14:paraId="4988CF69">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14:paraId="47E09277">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2.1.2 </w:t>
      </w:r>
      <w:r>
        <w:rPr>
          <w:rFonts w:hint="eastAsia" w:ascii="宋体" w:hAnsi="宋体" w:cs="宋体"/>
          <w:color w:val="auto"/>
          <w:kern w:val="0"/>
          <w:sz w:val="24"/>
          <w:highlight w:val="none"/>
        </w:rPr>
        <w:t>符合性评审标准：见评标办法前附表；</w:t>
      </w:r>
    </w:p>
    <w:p w14:paraId="42628FBA">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07" w:name="_Toc29139"/>
      <w:bookmarkStart w:id="408" w:name="_Toc27094"/>
      <w:bookmarkStart w:id="409" w:name="_Toc5467"/>
      <w:bookmarkStart w:id="410" w:name="_Toc28336"/>
      <w:bookmarkStart w:id="411" w:name="_Toc7259"/>
      <w:bookmarkStart w:id="412" w:name="_Toc10856"/>
      <w:bookmarkStart w:id="413" w:name="_Toc6724"/>
      <w:bookmarkStart w:id="414" w:name="_Toc17735"/>
      <w:bookmarkStart w:id="415" w:name="_Toc31651"/>
      <w:r>
        <w:rPr>
          <w:rFonts w:ascii="宋体" w:hAnsi="宋体" w:cs="宋体"/>
          <w:color w:val="auto"/>
          <w:kern w:val="0"/>
          <w:sz w:val="24"/>
          <w:highlight w:val="none"/>
        </w:rPr>
        <w:t xml:space="preserve">2.2 </w:t>
      </w:r>
      <w:r>
        <w:rPr>
          <w:rFonts w:hint="eastAsia" w:ascii="宋体" w:hAnsi="宋体" w:cs="宋体"/>
          <w:color w:val="auto"/>
          <w:kern w:val="0"/>
          <w:sz w:val="24"/>
          <w:highlight w:val="none"/>
        </w:rPr>
        <w:t>分值构成与评分标准</w:t>
      </w:r>
      <w:bookmarkEnd w:id="407"/>
      <w:bookmarkEnd w:id="408"/>
      <w:bookmarkEnd w:id="409"/>
      <w:bookmarkEnd w:id="410"/>
      <w:bookmarkEnd w:id="411"/>
      <w:bookmarkEnd w:id="412"/>
      <w:bookmarkEnd w:id="413"/>
      <w:bookmarkEnd w:id="414"/>
      <w:bookmarkEnd w:id="415"/>
    </w:p>
    <w:p w14:paraId="6FD0843D">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rPr>
        <w:t>分值构成</w:t>
      </w:r>
    </w:p>
    <w:p w14:paraId="2B30F7F1">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）投标报价：见评标办法前附表；</w:t>
      </w:r>
    </w:p>
    <w:p w14:paraId="0BFED63D">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）技术部分：见评标办法前附表；</w:t>
      </w:r>
    </w:p>
    <w:p w14:paraId="32A4E33B">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）商务部分：见评标办法前附表；</w:t>
      </w:r>
    </w:p>
    <w:p w14:paraId="3A8B1969">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2.2.2 </w:t>
      </w:r>
      <w:r>
        <w:rPr>
          <w:rFonts w:hint="eastAsia" w:ascii="宋体" w:hAnsi="宋体" w:cs="宋体"/>
          <w:color w:val="auto"/>
          <w:kern w:val="0"/>
          <w:sz w:val="24"/>
          <w:highlight w:val="none"/>
        </w:rPr>
        <w:t>评分标准</w:t>
      </w:r>
    </w:p>
    <w:p w14:paraId="7975B662">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）投标报价评分标准：见评标办法前附表；</w:t>
      </w:r>
    </w:p>
    <w:p w14:paraId="13C7FBDD">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）技术评分标准：见评标办法前附表；</w:t>
      </w:r>
    </w:p>
    <w:p w14:paraId="20CAA061">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）商务评分标准：见评标办法前附表；</w:t>
      </w:r>
    </w:p>
    <w:p w14:paraId="329A3C81">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16" w:name="_Toc4338"/>
      <w:bookmarkStart w:id="417" w:name="_Toc5605"/>
      <w:bookmarkStart w:id="418" w:name="_Toc1740"/>
      <w:bookmarkStart w:id="419" w:name="_Toc5149"/>
      <w:bookmarkStart w:id="420" w:name="_Toc21732"/>
      <w:bookmarkStart w:id="421" w:name="_Toc28724"/>
      <w:bookmarkStart w:id="422" w:name="_Toc26726"/>
      <w:bookmarkStart w:id="423" w:name="_Toc22175"/>
      <w:bookmarkStart w:id="424" w:name="_Toc16356"/>
      <w:r>
        <w:rPr>
          <w:rFonts w:ascii="宋体" w:hAnsi="宋体" w:cs="宋体"/>
          <w:color w:val="auto"/>
          <w:kern w:val="0"/>
          <w:sz w:val="24"/>
          <w:highlight w:val="none"/>
        </w:rPr>
        <w:t>3</w:t>
      </w:r>
      <w:r>
        <w:rPr>
          <w:rFonts w:hint="eastAsia" w:ascii="宋体" w:hAnsi="宋体" w:cs="宋体"/>
          <w:color w:val="auto"/>
          <w:kern w:val="0"/>
          <w:sz w:val="24"/>
          <w:highlight w:val="none"/>
        </w:rPr>
        <w:t>、评标程序</w:t>
      </w:r>
      <w:bookmarkEnd w:id="416"/>
      <w:bookmarkEnd w:id="417"/>
      <w:bookmarkEnd w:id="418"/>
      <w:bookmarkEnd w:id="419"/>
      <w:bookmarkEnd w:id="420"/>
      <w:bookmarkEnd w:id="421"/>
      <w:bookmarkEnd w:id="422"/>
      <w:bookmarkEnd w:id="423"/>
      <w:bookmarkEnd w:id="424"/>
    </w:p>
    <w:p w14:paraId="5C13CFE3">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25" w:name="_Toc32083"/>
      <w:bookmarkStart w:id="426" w:name="_Toc17957"/>
      <w:bookmarkStart w:id="427" w:name="_Toc18983"/>
      <w:bookmarkStart w:id="428" w:name="_Toc9613"/>
      <w:bookmarkStart w:id="429" w:name="_Toc10682"/>
      <w:bookmarkStart w:id="430" w:name="_Toc1654"/>
      <w:bookmarkStart w:id="431" w:name="_Toc5708"/>
      <w:bookmarkStart w:id="432" w:name="_Toc7036"/>
      <w:bookmarkStart w:id="433" w:name="_Toc9443"/>
      <w:r>
        <w:rPr>
          <w:rFonts w:ascii="宋体" w:hAnsi="宋体" w:cs="宋体"/>
          <w:color w:val="auto"/>
          <w:kern w:val="0"/>
          <w:sz w:val="24"/>
          <w:highlight w:val="none"/>
        </w:rPr>
        <w:t xml:space="preserve">3.1 </w:t>
      </w:r>
      <w:bookmarkEnd w:id="425"/>
      <w:bookmarkEnd w:id="426"/>
      <w:bookmarkEnd w:id="427"/>
      <w:bookmarkEnd w:id="428"/>
      <w:bookmarkEnd w:id="429"/>
      <w:bookmarkEnd w:id="430"/>
      <w:bookmarkEnd w:id="431"/>
      <w:bookmarkEnd w:id="432"/>
      <w:bookmarkEnd w:id="433"/>
      <w:r>
        <w:rPr>
          <w:rFonts w:hint="eastAsia" w:ascii="宋体" w:hAnsi="宋体" w:cs="宋体"/>
          <w:color w:val="auto"/>
          <w:kern w:val="0"/>
          <w:sz w:val="24"/>
          <w:highlight w:val="none"/>
        </w:rPr>
        <w:t>初步评审</w:t>
      </w:r>
    </w:p>
    <w:p w14:paraId="3BB8035E">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评标委员会依据本章评标办法前附表规定的标准，对符合资格的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的投标文件进行初步评审，以确定其是否满足招标文件的实质性要求，有一项不符合评标标准的，评标委员会应当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w:t>
      </w:r>
    </w:p>
    <w:p w14:paraId="1FD8BDC4">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3.1.1 </w:t>
      </w:r>
      <w:r>
        <w:rPr>
          <w:rFonts w:hint="eastAsia" w:ascii="宋体" w:hAnsi="宋体" w:cs="宋体"/>
          <w:color w:val="auto"/>
          <w:kern w:val="0"/>
          <w:sz w:val="24"/>
          <w:highlight w:val="none"/>
        </w:rPr>
        <w:t>投标报价有算术错误及其他错误的，评标委员会按以下原则要求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对投标报价进行修正</w:t>
      </w:r>
    </w:p>
    <w:p w14:paraId="7EB2F663">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34" w:name="_Toc22449"/>
      <w:bookmarkStart w:id="435" w:name="_Toc13336"/>
      <w:bookmarkStart w:id="436" w:name="_Toc18705"/>
      <w:bookmarkStart w:id="437" w:name="_Toc26213"/>
      <w:bookmarkStart w:id="438" w:name="_Toc24391"/>
      <w:bookmarkStart w:id="439" w:name="_Toc1221"/>
      <w:bookmarkStart w:id="440" w:name="_Toc10132"/>
      <w:bookmarkStart w:id="441" w:name="_Toc30428"/>
      <w:bookmarkStart w:id="442" w:name="_Toc12089"/>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）投标文件中开标一览表（报价表）内容与投标文件中相应内容不一致的，以开标一览表（报价表）为准；</w:t>
      </w:r>
    </w:p>
    <w:p w14:paraId="4F4A4578">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）大写金额和小写金额不一致的，以大写金额为准；</w:t>
      </w:r>
    </w:p>
    <w:p w14:paraId="5CB576B3">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）单价金额小数点或者百分比有明显错位的，以开标一览表的总价为准，并修改单价；</w:t>
      </w:r>
    </w:p>
    <w:p w14:paraId="45A2C548">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）总价金额与按单价汇总金额不一致的，以单价金额计算结果为准。</w:t>
      </w:r>
    </w:p>
    <w:p w14:paraId="4CCC2EA7">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）同时出现两种以上不一致的，按照前款规定的顺序修正。投标人不确认的，其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14:paraId="76D2861C">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 </w:t>
      </w:r>
      <w:r>
        <w:rPr>
          <w:rFonts w:hint="eastAsia" w:ascii="宋体" w:hAnsi="宋体" w:cs="宋体"/>
          <w:color w:val="auto"/>
          <w:kern w:val="0"/>
          <w:sz w:val="24"/>
          <w:highlight w:val="none"/>
        </w:rPr>
        <w:t>详细</w:t>
      </w:r>
      <w:bookmarkEnd w:id="434"/>
      <w:bookmarkEnd w:id="435"/>
      <w:bookmarkEnd w:id="436"/>
      <w:bookmarkEnd w:id="437"/>
      <w:bookmarkEnd w:id="438"/>
      <w:bookmarkEnd w:id="439"/>
      <w:bookmarkEnd w:id="440"/>
      <w:bookmarkEnd w:id="441"/>
      <w:bookmarkEnd w:id="442"/>
      <w:r>
        <w:rPr>
          <w:rFonts w:hint="eastAsia" w:ascii="宋体" w:hAnsi="宋体" w:cs="宋体"/>
          <w:color w:val="auto"/>
          <w:kern w:val="0"/>
          <w:sz w:val="24"/>
          <w:highlight w:val="none"/>
        </w:rPr>
        <w:t>评标</w:t>
      </w:r>
    </w:p>
    <w:p w14:paraId="5BE037A1">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3.2.1 </w:t>
      </w:r>
      <w:r>
        <w:rPr>
          <w:rFonts w:hint="eastAsia" w:ascii="宋体" w:hAnsi="宋体" w:cs="宋体"/>
          <w:color w:val="auto"/>
          <w:kern w:val="0"/>
          <w:sz w:val="24"/>
          <w:highlight w:val="none"/>
        </w:rPr>
        <w:t>评标委员会按本章规定的量化因素和分值进行打分，并计算出综合评估得分。</w:t>
      </w:r>
    </w:p>
    <w:p w14:paraId="4DD19CDB">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3.2.2 </w:t>
      </w:r>
      <w:r>
        <w:rPr>
          <w:rFonts w:hint="eastAsia" w:ascii="宋体" w:hAnsi="宋体" w:cs="宋体"/>
          <w:color w:val="auto"/>
          <w:kern w:val="0"/>
          <w:sz w:val="24"/>
          <w:highlight w:val="none"/>
        </w:rPr>
        <w:t>评分分值计算保留小数点后两位，小数点后第三位“四舍五入”。</w:t>
      </w:r>
    </w:p>
    <w:p w14:paraId="6D958843">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综合得分等于所有评委最终打分的算数平均值。</w:t>
      </w:r>
    </w:p>
    <w:p w14:paraId="4A945E09">
      <w:pPr>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3.2.4 </w:t>
      </w:r>
      <w:r>
        <w:rPr>
          <w:rFonts w:hint="eastAsia" w:ascii="宋体" w:hAnsi="宋体" w:cs="宋体"/>
          <w:color w:val="auto"/>
          <w:kern w:val="0"/>
          <w:sz w:val="24"/>
          <w:highlight w:val="none"/>
        </w:rPr>
        <w:t>评标委员会认为投标人的报价明显低于其他通过符合性审查投标人的报价，有可能影响产品质量或者不能诚信履约的，应当通过平台向投标人发出问询，在合理时间内提供书面说明，必要时提交相关证明材料；投标人不能证明其报价合理性的，评标委员会应当将其作为无效投标处理。</w:t>
      </w:r>
    </w:p>
    <w:p w14:paraId="2366A2FD">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43" w:name="_Toc6048"/>
      <w:bookmarkStart w:id="444" w:name="_Toc18381"/>
      <w:bookmarkStart w:id="445" w:name="_Toc7845"/>
      <w:bookmarkStart w:id="446" w:name="_Toc11722"/>
      <w:bookmarkStart w:id="447" w:name="_Toc18083"/>
      <w:bookmarkStart w:id="448" w:name="_Toc11785"/>
      <w:bookmarkStart w:id="449" w:name="_Toc2162"/>
      <w:bookmarkStart w:id="450" w:name="_Toc5640"/>
      <w:bookmarkStart w:id="451" w:name="_Toc9150"/>
      <w:r>
        <w:rPr>
          <w:rFonts w:ascii="宋体" w:hAnsi="宋体" w:cs="宋体"/>
          <w:color w:val="auto"/>
          <w:kern w:val="0"/>
          <w:sz w:val="24"/>
          <w:highlight w:val="none"/>
        </w:rPr>
        <w:t xml:space="preserve">3.3 </w:t>
      </w:r>
      <w:r>
        <w:rPr>
          <w:rFonts w:hint="eastAsia" w:ascii="宋体" w:hAnsi="宋体" w:cs="宋体"/>
          <w:color w:val="auto"/>
          <w:kern w:val="0"/>
          <w:sz w:val="24"/>
          <w:highlight w:val="none"/>
        </w:rPr>
        <w:t>投标文件的澄清</w:t>
      </w:r>
      <w:bookmarkEnd w:id="443"/>
      <w:bookmarkEnd w:id="444"/>
      <w:bookmarkEnd w:id="445"/>
      <w:bookmarkEnd w:id="446"/>
      <w:bookmarkEnd w:id="447"/>
      <w:bookmarkEnd w:id="448"/>
      <w:bookmarkEnd w:id="449"/>
      <w:bookmarkEnd w:id="450"/>
      <w:bookmarkEnd w:id="451"/>
    </w:p>
    <w:p w14:paraId="7CCDEAFF">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在评标过程中，评标委员会可以书面形式要求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文件中含义不明确、对同类问题表述不一致或者有明显文字和计算错误的内容作必要的澄清、说明或补正。澄清、说明或补正应以书面方式进行，并加盖公章，或者由法定代表人或其授权的代表签字。评标委员会不接受</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主动提出的澄清、说明或补正。</w:t>
      </w:r>
    </w:p>
    <w:p w14:paraId="09DCDB81">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3.3.2 </w:t>
      </w:r>
      <w:r>
        <w:rPr>
          <w:rFonts w:hint="eastAsia" w:ascii="宋体" w:hAnsi="宋体" w:cs="宋体"/>
          <w:color w:val="auto"/>
          <w:kern w:val="0"/>
          <w:sz w:val="24"/>
          <w:highlight w:val="none"/>
        </w:rPr>
        <w:t>澄清、说明或补正不得超出投标文件的范围且不得改变投标文件的实质性内容，并构成投标文件的组成部分。</w:t>
      </w:r>
    </w:p>
    <w:p w14:paraId="5C808FAE">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3.3.3</w:t>
      </w:r>
      <w:r>
        <w:rPr>
          <w:rFonts w:hint="eastAsia" w:ascii="宋体" w:hAnsi="宋体" w:cs="宋体"/>
          <w:color w:val="auto"/>
          <w:kern w:val="0"/>
          <w:sz w:val="24"/>
          <w:highlight w:val="none"/>
        </w:rPr>
        <w:t>评标委员会对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提交的澄清、说明或补正有疑问的，可以要求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进一步澄清、说明或补正，直至满足评标委员会的要求。</w:t>
      </w:r>
    </w:p>
    <w:p w14:paraId="008FE80D">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52" w:name="_Toc19756"/>
      <w:bookmarkStart w:id="453" w:name="_Toc10336"/>
      <w:bookmarkStart w:id="454" w:name="_Toc7956"/>
      <w:bookmarkStart w:id="455" w:name="_Toc25857"/>
      <w:bookmarkStart w:id="456" w:name="_Toc12108"/>
      <w:bookmarkStart w:id="457" w:name="_Toc12060"/>
      <w:bookmarkStart w:id="458" w:name="_Toc28041"/>
      <w:bookmarkStart w:id="459" w:name="_Toc27845"/>
      <w:bookmarkStart w:id="460" w:name="_Toc19426"/>
      <w:r>
        <w:rPr>
          <w:rFonts w:ascii="宋体" w:hAnsi="宋体" w:cs="宋体"/>
          <w:color w:val="auto"/>
          <w:kern w:val="0"/>
          <w:sz w:val="24"/>
          <w:highlight w:val="none"/>
        </w:rPr>
        <w:t xml:space="preserve">3.4 </w:t>
      </w:r>
      <w:r>
        <w:rPr>
          <w:rFonts w:hint="eastAsia" w:ascii="宋体" w:hAnsi="宋体" w:cs="宋体"/>
          <w:color w:val="auto"/>
          <w:kern w:val="0"/>
          <w:sz w:val="24"/>
          <w:highlight w:val="none"/>
        </w:rPr>
        <w:t>评标结果</w:t>
      </w:r>
      <w:bookmarkEnd w:id="452"/>
      <w:bookmarkEnd w:id="453"/>
      <w:bookmarkEnd w:id="454"/>
      <w:bookmarkEnd w:id="455"/>
      <w:bookmarkEnd w:id="456"/>
      <w:bookmarkEnd w:id="457"/>
      <w:bookmarkEnd w:id="458"/>
      <w:bookmarkEnd w:id="459"/>
      <w:bookmarkEnd w:id="460"/>
    </w:p>
    <w:p w14:paraId="5A23D815">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评标委员会完成评标后，采购代理机构应当在评标结束后</w:t>
      </w:r>
      <w:r>
        <w:rPr>
          <w:rFonts w:ascii="宋体" w:hAnsi="宋体" w:cs="宋体"/>
          <w:color w:val="auto"/>
          <w:kern w:val="0"/>
          <w:sz w:val="24"/>
          <w:highlight w:val="none"/>
        </w:rPr>
        <w:t>2</w:t>
      </w:r>
      <w:r>
        <w:rPr>
          <w:rFonts w:hint="eastAsia" w:ascii="宋体" w:hAnsi="宋体" w:cs="宋体"/>
          <w:color w:val="auto"/>
          <w:kern w:val="0"/>
          <w:sz w:val="24"/>
          <w:highlight w:val="none"/>
        </w:rPr>
        <w:t>个工作日内将评标报告送采购人。</w:t>
      </w:r>
    </w:p>
    <w:p w14:paraId="3E9DF3BA">
      <w:pPr>
        <w:pStyle w:val="2"/>
        <w:rPr>
          <w:rFonts w:ascii="宋体" w:cs="宋体"/>
          <w:color w:val="auto"/>
          <w:szCs w:val="32"/>
          <w:highlight w:val="none"/>
        </w:rPr>
      </w:pPr>
      <w:bookmarkStart w:id="461" w:name="_Toc40112140"/>
      <w:bookmarkStart w:id="462" w:name="_Toc312133549"/>
      <w:r>
        <w:rPr>
          <w:rFonts w:ascii="宋体" w:cs="宋体"/>
          <w:color w:val="auto"/>
          <w:szCs w:val="32"/>
          <w:highlight w:val="none"/>
        </w:rPr>
        <w:br w:type="page"/>
      </w:r>
      <w:bookmarkStart w:id="463" w:name="_Toc17148"/>
      <w:bookmarkStart w:id="464" w:name="_Toc16056"/>
      <w:bookmarkStart w:id="465" w:name="_Toc30127"/>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bookmarkEnd w:id="461"/>
      <w:bookmarkEnd w:id="463"/>
      <w:bookmarkEnd w:id="464"/>
      <w:bookmarkEnd w:id="465"/>
    </w:p>
    <w:bookmarkEnd w:id="462"/>
    <w:p w14:paraId="457C397E">
      <w:pPr>
        <w:widowControl/>
        <w:spacing w:line="360" w:lineRule="auto"/>
        <w:jc w:val="center"/>
        <w:rPr>
          <w:rFonts w:ascii="宋体" w:cs="宋体"/>
          <w:color w:val="auto"/>
          <w:szCs w:val="21"/>
          <w:highlight w:val="none"/>
        </w:rPr>
      </w:pPr>
      <w:r>
        <w:rPr>
          <w:rFonts w:hint="eastAsia" w:ascii="宋体" w:hAnsi="宋体" w:cs="宋体"/>
          <w:color w:val="auto"/>
          <w:szCs w:val="21"/>
          <w:highlight w:val="none"/>
        </w:rPr>
        <w:t>（以双方签订为准）</w:t>
      </w:r>
    </w:p>
    <w:p w14:paraId="1BE30174">
      <w:pPr>
        <w:widowControl/>
        <w:spacing w:line="360" w:lineRule="auto"/>
        <w:jc w:val="center"/>
        <w:rPr>
          <w:rFonts w:ascii="宋体" w:hAnsi="宋体" w:cs="宋体"/>
          <w:b/>
          <w:bCs/>
          <w:color w:val="auto"/>
          <w:sz w:val="52"/>
          <w:szCs w:val="52"/>
          <w:highlight w:val="none"/>
        </w:rPr>
      </w:pPr>
      <w:bookmarkStart w:id="466" w:name="_Toc29143"/>
      <w:r>
        <w:rPr>
          <w:rFonts w:hint="eastAsia" w:ascii="宋体" w:hAnsi="宋体" w:cs="宋体"/>
          <w:b/>
          <w:bCs/>
          <w:color w:val="auto"/>
          <w:sz w:val="52"/>
          <w:szCs w:val="52"/>
          <w:highlight w:val="none"/>
        </w:rPr>
        <w:t>合  同  书</w:t>
      </w:r>
    </w:p>
    <w:p w14:paraId="1495A3AC">
      <w:pPr>
        <w:widowControl/>
        <w:spacing w:line="360" w:lineRule="auto"/>
        <w:jc w:val="center"/>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14:paraId="2E080AB3">
      <w:pPr>
        <w:widowControl/>
        <w:spacing w:line="360" w:lineRule="auto"/>
        <w:jc w:val="center"/>
        <w:rPr>
          <w:rFonts w:hint="default" w:ascii="宋体" w:eastAsia="宋体" w:cs="宋体"/>
          <w:color w:val="auto"/>
          <w:sz w:val="28"/>
          <w:szCs w:val="28"/>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合同编号：</w:t>
      </w:r>
      <w:r>
        <w:rPr>
          <w:rFonts w:hint="eastAsia" w:ascii="宋体" w:hAnsi="宋体" w:cs="宋体"/>
          <w:color w:val="auto"/>
          <w:sz w:val="28"/>
          <w:szCs w:val="28"/>
          <w:highlight w:val="none"/>
          <w:u w:val="single"/>
          <w:lang w:val="en-US" w:eastAsia="zh-CN"/>
        </w:rPr>
        <w:t xml:space="preserve">          </w:t>
      </w:r>
    </w:p>
    <w:p w14:paraId="238AB966">
      <w:pPr>
        <w:widowControl/>
        <w:spacing w:line="360" w:lineRule="auto"/>
        <w:jc w:val="center"/>
        <w:rPr>
          <w:rFonts w:ascii="宋体" w:cs="宋体"/>
          <w:color w:val="auto"/>
          <w:sz w:val="28"/>
          <w:szCs w:val="28"/>
          <w:highlight w:val="none"/>
        </w:rPr>
      </w:pPr>
    </w:p>
    <w:p w14:paraId="7737AA71">
      <w:pPr>
        <w:bidi w:val="0"/>
        <w:rPr>
          <w:color w:val="auto"/>
          <w:sz w:val="28"/>
          <w:szCs w:val="28"/>
          <w:highlight w:val="none"/>
        </w:rPr>
      </w:pPr>
      <w:r>
        <w:rPr>
          <w:rFonts w:hint="eastAsia"/>
          <w:color w:val="auto"/>
          <w:sz w:val="28"/>
          <w:szCs w:val="28"/>
          <w:highlight w:val="none"/>
        </w:rPr>
        <w:t>项目名称：</w:t>
      </w:r>
      <w:r>
        <w:rPr>
          <w:rFonts w:hint="eastAsia"/>
          <w:color w:val="auto"/>
          <w:sz w:val="28"/>
          <w:szCs w:val="28"/>
          <w:highlight w:val="none"/>
          <w:lang w:eastAsia="zh-CN"/>
        </w:rPr>
        <w:t>平顶山市消防救援支队河南省消防救援总队“自然灾害应急能力提升工程”平顶山支队装备建设项目</w:t>
      </w:r>
    </w:p>
    <w:p w14:paraId="66A7969E">
      <w:pPr>
        <w:pStyle w:val="10"/>
        <w:spacing w:line="360" w:lineRule="auto"/>
        <w:ind w:left="0" w:leftChars="0" w:right="1470"/>
        <w:rPr>
          <w:rFonts w:ascii="宋体" w:cs="宋体"/>
          <w:color w:val="auto"/>
          <w:sz w:val="28"/>
          <w:szCs w:val="28"/>
          <w:highlight w:val="none"/>
        </w:rPr>
      </w:pPr>
    </w:p>
    <w:p w14:paraId="486E587C">
      <w:pPr>
        <w:pStyle w:val="10"/>
        <w:spacing w:line="360" w:lineRule="auto"/>
        <w:ind w:left="0" w:leftChars="0" w:right="1470"/>
        <w:rPr>
          <w:rFonts w:ascii="宋体" w:cs="宋体"/>
          <w:color w:val="auto"/>
          <w:sz w:val="28"/>
          <w:szCs w:val="28"/>
          <w:highlight w:val="none"/>
        </w:rPr>
      </w:pPr>
    </w:p>
    <w:p w14:paraId="69364EF0">
      <w:pPr>
        <w:pStyle w:val="10"/>
        <w:spacing w:line="360" w:lineRule="auto"/>
        <w:ind w:left="0" w:leftChars="0" w:right="1470"/>
        <w:rPr>
          <w:rFonts w:ascii="宋体" w:cs="宋体"/>
          <w:color w:val="auto"/>
          <w:sz w:val="28"/>
          <w:szCs w:val="28"/>
          <w:highlight w:val="none"/>
        </w:rPr>
      </w:pPr>
    </w:p>
    <w:p w14:paraId="2E7BBC80">
      <w:pPr>
        <w:pStyle w:val="10"/>
        <w:spacing w:line="360" w:lineRule="auto"/>
        <w:ind w:left="0" w:leftChars="0" w:right="1470"/>
        <w:rPr>
          <w:rFonts w:ascii="宋体" w:cs="宋体"/>
          <w:color w:val="auto"/>
          <w:sz w:val="28"/>
          <w:szCs w:val="28"/>
          <w:highlight w:val="none"/>
        </w:rPr>
      </w:pPr>
    </w:p>
    <w:p w14:paraId="3853B325">
      <w:pPr>
        <w:pStyle w:val="10"/>
        <w:spacing w:line="360" w:lineRule="auto"/>
        <w:ind w:left="0" w:leftChars="0" w:right="1470"/>
        <w:rPr>
          <w:rFonts w:ascii="宋体" w:cs="宋体"/>
          <w:color w:val="auto"/>
          <w:sz w:val="28"/>
          <w:szCs w:val="28"/>
          <w:highlight w:val="none"/>
        </w:rPr>
      </w:pPr>
    </w:p>
    <w:p w14:paraId="55CB6B4D">
      <w:pPr>
        <w:pStyle w:val="10"/>
        <w:spacing w:line="360" w:lineRule="auto"/>
        <w:ind w:left="0" w:leftChars="0" w:right="1470"/>
        <w:rPr>
          <w:rFonts w:ascii="宋体" w:cs="宋体"/>
          <w:color w:val="auto"/>
          <w:sz w:val="28"/>
          <w:szCs w:val="28"/>
          <w:highlight w:val="none"/>
        </w:rPr>
      </w:pPr>
    </w:p>
    <w:p w14:paraId="288643F9">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甲方（需方）：</w:t>
      </w:r>
    </w:p>
    <w:p w14:paraId="4D6C306D">
      <w:pPr>
        <w:widowControl/>
        <w:spacing w:line="360" w:lineRule="auto"/>
        <w:rPr>
          <w:rFonts w:ascii="宋体" w:cs="宋体"/>
          <w:color w:val="auto"/>
          <w:sz w:val="28"/>
          <w:szCs w:val="28"/>
          <w:highlight w:val="none"/>
        </w:rPr>
      </w:pPr>
    </w:p>
    <w:p w14:paraId="3C81103B">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 xml:space="preserve">乙方（供方）： </w:t>
      </w:r>
    </w:p>
    <w:p w14:paraId="18CCC49C">
      <w:pPr>
        <w:widowControl/>
        <w:spacing w:line="360" w:lineRule="auto"/>
        <w:jc w:val="right"/>
        <w:rPr>
          <w:rFonts w:ascii="宋体" w:cs="宋体"/>
          <w:color w:val="auto"/>
          <w:sz w:val="28"/>
          <w:szCs w:val="28"/>
          <w:highlight w:val="none"/>
        </w:rPr>
      </w:pPr>
    </w:p>
    <w:p w14:paraId="66E3916C">
      <w:pPr>
        <w:widowControl/>
        <w:spacing w:line="360" w:lineRule="auto"/>
        <w:rPr>
          <w:rFonts w:ascii="宋体" w:cs="宋体"/>
          <w:color w:val="auto"/>
          <w:sz w:val="32"/>
          <w:szCs w:val="32"/>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合同签订日期：二〇二</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ascii="宋体" w:hAnsi="宋体" w:cs="宋体"/>
          <w:color w:val="auto"/>
          <w:sz w:val="32"/>
          <w:szCs w:val="32"/>
          <w:highlight w:val="none"/>
        </w:rPr>
        <w:t xml:space="preserve"> </w:t>
      </w:r>
    </w:p>
    <w:p w14:paraId="73327A55">
      <w:pPr>
        <w:snapToGrid w:val="0"/>
        <w:spacing w:before="119" w:line="360" w:lineRule="auto"/>
        <w:textAlignment w:val="baseline"/>
        <w:rPr>
          <w:rFonts w:hint="eastAsia" w:ascii="宋体" w:cs="宋体"/>
          <w:color w:val="auto"/>
          <w:kern w:val="0"/>
          <w:szCs w:val="21"/>
          <w:highlight w:val="none"/>
        </w:rPr>
      </w:pPr>
    </w:p>
    <w:p w14:paraId="53E3FCDA">
      <w:pPr>
        <w:pStyle w:val="21"/>
        <w:rPr>
          <w:rFonts w:hint="eastAsia"/>
          <w:color w:val="auto"/>
          <w:highlight w:val="none"/>
        </w:rPr>
      </w:pPr>
    </w:p>
    <w:p w14:paraId="1AF111D4">
      <w:pPr>
        <w:pStyle w:val="6"/>
        <w:rPr>
          <w:rFonts w:hint="eastAsia"/>
          <w:color w:val="auto"/>
          <w:highlight w:val="none"/>
        </w:rPr>
      </w:pPr>
    </w:p>
    <w:p w14:paraId="36BEF852">
      <w:pPr>
        <w:widowControl/>
        <w:snapToGrid w:val="0"/>
        <w:spacing w:line="360" w:lineRule="auto"/>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u w:val="single"/>
        </w:rPr>
        <w:t xml:space="preserve">                            </w:t>
      </w:r>
    </w:p>
    <w:p w14:paraId="480972AF">
      <w:pPr>
        <w:widowControl/>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608B17CC">
      <w:pPr>
        <w:widowControl/>
        <w:snapToGrid w:val="0"/>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为了保护供需各方的合法权益，甲乙双方依照《中华人民共和国民法典》有关条款，就</w:t>
      </w:r>
      <w:r>
        <w:rPr>
          <w:rFonts w:hint="eastAsia" w:ascii="宋体" w:hAnsi="宋体" w:eastAsia="宋体" w:cs="宋体"/>
          <w:bCs/>
          <w:color w:val="auto"/>
          <w:kern w:val="0"/>
          <w:sz w:val="24"/>
          <w:szCs w:val="24"/>
          <w:highlight w:val="none"/>
          <w:u w:val="single"/>
          <w:lang w:eastAsia="zh-CN"/>
        </w:rPr>
        <w:t>平顶山市消防救援支队河南省消防救援总队“自然灾害应急能力提升工程”平顶山支队装备建设项目</w:t>
      </w:r>
      <w:r>
        <w:rPr>
          <w:rFonts w:hint="eastAsia" w:ascii="宋体" w:hAnsi="宋体" w:eastAsia="宋体" w:cs="宋体"/>
          <w:bCs/>
          <w:color w:val="auto"/>
          <w:kern w:val="0"/>
          <w:sz w:val="24"/>
          <w:szCs w:val="24"/>
          <w:highlight w:val="none"/>
        </w:rPr>
        <w:t>（项目编号：</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）第</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包中，乙方向甲方提供的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的供货及相关服务，经甲乙双方协商一致，签订本合同，共同遵守执行。</w:t>
      </w:r>
    </w:p>
    <w:p w14:paraId="182D2645">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1、合同文件</w:t>
      </w:r>
    </w:p>
    <w:p w14:paraId="3D3583F6">
      <w:pPr>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下列文件构成本合同的组成部分，应该认为是一个整体，彼此相互解释，相互补充。组成合同的多个文件的优先支配地位的次序如下：</w:t>
      </w:r>
    </w:p>
    <w:p w14:paraId="4F20B38F">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a.本合同书</w:t>
      </w:r>
    </w:p>
    <w:p w14:paraId="0A56862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b.中标通知书</w:t>
      </w:r>
      <w:r>
        <w:rPr>
          <w:rFonts w:hint="eastAsia" w:ascii="宋体" w:hAnsi="宋体" w:eastAsia="宋体" w:cs="宋体"/>
          <w:color w:val="auto"/>
          <w:kern w:val="0"/>
          <w:sz w:val="24"/>
          <w:szCs w:val="24"/>
          <w:highlight w:val="none"/>
        </w:rPr>
        <w:tab/>
      </w:r>
    </w:p>
    <w:p w14:paraId="4107C29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c.协议</w:t>
      </w:r>
    </w:p>
    <w:p w14:paraId="5FFCCE1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d.投标文件</w:t>
      </w:r>
    </w:p>
    <w:p w14:paraId="5CD25702">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e.招标文件(含招标文件补充通知)</w:t>
      </w:r>
    </w:p>
    <w:p w14:paraId="11B04E5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f.会议纪要、协议等</w:t>
      </w:r>
    </w:p>
    <w:p w14:paraId="1FCB7278">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7" w:name="_Toc19189"/>
      <w:r>
        <w:rPr>
          <w:rFonts w:hint="eastAsia" w:ascii="宋体" w:hAnsi="宋体" w:eastAsia="宋体" w:cs="宋体"/>
          <w:b/>
          <w:color w:val="auto"/>
          <w:kern w:val="0"/>
          <w:sz w:val="24"/>
          <w:szCs w:val="24"/>
          <w:highlight w:val="none"/>
        </w:rPr>
        <w:t>2、货物和数量</w:t>
      </w:r>
      <w:bookmarkEnd w:id="467"/>
    </w:p>
    <w:p w14:paraId="0A9A064E">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币种单位：人民币(元)</w:t>
      </w:r>
    </w:p>
    <w:tbl>
      <w:tblPr>
        <w:tblStyle w:val="22"/>
        <w:tblW w:w="4997"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510"/>
        <w:gridCol w:w="1378"/>
        <w:gridCol w:w="855"/>
        <w:gridCol w:w="1428"/>
        <w:gridCol w:w="1240"/>
        <w:gridCol w:w="730"/>
        <w:gridCol w:w="1057"/>
        <w:gridCol w:w="1133"/>
      </w:tblGrid>
      <w:tr w14:paraId="6EFA57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restart"/>
            <w:tcBorders>
              <w:top w:val="outset" w:color="000000" w:sz="6" w:space="0"/>
              <w:bottom w:val="outset" w:color="000000" w:sz="6" w:space="0"/>
              <w:right w:val="outset" w:color="000000" w:sz="6" w:space="0"/>
            </w:tcBorders>
            <w:noWrap w:val="0"/>
            <w:vAlign w:val="center"/>
          </w:tcPr>
          <w:p w14:paraId="49DB5B9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14:paraId="08F21B4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14:paraId="605EDB7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14:paraId="3ECFAF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14:paraId="7A6EF892">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14:paraId="43423C5A">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14:paraId="5DB5F32D">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79" w:type="pct"/>
            <w:tcBorders>
              <w:top w:val="outset" w:color="000000" w:sz="6" w:space="0"/>
              <w:left w:val="outset" w:color="000000" w:sz="6" w:space="0"/>
              <w:bottom w:val="outset" w:color="000000" w:sz="6" w:space="0"/>
            </w:tcBorders>
            <w:noWrap w:val="0"/>
            <w:vAlign w:val="center"/>
          </w:tcPr>
          <w:p w14:paraId="5DE686F4">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r>
      <w:tr w14:paraId="37EAEC4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continue"/>
            <w:tcBorders>
              <w:top w:val="outset" w:color="000000" w:sz="6" w:space="0"/>
              <w:bottom w:val="outset" w:color="000000" w:sz="6" w:space="0"/>
              <w:right w:val="outset" w:color="000000" w:sz="6" w:space="0"/>
            </w:tcBorders>
            <w:noWrap w:val="0"/>
            <w:vAlign w:val="center"/>
          </w:tcPr>
          <w:p w14:paraId="0396EFC6">
            <w:pPr>
              <w:widowControl/>
              <w:spacing w:line="360" w:lineRule="auto"/>
              <w:jc w:val="left"/>
              <w:rPr>
                <w:rFonts w:hint="eastAsia" w:ascii="宋体" w:hAnsi="宋体" w:eastAsia="宋体" w:cs="宋体"/>
                <w:color w:val="auto"/>
                <w:kern w:val="0"/>
                <w:sz w:val="24"/>
                <w:szCs w:val="24"/>
                <w:highlight w:val="none"/>
              </w:rPr>
            </w:pPr>
          </w:p>
        </w:tc>
        <w:tc>
          <w:tcPr>
            <w:tcW w:w="827" w:type="pct"/>
            <w:tcBorders>
              <w:top w:val="outset" w:color="000000" w:sz="6" w:space="0"/>
              <w:left w:val="outset" w:color="000000" w:sz="6" w:space="0"/>
              <w:bottom w:val="outset" w:color="000000" w:sz="6" w:space="0"/>
              <w:right w:val="outset" w:color="000000" w:sz="6" w:space="0"/>
            </w:tcBorders>
            <w:noWrap w:val="0"/>
            <w:vAlign w:val="center"/>
          </w:tcPr>
          <w:p w14:paraId="6716BA6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货物名称</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14:paraId="0CE6D29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14:paraId="4D66D0C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14:paraId="31632CA4">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生产厂家</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14:paraId="625398D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14:paraId="4831FDB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数量/单位</w:t>
            </w:r>
          </w:p>
        </w:tc>
        <w:tc>
          <w:tcPr>
            <w:tcW w:w="679" w:type="pct"/>
            <w:tcBorders>
              <w:top w:val="outset" w:color="000000" w:sz="6" w:space="0"/>
              <w:left w:val="outset" w:color="000000" w:sz="6" w:space="0"/>
              <w:bottom w:val="outset" w:color="000000" w:sz="6" w:space="0"/>
            </w:tcBorders>
            <w:noWrap w:val="0"/>
            <w:vAlign w:val="center"/>
          </w:tcPr>
          <w:p w14:paraId="05FF07D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小计</w:t>
            </w:r>
          </w:p>
        </w:tc>
      </w:tr>
      <w:tr w14:paraId="45AFCCD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tcBorders>
              <w:top w:val="outset" w:color="000000" w:sz="6" w:space="0"/>
              <w:bottom w:val="outset" w:color="000000" w:sz="6" w:space="0"/>
              <w:right w:val="outset" w:color="000000" w:sz="6" w:space="0"/>
            </w:tcBorders>
            <w:noWrap w:val="0"/>
            <w:vAlign w:val="center"/>
          </w:tcPr>
          <w:p w14:paraId="7F9CE9A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14:paraId="7476B11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14:paraId="316F3A9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14:paraId="24A13AA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14:paraId="5ACE70AB">
            <w:pPr>
              <w:widowControl/>
              <w:spacing w:line="360" w:lineRule="auto"/>
              <w:jc w:val="center"/>
              <w:rPr>
                <w:rFonts w:hint="eastAsia" w:ascii="宋体" w:hAnsi="宋体" w:eastAsia="宋体" w:cs="宋体"/>
                <w:color w:val="auto"/>
                <w:kern w:val="0"/>
                <w:sz w:val="24"/>
                <w:szCs w:val="24"/>
                <w:highlight w:val="none"/>
              </w:rPr>
            </w:pPr>
          </w:p>
        </w:tc>
        <w:tc>
          <w:tcPr>
            <w:tcW w:w="438" w:type="pct"/>
            <w:tcBorders>
              <w:top w:val="outset" w:color="000000" w:sz="6" w:space="0"/>
              <w:left w:val="outset" w:color="000000" w:sz="6" w:space="0"/>
              <w:bottom w:val="outset" w:color="000000" w:sz="6" w:space="0"/>
              <w:right w:val="outset" w:color="000000" w:sz="6" w:space="0"/>
            </w:tcBorders>
            <w:noWrap w:val="0"/>
            <w:vAlign w:val="center"/>
          </w:tcPr>
          <w:p w14:paraId="59AD0E7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14:paraId="1228C79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79" w:type="pct"/>
            <w:tcBorders>
              <w:top w:val="outset" w:color="000000" w:sz="6" w:space="0"/>
              <w:left w:val="outset" w:color="000000" w:sz="6" w:space="0"/>
              <w:bottom w:val="outset" w:color="000000" w:sz="6" w:space="0"/>
            </w:tcBorders>
            <w:noWrap w:val="0"/>
            <w:vAlign w:val="center"/>
          </w:tcPr>
          <w:p w14:paraId="1B7316EC">
            <w:pPr>
              <w:widowControl/>
              <w:spacing w:line="360" w:lineRule="auto"/>
              <w:jc w:val="center"/>
              <w:rPr>
                <w:rFonts w:hint="eastAsia" w:ascii="宋体" w:hAnsi="宋体" w:eastAsia="宋体" w:cs="宋体"/>
                <w:color w:val="auto"/>
                <w:kern w:val="0"/>
                <w:sz w:val="24"/>
                <w:szCs w:val="24"/>
                <w:highlight w:val="none"/>
              </w:rPr>
            </w:pPr>
          </w:p>
        </w:tc>
      </w:tr>
      <w:tr w14:paraId="6BB21C8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14:paraId="6F9036B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本合同总金额</w:t>
            </w:r>
          </w:p>
        </w:tc>
        <w:tc>
          <w:tcPr>
            <w:tcW w:w="3186" w:type="pct"/>
            <w:gridSpan w:val="5"/>
            <w:tcBorders>
              <w:top w:val="outset" w:color="000000" w:sz="6" w:space="0"/>
              <w:left w:val="outset" w:color="000000" w:sz="6" w:space="0"/>
              <w:bottom w:val="outset" w:color="000000" w:sz="6" w:space="0"/>
              <w:right w:val="outset" w:color="000000" w:sz="6" w:space="0"/>
            </w:tcBorders>
            <w:noWrap w:val="0"/>
            <w:vAlign w:val="center"/>
          </w:tcPr>
          <w:p w14:paraId="4B7DFCE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679" w:type="pct"/>
            <w:tcBorders>
              <w:top w:val="outset" w:color="000000" w:sz="6" w:space="0"/>
              <w:left w:val="outset" w:color="000000" w:sz="6" w:space="0"/>
              <w:bottom w:val="outset" w:color="000000" w:sz="6" w:space="0"/>
            </w:tcBorders>
            <w:noWrap w:val="0"/>
            <w:vAlign w:val="center"/>
          </w:tcPr>
          <w:p w14:paraId="102E467A">
            <w:pPr>
              <w:widowControl/>
              <w:spacing w:line="360" w:lineRule="auto"/>
              <w:jc w:val="center"/>
              <w:rPr>
                <w:rFonts w:hint="eastAsia" w:ascii="宋体" w:hAnsi="宋体" w:eastAsia="宋体" w:cs="宋体"/>
                <w:color w:val="auto"/>
                <w:kern w:val="0"/>
                <w:sz w:val="24"/>
                <w:szCs w:val="24"/>
                <w:highlight w:val="none"/>
              </w:rPr>
            </w:pPr>
          </w:p>
        </w:tc>
      </w:tr>
      <w:tr w14:paraId="3B78FF6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14:paraId="236DD4F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3866" w:type="pct"/>
            <w:gridSpan w:val="6"/>
            <w:tcBorders>
              <w:top w:val="outset" w:color="000000" w:sz="6" w:space="0"/>
              <w:left w:val="outset" w:color="000000" w:sz="6" w:space="0"/>
              <w:bottom w:val="outset" w:color="000000" w:sz="6" w:space="0"/>
            </w:tcBorders>
            <w:noWrap w:val="0"/>
            <w:vAlign w:val="center"/>
          </w:tcPr>
          <w:p w14:paraId="257519D9">
            <w:pPr>
              <w:widowControl/>
              <w:spacing w:line="360" w:lineRule="auto"/>
              <w:jc w:val="center"/>
              <w:rPr>
                <w:rFonts w:hint="eastAsia" w:ascii="宋体" w:hAnsi="宋体" w:eastAsia="宋体" w:cs="宋体"/>
                <w:color w:val="auto"/>
                <w:kern w:val="0"/>
                <w:sz w:val="24"/>
                <w:szCs w:val="24"/>
                <w:highlight w:val="none"/>
              </w:rPr>
            </w:pPr>
          </w:p>
        </w:tc>
      </w:tr>
    </w:tbl>
    <w:p w14:paraId="6B0A8376">
      <w:pP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kern w:val="0"/>
          <w:sz w:val="24"/>
          <w:szCs w:val="24"/>
          <w:highlight w:val="none"/>
        </w:rPr>
        <w:t>合同总价：</w:t>
      </w: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p>
    <w:p w14:paraId="711DC9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合同总金额为乙方完成本合同项下全部义务（包括但不限于货物及配置产品的设计、采购、制造、检测、试验、包装、运输、保险、装卸、货款、安装调试、培训、保修维护、技术支持、质保期服务、税费和服务内容的检验、验收、技术服务（包括技术资料、图纸的提供）、质保期保障等）的费用和报酬，除本合同另有约定外，甲方无须支付其他任何费用和款项</w:t>
      </w:r>
      <w:r>
        <w:rPr>
          <w:rFonts w:hint="eastAsia" w:ascii="宋体" w:hAnsi="宋体" w:eastAsia="宋体" w:cs="宋体"/>
          <w:color w:val="auto"/>
          <w:sz w:val="24"/>
          <w:szCs w:val="24"/>
          <w:highlight w:val="none"/>
        </w:rPr>
        <w:t>。</w:t>
      </w:r>
    </w:p>
    <w:p w14:paraId="66BBED94">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8" w:name="_Toc478555529"/>
      <w:bookmarkStart w:id="469" w:name="_Toc10153"/>
      <w:r>
        <w:rPr>
          <w:rFonts w:hint="eastAsia" w:ascii="宋体" w:hAnsi="宋体" w:eastAsia="宋体" w:cs="宋体"/>
          <w:b/>
          <w:color w:val="auto"/>
          <w:kern w:val="0"/>
          <w:sz w:val="24"/>
          <w:szCs w:val="24"/>
          <w:highlight w:val="none"/>
        </w:rPr>
        <w:t>3</w:t>
      </w:r>
      <w:bookmarkEnd w:id="468"/>
      <w:r>
        <w:rPr>
          <w:rFonts w:hint="eastAsia" w:ascii="宋体" w:hAnsi="宋体" w:eastAsia="宋体" w:cs="宋体"/>
          <w:b/>
          <w:color w:val="auto"/>
          <w:kern w:val="0"/>
          <w:sz w:val="24"/>
          <w:szCs w:val="24"/>
          <w:highlight w:val="none"/>
        </w:rPr>
        <w:t>、货物包装、运输</w:t>
      </w:r>
      <w:bookmarkEnd w:id="469"/>
    </w:p>
    <w:p w14:paraId="6AD7AB03">
      <w:pPr>
        <w:snapToGrid w:val="0"/>
        <w:spacing w:line="360" w:lineRule="auto"/>
        <w:ind w:firstLine="480" w:firstLineChars="200"/>
        <w:textAlignment w:val="baseline"/>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3.1</w:t>
      </w:r>
      <w:r>
        <w:rPr>
          <w:rFonts w:hint="eastAsia" w:ascii="宋体" w:hAnsi="宋体" w:eastAsia="宋体" w:cs="宋体"/>
          <w:color w:val="auto"/>
          <w:sz w:val="24"/>
          <w:szCs w:val="24"/>
          <w:highlight w:val="none"/>
        </w:rPr>
        <w:t>合同货物的包装：货物的包装均应有良好的防湿、防锈、防潮、防雨、防腐及防碰撞的措施，同时每类器材应分类包装，禁止混包。凡由于包装不良造成的损失和由此产生的费用均由乙方承担</w:t>
      </w:r>
      <w:r>
        <w:rPr>
          <w:rFonts w:hint="eastAsia" w:ascii="宋体" w:hAnsi="宋体" w:eastAsia="宋体" w:cs="宋体"/>
          <w:color w:val="auto"/>
          <w:kern w:val="0"/>
          <w:sz w:val="24"/>
          <w:szCs w:val="24"/>
          <w:highlight w:val="none"/>
        </w:rPr>
        <w:t>，乙方负责办理运输和保险，将货物运抵现场。有关运输和保险的一切费用由乙方承担。</w:t>
      </w:r>
    </w:p>
    <w:p w14:paraId="6860A51B">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3.1.2本合同项下交货时间：自样品验收合格之日起至货物运抵现场并验收合格之日止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日历天内为交货时间。合格样品须于合同签订之日起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日内提供。</w:t>
      </w:r>
    </w:p>
    <w:p w14:paraId="238DEE0C">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3.1.3本合同项下交货地点：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803B6CD">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sz w:val="24"/>
          <w:szCs w:val="24"/>
          <w:highlight w:val="none"/>
        </w:rPr>
        <w:t>联系人：         联系电话：</w:t>
      </w:r>
    </w:p>
    <w:p w14:paraId="4D461C24">
      <w:pPr>
        <w:wordWrap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3.2乙方应在送达甲方指定地点前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日以书面形式通知甲方送货时间、合同号、货物名称、数量，确保甲方做好相关接收准备工作。</w:t>
      </w:r>
    </w:p>
    <w:p w14:paraId="3D596757">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乙方联系人：         联系电话： </w:t>
      </w:r>
    </w:p>
    <w:p w14:paraId="26E5DF6E">
      <w:pPr>
        <w:tabs>
          <w:tab w:val="left" w:pos="719"/>
        </w:tabs>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bookmarkStart w:id="470" w:name="_Toc478555530"/>
      <w:r>
        <w:rPr>
          <w:rFonts w:hint="eastAsia" w:ascii="宋体" w:hAnsi="宋体" w:eastAsia="宋体" w:cs="宋体"/>
          <w:color w:val="auto"/>
          <w:kern w:val="0"/>
          <w:sz w:val="24"/>
          <w:szCs w:val="24"/>
          <w:highlight w:val="none"/>
        </w:rPr>
        <w:t>.3货物的装卸：货物到达甲方指定地点后，由乙方负责货物装卸及发生的一切费用。</w:t>
      </w:r>
    </w:p>
    <w:bookmarkEnd w:id="470"/>
    <w:p w14:paraId="2BE6AE2B">
      <w:pPr>
        <w:snapToGrid w:val="0"/>
        <w:spacing w:line="360" w:lineRule="auto"/>
        <w:ind w:firstLine="241" w:firstLineChars="100"/>
        <w:rPr>
          <w:rFonts w:hint="eastAsia" w:ascii="宋体" w:hAnsi="宋体" w:eastAsia="宋体" w:cs="宋体"/>
          <w:b/>
          <w:bCs/>
          <w:color w:val="auto"/>
          <w:sz w:val="24"/>
          <w:szCs w:val="24"/>
          <w:highlight w:val="none"/>
        </w:rPr>
      </w:pPr>
      <w:bookmarkStart w:id="471" w:name="_Toc22486"/>
      <w:r>
        <w:rPr>
          <w:rFonts w:hint="eastAsia" w:ascii="宋体" w:hAnsi="宋体" w:eastAsia="宋体" w:cs="宋体"/>
          <w:b/>
          <w:bCs/>
          <w:color w:val="auto"/>
          <w:sz w:val="24"/>
          <w:szCs w:val="24"/>
          <w:highlight w:val="none"/>
        </w:rPr>
        <w:t>4、付款方式</w:t>
      </w:r>
      <w:bookmarkEnd w:id="471"/>
    </w:p>
    <w:p w14:paraId="69217D4A">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4.1合同签订之日起 14 个工作日内，乙方向甲方提供合同总金额5%的履约保证金（履约保证金期限届满后60日内甲方向乙方退还）。货物验收合格后，乙方向甲方提交各种装备器材资料（产品出厂合格证、中文产品使用说明书、电子文档产品使用说明书、检验报告和货物有关配件等）及装备器材质量验收报告及意见反馈单。经审核后，乙方向甲方提供审定金额全额发票后60日历天内，甲方向乙方支付全部货款。质保期内乙方应到产品使用单位，开展技术巡检和售后服务。</w:t>
      </w:r>
    </w:p>
    <w:p w14:paraId="5897FA6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4.2履约保证金的提交形式：转账及法律法规规定的其他形式。</w:t>
      </w:r>
    </w:p>
    <w:p w14:paraId="1D49684D">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如乙方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14:paraId="7B24A02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履约保证金（履约保函等）期限：提交之日起至全部货物到货验收合格之日起的第366天止。</w:t>
      </w:r>
    </w:p>
    <w:p w14:paraId="50542DBA">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无论履约保金、独立保函是否退还，采购人或采购人用户随时都有权对由中标人生产的尚未使用且在质量保证期内的装备发生的质量问题向乙方主张索赔。</w:t>
      </w:r>
    </w:p>
    <w:p w14:paraId="207585CE">
      <w:pPr>
        <w:snapToGrid w:val="0"/>
        <w:spacing w:line="360" w:lineRule="auto"/>
        <w:ind w:firstLine="241" w:firstLineChars="100"/>
        <w:rPr>
          <w:rFonts w:hint="eastAsia" w:ascii="宋体" w:hAnsi="宋体" w:eastAsia="宋体" w:cs="宋体"/>
          <w:b/>
          <w:bCs/>
          <w:color w:val="auto"/>
          <w:sz w:val="24"/>
          <w:szCs w:val="24"/>
          <w:highlight w:val="none"/>
        </w:rPr>
      </w:pPr>
      <w:bookmarkStart w:id="472" w:name="_Toc14628"/>
      <w:r>
        <w:rPr>
          <w:rFonts w:hint="eastAsia" w:ascii="宋体" w:hAnsi="宋体" w:eastAsia="宋体" w:cs="宋体"/>
          <w:b/>
          <w:bCs/>
          <w:color w:val="auto"/>
          <w:sz w:val="24"/>
          <w:szCs w:val="24"/>
          <w:highlight w:val="none"/>
        </w:rPr>
        <w:t>5、质量保证</w:t>
      </w:r>
      <w:bookmarkEnd w:id="472"/>
    </w:p>
    <w:p w14:paraId="370DCDF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5.1乙方提供的全部产品须符合国家消防产品技术规范和相关产品标准，且都属于厂家原装正品产品，并为合法渠道进货的全新产品，其质量、规格及技术特征符合招标和投标文件要求。</w:t>
      </w:r>
    </w:p>
    <w:p w14:paraId="55B44A5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因货物质量问题发生争议的，由国家消防装备质量检验中心质量鉴定，该鉴定结论是终局的，甲乙双方均应当接受，发生的相关费用由货物质量责任方承担。国家消防装备质量监督检验中心无法鉴定的，经甲乙双方同意，可委托有相关资质的第三方机构进行质量鉴定。鉴定费用由乙方承担。</w:t>
      </w:r>
    </w:p>
    <w:p w14:paraId="2508839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在批量生产前，需提供样品，由验收小组根据招标文件要求和投标文件承诺进行初验，样品验收合格后乙方方可批量生产。中标人提供样品进行验收的次数不得超过2次；若第1次样品验收不通过，中标人须在第1次样品验收之日起10日内提交第2次样品验收；若2次样品验收均不通过的，可视为中标人违约，采购人有权终止合同。</w:t>
      </w:r>
    </w:p>
    <w:p w14:paraId="1F5396F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5.4样品需要抽样送检的相关费用由乙方承担。</w:t>
      </w:r>
    </w:p>
    <w:p w14:paraId="6BF4D98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5.5质保期内乙方应到产品使用单位开展技术巡检和售后服务。</w:t>
      </w:r>
    </w:p>
    <w:p w14:paraId="2122B671">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5.6乙方所投产品需附具有合法资质的检测机构出具的检测报告或产品合格证书。</w:t>
      </w:r>
    </w:p>
    <w:p w14:paraId="19C38863">
      <w:pPr>
        <w:snapToGrid w:val="0"/>
        <w:spacing w:line="360" w:lineRule="auto"/>
        <w:ind w:firstLine="241" w:firstLineChars="100"/>
        <w:rPr>
          <w:rFonts w:hint="eastAsia" w:ascii="宋体" w:hAnsi="宋体" w:eastAsia="宋体" w:cs="宋体"/>
          <w:b/>
          <w:bCs/>
          <w:color w:val="auto"/>
          <w:sz w:val="24"/>
          <w:szCs w:val="24"/>
          <w:highlight w:val="none"/>
        </w:rPr>
      </w:pPr>
      <w:bookmarkStart w:id="473" w:name="_Toc478555533"/>
      <w:bookmarkStart w:id="474" w:name="_Toc12718"/>
      <w:r>
        <w:rPr>
          <w:rFonts w:hint="eastAsia" w:ascii="宋体" w:hAnsi="宋体" w:eastAsia="宋体" w:cs="宋体"/>
          <w:b/>
          <w:bCs/>
          <w:color w:val="auto"/>
          <w:sz w:val="24"/>
          <w:szCs w:val="24"/>
          <w:highlight w:val="none"/>
        </w:rPr>
        <w:t>6</w:t>
      </w:r>
      <w:bookmarkEnd w:id="473"/>
      <w:r>
        <w:rPr>
          <w:rFonts w:hint="eastAsia" w:ascii="宋体" w:hAnsi="宋体" w:eastAsia="宋体" w:cs="宋体"/>
          <w:b/>
          <w:bCs/>
          <w:color w:val="auto"/>
          <w:sz w:val="24"/>
          <w:szCs w:val="24"/>
          <w:highlight w:val="none"/>
        </w:rPr>
        <w:t>、售后服务</w:t>
      </w:r>
      <w:bookmarkEnd w:id="474"/>
    </w:p>
    <w:p w14:paraId="6B4C49BF">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6.1合同项下货物的质量保证期为：     年的质保服务，自甲乙双方代表在货物交付后的验收合格报告书上签字之日起计算（如果乙方投标承诺或生产制造厂家提供的质保期超过本款要求，按乙方投标承诺或生产制造厂家的质保期执行）。</w:t>
      </w:r>
    </w:p>
    <w:p w14:paraId="3410519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质保期内非甲方的人为原因而出现货物质量及安装问题，由乙方负责包修、包换或包退，并承担因此而产生的一切费用。质保期后，由乙方提供免工时费服务，只收取材料费。</w:t>
      </w:r>
    </w:p>
    <w:p w14:paraId="54871AE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6.2质保期内，乙方负责对其提供货物进行维修，不再向甲方收取费用，但自然因素（如火灾、雷击等）造成的故障除外。</w:t>
      </w:r>
    </w:p>
    <w:p w14:paraId="2E43FAF2">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6.3乙方开通     小时服务热线，提供     小时技术服务。产品出现问题，故障响应时间为     ，到达现场时间不超过     小时，     小时无法排除故障，乙方应     小时内提供同款设备供用户使用，直至送修设备修好后换回为止。</w:t>
      </w:r>
    </w:p>
    <w:p w14:paraId="7E7F7F76">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6.4乙方应按照招标文件、投标文件及本合同的要求，对出售给甲方的货物进行有效跟踪服务，定期巡检，每年不少于     次。</w:t>
      </w:r>
    </w:p>
    <w:p w14:paraId="07D392E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6.5质保期满后，乙方未提供货物使用所有单位巡检记录的，乙方应向甲方支付合同金额的5%作为违约金。</w:t>
      </w:r>
    </w:p>
    <w:p w14:paraId="6C86052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6.6在发出信息、通知     日内没有收到回复，视为对方收到信息、通知。</w:t>
      </w:r>
    </w:p>
    <w:p w14:paraId="68553268">
      <w:pPr>
        <w:snapToGrid w:val="0"/>
        <w:spacing w:line="360" w:lineRule="auto"/>
        <w:ind w:firstLine="241" w:firstLineChars="100"/>
        <w:rPr>
          <w:rFonts w:hint="eastAsia" w:ascii="宋体" w:hAnsi="宋体" w:eastAsia="宋体" w:cs="宋体"/>
          <w:b/>
          <w:bCs/>
          <w:color w:val="auto"/>
          <w:sz w:val="24"/>
          <w:szCs w:val="24"/>
          <w:highlight w:val="none"/>
        </w:rPr>
      </w:pPr>
      <w:bookmarkStart w:id="475" w:name="_Toc23776"/>
      <w:r>
        <w:rPr>
          <w:rFonts w:hint="eastAsia" w:ascii="宋体" w:hAnsi="宋体" w:eastAsia="宋体" w:cs="宋体"/>
          <w:b/>
          <w:bCs/>
          <w:color w:val="auto"/>
          <w:sz w:val="24"/>
          <w:szCs w:val="24"/>
          <w:highlight w:val="none"/>
        </w:rPr>
        <w:t>7、检验和验收</w:t>
      </w:r>
      <w:bookmarkEnd w:id="475"/>
    </w:p>
    <w:p w14:paraId="0124E1C9">
      <w:pPr>
        <w:snapToGrid w:val="0"/>
        <w:spacing w:line="360" w:lineRule="auto"/>
        <w:ind w:firstLine="240" w:firstLineChars="100"/>
        <w:rPr>
          <w:rFonts w:hint="eastAsia" w:ascii="宋体" w:hAnsi="宋体" w:eastAsia="宋体" w:cs="宋体"/>
          <w:color w:val="auto"/>
          <w:sz w:val="24"/>
          <w:szCs w:val="24"/>
          <w:highlight w:val="none"/>
        </w:rPr>
      </w:pPr>
      <w:bookmarkStart w:id="476" w:name="_Toc478555534"/>
      <w:r>
        <w:rPr>
          <w:rFonts w:hint="eastAsia" w:ascii="宋体" w:hAnsi="宋体" w:eastAsia="宋体" w:cs="宋体"/>
          <w:color w:val="auto"/>
          <w:sz w:val="24"/>
          <w:szCs w:val="24"/>
          <w:highlight w:val="none"/>
        </w:rPr>
        <w:t>7.1在交货前，中标人应对货物的质量、规格、性能、数量和重量等进行详细而全面的检验，并出具证明货物符合合同规定的文件。该文件将作为申请付款单据的一部分。</w:t>
      </w:r>
    </w:p>
    <w:p w14:paraId="54084E5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验收前应提供所有中文使用说明书等资料文档后进行验收，每件货品须有产品出厂合格证、产品使用说明书、电子文档产品使用说明书、具有合法资质的检测机构出具有效期内的检测报告（招标文件采购需求中约定不需要提供的除外）和货物有关配件等。验收时如发现所交付的货物有短装、次品、损坏、不符合招标文件的技术要求或其它不符合本合同规定之情形者，甲方应做出详尽的现场记录，或由甲乙双方签署备忘录，甲方有权终止合同，甲方有权要求乙方赔偿由此产生的所有费用。此现场记录或备忘录是本合同的有效组成部分，可用作补充、缺失和更换损坏部件的有效证据，由此产生的有关费用由乙方承担，验收期限相应后延。如果合同货物运输和安装调试过程中因事故造成货物短缺、损坏，乙方应及时安排调换，以保证合同货物安装调试的及时完成，换货的相关费用由乙方承担。</w:t>
      </w:r>
    </w:p>
    <w:p w14:paraId="69C91A06">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7.3甲乙双方应当在货物验收完成后，10个工作日内共同签署验收报告，且此验收报告应当作为乙方申请付款的凭证之一。 </w:t>
      </w:r>
    </w:p>
    <w:p w14:paraId="7A8A5794">
      <w:pPr>
        <w:snapToGrid w:val="0"/>
        <w:spacing w:line="360" w:lineRule="auto"/>
        <w:ind w:firstLine="241" w:firstLineChars="100"/>
        <w:rPr>
          <w:rFonts w:hint="eastAsia" w:ascii="宋体" w:hAnsi="宋体" w:eastAsia="宋体" w:cs="宋体"/>
          <w:b/>
          <w:bCs/>
          <w:color w:val="auto"/>
          <w:sz w:val="24"/>
          <w:szCs w:val="24"/>
          <w:highlight w:val="none"/>
        </w:rPr>
      </w:pPr>
      <w:bookmarkStart w:id="477" w:name="_Toc7749"/>
      <w:r>
        <w:rPr>
          <w:rFonts w:hint="eastAsia" w:ascii="宋体" w:hAnsi="宋体" w:eastAsia="宋体" w:cs="宋体"/>
          <w:b/>
          <w:bCs/>
          <w:color w:val="auto"/>
          <w:sz w:val="24"/>
          <w:szCs w:val="24"/>
          <w:highlight w:val="none"/>
        </w:rPr>
        <w:t>8、索赔</w:t>
      </w:r>
      <w:bookmarkEnd w:id="476"/>
      <w:bookmarkEnd w:id="477"/>
    </w:p>
    <w:p w14:paraId="581DCDA4">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8.1消防装备器材经两次验收仍不合格的，甲方有权根据验收结果立即解除与乙方签订的合同，并向乙方提出索赔。</w:t>
      </w:r>
    </w:p>
    <w:p w14:paraId="5C9CEEE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8.2在合同执行期间，如果乙方对甲方提出的索赔有异议，乙方需经甲方同意按照下列一种或多种方式解决索赔事宜：</w:t>
      </w:r>
    </w:p>
    <w:p w14:paraId="3EC46E64">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（1）乙方同意退货，并按合同规定的同种货币将货款退还给甲方，并承担由此发生的一切损失和费用。</w:t>
      </w:r>
    </w:p>
    <w:p w14:paraId="7B5C4AC2">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（2）用符合规格、质量和性能要求的新零件、部件或货物来更换有缺陷的部分或修补缺陷的部分，乙方应承担一切费用和风险并负有甲方所发生的一切直接费用。同时，相应延长质量保证期。</w:t>
      </w:r>
    </w:p>
    <w:p w14:paraId="10C34E2B">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8.3如果在甲方发出索赔通知后3日内，乙方未作答复，上述索赔应视为已被乙方接受。如乙方未能在甲方提出索赔通知后 7 日内或甲方同意的更长时间内进行赔偿，甲方将有权从合同款或从乙方的履约保证金中优先扣除索赔金额。若不足以赔偿索赔金额的，不足部分由乙方另行赔偿。</w:t>
      </w:r>
    </w:p>
    <w:p w14:paraId="7D638655">
      <w:pPr>
        <w:snapToGrid w:val="0"/>
        <w:spacing w:line="360" w:lineRule="auto"/>
        <w:ind w:firstLine="241" w:firstLineChars="100"/>
        <w:rPr>
          <w:rFonts w:hint="eastAsia" w:ascii="宋体" w:hAnsi="宋体" w:eastAsia="宋体" w:cs="宋体"/>
          <w:b/>
          <w:bCs/>
          <w:color w:val="auto"/>
          <w:sz w:val="24"/>
          <w:szCs w:val="24"/>
          <w:highlight w:val="none"/>
        </w:rPr>
      </w:pPr>
      <w:bookmarkStart w:id="478" w:name="_Toc19670"/>
      <w:bookmarkStart w:id="479" w:name="_Toc478555535"/>
      <w:r>
        <w:rPr>
          <w:rFonts w:hint="eastAsia" w:ascii="宋体" w:hAnsi="宋体" w:eastAsia="宋体" w:cs="宋体"/>
          <w:b/>
          <w:bCs/>
          <w:color w:val="auto"/>
          <w:sz w:val="24"/>
          <w:szCs w:val="24"/>
          <w:highlight w:val="none"/>
        </w:rPr>
        <w:t>9、违约与处罚</w:t>
      </w:r>
      <w:bookmarkEnd w:id="478"/>
    </w:p>
    <w:bookmarkEnd w:id="479"/>
    <w:p w14:paraId="113AC83B">
      <w:pPr>
        <w:snapToGrid w:val="0"/>
        <w:spacing w:line="360" w:lineRule="auto"/>
        <w:ind w:firstLine="240" w:firstLineChars="100"/>
        <w:rPr>
          <w:rFonts w:hint="eastAsia" w:ascii="宋体" w:hAnsi="宋体" w:eastAsia="宋体" w:cs="宋体"/>
          <w:color w:val="auto"/>
          <w:sz w:val="24"/>
          <w:szCs w:val="24"/>
          <w:highlight w:val="none"/>
        </w:rPr>
      </w:pPr>
      <w:bookmarkStart w:id="480" w:name="_Toc478555537"/>
      <w:bookmarkStart w:id="481" w:name="_Toc30166"/>
      <w:r>
        <w:rPr>
          <w:rFonts w:hint="eastAsia" w:ascii="宋体" w:hAnsi="宋体" w:eastAsia="宋体" w:cs="宋体"/>
          <w:color w:val="auto"/>
          <w:sz w:val="24"/>
          <w:szCs w:val="24"/>
          <w:highlight w:val="none"/>
        </w:rPr>
        <w:t>9.1甲方应依合同规定时间内，向乙方支付货款，每拖延一天乙方可向甲方加收合同金额的1‰的违约金，但不超过合同金额的2%。</w:t>
      </w:r>
    </w:p>
    <w:p w14:paraId="72E1AAE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乙双方协商后，选择继续履行本合同的，甲方将从本合同货款总额内一次性扣除10%作为乙方的违约金。 </w:t>
      </w:r>
    </w:p>
    <w:p w14:paraId="0A9C8C1B">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乙方交付货物不符合合同规定的或性能参数达不到招标文件要求、投标文件承诺的，甲方有权拒收或单方面解除本合同，并要求乙方赔付合同价款的10%作为违约金，同时甲方向采购监管部门申请将乙方列入“黑名单”，禁止乙方在三年内参与甲方及甲方下属机构的任何招投标采购活动。</w:t>
      </w:r>
    </w:p>
    <w:p w14:paraId="4C9150A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9.4因验收不合格需要更换同规格的货物时，货物更换完成时间晚于交货时间的视为逾期交货。</w:t>
      </w:r>
    </w:p>
    <w:p w14:paraId="38882662">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9.5甲方无正当理由拒收乙方按照合同约定提供合格货物的，甲方应向乙方支付合同金额的10%作为违约金。</w:t>
      </w:r>
    </w:p>
    <w:p w14:paraId="21BD6D5F">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9.6乙方未能按照故障响应时间履行售后维修、培训等服务的，甲方根据使用单位书面反馈情况，经核实属实的，每次乙方应支付合同金额的1%作为违约金，但不超过合同金额的5%。</w:t>
      </w:r>
    </w:p>
    <w:p w14:paraId="35B1F7B1">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9.7质保期满后，乙方未提供货物使用所有单位每半年巡检记录的，乙方应向甲方支付合同金额的5%作为违约金。</w:t>
      </w:r>
    </w:p>
    <w:p w14:paraId="7F10053D">
      <w:pPr>
        <w:snapToGrid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10、不可抗力</w:t>
      </w:r>
      <w:bookmarkEnd w:id="480"/>
      <w:bookmarkEnd w:id="481"/>
    </w:p>
    <w:p w14:paraId="1E40230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10.1如果双方中任何一方遭遇法律规定的不可抗力，致使合同履行受阻时，履行合同的期限应予延长，延长的期限应相当于不可抗力所影响的时间。</w:t>
      </w:r>
    </w:p>
    <w:p w14:paraId="77E4C4C8">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10.2受事故影响的一方应在不可抗力的事故发生后尽快书面形式通知另一方，并在事故发生后     日内，将有关部门出具的证明文件送达另一方。</w:t>
      </w:r>
    </w:p>
    <w:p w14:paraId="1201415D">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10.3不可抗力使合同的某些内容有变更必要的，双方应通过协商在3日内达成进一步履行合同的协议，因不可抗力致使合同不能履行的，合同终止。</w:t>
      </w:r>
    </w:p>
    <w:p w14:paraId="3E3ADF0F">
      <w:pPr>
        <w:snapToGrid w:val="0"/>
        <w:spacing w:line="360" w:lineRule="auto"/>
        <w:ind w:firstLine="241" w:firstLineChars="100"/>
        <w:rPr>
          <w:rFonts w:hint="eastAsia" w:ascii="宋体" w:hAnsi="宋体" w:eastAsia="宋体" w:cs="宋体"/>
          <w:b/>
          <w:bCs/>
          <w:color w:val="auto"/>
          <w:sz w:val="24"/>
          <w:szCs w:val="24"/>
          <w:highlight w:val="none"/>
        </w:rPr>
      </w:pPr>
      <w:bookmarkStart w:id="482" w:name="_Toc30186"/>
      <w:bookmarkStart w:id="483" w:name="_Toc478555539"/>
      <w:r>
        <w:rPr>
          <w:rFonts w:hint="eastAsia" w:ascii="宋体" w:hAnsi="宋体" w:eastAsia="宋体" w:cs="宋体"/>
          <w:b/>
          <w:bCs/>
          <w:color w:val="auto"/>
          <w:sz w:val="24"/>
          <w:szCs w:val="24"/>
          <w:highlight w:val="none"/>
        </w:rPr>
        <w:t>11、合同争议的解决</w:t>
      </w:r>
      <w:bookmarkEnd w:id="482"/>
      <w:bookmarkEnd w:id="483"/>
    </w:p>
    <w:p w14:paraId="32A094FE">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11.1因合同履行中发生的争议，可通过合同当事人双方友好协商解决。如自协商开始之起15日内得不到解决，可向甲方所在地人民法院提起诉讼。</w:t>
      </w:r>
    </w:p>
    <w:p w14:paraId="3BB9980C">
      <w:pPr>
        <w:snapToGrid w:val="0"/>
        <w:spacing w:line="360" w:lineRule="auto"/>
        <w:ind w:firstLine="241" w:firstLineChars="100"/>
        <w:rPr>
          <w:rFonts w:hint="eastAsia" w:ascii="宋体" w:hAnsi="宋体" w:eastAsia="宋体" w:cs="宋体"/>
          <w:b/>
          <w:bCs/>
          <w:color w:val="auto"/>
          <w:sz w:val="24"/>
          <w:szCs w:val="24"/>
          <w:highlight w:val="none"/>
        </w:rPr>
      </w:pPr>
      <w:bookmarkStart w:id="484" w:name="_Toc30951"/>
      <w:bookmarkStart w:id="485" w:name="_Toc478555540"/>
      <w:r>
        <w:rPr>
          <w:rFonts w:hint="eastAsia" w:ascii="宋体" w:hAnsi="宋体" w:eastAsia="宋体" w:cs="宋体"/>
          <w:b/>
          <w:bCs/>
          <w:color w:val="auto"/>
          <w:sz w:val="24"/>
          <w:szCs w:val="24"/>
          <w:highlight w:val="none"/>
        </w:rPr>
        <w:t>12、违约解除合同</w:t>
      </w:r>
      <w:bookmarkEnd w:id="484"/>
      <w:bookmarkEnd w:id="485"/>
    </w:p>
    <w:p w14:paraId="6200DEEB">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12.1在乙方违约的情况下，可向乙方发出书面通知，部分或全部终止合同。同时保留向乙方追诉的权利。</w:t>
      </w:r>
    </w:p>
    <w:p w14:paraId="61A35854">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12.1.1乙方未能在合同规定的限期或甲方同意延长的限期内，提供全部或部分货物的； </w:t>
      </w:r>
    </w:p>
    <w:p w14:paraId="0C52224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12.1.2乙方未能履行合同规定的其它主要义务的；</w:t>
      </w:r>
    </w:p>
    <w:p w14:paraId="4E8ED398">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12.1.3甲方认为乙方在本合同履行过程中有腐败和欺诈行为的。</w:t>
      </w:r>
    </w:p>
    <w:p w14:paraId="04AFB583">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12.1.3.1“腐败行为”和“欺诈行为”定义如下：</w:t>
      </w:r>
    </w:p>
    <w:p w14:paraId="23CE6557">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12.1.3.1.1“腐败行为”是指提供/给予/接受或索取任何有价值的东西来影响甲方在合同签定、履行过程中的行为。</w:t>
      </w:r>
    </w:p>
    <w:p w14:paraId="14E5BF6D">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12.1.3.1.2“欺诈行为”是指为了影响合同签定、履行过程，以谎报事实的方法，损害甲方的利益的行为。</w:t>
      </w:r>
    </w:p>
    <w:p w14:paraId="2915B3B8">
      <w:pPr>
        <w:snapToGrid w:val="0"/>
        <w:spacing w:line="360" w:lineRule="auto"/>
        <w:ind w:firstLine="241" w:firstLineChars="100"/>
        <w:rPr>
          <w:rFonts w:hint="eastAsia" w:ascii="宋体" w:hAnsi="宋体" w:eastAsia="宋体" w:cs="宋体"/>
          <w:b/>
          <w:bCs/>
          <w:color w:val="auto"/>
          <w:sz w:val="24"/>
          <w:szCs w:val="24"/>
          <w:highlight w:val="none"/>
        </w:rPr>
      </w:pPr>
      <w:bookmarkStart w:id="486" w:name="_Toc478555548"/>
      <w:bookmarkStart w:id="487" w:name="_Toc18676"/>
      <w:r>
        <w:rPr>
          <w:rFonts w:hint="eastAsia" w:ascii="宋体" w:hAnsi="宋体" w:eastAsia="宋体" w:cs="宋体"/>
          <w:b/>
          <w:bCs/>
          <w:color w:val="auto"/>
          <w:sz w:val="24"/>
          <w:szCs w:val="24"/>
          <w:highlight w:val="none"/>
        </w:rPr>
        <w:t>13、合同生效</w:t>
      </w:r>
      <w:bookmarkEnd w:id="486"/>
      <w:r>
        <w:rPr>
          <w:rFonts w:hint="eastAsia" w:ascii="宋体" w:hAnsi="宋体" w:eastAsia="宋体" w:cs="宋体"/>
          <w:b/>
          <w:bCs/>
          <w:color w:val="auto"/>
          <w:sz w:val="24"/>
          <w:szCs w:val="24"/>
          <w:highlight w:val="none"/>
        </w:rPr>
        <w:t>及其他</w:t>
      </w:r>
      <w:bookmarkEnd w:id="487"/>
    </w:p>
    <w:p w14:paraId="4200A2C0">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13.1政府采购项目的采购合同内容的确定应以招标文件和投标文件为基础，不得违背其实质性内容。本合同经双方全权代表签署、加盖单位印章并由乙方递交履约保证金后开始生效。</w:t>
      </w:r>
    </w:p>
    <w:p w14:paraId="1576F8A4">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13.2签约双方在履约中发生争执和分歧，双方应通过友好协商解决。若经协商不能达成协议时，可依法提起诉讼。受理期间，双方应继续执行合同中没有争议的有关约定。</w:t>
      </w:r>
    </w:p>
    <w:p w14:paraId="187AD5B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13.3甲乙双方共同确认，本合同中所列明的联系地址及电话，视为双方在履行本合同中及发生争议时，各类文书（包括法律文书）的送达地址。</w:t>
      </w:r>
    </w:p>
    <w:p w14:paraId="49F8FE0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13.4本合同一式  肆 份，具同等法律效力。甲方叁份，乙方壹份。</w:t>
      </w:r>
    </w:p>
    <w:p w14:paraId="568D1A32">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附件一：投标一览表</w:t>
      </w:r>
    </w:p>
    <w:p w14:paraId="67D37679">
      <w:pPr>
        <w:snapToGrid w:val="0"/>
        <w:spacing w:line="360" w:lineRule="auto"/>
        <w:ind w:firstLine="240" w:firstLineChars="100"/>
        <w:rPr>
          <w:rFonts w:hint="eastAsia" w:ascii="宋体" w:hAnsi="宋体" w:eastAsia="宋体" w:cs="宋体"/>
          <w:color w:val="auto"/>
          <w:sz w:val="24"/>
          <w:szCs w:val="24"/>
          <w:highlight w:val="none"/>
        </w:rPr>
      </w:pPr>
      <w:bookmarkStart w:id="488" w:name="_Toc478555549"/>
      <w:r>
        <w:rPr>
          <w:rFonts w:hint="eastAsia" w:ascii="宋体" w:hAnsi="宋体" w:eastAsia="宋体" w:cs="宋体"/>
          <w:color w:val="auto"/>
          <w:sz w:val="24"/>
          <w:szCs w:val="24"/>
          <w:highlight w:val="none"/>
        </w:rPr>
        <w:t>附件二：投标分项报价</w:t>
      </w:r>
      <w:bookmarkEnd w:id="488"/>
    </w:p>
    <w:p w14:paraId="1CA18188">
      <w:pPr>
        <w:snapToGrid w:val="0"/>
        <w:spacing w:line="360" w:lineRule="auto"/>
        <w:ind w:firstLine="240" w:firstLineChars="100"/>
        <w:rPr>
          <w:rFonts w:hint="eastAsia" w:ascii="宋体" w:hAnsi="宋体" w:eastAsia="宋体" w:cs="宋体"/>
          <w:color w:val="auto"/>
          <w:sz w:val="24"/>
          <w:szCs w:val="24"/>
          <w:highlight w:val="none"/>
        </w:rPr>
      </w:pPr>
      <w:bookmarkStart w:id="489" w:name="_Toc163010072"/>
      <w:bookmarkStart w:id="490" w:name="_Toc478555550"/>
      <w:r>
        <w:rPr>
          <w:rFonts w:hint="eastAsia" w:ascii="宋体" w:hAnsi="宋体" w:eastAsia="宋体" w:cs="宋体"/>
          <w:color w:val="auto"/>
          <w:sz w:val="24"/>
          <w:szCs w:val="24"/>
          <w:highlight w:val="none"/>
        </w:rPr>
        <w:t>附件三</w:t>
      </w:r>
      <w:bookmarkEnd w:id="489"/>
      <w:r>
        <w:rPr>
          <w:rFonts w:hint="eastAsia" w:ascii="宋体" w:hAnsi="宋体" w:eastAsia="宋体" w:cs="宋体"/>
          <w:color w:val="auto"/>
          <w:sz w:val="24"/>
          <w:szCs w:val="24"/>
          <w:highlight w:val="none"/>
        </w:rPr>
        <w:t>：技术规格偏离表</w:t>
      </w:r>
      <w:bookmarkEnd w:id="490"/>
    </w:p>
    <w:p w14:paraId="0D4AF4DE">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附件四：售后服务条款（同投标文件内容一致）</w:t>
      </w:r>
    </w:p>
    <w:p w14:paraId="6EBF8A1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附件五：合同最后一页请附中标通知书复印件。</w:t>
      </w:r>
    </w:p>
    <w:p w14:paraId="593BABC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0BE32FE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（本页为签署页）</w:t>
      </w:r>
    </w:p>
    <w:tbl>
      <w:tblPr>
        <w:tblStyle w:val="22"/>
        <w:tblW w:w="8659" w:type="dxa"/>
        <w:tblInd w:w="0" w:type="dxa"/>
        <w:tblLayout w:type="fixed"/>
        <w:tblCellMar>
          <w:top w:w="0" w:type="dxa"/>
          <w:left w:w="108" w:type="dxa"/>
          <w:bottom w:w="0" w:type="dxa"/>
          <w:right w:w="108" w:type="dxa"/>
        </w:tblCellMar>
      </w:tblPr>
      <w:tblGrid>
        <w:gridCol w:w="4001"/>
        <w:gridCol w:w="4658"/>
      </w:tblGrid>
      <w:tr w14:paraId="6A9390D5">
        <w:tblPrEx>
          <w:tblCellMar>
            <w:top w:w="0" w:type="dxa"/>
            <w:left w:w="108" w:type="dxa"/>
            <w:bottom w:w="0" w:type="dxa"/>
            <w:right w:w="108" w:type="dxa"/>
          </w:tblCellMar>
        </w:tblPrEx>
        <w:trPr>
          <w:trHeight w:val="996" w:hRule="atLeast"/>
        </w:trPr>
        <w:tc>
          <w:tcPr>
            <w:tcW w:w="4001" w:type="dxa"/>
          </w:tcPr>
          <w:p w14:paraId="0B0E78CB">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  方（盖章）：   </w:t>
            </w:r>
          </w:p>
        </w:tc>
        <w:tc>
          <w:tcPr>
            <w:tcW w:w="4658" w:type="dxa"/>
          </w:tcPr>
          <w:p w14:paraId="4EEF2494">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  方（盖章）： </w:t>
            </w:r>
          </w:p>
        </w:tc>
      </w:tr>
      <w:tr w14:paraId="33444B4A">
        <w:tblPrEx>
          <w:tblCellMar>
            <w:top w:w="0" w:type="dxa"/>
            <w:left w:w="108" w:type="dxa"/>
            <w:bottom w:w="0" w:type="dxa"/>
            <w:right w:w="108" w:type="dxa"/>
          </w:tblCellMar>
        </w:tblPrEx>
        <w:trPr>
          <w:trHeight w:val="996" w:hRule="atLeast"/>
        </w:trPr>
        <w:tc>
          <w:tcPr>
            <w:tcW w:w="4001" w:type="dxa"/>
          </w:tcPr>
          <w:p w14:paraId="57F8FC81">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 </w:t>
            </w:r>
          </w:p>
        </w:tc>
        <w:tc>
          <w:tcPr>
            <w:tcW w:w="4658" w:type="dxa"/>
          </w:tcPr>
          <w:p w14:paraId="13F7EA62">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法定代表人（签字或盖章）： </w:t>
            </w:r>
          </w:p>
        </w:tc>
      </w:tr>
      <w:tr w14:paraId="0D5F7B5B">
        <w:tblPrEx>
          <w:tblCellMar>
            <w:top w:w="0" w:type="dxa"/>
            <w:left w:w="108" w:type="dxa"/>
            <w:bottom w:w="0" w:type="dxa"/>
            <w:right w:w="108" w:type="dxa"/>
          </w:tblCellMar>
        </w:tblPrEx>
        <w:trPr>
          <w:trHeight w:val="996" w:hRule="atLeast"/>
        </w:trPr>
        <w:tc>
          <w:tcPr>
            <w:tcW w:w="4001" w:type="dxa"/>
          </w:tcPr>
          <w:p w14:paraId="0D5A4820">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甲方授权代表（签字）：</w:t>
            </w:r>
          </w:p>
        </w:tc>
        <w:tc>
          <w:tcPr>
            <w:tcW w:w="4658" w:type="dxa"/>
          </w:tcPr>
          <w:p w14:paraId="4CD95C87">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乙方授权代表（签字）：</w:t>
            </w:r>
          </w:p>
        </w:tc>
      </w:tr>
      <w:tr w14:paraId="1267CCC3">
        <w:tblPrEx>
          <w:tblCellMar>
            <w:top w:w="0" w:type="dxa"/>
            <w:left w:w="108" w:type="dxa"/>
            <w:bottom w:w="0" w:type="dxa"/>
            <w:right w:w="108" w:type="dxa"/>
          </w:tblCellMar>
        </w:tblPrEx>
        <w:trPr>
          <w:trHeight w:val="996" w:hRule="atLeast"/>
        </w:trPr>
        <w:tc>
          <w:tcPr>
            <w:tcW w:w="4001" w:type="dxa"/>
          </w:tcPr>
          <w:p w14:paraId="7AF370AE">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c>
          <w:tcPr>
            <w:tcW w:w="4658" w:type="dxa"/>
          </w:tcPr>
          <w:p w14:paraId="32AC46E6">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r>
      <w:tr w14:paraId="49BBC4DB">
        <w:tblPrEx>
          <w:tblCellMar>
            <w:top w:w="0" w:type="dxa"/>
            <w:left w:w="108" w:type="dxa"/>
            <w:bottom w:w="0" w:type="dxa"/>
            <w:right w:w="108" w:type="dxa"/>
          </w:tblCellMar>
        </w:tblPrEx>
        <w:trPr>
          <w:trHeight w:val="996" w:hRule="atLeast"/>
        </w:trPr>
        <w:tc>
          <w:tcPr>
            <w:tcW w:w="4001" w:type="dxa"/>
          </w:tcPr>
          <w:p w14:paraId="0D939C74">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tc>
        <w:tc>
          <w:tcPr>
            <w:tcW w:w="4658" w:type="dxa"/>
          </w:tcPr>
          <w:p w14:paraId="0866A3C4">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r>
      <w:tr w14:paraId="40E5BAF4">
        <w:tblPrEx>
          <w:tblCellMar>
            <w:top w:w="0" w:type="dxa"/>
            <w:left w:w="108" w:type="dxa"/>
            <w:bottom w:w="0" w:type="dxa"/>
            <w:right w:w="108" w:type="dxa"/>
          </w:tblCellMar>
        </w:tblPrEx>
        <w:trPr>
          <w:trHeight w:val="996" w:hRule="atLeast"/>
        </w:trPr>
        <w:tc>
          <w:tcPr>
            <w:tcW w:w="4001" w:type="dxa"/>
          </w:tcPr>
          <w:p w14:paraId="10162CAD">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电话： </w:t>
            </w:r>
          </w:p>
        </w:tc>
        <w:tc>
          <w:tcPr>
            <w:tcW w:w="4658" w:type="dxa"/>
          </w:tcPr>
          <w:p w14:paraId="7B686CD8">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r>
      <w:tr w14:paraId="338AF65E">
        <w:tblPrEx>
          <w:tblCellMar>
            <w:top w:w="0" w:type="dxa"/>
            <w:left w:w="108" w:type="dxa"/>
            <w:bottom w:w="0" w:type="dxa"/>
            <w:right w:w="108" w:type="dxa"/>
          </w:tblCellMar>
        </w:tblPrEx>
        <w:trPr>
          <w:trHeight w:val="996" w:hRule="atLeast"/>
        </w:trPr>
        <w:tc>
          <w:tcPr>
            <w:tcW w:w="4001" w:type="dxa"/>
          </w:tcPr>
          <w:p w14:paraId="4A03BD6C">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tc>
        <w:tc>
          <w:tcPr>
            <w:tcW w:w="4658" w:type="dxa"/>
          </w:tcPr>
          <w:p w14:paraId="42B12E22">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r>
      <w:tr w14:paraId="095B88B9">
        <w:tblPrEx>
          <w:tblCellMar>
            <w:top w:w="0" w:type="dxa"/>
            <w:left w:w="108" w:type="dxa"/>
            <w:bottom w:w="0" w:type="dxa"/>
            <w:right w:w="108" w:type="dxa"/>
          </w:tblCellMar>
        </w:tblPrEx>
        <w:trPr>
          <w:trHeight w:val="996" w:hRule="atLeast"/>
        </w:trPr>
        <w:tc>
          <w:tcPr>
            <w:tcW w:w="4001" w:type="dxa"/>
          </w:tcPr>
          <w:p w14:paraId="460FC30E">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c>
          <w:tcPr>
            <w:tcW w:w="4658" w:type="dxa"/>
          </w:tcPr>
          <w:p w14:paraId="47F5D23E">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r>
      <w:tr w14:paraId="331FDB65">
        <w:tblPrEx>
          <w:tblCellMar>
            <w:top w:w="0" w:type="dxa"/>
            <w:left w:w="108" w:type="dxa"/>
            <w:bottom w:w="0" w:type="dxa"/>
            <w:right w:w="108" w:type="dxa"/>
          </w:tblCellMar>
        </w:tblPrEx>
        <w:trPr>
          <w:trHeight w:val="996" w:hRule="atLeast"/>
        </w:trPr>
        <w:tc>
          <w:tcPr>
            <w:tcW w:w="4001" w:type="dxa"/>
          </w:tcPr>
          <w:p w14:paraId="4EAC92D3">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开户账号： </w:t>
            </w:r>
          </w:p>
        </w:tc>
        <w:tc>
          <w:tcPr>
            <w:tcW w:w="4658" w:type="dxa"/>
          </w:tcPr>
          <w:p w14:paraId="14C993DA">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开户账号：</w:t>
            </w:r>
          </w:p>
        </w:tc>
      </w:tr>
      <w:tr w14:paraId="11CD3059">
        <w:tblPrEx>
          <w:tblCellMar>
            <w:top w:w="0" w:type="dxa"/>
            <w:left w:w="108" w:type="dxa"/>
            <w:bottom w:w="0" w:type="dxa"/>
            <w:right w:w="108" w:type="dxa"/>
          </w:tblCellMar>
        </w:tblPrEx>
        <w:trPr>
          <w:trHeight w:val="996" w:hRule="atLeast"/>
        </w:trPr>
        <w:tc>
          <w:tcPr>
            <w:tcW w:w="4001" w:type="dxa"/>
            <w:vAlign w:val="center"/>
          </w:tcPr>
          <w:p w14:paraId="660686C7">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c>
          <w:tcPr>
            <w:tcW w:w="4658" w:type="dxa"/>
            <w:vAlign w:val="center"/>
          </w:tcPr>
          <w:p w14:paraId="2EE7FE7A">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r>
    </w:tbl>
    <w:p w14:paraId="5CD8E3F7">
      <w:pPr>
        <w:widowControl/>
        <w:spacing w:line="360" w:lineRule="auto"/>
        <w:jc w:val="center"/>
        <w:rPr>
          <w:rFonts w:hint="eastAsia" w:ascii="宋体" w:hAnsi="宋体" w:eastAsia="宋体" w:cs="宋体"/>
          <w:color w:val="auto"/>
          <w:sz w:val="24"/>
          <w:szCs w:val="24"/>
          <w:highlight w:val="none"/>
        </w:rPr>
      </w:pPr>
    </w:p>
    <w:bookmarkEnd w:id="466"/>
    <w:p w14:paraId="56E61CE4">
      <w:pPr>
        <w:spacing w:line="360" w:lineRule="auto"/>
        <w:rPr>
          <w:rFonts w:hint="eastAsia" w:ascii="宋体" w:hAnsi="宋体" w:eastAsia="宋体" w:cs="宋体"/>
          <w:color w:val="auto"/>
          <w:sz w:val="24"/>
          <w:szCs w:val="24"/>
          <w:highlight w:val="none"/>
        </w:rPr>
      </w:pPr>
    </w:p>
    <w:p w14:paraId="6B714AE9">
      <w:pPr>
        <w:spacing w:line="360" w:lineRule="auto"/>
        <w:rPr>
          <w:rFonts w:hint="eastAsia" w:ascii="宋体" w:hAnsi="宋体" w:eastAsia="宋体" w:cs="宋体"/>
          <w:color w:val="auto"/>
          <w:sz w:val="24"/>
          <w:szCs w:val="24"/>
          <w:highlight w:val="none"/>
        </w:rPr>
      </w:pPr>
    </w:p>
    <w:p w14:paraId="46D8E8C8">
      <w:pPr>
        <w:spacing w:line="360" w:lineRule="auto"/>
        <w:rPr>
          <w:rFonts w:hint="eastAsia" w:ascii="宋体" w:hAnsi="宋体" w:eastAsia="宋体" w:cs="宋体"/>
          <w:color w:val="auto"/>
          <w:sz w:val="24"/>
          <w:szCs w:val="24"/>
          <w:highlight w:val="none"/>
        </w:rPr>
      </w:pPr>
    </w:p>
    <w:p w14:paraId="368B8A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D82300D">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政府采购廉政合同</w:t>
      </w:r>
    </w:p>
    <w:p w14:paraId="428047B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甲方（供货方）：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w:t>
      </w:r>
    </w:p>
    <w:p w14:paraId="7A75959D">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乙方（购货方）： </w:t>
      </w:r>
      <w:r>
        <w:rPr>
          <w:rFonts w:hint="eastAsia" w:ascii="宋体" w:hAnsi="宋体" w:eastAsia="宋体" w:cs="宋体"/>
          <w:color w:val="auto"/>
          <w:kern w:val="0"/>
          <w:sz w:val="24"/>
          <w:szCs w:val="24"/>
          <w:highlight w:val="none"/>
        </w:rPr>
        <w:tab/>
      </w:r>
    </w:p>
    <w:p w14:paraId="4B3782D1">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为促进甲乙双方廉洁高效合作，促使甲乙双方工作人员廉洁从业，不断推动党风廉政建设工作，按照《中华人民共和国民法典》和国家其他有关法律法规、廉政规定，经甲乙双方协商一致， 自愿签订以下廉政合同。</w:t>
      </w:r>
    </w:p>
    <w:p w14:paraId="7B365CFD">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第一条：甲乙双方的权利和义务</w:t>
      </w:r>
    </w:p>
    <w:p w14:paraId="56836ED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（一）严格遵守党和国家有关法律法规及党风廉政建设各项规定。</w:t>
      </w:r>
    </w:p>
    <w:p w14:paraId="0A1F58C9">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（二）严格履行《中华人民共和国反不正当竞争法》、《关于禁止商业贿赂行为的暂行规定》各项约定，杜绝违约行为的发生。</w:t>
      </w:r>
    </w:p>
    <w:p w14:paraId="705D9CBA">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（三）双方的业务活动坚持公开、公平、公正、诚信的原则（除法律认定的商业秘密和合同文件另有规定之外），严禁损害国家和集体利益，违反法律法规及规章制度。</w:t>
      </w:r>
    </w:p>
    <w:p w14:paraId="247F3BA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（四）建立健全党风廉政建设各项制度，开展党风廉政建设宣传教育，加强对本方工作人员的监督检查。</w:t>
      </w:r>
    </w:p>
    <w:p w14:paraId="6FB7706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（五）发现对方在业务活动中有违反廉政规定和本合同约定的行为时，有及时提醒和督促对方纠正的权利和义务。</w:t>
      </w:r>
    </w:p>
    <w:p w14:paraId="6553C31C">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（六）发现对方在业务活动中有违反廉政规定和本合同约定的行为时，有权向对方主管部门或有关机构检举、揭发。</w:t>
      </w:r>
    </w:p>
    <w:p w14:paraId="59A0CC65">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（七）经济合同变更时廉政合同内容也应做相应调整，并履行有关手续。第二条：甲方在廉政建设方面义务</w:t>
      </w:r>
    </w:p>
    <w:p w14:paraId="3E51A1C3">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（一）甲方不准以任何形式向乙方及其工作人员馈赠礼金、礼品、有价证券、支付凭证、贵重物品等财物。</w:t>
      </w:r>
    </w:p>
    <w:p w14:paraId="6968BAB2">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（二）甲方不准以任何名义为乙方及其工作人员报销应由乙方或个人支付的任何费用。</w:t>
      </w:r>
    </w:p>
    <w:p w14:paraId="5FC33AE1">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（三）甲方不准以任何理由邀请乙方工作人员参加有影响合作业务的宴请及娱乐活动；不准为其提供通讯工具、交通工具、高档办公用品等。</w:t>
      </w:r>
    </w:p>
    <w:p w14:paraId="404684D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（四）甲方不准为乙方工作人员在住房装修、婚丧嫁娶、配偶、子女、亲友出国（境）</w:t>
      </w:r>
    </w:p>
    <w:p w14:paraId="37B924FC">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旅游提供方便；不准为乙方工作人员的配偶、子女及有利害关系的人员安排工作或劳务。</w:t>
      </w:r>
    </w:p>
    <w:p w14:paraId="307BF862">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（五）甲方及其工作人员不准与监管单位串通，违反有关规定和程序，损害乙方利益。</w:t>
      </w:r>
    </w:p>
    <w:p w14:paraId="71EC0107">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（六）不得有其他违反法律法规、党纪政纪行为。第三条：乙方在廉政建设方面的义务</w:t>
      </w:r>
    </w:p>
    <w:p w14:paraId="5CDB40F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（一）乙方及其工作人员不得干扰协作企业正常的生产经营活动，不得以任何理由要挟甲方从事不属于甲方义务的工作。</w:t>
      </w:r>
    </w:p>
    <w:p w14:paraId="0E8A5CB3">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（二）乙方及其工作人员不得索要或接受甲方的礼金，有价证券、支付凭证、贵重物品等财物。</w:t>
      </w:r>
    </w:p>
    <w:p w14:paraId="74ECF667">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（三）乙方及其工作人员不得在甲方报销应由乙方或个人支付的任何费用。</w:t>
      </w:r>
    </w:p>
    <w:p w14:paraId="7769D39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（四）乙方工作人员不得参加甲方提供的宴请、娱乐活动、高档消费；不得要求甲方提供交通工具、通讯工具、高档办公用品等。</w:t>
      </w:r>
    </w:p>
    <w:p w14:paraId="7436B28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（五）乙方及其工作人员不得要求或者接受甲方为其住房装修、婚丧嫁娶、配偶、子女、亲友出国（境）旅游等违反规定的相关活动提供方便。</w:t>
      </w:r>
    </w:p>
    <w:p w14:paraId="279DAB8D">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（六）乙方及其工作人员不得要求甲方为其配偶、子女及有利害关系的人员安排工作或劳务；不得违反规定从事与甲方施工项目有关的材料设备供应、工程分包等经济活动。</w:t>
      </w:r>
    </w:p>
    <w:p w14:paraId="5C8286AD">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（七）乙方应根据经济合同约定进度付款，不得以不正当理由拖欠款项，不得超进度拨付款。</w:t>
      </w:r>
    </w:p>
    <w:p w14:paraId="2A26319F">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第四条：违约责任</w:t>
      </w:r>
    </w:p>
    <w:p w14:paraId="6971B0B0">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（一）甲方违反本《廉政合同》规定义务的，须向乙方承担经济合同总额 3%的经济违约责任。</w:t>
      </w:r>
    </w:p>
    <w:p w14:paraId="018BBC9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（二）甲方发生多次违反廉政合同约定内容，乙方有权将甲方列入黑名单，禁止 3-5 年内进入乙方作业市场；给乙方造成经济损失、社会影响较大的，乙方有权终止履行合同。</w:t>
      </w:r>
    </w:p>
    <w:p w14:paraId="2455AC4C">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（三）乙方若违反本《廉政合同》有关规定的，对违法违纪人员，由乙方主管部门依据有关规定查处，给甲方造成的损失，按有关规定予以赔偿。</w:t>
      </w:r>
    </w:p>
    <w:p w14:paraId="0D524B42">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第五条：检查方式</w:t>
      </w:r>
    </w:p>
    <w:p w14:paraId="0C2FB9A0">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本合同的履约情况由甲乙双方共同派员监督，检查方式为座谈、问卷调查、查看资料或由双方约定的其他方式等。检查时间、次数、方式、检查结论等由双方协商确定。</w:t>
      </w:r>
    </w:p>
    <w:p w14:paraId="2CAC8116">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第六条：本合同有效期同经济合同期限。</w:t>
      </w:r>
    </w:p>
    <w:p w14:paraId="2683D5F7">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第七条：本合同为经济合同附件，与主合同具有同等法律效力，甲乙双方签署后生效。</w:t>
      </w:r>
    </w:p>
    <w:p w14:paraId="55DD0290">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第八条：本合同一式</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份，甲、乙双方</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份、采购办</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w:t>
      </w:r>
    </w:p>
    <w:p w14:paraId="7F8491F3">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p>
    <w:p w14:paraId="742DDFA8">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甲方单位：（盖章）</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乙方单位：（盖章）</w:t>
      </w:r>
    </w:p>
    <w:p w14:paraId="0972CF8C">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法定代表人：</w:t>
      </w:r>
    </w:p>
    <w:p w14:paraId="4AC9BF00">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（或委托代理人）签字：</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（或委托代理人）签字：</w:t>
      </w:r>
    </w:p>
    <w:p w14:paraId="42801584">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单位地址：</w:t>
      </w:r>
    </w:p>
    <w:p w14:paraId="024FD311">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联系电话：</w:t>
      </w:r>
    </w:p>
    <w:p w14:paraId="386C2E8A">
      <w:pPr>
        <w:spacing w:line="360" w:lineRule="auto"/>
        <w:rPr>
          <w:color w:val="auto"/>
          <w:highlight w:val="none"/>
        </w:rPr>
      </w:pPr>
    </w:p>
    <w:p w14:paraId="50928F9A">
      <w:pPr>
        <w:spacing w:line="360" w:lineRule="auto"/>
        <w:rPr>
          <w:rFonts w:ascii="宋体" w:cs="宋体"/>
          <w:b/>
          <w:bCs/>
          <w:color w:val="auto"/>
          <w:sz w:val="32"/>
          <w:szCs w:val="40"/>
          <w:highlight w:val="none"/>
        </w:rPr>
      </w:pPr>
      <w:r>
        <w:rPr>
          <w:color w:val="auto"/>
          <w:highlight w:val="none"/>
        </w:rPr>
        <w:br w:type="page"/>
      </w:r>
    </w:p>
    <w:p w14:paraId="5E3C905B">
      <w:pPr>
        <w:spacing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生产厂家售后服务承诺函</w:t>
      </w:r>
    </w:p>
    <w:p w14:paraId="2FCBFED5">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lang w:eastAsia="zh-CN"/>
        </w:rPr>
        <w:t>平顶山市消防救援支队</w:t>
      </w:r>
      <w:r>
        <w:rPr>
          <w:rFonts w:hint="eastAsia" w:ascii="宋体" w:hAnsi="宋体" w:cs="宋体"/>
          <w:color w:val="auto"/>
          <w:kern w:val="0"/>
          <w:sz w:val="24"/>
          <w:highlight w:val="none"/>
        </w:rPr>
        <w:t>：</w:t>
      </w:r>
    </w:p>
    <w:p w14:paraId="3116E6FD">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我司现对贵方招标的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ascii="宋体" w:hAnsi="宋体" w:cs="宋体"/>
          <w:color w:val="auto"/>
          <w:kern w:val="0"/>
          <w:sz w:val="24"/>
          <w:highlight w:val="none"/>
        </w:rPr>
        <w:t>[</w:t>
      </w:r>
      <w:r>
        <w:rPr>
          <w:rFonts w:hint="eastAsia" w:ascii="宋体" w:hAnsi="宋体" w:cs="宋体"/>
          <w:color w:val="auto"/>
          <w:kern w:val="0"/>
          <w:sz w:val="24"/>
          <w:highlight w:val="none"/>
        </w:rPr>
        <w:t>项目编号：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第</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包</w:t>
      </w:r>
      <w:r>
        <w:rPr>
          <w:rFonts w:ascii="宋体" w:hAnsi="宋体" w:cs="宋体"/>
          <w:color w:val="auto"/>
          <w:kern w:val="0"/>
          <w:sz w:val="24"/>
          <w:highlight w:val="none"/>
        </w:rPr>
        <w:t>]</w:t>
      </w:r>
      <w:r>
        <w:rPr>
          <w:rFonts w:hint="eastAsia" w:ascii="宋体" w:hAnsi="宋体" w:cs="宋体"/>
          <w:color w:val="auto"/>
          <w:kern w:val="0"/>
          <w:sz w:val="24"/>
          <w:highlight w:val="none"/>
        </w:rPr>
        <w:t>售后服务作出承诺，如果我司生产的产品中标，将授权给按</w:t>
      </w:r>
      <w:r>
        <w:rPr>
          <w:rFonts w:ascii="宋体" w:cs="宋体"/>
          <w:color w:val="auto"/>
          <w:kern w:val="0"/>
          <w:sz w:val="24"/>
          <w:highlight w:val="none"/>
          <w:u w:val="single"/>
        </w:rPr>
        <w:tab/>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（国家名称）法律成立的</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（制造商或代理商名称，以下简称“售后服务商”），主要营业地点设在</w:t>
      </w:r>
      <w:r>
        <w:rPr>
          <w:rFonts w:ascii="宋体" w:cs="宋体"/>
          <w:color w:val="auto"/>
          <w:kern w:val="0"/>
          <w:sz w:val="24"/>
          <w:highlight w:val="none"/>
          <w:u w:val="single"/>
        </w:rPr>
        <w:tab/>
      </w:r>
      <w:r>
        <w:rPr>
          <w:rFonts w:hint="eastAsia" w:ascii="宋体" w:hAnsi="宋体" w:cs="宋体"/>
          <w:color w:val="auto"/>
          <w:kern w:val="0"/>
          <w:sz w:val="24"/>
          <w:highlight w:val="none"/>
        </w:rPr>
        <w:t>（制造商地址），联系方式为</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（联系人、电话、传真、邮政编码）代表我方在中华人民共和国办理我司产品包含但不限于以下的售后服务承诺：</w:t>
      </w:r>
    </w:p>
    <w:p w14:paraId="1A471D31">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14:paraId="01FAD377">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、售后服务商提供整套设备（含底盘、上装、随带器材以及改装设备）不少于</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年的质保服务，质保期自合同中约定的验收合格报告书签字生效之日起计算；</w:t>
      </w:r>
    </w:p>
    <w:p w14:paraId="067402E5">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、确实非我司生产的改装设备或部件出现故障时，将由售后服务商负责联系改装设备或部件的生产厂家进行免费上门维修，质保期时限仍按整套设备年限执行；</w:t>
      </w:r>
    </w:p>
    <w:p w14:paraId="1C3CA3A1">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小时（或天）内到现场维修。质保期后，由售后服务商提供两年的免费保修服务，保修费用计入合同总价，售后服务商只收取材料成本费；</w:t>
      </w:r>
    </w:p>
    <w:p w14:paraId="12A8F2EF">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、在质保期与保修期内，售后服务商将提供</w:t>
      </w:r>
      <w:r>
        <w:rPr>
          <w:rFonts w:ascii="宋体" w:hAnsi="宋体" w:cs="宋体"/>
          <w:color w:val="auto"/>
          <w:kern w:val="0"/>
          <w:sz w:val="24"/>
          <w:highlight w:val="none"/>
        </w:rPr>
        <w:t xml:space="preserve"> 24 </w:t>
      </w:r>
      <w:r>
        <w:rPr>
          <w:rFonts w:hint="eastAsia" w:ascii="宋体" w:hAnsi="宋体" w:cs="宋体"/>
          <w:color w:val="auto"/>
          <w:kern w:val="0"/>
          <w:sz w:val="24"/>
          <w:highlight w:val="none"/>
        </w:rPr>
        <w:t>小时电话服务热线，保证在接到贵方故障报修电话后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小时（或天）内到达现场，并在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小时（或天）内解决故障，如果主要部件需从我司发运，将在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天（或月）内解决故障；</w:t>
      </w:r>
    </w:p>
    <w:p w14:paraId="5F00DD8D">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、质保期内及质保期过后，如因货物设计或生产工艺质量问题需要成批召回维修的，</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我司将及时通过售后服务商通知贵方并积极协助办理有关手续，一切费用由售后服务商承担；</w:t>
      </w:r>
    </w:p>
    <w:p w14:paraId="16AEB989">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、所有货物保修服务方式均为我司及售后服务商上门保修，即由我司派员连同售后服务商到贵方货物使用现场维修，由此产生的一切费用均由售后服务商承担；</w:t>
      </w:r>
    </w:p>
    <w:p w14:paraId="651020A9">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售后服务商在货物验收后将及时归纳、整理各项详细验收报告、技术文档、硬件技术文件等资料，并提交给贵方，技术文件包括验收报告、技术文档、完整的软、硬件技术资料（含纸介质和光电介质），同时提供中文说明书；</w:t>
      </w:r>
    </w:p>
    <w:p w14:paraId="6B61243D">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、售后服务商将建立质量跟踪档案，每季度不少于一次向贵方进行现场（或电话）</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回访，以保证货物的正常高效使用，同时记录售后服务情况并征求使用单位的售后服务反馈意见；</w:t>
      </w:r>
    </w:p>
    <w:p w14:paraId="0C7DC95E">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日签署本文件，</w:t>
      </w:r>
      <w:r>
        <w:rPr>
          <w:rFonts w:ascii="宋体" w:cs="宋体"/>
          <w:color w:val="auto"/>
          <w:kern w:val="0"/>
          <w:sz w:val="24"/>
          <w:highlight w:val="none"/>
          <w:u w:val="single"/>
        </w:rPr>
        <w:tab/>
      </w:r>
      <w:r>
        <w:rPr>
          <w:rFonts w:ascii="宋体" w:hAnsi="宋体" w:cs="宋体"/>
          <w:color w:val="auto"/>
          <w:kern w:val="0"/>
          <w:sz w:val="24"/>
          <w:highlight w:val="none"/>
        </w:rPr>
        <w:t>(</w:t>
      </w:r>
      <w:r>
        <w:rPr>
          <w:rFonts w:hint="eastAsia" w:ascii="宋体" w:hAnsi="宋体" w:cs="宋体"/>
          <w:color w:val="auto"/>
          <w:kern w:val="0"/>
          <w:sz w:val="24"/>
          <w:highlight w:val="none"/>
        </w:rPr>
        <w:t>售后服务商</w:t>
      </w:r>
      <w:r>
        <w:rPr>
          <w:rFonts w:ascii="宋体" w:hAnsi="宋体" w:cs="宋体"/>
          <w:color w:val="auto"/>
          <w:kern w:val="0"/>
          <w:sz w:val="24"/>
          <w:highlight w:val="none"/>
        </w:rPr>
        <w:t>)</w:t>
      </w:r>
      <w:r>
        <w:rPr>
          <w:rFonts w:hint="eastAsia" w:ascii="宋体" w:hAnsi="宋体" w:cs="宋体"/>
          <w:color w:val="auto"/>
          <w:kern w:val="0"/>
          <w:sz w:val="24"/>
          <w:highlight w:val="none"/>
        </w:rPr>
        <w:t>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日接受此件，代表我方履行上述售后服务条款，并具有替换或撤销的全权，如果售后服务商未能履行上述服务条款，我司将承担全部责任，以此为证。</w:t>
      </w:r>
    </w:p>
    <w:p w14:paraId="768A4A5D">
      <w:pPr>
        <w:snapToGrid w:val="0"/>
        <w:spacing w:line="360" w:lineRule="auto"/>
        <w:textAlignment w:val="baseline"/>
        <w:rPr>
          <w:rFonts w:hint="eastAsia" w:ascii="宋体" w:hAnsi="宋体" w:cs="宋体"/>
          <w:color w:val="auto"/>
          <w:kern w:val="0"/>
          <w:sz w:val="24"/>
          <w:highlight w:val="none"/>
        </w:rPr>
      </w:pPr>
    </w:p>
    <w:p w14:paraId="6BF69D12">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售后服务商名称：（公章）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制造商名称：（公章）</w:t>
      </w:r>
    </w:p>
    <w:p w14:paraId="5CFB4597">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法定地址：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法定地址：</w:t>
      </w:r>
    </w:p>
    <w:p w14:paraId="7E0379A8">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授权签字的代表姓名：</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授权签字的代表姓名：</w:t>
      </w:r>
    </w:p>
    <w:p w14:paraId="066F08E4">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职务和部门：</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职务和部门：</w:t>
      </w:r>
    </w:p>
    <w:p w14:paraId="4B316F87">
      <w:pPr>
        <w:spacing w:line="360" w:lineRule="auto"/>
        <w:rPr>
          <w:color w:val="auto"/>
          <w:highlight w:val="none"/>
        </w:rPr>
      </w:pPr>
    </w:p>
    <w:p w14:paraId="192D637A">
      <w:pPr>
        <w:spacing w:line="360" w:lineRule="auto"/>
        <w:rPr>
          <w:color w:val="auto"/>
          <w:highlight w:val="none"/>
        </w:rPr>
      </w:pPr>
    </w:p>
    <w:p w14:paraId="1C88725C">
      <w:pPr>
        <w:spacing w:line="360" w:lineRule="auto"/>
        <w:rPr>
          <w:color w:val="auto"/>
          <w:highlight w:val="none"/>
        </w:rPr>
      </w:pPr>
    </w:p>
    <w:p w14:paraId="21CC92C3">
      <w:pPr>
        <w:spacing w:line="360" w:lineRule="auto"/>
        <w:rPr>
          <w:color w:val="auto"/>
          <w:highlight w:val="none"/>
        </w:rPr>
      </w:pPr>
    </w:p>
    <w:p w14:paraId="5E036764">
      <w:pPr>
        <w:spacing w:line="360" w:lineRule="auto"/>
        <w:rPr>
          <w:color w:val="auto"/>
          <w:highlight w:val="none"/>
        </w:rPr>
      </w:pPr>
    </w:p>
    <w:p w14:paraId="6B2468BD">
      <w:pPr>
        <w:spacing w:line="360" w:lineRule="auto"/>
        <w:rPr>
          <w:color w:val="auto"/>
          <w:highlight w:val="none"/>
        </w:rPr>
      </w:pPr>
    </w:p>
    <w:p w14:paraId="68AD5607">
      <w:pPr>
        <w:spacing w:line="360" w:lineRule="auto"/>
        <w:rPr>
          <w:color w:val="auto"/>
          <w:highlight w:val="none"/>
        </w:rPr>
      </w:pPr>
    </w:p>
    <w:p w14:paraId="6F276A7B">
      <w:pPr>
        <w:spacing w:line="360" w:lineRule="auto"/>
        <w:rPr>
          <w:color w:val="auto"/>
          <w:highlight w:val="none"/>
        </w:rPr>
      </w:pPr>
    </w:p>
    <w:p w14:paraId="42319607">
      <w:pPr>
        <w:widowControl/>
        <w:spacing w:line="360" w:lineRule="auto"/>
        <w:rPr>
          <w:rFonts w:ascii="宋体" w:cs="宋体"/>
          <w:color w:val="auto"/>
          <w:szCs w:val="21"/>
          <w:highlight w:val="none"/>
        </w:rPr>
      </w:pPr>
    </w:p>
    <w:p w14:paraId="68684C2B">
      <w:pPr>
        <w:autoSpaceDE w:val="0"/>
        <w:autoSpaceDN w:val="0"/>
        <w:spacing w:line="360" w:lineRule="auto"/>
        <w:jc w:val="center"/>
        <w:rPr>
          <w:rFonts w:ascii="宋体" w:cs="宋体"/>
          <w:b/>
          <w:bCs/>
          <w:color w:val="auto"/>
          <w:sz w:val="36"/>
          <w:szCs w:val="36"/>
          <w:highlight w:val="none"/>
        </w:rPr>
      </w:pPr>
      <w:bookmarkStart w:id="491" w:name="bookmark23"/>
      <w:bookmarkStart w:id="492" w:name="bookmark24"/>
      <w:bookmarkStart w:id="493" w:name="bookmark22"/>
    </w:p>
    <w:p w14:paraId="0A6DE3A3">
      <w:pPr>
        <w:pStyle w:val="7"/>
        <w:rPr>
          <w:color w:val="auto"/>
          <w:highlight w:val="none"/>
        </w:rPr>
      </w:pPr>
    </w:p>
    <w:p w14:paraId="1944A6B9">
      <w:pPr>
        <w:pStyle w:val="20"/>
        <w:rPr>
          <w:rFonts w:ascii="宋体" w:cs="宋体"/>
          <w:b/>
          <w:bCs/>
          <w:color w:val="auto"/>
          <w:sz w:val="36"/>
          <w:szCs w:val="36"/>
          <w:highlight w:val="none"/>
        </w:rPr>
      </w:pPr>
    </w:p>
    <w:p w14:paraId="6EF784C5">
      <w:pPr>
        <w:rPr>
          <w:color w:val="auto"/>
          <w:highlight w:val="none"/>
        </w:rPr>
      </w:pPr>
    </w:p>
    <w:p w14:paraId="3C5E7738">
      <w:pPr>
        <w:jc w:val="center"/>
        <w:rPr>
          <w:rFonts w:ascii="宋体" w:cs="宋体"/>
          <w:b/>
          <w:bCs/>
          <w:color w:val="auto"/>
          <w:sz w:val="28"/>
          <w:szCs w:val="28"/>
          <w:highlight w:val="none"/>
        </w:rPr>
      </w:pPr>
      <w:r>
        <w:rPr>
          <w:rFonts w:hint="eastAsia" w:ascii="宋体" w:hAnsi="宋体" w:cs="宋体"/>
          <w:b/>
          <w:bCs/>
          <w:color w:val="auto"/>
          <w:sz w:val="28"/>
          <w:szCs w:val="28"/>
          <w:highlight w:val="none"/>
        </w:rPr>
        <w:t>专项预付款银行保函</w:t>
      </w:r>
    </w:p>
    <w:p w14:paraId="4CC915D4">
      <w:pPr>
        <w:snapToGrid w:val="0"/>
        <w:spacing w:line="500" w:lineRule="exact"/>
        <w:ind w:firstLine="480" w:firstLineChars="200"/>
        <w:textAlignment w:val="baseline"/>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平顶山市消防救援支队</w:t>
      </w:r>
    </w:p>
    <w:p w14:paraId="78752785">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根据</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（下称“公司”）</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（下称“消防救援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队”）于</w:t>
      </w:r>
      <w:r>
        <w:rPr>
          <w:rFonts w:ascii="宋体" w:cs="宋体"/>
          <w:color w:val="auto"/>
          <w:kern w:val="0"/>
          <w:sz w:val="24"/>
          <w:szCs w:val="24"/>
          <w:highlight w:val="none"/>
          <w:u w:val="single"/>
        </w:rPr>
        <w:tab/>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rPr>
        <w:t>签订的</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按约定的金额提交一份预付款银行保函（下称“保函”）作为购买材料（或合同约定的其他专项义务）专款专用的担保后，</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即有权得到消防救援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队支付的一笔相等金额的（预购材料）的预付款。我行愿意出具保函为公司担保，担保金额为人民币</w:t>
      </w:r>
      <w:r>
        <w:rPr>
          <w:rFonts w:hint="eastAsia" w:ascii="宋体" w:hAnsi="宋体" w:cs="宋体"/>
          <w:color w:val="auto"/>
          <w:kern w:val="0"/>
          <w:sz w:val="24"/>
          <w:szCs w:val="24"/>
          <w:highlight w:val="none"/>
          <w:u w:val="single"/>
        </w:rPr>
        <w:t>（大写）</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元）</w:t>
      </w:r>
      <w:r>
        <w:rPr>
          <w:rFonts w:hint="eastAsia" w:ascii="宋体" w:hAnsi="宋体" w:cs="宋体"/>
          <w:color w:val="auto"/>
          <w:kern w:val="0"/>
          <w:sz w:val="24"/>
          <w:szCs w:val="24"/>
          <w:highlight w:val="none"/>
        </w:rPr>
        <w:t>。</w:t>
      </w:r>
    </w:p>
    <w:p w14:paraId="036849C4">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本保函的义务是：我行在接到消防救援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队提出的因</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在履行合同过程中未将消防救援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队预付款按</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约定购买</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材料</w:t>
      </w:r>
      <w:r>
        <w:rPr>
          <w:rFonts w:hint="eastAsia" w:ascii="宋体" w:hAnsi="宋体" w:cs="宋体"/>
          <w:color w:val="auto"/>
          <w:kern w:val="0"/>
          <w:sz w:val="24"/>
          <w:szCs w:val="24"/>
          <w:highlight w:val="none"/>
        </w:rPr>
        <w:t>（或合同约定的其他专项义务）而要求索赔的书面通知后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天内，我行在上述担保金额的限额内无条件向消防救援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队所要求数额的款项，无须消防救援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队出具任何证明或陈述理由。</w:t>
      </w:r>
    </w:p>
    <w:p w14:paraId="4C80F417">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在向我行提出要求时，我行将不得要求消防救援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队应首先向</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索要上述款项。我行同意，任何对合同条款所作的修改或补充都不能免除我行按本保函所应承担的义务。</w:t>
      </w:r>
    </w:p>
    <w:p w14:paraId="67A37A49">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本保函不可撤销，并为见索即付保函。本保函在担保金额支付完毕，或</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出具专款专用履行完毕证明书之日起失效。</w:t>
      </w:r>
    </w:p>
    <w:p w14:paraId="571A233A">
      <w:pPr>
        <w:snapToGrid w:val="0"/>
        <w:spacing w:line="500" w:lineRule="exact"/>
        <w:ind w:firstLine="480" w:firstLineChars="200"/>
        <w:textAlignment w:val="baseline"/>
        <w:rPr>
          <w:rFonts w:ascii="宋体" w:cs="宋体"/>
          <w:color w:val="auto"/>
          <w:kern w:val="0"/>
          <w:sz w:val="24"/>
          <w:szCs w:val="24"/>
          <w:highlight w:val="none"/>
        </w:rPr>
      </w:pPr>
    </w:p>
    <w:p w14:paraId="0D140033">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担保银行：</w:t>
      </w:r>
    </w:p>
    <w:p w14:paraId="1939E6B6">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法定代表人或其授权的代理人：</w:t>
      </w:r>
    </w:p>
    <w:p w14:paraId="6A62DB63">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14:paraId="6C06936B">
      <w:pPr>
        <w:widowControl/>
        <w:jc w:val="center"/>
        <w:rPr>
          <w:rFonts w:ascii="宋体" w:cs="宋体"/>
          <w:b/>
          <w:bCs/>
          <w:color w:val="auto"/>
          <w:sz w:val="28"/>
          <w:szCs w:val="28"/>
          <w:highlight w:val="none"/>
        </w:rPr>
      </w:pPr>
      <w:r>
        <w:rPr>
          <w:rFonts w:ascii="宋体" w:cs="宋体"/>
          <w:b/>
          <w:bCs/>
          <w:color w:val="auto"/>
          <w:sz w:val="36"/>
          <w:szCs w:val="36"/>
          <w:highlight w:val="none"/>
        </w:rPr>
        <w:br w:type="page"/>
      </w:r>
      <w:r>
        <w:rPr>
          <w:rFonts w:hint="eastAsia" w:ascii="宋体" w:hAnsi="宋体" w:cs="宋体"/>
          <w:b/>
          <w:bCs/>
          <w:color w:val="auto"/>
          <w:sz w:val="28"/>
          <w:szCs w:val="28"/>
          <w:highlight w:val="none"/>
        </w:rPr>
        <w:t>河南省政府采购合同融资政策告知函</w:t>
      </w:r>
      <w:bookmarkEnd w:id="491"/>
      <w:bookmarkEnd w:id="492"/>
      <w:bookmarkEnd w:id="493"/>
    </w:p>
    <w:p w14:paraId="0867C0F7">
      <w:pPr>
        <w:autoSpaceDE w:val="0"/>
        <w:autoSpaceDN w:val="0"/>
        <w:spacing w:line="360" w:lineRule="auto"/>
        <w:ind w:firstLine="480" w:firstLineChars="200"/>
        <w:rPr>
          <w:rFonts w:ascii="宋体" w:cs="宋体"/>
          <w:color w:val="auto"/>
          <w:sz w:val="24"/>
          <w:highlight w:val="none"/>
        </w:rPr>
      </w:pPr>
    </w:p>
    <w:p w14:paraId="1F71B4F2">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各供应商：</w:t>
      </w:r>
    </w:p>
    <w:p w14:paraId="75ECC1C7">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欢迎贵公司参与河南省政府采购活动！</w:t>
      </w:r>
    </w:p>
    <w:p w14:paraId="090FA9E2">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号），按照双方自愿的原则提供便捷、优惠的贷款服务。</w:t>
      </w:r>
    </w:p>
    <w:p w14:paraId="27FA0DAE">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贷款渠道和提供贷款的金融机构，可在河南省政府采购网</w:t>
      </w:r>
      <w:r>
        <w:rPr>
          <w:rFonts w:hint="eastAsia" w:ascii="宋体" w:hAnsi="宋体" w:cs="宋体"/>
          <w:color w:val="auto"/>
          <w:sz w:val="24"/>
          <w:highlight w:val="none"/>
          <w:lang w:val="zh-CN"/>
        </w:rPr>
        <w:t>“河南</w:t>
      </w:r>
      <w:r>
        <w:rPr>
          <w:rFonts w:hint="eastAsia" w:ascii="宋体" w:hAnsi="宋体" w:cs="宋体"/>
          <w:color w:val="auto"/>
          <w:sz w:val="24"/>
          <w:highlight w:val="none"/>
        </w:rPr>
        <w:t>省政府采购合同融资平台</w:t>
      </w:r>
      <w:r>
        <w:rPr>
          <w:rFonts w:ascii="宋体" w:hAnsi="宋体" w:cs="宋体"/>
          <w:color w:val="auto"/>
          <w:sz w:val="24"/>
          <w:highlight w:val="none"/>
        </w:rPr>
        <w:t>"</w:t>
      </w:r>
      <w:r>
        <w:rPr>
          <w:rFonts w:hint="eastAsia" w:ascii="宋体" w:hAnsi="宋体" w:cs="宋体"/>
          <w:color w:val="auto"/>
          <w:sz w:val="24"/>
          <w:highlight w:val="none"/>
        </w:rPr>
        <w:t>查询联系。</w:t>
      </w:r>
    </w:p>
    <w:p w14:paraId="7F791EB4">
      <w:pPr>
        <w:pStyle w:val="10"/>
        <w:spacing w:line="360" w:lineRule="auto"/>
        <w:ind w:left="31680" w:right="31680"/>
        <w:rPr>
          <w:rFonts w:ascii="宋体" w:cs="宋体"/>
          <w:bCs/>
          <w:color w:val="auto"/>
          <w:kern w:val="0"/>
          <w:sz w:val="32"/>
          <w:szCs w:val="32"/>
          <w:highlight w:val="none"/>
        </w:rPr>
      </w:pPr>
    </w:p>
    <w:p w14:paraId="346E3A96">
      <w:pPr>
        <w:pStyle w:val="10"/>
        <w:spacing w:line="360" w:lineRule="auto"/>
        <w:ind w:left="31680" w:right="31680"/>
        <w:rPr>
          <w:rFonts w:ascii="宋体" w:cs="宋体"/>
          <w:bCs/>
          <w:color w:val="auto"/>
          <w:kern w:val="0"/>
          <w:sz w:val="32"/>
          <w:szCs w:val="32"/>
          <w:highlight w:val="none"/>
        </w:rPr>
      </w:pPr>
    </w:p>
    <w:p w14:paraId="46C84C61">
      <w:pPr>
        <w:pStyle w:val="10"/>
        <w:spacing w:line="360" w:lineRule="auto"/>
        <w:ind w:left="31680" w:right="31680"/>
        <w:rPr>
          <w:rFonts w:ascii="宋体" w:cs="宋体"/>
          <w:bCs/>
          <w:color w:val="auto"/>
          <w:kern w:val="0"/>
          <w:sz w:val="32"/>
          <w:szCs w:val="32"/>
          <w:highlight w:val="none"/>
        </w:rPr>
        <w:sectPr>
          <w:footerReference r:id="rId8" w:type="default"/>
          <w:pgSz w:w="11906" w:h="16838"/>
          <w:pgMar w:top="1440" w:right="1800" w:bottom="1440" w:left="1800" w:header="850" w:footer="964" w:gutter="0"/>
          <w:pgBorders>
            <w:top w:val="none" w:sz="0" w:space="0"/>
            <w:left w:val="none" w:sz="0" w:space="0"/>
            <w:bottom w:val="none" w:sz="0" w:space="0"/>
            <w:right w:val="none" w:sz="0" w:space="0"/>
          </w:pgBorders>
          <w:pgNumType w:fmt="decimal"/>
          <w:cols w:space="720" w:num="1"/>
          <w:docGrid w:type="lines" w:linePitch="315" w:charSpace="0"/>
        </w:sectPr>
      </w:pPr>
    </w:p>
    <w:p w14:paraId="72E8809A">
      <w:pPr>
        <w:pStyle w:val="2"/>
        <w:rPr>
          <w:rFonts w:hint="eastAsia" w:ascii="宋体" w:hAnsi="宋体" w:cs="宋体"/>
          <w:color w:val="auto"/>
          <w:szCs w:val="32"/>
          <w:highlight w:val="none"/>
        </w:rPr>
      </w:pPr>
      <w:bookmarkStart w:id="494" w:name="_Toc40112141"/>
      <w:bookmarkStart w:id="495" w:name="_Toc23795"/>
      <w:bookmarkStart w:id="496" w:name="_Toc871"/>
      <w:bookmarkStart w:id="497" w:name="_Toc22008"/>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bookmarkEnd w:id="494"/>
      <w:bookmarkEnd w:id="495"/>
      <w:bookmarkEnd w:id="496"/>
      <w:bookmarkEnd w:id="497"/>
    </w:p>
    <w:p w14:paraId="73DACFCB">
      <w:pPr>
        <w:spacing w:line="360" w:lineRule="auto"/>
        <w:jc w:val="center"/>
        <w:outlineLvl w:val="1"/>
        <w:rPr>
          <w:rFonts w:ascii="宋体" w:cs="宋体"/>
          <w:b/>
          <w:color w:val="auto"/>
          <w:sz w:val="32"/>
          <w:szCs w:val="32"/>
          <w:highlight w:val="none"/>
        </w:rPr>
      </w:pPr>
      <w:bookmarkStart w:id="498" w:name="_Toc4083"/>
      <w:bookmarkStart w:id="499" w:name="_Toc612"/>
      <w:bookmarkStart w:id="500" w:name="_Toc24050"/>
      <w:bookmarkStart w:id="501" w:name="_Toc2376"/>
      <w:r>
        <w:rPr>
          <w:rFonts w:hint="eastAsia" w:ascii="宋体" w:hAnsi="宋体" w:cs="宋体"/>
          <w:b/>
          <w:color w:val="auto"/>
          <w:sz w:val="32"/>
          <w:szCs w:val="32"/>
          <w:highlight w:val="none"/>
        </w:rPr>
        <w:t>一、项目需求</w:t>
      </w:r>
      <w:bookmarkEnd w:id="498"/>
      <w:bookmarkEnd w:id="499"/>
      <w:bookmarkEnd w:id="500"/>
      <w:bookmarkEnd w:id="501"/>
    </w:p>
    <w:p w14:paraId="368CB7ED">
      <w:pPr>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 xml:space="preserve">1.1 </w:t>
      </w:r>
      <w:r>
        <w:rPr>
          <w:rFonts w:hint="eastAsia" w:hAnsi="宋体"/>
          <w:bCs/>
          <w:color w:val="auto"/>
          <w:sz w:val="21"/>
          <w:szCs w:val="21"/>
          <w:highlight w:val="none"/>
        </w:rPr>
        <w:t>项目名称：</w:t>
      </w:r>
      <w:r>
        <w:rPr>
          <w:rFonts w:hint="eastAsia" w:hAnsi="宋体"/>
          <w:bCs/>
          <w:color w:val="auto"/>
          <w:sz w:val="21"/>
          <w:szCs w:val="21"/>
          <w:highlight w:val="none"/>
          <w:lang w:eastAsia="zh-CN"/>
        </w:rPr>
        <w:t>平顶山市消防救援支队河南省消防救援总队“自然灾害应急能力提升工程”平顶山支队装备建设项目（三次）</w:t>
      </w:r>
    </w:p>
    <w:p w14:paraId="4B92290A">
      <w:pPr>
        <w:adjustRightInd w:val="0"/>
        <w:snapToGrid w:val="0"/>
        <w:spacing w:line="360" w:lineRule="auto"/>
        <w:ind w:firstLine="420" w:firstLineChars="200"/>
        <w:jc w:val="left"/>
        <w:rPr>
          <w:rFonts w:hint="eastAsia" w:ascii="宋体" w:hAnsi="宋体" w:cs="宋体"/>
          <w:bCs/>
          <w:color w:val="auto"/>
          <w:kern w:val="0"/>
          <w:sz w:val="21"/>
          <w:szCs w:val="21"/>
          <w:highlight w:val="none"/>
        </w:rPr>
      </w:pPr>
      <w:r>
        <w:rPr>
          <w:rFonts w:ascii="宋体" w:hAnsi="宋体" w:cs="宋体"/>
          <w:bCs/>
          <w:color w:val="auto"/>
          <w:kern w:val="0"/>
          <w:sz w:val="21"/>
          <w:szCs w:val="21"/>
          <w:highlight w:val="none"/>
        </w:rPr>
        <w:t xml:space="preserve">1.2 </w:t>
      </w:r>
      <w:r>
        <w:rPr>
          <w:rFonts w:hint="eastAsia" w:ascii="宋体" w:hAnsi="宋体" w:cs="宋体"/>
          <w:bCs/>
          <w:color w:val="auto"/>
          <w:kern w:val="0"/>
          <w:sz w:val="21"/>
          <w:szCs w:val="21"/>
          <w:highlight w:val="none"/>
        </w:rPr>
        <w:t>采购内容：</w:t>
      </w:r>
    </w:p>
    <w:p w14:paraId="351F120D">
      <w:pPr>
        <w:spacing w:line="360" w:lineRule="auto"/>
        <w:ind w:firstLine="420" w:firstLineChars="200"/>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号：平公资采2024681号-2</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AED除颤仪5、便携式推车10、充气帐篷（40m2）5、充气帐篷（60m2）5、大功率发电机1、单兵携行包（箱）30、浮艇泵3、航空运输箱30、静音发电机5、空气呼吸器瓶30、千斤顶5、手抬机动泵3、婴儿呼吸袋5；</w:t>
      </w:r>
    </w:p>
    <w:p w14:paraId="2FDA5B29">
      <w:pPr>
        <w:spacing w:line="360" w:lineRule="auto"/>
        <w:ind w:firstLine="420" w:firstLineChars="200"/>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号：平公资采2024681号-3</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冰面救援滑板4、充气救援艇（橡皮艇）1、船型担架5、多功能担架15、多功能省力系统50、多功能水枪44、救生抛投器5、救援三角架6、卷扬机5、可漂浮救生担架5、气动起重气垫2、躯体固定气囊5、水面漂浮救生绳（200米）1、通用安全绳（200米）30、舷外机（含油箱防护罩）2、橡皮艇1、移动供气源6、移动式消防炮5、肢体固定气囊5、重型支撑套具2。</w:t>
      </w:r>
    </w:p>
    <w:p w14:paraId="45F85DF9">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 xml:space="preserve">1.3 </w:t>
      </w:r>
      <w:r>
        <w:rPr>
          <w:rFonts w:hint="eastAsia" w:ascii="宋体" w:hAnsi="宋体" w:cs="宋体"/>
          <w:bCs/>
          <w:color w:val="auto"/>
          <w:kern w:val="0"/>
          <w:sz w:val="21"/>
          <w:szCs w:val="21"/>
          <w:highlight w:val="none"/>
        </w:rPr>
        <w:t>质量要求：合格（符合现行国家、行业、地方相关规范要求）。</w:t>
      </w:r>
    </w:p>
    <w:p w14:paraId="073B691E">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交货地点：采购人指定地点。</w:t>
      </w:r>
    </w:p>
    <w:p w14:paraId="67C86D8A">
      <w:pPr>
        <w:pStyle w:val="25"/>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1.</w:t>
      </w:r>
      <w:r>
        <w:rPr>
          <w:rFonts w:hint="eastAsia" w:hAnsi="宋体"/>
          <w:bCs/>
          <w:color w:val="auto"/>
          <w:sz w:val="21"/>
          <w:szCs w:val="21"/>
          <w:highlight w:val="none"/>
          <w:lang w:val="en-US" w:eastAsia="zh-CN"/>
        </w:rPr>
        <w:t>5</w:t>
      </w:r>
      <w:r>
        <w:rPr>
          <w:rFonts w:hAnsi="宋体"/>
          <w:bCs/>
          <w:color w:val="auto"/>
          <w:sz w:val="21"/>
          <w:szCs w:val="21"/>
          <w:highlight w:val="none"/>
        </w:rPr>
        <w:t xml:space="preserve"> </w:t>
      </w:r>
      <w:r>
        <w:rPr>
          <w:rFonts w:hint="eastAsia" w:hAnsi="宋体"/>
          <w:bCs/>
          <w:color w:val="auto"/>
          <w:sz w:val="21"/>
          <w:szCs w:val="21"/>
          <w:highlight w:val="none"/>
        </w:rPr>
        <w:t>项目分包情况</w:t>
      </w:r>
      <w:r>
        <w:rPr>
          <w:rFonts w:hint="eastAsia" w:hAnsi="宋体"/>
          <w:bCs/>
          <w:color w:val="auto"/>
          <w:sz w:val="21"/>
          <w:szCs w:val="21"/>
          <w:highlight w:val="none"/>
          <w:lang w:eastAsia="zh-CN"/>
        </w:rPr>
        <w:t>（</w:t>
      </w:r>
      <w:r>
        <w:rPr>
          <w:rFonts w:hint="eastAsia" w:hAnsi="宋体"/>
          <w:bCs/>
          <w:color w:val="auto"/>
          <w:sz w:val="21"/>
          <w:szCs w:val="21"/>
          <w:highlight w:val="none"/>
          <w:lang w:val="en-US" w:eastAsia="zh-CN"/>
        </w:rPr>
        <w:t>包6、包9</w:t>
      </w:r>
      <w:r>
        <w:rPr>
          <w:rFonts w:hint="eastAsia" w:hAnsi="宋体"/>
          <w:bCs/>
          <w:color w:val="auto"/>
          <w:sz w:val="21"/>
          <w:szCs w:val="21"/>
          <w:highlight w:val="none"/>
          <w:lang w:eastAsia="zh-CN"/>
        </w:rPr>
        <w:t>）：</w:t>
      </w:r>
    </w:p>
    <w:tbl>
      <w:tblPr>
        <w:tblStyle w:val="22"/>
        <w:tblW w:w="92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540"/>
        <w:gridCol w:w="1586"/>
        <w:gridCol w:w="431"/>
        <w:gridCol w:w="633"/>
        <w:gridCol w:w="908"/>
        <w:gridCol w:w="969"/>
        <w:gridCol w:w="935"/>
        <w:gridCol w:w="815"/>
        <w:gridCol w:w="756"/>
        <w:gridCol w:w="1210"/>
      </w:tblGrid>
      <w:tr w14:paraId="76D6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CD0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2E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w:t>
            </w:r>
            <w:r>
              <w:rPr>
                <w:rFonts w:hint="eastAsia" w:ascii="宋体" w:hAnsi="宋体" w:cs="宋体"/>
                <w:b/>
                <w:bCs/>
                <w:i w:val="0"/>
                <w:iCs w:val="0"/>
                <w:color w:val="auto"/>
                <w:kern w:val="0"/>
                <w:sz w:val="18"/>
                <w:szCs w:val="18"/>
                <w:highlight w:val="none"/>
                <w:u w:val="none"/>
                <w:lang w:val="en-US" w:eastAsia="zh-CN" w:bidi="ar"/>
              </w:rPr>
              <w:t>名称</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410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C47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核心产品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72F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F26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预算单价（单品最高限价）（万元）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B9C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单品合计金额（万元）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3BD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包最高限价（万元）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B67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质保期（年，自验收合格之日算起）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33F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交货期</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AA5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提供证明材料</w:t>
            </w:r>
          </w:p>
        </w:tc>
      </w:tr>
      <w:tr w14:paraId="517C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C1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5E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包6</w:t>
            </w: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131AC2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AED除颤仪</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7003">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0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46F11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A8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36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108.416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60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restart"/>
            <w:tcBorders>
              <w:top w:val="single" w:color="000000" w:sz="4" w:space="0"/>
              <w:left w:val="single" w:color="000000" w:sz="4" w:space="0"/>
              <w:right w:val="single" w:color="000000" w:sz="4" w:space="0"/>
            </w:tcBorders>
            <w:shd w:val="clear" w:color="auto" w:fill="auto"/>
            <w:vAlign w:val="center"/>
          </w:tcPr>
          <w:p w14:paraId="06FDEEAF">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自样品验收合格之日起30日历天，合格样品须于合同签订之日起10日内提供，交货的货物必须是发布中标公告后生产日期（验收时，提供证明或原材料进货证明）；</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82F7">
            <w:pPr>
              <w:jc w:val="both"/>
              <w:rPr>
                <w:rFonts w:hint="eastAsia" w:ascii="宋体" w:hAnsi="宋体" w:eastAsia="宋体" w:cs="宋体"/>
                <w:i w:val="0"/>
                <w:iCs w:val="0"/>
                <w:color w:val="auto"/>
                <w:sz w:val="18"/>
                <w:szCs w:val="18"/>
                <w:highlight w:val="none"/>
                <w:u w:val="none"/>
              </w:rPr>
            </w:pPr>
          </w:p>
        </w:tc>
      </w:tr>
      <w:tr w14:paraId="73B5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49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44BB">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5E847C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便携式推车</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CFCD">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CD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274383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EB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A8C7">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CA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065C">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0235">
            <w:pPr>
              <w:jc w:val="both"/>
              <w:rPr>
                <w:rFonts w:hint="eastAsia" w:ascii="宋体" w:hAnsi="宋体" w:eastAsia="宋体" w:cs="宋体"/>
                <w:i w:val="0"/>
                <w:iCs w:val="0"/>
                <w:color w:val="auto"/>
                <w:sz w:val="18"/>
                <w:szCs w:val="18"/>
                <w:highlight w:val="none"/>
                <w:u w:val="none"/>
              </w:rPr>
            </w:pPr>
          </w:p>
        </w:tc>
      </w:tr>
      <w:tr w14:paraId="598B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AD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84F2">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345A1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充气帐篷（40m2）</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31C8">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F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295DB8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DE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C728">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AE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A290">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2B6A">
            <w:pPr>
              <w:jc w:val="both"/>
              <w:rPr>
                <w:rFonts w:hint="eastAsia" w:ascii="宋体" w:hAnsi="宋体" w:eastAsia="宋体" w:cs="宋体"/>
                <w:i w:val="0"/>
                <w:iCs w:val="0"/>
                <w:color w:val="auto"/>
                <w:sz w:val="18"/>
                <w:szCs w:val="18"/>
                <w:highlight w:val="none"/>
                <w:u w:val="none"/>
              </w:rPr>
            </w:pPr>
          </w:p>
        </w:tc>
      </w:tr>
      <w:tr w14:paraId="5EC7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2A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CE53">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7A1AB7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充气帐篷（60m2）</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5D72">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D1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4C7C76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7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D4B2">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B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EFDB8">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6A18">
            <w:pPr>
              <w:jc w:val="both"/>
              <w:rPr>
                <w:rFonts w:hint="eastAsia" w:ascii="宋体" w:hAnsi="宋体" w:eastAsia="宋体" w:cs="宋体"/>
                <w:i w:val="0"/>
                <w:iCs w:val="0"/>
                <w:color w:val="auto"/>
                <w:sz w:val="18"/>
                <w:szCs w:val="18"/>
                <w:highlight w:val="none"/>
                <w:u w:val="none"/>
              </w:rPr>
            </w:pPr>
          </w:p>
        </w:tc>
      </w:tr>
      <w:tr w14:paraId="5EF9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3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E94F">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42538D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大功率发电机</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8B25">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0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6F45D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1E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A3E7">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57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11F92">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907F">
            <w:pPr>
              <w:jc w:val="both"/>
              <w:rPr>
                <w:rFonts w:hint="eastAsia" w:ascii="宋体" w:hAnsi="宋体" w:eastAsia="宋体" w:cs="宋体"/>
                <w:i w:val="0"/>
                <w:iCs w:val="0"/>
                <w:color w:val="auto"/>
                <w:sz w:val="18"/>
                <w:szCs w:val="18"/>
                <w:highlight w:val="none"/>
                <w:u w:val="none"/>
              </w:rPr>
            </w:pPr>
          </w:p>
        </w:tc>
      </w:tr>
      <w:tr w14:paraId="3707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DE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760F">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5A1598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单兵携行包（箱）</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B6FE">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5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2392B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2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C733">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71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2C13">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010">
            <w:pPr>
              <w:jc w:val="both"/>
              <w:rPr>
                <w:rFonts w:hint="eastAsia" w:ascii="宋体" w:hAnsi="宋体" w:eastAsia="宋体" w:cs="宋体"/>
                <w:i w:val="0"/>
                <w:iCs w:val="0"/>
                <w:color w:val="auto"/>
                <w:sz w:val="18"/>
                <w:szCs w:val="18"/>
                <w:highlight w:val="none"/>
                <w:u w:val="none"/>
              </w:rPr>
            </w:pPr>
          </w:p>
        </w:tc>
      </w:tr>
      <w:tr w14:paraId="1488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E7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ED62">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30EE48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浮艇泵</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7696">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9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3984D6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7D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11.691</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BAC8">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BC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92E7F">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D9D1">
            <w:pPr>
              <w:jc w:val="both"/>
              <w:rPr>
                <w:rFonts w:hint="eastAsia" w:ascii="宋体" w:hAnsi="宋体" w:eastAsia="宋体" w:cs="宋体"/>
                <w:i w:val="0"/>
                <w:iCs w:val="0"/>
                <w:color w:val="auto"/>
                <w:sz w:val="18"/>
                <w:szCs w:val="18"/>
                <w:highlight w:val="none"/>
                <w:u w:val="none"/>
              </w:rPr>
            </w:pPr>
          </w:p>
        </w:tc>
      </w:tr>
      <w:tr w14:paraId="0197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D1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05D5">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09BE3D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航空运输箱</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9C94">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3F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5F23F3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72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7186">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0C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221DE">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88F7">
            <w:pPr>
              <w:jc w:val="both"/>
              <w:rPr>
                <w:rFonts w:hint="eastAsia" w:ascii="宋体" w:hAnsi="宋体" w:eastAsia="宋体" w:cs="宋体"/>
                <w:i w:val="0"/>
                <w:iCs w:val="0"/>
                <w:color w:val="auto"/>
                <w:sz w:val="18"/>
                <w:szCs w:val="18"/>
                <w:highlight w:val="none"/>
                <w:u w:val="none"/>
              </w:rPr>
            </w:pPr>
          </w:p>
        </w:tc>
      </w:tr>
      <w:tr w14:paraId="2044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49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8C87">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1A091F3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静音发电机</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65C8">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3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1940A9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5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051A">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40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603B">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3F32">
            <w:pPr>
              <w:jc w:val="both"/>
              <w:rPr>
                <w:rFonts w:hint="eastAsia" w:ascii="宋体" w:hAnsi="宋体" w:eastAsia="宋体" w:cs="宋体"/>
                <w:i w:val="0"/>
                <w:iCs w:val="0"/>
                <w:color w:val="auto"/>
                <w:sz w:val="18"/>
                <w:szCs w:val="18"/>
                <w:highlight w:val="none"/>
                <w:u w:val="none"/>
              </w:rPr>
            </w:pPr>
          </w:p>
        </w:tc>
      </w:tr>
      <w:tr w14:paraId="6487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0D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9D37">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2B12A9F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空气呼吸器瓶</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5C66">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D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136C6E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0.177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A8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5.31</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86BA">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96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B73C">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4ED">
            <w:pPr>
              <w:jc w:val="both"/>
              <w:rPr>
                <w:rFonts w:hint="eastAsia" w:ascii="宋体" w:hAnsi="宋体" w:eastAsia="宋体" w:cs="宋体"/>
                <w:i w:val="0"/>
                <w:iCs w:val="0"/>
                <w:color w:val="auto"/>
                <w:sz w:val="18"/>
                <w:szCs w:val="18"/>
                <w:highlight w:val="none"/>
                <w:u w:val="none"/>
              </w:rPr>
            </w:pPr>
          </w:p>
        </w:tc>
      </w:tr>
      <w:tr w14:paraId="1546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5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3798">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364192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千斤顶</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262D">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5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71EFD8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8C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E968">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5B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F4BF1">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C87F">
            <w:pPr>
              <w:jc w:val="both"/>
              <w:rPr>
                <w:rFonts w:hint="eastAsia" w:ascii="宋体" w:hAnsi="宋体" w:eastAsia="宋体" w:cs="宋体"/>
                <w:i w:val="0"/>
                <w:iCs w:val="0"/>
                <w:color w:val="auto"/>
                <w:sz w:val="18"/>
                <w:szCs w:val="18"/>
                <w:highlight w:val="none"/>
                <w:u w:val="none"/>
              </w:rPr>
            </w:pPr>
          </w:p>
        </w:tc>
      </w:tr>
      <w:tr w14:paraId="3E5F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DC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34A7">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07F2E3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手抬机动泵</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D0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12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4D8002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02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871">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5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75553">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723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01D9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C2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507D">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21DF23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婴儿呼吸袋</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B65D">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AC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222277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F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52EB">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A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A412">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DD89">
            <w:pPr>
              <w:jc w:val="both"/>
              <w:rPr>
                <w:rFonts w:hint="eastAsia" w:ascii="宋体" w:hAnsi="宋体" w:eastAsia="宋体" w:cs="宋体"/>
                <w:i w:val="0"/>
                <w:iCs w:val="0"/>
                <w:color w:val="auto"/>
                <w:sz w:val="18"/>
                <w:szCs w:val="18"/>
                <w:highlight w:val="none"/>
                <w:u w:val="none"/>
              </w:rPr>
            </w:pPr>
          </w:p>
        </w:tc>
      </w:tr>
      <w:tr w14:paraId="4CC2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94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97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包9</w:t>
            </w: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6F07B5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冰面救援滑板</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9B83">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E9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7F5E7E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84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BC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155.632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53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C582C">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32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2E78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98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2211">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72EDF1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充气救援艇（橡皮艇）</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63C6">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9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58D8A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82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5.357</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7CA8">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BD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5EF58">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47D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608F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5A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E6E0">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611E5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船型担架</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D6FD">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B3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7E7C87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B4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BCE0">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F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6825F">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0BF6">
            <w:pPr>
              <w:jc w:val="both"/>
              <w:rPr>
                <w:rFonts w:hint="eastAsia" w:ascii="宋体" w:hAnsi="宋体" w:eastAsia="宋体" w:cs="宋体"/>
                <w:i w:val="0"/>
                <w:iCs w:val="0"/>
                <w:color w:val="auto"/>
                <w:sz w:val="18"/>
                <w:szCs w:val="18"/>
                <w:highlight w:val="none"/>
                <w:u w:val="none"/>
              </w:rPr>
            </w:pPr>
          </w:p>
        </w:tc>
      </w:tr>
      <w:tr w14:paraId="79B0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18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77D0">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4CF66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多功能担架</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05EC">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D3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303BF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0.205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47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A2C7">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D9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6FB4">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728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00C9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4A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ACD5">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0B1A09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多功能省力系统</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D536">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BC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08ACA2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1A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40DE">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04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2DD03">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8513">
            <w:pPr>
              <w:jc w:val="both"/>
              <w:rPr>
                <w:rFonts w:hint="eastAsia" w:ascii="宋体" w:hAnsi="宋体" w:eastAsia="宋体" w:cs="宋体"/>
                <w:i w:val="0"/>
                <w:iCs w:val="0"/>
                <w:color w:val="auto"/>
                <w:sz w:val="18"/>
                <w:szCs w:val="18"/>
                <w:highlight w:val="none"/>
                <w:u w:val="none"/>
              </w:rPr>
            </w:pPr>
          </w:p>
        </w:tc>
      </w:tr>
      <w:tr w14:paraId="26B8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67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CC0A">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4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多功能水枪</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DECB">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F7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5F0DDE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0.575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3C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1DA7">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B5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FCCB7">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A399">
            <w:pPr>
              <w:jc w:val="both"/>
              <w:rPr>
                <w:rFonts w:hint="eastAsia" w:ascii="宋体" w:hAnsi="宋体" w:eastAsia="宋体" w:cs="宋体"/>
                <w:i w:val="0"/>
                <w:iCs w:val="0"/>
                <w:color w:val="auto"/>
                <w:sz w:val="18"/>
                <w:szCs w:val="18"/>
                <w:highlight w:val="none"/>
                <w:u w:val="none"/>
              </w:rPr>
            </w:pPr>
          </w:p>
        </w:tc>
      </w:tr>
      <w:tr w14:paraId="6375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A9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F582">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3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救生抛投器</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7CDD">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6B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3FF897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3B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D74A">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EA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B287">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2BD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11E5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98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5D9B">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12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救援三角架</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7C60">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82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6BB35A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43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42C3">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0C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744A">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393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3C40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81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BFBD">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17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卷扬机</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D16E">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4D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12763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0E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5E89">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E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16088">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385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05CE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2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3FA1">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7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可漂浮救生担架</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1C81">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AE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670438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B9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D675">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B4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4D94">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971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3DA3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63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0C50">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5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气动起重气垫</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7C78">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0C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28CF24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8E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8B2B">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48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0114">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ACBB">
            <w:pPr>
              <w:jc w:val="both"/>
              <w:rPr>
                <w:rFonts w:hint="eastAsia" w:ascii="宋体" w:hAnsi="宋体" w:eastAsia="宋体" w:cs="宋体"/>
                <w:i w:val="0"/>
                <w:iCs w:val="0"/>
                <w:color w:val="auto"/>
                <w:sz w:val="18"/>
                <w:szCs w:val="18"/>
                <w:highlight w:val="none"/>
                <w:u w:val="none"/>
              </w:rPr>
            </w:pPr>
          </w:p>
        </w:tc>
      </w:tr>
      <w:tr w14:paraId="793C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2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FF00">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14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躯体固定气囊</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107F">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41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4253C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BA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7074">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C1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13A9">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489D">
            <w:pPr>
              <w:jc w:val="both"/>
              <w:rPr>
                <w:rFonts w:hint="eastAsia" w:ascii="宋体" w:hAnsi="宋体" w:eastAsia="宋体" w:cs="宋体"/>
                <w:i w:val="0"/>
                <w:iCs w:val="0"/>
                <w:color w:val="auto"/>
                <w:sz w:val="18"/>
                <w:szCs w:val="18"/>
                <w:highlight w:val="none"/>
                <w:u w:val="none"/>
              </w:rPr>
            </w:pPr>
          </w:p>
        </w:tc>
      </w:tr>
      <w:tr w14:paraId="1FF8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3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3297">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C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水面漂浮救生绳（200米）</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A3A4">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C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041ABA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0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9FC7">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9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2F29">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E8B0">
            <w:pPr>
              <w:jc w:val="both"/>
              <w:rPr>
                <w:rFonts w:hint="eastAsia" w:ascii="宋体" w:hAnsi="宋体" w:eastAsia="宋体" w:cs="宋体"/>
                <w:i w:val="0"/>
                <w:iCs w:val="0"/>
                <w:color w:val="auto"/>
                <w:sz w:val="18"/>
                <w:szCs w:val="18"/>
                <w:highlight w:val="none"/>
                <w:u w:val="none"/>
              </w:rPr>
            </w:pPr>
          </w:p>
        </w:tc>
      </w:tr>
      <w:tr w14:paraId="070D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B9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518E">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F4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通用安全绳（200米）</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1A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CB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660BC7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6B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6E77">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0B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346E">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275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25F7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70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C4B">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BC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舷外机（含油箱防护罩）</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AF6B">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EA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434E6B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A5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4.826</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D50F">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4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D1181">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D31F">
            <w:pPr>
              <w:jc w:val="both"/>
              <w:rPr>
                <w:rFonts w:hint="eastAsia" w:ascii="宋体" w:hAnsi="宋体" w:eastAsia="宋体" w:cs="宋体"/>
                <w:i w:val="0"/>
                <w:iCs w:val="0"/>
                <w:color w:val="auto"/>
                <w:sz w:val="18"/>
                <w:szCs w:val="18"/>
                <w:highlight w:val="none"/>
                <w:u w:val="none"/>
              </w:rPr>
            </w:pPr>
          </w:p>
        </w:tc>
      </w:tr>
      <w:tr w14:paraId="23F8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52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C78B">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78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橡皮艇</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80A5">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E5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2FB863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36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5.164</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9737">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78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9E959">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497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105E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44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1E7B">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24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移动供气源</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5F03">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20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711788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0A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91E2">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7F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D588">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313C">
            <w:pPr>
              <w:jc w:val="both"/>
              <w:rPr>
                <w:rFonts w:hint="eastAsia" w:ascii="宋体" w:hAnsi="宋体" w:eastAsia="宋体" w:cs="宋体"/>
                <w:i w:val="0"/>
                <w:iCs w:val="0"/>
                <w:color w:val="auto"/>
                <w:sz w:val="18"/>
                <w:szCs w:val="18"/>
                <w:highlight w:val="none"/>
                <w:u w:val="none"/>
              </w:rPr>
            </w:pPr>
          </w:p>
        </w:tc>
      </w:tr>
      <w:tr w14:paraId="2402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C4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C97A">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4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移动式消防炮</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236D">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F7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5ABC39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6B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11.87</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4C25">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0E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E6DCF">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2843">
            <w:pPr>
              <w:jc w:val="both"/>
              <w:rPr>
                <w:rFonts w:hint="eastAsia" w:ascii="宋体" w:hAnsi="宋体" w:eastAsia="宋体" w:cs="宋体"/>
                <w:i w:val="0"/>
                <w:iCs w:val="0"/>
                <w:color w:val="auto"/>
                <w:sz w:val="18"/>
                <w:szCs w:val="18"/>
                <w:highlight w:val="none"/>
                <w:u w:val="none"/>
              </w:rPr>
            </w:pPr>
          </w:p>
        </w:tc>
      </w:tr>
      <w:tr w14:paraId="3C64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F9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7EEC">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19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肢体固定气囊</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8210">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79216E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0.172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42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0.86</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4AB5">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0D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D30D5">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1CB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14:paraId="0193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50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31D8">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5C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重型支撑套具</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B934">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5B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14:paraId="3E600A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E0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7587">
            <w:pPr>
              <w:jc w:val="center"/>
              <w:rPr>
                <w:rFonts w:hint="eastAsia" w:ascii="宋体" w:hAnsi="宋体" w:eastAsia="宋体" w:cs="宋体"/>
                <w:i w:val="0"/>
                <w:iCs w:val="0"/>
                <w:color w:val="auto"/>
                <w:sz w:val="18"/>
                <w:szCs w:val="18"/>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04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9318">
            <w:pPr>
              <w:jc w:val="center"/>
              <w:rPr>
                <w:rFonts w:hint="eastAsia" w:ascii="宋体" w:hAnsi="宋体" w:eastAsia="宋体" w:cs="宋体"/>
                <w:i w:val="0"/>
                <w:iCs w:val="0"/>
                <w:color w:val="auto"/>
                <w:sz w:val="18"/>
                <w:szCs w:val="18"/>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60D8">
            <w:pPr>
              <w:jc w:val="both"/>
              <w:rPr>
                <w:rFonts w:hint="eastAsia" w:ascii="宋体" w:hAnsi="宋体" w:eastAsia="宋体" w:cs="宋体"/>
                <w:i w:val="0"/>
                <w:iCs w:val="0"/>
                <w:color w:val="auto"/>
                <w:sz w:val="18"/>
                <w:szCs w:val="18"/>
                <w:highlight w:val="none"/>
                <w:u w:val="none"/>
              </w:rPr>
            </w:pPr>
          </w:p>
        </w:tc>
      </w:tr>
    </w:tbl>
    <w:p w14:paraId="177D2EE6">
      <w:pPr>
        <w:rPr>
          <w:rFonts w:hint="eastAsia"/>
          <w:color w:val="auto"/>
          <w:highlight w:val="none"/>
          <w:lang w:eastAsia="zh-CN"/>
        </w:rPr>
      </w:pPr>
    </w:p>
    <w:p w14:paraId="546FB1FC">
      <w:pPr>
        <w:jc w:val="center"/>
        <w:rPr>
          <w:rFonts w:hint="eastAsia" w:ascii="宋体" w:hAnsi="宋体" w:eastAsia="宋体" w:cs="宋体"/>
          <w:b/>
          <w:bCs/>
          <w:i w:val="0"/>
          <w:iCs w:val="0"/>
          <w:color w:val="auto"/>
          <w:kern w:val="0"/>
          <w:sz w:val="20"/>
          <w:szCs w:val="20"/>
          <w:highlight w:val="none"/>
          <w:u w:val="none"/>
          <w:lang w:val="en-US" w:eastAsia="zh-CN" w:bidi="ar"/>
        </w:rPr>
      </w:pPr>
    </w:p>
    <w:p w14:paraId="36B6173D">
      <w:pPr>
        <w:jc w:val="center"/>
        <w:rPr>
          <w:rFonts w:hint="eastAsia" w:ascii="宋体" w:hAnsi="宋体" w:eastAsia="宋体" w:cs="宋体"/>
          <w:b/>
          <w:bCs/>
          <w:i w:val="0"/>
          <w:iCs w:val="0"/>
          <w:color w:val="auto"/>
          <w:kern w:val="0"/>
          <w:sz w:val="20"/>
          <w:szCs w:val="20"/>
          <w:highlight w:val="none"/>
          <w:u w:val="none"/>
          <w:lang w:val="en-US" w:eastAsia="zh-CN" w:bidi="ar"/>
        </w:rPr>
      </w:pPr>
    </w:p>
    <w:p w14:paraId="1B4ACEDD">
      <w:pPr>
        <w:jc w:val="center"/>
        <w:rPr>
          <w:rFonts w:hint="eastAsia" w:ascii="宋体" w:hAnsi="宋体" w:eastAsia="宋体" w:cs="宋体"/>
          <w:b/>
          <w:bCs/>
          <w:i w:val="0"/>
          <w:iCs w:val="0"/>
          <w:color w:val="auto"/>
          <w:kern w:val="0"/>
          <w:sz w:val="20"/>
          <w:szCs w:val="20"/>
          <w:highlight w:val="none"/>
          <w:u w:val="none"/>
          <w:lang w:val="en-US" w:eastAsia="zh-CN" w:bidi="ar"/>
        </w:rPr>
      </w:pPr>
    </w:p>
    <w:p w14:paraId="74B6F0B8">
      <w:pPr>
        <w:jc w:val="center"/>
        <w:rPr>
          <w:rFonts w:hint="eastAsia" w:ascii="宋体" w:hAnsi="宋体" w:eastAsia="宋体" w:cs="宋体"/>
          <w:b/>
          <w:bCs/>
          <w:i w:val="0"/>
          <w:iCs w:val="0"/>
          <w:color w:val="auto"/>
          <w:kern w:val="0"/>
          <w:sz w:val="20"/>
          <w:szCs w:val="20"/>
          <w:highlight w:val="none"/>
          <w:u w:val="none"/>
          <w:lang w:val="en-US" w:eastAsia="zh-CN" w:bidi="ar"/>
        </w:rPr>
      </w:pPr>
    </w:p>
    <w:p w14:paraId="553DBA2C">
      <w:pPr>
        <w:jc w:val="center"/>
        <w:rPr>
          <w:rFonts w:hint="eastAsia" w:ascii="宋体" w:hAnsi="宋体" w:eastAsia="宋体" w:cs="宋体"/>
          <w:b/>
          <w:bCs/>
          <w:i w:val="0"/>
          <w:iCs w:val="0"/>
          <w:color w:val="auto"/>
          <w:kern w:val="0"/>
          <w:sz w:val="20"/>
          <w:szCs w:val="20"/>
          <w:highlight w:val="none"/>
          <w:u w:val="none"/>
          <w:lang w:val="en-US" w:eastAsia="zh-CN" w:bidi="ar"/>
        </w:rPr>
      </w:pPr>
    </w:p>
    <w:p w14:paraId="2D051A91">
      <w:pPr>
        <w:jc w:val="center"/>
        <w:rPr>
          <w:rFonts w:hint="eastAsia" w:ascii="宋体" w:hAnsi="宋体" w:eastAsia="宋体" w:cs="宋体"/>
          <w:b/>
          <w:bCs/>
          <w:i w:val="0"/>
          <w:iCs w:val="0"/>
          <w:color w:val="auto"/>
          <w:kern w:val="0"/>
          <w:sz w:val="20"/>
          <w:szCs w:val="20"/>
          <w:highlight w:val="none"/>
          <w:u w:val="none"/>
          <w:lang w:val="en-US" w:eastAsia="zh-CN" w:bidi="ar"/>
        </w:rPr>
      </w:pPr>
    </w:p>
    <w:p w14:paraId="1EBF5A14">
      <w:pPr>
        <w:jc w:val="center"/>
        <w:rPr>
          <w:rFonts w:hint="eastAsia" w:ascii="宋体" w:hAnsi="宋体" w:eastAsia="宋体" w:cs="宋体"/>
          <w:b/>
          <w:bCs/>
          <w:i w:val="0"/>
          <w:iCs w:val="0"/>
          <w:color w:val="auto"/>
          <w:kern w:val="0"/>
          <w:sz w:val="20"/>
          <w:szCs w:val="20"/>
          <w:highlight w:val="none"/>
          <w:u w:val="none"/>
          <w:lang w:val="en-US" w:eastAsia="zh-CN" w:bidi="ar"/>
        </w:rPr>
      </w:pPr>
    </w:p>
    <w:p w14:paraId="63285296">
      <w:pPr>
        <w:jc w:val="center"/>
        <w:rPr>
          <w:rFonts w:hint="eastAsia" w:ascii="宋体" w:hAnsi="宋体" w:eastAsia="宋体" w:cs="宋体"/>
          <w:b/>
          <w:bCs/>
          <w:i w:val="0"/>
          <w:iCs w:val="0"/>
          <w:color w:val="auto"/>
          <w:kern w:val="0"/>
          <w:sz w:val="20"/>
          <w:szCs w:val="20"/>
          <w:highlight w:val="none"/>
          <w:u w:val="none"/>
          <w:lang w:val="en-US" w:eastAsia="zh-CN" w:bidi="ar"/>
        </w:rPr>
      </w:pPr>
    </w:p>
    <w:p w14:paraId="78CA41C4">
      <w:pPr>
        <w:jc w:val="center"/>
        <w:rPr>
          <w:rFonts w:hint="eastAsia" w:ascii="宋体" w:hAnsi="宋体" w:eastAsia="宋体" w:cs="宋体"/>
          <w:b/>
          <w:bCs/>
          <w:i w:val="0"/>
          <w:iCs w:val="0"/>
          <w:color w:val="auto"/>
          <w:kern w:val="0"/>
          <w:sz w:val="20"/>
          <w:szCs w:val="20"/>
          <w:highlight w:val="none"/>
          <w:u w:val="none"/>
          <w:lang w:val="en-US" w:eastAsia="zh-CN" w:bidi="ar"/>
        </w:rPr>
      </w:pPr>
    </w:p>
    <w:p w14:paraId="1D6A2D03">
      <w:pPr>
        <w:jc w:val="center"/>
        <w:rPr>
          <w:rFonts w:hint="eastAsia" w:ascii="宋体" w:hAnsi="宋体" w:eastAsia="宋体" w:cs="宋体"/>
          <w:b/>
          <w:bCs/>
          <w:i w:val="0"/>
          <w:iCs w:val="0"/>
          <w:color w:val="auto"/>
          <w:kern w:val="0"/>
          <w:sz w:val="20"/>
          <w:szCs w:val="20"/>
          <w:highlight w:val="none"/>
          <w:u w:val="none"/>
          <w:lang w:val="en-US" w:eastAsia="zh-CN" w:bidi="ar"/>
        </w:rPr>
      </w:pPr>
    </w:p>
    <w:p w14:paraId="05AFEAD4">
      <w:pPr>
        <w:jc w:val="center"/>
        <w:rPr>
          <w:rFonts w:hint="eastAsia" w:ascii="宋体" w:hAnsi="宋体" w:eastAsia="宋体" w:cs="宋体"/>
          <w:b/>
          <w:bCs/>
          <w:i w:val="0"/>
          <w:iCs w:val="0"/>
          <w:color w:val="auto"/>
          <w:kern w:val="0"/>
          <w:sz w:val="20"/>
          <w:szCs w:val="20"/>
          <w:highlight w:val="none"/>
          <w:u w:val="none"/>
          <w:lang w:val="en-US" w:eastAsia="zh-CN" w:bidi="ar"/>
        </w:rPr>
      </w:pPr>
    </w:p>
    <w:p w14:paraId="2F34EAFC">
      <w:pPr>
        <w:jc w:val="center"/>
        <w:rPr>
          <w:rFonts w:hint="eastAsia" w:ascii="宋体" w:hAnsi="宋体" w:eastAsia="宋体" w:cs="宋体"/>
          <w:b/>
          <w:bCs/>
          <w:i w:val="0"/>
          <w:iCs w:val="0"/>
          <w:color w:val="auto"/>
          <w:kern w:val="0"/>
          <w:sz w:val="20"/>
          <w:szCs w:val="20"/>
          <w:highlight w:val="none"/>
          <w:u w:val="none"/>
          <w:lang w:val="en-US" w:eastAsia="zh-CN" w:bidi="ar"/>
        </w:rPr>
      </w:pPr>
    </w:p>
    <w:p w14:paraId="1AA73420">
      <w:pPr>
        <w:jc w:val="center"/>
        <w:rPr>
          <w:rFonts w:hint="eastAsia" w:ascii="宋体" w:hAnsi="宋体" w:eastAsia="宋体" w:cs="宋体"/>
          <w:b/>
          <w:bCs/>
          <w:i w:val="0"/>
          <w:iCs w:val="0"/>
          <w:color w:val="auto"/>
          <w:kern w:val="0"/>
          <w:sz w:val="20"/>
          <w:szCs w:val="20"/>
          <w:highlight w:val="none"/>
          <w:u w:val="none"/>
          <w:lang w:val="en-US" w:eastAsia="zh-CN" w:bidi="ar"/>
        </w:rPr>
      </w:pPr>
    </w:p>
    <w:p w14:paraId="55F4BDF6">
      <w:pPr>
        <w:jc w:val="center"/>
        <w:rPr>
          <w:rFonts w:hint="eastAsia" w:ascii="宋体" w:hAnsi="宋体" w:eastAsia="宋体" w:cs="宋体"/>
          <w:b/>
          <w:bCs/>
          <w:i w:val="0"/>
          <w:iCs w:val="0"/>
          <w:color w:val="auto"/>
          <w:kern w:val="0"/>
          <w:sz w:val="20"/>
          <w:szCs w:val="20"/>
          <w:highlight w:val="none"/>
          <w:u w:val="none"/>
          <w:lang w:val="en-US" w:eastAsia="zh-CN" w:bidi="ar"/>
        </w:rPr>
      </w:pPr>
    </w:p>
    <w:p w14:paraId="54CEC9F9">
      <w:pPr>
        <w:jc w:val="center"/>
        <w:rPr>
          <w:rFonts w:hint="eastAsia" w:ascii="宋体" w:hAnsi="宋体" w:eastAsia="宋体" w:cs="宋体"/>
          <w:b/>
          <w:bCs/>
          <w:i w:val="0"/>
          <w:iCs w:val="0"/>
          <w:color w:val="auto"/>
          <w:kern w:val="0"/>
          <w:sz w:val="20"/>
          <w:szCs w:val="20"/>
          <w:highlight w:val="none"/>
          <w:u w:val="none"/>
          <w:lang w:val="en-US" w:eastAsia="zh-CN" w:bidi="ar"/>
        </w:rPr>
      </w:pPr>
    </w:p>
    <w:p w14:paraId="26B4A85D">
      <w:pPr>
        <w:jc w:val="center"/>
        <w:rPr>
          <w:rFonts w:hint="eastAsia" w:ascii="宋体" w:hAnsi="宋体" w:eastAsia="宋体" w:cs="宋体"/>
          <w:b/>
          <w:bCs/>
          <w:i w:val="0"/>
          <w:iCs w:val="0"/>
          <w:color w:val="auto"/>
          <w:kern w:val="0"/>
          <w:sz w:val="20"/>
          <w:szCs w:val="20"/>
          <w:highlight w:val="none"/>
          <w:u w:val="none"/>
          <w:lang w:val="en-US" w:eastAsia="zh-CN" w:bidi="ar"/>
        </w:rPr>
      </w:pPr>
    </w:p>
    <w:p w14:paraId="357DFCAD">
      <w:pPr>
        <w:jc w:val="center"/>
        <w:rPr>
          <w:rFonts w:hint="eastAsia" w:ascii="宋体" w:hAnsi="宋体" w:eastAsia="宋体" w:cs="宋体"/>
          <w:b/>
          <w:bCs/>
          <w:i w:val="0"/>
          <w:iCs w:val="0"/>
          <w:color w:val="auto"/>
          <w:kern w:val="0"/>
          <w:sz w:val="20"/>
          <w:szCs w:val="20"/>
          <w:highlight w:val="none"/>
          <w:u w:val="none"/>
          <w:lang w:val="en-US" w:eastAsia="zh-CN" w:bidi="ar"/>
        </w:rPr>
      </w:pPr>
    </w:p>
    <w:p w14:paraId="3335FCEA">
      <w:pPr>
        <w:jc w:val="center"/>
        <w:rPr>
          <w:rFonts w:hint="eastAsia" w:ascii="宋体" w:hAnsi="宋体" w:eastAsia="宋体" w:cs="宋体"/>
          <w:b/>
          <w:bCs/>
          <w:i w:val="0"/>
          <w:iCs w:val="0"/>
          <w:color w:val="auto"/>
          <w:kern w:val="0"/>
          <w:sz w:val="20"/>
          <w:szCs w:val="20"/>
          <w:highlight w:val="none"/>
          <w:u w:val="none"/>
          <w:lang w:val="en-US" w:eastAsia="zh-CN" w:bidi="ar"/>
        </w:rPr>
      </w:pPr>
    </w:p>
    <w:p w14:paraId="554B8B9D">
      <w:pPr>
        <w:jc w:val="center"/>
        <w:rPr>
          <w:rFonts w:hint="eastAsia" w:ascii="宋体" w:hAnsi="宋体" w:eastAsia="宋体" w:cs="宋体"/>
          <w:b/>
          <w:bCs/>
          <w:i w:val="0"/>
          <w:iCs w:val="0"/>
          <w:color w:val="auto"/>
          <w:kern w:val="0"/>
          <w:sz w:val="20"/>
          <w:szCs w:val="20"/>
          <w:highlight w:val="none"/>
          <w:u w:val="none"/>
          <w:lang w:val="en-US" w:eastAsia="zh-CN" w:bidi="ar"/>
        </w:rPr>
      </w:pPr>
    </w:p>
    <w:p w14:paraId="66866896">
      <w:pPr>
        <w:jc w:val="center"/>
        <w:rPr>
          <w:rFonts w:hint="eastAsia" w:ascii="宋体" w:hAnsi="宋体" w:eastAsia="宋体" w:cs="宋体"/>
          <w:b/>
          <w:bCs/>
          <w:i w:val="0"/>
          <w:iCs w:val="0"/>
          <w:color w:val="auto"/>
          <w:kern w:val="0"/>
          <w:sz w:val="20"/>
          <w:szCs w:val="20"/>
          <w:highlight w:val="none"/>
          <w:u w:val="none"/>
          <w:lang w:val="en-US" w:eastAsia="zh-CN" w:bidi="ar"/>
        </w:rPr>
      </w:pPr>
    </w:p>
    <w:p w14:paraId="687B8BFE">
      <w:pPr>
        <w:jc w:val="center"/>
        <w:rPr>
          <w:rFonts w:hint="eastAsia" w:ascii="宋体" w:hAnsi="宋体" w:eastAsia="宋体" w:cs="宋体"/>
          <w:b/>
          <w:bCs/>
          <w:i w:val="0"/>
          <w:iCs w:val="0"/>
          <w:color w:val="auto"/>
          <w:kern w:val="0"/>
          <w:sz w:val="20"/>
          <w:szCs w:val="20"/>
          <w:highlight w:val="none"/>
          <w:u w:val="none"/>
          <w:lang w:val="en-US" w:eastAsia="zh-CN" w:bidi="ar"/>
        </w:rPr>
      </w:pPr>
    </w:p>
    <w:p w14:paraId="72222ECD">
      <w:pPr>
        <w:jc w:val="center"/>
        <w:rPr>
          <w:rFonts w:hint="eastAsia" w:ascii="宋体" w:hAnsi="宋体" w:eastAsia="宋体" w:cs="宋体"/>
          <w:b/>
          <w:bCs/>
          <w:i w:val="0"/>
          <w:iCs w:val="0"/>
          <w:color w:val="auto"/>
          <w:kern w:val="0"/>
          <w:sz w:val="20"/>
          <w:szCs w:val="20"/>
          <w:highlight w:val="none"/>
          <w:u w:val="none"/>
          <w:lang w:val="en-US" w:eastAsia="zh-CN" w:bidi="ar"/>
        </w:rPr>
      </w:pPr>
    </w:p>
    <w:p w14:paraId="37524E68">
      <w:pPr>
        <w:jc w:val="center"/>
        <w:rPr>
          <w:rFonts w:hint="eastAsia" w:ascii="宋体" w:hAnsi="宋体" w:eastAsia="宋体" w:cs="宋体"/>
          <w:b/>
          <w:bCs/>
          <w:i w:val="0"/>
          <w:iCs w:val="0"/>
          <w:color w:val="auto"/>
          <w:kern w:val="0"/>
          <w:sz w:val="20"/>
          <w:szCs w:val="20"/>
          <w:highlight w:val="none"/>
          <w:u w:val="none"/>
          <w:lang w:val="en-US" w:eastAsia="zh-CN" w:bidi="ar"/>
        </w:rPr>
      </w:pPr>
    </w:p>
    <w:p w14:paraId="61050C18">
      <w:pPr>
        <w:jc w:val="center"/>
        <w:rPr>
          <w:rFonts w:hint="eastAsia" w:ascii="宋体" w:hAnsi="宋体" w:eastAsia="宋体" w:cs="宋体"/>
          <w:b/>
          <w:bCs/>
          <w:i w:val="0"/>
          <w:iCs w:val="0"/>
          <w:color w:val="auto"/>
          <w:kern w:val="0"/>
          <w:sz w:val="20"/>
          <w:szCs w:val="20"/>
          <w:highlight w:val="none"/>
          <w:u w:val="none"/>
          <w:lang w:val="en-US" w:eastAsia="zh-CN" w:bidi="ar"/>
        </w:rPr>
      </w:pPr>
    </w:p>
    <w:p w14:paraId="5B0B79A2">
      <w:pPr>
        <w:jc w:val="center"/>
        <w:rPr>
          <w:rFonts w:hint="eastAsia" w:ascii="宋体" w:hAnsi="宋体" w:eastAsia="宋体" w:cs="宋体"/>
          <w:b/>
          <w:bCs/>
          <w:i w:val="0"/>
          <w:iCs w:val="0"/>
          <w:color w:val="auto"/>
          <w:kern w:val="0"/>
          <w:sz w:val="20"/>
          <w:szCs w:val="20"/>
          <w:highlight w:val="none"/>
          <w:u w:val="none"/>
          <w:lang w:val="en-US" w:eastAsia="zh-CN" w:bidi="ar"/>
        </w:rPr>
      </w:pPr>
    </w:p>
    <w:p w14:paraId="720C51FD">
      <w:pPr>
        <w:jc w:val="center"/>
        <w:rPr>
          <w:rFonts w:hint="eastAsia" w:ascii="宋体" w:hAnsi="宋体" w:eastAsia="宋体" w:cs="宋体"/>
          <w:b/>
          <w:bCs/>
          <w:i w:val="0"/>
          <w:iCs w:val="0"/>
          <w:color w:val="auto"/>
          <w:kern w:val="0"/>
          <w:sz w:val="20"/>
          <w:szCs w:val="20"/>
          <w:highlight w:val="none"/>
          <w:u w:val="none"/>
          <w:lang w:val="en-US" w:eastAsia="zh-CN" w:bidi="ar"/>
        </w:rPr>
      </w:pPr>
    </w:p>
    <w:p w14:paraId="2658D2DF">
      <w:pPr>
        <w:jc w:val="center"/>
        <w:rPr>
          <w:rFonts w:hint="eastAsia" w:ascii="宋体" w:hAnsi="宋体" w:eastAsia="宋体" w:cs="宋体"/>
          <w:b/>
          <w:bCs/>
          <w:i w:val="0"/>
          <w:iCs w:val="0"/>
          <w:color w:val="auto"/>
          <w:kern w:val="0"/>
          <w:sz w:val="20"/>
          <w:szCs w:val="20"/>
          <w:highlight w:val="none"/>
          <w:u w:val="none"/>
          <w:lang w:val="en-US" w:eastAsia="zh-CN" w:bidi="ar"/>
        </w:rPr>
      </w:pPr>
    </w:p>
    <w:p w14:paraId="63C90957">
      <w:pPr>
        <w:jc w:val="center"/>
        <w:rPr>
          <w:rFonts w:hint="eastAsia" w:ascii="宋体" w:hAnsi="宋体" w:eastAsia="宋体" w:cs="宋体"/>
          <w:b/>
          <w:bCs/>
          <w:i w:val="0"/>
          <w:iCs w:val="0"/>
          <w:color w:val="auto"/>
          <w:kern w:val="0"/>
          <w:sz w:val="20"/>
          <w:szCs w:val="20"/>
          <w:highlight w:val="none"/>
          <w:u w:val="none"/>
          <w:lang w:val="en-US" w:eastAsia="zh-CN" w:bidi="ar"/>
        </w:rPr>
      </w:pPr>
    </w:p>
    <w:p w14:paraId="517FCC10">
      <w:pPr>
        <w:jc w:val="center"/>
        <w:rPr>
          <w:rFonts w:hint="eastAsia" w:ascii="宋体" w:hAnsi="宋体" w:eastAsia="宋体" w:cs="宋体"/>
          <w:b/>
          <w:bCs/>
          <w:i w:val="0"/>
          <w:iCs w:val="0"/>
          <w:color w:val="auto"/>
          <w:kern w:val="0"/>
          <w:sz w:val="20"/>
          <w:szCs w:val="20"/>
          <w:highlight w:val="none"/>
          <w:u w:val="none"/>
          <w:lang w:val="en-US" w:eastAsia="zh-CN" w:bidi="ar"/>
        </w:rPr>
      </w:pPr>
    </w:p>
    <w:p w14:paraId="5DE62BD8">
      <w:pPr>
        <w:jc w:val="center"/>
        <w:rPr>
          <w:rFonts w:hint="eastAsia" w:ascii="宋体" w:hAnsi="宋体" w:eastAsia="宋体" w:cs="宋体"/>
          <w:b/>
          <w:bCs/>
          <w:i w:val="0"/>
          <w:iCs w:val="0"/>
          <w:color w:val="auto"/>
          <w:kern w:val="0"/>
          <w:sz w:val="20"/>
          <w:szCs w:val="20"/>
          <w:highlight w:val="none"/>
          <w:u w:val="none"/>
          <w:lang w:val="en-US" w:eastAsia="zh-CN" w:bidi="ar"/>
        </w:rPr>
      </w:pPr>
    </w:p>
    <w:p w14:paraId="7A719F28">
      <w:pPr>
        <w:jc w:val="center"/>
        <w:rPr>
          <w:rFonts w:hint="eastAsia" w:ascii="宋体" w:hAnsi="宋体" w:eastAsia="宋体" w:cs="宋体"/>
          <w:b/>
          <w:bCs/>
          <w:i w:val="0"/>
          <w:iCs w:val="0"/>
          <w:color w:val="auto"/>
          <w:kern w:val="0"/>
          <w:sz w:val="20"/>
          <w:szCs w:val="20"/>
          <w:highlight w:val="none"/>
          <w:u w:val="none"/>
          <w:lang w:val="en-US" w:eastAsia="zh-CN" w:bidi="ar"/>
        </w:rPr>
      </w:pPr>
    </w:p>
    <w:p w14:paraId="4308C8CF">
      <w:pPr>
        <w:jc w:val="center"/>
        <w:rPr>
          <w:rFonts w:hint="eastAsia" w:ascii="宋体" w:hAnsi="宋体" w:eastAsia="宋体" w:cs="宋体"/>
          <w:b/>
          <w:bCs/>
          <w:i w:val="0"/>
          <w:iCs w:val="0"/>
          <w:color w:val="auto"/>
          <w:kern w:val="0"/>
          <w:sz w:val="20"/>
          <w:szCs w:val="20"/>
          <w:highlight w:val="none"/>
          <w:u w:val="none"/>
          <w:lang w:val="en-US" w:eastAsia="zh-CN" w:bidi="ar"/>
        </w:rPr>
      </w:pPr>
    </w:p>
    <w:p w14:paraId="73893BA1">
      <w:pPr>
        <w:jc w:val="center"/>
        <w:rPr>
          <w:rFonts w:hint="eastAsia" w:ascii="宋体" w:hAnsi="宋体" w:eastAsia="宋体" w:cs="宋体"/>
          <w:b/>
          <w:bCs/>
          <w:i w:val="0"/>
          <w:iCs w:val="0"/>
          <w:color w:val="auto"/>
          <w:kern w:val="0"/>
          <w:sz w:val="20"/>
          <w:szCs w:val="20"/>
          <w:highlight w:val="none"/>
          <w:u w:val="none"/>
          <w:lang w:val="en-US" w:eastAsia="zh-CN" w:bidi="ar"/>
        </w:rPr>
      </w:pPr>
    </w:p>
    <w:p w14:paraId="72498CFA">
      <w:pPr>
        <w:spacing w:line="360" w:lineRule="auto"/>
        <w:jc w:val="center"/>
        <w:outlineLvl w:val="1"/>
        <w:rPr>
          <w:rFonts w:hint="eastAsia" w:ascii="宋体" w:hAnsi="宋体" w:eastAsia="宋体" w:cs="宋体"/>
          <w:color w:val="auto"/>
          <w:sz w:val="48"/>
          <w:szCs w:val="48"/>
          <w:highlight w:val="none"/>
        </w:rPr>
      </w:pPr>
      <w:bookmarkStart w:id="502" w:name="_Toc28402"/>
      <w:bookmarkStart w:id="503" w:name="_Toc4452"/>
      <w:bookmarkStart w:id="504" w:name="_Toc28115"/>
      <w:bookmarkStart w:id="505" w:name="_Toc16997"/>
      <w:r>
        <w:rPr>
          <w:rFonts w:hint="eastAsia" w:ascii="宋体" w:hAnsi="宋体" w:eastAsia="宋体" w:cs="宋体"/>
          <w:b/>
          <w:color w:val="auto"/>
          <w:sz w:val="32"/>
          <w:szCs w:val="32"/>
          <w:highlight w:val="none"/>
        </w:rPr>
        <w:t>二、技术要求</w:t>
      </w:r>
      <w:bookmarkEnd w:id="502"/>
      <w:bookmarkEnd w:id="503"/>
      <w:bookmarkEnd w:id="504"/>
      <w:bookmarkEnd w:id="505"/>
    </w:p>
    <w:p w14:paraId="4638F544">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技术通用部分</w:t>
      </w:r>
    </w:p>
    <w:p w14:paraId="71BBF7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1、投标产品符合国家、行业标准。</w:t>
      </w:r>
    </w:p>
    <w:p w14:paraId="6FE54C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2、交付时须附着由“消防装备物资信息采集系统”统一发行的装备物资二维码（或RFID）。</w:t>
      </w:r>
    </w:p>
    <w:p w14:paraId="2F0CE5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3、统型要求：所有装备技术、规格、性能、款式等要素，应等同或优于应急管理部消防救援局最近有关装备统型技术要求（若有）。</w:t>
      </w:r>
    </w:p>
    <w:p w14:paraId="5D04C4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4、生产日期：发布中标公告后生产日期（验收时，提供证明或原材料进货证明）；</w:t>
      </w:r>
    </w:p>
    <w:p w14:paraId="2FF3DB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5、配套资料：产品合格证、质量检验报告、中文版使用说明书（1份/件套），视频和PPT电子档（包括技术性能介绍、操作使用规程，注意事项、维护保养规程及方法；</w:t>
      </w:r>
    </w:p>
    <w:p w14:paraId="7929D0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6、产品标识：打印或永久性粘贴厂家信息标签，标签耐水、耐磨、不易掉色；标签内容包括售后服务电话、生产日期、厂家名称、产品名称及型号。</w:t>
      </w:r>
    </w:p>
    <w:p w14:paraId="42D4FB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7、所有投标单位均应自愿接受按照采购方装备外观统型要求，免费设计配送标识、包装及外观。</w:t>
      </w:r>
    </w:p>
    <w:p w14:paraId="35E23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8、提供所投产品备品备件清单（若有），内附单价，采购人可按照此价格采购。</w:t>
      </w:r>
    </w:p>
    <w:p w14:paraId="46901D38">
      <w:pPr>
        <w:pStyle w:val="20"/>
        <w:spacing w:line="360" w:lineRule="auto"/>
        <w:rPr>
          <w:rFonts w:hint="eastAsia" w:ascii="宋体" w:hAnsi="宋体" w:eastAsia="宋体" w:cs="宋体"/>
          <w:color w:val="auto"/>
          <w:highlight w:val="none"/>
        </w:rPr>
      </w:pPr>
    </w:p>
    <w:p w14:paraId="64A3CF4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技术需求专用部分</w:t>
      </w:r>
    </w:p>
    <w:p w14:paraId="4E889DD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color w:val="auto"/>
          <w:sz w:val="32"/>
          <w:szCs w:val="32"/>
          <w:highlight w:val="none"/>
          <w:lang w:eastAsia="zh-CN" w:bidi="ar"/>
        </w:rPr>
      </w:pPr>
      <w:r>
        <w:rPr>
          <w:rFonts w:hint="eastAsia" w:ascii="宋体" w:hAnsi="宋体" w:cs="宋体"/>
          <w:color w:val="auto"/>
          <w:sz w:val="32"/>
          <w:szCs w:val="32"/>
          <w:highlight w:val="none"/>
          <w:lang w:eastAsia="zh-CN" w:bidi="ar"/>
        </w:rPr>
        <w:t>（包</w:t>
      </w:r>
      <w:r>
        <w:rPr>
          <w:rFonts w:hint="eastAsia" w:ascii="宋体" w:hAnsi="宋体" w:cs="宋体"/>
          <w:color w:val="auto"/>
          <w:sz w:val="32"/>
          <w:szCs w:val="32"/>
          <w:highlight w:val="none"/>
          <w:lang w:val="en-US" w:eastAsia="zh-CN" w:bidi="ar"/>
        </w:rPr>
        <w:t>6</w:t>
      </w:r>
      <w:r>
        <w:rPr>
          <w:rFonts w:hint="eastAsia" w:ascii="宋体" w:hAnsi="宋体" w:cs="宋体"/>
          <w:color w:val="auto"/>
          <w:sz w:val="32"/>
          <w:szCs w:val="32"/>
          <w:highlight w:val="none"/>
          <w:lang w:eastAsia="zh-CN" w:bidi="ar"/>
        </w:rPr>
        <w:t>）</w:t>
      </w:r>
    </w:p>
    <w:p w14:paraId="64382B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1、AED除颤仪</w:t>
      </w:r>
    </w:p>
    <w:p w14:paraId="6C6DC9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技术参数：用于体外除颤。</w:t>
      </w:r>
    </w:p>
    <w:p w14:paraId="5E75F2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1、除颤波形为双相指数截断波形，除颤能量可根据阻抗动态调整，支持成人及儿童除颤模式，可一键相互切换；</w:t>
      </w:r>
    </w:p>
    <w:p w14:paraId="0B0EE9DC">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2、设备防水防尘级别≥IP55，设备抗跌落高度不小于 1.2 米；</w:t>
      </w:r>
    </w:p>
    <w:p w14:paraId="7E3C836C">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3、输出的最大成人除颤能量≧150J，输出的最大儿童除颤能量≧ 50J；</w:t>
      </w:r>
    </w:p>
    <w:p w14:paraId="67D4DE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4、开机到放电准备就绪时间≤6s秒；</w:t>
      </w:r>
    </w:p>
    <w:p w14:paraId="305FAA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5、电极片有效期≥36个月；</w:t>
      </w:r>
    </w:p>
    <w:p w14:paraId="362B40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6、电池寿命≥5年；</w:t>
      </w:r>
    </w:p>
    <w:p w14:paraId="009BD1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7、提示低电量后还可实施电击次数≥5次及以上；</w:t>
      </w:r>
    </w:p>
    <w:p w14:paraId="3A92A4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8、具有可电击心律分析识别功能；</w:t>
      </w:r>
    </w:p>
    <w:p w14:paraId="289CE0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9、支持显示操作动作指导；</w:t>
      </w:r>
    </w:p>
    <w:p w14:paraId="47EC0D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10、设备默认自动调节音量，音量将适应环境噪声；</w:t>
      </w:r>
    </w:p>
    <w:p w14:paraId="3A491D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11、设备具有用户自检和设备自检功能；</w:t>
      </w:r>
    </w:p>
    <w:p w14:paraId="44CB03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12、数据传输：可通过USB和无线传输多方式导出数据；</w:t>
      </w:r>
    </w:p>
    <w:p w14:paraId="19C1C4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13、可储存抢救现场录音数据；</w:t>
      </w:r>
    </w:p>
    <w:p w14:paraId="489B8E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14、配置携行箱，材质应耐压耐腐蚀并具备防晒防水等功能；携行箱外观应比例协调，美观大方，并应根据采购方需求印制指定标识。</w:t>
      </w:r>
    </w:p>
    <w:p w14:paraId="5521327B">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2、便携式推车</w:t>
      </w:r>
    </w:p>
    <w:p w14:paraId="28B21F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技术参数：消防员运送物资。</w:t>
      </w:r>
    </w:p>
    <w:p w14:paraId="606F2C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1、材质：平板整体为钢结构。</w:t>
      </w:r>
    </w:p>
    <w:p w14:paraId="3BC466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2、平板尺寸≥120*70（cm）。</w:t>
      </w:r>
    </w:p>
    <w:p w14:paraId="2F87E7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3、配有电动行走、升降系统。</w:t>
      </w:r>
    </w:p>
    <w:p w14:paraId="6FD5E59E">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4、电机功率≥650W，适合在多种地面行驶。</w:t>
      </w:r>
    </w:p>
    <w:p w14:paraId="330C5844">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续航时间≥20 小时。</w:t>
      </w:r>
    </w:p>
    <w:p w14:paraId="4424F476">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轮胎</w:t>
      </w:r>
      <w:r>
        <w:rPr>
          <w:rFonts w:hint="eastAsia" w:ascii="宋体" w:hAnsi="宋体" w:eastAsia="宋体" w:cs="宋体"/>
          <w:color w:val="auto"/>
          <w:sz w:val="24"/>
          <w:szCs w:val="24"/>
          <w:highlight w:val="none"/>
        </w:rPr>
        <w:t>尺寸≥35cm</w:t>
      </w:r>
      <w:r>
        <w:rPr>
          <w:rFonts w:hint="eastAsia" w:ascii="宋体" w:hAnsi="宋体" w:eastAsia="宋体" w:cs="宋体"/>
          <w:color w:val="auto"/>
          <w:sz w:val="24"/>
          <w:szCs w:val="24"/>
          <w:highlight w:val="none"/>
          <w:lang w:eastAsia="zh"/>
        </w:rPr>
        <w:t>。</w:t>
      </w:r>
    </w:p>
    <w:p w14:paraId="3874F7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、行驶距离≥15km。</w:t>
      </w:r>
    </w:p>
    <w:p w14:paraId="259185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、爬坡角度≥30°。</w:t>
      </w:r>
    </w:p>
    <w:p w14:paraId="684E3F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9</w:t>
      </w:r>
      <w:r>
        <w:rPr>
          <w:rFonts w:hint="eastAsia" w:ascii="宋体" w:hAnsi="宋体" w:eastAsia="宋体" w:cs="宋体"/>
          <w:color w:val="auto"/>
          <w:sz w:val="24"/>
          <w:szCs w:val="24"/>
          <w:highlight w:val="none"/>
        </w:rPr>
        <w:t>、升降高度≥105cm。</w:t>
      </w:r>
    </w:p>
    <w:p w14:paraId="6E52BA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、升降载重≥300kg。</w:t>
      </w:r>
    </w:p>
    <w:p w14:paraId="7EA108D3">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1</w:t>
      </w:r>
      <w:r>
        <w:rPr>
          <w:rFonts w:hint="eastAsia" w:ascii="宋体" w:hAnsi="宋体" w:eastAsia="宋体" w:cs="宋体"/>
          <w:color w:val="auto"/>
          <w:sz w:val="24"/>
          <w:szCs w:val="24"/>
          <w:highlight w:val="none"/>
        </w:rPr>
        <w:t>、平地载重≥500kg。</w:t>
      </w:r>
    </w:p>
    <w:p w14:paraId="157BB8CD">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bidi="ar"/>
        </w:rPr>
        <w:t>12、</w:t>
      </w:r>
      <w:r>
        <w:rPr>
          <w:rFonts w:hint="eastAsia" w:ascii="宋体" w:hAnsi="宋体" w:eastAsia="宋体" w:cs="宋体"/>
          <w:color w:val="auto"/>
          <w:sz w:val="24"/>
          <w:szCs w:val="24"/>
          <w:highlight w:val="none"/>
          <w:lang w:bidi="ar"/>
        </w:rPr>
        <w:t>配备安全绳和绷带≥3根</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备胎、轮胎充气装置≥1套</w:t>
      </w:r>
      <w:r>
        <w:rPr>
          <w:rFonts w:hint="eastAsia" w:ascii="宋体" w:hAnsi="宋体" w:eastAsia="宋体" w:cs="宋体"/>
          <w:color w:val="auto"/>
          <w:sz w:val="24"/>
          <w:szCs w:val="24"/>
          <w:highlight w:val="none"/>
          <w:lang w:eastAsia="zh" w:bidi="ar"/>
        </w:rPr>
        <w:t>。</w:t>
      </w:r>
    </w:p>
    <w:p w14:paraId="1AE34D95">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、充气帐篷（40m2）</w:t>
      </w:r>
    </w:p>
    <w:p w14:paraId="4BFDA1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15DDC8ED">
      <w:pPr>
        <w:numPr>
          <w:ilvl w:val="0"/>
          <w:numId w:val="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14:paraId="609B27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1.1主要功能：用于野外施工作业、露营训练、临时会所、临时指挥所、野外医疗、抢险救灾等情况下的雨雪、风沙、阳光遮挡防护                                </w:t>
      </w:r>
    </w:p>
    <w:p w14:paraId="40F506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1.2结构组成：气柱框架、外披、内衬、底布4部分组成。    </w:t>
      </w:r>
    </w:p>
    <w:p w14:paraId="36E7D6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14:paraId="73149CC1">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2.1帐篷尺寸：长：8-10米，宽：4-8米，高：3-4米，使用面积≥40平方米；</w:t>
      </w:r>
    </w:p>
    <w:p w14:paraId="377325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2.2外篷布：颜色红色，单面涂覆pvc外篷布。</w:t>
      </w:r>
    </w:p>
    <w:p w14:paraId="5A5BE3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△2.3气柱：双面涂覆PVC刀刮灰色气密布，厚度大于0.5mm。</w:t>
      </w:r>
    </w:p>
    <w:p w14:paraId="7F9249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2.4底布：灰色色双面涂覆PVC双轴向阻燃布，厚度大于0.5mm。</w:t>
      </w:r>
    </w:p>
    <w:p w14:paraId="27D166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2.5前后门尺寸：宽1-1.5米，高2-2.5米（2扇），门帘分四层：外层防水门帘、防蚊虫纱网、内衬层、防蚊虫纱网。</w:t>
      </w:r>
    </w:p>
    <w:p w14:paraId="778574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2.6窗户尺寸：宽0.4-1米，高0.4-1米，加设防雨帘和纱网。</w:t>
      </w:r>
    </w:p>
    <w:p w14:paraId="4BEB16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2.7气阀两组：安全阀≥1个、快速充气阀≥2个、多功能充气阀≥1个。</w:t>
      </w:r>
    </w:p>
    <w:p w14:paraId="287626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2.8帐篷固定拉纤拉环防水处理，全部缝合处使用防雨条做防水处理。</w:t>
      </w:r>
    </w:p>
    <w:p w14:paraId="27AEC0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2.9气压：正常使用：15-25kpa。</w:t>
      </w:r>
    </w:p>
    <w:p w14:paraId="64C1CC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2.10适应温度：-30℃+70℃。</w:t>
      </w:r>
    </w:p>
    <w:p w14:paraId="2D80AE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2.11充气搭建时间：10-20min；</w:t>
      </w:r>
    </w:p>
    <w:p w14:paraId="0655EF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2.12帐篷配通风口2个</w:t>
      </w:r>
    </w:p>
    <w:p w14:paraId="444F12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△2.13抗风等级：≥8级。</w:t>
      </w:r>
    </w:p>
    <w:p w14:paraId="363E82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2.14整体重量：小于200公斤。</w:t>
      </w:r>
    </w:p>
    <w:p w14:paraId="08DD54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2.15气柱保压时间≥48小时，一次充气自行竖立时间≥7天，具备自动补气功能。              </w:t>
      </w:r>
    </w:p>
    <w:p w14:paraId="3FCA54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3、其他要求                 </w:t>
      </w:r>
    </w:p>
    <w:p w14:paraId="7DB5FDDA">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3.1配备专用储物袋</w:t>
      </w:r>
      <w:r>
        <w:rPr>
          <w:rFonts w:hint="eastAsia" w:ascii="宋体" w:hAnsi="宋体" w:eastAsia="宋体" w:cs="宋体"/>
          <w:color w:val="auto"/>
          <w:sz w:val="24"/>
          <w:szCs w:val="24"/>
          <w:highlight w:val="none"/>
          <w:lang w:eastAsia="zh"/>
        </w:rPr>
        <w:t>；</w:t>
      </w:r>
    </w:p>
    <w:p w14:paraId="076DC6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3.2</w:t>
      </w:r>
      <w:r>
        <w:rPr>
          <w:rFonts w:hint="eastAsia" w:ascii="宋体" w:hAnsi="宋体" w:eastAsia="宋体" w:cs="宋体"/>
          <w:color w:val="auto"/>
          <w:sz w:val="24"/>
          <w:szCs w:val="24"/>
          <w:highlight w:val="none"/>
          <w:lang w:bidi="ar"/>
        </w:rPr>
        <w:t>配备帐篷收纳箱，底部安装移动轮，其中最少2个万向轮；</w:t>
      </w:r>
      <w:r>
        <w:rPr>
          <w:rFonts w:hint="eastAsia" w:ascii="宋体" w:hAnsi="宋体" w:eastAsia="宋体" w:cs="宋体"/>
          <w:color w:val="auto"/>
          <w:sz w:val="24"/>
          <w:szCs w:val="24"/>
          <w:highlight w:val="none"/>
        </w:rPr>
        <w:t xml:space="preserve">                </w:t>
      </w:r>
    </w:p>
    <w:p w14:paraId="133EF395">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工具配置：电动充、排一体气泵1台、手锤1把，风绳地钉、修补包各一套</w:t>
      </w:r>
      <w:r>
        <w:rPr>
          <w:rFonts w:hint="eastAsia" w:ascii="宋体" w:hAnsi="宋体" w:eastAsia="宋体" w:cs="宋体"/>
          <w:color w:val="auto"/>
          <w:sz w:val="24"/>
          <w:szCs w:val="24"/>
          <w:highlight w:val="none"/>
          <w:lang w:eastAsia="zh"/>
        </w:rPr>
        <w:t>；</w:t>
      </w:r>
    </w:p>
    <w:p w14:paraId="2825B9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3.4</w:t>
      </w:r>
      <w:r>
        <w:rPr>
          <w:rFonts w:hint="eastAsia" w:ascii="宋体" w:hAnsi="宋体" w:eastAsia="宋体" w:cs="宋体"/>
          <w:color w:val="auto"/>
          <w:sz w:val="24"/>
          <w:szCs w:val="24"/>
          <w:highlight w:val="none"/>
          <w:lang w:bidi="ar"/>
        </w:rPr>
        <w:t>配备不少于6个节能灯具、挂点及配套相关线材、插头等，能够在帐篷内迅速搭建一套照明系统。</w:t>
      </w:r>
      <w:r>
        <w:rPr>
          <w:rFonts w:hint="eastAsia" w:ascii="宋体" w:hAnsi="宋体" w:eastAsia="宋体" w:cs="宋体"/>
          <w:color w:val="auto"/>
          <w:sz w:val="24"/>
          <w:szCs w:val="24"/>
          <w:highlight w:val="none"/>
        </w:rPr>
        <w:t xml:space="preserve">                       </w:t>
      </w:r>
    </w:p>
    <w:p w14:paraId="599BC5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外观具体字样、颜色及标识待后期定制。</w:t>
      </w:r>
    </w:p>
    <w:p w14:paraId="09C82EFD">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、充气帐篷（60m2）</w:t>
      </w:r>
    </w:p>
    <w:p w14:paraId="3FC648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034750FB">
      <w:pPr>
        <w:numPr>
          <w:ilvl w:val="0"/>
          <w:numId w:val="9"/>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14:paraId="350983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1.1主要功能：用于野外施工作业、露营训练、临时会所、临时指挥所、野外医疗、抢险救灾等情况下的雨雪、风沙、阳光遮挡防护                               </w:t>
      </w:r>
    </w:p>
    <w:p w14:paraId="0EEA0C20">
      <w:pPr>
        <w:numPr>
          <w:ilvl w:val="0"/>
          <w:numId w:val="9"/>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性能要求：                              </w:t>
      </w:r>
    </w:p>
    <w:p w14:paraId="276A42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2.1结构组成：气柱框架、外披、内衬、底布4部分组成。</w:t>
      </w:r>
    </w:p>
    <w:p w14:paraId="2500BC5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2.2帐篷尺寸：长：10-12米，宽：5-6米，高：3-4米。使用面积≥60m²，</w:t>
      </w:r>
    </w:p>
    <w:p w14:paraId="5B2766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2.3外篷布：颜色红色，单面涂覆pvc外篷布。</w:t>
      </w:r>
    </w:p>
    <w:p w14:paraId="25E5A0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△2.4气柱：双面涂覆PVC刀刮灰色气密布，厚度大于0.5mm。</w:t>
      </w:r>
    </w:p>
    <w:p w14:paraId="0A7B22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2.5底布：灰色色双面涂覆PVC双轴向阻燃布，厚度大于0.5mm。</w:t>
      </w:r>
    </w:p>
    <w:p w14:paraId="28C1AA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2.6前后门尺寸：宽1-1.5米，高2-2.5米（2扇），门帘分四层：外层防水门帘、防蚊虫纱网、内衬层、防蚊虫纱网。</w:t>
      </w:r>
    </w:p>
    <w:p w14:paraId="7F3F34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2.7窗户尺寸：宽0.5-1米，高0.5-1米，加设防雨帘和纱网。</w:t>
      </w:r>
    </w:p>
    <w:p w14:paraId="35E5C3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2.8气阀两组：安全阀1个、快速充气阀3个、多功能充气阀1个。</w:t>
      </w:r>
    </w:p>
    <w:p w14:paraId="67F7F6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2.9帐篷固定拉纤拉环防水处理，全部缝合处使用防雨条做防水处理。</w:t>
      </w:r>
    </w:p>
    <w:p w14:paraId="2EBEA7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2.10气压：正常使用：15-25kpa。</w:t>
      </w:r>
    </w:p>
    <w:p w14:paraId="4E67B9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2.11适应温度：-30℃+70℃。</w:t>
      </w:r>
    </w:p>
    <w:p w14:paraId="1A0C70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2.12充气搭建时间：10-20min。</w:t>
      </w:r>
    </w:p>
    <w:p w14:paraId="026210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2.13帐篷配通风口2个</w:t>
      </w:r>
    </w:p>
    <w:p w14:paraId="066C9A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△2.14抗风等级：≥8级。                      </w:t>
      </w:r>
    </w:p>
    <w:p w14:paraId="2B4E3E83">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 xml:space="preserve">2.15整体重量：小于300公斤。气柱保压时间≥48小时，一次充气自行竖立时间≥7天，具备自动补气功能                  </w:t>
      </w:r>
      <w:r>
        <w:rPr>
          <w:rFonts w:hint="eastAsia" w:ascii="宋体" w:hAnsi="宋体" w:eastAsia="宋体" w:cs="宋体"/>
          <w:color w:val="auto"/>
          <w:sz w:val="24"/>
          <w:szCs w:val="24"/>
          <w:highlight w:val="none"/>
          <w:lang w:eastAsia="zh"/>
        </w:rPr>
        <w:t xml:space="preserve"> </w:t>
      </w:r>
    </w:p>
    <w:p w14:paraId="73F897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3、其他要求      </w:t>
      </w:r>
    </w:p>
    <w:p w14:paraId="1EE703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3.1工具配置：电动充、排一体气泵1台、手锤1把，风绳地钉、修补包一套。                                                                                             </w:t>
      </w:r>
    </w:p>
    <w:p w14:paraId="045034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3.2配置专用耐磨外包装布。</w:t>
      </w:r>
    </w:p>
    <w:p w14:paraId="6A2425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3.3</w:t>
      </w:r>
      <w:r>
        <w:rPr>
          <w:rFonts w:hint="eastAsia" w:ascii="宋体" w:hAnsi="宋体" w:eastAsia="宋体" w:cs="宋体"/>
          <w:color w:val="auto"/>
          <w:sz w:val="24"/>
          <w:szCs w:val="24"/>
          <w:highlight w:val="none"/>
          <w:lang w:bidi="ar"/>
        </w:rPr>
        <w:t>配备帐篷收纳箱，底部安装移动轮，其中最少2个万向轮；</w:t>
      </w:r>
      <w:r>
        <w:rPr>
          <w:rFonts w:hint="eastAsia" w:ascii="宋体" w:hAnsi="宋体" w:eastAsia="宋体" w:cs="宋体"/>
          <w:color w:val="auto"/>
          <w:sz w:val="24"/>
          <w:szCs w:val="24"/>
          <w:highlight w:val="none"/>
        </w:rPr>
        <w:t xml:space="preserve">                </w:t>
      </w:r>
    </w:p>
    <w:p w14:paraId="71DED4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外观具体字样、颜色及标识待后期定制。</w:t>
      </w:r>
    </w:p>
    <w:p w14:paraId="6DFA9EF8">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3.5</w:t>
      </w:r>
      <w:r>
        <w:rPr>
          <w:rFonts w:hint="eastAsia" w:ascii="宋体" w:hAnsi="宋体" w:eastAsia="宋体" w:cs="宋体"/>
          <w:color w:val="auto"/>
          <w:sz w:val="24"/>
          <w:szCs w:val="24"/>
          <w:highlight w:val="none"/>
          <w:lang w:bidi="ar"/>
        </w:rPr>
        <w:t>配备不少于10个节能灯具、挂点及配套相关线材、插头等，能够在帐篷内迅速搭建一套照明系统。</w:t>
      </w:r>
    </w:p>
    <w:p w14:paraId="1A9D781C">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、大功率发电机</w:t>
      </w:r>
    </w:p>
    <w:p w14:paraId="5D825C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487BAC39">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1、额定输出电压：220V/380V</w:t>
      </w:r>
      <w:r>
        <w:rPr>
          <w:rFonts w:hint="eastAsia" w:ascii="宋体" w:hAnsi="宋体" w:eastAsia="宋体" w:cs="宋体"/>
          <w:color w:val="auto"/>
          <w:sz w:val="24"/>
          <w:szCs w:val="24"/>
          <w:highlight w:val="none"/>
          <w:lang w:eastAsia="zh"/>
        </w:rPr>
        <w:t>；</w:t>
      </w:r>
    </w:p>
    <w:p w14:paraId="66604A35">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2、额定频率：50HZ</w:t>
      </w:r>
      <w:r>
        <w:rPr>
          <w:rFonts w:hint="eastAsia" w:ascii="宋体" w:hAnsi="宋体" w:eastAsia="宋体" w:cs="宋体"/>
          <w:color w:val="auto"/>
          <w:sz w:val="24"/>
          <w:szCs w:val="24"/>
          <w:highlight w:val="none"/>
          <w:lang w:eastAsia="zh"/>
        </w:rPr>
        <w:t>；</w:t>
      </w:r>
    </w:p>
    <w:p w14:paraId="6F44B26B">
      <w:pPr>
        <w:spacing w:line="360" w:lineRule="auto"/>
        <w:rPr>
          <w:rFonts w:hint="eastAsia" w:ascii="宋体" w:hAnsi="宋体" w:eastAsia="宋体" w:cs="宋体"/>
          <w:color w:val="auto"/>
          <w:sz w:val="24"/>
          <w:szCs w:val="24"/>
          <w:highlight w:val="none"/>
          <w:lang w:eastAsia="zh"/>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3、输出功率：≥10kW，自动调节电压</w:t>
      </w:r>
      <w:r>
        <w:rPr>
          <w:rFonts w:hint="eastAsia" w:ascii="宋体" w:hAnsi="宋体" w:eastAsia="宋体" w:cs="宋体"/>
          <w:color w:val="auto"/>
          <w:sz w:val="24"/>
          <w:szCs w:val="24"/>
          <w:highlight w:val="none"/>
          <w:lang w:eastAsia="zh"/>
        </w:rPr>
        <w:t>；</w:t>
      </w:r>
    </w:p>
    <w:p w14:paraId="3512D5E8">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4、燃油箱容积：≥20L</w:t>
      </w:r>
      <w:r>
        <w:rPr>
          <w:rFonts w:hint="eastAsia" w:ascii="宋体" w:hAnsi="宋体" w:eastAsia="宋体" w:cs="宋体"/>
          <w:color w:val="auto"/>
          <w:sz w:val="24"/>
          <w:szCs w:val="24"/>
          <w:highlight w:val="none"/>
          <w:lang w:eastAsia="zh"/>
        </w:rPr>
        <w:t>；</w:t>
      </w:r>
    </w:p>
    <w:p w14:paraId="52406F5C">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△5、启动系统：电启动、手拉反冲启动等</w:t>
      </w:r>
      <w:r>
        <w:rPr>
          <w:rFonts w:hint="eastAsia" w:ascii="宋体" w:hAnsi="宋体" w:eastAsia="宋体" w:cs="宋体"/>
          <w:color w:val="auto"/>
          <w:sz w:val="24"/>
          <w:szCs w:val="24"/>
          <w:highlight w:val="none"/>
          <w:lang w:eastAsia="zh"/>
        </w:rPr>
        <w:t>；</w:t>
      </w:r>
    </w:p>
    <w:p w14:paraId="0076249B">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6、发动机形式：风冷、单缸、四冲程</w:t>
      </w:r>
      <w:r>
        <w:rPr>
          <w:rFonts w:hint="eastAsia" w:ascii="宋体" w:hAnsi="宋体" w:eastAsia="宋体" w:cs="宋体"/>
          <w:color w:val="auto"/>
          <w:sz w:val="24"/>
          <w:szCs w:val="24"/>
          <w:highlight w:val="none"/>
          <w:lang w:eastAsia="zh"/>
        </w:rPr>
        <w:t>；</w:t>
      </w:r>
    </w:p>
    <w:p w14:paraId="0AFA4FF7">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7、净重：≤80kg</w:t>
      </w:r>
      <w:r>
        <w:rPr>
          <w:rFonts w:hint="eastAsia" w:ascii="宋体" w:hAnsi="宋体" w:eastAsia="宋体" w:cs="宋体"/>
          <w:color w:val="auto"/>
          <w:sz w:val="24"/>
          <w:szCs w:val="24"/>
          <w:highlight w:val="none"/>
          <w:lang w:eastAsia="zh"/>
        </w:rPr>
        <w:t>；</w:t>
      </w:r>
    </w:p>
    <w:p w14:paraId="0E183C2D">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8、移动方式：满足皮卡车、中小型货车货箱作为载具进行移动运输，并且适应以上车辆自动装卸功能</w:t>
      </w:r>
      <w:r>
        <w:rPr>
          <w:rFonts w:hint="eastAsia" w:ascii="宋体" w:hAnsi="宋体" w:eastAsia="宋体" w:cs="宋体"/>
          <w:color w:val="auto"/>
          <w:sz w:val="24"/>
          <w:szCs w:val="24"/>
          <w:highlight w:val="none"/>
          <w:lang w:eastAsia="zh"/>
        </w:rPr>
        <w:t>；</w:t>
      </w:r>
    </w:p>
    <w:p w14:paraId="058DD803">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bidi="ar"/>
        </w:rPr>
        <w:t>9、结构：</w:t>
      </w:r>
      <w:r>
        <w:rPr>
          <w:rFonts w:hint="eastAsia" w:ascii="宋体" w:hAnsi="宋体" w:eastAsia="宋体" w:cs="宋体"/>
          <w:color w:val="auto"/>
          <w:sz w:val="24"/>
          <w:szCs w:val="24"/>
          <w:highlight w:val="none"/>
          <w:lang w:bidi="ar"/>
        </w:rPr>
        <w:t>发电机底部配备滑轮，其中万向轮不低于2个</w:t>
      </w:r>
      <w:r>
        <w:rPr>
          <w:rFonts w:hint="eastAsia" w:ascii="宋体" w:hAnsi="宋体" w:eastAsia="宋体" w:cs="宋体"/>
          <w:color w:val="auto"/>
          <w:sz w:val="24"/>
          <w:szCs w:val="24"/>
          <w:highlight w:val="none"/>
          <w:lang w:eastAsia="zh" w:bidi="ar"/>
        </w:rPr>
        <w:t>；</w:t>
      </w:r>
    </w:p>
    <w:p w14:paraId="47462596">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、安全配备：发动机过温，机油欠压、发电机超压、过流等保护功能</w:t>
      </w:r>
      <w:r>
        <w:rPr>
          <w:rFonts w:hint="eastAsia" w:ascii="宋体" w:hAnsi="宋体" w:eastAsia="宋体" w:cs="宋体"/>
          <w:color w:val="auto"/>
          <w:sz w:val="24"/>
          <w:szCs w:val="24"/>
          <w:highlight w:val="none"/>
          <w:lang w:eastAsia="zh"/>
        </w:rPr>
        <w:t>；</w:t>
      </w:r>
    </w:p>
    <w:p w14:paraId="70DFCD00">
      <w:pPr>
        <w:pStyle w:val="7"/>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bidi="ar"/>
        </w:rPr>
        <w:t>11、配件：</w:t>
      </w:r>
      <w:r>
        <w:rPr>
          <w:rFonts w:hint="eastAsia" w:ascii="宋体" w:hAnsi="宋体" w:eastAsia="宋体" w:cs="宋体"/>
          <w:color w:val="auto"/>
          <w:sz w:val="24"/>
          <w:szCs w:val="24"/>
          <w:highlight w:val="none"/>
          <w:lang w:bidi="ar"/>
        </w:rPr>
        <w:t>配备380V/220V带轮子移动线盘各一盘，长度≥50米，具有漏电保护功能。</w:t>
      </w:r>
    </w:p>
    <w:p w14:paraId="071A94F8">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、单兵携行包（箱）</w:t>
      </w:r>
    </w:p>
    <w:p w14:paraId="35FDD9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373056C0">
      <w:pPr>
        <w:numPr>
          <w:ilvl w:val="0"/>
          <w:numId w:val="1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14:paraId="4103B7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1.1、72小时应急救援携行装备是参加应急救援时随身携带的个人生活用品、食物、救援和防护装备以及医疗急救包、通讯器材等物资的单兵遂行作战携行装具。</w:t>
      </w:r>
    </w:p>
    <w:p w14:paraId="29D6DE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14:paraId="179E4E7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2.1容积≥70L；</w:t>
      </w:r>
    </w:p>
    <w:p w14:paraId="7448CE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2.2背囊正面可根据要求印反光字及相关标识，背面有个人信息卡及卡槽；配备有防雨罩。</w:t>
      </w:r>
    </w:p>
    <w:p w14:paraId="36BC70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2.3主要存储单元可单独开启并可分为若干个区域。</w:t>
      </w:r>
    </w:p>
    <w:p w14:paraId="098A79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2.4主料为不低于1050D加密防水尼龙牛津布，透明PV涂层，具有强度高、耐磨、防水、防撕裂等性能。面料撕破力经、纬向≥250N。</w:t>
      </w:r>
    </w:p>
    <w:p w14:paraId="54EB43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2.5封口布面料为不低于300D尼龙布，PV涂层；里料为不低于210D加密尼龙布。</w:t>
      </w:r>
    </w:p>
    <w:p w14:paraId="34055D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2.6背包后背、腰垫、肩垫均使用高透气网布。</w:t>
      </w:r>
    </w:p>
    <w:p w14:paraId="1E482A10">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2.7</w:t>
      </w:r>
      <w:r>
        <w:rPr>
          <w:rFonts w:hint="eastAsia" w:ascii="宋体" w:hAnsi="宋体" w:eastAsia="宋体" w:cs="宋体"/>
          <w:color w:val="auto"/>
          <w:sz w:val="24"/>
          <w:szCs w:val="24"/>
          <w:highlight w:val="none"/>
          <w:lang w:bidi="ar"/>
        </w:rPr>
        <w:t>背包后背配备腰部支撑系统。</w:t>
      </w:r>
    </w:p>
    <w:p w14:paraId="5F3FE8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背包正面设置多个挂点，可挂置各类便携常用的小型装备。</w:t>
      </w:r>
    </w:p>
    <w:p w14:paraId="184C53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14:paraId="13353B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△3.1包内配物品清单：</w:t>
      </w:r>
      <w:r>
        <w:rPr>
          <w:rFonts w:hint="eastAsia" w:ascii="宋体" w:hAnsi="宋体" w:eastAsia="宋体" w:cs="宋体"/>
          <w:color w:val="auto"/>
          <w:sz w:val="24"/>
          <w:szCs w:val="24"/>
          <w:highlight w:val="none"/>
          <w:lang w:bidi="ar"/>
        </w:rPr>
        <w:t>军用指南针，防潮垫、睡袋、单兵帐篷、急救包（不少于20种常用医疗物品）、军用水壶、饭盒（含刀叉勺）、简易洗漱用品：含牙刷、牙膏、梳子、洗发水、洗浴液、哨子、LED帐篷灯、放大镜、反光镜、温度计、口哨、指南针、密封舱，高频口哨、防水强光手电、雨衣、水质净化片1瓶、高能量自热即食食品、饮用水、蚊虫药、防静电内衣裤、袜子、折叠拖鞋、多功能刀具、多功能工兵铲（带有打火功能）、登山杖、聚脂薄膜保温毯等。</w:t>
      </w:r>
    </w:p>
    <w:p w14:paraId="3C362FD2">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7、浮艇泵</w:t>
      </w:r>
    </w:p>
    <w:p w14:paraId="5478B4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技术参数：消防队可利用室外天然水源补充消防车水箱。它也可以用来从洪水地区和房间抽水。</w:t>
      </w:r>
    </w:p>
    <w:p w14:paraId="5DFB02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产品符合浮艇泵检验大纲，提供应急管理部上海消防研究所出具的检验报告。</w:t>
      </w:r>
    </w:p>
    <w:p w14:paraId="59D1E0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1.水泵类型：轻型铝合金单级离心泵</w:t>
      </w:r>
    </w:p>
    <w:p w14:paraId="5CABF8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2.吸水口≥80mm  出水口≥65mm（内扣式）</w:t>
      </w:r>
    </w:p>
    <w:p w14:paraId="33B296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3.额定压力≥0.4Mpa</w:t>
      </w:r>
    </w:p>
    <w:p w14:paraId="468F6257">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4.额定流量≥1000L/min</w:t>
      </w:r>
    </w:p>
    <w:p w14:paraId="7EB82B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5.扬程≥65米，</w:t>
      </w:r>
    </w:p>
    <w:p w14:paraId="58E79D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6.最大流量≥1500L/min</w:t>
      </w:r>
    </w:p>
    <w:p w14:paraId="406F15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7.重量≤90kg</w:t>
      </w:r>
    </w:p>
    <w:p w14:paraId="619386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8.发动机型式：单缸强制风冷四冲程 ，启动系统：手拉启动、电力启动、遥控启动（遥控距离≥150m）（任意启动模式下都可以单独调节转速高低）；机器设计应急油门机构，在遥控器故障情况下，也能实现机器的启停和加减油门。</w:t>
      </w:r>
    </w:p>
    <w:p w14:paraId="3B8688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9.泵吸入口处设置抗腐蚀性滤网，滤网的过流面积不影响泵的性能。滤网孔只能通过≤8mm的颗粒。</w:t>
      </w:r>
    </w:p>
    <w:p w14:paraId="3ACF7F4F">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、航空运输箱</w:t>
      </w:r>
    </w:p>
    <w:p w14:paraId="67BB2B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技术参数：1、外观颜色要求：绿色，或按照采购人制定要求</w:t>
      </w:r>
    </w:p>
    <w:p w14:paraId="00E10D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2、组成：把手、密封圈、卡扣、排气阀、海绵隔层；</w:t>
      </w:r>
    </w:p>
    <w:p w14:paraId="500ADF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3、主要性能：抗强冲击、耐高低温、缓冲减震、密封防水、防尘抗腐、漂浮救生、展收迅速、携行轻便、持久耐用；容量≥100 升；净重≤12 千克；</w:t>
      </w:r>
    </w:p>
    <w:p w14:paraId="29FF6FF8">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4、承重≥150kg;</w:t>
      </w:r>
    </w:p>
    <w:p w14:paraId="18E5A86A">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温度范围：≥-40~90℃；外部尺寸≥800*550*355，内部尺寸≥700*480*300。</w:t>
      </w:r>
    </w:p>
    <w:p w14:paraId="357CF507">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、静音发电机</w:t>
      </w:r>
    </w:p>
    <w:p w14:paraId="6C24A7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技术参数：为满足安静环境下特殊供电需求。</w:t>
      </w:r>
    </w:p>
    <w:p w14:paraId="1D567A4F">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1、额定功率≥1.8KW，手动或电动，净重≤25Kg。</w:t>
      </w:r>
    </w:p>
    <w:p w14:paraId="6695D2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2、电压≥220v。</w:t>
      </w:r>
    </w:p>
    <w:p w14:paraId="1F0B28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3、油箱容量≧ 4L，</w:t>
      </w:r>
    </w:p>
    <w:p w14:paraId="7E1190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4、直流输出：12V；输出电流：≥5.0A</w:t>
      </w:r>
    </w:p>
    <w:p w14:paraId="1C8EFF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△5、持续运行时间(额定输出下)(hr) ：≥2.5。</w:t>
      </w:r>
    </w:p>
    <w:p w14:paraId="47D8D8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6、7米处噪音≦65dB（A）。</w:t>
      </w:r>
    </w:p>
    <w:p w14:paraId="68AA945C">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lang w:bidi="ar"/>
        </w:rPr>
        <w:t>配备线盘≥50米。</w:t>
      </w:r>
    </w:p>
    <w:p w14:paraId="18E2412B">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、空气呼吸器瓶</w:t>
      </w:r>
    </w:p>
    <w:p w14:paraId="6C87E5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312C7A77">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1、气瓶容积：6.8L，以无缝铝合金为内胆，在其外表全缠绕浸渍树脂基体的炭纤维加强层，并经加温固化。</w:t>
      </w:r>
    </w:p>
    <w:p w14:paraId="10F4B7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2、气瓶工作压力30Mpa，水压试验压力≥50MPa，气瓶顶端和底部都配有橡胶保护套。</w:t>
      </w:r>
    </w:p>
    <w:p w14:paraId="564EF2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△3、气瓶瓶阀安全膜片爆破压力≥40～45Mpa。</w:t>
      </w:r>
    </w:p>
    <w:p w14:paraId="16624F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气瓶瓶阀带有自锁装置，具有防误操作功能。</w:t>
      </w:r>
    </w:p>
    <w:p w14:paraId="078B0039">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5、</w:t>
      </w:r>
      <w:r>
        <w:rPr>
          <w:rFonts w:hint="eastAsia" w:ascii="宋体" w:hAnsi="宋体" w:eastAsia="宋体" w:cs="宋体"/>
          <w:color w:val="auto"/>
          <w:sz w:val="24"/>
          <w:szCs w:val="24"/>
          <w:highlight w:val="none"/>
          <w:lang w:bidi="ar"/>
        </w:rPr>
        <w:t>气瓶增加保护套（阻燃带标识）。</w:t>
      </w:r>
    </w:p>
    <w:p w14:paraId="555F96B2">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、千斤顶</w:t>
      </w:r>
    </w:p>
    <w:p w14:paraId="759600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技术参数：交通事故、建筑倒塌现场的重载荷撑顶救援。</w:t>
      </w:r>
    </w:p>
    <w:p w14:paraId="1921AB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具有防止超载的安全阀，开启负荷在1Gn至1.5Gn范围内，具备可靠的限位装置，使用手柄起升额定重量时，手柄操作力≤400N。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起重重量≥20 吨。  </w:t>
      </w:r>
    </w:p>
    <w:p w14:paraId="1DCCDBC6">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12、手抬机动泵（核心产品）</w:t>
      </w:r>
    </w:p>
    <w:p w14:paraId="1DE2EF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技术参数：用于灾害事故现场排涝、供水、灭火等。</w:t>
      </w:r>
    </w:p>
    <w:p w14:paraId="430BBF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1、符合：GB 6245-2006、CCCF-CPRZ-26：2019标准；</w:t>
      </w:r>
    </w:p>
    <w:p w14:paraId="739675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2、启动方式：电启动和手动启动；</w:t>
      </w:r>
    </w:p>
    <w:p w14:paraId="78B676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3、发动机功率：四冲程发动机，＞13HP；</w:t>
      </w:r>
    </w:p>
    <w:p w14:paraId="7471CE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4、额定压力≥0.5MPa，额定流量≥15L/s（3米吸深）；</w:t>
      </w:r>
    </w:p>
    <w:p w14:paraId="11A002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5、最大出口压力：≥0.8MPa；</w:t>
      </w:r>
    </w:p>
    <w:p w14:paraId="7AA388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6、进水口：≥80mm；</w:t>
      </w:r>
    </w:p>
    <w:p w14:paraId="314BFA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7、出水口：≥65mm*2；</w:t>
      </w:r>
    </w:p>
    <w:p w14:paraId="2D2669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8、引水装置性能：无油润滑真空泵；</w:t>
      </w:r>
    </w:p>
    <w:p w14:paraId="0D3243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9、△引水时间：≤10秒；</w:t>
      </w:r>
    </w:p>
    <w:p w14:paraId="3B631F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10、水泵型式：单泵单程离心泵；</w:t>
      </w:r>
    </w:p>
    <w:p w14:paraId="2EB42C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11、重量：≤70 kg；                           </w:t>
      </w:r>
    </w:p>
    <w:p w14:paraId="4C22EF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12、提供国家级质量监督检验中心检测报告</w:t>
      </w:r>
      <w:r>
        <w:rPr>
          <w:rFonts w:hint="eastAsia" w:ascii="宋体" w:hAnsi="宋体" w:eastAsia="宋体" w:cs="宋体"/>
          <w:color w:val="auto"/>
          <w:sz w:val="24"/>
          <w:szCs w:val="24"/>
          <w:highlight w:val="none"/>
          <w:lang w:eastAsia="zh"/>
        </w:rPr>
        <w:t>13</w:t>
      </w:r>
      <w:r>
        <w:rPr>
          <w:rFonts w:hint="eastAsia" w:ascii="宋体" w:hAnsi="宋体" w:eastAsia="宋体" w:cs="宋体"/>
          <w:color w:val="auto"/>
          <w:sz w:val="24"/>
          <w:szCs w:val="24"/>
          <w:highlight w:val="none"/>
        </w:rPr>
        <w:t xml:space="preserve"> </w:t>
      </w:r>
    </w:p>
    <w:p w14:paraId="51C268B9">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13、配件：</w:t>
      </w:r>
      <w:r>
        <w:rPr>
          <w:rFonts w:hint="eastAsia" w:ascii="宋体" w:hAnsi="宋体" w:eastAsia="宋体" w:cs="宋体"/>
          <w:color w:val="auto"/>
          <w:sz w:val="24"/>
          <w:szCs w:val="24"/>
          <w:highlight w:val="none"/>
          <w:lang w:bidi="ar"/>
        </w:rPr>
        <w:t>配备滤网≥2个、各类转换接口≥1套、火花塞≥2个</w:t>
      </w:r>
      <w:r>
        <w:rPr>
          <w:rFonts w:hint="eastAsia" w:ascii="宋体" w:hAnsi="宋体" w:eastAsia="宋体" w:cs="宋体"/>
          <w:color w:val="auto"/>
          <w:sz w:val="24"/>
          <w:szCs w:val="24"/>
          <w:highlight w:val="none"/>
          <w:lang w:eastAsia="zh" w:bidi="ar"/>
        </w:rPr>
        <w:t>；</w:t>
      </w:r>
    </w:p>
    <w:p w14:paraId="557AC814">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14、</w:t>
      </w:r>
      <w:r>
        <w:rPr>
          <w:rFonts w:hint="eastAsia" w:ascii="宋体" w:hAnsi="宋体" w:eastAsia="宋体" w:cs="宋体"/>
          <w:color w:val="auto"/>
          <w:sz w:val="24"/>
          <w:szCs w:val="24"/>
          <w:highlight w:val="none"/>
          <w:lang w:bidi="ar"/>
        </w:rPr>
        <w:t>设备底部加装可拆卸移动轮</w:t>
      </w:r>
      <w:r>
        <w:rPr>
          <w:rFonts w:hint="eastAsia" w:ascii="宋体" w:hAnsi="宋体" w:eastAsia="宋体" w:cs="宋体"/>
          <w:color w:val="auto"/>
          <w:sz w:val="24"/>
          <w:szCs w:val="24"/>
          <w:highlight w:val="none"/>
          <w:lang w:eastAsia="zh" w:bidi="ar"/>
        </w:rPr>
        <w:t>。</w:t>
      </w:r>
    </w:p>
    <w:p w14:paraId="5615F38A">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、婴儿呼吸袋</w:t>
      </w:r>
    </w:p>
    <w:p w14:paraId="09EEFA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技术参数：用于保护（3-8 岁）儿童免受有毒化学或者其他有毒气体侵害。</w:t>
      </w:r>
    </w:p>
    <w:p w14:paraId="58B8FF9C">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1、主要部件：头罩、滤毒罐、送风机等</w:t>
      </w:r>
    </w:p>
    <w:p w14:paraId="7041F28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2、电源：充电锂电池</w:t>
      </w:r>
    </w:p>
    <w:p w14:paraId="0413FDA2">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3、额定电压≥9VDC</w:t>
      </w:r>
    </w:p>
    <w:p w14:paraId="53DC91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4、使用时间≥4h</w:t>
      </w:r>
    </w:p>
    <w:p w14:paraId="44D9D9D6">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5、送 风 量≥90L/min</w:t>
      </w:r>
    </w:p>
    <w:p w14:paraId="7FEB0D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6、重量：≤1kg</w:t>
      </w:r>
    </w:p>
    <w:p w14:paraId="6AFEDB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7、尺寸大小≤35cm×70cm。</w:t>
      </w:r>
    </w:p>
    <w:p w14:paraId="7378C63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32"/>
          <w:szCs w:val="32"/>
          <w:highlight w:val="none"/>
          <w:lang w:eastAsia="zh-CN" w:bidi="ar"/>
        </w:rPr>
      </w:pPr>
      <w:r>
        <w:rPr>
          <w:rFonts w:hint="eastAsia" w:ascii="宋体" w:hAnsi="宋体" w:cs="宋体"/>
          <w:color w:val="auto"/>
          <w:sz w:val="32"/>
          <w:szCs w:val="32"/>
          <w:highlight w:val="none"/>
          <w:lang w:eastAsia="zh-CN" w:bidi="ar"/>
        </w:rPr>
        <w:t>（包</w:t>
      </w:r>
      <w:r>
        <w:rPr>
          <w:rFonts w:hint="eastAsia" w:ascii="宋体" w:hAnsi="宋体" w:cs="宋体"/>
          <w:color w:val="auto"/>
          <w:sz w:val="32"/>
          <w:szCs w:val="32"/>
          <w:highlight w:val="none"/>
          <w:lang w:val="en-US" w:eastAsia="zh-CN" w:bidi="ar"/>
        </w:rPr>
        <w:t>9</w:t>
      </w:r>
      <w:r>
        <w:rPr>
          <w:rFonts w:hint="eastAsia" w:ascii="宋体" w:hAnsi="宋体" w:cs="宋体"/>
          <w:color w:val="auto"/>
          <w:sz w:val="32"/>
          <w:szCs w:val="32"/>
          <w:highlight w:val="none"/>
          <w:lang w:eastAsia="zh-CN" w:bidi="ar"/>
        </w:rPr>
        <w:t>）</w:t>
      </w:r>
    </w:p>
    <w:p w14:paraId="5820E6C0">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1、冰面救援滑板</w:t>
      </w:r>
    </w:p>
    <w:p w14:paraId="5E96D0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技术参数：主要用于消防员冬季冰面救援使用。</w:t>
      </w:r>
    </w:p>
    <w:p w14:paraId="2C0E93A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1、应一体成型设计，非多层压制，不易分解。</w:t>
      </w:r>
    </w:p>
    <w:p w14:paraId="64BCDB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2、材质应完全不吸水，可长时间浮出水面。    </w:t>
      </w:r>
    </w:p>
    <w:p w14:paraId="75B9CE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3、应使用高亮颜色，增强可视性。</w:t>
      </w:r>
    </w:p>
    <w:p w14:paraId="15601B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4、展开尺寸：长度≥1.5米，宽度：≥0.9米，厚度≥10cm</w:t>
      </w:r>
    </w:p>
    <w:p w14:paraId="1023CB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5、重量≤20kg。</w:t>
      </w:r>
    </w:p>
    <w:p w14:paraId="5D924AF8">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6、静态均衡承载浮力≥</w:t>
      </w:r>
      <w:r>
        <w:rPr>
          <w:rFonts w:hint="eastAsia" w:ascii="宋体" w:hAnsi="宋体" w:eastAsia="宋体" w:cs="宋体"/>
          <w:color w:val="auto"/>
          <w:sz w:val="24"/>
          <w:szCs w:val="24"/>
          <w:highlight w:val="none"/>
          <w:lang w:eastAsia="zh"/>
        </w:rPr>
        <w:t>23</w:t>
      </w:r>
      <w:r>
        <w:rPr>
          <w:rFonts w:hint="eastAsia" w:ascii="宋体" w:hAnsi="宋体" w:eastAsia="宋体" w:cs="宋体"/>
          <w:color w:val="auto"/>
          <w:sz w:val="24"/>
          <w:szCs w:val="24"/>
          <w:highlight w:val="none"/>
        </w:rPr>
        <w:t>0kg</w:t>
      </w:r>
    </w:p>
    <w:p w14:paraId="154F38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7、充气时间≤4min；</w:t>
      </w:r>
    </w:p>
    <w:p w14:paraId="1AB53934">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8、救援板四周有≥4个拉手</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滑板前后增加救援挂绳孔</w:t>
      </w:r>
      <w:r>
        <w:rPr>
          <w:rFonts w:hint="eastAsia" w:ascii="宋体" w:hAnsi="宋体" w:eastAsia="宋体" w:cs="宋体"/>
          <w:color w:val="auto"/>
          <w:sz w:val="24"/>
          <w:szCs w:val="24"/>
          <w:highlight w:val="none"/>
          <w:lang w:eastAsia="zh" w:bidi="ar"/>
        </w:rPr>
        <w:t>；</w:t>
      </w:r>
    </w:p>
    <w:p w14:paraId="6A2FE2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9、便携袋设计合理，方便有序使用救生器材；主体滑板袋，浮力圈口袋、浮水绳（30米）口袋、冰锥和冰锥辅助爬行器工具口袋，频闪灯或对讲机口袋，多口袋规范设计使用方便。</w:t>
      </w:r>
    </w:p>
    <w:p w14:paraId="1A3F21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10、频闪灯1个续航时间≥30h</w:t>
      </w:r>
    </w:p>
    <w:p w14:paraId="289963A4">
      <w:pPr>
        <w:numPr>
          <w:ilvl w:val="0"/>
          <w:numId w:val="11"/>
        </w:num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bidi="ar"/>
        </w:rPr>
        <w:t>配备电动、手动充气泵、气瓶转换接口各≥1套</w:t>
      </w:r>
      <w:r>
        <w:rPr>
          <w:rFonts w:hint="eastAsia" w:ascii="宋体" w:hAnsi="宋体" w:eastAsia="宋体" w:cs="宋体"/>
          <w:color w:val="auto"/>
          <w:sz w:val="24"/>
          <w:szCs w:val="24"/>
          <w:highlight w:val="none"/>
          <w:lang w:eastAsia="zh" w:bidi="ar"/>
        </w:rPr>
        <w:t>。</w:t>
      </w:r>
    </w:p>
    <w:p w14:paraId="1D581BA1">
      <w:pPr>
        <w:numPr>
          <w:ilvl w:val="0"/>
          <w:numId w:val="11"/>
        </w:num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bidi="ar"/>
        </w:rPr>
        <w:t>配备专用收纳箱</w:t>
      </w:r>
      <w:r>
        <w:rPr>
          <w:rFonts w:hint="eastAsia" w:ascii="宋体" w:hAnsi="宋体" w:eastAsia="宋体" w:cs="宋体"/>
          <w:color w:val="auto"/>
          <w:sz w:val="24"/>
          <w:szCs w:val="24"/>
          <w:highlight w:val="none"/>
          <w:lang w:eastAsia="zh" w:bidi="ar"/>
        </w:rPr>
        <w:t>；</w:t>
      </w:r>
    </w:p>
    <w:p w14:paraId="6D3C64E0">
      <w:pPr>
        <w:spacing w:line="360" w:lineRule="auto"/>
        <w:rPr>
          <w:rFonts w:hint="eastAsia" w:ascii="宋体" w:hAnsi="宋体" w:cs="宋体"/>
          <w:color w:val="auto"/>
          <w:sz w:val="32"/>
          <w:szCs w:val="32"/>
          <w:highlight w:val="none"/>
          <w:lang w:eastAsia="zh" w:bidi="ar"/>
        </w:rPr>
      </w:pPr>
      <w:r>
        <w:rPr>
          <w:rFonts w:hint="eastAsia" w:ascii="宋体" w:hAnsi="宋体" w:eastAsia="宋体" w:cs="宋体"/>
          <w:color w:val="auto"/>
          <w:sz w:val="24"/>
          <w:szCs w:val="24"/>
          <w:highlight w:val="none"/>
          <w:lang w:eastAsia="zh"/>
        </w:rPr>
        <w:t>13、</w:t>
      </w:r>
      <w:r>
        <w:rPr>
          <w:rFonts w:hint="eastAsia" w:ascii="宋体" w:hAnsi="宋体" w:eastAsia="宋体" w:cs="宋体"/>
          <w:color w:val="auto"/>
          <w:sz w:val="24"/>
          <w:szCs w:val="24"/>
          <w:highlight w:val="none"/>
        </w:rPr>
        <w:t>提供省级以上检测机构出具的检验证书。</w:t>
      </w:r>
    </w:p>
    <w:p w14:paraId="63D74CE5">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2、充气救援艇（橡皮艇）</w:t>
      </w:r>
    </w:p>
    <w:p w14:paraId="73F26FE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技术参数：</w:t>
      </w:r>
    </w:p>
    <w:p w14:paraId="183EB47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1.1用于水域救援。舟体为充气式，配马达。采用双尾椎充气船体结构，船底部有充气舷梁，具有排水阀门。</w:t>
      </w:r>
    </w:p>
    <w:p w14:paraId="314D22E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2、技术要求：</w:t>
      </w:r>
    </w:p>
    <w:p w14:paraId="4CE35DF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2.1额定乘员：≥8人。</w:t>
      </w:r>
    </w:p>
    <w:p w14:paraId="28ECEDE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2.2尺寸：长度≥4200mm、外宽≥1900mm、直径≥500 mm </w:t>
      </w:r>
    </w:p>
    <w:p w14:paraId="7D53E0AA">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2.3结构:船底充气拉丝底板，M型艇底，底部加装耐磨条。</w:t>
      </w:r>
    </w:p>
    <w:p w14:paraId="4E493998">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2.4独立安全密封气室：≥4个</w:t>
      </w:r>
    </w:p>
    <w:p w14:paraId="4753B3A3">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2.5舟底接触地面位置覆加厚橡胶层。</w:t>
      </w:r>
    </w:p>
    <w:p w14:paraId="36783F73">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2.6浮筒外侧安装安全绳索，艇身加装安全把手用于固定抓握。</w:t>
      </w:r>
    </w:p>
    <w:p w14:paraId="55F4A32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2.7艉板与气囊连接处采用双向金属片夹固处理。</w:t>
      </w:r>
    </w:p>
    <w:p w14:paraId="7EA7AEE8">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2.8尾板处设置安装队旗装置；船头设置可拆卸式充电照明灯灯架</w:t>
      </w:r>
    </w:p>
    <w:p w14:paraId="577A1C55">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2.9材料：采用PVC或优于此材料（厚度≥ 0.9mm）并提供检测报告</w:t>
      </w:r>
    </w:p>
    <w:p w14:paraId="6B29895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2.10耐磨性能：在12KPa压力下，面料经1000次循环摩擦后无变化；</w:t>
      </w:r>
    </w:p>
    <w:p w14:paraId="687FA1C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2.11船身抗穿刺性：≥166N；</w:t>
      </w:r>
    </w:p>
    <w:p w14:paraId="74ABB3DD">
      <w:pPr>
        <w:spacing w:line="360" w:lineRule="auto"/>
        <w:rPr>
          <w:rFonts w:hint="eastAsia" w:ascii="宋体" w:hAnsi="宋体" w:eastAsia="宋体" w:cs="宋体"/>
          <w:b w:val="0"/>
          <w:bCs w:val="0"/>
          <w:color w:val="auto"/>
          <w:sz w:val="24"/>
          <w:szCs w:val="24"/>
          <w:highlight w:val="none"/>
          <w:lang w:eastAsia="zh"/>
        </w:rPr>
      </w:pPr>
      <w:r>
        <w:rPr>
          <w:rFonts w:hint="eastAsia" w:ascii="宋体" w:hAnsi="宋体" w:eastAsia="宋体" w:cs="宋体"/>
          <w:b w:val="0"/>
          <w:bCs w:val="0"/>
          <w:color w:val="auto"/>
          <w:sz w:val="24"/>
          <w:szCs w:val="24"/>
          <w:highlight w:val="none"/>
        </w:rPr>
        <w:t>2.12舷外机马力：≥30马力</w:t>
      </w:r>
      <w:r>
        <w:rPr>
          <w:rFonts w:hint="eastAsia" w:ascii="宋体" w:hAnsi="宋体" w:eastAsia="宋体" w:cs="宋体"/>
          <w:b w:val="0"/>
          <w:bCs w:val="0"/>
          <w:color w:val="auto"/>
          <w:sz w:val="24"/>
          <w:szCs w:val="24"/>
          <w:highlight w:val="none"/>
          <w:lang w:eastAsia="zh"/>
        </w:rPr>
        <w:t>，</w:t>
      </w:r>
      <w:r>
        <w:rPr>
          <w:rFonts w:hint="eastAsia" w:ascii="宋体" w:hAnsi="宋体" w:eastAsia="宋体" w:cs="宋体"/>
          <w:b w:val="0"/>
          <w:bCs w:val="0"/>
          <w:color w:val="auto"/>
          <w:sz w:val="24"/>
          <w:szCs w:val="24"/>
          <w:highlight w:val="none"/>
          <w:lang w:bidi="ar"/>
        </w:rPr>
        <w:t>舷外机具备手动和电动两种启动方式</w:t>
      </w:r>
      <w:r>
        <w:rPr>
          <w:rFonts w:hint="eastAsia" w:ascii="宋体" w:hAnsi="宋体" w:eastAsia="宋体" w:cs="宋体"/>
          <w:b w:val="0"/>
          <w:bCs w:val="0"/>
          <w:color w:val="auto"/>
          <w:sz w:val="24"/>
          <w:szCs w:val="24"/>
          <w:highlight w:val="none"/>
          <w:lang w:eastAsia="zh" w:bidi="ar"/>
        </w:rPr>
        <w:t>；</w:t>
      </w:r>
    </w:p>
    <w:p w14:paraId="0B2442D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2.13油箱≥20L</w:t>
      </w:r>
      <w:r>
        <w:rPr>
          <w:rFonts w:hint="eastAsia" w:ascii="宋体" w:hAnsi="宋体" w:eastAsia="宋体" w:cs="宋体"/>
          <w:b w:val="0"/>
          <w:bCs w:val="0"/>
          <w:color w:val="auto"/>
          <w:sz w:val="24"/>
          <w:szCs w:val="24"/>
          <w:highlight w:val="none"/>
          <w:lang w:eastAsia="zh"/>
        </w:rPr>
        <w:t>，</w:t>
      </w:r>
      <w:r>
        <w:rPr>
          <w:rFonts w:hint="eastAsia" w:ascii="宋体" w:hAnsi="宋体" w:eastAsia="宋体" w:cs="宋体"/>
          <w:b w:val="0"/>
          <w:bCs w:val="0"/>
          <w:color w:val="auto"/>
          <w:sz w:val="24"/>
          <w:szCs w:val="24"/>
          <w:highlight w:val="none"/>
          <w:lang w:bidi="ar"/>
        </w:rPr>
        <w:t>船上固定油箱位置</w:t>
      </w:r>
      <w:r>
        <w:rPr>
          <w:rFonts w:hint="eastAsia" w:ascii="宋体" w:hAnsi="宋体" w:eastAsia="宋体" w:cs="宋体"/>
          <w:b w:val="0"/>
          <w:bCs w:val="0"/>
          <w:color w:val="auto"/>
          <w:sz w:val="24"/>
          <w:szCs w:val="24"/>
          <w:highlight w:val="none"/>
          <w:lang w:eastAsia="zh" w:bidi="ar"/>
        </w:rPr>
        <w:t>；</w:t>
      </w:r>
      <w:r>
        <w:rPr>
          <w:rFonts w:hint="eastAsia" w:ascii="宋体" w:hAnsi="宋体" w:eastAsia="宋体" w:cs="宋体"/>
          <w:b w:val="0"/>
          <w:bCs w:val="0"/>
          <w:color w:val="auto"/>
          <w:sz w:val="24"/>
          <w:szCs w:val="24"/>
          <w:highlight w:val="none"/>
        </w:rPr>
        <w:t xml:space="preserve">                       </w:t>
      </w:r>
    </w:p>
    <w:p w14:paraId="415344A8">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3、其他要求</w:t>
      </w:r>
    </w:p>
    <w:p w14:paraId="538EC5DC">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3.1随艇配备螺旋桨保护罩、</w:t>
      </w:r>
      <w:r>
        <w:rPr>
          <w:rFonts w:hint="eastAsia" w:ascii="宋体" w:hAnsi="宋体" w:eastAsia="宋体" w:cs="宋体"/>
          <w:b w:val="0"/>
          <w:bCs w:val="0"/>
          <w:color w:val="auto"/>
          <w:sz w:val="24"/>
          <w:szCs w:val="24"/>
          <w:highlight w:val="none"/>
          <w:lang w:bidi="ar"/>
        </w:rPr>
        <w:t>带锁止功能的舷外机拖车</w:t>
      </w:r>
      <w:r>
        <w:rPr>
          <w:rFonts w:hint="eastAsia" w:ascii="宋体" w:hAnsi="宋体" w:eastAsia="宋体" w:cs="宋体"/>
          <w:b w:val="0"/>
          <w:bCs w:val="0"/>
          <w:color w:val="auto"/>
          <w:sz w:val="24"/>
          <w:szCs w:val="24"/>
          <w:highlight w:val="none"/>
        </w:rPr>
        <w:t>、救援艇围板折叠轮，便于单人搬运。</w:t>
      </w:r>
    </w:p>
    <w:p w14:paraId="01E9C0C4">
      <w:pPr>
        <w:spacing w:line="360" w:lineRule="auto"/>
        <w:rPr>
          <w:rFonts w:hint="eastAsia" w:ascii="方正仿宋_GBK" w:hAnsi="方正仿宋_GBK" w:eastAsia="方正仿宋_GBK" w:cs="方正仿宋_GBK"/>
          <w:color w:val="auto"/>
          <w:sz w:val="24"/>
          <w:szCs w:val="24"/>
          <w:highlight w:val="none"/>
        </w:rPr>
      </w:pPr>
      <w:r>
        <w:rPr>
          <w:rFonts w:hint="eastAsia" w:ascii="宋体" w:hAnsi="宋体" w:eastAsia="宋体" w:cs="宋体"/>
          <w:b w:val="0"/>
          <w:bCs w:val="0"/>
          <w:color w:val="auto"/>
          <w:sz w:val="24"/>
          <w:szCs w:val="24"/>
          <w:highlight w:val="none"/>
        </w:rPr>
        <w:t>3.2每舟配备缆绳和修补工具，修补工具至少包含专用胶水1支，气阀扳手1个，维修材料3张、铝合金划桨</w:t>
      </w:r>
      <w:r>
        <w:rPr>
          <w:rFonts w:hint="eastAsia" w:ascii="宋体" w:hAnsi="宋体" w:eastAsia="宋体" w:cs="宋体"/>
          <w:b w:val="0"/>
          <w:bCs w:val="0"/>
          <w:color w:val="auto"/>
          <w:sz w:val="24"/>
          <w:szCs w:val="24"/>
          <w:highlight w:val="none"/>
          <w:lang w:eastAsia="zh"/>
        </w:rPr>
        <w:t>4</w:t>
      </w:r>
      <w:r>
        <w:rPr>
          <w:rFonts w:hint="eastAsia" w:ascii="宋体" w:hAnsi="宋体" w:eastAsia="宋体" w:cs="宋体"/>
          <w:b w:val="0"/>
          <w:bCs w:val="0"/>
          <w:color w:val="auto"/>
          <w:sz w:val="24"/>
          <w:szCs w:val="24"/>
          <w:highlight w:val="none"/>
        </w:rPr>
        <w:t>副、电动气泵1个，</w:t>
      </w:r>
      <w:r>
        <w:rPr>
          <w:rFonts w:hint="eastAsia" w:ascii="宋体" w:hAnsi="宋体" w:eastAsia="宋体" w:cs="宋体"/>
          <w:b w:val="0"/>
          <w:bCs w:val="0"/>
          <w:color w:val="auto"/>
          <w:sz w:val="24"/>
          <w:szCs w:val="24"/>
          <w:highlight w:val="none"/>
          <w:lang w:bidi="ar"/>
        </w:rPr>
        <w:t>气瓶充气转换接头</w:t>
      </w:r>
      <w:r>
        <w:rPr>
          <w:rFonts w:hint="eastAsia" w:ascii="宋体" w:hAnsi="宋体" w:eastAsia="宋体" w:cs="宋体"/>
          <w:b w:val="0"/>
          <w:bCs w:val="0"/>
          <w:color w:val="auto"/>
          <w:sz w:val="24"/>
          <w:szCs w:val="24"/>
          <w:highlight w:val="none"/>
          <w:lang w:eastAsia="zh" w:bidi="ar"/>
        </w:rPr>
        <w:t>1个，</w:t>
      </w:r>
      <w:r>
        <w:rPr>
          <w:rFonts w:hint="eastAsia" w:ascii="宋体" w:hAnsi="宋体" w:eastAsia="宋体" w:cs="宋体"/>
          <w:b w:val="0"/>
          <w:bCs w:val="0"/>
          <w:color w:val="auto"/>
          <w:sz w:val="24"/>
          <w:szCs w:val="24"/>
          <w:highlight w:val="none"/>
        </w:rPr>
        <w:t xml:space="preserve">油桶2个。 </w:t>
      </w:r>
      <w:r>
        <w:rPr>
          <w:rFonts w:hint="eastAsia" w:ascii="方正仿宋_GBK" w:hAnsi="方正仿宋_GBK" w:eastAsia="方正仿宋_GBK" w:cs="方正仿宋_GBK"/>
          <w:color w:val="auto"/>
          <w:sz w:val="24"/>
          <w:szCs w:val="24"/>
          <w:highlight w:val="none"/>
        </w:rPr>
        <w:t xml:space="preserve"> </w:t>
      </w:r>
    </w:p>
    <w:p w14:paraId="273DE1B3">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、船型担架</w:t>
      </w:r>
    </w:p>
    <w:p w14:paraId="775E48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45B0FF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1、整体要求</w:t>
      </w:r>
    </w:p>
    <w:p w14:paraId="2FB2CD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1.1用于在崎岖的山区，空中或海上救援。</w:t>
      </w:r>
    </w:p>
    <w:p w14:paraId="2D1D76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△1.2整体结构为不锈钢外框，工程塑料或其它轻质材料底；担架底部配置伤员隔离减震垫；担架上宽下窄，易于搬运；吊篮内配置固定带和快速提升带。</w:t>
      </w:r>
    </w:p>
    <w:p w14:paraId="106A48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14:paraId="4F56E5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2.1材质采用无毒无污染释放的材料，具有防火和耐磨损和防腐蚀的功能。</w:t>
      </w:r>
    </w:p>
    <w:p w14:paraId="14B096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2.2担架配有可调节的脚部安全机械装置，安全带等。</w:t>
      </w:r>
    </w:p>
    <w:p w14:paraId="55862161">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2.3载重≥150KG。</w:t>
      </w:r>
    </w:p>
    <w:p w14:paraId="5EF9FA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2.4固定点≥5个。</w:t>
      </w:r>
    </w:p>
    <w:p w14:paraId="2C6D0083">
      <w:pPr>
        <w:pStyle w:val="7"/>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rPr>
        <w:t>2.5</w:t>
      </w:r>
      <w:r>
        <w:rPr>
          <w:rFonts w:hint="eastAsia" w:ascii="宋体" w:hAnsi="宋体" w:eastAsia="宋体" w:cs="宋体"/>
          <w:color w:val="auto"/>
          <w:sz w:val="24"/>
          <w:szCs w:val="24"/>
          <w:highlight w:val="none"/>
          <w:lang w:bidi="ar"/>
        </w:rPr>
        <w:t>配备专用收纳包</w:t>
      </w:r>
      <w:r>
        <w:rPr>
          <w:rFonts w:hint="eastAsia" w:ascii="宋体" w:hAnsi="宋体" w:eastAsia="宋体" w:cs="宋体"/>
          <w:color w:val="auto"/>
          <w:sz w:val="24"/>
          <w:szCs w:val="24"/>
          <w:highlight w:val="none"/>
        </w:rPr>
        <w:t xml:space="preserve">。    </w:t>
      </w:r>
    </w:p>
    <w:p w14:paraId="005276F3">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4、多功能担架</w:t>
      </w:r>
    </w:p>
    <w:p w14:paraId="79891CC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637F48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1、总体性能符合市场准入标准要求，提供国家专业机构检测报告。</w:t>
      </w:r>
    </w:p>
    <w:p w14:paraId="3ED4D6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2、采用特殊复合塑料制成，可在－20℃～45℃温度下工作不发生硬化或软化，可以弯曲变形使用，</w:t>
      </w:r>
    </w:p>
    <w:p w14:paraId="310D025C">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3、载重≥150kg。</w:t>
      </w:r>
    </w:p>
    <w:p w14:paraId="21D3253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4、垂直断裂强度≥2.5kN，</w:t>
      </w:r>
    </w:p>
    <w:p w14:paraId="6A8074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5、平行断裂强度≥4kN</w:t>
      </w:r>
    </w:p>
    <w:p w14:paraId="1653A8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6、耐温：高温≥45℃  低温≤-20℃。</w:t>
      </w:r>
    </w:p>
    <w:p w14:paraId="7AA54A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7、自重：≤9kg</w:t>
      </w:r>
    </w:p>
    <w:p w14:paraId="5C744F0C">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、多功能省力系统</w:t>
      </w:r>
    </w:p>
    <w:p w14:paraId="4CF0DBC7">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bidi="ar"/>
        </w:rPr>
        <w:t>滑轮拖拽省力系</w:t>
      </w:r>
      <w:r>
        <w:rPr>
          <w:rFonts w:hint="eastAsia" w:ascii="宋体" w:hAnsi="宋体" w:eastAsia="宋体" w:cs="宋体"/>
          <w:color w:val="auto"/>
          <w:sz w:val="24"/>
          <w:szCs w:val="24"/>
          <w:highlight w:val="none"/>
        </w:rPr>
        <w:t>统，4比1或5比1滑轮</w:t>
      </w:r>
      <w:r>
        <w:rPr>
          <w:rFonts w:hint="eastAsia" w:ascii="宋体" w:hAnsi="宋体" w:eastAsia="宋体" w:cs="宋体"/>
          <w:color w:val="auto"/>
          <w:sz w:val="24"/>
          <w:szCs w:val="24"/>
          <w:highlight w:val="none"/>
          <w:lang w:bidi="ar"/>
        </w:rPr>
        <w:t>提拉套装。</w:t>
      </w:r>
    </w:p>
    <w:p w14:paraId="6E6DD0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适合绳索系统，高塔作业、消防救援。</w:t>
      </w:r>
    </w:p>
    <w:p w14:paraId="5118B63F">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1、符合XF 494-2023《消防用防坠落装备》标准，倍力系数≥4：1。</w:t>
      </w:r>
    </w:p>
    <w:p w14:paraId="028F63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2、提拉端可通过颜色识别。 </w:t>
      </w:r>
    </w:p>
    <w:p w14:paraId="0B54C6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3、绳索直径≥8mm</w:t>
      </w:r>
    </w:p>
    <w:p w14:paraId="3E3BF6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△4、重量≤1500g，</w:t>
      </w:r>
    </w:p>
    <w:p w14:paraId="4A6E85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5、工作长度≥2米</w:t>
      </w:r>
    </w:p>
    <w:p w14:paraId="1A4D7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△6.基本配置：万向滑轮*1对，16米8MM绳*1 ，缝合抓结*2 （双色），左右两侧拉链腿包*1 ，快拆插销*2安全盖+螺丝 *1</w:t>
      </w:r>
    </w:p>
    <w:p w14:paraId="3CF137DB">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6、多功能水枪</w:t>
      </w:r>
    </w:p>
    <w:p w14:paraId="691B61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技术参数：用于扑救火灾的喷射水器具，由开关、流态调节器、流量调节器、转轴式方向套组成。可实现直流、开花水流等多种喷射方式。</w:t>
      </w:r>
    </w:p>
    <w:p w14:paraId="04B842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1、喷雾流量（L/s）Ⅰ档≥2.5、Ⅱ档≥4.5、Ⅲ档≥6、Ⅳ档≥8；</w:t>
      </w:r>
    </w:p>
    <w:p w14:paraId="4DBA1C8C">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2、直流（L/s）≥7.6，射程≥32m；</w:t>
      </w:r>
    </w:p>
    <w:p w14:paraId="126200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3、喷射压力：0.6Mpa（±0.01）；</w:t>
      </w:r>
    </w:p>
    <w:p w14:paraId="28DEEA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4、喷射角度≥120度；</w:t>
      </w:r>
    </w:p>
    <w:p w14:paraId="34681C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5、水枪操作力矩≤7.8N•m；</w:t>
      </w:r>
    </w:p>
    <w:p w14:paraId="6E5FD1AA">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6、</w:t>
      </w:r>
      <w:r>
        <w:rPr>
          <w:rFonts w:hint="eastAsia" w:ascii="宋体" w:hAnsi="宋体" w:eastAsia="宋体" w:cs="宋体"/>
          <w:color w:val="auto"/>
          <w:sz w:val="24"/>
          <w:szCs w:val="24"/>
          <w:highlight w:val="none"/>
          <w:lang w:bidi="ar"/>
        </w:rPr>
        <w:t>配备零配件原装开关手柄≥2套/把；</w:t>
      </w:r>
    </w:p>
    <w:p w14:paraId="7F36D5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 xml:space="preserve">、提供国家消防装备质量监督检验中心出具的检验报告及消防产品认证证书。  </w:t>
      </w:r>
    </w:p>
    <w:p w14:paraId="41753D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7、救生抛投器</w:t>
      </w:r>
    </w:p>
    <w:p w14:paraId="19D33E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技术参数：以压缩空气为动力，向目标抛投救绳索及救生圈的一种救援装备，主要用于海难遇险、高层空难及特殊场合的救援。</w:t>
      </w:r>
    </w:p>
    <w:p w14:paraId="2DA352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1、采用内置压缩空气作为动力，工作压力≥ 7.0Mpa，配有压力表便于观察抛投器压力。使用时无明火，带安全按钮联锁，安全可靠，操作简捷方便。</w:t>
      </w:r>
    </w:p>
    <w:p w14:paraId="0575CF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2、产品净重≤8kg。</w:t>
      </w:r>
    </w:p>
    <w:p w14:paraId="44EEC58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3、具备陆地、水上远距离抛射救生功能， 陆用时抛射距离≥230m ，水用时抛射距离≥210m。抛绳抗拉力≥ 2KN 。</w:t>
      </w:r>
    </w:p>
    <w:p w14:paraId="587712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4、采用二氧化碳压缩气体或高压空气为发射动力，没有明火。产品带有保险开关，安全系数更高。</w:t>
      </w:r>
    </w:p>
    <w:p w14:paraId="3F7059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5、配备发射角度指示器，通过指示器调整发射角度，达到调整发射距离。</w:t>
      </w:r>
    </w:p>
    <w:p w14:paraId="79283CFE">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6、内置1.5升碳纤维气瓶的发射枪体1个、陆用抛绳救援弹2个水用、救援弹2个、训练弹1个、训练绳包1个、吹绳枪1个、二氧化碳压缩气瓶4个、触发剂4个、水用保护套2个、空绳包2个、多功能底座1个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气瓶与发射枪连接口≥2个</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气瓶快速充气装置≥1个</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吹绳枪配备可以连接气瓶的专用气管≥1套</w:t>
      </w:r>
      <w:r>
        <w:rPr>
          <w:rFonts w:hint="eastAsia" w:ascii="宋体" w:hAnsi="宋体" w:eastAsia="宋体" w:cs="宋体"/>
          <w:color w:val="auto"/>
          <w:sz w:val="24"/>
          <w:szCs w:val="24"/>
          <w:highlight w:val="none"/>
          <w:lang w:eastAsia="zh" w:bidi="ar"/>
        </w:rPr>
        <w:t>。</w:t>
      </w:r>
    </w:p>
    <w:p w14:paraId="360915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7、提供国家认可的认证或检测机构出具的认证证书或检测报告复印件加盖投标单位公章，认证证书或检测报告在有效期内。  </w:t>
      </w:r>
    </w:p>
    <w:p w14:paraId="19549EFA">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、救援三角架</w:t>
      </w:r>
    </w:p>
    <w:p w14:paraId="30A598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采用优质铝合金框架，在高处、悬崖垂直面上可设置伸出崖面的工作支点，满足高处、悬崖及井下救援作业。备有手摇式绞盘，可作临时移动的三角架支点，能个人独立操作，可呈现合适的救援角度，支撑脚两节可分解式，可组合三角型、A 型支架，斜 A 型支架或起重支架。顶部有直接安装的滑轮，配有多种基座;具备适应沙地、岩石、水泥地等多种环境的架设能力。</w:t>
      </w:r>
    </w:p>
    <w:p w14:paraId="066830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1、采用优质铝合金框架，三角架顶端装有环形挂钩，最大有效垂直空间≥195cmm；    </w:t>
      </w:r>
    </w:p>
    <w:p w14:paraId="2906E03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2、牵引绞盘：阻断力≥2200N，钢丝绳长度≥20米；最大载重≥300kg；齿轮比例：8：1；绞盘带自制刹车装置。</w:t>
      </w:r>
    </w:p>
    <w:p w14:paraId="0BB54B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3、三角架整体自重（含牵引绞盘自重）≤30kg；</w:t>
      </w:r>
    </w:p>
    <w:p w14:paraId="710988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4、完全展开：≥200cm；完全收缩：≤150cm ；</w:t>
      </w:r>
    </w:p>
    <w:p w14:paraId="1A75ECD3">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5、额定载荷：≥180kg；  </w:t>
      </w:r>
    </w:p>
    <w:p w14:paraId="38215F24">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由三角架连接头、支腿、支脚、收紧扁带(含收紧器)、绳包、器材包等组成，配置≥45 件套；</w:t>
      </w:r>
    </w:p>
    <w:p w14:paraId="38DC52BD">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
        </w:rPr>
        <w:t>配备专用收纳箱；</w:t>
      </w:r>
    </w:p>
    <w:p w14:paraId="00ABDC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 xml:space="preserve">、提供检测报告。 </w:t>
      </w:r>
    </w:p>
    <w:p w14:paraId="22951C7E">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、卷扬机</w:t>
      </w:r>
    </w:p>
    <w:p w14:paraId="4AA5B4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5A3538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14:paraId="60B80D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1.1质量：≤20kg （含电池）</w:t>
      </w:r>
    </w:p>
    <w:p w14:paraId="0524A2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1.2电池：≥5OOOMAH</w:t>
      </w:r>
    </w:p>
    <w:p w14:paraId="556876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1.3电压： ≤36V</w:t>
      </w:r>
    </w:p>
    <w:p w14:paraId="649E7F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1.4拥有LED电池电量显示</w:t>
      </w:r>
    </w:p>
    <w:p w14:paraId="55E9D7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14:paraId="03C435F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2.1功率 ：≥1000W，</w:t>
      </w:r>
    </w:p>
    <w:p w14:paraId="334C97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△2.2安全负载 ：≥150KG 最大工作负荷≥250KG，</w:t>
      </w:r>
    </w:p>
    <w:p w14:paraId="3EB408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2.3运行距离（单电池）： 往返400M (120KG负载）</w:t>
      </w:r>
    </w:p>
    <w:p w14:paraId="1A4547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14:paraId="115EAF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3.1需配备有无电释放下降功能，保证没电情况下人员安全落地。</w:t>
      </w:r>
    </w:p>
    <w:p w14:paraId="5BC18221">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3.2设有紧急停止按钮</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悬停功能、误操作保护功能。</w:t>
      </w:r>
    </w:p>
    <w:p w14:paraId="0A5F33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
        </w:rPr>
        <w:t>配件：</w:t>
      </w:r>
      <w:r>
        <w:rPr>
          <w:rFonts w:hint="eastAsia" w:ascii="宋体" w:hAnsi="宋体" w:eastAsia="宋体" w:cs="宋体"/>
          <w:color w:val="auto"/>
          <w:sz w:val="24"/>
          <w:szCs w:val="24"/>
          <w:highlight w:val="none"/>
        </w:rPr>
        <w:t>设备1台、电池≥2块、说明书1份、合格证1张、充电器≥2个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安全扣≥1个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消防员全身吊带1套</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通用型安全绳50米100米各1根</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 xml:space="preserve">  </w:t>
      </w:r>
    </w:p>
    <w:p w14:paraId="34EAA590">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10、可漂浮救生担架</w:t>
      </w:r>
    </w:p>
    <w:p w14:paraId="3B6934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技术参数：适用于海、陆、空等不同的救援场所；也可做为水中救生垫及其它漂浮品使用。</w:t>
      </w:r>
    </w:p>
    <w:p w14:paraId="6B2EAFD3">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1、采用双层高强拉丝PVC材料或优于。</w:t>
      </w:r>
    </w:p>
    <w:p w14:paraId="33B51A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2、充气压力≥0.1Mpa，内部高压强的情况下救援板不会变形。</w:t>
      </w:r>
    </w:p>
    <w:p w14:paraId="419646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3、救援板长度≥1.85m，宽度≥0.7m，厚度≥0.1m。</w:t>
      </w:r>
    </w:p>
    <w:p w14:paraId="209F7E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4、正面中部为高强EVA材质或优于，正面和背面均设有防滑板，救援板四周有挂点和抓手绳。</w:t>
      </w:r>
    </w:p>
    <w:p w14:paraId="28921C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5、配备划桨≥1支，</w:t>
      </w:r>
      <w:r>
        <w:rPr>
          <w:rFonts w:hint="eastAsia" w:ascii="宋体" w:hAnsi="宋体" w:eastAsia="宋体" w:cs="宋体"/>
          <w:color w:val="auto"/>
          <w:sz w:val="24"/>
          <w:szCs w:val="24"/>
          <w:highlight w:val="none"/>
          <w:lang w:eastAsia="zh"/>
        </w:rPr>
        <w:t>50米</w:t>
      </w:r>
      <w:r>
        <w:rPr>
          <w:rFonts w:hint="eastAsia" w:ascii="宋体" w:hAnsi="宋体" w:eastAsia="宋体" w:cs="宋体"/>
          <w:color w:val="auto"/>
          <w:sz w:val="24"/>
          <w:szCs w:val="24"/>
          <w:highlight w:val="none"/>
        </w:rPr>
        <w:t>水域漂浮救援绳≥1条，装备包≥1个，修补材料≥1份，打气筒/泵≥1个。</w:t>
      </w:r>
    </w:p>
    <w:p w14:paraId="5E0CCD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6、整体重量≤8kg。</w:t>
      </w:r>
    </w:p>
    <w:p w14:paraId="23B043E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7、水上漂浮载重≥100KG；</w:t>
      </w:r>
    </w:p>
    <w:p w14:paraId="45899FEC">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lang w:bidi="ar"/>
        </w:rPr>
        <w:t>可漂浮救生担架设置挂点，可于救生艇配合使用；</w:t>
      </w:r>
    </w:p>
    <w:p w14:paraId="050E66E4">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9</w:t>
      </w:r>
      <w:r>
        <w:rPr>
          <w:rFonts w:hint="eastAsia" w:ascii="宋体" w:hAnsi="宋体" w:eastAsia="宋体" w:cs="宋体"/>
          <w:color w:val="auto"/>
          <w:sz w:val="24"/>
          <w:szCs w:val="24"/>
          <w:highlight w:val="none"/>
        </w:rPr>
        <w:t>、板身主体颜色应为消防红；四周具有夜光反光标识</w:t>
      </w:r>
      <w:r>
        <w:rPr>
          <w:rFonts w:hint="eastAsia" w:ascii="宋体" w:hAnsi="宋体" w:eastAsia="宋体" w:cs="宋体"/>
          <w:color w:val="auto"/>
          <w:sz w:val="24"/>
          <w:szCs w:val="24"/>
          <w:highlight w:val="none"/>
          <w:lang w:eastAsia="zh"/>
        </w:rPr>
        <w:t>；</w:t>
      </w:r>
    </w:p>
    <w:p w14:paraId="04634E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、应可用压缩气瓶或专用气筒/泵充气；</w:t>
      </w:r>
    </w:p>
    <w:p w14:paraId="19E05F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1</w:t>
      </w:r>
      <w:r>
        <w:rPr>
          <w:rFonts w:hint="eastAsia" w:ascii="宋体" w:hAnsi="宋体" w:eastAsia="宋体" w:cs="宋体"/>
          <w:color w:val="auto"/>
          <w:sz w:val="24"/>
          <w:szCs w:val="24"/>
          <w:highlight w:val="none"/>
        </w:rPr>
        <w:t>、提供省级或省级以上质量监督检验中心的检测报告。</w:t>
      </w:r>
    </w:p>
    <w:p w14:paraId="2D534DA5">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、气动起重气垫</w:t>
      </w:r>
    </w:p>
    <w:p w14:paraId="02B89F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性能要求:主要用于交通事故、建筑倒塌等现场救援。防滑设计，防酸碱，抗尖状硬物挤压；具备抗静电、抗裂、耐磨、抗油、抗老化性能</w:t>
      </w:r>
    </w:p>
    <w:p w14:paraId="6966273F">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1、不少于4种规格：球形气垫1、≥5T、2、≥15T、3、≥25T 、4、≥35T；</w:t>
      </w:r>
    </w:p>
    <w:p w14:paraId="577666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△2、气垫爆破压力≥2.4Mpa；额定工作高度≥100mm；        </w:t>
      </w:r>
    </w:p>
    <w:p w14:paraId="6F3D34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3、气垫之间可重叠使用，可将2个或3个气垫固定连接成为一个整体。</w:t>
      </w:r>
    </w:p>
    <w:p w14:paraId="2F734B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△4、需配备有6.8L-9L碳纤维高压气瓶≥1个；充气管≥5米不少于2根。带安全阀截流管长度：≥1m，不低于2根；配备连接器、连接工具；承重板≥2块；地垫≥1块；</w:t>
      </w:r>
      <w:r>
        <w:rPr>
          <w:rFonts w:hint="eastAsia" w:ascii="宋体" w:hAnsi="宋体" w:eastAsia="宋体" w:cs="宋体"/>
          <w:color w:val="auto"/>
          <w:sz w:val="24"/>
          <w:szCs w:val="24"/>
          <w:highlight w:val="none"/>
          <w:lang w:bidi="ar"/>
        </w:rPr>
        <w:t>与</w:t>
      </w:r>
      <w:r>
        <w:rPr>
          <w:rFonts w:hint="eastAsia" w:ascii="宋体" w:hAnsi="宋体" w:cs="宋体"/>
          <w:color w:val="auto"/>
          <w:sz w:val="24"/>
          <w:szCs w:val="24"/>
          <w:highlight w:val="none"/>
          <w:lang w:eastAsia="zh-CN" w:bidi="ar"/>
        </w:rPr>
        <w:t>空气呼吸器瓶</w:t>
      </w:r>
      <w:r>
        <w:rPr>
          <w:rFonts w:hint="eastAsia" w:ascii="宋体" w:hAnsi="宋体" w:eastAsia="宋体" w:cs="宋体"/>
          <w:color w:val="auto"/>
          <w:sz w:val="24"/>
          <w:szCs w:val="24"/>
          <w:highlight w:val="none"/>
          <w:lang w:bidi="ar"/>
        </w:rPr>
        <w:t>匹配的快速接头和高压软管</w:t>
      </w:r>
      <w:r>
        <w:rPr>
          <w:rFonts w:hint="eastAsia" w:ascii="宋体" w:hAnsi="宋体" w:eastAsia="宋体" w:cs="宋体"/>
          <w:color w:val="auto"/>
          <w:sz w:val="24"/>
          <w:szCs w:val="24"/>
          <w:highlight w:val="none"/>
          <w:lang w:eastAsia="zh" w:bidi="ar"/>
        </w:rPr>
        <w:t>1套、</w:t>
      </w:r>
      <w:r>
        <w:rPr>
          <w:rFonts w:hint="eastAsia" w:ascii="宋体" w:hAnsi="宋体" w:eastAsia="宋体" w:cs="宋体"/>
          <w:color w:val="auto"/>
          <w:sz w:val="24"/>
          <w:szCs w:val="24"/>
          <w:highlight w:val="none"/>
        </w:rPr>
        <w:t>配件箱1只。</w:t>
      </w:r>
    </w:p>
    <w:p w14:paraId="1D2952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整套含高压气瓶、气瓶阀、减压器、压力表、充气管、安全阀 、控制阀、快速接头、充气泵、不同规格气垫。  </w:t>
      </w:r>
    </w:p>
    <w:p w14:paraId="07BF3F2D">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、躯体固定气囊</w:t>
      </w:r>
    </w:p>
    <w:p w14:paraId="15466C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技术参数：用于突发事故现场、躯体骨伤骨折，能有效防止因现场处理不当及送医过程造成二次损失。</w:t>
      </w:r>
    </w:p>
    <w:p w14:paraId="3E39B7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1、功能：用于固定、搬运、转运受伤人员。 </w:t>
      </w:r>
    </w:p>
    <w:p w14:paraId="6C41520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2、材质：PVC 材料，表面不易损坏，可洗涤。</w:t>
      </w:r>
    </w:p>
    <w:p w14:paraId="122544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3、结构：包括躯体气囊、手泵、手提包。</w:t>
      </w:r>
    </w:p>
    <w:p w14:paraId="3E4564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4、性能：</w:t>
      </w:r>
    </w:p>
    <w:p w14:paraId="2BDE5A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（1）要有手动负压装置，快速成型，牢固、轻便；</w:t>
      </w:r>
    </w:p>
    <w:p w14:paraId="499F96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△（2）真空状态应保持70个小时以上；</w:t>
      </w:r>
    </w:p>
    <w:p w14:paraId="265955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（3）能配合直升机使用，可根据采购方需要定做；</w:t>
      </w:r>
    </w:p>
    <w:p w14:paraId="5A029D8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（4）不影响 X 光、CT、MRI 检查，四季能用；</w:t>
      </w:r>
    </w:p>
    <w:p w14:paraId="6715A7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（5）躯体固定器可按伤员的各种形态而变化；</w:t>
      </w:r>
    </w:p>
    <w:p w14:paraId="22571C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5、承重≥150kg；</w:t>
      </w:r>
    </w:p>
    <w:p w14:paraId="26FC0D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6、适应-30℃-80℃环境温度。 </w:t>
      </w:r>
    </w:p>
    <w:p w14:paraId="1B67E8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lang w:bidi="ar"/>
        </w:rPr>
        <w:t>配备收纳包，具有防水、防磨功能。</w:t>
      </w:r>
    </w:p>
    <w:p w14:paraId="7D85BDFD">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3、水面漂浮救生绳（200米）</w:t>
      </w:r>
    </w:p>
    <w:p w14:paraId="1A1386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技术参数：适用于水域救援、船舶救生、水上作业、户外攀登等救生圈和救生用的绳索，可配在小船上、救生浮上、救生筏上， 同时可作为矿难搜救﹑夜间搜救。</w:t>
      </w:r>
    </w:p>
    <w:p w14:paraId="628718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1、符合GB/T8834--2016绳索有关物理和机械性能的测定,救生绳线密度测试按GB/T8834-2016规定的方法进行测量</w:t>
      </w:r>
    </w:p>
    <w:p w14:paraId="1F1ED3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2、具有可漂浮性，带有反光功能，夜间标明显</w:t>
      </w:r>
    </w:p>
    <w:p w14:paraId="4EB42CB5">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3、长度≥200m</w:t>
      </w:r>
    </w:p>
    <w:p w14:paraId="1E3AD5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△4、直径≥12mm</w:t>
      </w:r>
    </w:p>
    <w:p w14:paraId="56E02F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5、其内线为PP绳（等同或优于），外线为荧光线制成，强度高、延伸率小、抗击性能好，具有不吸水、拉力强、可漂浮、抗老化、防腐蚀等优点。</w:t>
      </w:r>
    </w:p>
    <w:p w14:paraId="50BE60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△6、最小破断强度不小于35kN</w:t>
      </w:r>
    </w:p>
    <w:p w14:paraId="0F8837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7、重量：不大于8kg/100m</w:t>
      </w:r>
    </w:p>
    <w:p w14:paraId="013D15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8、延伸率：承重达到最小破断强度的10%时救生绳延伸率不大于3%</w:t>
      </w:r>
    </w:p>
    <w:p w14:paraId="6C40C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9、经48小时的漂浮性能试验，绳漂浮在水面上。</w:t>
      </w:r>
    </w:p>
    <w:p w14:paraId="690269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lang w:bidi="ar"/>
        </w:rPr>
        <w:t>配备专用收纳包</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 xml:space="preserve">  </w:t>
      </w:r>
    </w:p>
    <w:p w14:paraId="2F2210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14、通用安全绳（200米）（核心产品）</w:t>
      </w:r>
    </w:p>
    <w:p w14:paraId="32EE8C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6B66006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1、符合XF 494-2023《消防用防坠落装备》标准，提供国家消防装备质量监督检验中心出具的检测报告或EN、CE认证；                                                                                                                  </w:t>
      </w:r>
    </w:p>
    <w:p w14:paraId="470B43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2、安全绳应由原纤维制成；</w:t>
      </w:r>
    </w:p>
    <w:p w14:paraId="2ED3D5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3、安全绳应为连续结构，主承重部分应由连续纤维制成；</w:t>
      </w:r>
    </w:p>
    <w:p w14:paraId="5EEA9B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4、安全绳应采用夹心绳结构；</w:t>
      </w:r>
    </w:p>
    <w:p w14:paraId="0F2ABB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5、安全绳表面应无任何机械损伤现象，整绳粗细均匀、结构一致；</w:t>
      </w:r>
    </w:p>
    <w:p w14:paraId="4D257A81">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6、安全绳的长度为≥200m每根安全绳的两端应妥善收尾，宜采用绳环结构，并用同种材料的细绳扎缝不少于50mm，在扎缝处热封，扎缝处包以裹紧的橡胶或塑料套管；</w:t>
      </w:r>
    </w:p>
    <w:p w14:paraId="21C066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7、安全绳的最小破断强度：应不小于40kN；</w:t>
      </w:r>
    </w:p>
    <w:p w14:paraId="06C276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8、安全绳的延伸率：当承重达到最小破断强度的10%时，安全绳的延伸率应不小于1%且不大于10%；</w:t>
      </w:r>
    </w:p>
    <w:p w14:paraId="12C863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9、安全绳的直径12.5-16mm；</w:t>
      </w:r>
    </w:p>
    <w:p w14:paraId="0ABB98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10、安全绳的耐高温性能：经204℃±5℃的耐高温性能试验后，安全绳不应出现融熔，焦化现象。</w:t>
      </w:r>
    </w:p>
    <w:p w14:paraId="53D78B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11、</w:t>
      </w:r>
      <w:r>
        <w:rPr>
          <w:rFonts w:hint="eastAsia" w:ascii="宋体" w:hAnsi="宋体" w:eastAsia="宋体" w:cs="宋体"/>
          <w:color w:val="auto"/>
          <w:sz w:val="24"/>
          <w:szCs w:val="24"/>
          <w:highlight w:val="none"/>
          <w:lang w:bidi="ar"/>
        </w:rPr>
        <w:t>配备绳包、安全挂钩≥2个。</w:t>
      </w:r>
    </w:p>
    <w:p w14:paraId="20BF60E1">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5、舷外机（含油箱防护罩）</w:t>
      </w:r>
    </w:p>
    <w:p w14:paraId="26895C5C">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技术参数：用于水域救援，冲锋舟及橡皮艇舷外机；</w:t>
      </w:r>
    </w:p>
    <w:p w14:paraId="2447575B">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1、发动机最大输出功率：≥29kW；马力≥40匹；</w:t>
      </w:r>
    </w:p>
    <w:p w14:paraId="36A6DAA1">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2、发动机类型：两缸两冲程水冷发动机，铝合金螺旋桨；</w:t>
      </w:r>
    </w:p>
    <w:p w14:paraId="78CB5075">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3、转速(转/分)：≥5000r/min；</w:t>
      </w:r>
    </w:p>
    <w:p w14:paraId="0D032791">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4、排量：≥700cc；</w:t>
      </w:r>
    </w:p>
    <w:p w14:paraId="3BF19CA0">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5、启动系统：采用手动和电启动，后操控系统；</w:t>
      </w:r>
    </w:p>
    <w:p w14:paraId="24512246">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6、润滑系统：预混机油和汽油；</w:t>
      </w:r>
    </w:p>
    <w:p w14:paraId="5D4280BE">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7、倾斜系统：手动倾斜；</w:t>
      </w:r>
    </w:p>
    <w:p w14:paraId="151DF604">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8、净重重量：≤85kg；</w:t>
      </w:r>
    </w:p>
    <w:p w14:paraId="1068D77F">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9、油箱L：≥20；</w:t>
      </w:r>
    </w:p>
    <w:p w14:paraId="0D9A7452">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配备：油箱+油管2个，保险钥匙≥3个，叶轮防罩2个，具有锁止功能专用推车1个，船外机固定绳1根，原装叶轮2个，化油器2个，进气滤芯2个，走动拉盘1个，火花塞10个，限位杆3个，发动机维修工具箱1套（火花塞套筒、钳子、十字起、一字起）。</w:t>
      </w:r>
    </w:p>
    <w:p w14:paraId="2ADA8E16">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16、橡皮艇</w:t>
      </w:r>
    </w:p>
    <w:p w14:paraId="780274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32955B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产品主要适用于江河、水库、湖泊、近海等水域防汛抢险、水域救援、防汛救灾、运输物资以及城市内涝救援、转移受灾群众等作业。船底部做防磨耐刮处理，浮筒设计有间隔膜，完全独立设计，不仅能保护各个气室安全，完全的密封，并且也可以灵活的调节各个气室部分的压力平衡，提高艇体安全系数。船艇至少配备船桨4付，座板2块，电动高压气泵1个，维修工具包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（至少包含船艇修补工具、气瓶充气转换接头、充气压力显示表等），修理桶1个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具有锁止功能舷外机手推车</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手动充气泵</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1.2、艇身材质： PVC 夹网材质，厚度≥ 0.9mm；配件粘接采用进口 PVC 专用聚氨酯胶，高持久力并耐热、耐寒、耐盐水的性能，配件周边并做加固处理。</w:t>
      </w:r>
    </w:p>
    <w:p w14:paraId="34BF6D5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1.3、在气囊与挂机艉板结合处做加固，并用专用螺栓加强；全包围的橡胶条加固龙骨有靠岸防擦板。</w:t>
      </w:r>
    </w:p>
    <w:p w14:paraId="3C123B82">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1.4、浮筒外侧需安装安全绳索，艇身加装安全把手用于固定抓握，保障人员安全，艇身安装 3M 防水反光条不少于 8 处，船底M型，充气底板可快速拆装，必要时作为救生浮板使用。</w:t>
      </w:r>
    </w:p>
    <w:p w14:paraId="44D9F8C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1.5、船艇静态稳定性应≤20°，船艇干舷高度≥340mm，船艇空载航速应≥30km/h。         </w:t>
      </w:r>
    </w:p>
    <w:p w14:paraId="00E4F051">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1.6、配备2冲程知名品牌螺旋桨式舷外机，加装舷外机保护罩，马力应≥30匹,配备2个以上油箱</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船身油箱固定带</w:t>
      </w:r>
      <w:r>
        <w:rPr>
          <w:rFonts w:hint="eastAsia" w:ascii="宋体" w:hAnsi="宋体" w:eastAsia="宋体" w:cs="宋体"/>
          <w:color w:val="auto"/>
          <w:sz w:val="24"/>
          <w:szCs w:val="24"/>
          <w:highlight w:val="none"/>
        </w:rPr>
        <w:t>。舟艇维修工具包1个，内含胶水、气嘴扳手以及舟艇材料等；</w:t>
      </w:r>
    </w:p>
    <w:p w14:paraId="7BFFB85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1.7、气室≥3个，成员数≥6人，气囊数：3+3+2；承载重量≥800KGM 型艇底，船底增项，底部及船头附带夹网布装甲， 增加船体的耐磨性与防穿刺强度。</w:t>
      </w:r>
    </w:p>
    <w:p w14:paraId="46D5504B">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1.8、具有相关部门出具的检测报告、具有国家消防检测中心检测报告</w:t>
      </w:r>
      <w:r>
        <w:rPr>
          <w:rFonts w:hint="eastAsia" w:ascii="宋体" w:hAnsi="宋体" w:eastAsia="宋体" w:cs="宋体"/>
          <w:b/>
          <w:bCs/>
          <w:color w:val="auto"/>
          <w:sz w:val="24"/>
          <w:szCs w:val="24"/>
          <w:highlight w:val="none"/>
        </w:rPr>
        <w:t>。</w:t>
      </w:r>
    </w:p>
    <w:p w14:paraId="5AC277E6">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17、移动供气源</w:t>
      </w:r>
    </w:p>
    <w:p w14:paraId="4AF6CB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技术参数：符合GA124-2013《正压式消防空气呼吸器》及XF1261-2015《长管空气呼吸器》的标准，用于人员在有烟雾、毒气、粉尘或缺氧等特殊环境中的呼吸保护。</w:t>
      </w:r>
    </w:p>
    <w:p w14:paraId="330871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1、符合XF124-2013《消防员正压式空气呼吸器》标准及XF1261-2015《长管空气呼吸器》标准。</w:t>
      </w:r>
    </w:p>
    <w:p w14:paraId="0DCD6676">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2、配备：9.0L 气瓶≥4 具，减压供气系统、供气管（≥40 米 2 根、≥10 米 2 根）、≥2 个呼吸面罩，≥1 个移动车架、≥1个三通阀门、自动供压阀等。导气长管卷筒及携带箱、气源分配器、减压器、高压压力表、中压表、压力报警器、供气阀、全面罩2个及腰带2根、Y型转换接口2个。</w:t>
      </w:r>
    </w:p>
    <w:p w14:paraId="6FA477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3、可单人背负也可置于地面推行。</w:t>
      </w:r>
    </w:p>
    <w:p w14:paraId="103C66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4、中压导管的总长≥50米（可根据需要调节长度）。</w:t>
      </w:r>
    </w:p>
    <w:p w14:paraId="38B52D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5、面罩需防雾及硬化处理。</w:t>
      </w:r>
    </w:p>
    <w:p w14:paraId="5F91992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6、供气阀可与面罩360°快速插接。</w:t>
      </w:r>
    </w:p>
    <w:p w14:paraId="28727273">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7、具备高压报警功能。报警压力5.5±0.5MPa；连续声响≥15s 发声声级≥92dB。间歇声响警报不应少于 60s，其声强峰值不应小于 90dB(A)，声响频率范围应在 2000-4000Hz 之间。之后，警报器应继续报警，直</w:t>
      </w:r>
    </w:p>
    <w:p w14:paraId="7BA2CB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至气瓶压力降至 1MPa 为止。</w:t>
      </w:r>
    </w:p>
    <w:p w14:paraId="54C087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8、可同时供两人使用；更换气瓶时互相不干扰。</w:t>
      </w:r>
    </w:p>
    <w:p w14:paraId="483AD1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9、额定工作压力≥30MPa，报警压力4-6MPa。</w:t>
      </w:r>
    </w:p>
    <w:p w14:paraId="6A407D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10、采用9L双瓶设计，碳纤维复合气瓶。</w:t>
      </w:r>
    </w:p>
    <w:p w14:paraId="14134105">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11、气密性：在气密性能试验后，压力指示值在1 min内的下降不应大于2 MPa。</w:t>
      </w:r>
    </w:p>
    <w:p w14:paraId="6ED44CFC">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18、移动式消防炮</w:t>
      </w:r>
    </w:p>
    <w:p w14:paraId="4B118B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技术参数：GB19156-2019《消防炮》标准要求。采用球阀式流道设计，快递翻转折叠式支撑角，单人即可操作，具有射程远，射流集中，操作便捷，快速移动的特点。</w:t>
      </w:r>
    </w:p>
    <w:p w14:paraId="67FBAF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（1）遥控器启动至消防炮动作的响应时间≤1s；</w:t>
      </w:r>
    </w:p>
    <w:p w14:paraId="01FD539E">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（2）无线遥控距离：大于200 m；</w:t>
      </w:r>
    </w:p>
    <w:p w14:paraId="6EB7C9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（3）额定喷射压力≤0.8MPa；</w:t>
      </w:r>
    </w:p>
    <w:p w14:paraId="3FAE3447">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（4）流量≥60L/s；</w:t>
      </w:r>
    </w:p>
    <w:p w14:paraId="6A2BCF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（5）射程：直流水≥80m；泡沫≥70m</w:t>
      </w:r>
    </w:p>
    <w:p w14:paraId="4FB15B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（6）最小仰角范围：≥30°至85°；</w:t>
      </w:r>
    </w:p>
    <w:p w14:paraId="76D19D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（7）水平回转角≥90°；</w:t>
      </w:r>
    </w:p>
    <w:p w14:paraId="1E8FAF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（8）最大喷雾角≥120°；</w:t>
      </w:r>
    </w:p>
    <w:p w14:paraId="6889DC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（9）炮体上有警示标志，设有保险带，有≥2个进水口，水炮可配80接口；</w:t>
      </w:r>
    </w:p>
    <w:p w14:paraId="759150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（10）重量≤35KG，可以水泡沫两用；</w:t>
      </w:r>
    </w:p>
    <w:p w14:paraId="494097DB">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（11）配置泡沫炮头</w:t>
      </w:r>
      <w:r>
        <w:rPr>
          <w:rFonts w:hint="eastAsia" w:ascii="宋体" w:hAnsi="宋体" w:eastAsia="宋体" w:cs="宋体"/>
          <w:color w:val="auto"/>
          <w:sz w:val="24"/>
          <w:szCs w:val="24"/>
          <w:highlight w:val="none"/>
          <w:lang w:eastAsia="zh"/>
        </w:rPr>
        <w:t>1个、</w:t>
      </w:r>
      <w:r>
        <w:rPr>
          <w:rFonts w:hint="eastAsia" w:ascii="宋体" w:hAnsi="宋体" w:eastAsia="宋体" w:cs="宋体"/>
          <w:color w:val="auto"/>
          <w:sz w:val="24"/>
          <w:szCs w:val="24"/>
          <w:highlight w:val="none"/>
          <w:lang w:bidi="ar"/>
        </w:rPr>
        <w:t>水炮拖车</w:t>
      </w:r>
      <w:r>
        <w:rPr>
          <w:rFonts w:hint="eastAsia" w:ascii="宋体" w:hAnsi="宋体" w:eastAsia="宋体" w:cs="宋体"/>
          <w:color w:val="auto"/>
          <w:sz w:val="24"/>
          <w:szCs w:val="24"/>
          <w:highlight w:val="none"/>
          <w:lang w:eastAsia="zh" w:bidi="ar"/>
        </w:rPr>
        <w:t>1台</w:t>
      </w:r>
      <w:r>
        <w:rPr>
          <w:rFonts w:hint="eastAsia" w:ascii="宋体" w:hAnsi="宋体" w:eastAsia="宋体" w:cs="宋体"/>
          <w:color w:val="auto"/>
          <w:sz w:val="24"/>
          <w:szCs w:val="24"/>
          <w:highlight w:val="none"/>
          <w:lang w:bidi="ar"/>
        </w:rPr>
        <w:t>,各类转换接口≥2套。</w:t>
      </w:r>
    </w:p>
    <w:p w14:paraId="45876911">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2、其他性能和要求满足GB19156-2019《消防炮》标准要求。</w:t>
      </w:r>
    </w:p>
    <w:p w14:paraId="547CAB7A">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19、肢体固定气囊</w:t>
      </w:r>
    </w:p>
    <w:p w14:paraId="16B0C9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技术参数：用于突发事故现场、固定头、颈、胸、脊、臀、盆骨及上下肢骨伤骨折，能有效防止因现场处理不当及送医过程造成二次损失。</w:t>
      </w:r>
    </w:p>
    <w:p w14:paraId="2C1CFD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1、总体性能符合市场准入标准要求，提供国家专业机构检测报告；</w:t>
      </w:r>
    </w:p>
    <w:p w14:paraId="3036D711">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2、肢体固定气囊用真空成型原理，将夹板内空气抽出，真空夹板快速形成硬性固定成型体分躯体、肢干、颈椎固定；</w:t>
      </w:r>
    </w:p>
    <w:p w14:paraId="43F068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3、表面织物由耐磨材料无缝熔接制成，内充物为无毒，无味聚苯乙烯高分子颗粒；</w:t>
      </w:r>
    </w:p>
    <w:p w14:paraId="08E242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4、躯干脊椎尺寸（mm，长*宽）≥970*600；</w:t>
      </w:r>
    </w:p>
    <w:p w14:paraId="2713CD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5、上肢尺寸（mm，长*宽）≥400*350；</w:t>
      </w:r>
    </w:p>
    <w:p w14:paraId="56936A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6、下肢尺寸（mm，长*宽）≥700*510；</w:t>
      </w:r>
    </w:p>
    <w:p w14:paraId="68CCF66F">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7、可用X光，四季都能使用，表面不容易损坏，可洗涤，躯体固定器可按伤员各种形态而变化。可用X光、CT、MRI检查；气密性：大气压维持48小时以上，压力下降≥1%；使用环境温度 0℃～80℃。</w:t>
      </w:r>
    </w:p>
    <w:p w14:paraId="4E8019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8、配置包括肢体固定气囊，上肢夹板、下肢夹板、躯干夹板、正负压气泵、存储包，备 2 个充气接口</w:t>
      </w:r>
    </w:p>
    <w:p w14:paraId="7C20046F">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20、重型支撑套具</w:t>
      </w:r>
    </w:p>
    <w:p w14:paraId="2E84FB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技术参数：符合重型支撑套具试验大纲</w:t>
      </w:r>
    </w:p>
    <w:p w14:paraId="4F30A0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GB/T 2423.3-2016 环境试验 第2部分:试验方法 试验Cab:恒定湿热试验，用于交通事故、地震、塌方、建筑物坍塌的支撑作业，可对危险建筑物进行固定支撑，也可用于车辆事故救援中车辆的支撑固定，还可用于沟渠和坑道塌方等灾害现场的 </w:t>
      </w:r>
    </w:p>
    <w:p w14:paraId="76B626AB">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支撑作业。</w:t>
      </w:r>
    </w:p>
    <w:p w14:paraId="1FD79F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一、整体要求</w:t>
      </w:r>
    </w:p>
    <w:p w14:paraId="452C19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1.1符合重型支撑套具试验大纲GB/T 2423.3-2016</w:t>
      </w:r>
    </w:p>
    <w:p w14:paraId="4767488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1.2材质：高强度轻型航空铝合金（或优于），所有部件经阳极涂层处理；</w:t>
      </w:r>
    </w:p>
    <w:p w14:paraId="2D7055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二、技术要求</w:t>
      </w:r>
    </w:p>
    <w:p w14:paraId="1B6CD95B">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2.1安全系数≥4:1；</w:t>
      </w:r>
    </w:p>
    <w:p w14:paraId="45FBA5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2.2可手动/气动两种方式，可在行程内任何位置锁止。可实现垂直、水平和斜角支撑。</w:t>
      </w:r>
    </w:p>
    <w:p w14:paraId="3C1BDB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2.3单根轴向承载能力≥20T。</w:t>
      </w:r>
    </w:p>
    <w:p w14:paraId="1D7F33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2.4配备有三脚基座，可以将三个套筒组合起来组成横梁支撑或危墙斜支撑；</w:t>
      </w:r>
    </w:p>
    <w:p w14:paraId="2B1E4F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2.整套配置包括：</w:t>
      </w:r>
    </w:p>
    <w:p w14:paraId="028F59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2.1快速支撑杆≥3种规格；不低于9根。</w:t>
      </w:r>
    </w:p>
    <w:p w14:paraId="7F1933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2.2延长杆≥4种规格不低于≥12根；</w:t>
      </w:r>
    </w:p>
    <w:p w14:paraId="37BC4F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2.3各类底座：≥ 12个；横梁支撑配件≥ 6个；牵引器≥ 3个；各类配件≥10个；扳手≥ 2个；电动绞盘≥ 1个；脚踏泵≥ 2个；滑轮≥ 1个。</w:t>
      </w:r>
    </w:p>
    <w:p w14:paraId="595019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2.4另外需配备满足功能配件并留有备份。</w:t>
      </w:r>
    </w:p>
    <w:p w14:paraId="448656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三、其他要求</w:t>
      </w:r>
    </w:p>
    <w:p w14:paraId="1BF0E7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3.1提供相关检验部门出具的检验合格材料，及提供省级以上检测机构出具的检测报告。</w:t>
      </w:r>
    </w:p>
    <w:p w14:paraId="15F4C8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3.2使用说明书，生产厂家详细地址、联络方式及代理商的详细地址和售后服务联络方式。</w:t>
      </w:r>
    </w:p>
    <w:p w14:paraId="5FF7FE85">
      <w:pPr>
        <w:spacing w:line="360" w:lineRule="auto"/>
        <w:rPr>
          <w:rFonts w:hint="eastAsia" w:ascii="宋体" w:hAnsi="宋体" w:eastAsia="宋体" w:cs="宋体"/>
          <w:color w:val="auto"/>
          <w:sz w:val="24"/>
          <w:szCs w:val="24"/>
          <w:highlight w:val="none"/>
        </w:rPr>
      </w:pPr>
    </w:p>
    <w:p w14:paraId="0AD08844">
      <w:pPr>
        <w:pStyle w:val="7"/>
        <w:rPr>
          <w:rFonts w:hint="eastAsia" w:ascii="宋体" w:hAnsi="宋体" w:cs="宋体"/>
          <w:b/>
          <w:bCs/>
          <w:color w:val="auto"/>
          <w:sz w:val="24"/>
          <w:szCs w:val="24"/>
          <w:highlight w:val="none"/>
          <w:lang w:val="en-US" w:eastAsia="zh-CN"/>
        </w:rPr>
      </w:pPr>
    </w:p>
    <w:p w14:paraId="304C7A22">
      <w:pPr>
        <w:pStyle w:val="7"/>
        <w:rPr>
          <w:rFonts w:hint="eastAsia" w:ascii="宋体" w:hAnsi="宋体" w:cs="宋体"/>
          <w:b/>
          <w:bCs/>
          <w:color w:val="auto"/>
          <w:sz w:val="24"/>
          <w:szCs w:val="24"/>
          <w:highlight w:val="none"/>
          <w:lang w:val="en-US" w:eastAsia="zh-CN"/>
        </w:rPr>
      </w:pPr>
    </w:p>
    <w:p w14:paraId="79AE8A65">
      <w:pPr>
        <w:pStyle w:val="12"/>
        <w:rPr>
          <w:rFonts w:hint="eastAsia" w:ascii="宋体" w:hAnsi="宋体" w:cs="宋体"/>
          <w:b/>
          <w:bCs/>
          <w:color w:val="auto"/>
          <w:sz w:val="24"/>
          <w:szCs w:val="24"/>
          <w:highlight w:val="none"/>
          <w:lang w:val="en-US" w:eastAsia="zh-CN"/>
        </w:rPr>
      </w:pPr>
    </w:p>
    <w:p w14:paraId="113C762F">
      <w:pPr>
        <w:rPr>
          <w:rFonts w:hint="eastAsia"/>
          <w:color w:val="auto"/>
          <w:highlight w:val="none"/>
          <w:lang w:val="en-US" w:eastAsia="zh-CN"/>
        </w:rPr>
      </w:pPr>
    </w:p>
    <w:p w14:paraId="0A63D5FF">
      <w:pPr>
        <w:rPr>
          <w:rFonts w:hint="eastAsia" w:ascii="宋体" w:hAnsi="宋体" w:cs="宋体"/>
          <w:b/>
          <w:bCs/>
          <w:color w:val="auto"/>
          <w:sz w:val="24"/>
          <w:szCs w:val="24"/>
          <w:highlight w:val="none"/>
          <w:lang w:val="en-US" w:eastAsia="zh-CN"/>
        </w:rPr>
      </w:pPr>
    </w:p>
    <w:p w14:paraId="3985F404">
      <w:pPr>
        <w:pStyle w:val="7"/>
        <w:rPr>
          <w:rFonts w:hint="eastAsia" w:ascii="宋体" w:hAnsi="宋体" w:cs="宋体"/>
          <w:b/>
          <w:bCs/>
          <w:color w:val="auto"/>
          <w:sz w:val="24"/>
          <w:szCs w:val="24"/>
          <w:highlight w:val="none"/>
          <w:lang w:val="en-US" w:eastAsia="zh-CN"/>
        </w:rPr>
      </w:pPr>
    </w:p>
    <w:p w14:paraId="145C041C">
      <w:pPr>
        <w:numPr>
          <w:ilvl w:val="0"/>
          <w:numId w:val="12"/>
        </w:num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42DB4CD">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4"/>
          <w:szCs w:val="24"/>
          <w:highlight w:val="none"/>
        </w:rPr>
      </w:pPr>
    </w:p>
    <w:p w14:paraId="1E339595">
      <w:pPr>
        <w:pStyle w:val="2"/>
        <w:rPr>
          <w:rFonts w:ascii="宋体" w:cs="宋体"/>
          <w:color w:val="auto"/>
          <w:szCs w:val="32"/>
          <w:highlight w:val="none"/>
        </w:rPr>
      </w:pPr>
      <w:bookmarkStart w:id="506" w:name="_Toc40112142"/>
      <w:bookmarkStart w:id="507" w:name="_Toc11783"/>
      <w:bookmarkStart w:id="508" w:name="_Toc32581"/>
      <w:bookmarkStart w:id="509" w:name="_Toc21444"/>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bookmarkEnd w:id="506"/>
      <w:bookmarkEnd w:id="507"/>
      <w:bookmarkEnd w:id="508"/>
      <w:bookmarkEnd w:id="509"/>
    </w:p>
    <w:p w14:paraId="03C82AE1">
      <w:pPr>
        <w:spacing w:line="360" w:lineRule="auto"/>
        <w:ind w:left="720"/>
        <w:rPr>
          <w:color w:val="auto"/>
          <w:highlight w:val="none"/>
        </w:rPr>
      </w:pPr>
    </w:p>
    <w:p w14:paraId="587DDD56">
      <w:pPr>
        <w:pStyle w:val="11"/>
        <w:spacing w:beforeLines="100" w:afterLines="100" w:line="360" w:lineRule="auto"/>
        <w:jc w:val="center"/>
        <w:rPr>
          <w:rFonts w:hint="eastAsia" w:hAnsi="宋体" w:eastAsia="宋体" w:cs="宋体"/>
          <w:b/>
          <w:color w:val="auto"/>
          <w:sz w:val="36"/>
          <w:szCs w:val="36"/>
          <w:highlight w:val="none"/>
          <w:lang w:eastAsia="zh-CN"/>
        </w:rPr>
      </w:pPr>
      <w:r>
        <w:rPr>
          <w:rFonts w:hint="eastAsia" w:hAnsi="宋体" w:cs="宋体"/>
          <w:b/>
          <w:color w:val="auto"/>
          <w:sz w:val="44"/>
          <w:szCs w:val="44"/>
          <w:highlight w:val="none"/>
          <w:lang w:eastAsia="zh-CN"/>
        </w:rPr>
        <w:t>平顶山市消防救援支队河南省消防救援总队“自然灾害应急能力提升工程”平顶山支队装备建设项目（三次）</w:t>
      </w:r>
    </w:p>
    <w:p w14:paraId="36F80854">
      <w:pPr>
        <w:pStyle w:val="11"/>
        <w:spacing w:beforeLines="100" w:afterLines="100" w:line="360" w:lineRule="auto"/>
        <w:jc w:val="center"/>
        <w:rPr>
          <w:rFonts w:hAnsi="宋体" w:cs="宋体"/>
          <w:b/>
          <w:color w:val="auto"/>
          <w:sz w:val="36"/>
          <w:szCs w:val="36"/>
          <w:highlight w:val="none"/>
        </w:rPr>
      </w:pPr>
    </w:p>
    <w:p w14:paraId="4A9838D8">
      <w:pPr>
        <w:pStyle w:val="11"/>
        <w:spacing w:beforeLines="100" w:afterLines="100" w:line="360" w:lineRule="auto"/>
        <w:jc w:val="center"/>
        <w:rPr>
          <w:rFonts w:hint="eastAsia" w:hAnsi="宋体" w:eastAsia="宋体" w:cs="宋体"/>
          <w:b/>
          <w:color w:val="auto"/>
          <w:sz w:val="36"/>
          <w:szCs w:val="36"/>
          <w:highlight w:val="none"/>
          <w:lang w:eastAsia="zh-CN"/>
        </w:rPr>
      </w:pPr>
      <w:r>
        <w:rPr>
          <w:rFonts w:hint="eastAsia" w:hAnsi="宋体" w:cs="宋体"/>
          <w:b/>
          <w:color w:val="auto"/>
          <w:sz w:val="36"/>
          <w:szCs w:val="36"/>
          <w:highlight w:val="none"/>
          <w:lang w:eastAsia="zh-CN"/>
        </w:rPr>
        <w:t>（包</w:t>
      </w:r>
      <w:r>
        <w:rPr>
          <w:rFonts w:hint="eastAsia" w:hAnsi="宋体" w:cs="宋体"/>
          <w:b/>
          <w:color w:val="auto"/>
          <w:sz w:val="36"/>
          <w:szCs w:val="36"/>
          <w:highlight w:val="none"/>
          <w:lang w:val="en-US" w:eastAsia="zh-CN"/>
        </w:rPr>
        <w:t xml:space="preserve">     </w:t>
      </w:r>
      <w:r>
        <w:rPr>
          <w:rFonts w:hint="eastAsia" w:hAnsi="宋体" w:cs="宋体"/>
          <w:b/>
          <w:color w:val="auto"/>
          <w:sz w:val="36"/>
          <w:szCs w:val="36"/>
          <w:highlight w:val="none"/>
          <w:lang w:eastAsia="zh-CN"/>
        </w:rPr>
        <w:t>）</w:t>
      </w:r>
    </w:p>
    <w:p w14:paraId="1BD812E8">
      <w:pPr>
        <w:pStyle w:val="11"/>
        <w:spacing w:beforeLines="100"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14:paraId="0536354C">
      <w:pPr>
        <w:pStyle w:val="11"/>
        <w:spacing w:beforeLines="100" w:afterLines="100" w:line="360" w:lineRule="auto"/>
        <w:jc w:val="center"/>
        <w:rPr>
          <w:rFonts w:hint="eastAsia" w:hAnsi="宋体" w:eastAsia="宋体" w:cs="宋体"/>
          <w:b/>
          <w:bCs/>
          <w:color w:val="auto"/>
          <w:sz w:val="32"/>
          <w:highlight w:val="none"/>
          <w:u w:val="single"/>
          <w:lang w:eastAsia="zh-CN"/>
        </w:rPr>
      </w:pPr>
      <w:r>
        <w:rPr>
          <w:rFonts w:hint="eastAsia" w:hAnsi="宋体" w:cs="宋体"/>
          <w:bCs/>
          <w:color w:val="auto"/>
          <w:sz w:val="28"/>
          <w:szCs w:val="28"/>
          <w:highlight w:val="none"/>
        </w:rPr>
        <w:t>项目编号：</w:t>
      </w:r>
    </w:p>
    <w:p w14:paraId="61B140E1">
      <w:pPr>
        <w:pStyle w:val="11"/>
        <w:spacing w:beforeLines="100" w:afterLines="100" w:line="360" w:lineRule="auto"/>
        <w:rPr>
          <w:rFonts w:hAnsi="宋体" w:cs="宋体"/>
          <w:b/>
          <w:bCs/>
          <w:color w:val="auto"/>
          <w:sz w:val="32"/>
          <w:highlight w:val="none"/>
          <w:u w:val="single"/>
        </w:rPr>
      </w:pPr>
    </w:p>
    <w:p w14:paraId="59A4555A">
      <w:pPr>
        <w:pStyle w:val="11"/>
        <w:spacing w:beforeLines="100" w:afterLines="100" w:line="360" w:lineRule="auto"/>
        <w:jc w:val="center"/>
        <w:rPr>
          <w:rFonts w:hAnsi="宋体" w:cs="宋体"/>
          <w:b/>
          <w:bCs/>
          <w:color w:val="auto"/>
          <w:sz w:val="32"/>
          <w:highlight w:val="none"/>
          <w:u w:val="single"/>
        </w:rPr>
      </w:pPr>
    </w:p>
    <w:p w14:paraId="46A3B527">
      <w:pPr>
        <w:spacing w:line="360" w:lineRule="auto"/>
        <w:jc w:val="center"/>
        <w:rPr>
          <w:rFonts w:ascii="宋体" w:cs="宋体"/>
          <w:color w:val="auto"/>
          <w:sz w:val="32"/>
          <w:szCs w:val="32"/>
          <w:highlight w:val="none"/>
          <w:u w:val="single"/>
        </w:rPr>
      </w:pPr>
      <w:r>
        <w:rPr>
          <w:rFonts w:hint="eastAsia" w:ascii="宋体" w:hAnsi="宋体" w:cs="宋体"/>
          <w:color w:val="auto"/>
          <w:sz w:val="32"/>
          <w:szCs w:val="32"/>
          <w:highlight w:val="none"/>
          <w:lang w:eastAsia="zh-CN"/>
        </w:rPr>
        <w:t>投标人</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w:t>
      </w:r>
    </w:p>
    <w:p w14:paraId="0B7BF647">
      <w:pPr>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法定代表人或其委托代理人：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（电子签章或签字）</w:t>
      </w:r>
    </w:p>
    <w:p w14:paraId="334D4035">
      <w:pPr>
        <w:spacing w:line="360" w:lineRule="auto"/>
        <w:jc w:val="center"/>
        <w:rPr>
          <w:rFonts w:ascii="宋体" w:cs="宋体"/>
          <w:color w:val="auto"/>
          <w:sz w:val="24"/>
          <w:highlight w:val="non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14:paraId="1BF52147">
      <w:pPr>
        <w:pStyle w:val="9"/>
        <w:spacing w:line="360" w:lineRule="auto"/>
        <w:ind w:left="0" w:leftChars="0" w:firstLine="2129" w:firstLineChars="707"/>
        <w:rPr>
          <w:rFonts w:ascii="宋体" w:cs="宋体"/>
          <w:b/>
          <w:bCs/>
          <w:color w:val="auto"/>
          <w:sz w:val="30"/>
          <w:szCs w:val="30"/>
          <w:highlight w:val="none"/>
        </w:rPr>
      </w:pPr>
    </w:p>
    <w:p w14:paraId="23E5C5E5">
      <w:pPr>
        <w:pStyle w:val="10"/>
        <w:spacing w:line="360" w:lineRule="auto"/>
        <w:ind w:left="31680" w:right="31680"/>
        <w:rPr>
          <w:rFonts w:ascii="宋体" w:cs="宋体"/>
          <w:b/>
          <w:color w:val="auto"/>
          <w:sz w:val="24"/>
          <w:highlight w:val="none"/>
        </w:rPr>
      </w:pPr>
    </w:p>
    <w:p w14:paraId="43EDE809">
      <w:pPr>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投标文件目录</w:t>
      </w:r>
    </w:p>
    <w:p w14:paraId="56B77399">
      <w:pPr>
        <w:jc w:val="center"/>
        <w:rPr>
          <w:color w:val="auto"/>
          <w:sz w:val="24"/>
          <w:szCs w:val="32"/>
          <w:highlight w:val="none"/>
        </w:rPr>
      </w:pPr>
      <w:r>
        <w:rPr>
          <w:rFonts w:hint="eastAsia"/>
          <w:color w:val="auto"/>
          <w:sz w:val="24"/>
          <w:szCs w:val="32"/>
          <w:highlight w:val="none"/>
        </w:rPr>
        <w:t>（</w:t>
      </w:r>
      <w:r>
        <w:rPr>
          <w:rFonts w:hint="eastAsia"/>
          <w:color w:val="auto"/>
          <w:sz w:val="24"/>
          <w:szCs w:val="32"/>
          <w:highlight w:val="none"/>
          <w:lang w:eastAsia="zh-CN"/>
        </w:rPr>
        <w:t>投标人</w:t>
      </w:r>
      <w:r>
        <w:rPr>
          <w:rFonts w:hint="eastAsia"/>
          <w:color w:val="auto"/>
          <w:sz w:val="24"/>
          <w:szCs w:val="32"/>
          <w:highlight w:val="none"/>
        </w:rPr>
        <w:t>根据要求自行编制目录及页码）</w:t>
      </w:r>
    </w:p>
    <w:p w14:paraId="2107B7CE">
      <w:pPr>
        <w:pStyle w:val="10"/>
        <w:spacing w:line="360" w:lineRule="auto"/>
        <w:ind w:left="0" w:leftChars="0" w:right="31680"/>
        <w:jc w:val="center"/>
        <w:rPr>
          <w:rFonts w:ascii="宋体" w:cs="宋体"/>
          <w:color w:val="auto"/>
          <w:highlight w:val="none"/>
        </w:rPr>
      </w:pPr>
    </w:p>
    <w:p w14:paraId="660665BF">
      <w:pPr>
        <w:spacing w:line="360" w:lineRule="auto"/>
        <w:rPr>
          <w:rFonts w:ascii="宋体" w:cs="宋体"/>
          <w:bCs/>
          <w:color w:val="auto"/>
          <w:szCs w:val="21"/>
          <w:highlight w:val="none"/>
        </w:rPr>
      </w:pPr>
    </w:p>
    <w:p w14:paraId="7DEC0DAB">
      <w:pPr>
        <w:spacing w:before="54" w:line="360" w:lineRule="auto"/>
        <w:ind w:left="6"/>
        <w:jc w:val="center"/>
        <w:outlineLvl w:val="1"/>
        <w:rPr>
          <w:b/>
          <w:color w:val="auto"/>
          <w:sz w:val="32"/>
          <w:highlight w:val="none"/>
        </w:rPr>
      </w:pPr>
      <w:r>
        <w:rPr>
          <w:rFonts w:ascii="宋体" w:cs="宋体"/>
          <w:color w:val="auto"/>
          <w:sz w:val="36"/>
          <w:highlight w:val="none"/>
        </w:rPr>
        <w:br w:type="page"/>
      </w:r>
      <w:bookmarkStart w:id="510" w:name="_Toc5119"/>
      <w:bookmarkStart w:id="511" w:name="_Toc13982"/>
      <w:bookmarkStart w:id="512" w:name="_Toc26798"/>
      <w:r>
        <w:rPr>
          <w:rFonts w:hint="eastAsia" w:ascii="宋体" w:hAnsi="宋体" w:cs="宋体"/>
          <w:b/>
          <w:color w:val="auto"/>
          <w:sz w:val="32"/>
          <w:highlight w:val="none"/>
        </w:rPr>
        <w:t>一、投标函及投标函附录</w:t>
      </w:r>
      <w:bookmarkEnd w:id="510"/>
      <w:bookmarkEnd w:id="511"/>
      <w:bookmarkEnd w:id="512"/>
    </w:p>
    <w:p w14:paraId="62CFFDB8">
      <w:pPr>
        <w:spacing w:before="212" w:line="360" w:lineRule="auto"/>
        <w:ind w:left="1"/>
        <w:jc w:val="center"/>
        <w:rPr>
          <w:b/>
          <w:color w:val="auto"/>
          <w:sz w:val="32"/>
          <w:highlight w:val="none"/>
        </w:rPr>
      </w:pPr>
      <w:bookmarkStart w:id="513" w:name="（一）投标函"/>
      <w:bookmarkEnd w:id="513"/>
      <w:r>
        <w:rPr>
          <w:rFonts w:hint="eastAsia"/>
          <w:b/>
          <w:color w:val="auto"/>
          <w:sz w:val="32"/>
          <w:highlight w:val="none"/>
        </w:rPr>
        <w:t>（一）投标函</w:t>
      </w:r>
    </w:p>
    <w:p w14:paraId="1D122A7E">
      <w:pPr>
        <w:autoSpaceDE w:val="0"/>
        <w:autoSpaceDN w:val="0"/>
        <w:spacing w:line="360" w:lineRule="auto"/>
        <w:ind w:firstLine="630" w:firstLineChars="300"/>
        <w:jc w:val="left"/>
        <w:rPr>
          <w:rFonts w:hint="eastAsia" w:ascii="宋体" w:hAnsi="宋体" w:cs="宋体"/>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210185</wp:posOffset>
                </wp:positionV>
                <wp:extent cx="15297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5297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6.55pt;height:0pt;width:120.45pt;mso-position-horizontal-relative:page;z-index:251659264;mso-width-relative:page;mso-height-relative:page;" filled="f" stroked="t" coordsize="21600,21600" o:gfxdata="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BXi7WAAAACQEAAA8AAAAAAAAAAQAgAAAAIgAAAGRycy9kb3ducmV2LnhtbFBLAQIU&#10;ABQAAAAIAIdO4kCWPJPq9QEAAOQ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cs="宋体"/>
          <w:color w:val="auto"/>
          <w:kern w:val="0"/>
          <w:sz w:val="24"/>
          <w:highlight w:val="none"/>
        </w:rPr>
        <w:t>（采购人名称）：</w:t>
      </w:r>
    </w:p>
    <w:p w14:paraId="04DBD0ED">
      <w:pPr>
        <w:autoSpaceDE w:val="0"/>
        <w:autoSpaceDN w:val="0"/>
        <w:spacing w:line="360" w:lineRule="auto"/>
        <w:ind w:firstLine="720" w:firstLineChars="300"/>
        <w:jc w:val="left"/>
        <w:rPr>
          <w:rFonts w:ascii="宋体" w:cs="宋体"/>
          <w:color w:val="auto"/>
          <w:kern w:val="0"/>
          <w:sz w:val="24"/>
          <w:highlight w:val="none"/>
        </w:rPr>
      </w:pPr>
      <w:r>
        <w:rPr>
          <w:rFonts w:hint="eastAsia" w:ascii="宋体" w:hAnsi="宋体" w:cs="宋体"/>
          <w:color w:val="auto"/>
          <w:kern w:val="0"/>
          <w:sz w:val="24"/>
          <w:highlight w:val="none"/>
        </w:rPr>
        <w:t>我方已仔细研究了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（项目编号）（</w:t>
      </w:r>
      <w:r>
        <w:rPr>
          <w:rFonts w:hint="eastAsia" w:ascii="宋体" w:hAnsi="宋体" w:cs="宋体"/>
          <w:color w:val="auto"/>
          <w:kern w:val="0"/>
          <w:sz w:val="24"/>
          <w:highlight w:val="none"/>
          <w:u w:val="single"/>
          <w:lang w:val="en-US" w:eastAsia="zh-CN"/>
        </w:rPr>
        <w:t xml:space="preserve">包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招标文件的全部内容，签字代表</w:t>
      </w:r>
      <w:r>
        <w:rPr>
          <w:rFonts w:hAnsi="宋体" w:eastAsia="Times New Roman" w:cs="宋体"/>
          <w:color w:val="auto"/>
          <w:kern w:val="0"/>
          <w:sz w:val="24"/>
          <w:highlight w:val="none"/>
          <w:u w:val="single"/>
        </w:rPr>
        <w:tab/>
      </w:r>
      <w:r>
        <w:rPr>
          <w:rFonts w:hint="eastAsia"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（委托代理人全名、职务）经正式授权并代表</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cs="宋体"/>
          <w:color w:val="auto"/>
          <w:kern w:val="0"/>
          <w:sz w:val="24"/>
          <w:highlight w:val="none"/>
          <w:u w:val="single"/>
        </w:rPr>
        <w:t>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签署、澄清确认、递交、撤回、修改投标文件、签订合同和处理有关事宜，并对之负法律责任。据此函，签字代表宣布同意如下：</w:t>
      </w:r>
    </w:p>
    <w:p w14:paraId="186500D9">
      <w:pPr>
        <w:numPr>
          <w:ilvl w:val="2"/>
          <w:numId w:val="13"/>
        </w:numPr>
        <w:tabs>
          <w:tab w:val="left" w:pos="1057"/>
          <w:tab w:val="left" w:pos="5927"/>
        </w:tabs>
        <w:autoSpaceDE w:val="0"/>
        <w:autoSpaceDN w:val="0"/>
        <w:spacing w:line="360" w:lineRule="auto"/>
        <w:jc w:val="left"/>
        <w:rPr>
          <w:rFonts w:hAnsi="宋体" w:eastAsia="Times New Roman" w:cs="宋体"/>
          <w:color w:val="auto"/>
          <w:kern w:val="0"/>
          <w:sz w:val="24"/>
          <w:szCs w:val="22"/>
          <w:highlight w:val="none"/>
        </w:rPr>
      </w:pPr>
      <w:r>
        <w:rPr>
          <w:rFonts w:hint="eastAsia" w:ascii="宋体" w:hAnsi="宋体" w:cs="宋体"/>
          <w:color w:val="auto"/>
          <w:spacing w:val="-1"/>
          <w:kern w:val="0"/>
          <w:sz w:val="24"/>
          <w:szCs w:val="22"/>
          <w:highlight w:val="none"/>
        </w:rPr>
        <w:t>所附投标报价表</w:t>
      </w:r>
      <w:r>
        <w:rPr>
          <w:rFonts w:hint="eastAsia" w:ascii="宋体" w:hAnsi="宋体" w:cs="宋体"/>
          <w:color w:val="auto"/>
          <w:kern w:val="0"/>
          <w:sz w:val="24"/>
          <w:szCs w:val="22"/>
          <w:highlight w:val="none"/>
        </w:rPr>
        <w:t>中规定的应提供和交付的货物投标总价：</w:t>
      </w:r>
    </w:p>
    <w:p w14:paraId="482D3E19">
      <w:pPr>
        <w:tabs>
          <w:tab w:val="left" w:pos="1057"/>
          <w:tab w:val="left" w:pos="5927"/>
        </w:tabs>
        <w:autoSpaceDE w:val="0"/>
        <w:autoSpaceDN w:val="0"/>
        <w:spacing w:line="360" w:lineRule="auto"/>
        <w:ind w:left="816"/>
        <w:jc w:val="left"/>
        <w:rPr>
          <w:rFonts w:hAnsi="宋体" w:eastAsia="Times New Roman" w:cs="宋体"/>
          <w:color w:val="auto"/>
          <w:kern w:val="0"/>
          <w:sz w:val="24"/>
          <w:szCs w:val="22"/>
          <w:highlight w:val="none"/>
        </w:rPr>
      </w:pPr>
      <w:r>
        <w:rPr>
          <w:rFonts w:hint="eastAsia" w:ascii="宋体" w:hAnsi="宋体" w:cs="宋体"/>
          <w:color w:val="auto"/>
          <w:kern w:val="0"/>
          <w:sz w:val="24"/>
          <w:szCs w:val="22"/>
          <w:highlight w:val="none"/>
        </w:rPr>
        <w:t>人民币（大写）：</w:t>
      </w:r>
      <w:r>
        <w:rPr>
          <w:rFonts w:hAnsi="宋体" w:eastAsia="Times New Roman" w:cs="宋体"/>
          <w:color w:val="auto"/>
          <w:kern w:val="0"/>
          <w:sz w:val="24"/>
          <w:szCs w:val="22"/>
          <w:highlight w:val="none"/>
          <w:u w:val="single"/>
        </w:rPr>
        <w:tab/>
      </w:r>
    </w:p>
    <w:p w14:paraId="157EC80E">
      <w:pPr>
        <w:tabs>
          <w:tab w:val="left" w:pos="5927"/>
        </w:tabs>
        <w:autoSpaceDE w:val="0"/>
        <w:autoSpaceDN w:val="0"/>
        <w:spacing w:line="360" w:lineRule="auto"/>
        <w:ind w:left="1536"/>
        <w:jc w:val="left"/>
        <w:rPr>
          <w:rFonts w:hAnsi="宋体" w:eastAsia="Times New Roman" w:cs="宋体"/>
          <w:color w:val="auto"/>
          <w:kern w:val="0"/>
          <w:sz w:val="24"/>
          <w:highlight w:val="none"/>
        </w:rPr>
      </w:pPr>
      <w:r>
        <w:rPr>
          <w:rFonts w:hint="eastAsia" w:ascii="宋体" w:hAnsi="宋体" w:cs="宋体"/>
          <w:color w:val="auto"/>
          <w:kern w:val="0"/>
          <w:sz w:val="24"/>
          <w:highlight w:val="none"/>
        </w:rPr>
        <w:t>（小写）：</w:t>
      </w:r>
      <w:r>
        <w:rPr>
          <w:rFonts w:hAnsi="宋体" w:eastAsia="Times New Roman" w:cs="宋体"/>
          <w:color w:val="auto"/>
          <w:kern w:val="0"/>
          <w:sz w:val="24"/>
          <w:highlight w:val="none"/>
          <w:u w:val="single"/>
        </w:rPr>
        <w:tab/>
      </w:r>
    </w:p>
    <w:p w14:paraId="45106DE6">
      <w:pPr>
        <w:numPr>
          <w:ilvl w:val="2"/>
          <w:numId w:val="13"/>
        </w:numPr>
        <w:tabs>
          <w:tab w:val="left" w:pos="1057"/>
        </w:tabs>
        <w:autoSpaceDE w:val="0"/>
        <w:autoSpaceDN w:val="0"/>
        <w:spacing w:line="360" w:lineRule="auto"/>
        <w:ind w:left="335" w:right="213" w:firstLine="480"/>
        <w:jc w:val="left"/>
        <w:rPr>
          <w:rFonts w:ascii="宋体" w:cs="宋体"/>
          <w:color w:val="auto"/>
          <w:kern w:val="0"/>
          <w:sz w:val="24"/>
          <w:szCs w:val="22"/>
          <w:highlight w:val="none"/>
        </w:rPr>
      </w:pPr>
      <w:r>
        <w:rPr>
          <w:rFonts w:hint="eastAsia" w:ascii="宋体" w:hAnsi="宋体" w:cs="宋体"/>
          <w:color w:val="auto"/>
          <w:spacing w:val="-9"/>
          <w:kern w:val="0"/>
          <w:sz w:val="24"/>
          <w:szCs w:val="22"/>
          <w:highlight w:val="none"/>
        </w:rPr>
        <w:t>如果我们的投标书被接受，我们将履行招标文件中规定的每一项要求，按期、按质、</w:t>
      </w:r>
      <w:r>
        <w:rPr>
          <w:rFonts w:hint="eastAsia" w:ascii="宋体" w:hAnsi="宋体" w:cs="宋体"/>
          <w:color w:val="auto"/>
          <w:kern w:val="0"/>
          <w:sz w:val="24"/>
          <w:szCs w:val="22"/>
          <w:highlight w:val="none"/>
        </w:rPr>
        <w:t>按量履行合同。</w:t>
      </w:r>
    </w:p>
    <w:p w14:paraId="1FD957CF">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我方承诺按照招标文件规定向你方递交履约担保，并按照招标文件</w:t>
      </w:r>
      <w:r>
        <w:rPr>
          <w:rFonts w:hint="eastAsia" w:ascii="宋体" w:cs="宋体"/>
          <w:color w:val="auto"/>
          <w:spacing w:val="-1"/>
          <w:kern w:val="0"/>
          <w:sz w:val="24"/>
          <w:szCs w:val="22"/>
          <w:highlight w:val="none"/>
        </w:rPr>
        <w:t>“</w:t>
      </w:r>
      <w:r>
        <w:rPr>
          <w:rFonts w:hint="eastAsia" w:ascii="宋体" w:hAnsi="宋体" w:cs="宋体"/>
          <w:color w:val="auto"/>
          <w:spacing w:val="-1"/>
          <w:kern w:val="0"/>
          <w:sz w:val="24"/>
          <w:szCs w:val="22"/>
          <w:highlight w:val="none"/>
        </w:rPr>
        <w:t>合同</w:t>
      </w:r>
      <w:r>
        <w:rPr>
          <w:rFonts w:hint="eastAsia" w:ascii="宋体" w:cs="宋体"/>
          <w:color w:val="auto"/>
          <w:kern w:val="0"/>
          <w:sz w:val="24"/>
          <w:szCs w:val="22"/>
          <w:highlight w:val="none"/>
        </w:rPr>
        <w:t>”</w:t>
      </w:r>
      <w:r>
        <w:rPr>
          <w:rFonts w:hint="eastAsia" w:ascii="宋体" w:hAnsi="宋体" w:cs="宋体"/>
          <w:color w:val="auto"/>
          <w:kern w:val="0"/>
          <w:sz w:val="24"/>
          <w:szCs w:val="22"/>
          <w:highlight w:val="none"/>
        </w:rPr>
        <w:t>规定及《中华人民共和国民法典》的权利义务履行合同。</w:t>
      </w:r>
    </w:p>
    <w:p w14:paraId="6CC54C16">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我方已详细审查全部招标文件，包括修改文件以及全部参考资料和有关附件。我们</w:t>
      </w:r>
      <w:r>
        <w:rPr>
          <w:rFonts w:hint="eastAsia" w:ascii="宋体" w:hAnsi="宋体" w:cs="宋体"/>
          <w:color w:val="auto"/>
          <w:kern w:val="0"/>
          <w:sz w:val="24"/>
          <w:szCs w:val="22"/>
          <w:highlight w:val="none"/>
        </w:rPr>
        <w:t>完全理解并同意放弃对这方面有不明及误解的权力。</w:t>
      </w:r>
    </w:p>
    <w:p w14:paraId="7CDF5974">
      <w:pPr>
        <w:numPr>
          <w:ilvl w:val="2"/>
          <w:numId w:val="13"/>
        </w:numPr>
        <w:tabs>
          <w:tab w:val="left" w:pos="1057"/>
        </w:tabs>
        <w:autoSpaceDE w:val="0"/>
        <w:autoSpaceDN w:val="0"/>
        <w:spacing w:line="360" w:lineRule="auto"/>
        <w:ind w:left="335" w:right="57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我方承诺投标文件中技术参数若有未体现的参数则该项是完全满足本项目招标要</w:t>
      </w:r>
      <w:r>
        <w:rPr>
          <w:rFonts w:hint="eastAsia" w:ascii="宋体" w:hAnsi="宋体" w:cs="宋体"/>
          <w:color w:val="auto"/>
          <w:kern w:val="0"/>
          <w:sz w:val="24"/>
          <w:szCs w:val="22"/>
          <w:highlight w:val="none"/>
        </w:rPr>
        <w:t>求。</w:t>
      </w:r>
    </w:p>
    <w:p w14:paraId="1F1FE7BA">
      <w:pPr>
        <w:numPr>
          <w:ilvl w:val="2"/>
          <w:numId w:val="13"/>
        </w:numPr>
        <w:tabs>
          <w:tab w:val="left" w:pos="1057"/>
        </w:tabs>
        <w:autoSpaceDE w:val="0"/>
        <w:autoSpaceDN w:val="0"/>
        <w:spacing w:line="360" w:lineRule="auto"/>
        <w:ind w:left="1057"/>
        <w:jc w:val="left"/>
        <w:rPr>
          <w:rFonts w:ascii="宋体" w:cs="宋体"/>
          <w:color w:val="auto"/>
          <w:spacing w:val="-1"/>
          <w:kern w:val="0"/>
          <w:sz w:val="24"/>
          <w:szCs w:val="22"/>
          <w:highlight w:val="none"/>
        </w:rPr>
      </w:pPr>
      <w:r>
        <w:rPr>
          <w:rFonts w:hint="eastAsia" w:ascii="宋体" w:hAnsi="宋体" w:cs="宋体"/>
          <w:color w:val="auto"/>
          <w:spacing w:val="-1"/>
          <w:kern w:val="0"/>
          <w:sz w:val="24"/>
          <w:szCs w:val="22"/>
          <w:highlight w:val="none"/>
        </w:rPr>
        <w:t>本项目投标有效期为</w:t>
      </w:r>
      <w:r>
        <w:rPr>
          <w:rFonts w:ascii="宋体" w:hAnsi="宋体" w:cs="宋体"/>
          <w:color w:val="auto"/>
          <w:spacing w:val="-1"/>
          <w:kern w:val="0"/>
          <w:sz w:val="24"/>
          <w:szCs w:val="22"/>
          <w:highlight w:val="none"/>
        </w:rPr>
        <w:t>120</w:t>
      </w:r>
      <w:r>
        <w:rPr>
          <w:rFonts w:hint="eastAsia" w:ascii="宋体" w:hAnsi="宋体" w:cs="宋体"/>
          <w:color w:val="auto"/>
          <w:spacing w:val="-1"/>
          <w:kern w:val="0"/>
          <w:sz w:val="24"/>
          <w:szCs w:val="22"/>
          <w:highlight w:val="none"/>
        </w:rPr>
        <w:t>日历天。</w:t>
      </w:r>
    </w:p>
    <w:p w14:paraId="498D568A">
      <w:pPr>
        <w:numPr>
          <w:ilvl w:val="2"/>
          <w:numId w:val="13"/>
        </w:numPr>
        <w:tabs>
          <w:tab w:val="left" w:pos="1057"/>
        </w:tabs>
        <w:autoSpaceDE w:val="0"/>
        <w:autoSpaceDN w:val="0"/>
        <w:spacing w:line="360" w:lineRule="auto"/>
        <w:ind w:left="1057"/>
        <w:jc w:val="left"/>
        <w:rPr>
          <w:rFonts w:ascii="宋体" w:cs="宋体"/>
          <w:color w:val="auto"/>
          <w:kern w:val="0"/>
          <w:sz w:val="24"/>
          <w:szCs w:val="22"/>
          <w:highlight w:val="none"/>
        </w:rPr>
      </w:pPr>
      <w:r>
        <w:rPr>
          <w:rFonts w:hint="eastAsia" w:ascii="宋体" w:hAnsi="宋体" w:cs="宋体"/>
          <w:color w:val="auto"/>
          <w:kern w:val="0"/>
          <w:sz w:val="24"/>
          <w:szCs w:val="22"/>
          <w:highlight w:val="none"/>
        </w:rPr>
        <w:t>我方在此声明，所递交的投标文件及有关资料内容完整、真实和准确。</w:t>
      </w:r>
    </w:p>
    <w:p w14:paraId="093B361F">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我方同意提供按照贵方可能要求的与其投标有关的一切数据或资料，理解贵方不一</w:t>
      </w:r>
      <w:r>
        <w:rPr>
          <w:rFonts w:hint="eastAsia" w:ascii="宋体" w:hAnsi="宋体" w:cs="宋体"/>
          <w:color w:val="auto"/>
          <w:kern w:val="0"/>
          <w:sz w:val="24"/>
          <w:szCs w:val="22"/>
          <w:highlight w:val="none"/>
        </w:rPr>
        <w:t>定要接受最低价的投标。</w:t>
      </w:r>
    </w:p>
    <w:p w14:paraId="0B3AEAA8">
      <w:pPr>
        <w:spacing w:line="360" w:lineRule="auto"/>
        <w:ind w:firstLine="1200" w:firstLineChars="500"/>
        <w:jc w:val="left"/>
        <w:rPr>
          <w:rFonts w:hint="eastAsia" w:ascii="宋体" w:hAnsi="宋体" w:cs="宋体"/>
          <w:color w:val="auto"/>
          <w:sz w:val="24"/>
          <w:highlight w:val="none"/>
          <w:lang w:eastAsia="zh-CN"/>
        </w:rPr>
      </w:pPr>
    </w:p>
    <w:p w14:paraId="24140E38">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0486CDCE">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0C4C8039">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CFCFCB0">
      <w:pPr>
        <w:spacing w:line="360" w:lineRule="auto"/>
        <w:jc w:val="right"/>
        <w:rPr>
          <w:rStyle w:val="29"/>
          <w:color w:val="auto"/>
          <w:szCs w:val="18"/>
          <w:highlight w:val="none"/>
        </w:rPr>
      </w:pPr>
    </w:p>
    <w:p w14:paraId="73F0509D">
      <w:pPr>
        <w:spacing w:line="360" w:lineRule="auto"/>
        <w:jc w:val="right"/>
        <w:rPr>
          <w:rStyle w:val="29"/>
          <w:color w:val="auto"/>
          <w:szCs w:val="18"/>
          <w:highlight w:val="none"/>
        </w:rPr>
      </w:pPr>
    </w:p>
    <w:p w14:paraId="664393C0">
      <w:pPr>
        <w:numPr>
          <w:ilvl w:val="0"/>
          <w:numId w:val="14"/>
        </w:numPr>
        <w:spacing w:before="217" w:line="360" w:lineRule="auto"/>
        <w:ind w:left="3"/>
        <w:jc w:val="center"/>
        <w:rPr>
          <w:b/>
          <w:color w:val="auto"/>
          <w:sz w:val="32"/>
          <w:highlight w:val="none"/>
        </w:rPr>
      </w:pPr>
      <w:bookmarkStart w:id="514" w:name="（二）投标函附录1"/>
      <w:bookmarkEnd w:id="514"/>
      <w:r>
        <w:rPr>
          <w:rFonts w:hint="eastAsia"/>
          <w:b/>
          <w:color w:val="auto"/>
          <w:sz w:val="32"/>
          <w:highlight w:val="none"/>
        </w:rPr>
        <w:t>投标函附录</w:t>
      </w:r>
      <w:r>
        <w:rPr>
          <w:b/>
          <w:color w:val="auto"/>
          <w:sz w:val="32"/>
          <w:highlight w:val="none"/>
        </w:rPr>
        <w:t xml:space="preserve"> </w:t>
      </w:r>
    </w:p>
    <w:p w14:paraId="4C89C70D">
      <w:pPr>
        <w:pStyle w:val="10"/>
        <w:spacing w:line="360" w:lineRule="auto"/>
        <w:ind w:left="0" w:leftChars="0" w:right="31680"/>
        <w:jc w:val="center"/>
        <w:rPr>
          <w:b/>
          <w:color w:val="auto"/>
          <w:sz w:val="20"/>
          <w:highlight w:val="none"/>
        </w:rPr>
      </w:pPr>
      <w:r>
        <w:rPr>
          <w:b/>
          <w:color w:val="auto"/>
          <w:sz w:val="28"/>
          <w:highlight w:val="none"/>
        </w:rPr>
        <w:t xml:space="preserve">         1.</w:t>
      </w:r>
      <w:r>
        <w:rPr>
          <w:rFonts w:hint="eastAsia"/>
          <w:b/>
          <w:color w:val="auto"/>
          <w:sz w:val="28"/>
          <w:highlight w:val="none"/>
        </w:rPr>
        <w:t>开标一览表</w:t>
      </w:r>
    </w:p>
    <w:tbl>
      <w:tblPr>
        <w:tblStyle w:val="22"/>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6976"/>
      </w:tblGrid>
      <w:tr w14:paraId="25AF3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tcPr>
          <w:p w14:paraId="55A3A800">
            <w:pPr>
              <w:pStyle w:val="27"/>
              <w:spacing w:before="35" w:line="360" w:lineRule="auto"/>
              <w:ind w:left="106"/>
              <w:jc w:val="center"/>
              <w:rPr>
                <w:color w:val="auto"/>
                <w:highlight w:val="none"/>
              </w:rPr>
            </w:pPr>
            <w:r>
              <w:rPr>
                <w:rFonts w:hint="eastAsia"/>
                <w:color w:val="auto"/>
                <w:highlight w:val="none"/>
              </w:rPr>
              <w:t>投标人名称</w:t>
            </w:r>
          </w:p>
        </w:tc>
        <w:tc>
          <w:tcPr>
            <w:tcW w:w="6976" w:type="dxa"/>
          </w:tcPr>
          <w:p w14:paraId="60D8085A">
            <w:pPr>
              <w:pStyle w:val="27"/>
              <w:spacing w:line="360" w:lineRule="auto"/>
              <w:rPr>
                <w:color w:val="auto"/>
                <w:sz w:val="22"/>
                <w:highlight w:val="none"/>
              </w:rPr>
            </w:pPr>
          </w:p>
        </w:tc>
      </w:tr>
      <w:tr w14:paraId="287A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14:paraId="202F7B73">
            <w:pPr>
              <w:pStyle w:val="27"/>
              <w:spacing w:before="43" w:line="360" w:lineRule="auto"/>
              <w:ind w:left="106"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包号</w:t>
            </w:r>
          </w:p>
        </w:tc>
        <w:tc>
          <w:tcPr>
            <w:tcW w:w="6976" w:type="dxa"/>
            <w:vAlign w:val="center"/>
          </w:tcPr>
          <w:p w14:paraId="21EB0467">
            <w:pPr>
              <w:pStyle w:val="27"/>
              <w:spacing w:before="43" w:line="360" w:lineRule="auto"/>
              <w:jc w:val="center"/>
              <w:rPr>
                <w:rFonts w:hint="default"/>
                <w:color w:val="auto"/>
                <w:highlight w:val="none"/>
                <w:u w:val="single"/>
                <w:lang w:val="en-US" w:eastAsia="zh-CN"/>
              </w:rPr>
            </w:pPr>
          </w:p>
        </w:tc>
      </w:tr>
      <w:tr w14:paraId="4378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14:paraId="1882E5C2">
            <w:pPr>
              <w:pStyle w:val="27"/>
              <w:spacing w:before="43" w:line="360" w:lineRule="auto"/>
              <w:ind w:left="106" w:leftChars="0"/>
              <w:jc w:val="center"/>
              <w:rPr>
                <w:rFonts w:hint="eastAsia"/>
                <w:color w:val="auto"/>
                <w:highlight w:val="none"/>
              </w:rPr>
            </w:pPr>
            <w:r>
              <w:rPr>
                <w:rFonts w:hint="eastAsia"/>
                <w:color w:val="auto"/>
                <w:highlight w:val="none"/>
                <w:lang w:eastAsia="zh-CN"/>
              </w:rPr>
              <w:t>包名称</w:t>
            </w:r>
          </w:p>
        </w:tc>
        <w:tc>
          <w:tcPr>
            <w:tcW w:w="6976" w:type="dxa"/>
            <w:vAlign w:val="center"/>
          </w:tcPr>
          <w:p w14:paraId="36120E46">
            <w:pPr>
              <w:pStyle w:val="27"/>
              <w:spacing w:before="43" w:line="360" w:lineRule="auto"/>
              <w:jc w:val="both"/>
              <w:rPr>
                <w:rFonts w:hint="default"/>
                <w:color w:val="auto"/>
                <w:highlight w:val="none"/>
                <w:u w:val="single"/>
                <w:lang w:val="en-US" w:eastAsia="zh-CN"/>
              </w:rPr>
            </w:pPr>
          </w:p>
        </w:tc>
      </w:tr>
      <w:tr w14:paraId="0BCEA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14:paraId="46EEF385">
            <w:pPr>
              <w:pStyle w:val="27"/>
              <w:spacing w:before="43" w:line="360" w:lineRule="auto"/>
              <w:ind w:left="106"/>
              <w:jc w:val="center"/>
              <w:rPr>
                <w:color w:val="auto"/>
                <w:highlight w:val="none"/>
              </w:rPr>
            </w:pPr>
            <w:r>
              <w:rPr>
                <w:rFonts w:hint="eastAsia"/>
                <w:color w:val="auto"/>
                <w:highlight w:val="none"/>
              </w:rPr>
              <w:t>投标总报价（大写）</w:t>
            </w:r>
          </w:p>
        </w:tc>
        <w:tc>
          <w:tcPr>
            <w:tcW w:w="6976" w:type="dxa"/>
            <w:vAlign w:val="center"/>
          </w:tcPr>
          <w:p w14:paraId="3E801714">
            <w:pPr>
              <w:pStyle w:val="27"/>
              <w:spacing w:before="43" w:line="360" w:lineRule="auto"/>
              <w:jc w:val="both"/>
              <w:rPr>
                <w:rFonts w:hint="eastAsia" w:eastAsia="宋体"/>
                <w:color w:val="auto"/>
                <w:highlight w:val="none"/>
                <w:lang w:val="en-US" w:eastAsia="zh-CN"/>
              </w:rPr>
            </w:pPr>
          </w:p>
        </w:tc>
      </w:tr>
      <w:tr w14:paraId="2E159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14:paraId="734BDBA6">
            <w:pPr>
              <w:pStyle w:val="27"/>
              <w:spacing w:before="43" w:line="360" w:lineRule="auto"/>
              <w:ind w:left="106"/>
              <w:jc w:val="center"/>
              <w:rPr>
                <w:color w:val="auto"/>
                <w:highlight w:val="none"/>
              </w:rPr>
            </w:pPr>
            <w:r>
              <w:rPr>
                <w:rFonts w:hint="eastAsia"/>
                <w:color w:val="auto"/>
                <w:highlight w:val="none"/>
              </w:rPr>
              <w:t>投标总报价（小写）</w:t>
            </w:r>
          </w:p>
        </w:tc>
        <w:tc>
          <w:tcPr>
            <w:tcW w:w="6976" w:type="dxa"/>
            <w:vAlign w:val="center"/>
          </w:tcPr>
          <w:p w14:paraId="5CD2F818">
            <w:pPr>
              <w:pStyle w:val="27"/>
              <w:spacing w:before="43" w:line="360" w:lineRule="auto"/>
              <w:jc w:val="center"/>
              <w:rPr>
                <w:color w:val="auto"/>
                <w:highlight w:val="none"/>
              </w:rPr>
            </w:pPr>
            <w:r>
              <w:rPr>
                <w:rFonts w:hint="eastAsia"/>
                <w:color w:val="auto"/>
                <w:highlight w:val="none"/>
              </w:rPr>
              <w:t>元</w:t>
            </w:r>
          </w:p>
        </w:tc>
      </w:tr>
      <w:tr w14:paraId="3126B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14:paraId="3FA59B53">
            <w:pPr>
              <w:pStyle w:val="27"/>
              <w:spacing w:before="43" w:line="360" w:lineRule="auto"/>
              <w:ind w:left="106"/>
              <w:jc w:val="center"/>
              <w:rPr>
                <w:color w:val="auto"/>
                <w:highlight w:val="none"/>
              </w:rPr>
            </w:pPr>
            <w:r>
              <w:rPr>
                <w:rFonts w:hint="eastAsia"/>
                <w:color w:val="auto"/>
                <w:highlight w:val="none"/>
              </w:rPr>
              <w:t>交货期</w:t>
            </w:r>
          </w:p>
        </w:tc>
        <w:tc>
          <w:tcPr>
            <w:tcW w:w="6976" w:type="dxa"/>
            <w:vAlign w:val="center"/>
          </w:tcPr>
          <w:p w14:paraId="37B6DD80">
            <w:pPr>
              <w:pStyle w:val="27"/>
              <w:spacing w:before="43" w:line="360" w:lineRule="auto"/>
              <w:jc w:val="center"/>
              <w:rPr>
                <w:color w:val="auto"/>
                <w:highlight w:val="none"/>
              </w:rPr>
            </w:pPr>
          </w:p>
        </w:tc>
      </w:tr>
      <w:tr w14:paraId="7378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043" w:type="dxa"/>
          </w:tcPr>
          <w:p w14:paraId="35D2547A">
            <w:pPr>
              <w:pStyle w:val="27"/>
              <w:spacing w:before="1" w:line="360" w:lineRule="auto"/>
              <w:ind w:left="106"/>
              <w:jc w:val="center"/>
              <w:rPr>
                <w:color w:val="auto"/>
                <w:highlight w:val="none"/>
              </w:rPr>
            </w:pPr>
            <w:r>
              <w:rPr>
                <w:rFonts w:hint="eastAsia"/>
                <w:color w:val="auto"/>
                <w:highlight w:val="none"/>
              </w:rPr>
              <w:t>质量保证期</w:t>
            </w:r>
          </w:p>
        </w:tc>
        <w:tc>
          <w:tcPr>
            <w:tcW w:w="6976" w:type="dxa"/>
          </w:tcPr>
          <w:p w14:paraId="09606898">
            <w:pPr>
              <w:pStyle w:val="27"/>
              <w:spacing w:before="43" w:line="360" w:lineRule="auto"/>
              <w:jc w:val="center"/>
              <w:rPr>
                <w:rFonts w:hint="default" w:eastAsia="宋体"/>
                <w:color w:val="auto"/>
                <w:highlight w:val="none"/>
                <w:lang w:val="en-US" w:eastAsia="zh-CN"/>
              </w:rPr>
            </w:pPr>
          </w:p>
        </w:tc>
      </w:tr>
      <w:tr w14:paraId="0409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14:paraId="32C3F667">
            <w:pPr>
              <w:pStyle w:val="27"/>
              <w:spacing w:before="17" w:line="360" w:lineRule="auto"/>
              <w:ind w:left="106"/>
              <w:jc w:val="center"/>
              <w:rPr>
                <w:color w:val="auto"/>
                <w:highlight w:val="none"/>
              </w:rPr>
            </w:pPr>
            <w:r>
              <w:rPr>
                <w:rFonts w:hint="eastAsia"/>
                <w:color w:val="auto"/>
                <w:highlight w:val="none"/>
              </w:rPr>
              <w:t>投标有效期</w:t>
            </w:r>
          </w:p>
        </w:tc>
        <w:tc>
          <w:tcPr>
            <w:tcW w:w="6976" w:type="dxa"/>
          </w:tcPr>
          <w:p w14:paraId="464CBA59">
            <w:pPr>
              <w:pStyle w:val="27"/>
              <w:spacing w:before="43" w:line="360" w:lineRule="auto"/>
              <w:jc w:val="center"/>
              <w:rPr>
                <w:color w:val="auto"/>
                <w:highlight w:val="none"/>
              </w:rPr>
            </w:pPr>
            <w:r>
              <w:rPr>
                <w:rFonts w:hint="eastAsia" w:ascii="宋体" w:hAnsi="宋体" w:eastAsia="宋体" w:cs="宋体"/>
                <w:color w:val="auto"/>
                <w:sz w:val="24"/>
                <w:szCs w:val="24"/>
                <w:highlight w:val="none"/>
              </w:rPr>
              <w:t>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14:paraId="43A39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14:paraId="064CEEB5">
            <w:pPr>
              <w:pStyle w:val="27"/>
              <w:spacing w:before="18" w:line="360" w:lineRule="auto"/>
              <w:ind w:left="106"/>
              <w:jc w:val="center"/>
              <w:rPr>
                <w:color w:val="auto"/>
                <w:highlight w:val="none"/>
              </w:rPr>
            </w:pPr>
            <w:r>
              <w:rPr>
                <w:rFonts w:hint="eastAsia"/>
                <w:color w:val="auto"/>
                <w:highlight w:val="none"/>
              </w:rPr>
              <w:t>质量要求</w:t>
            </w:r>
          </w:p>
        </w:tc>
        <w:tc>
          <w:tcPr>
            <w:tcW w:w="6976" w:type="dxa"/>
          </w:tcPr>
          <w:p w14:paraId="434CFFE2">
            <w:pPr>
              <w:pStyle w:val="27"/>
              <w:spacing w:before="43" w:line="360" w:lineRule="auto"/>
              <w:jc w:val="center"/>
              <w:rPr>
                <w:rFonts w:hint="eastAsia" w:eastAsia="宋体"/>
                <w:color w:val="auto"/>
                <w:sz w:val="22"/>
                <w:highlight w:val="none"/>
                <w:lang w:eastAsia="zh-CN"/>
              </w:rPr>
            </w:pPr>
          </w:p>
        </w:tc>
      </w:tr>
      <w:tr w14:paraId="79655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14:paraId="397F53B9">
            <w:pPr>
              <w:pStyle w:val="27"/>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交货地点</w:t>
            </w:r>
          </w:p>
        </w:tc>
        <w:tc>
          <w:tcPr>
            <w:tcW w:w="6976" w:type="dxa"/>
          </w:tcPr>
          <w:p w14:paraId="20A82387">
            <w:pPr>
              <w:pStyle w:val="27"/>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采购人指定地点</w:t>
            </w:r>
          </w:p>
        </w:tc>
      </w:tr>
      <w:tr w14:paraId="34AF4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vAlign w:val="center"/>
          </w:tcPr>
          <w:p w14:paraId="1268EC0F">
            <w:pPr>
              <w:pStyle w:val="27"/>
              <w:spacing w:before="12" w:line="360" w:lineRule="auto"/>
              <w:ind w:left="106"/>
              <w:jc w:val="center"/>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如属所列情形，请在括号内打“√”</w:t>
            </w:r>
          </w:p>
        </w:tc>
        <w:tc>
          <w:tcPr>
            <w:tcW w:w="6976" w:type="dxa"/>
          </w:tcPr>
          <w:p w14:paraId="08E8D128">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（）投标产品是否为小微企业生产 </w:t>
            </w:r>
          </w:p>
          <w:p w14:paraId="1739FFB0">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（）是否为监狱企业</w:t>
            </w:r>
          </w:p>
          <w:p w14:paraId="0C0A5880">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（）是否为残疾人福利性单位 </w:t>
            </w:r>
          </w:p>
          <w:p w14:paraId="37DB9128">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（）是否为节能产品</w:t>
            </w:r>
          </w:p>
          <w:p w14:paraId="38247BC2">
            <w:pPr>
              <w:pStyle w:val="27"/>
              <w:spacing w:before="12" w:line="360" w:lineRule="auto"/>
              <w:ind w:left="107"/>
              <w:jc w:val="both"/>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（）是否为环境标志产品</w:t>
            </w:r>
          </w:p>
        </w:tc>
      </w:tr>
      <w:tr w14:paraId="1C330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14:paraId="0CB03715">
            <w:pPr>
              <w:pStyle w:val="27"/>
              <w:spacing w:before="12" w:line="360" w:lineRule="auto"/>
              <w:ind w:left="106"/>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其他声明</w:t>
            </w:r>
          </w:p>
        </w:tc>
        <w:tc>
          <w:tcPr>
            <w:tcW w:w="6976" w:type="dxa"/>
          </w:tcPr>
          <w:p w14:paraId="3919FF6E">
            <w:pPr>
              <w:pStyle w:val="27"/>
              <w:spacing w:before="12" w:line="360" w:lineRule="auto"/>
              <w:ind w:left="107"/>
              <w:jc w:val="both"/>
              <w:rPr>
                <w:rFonts w:hint="eastAsia" w:ascii="Times New Roman" w:hAnsi="Times New Roman" w:eastAsia="宋体" w:cs="Times New Roman"/>
                <w:color w:val="auto"/>
                <w:kern w:val="2"/>
                <w:sz w:val="24"/>
                <w:szCs w:val="24"/>
                <w:highlight w:val="none"/>
                <w:lang w:val="en-US" w:eastAsia="zh-CN" w:bidi="ar-SA"/>
              </w:rPr>
            </w:pPr>
          </w:p>
        </w:tc>
      </w:tr>
    </w:tbl>
    <w:p w14:paraId="658BDF64">
      <w:pPr>
        <w:pStyle w:val="7"/>
        <w:spacing w:line="360" w:lineRule="auto"/>
        <w:rPr>
          <w:b/>
          <w:color w:val="auto"/>
          <w:sz w:val="20"/>
          <w:highlight w:val="none"/>
        </w:rPr>
      </w:pPr>
    </w:p>
    <w:p w14:paraId="532404E3">
      <w:pPr>
        <w:pStyle w:val="25"/>
        <w:rPr>
          <w:color w:val="auto"/>
          <w:highlight w:val="none"/>
        </w:rPr>
      </w:pPr>
    </w:p>
    <w:p w14:paraId="7079D23C">
      <w:pPr>
        <w:rPr>
          <w:color w:val="auto"/>
          <w:highlight w:val="none"/>
        </w:rPr>
      </w:pPr>
    </w:p>
    <w:p w14:paraId="359AFF0F">
      <w:pPr>
        <w:rPr>
          <w:color w:val="auto"/>
          <w:highlight w:val="none"/>
        </w:rPr>
      </w:pPr>
    </w:p>
    <w:p w14:paraId="0B60D3EA">
      <w:pPr>
        <w:rPr>
          <w:color w:val="auto"/>
          <w:highlight w:val="none"/>
        </w:rPr>
      </w:pPr>
    </w:p>
    <w:p w14:paraId="2DC72A78">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255AE5EF">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7718A8BE">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4DFB5F9F">
      <w:pPr>
        <w:pStyle w:val="7"/>
        <w:spacing w:line="360" w:lineRule="auto"/>
        <w:rPr>
          <w:b/>
          <w:color w:val="auto"/>
          <w:sz w:val="32"/>
          <w:highlight w:val="none"/>
        </w:rPr>
      </w:pPr>
    </w:p>
    <w:p w14:paraId="5E48ED2D">
      <w:pPr>
        <w:rPr>
          <w:b/>
          <w:color w:val="auto"/>
          <w:sz w:val="32"/>
          <w:highlight w:val="none"/>
        </w:rPr>
      </w:pPr>
    </w:p>
    <w:p w14:paraId="0BB93FA3">
      <w:pPr>
        <w:spacing w:before="216" w:line="360" w:lineRule="auto"/>
        <w:jc w:val="center"/>
        <w:rPr>
          <w:b/>
          <w:color w:val="auto"/>
          <w:sz w:val="28"/>
          <w:highlight w:val="none"/>
        </w:rPr>
      </w:pPr>
      <w:bookmarkStart w:id="515" w:name="报价明细表"/>
      <w:bookmarkEnd w:id="515"/>
      <w:r>
        <w:rPr>
          <w:b/>
          <w:color w:val="auto"/>
          <w:sz w:val="28"/>
          <w:highlight w:val="none"/>
        </w:rPr>
        <w:t>2.</w:t>
      </w:r>
      <w:r>
        <w:rPr>
          <w:rFonts w:hint="eastAsia"/>
          <w:b/>
          <w:color w:val="auto"/>
          <w:sz w:val="28"/>
          <w:highlight w:val="none"/>
        </w:rPr>
        <w:t>报价明细表</w:t>
      </w:r>
    </w:p>
    <w:p w14:paraId="5FF6684B">
      <w:pPr>
        <w:pStyle w:val="7"/>
        <w:spacing w:before="4" w:line="360" w:lineRule="auto"/>
        <w:rPr>
          <w:b/>
          <w:color w:val="auto"/>
          <w:sz w:val="9"/>
          <w:highlight w:val="none"/>
        </w:rPr>
      </w:pPr>
    </w:p>
    <w:p w14:paraId="14C13BAF">
      <w:pPr>
        <w:pStyle w:val="7"/>
        <w:spacing w:before="66" w:line="360" w:lineRule="auto"/>
        <w:ind w:right="333"/>
        <w:jc w:val="right"/>
        <w:rPr>
          <w:color w:val="auto"/>
          <w:highlight w:val="none"/>
        </w:rPr>
      </w:pPr>
      <w:r>
        <w:rPr>
          <w:rFonts w:hint="eastAsia"/>
          <w:color w:val="auto"/>
          <w:highlight w:val="none"/>
        </w:rPr>
        <w:t>金额单位：元</w:t>
      </w:r>
    </w:p>
    <w:tbl>
      <w:tblPr>
        <w:tblStyle w:val="22"/>
        <w:tblW w:w="10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661"/>
        <w:gridCol w:w="1"/>
        <w:gridCol w:w="1116"/>
        <w:gridCol w:w="632"/>
        <w:gridCol w:w="662"/>
        <w:gridCol w:w="662"/>
        <w:gridCol w:w="950"/>
        <w:gridCol w:w="775"/>
        <w:gridCol w:w="713"/>
        <w:gridCol w:w="750"/>
        <w:gridCol w:w="712"/>
        <w:gridCol w:w="1016"/>
        <w:gridCol w:w="767"/>
      </w:tblGrid>
      <w:tr w14:paraId="18E5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jc w:val="center"/>
        </w:trPr>
        <w:tc>
          <w:tcPr>
            <w:tcW w:w="599" w:type="dxa"/>
            <w:vAlign w:val="center"/>
          </w:tcPr>
          <w:p w14:paraId="501362E3">
            <w:pPr>
              <w:pStyle w:val="27"/>
              <w:spacing w:line="240" w:lineRule="auto"/>
              <w:ind w:left="179" w:right="167"/>
              <w:jc w:val="center"/>
              <w:rPr>
                <w:b w:val="0"/>
                <w:bCs w:val="0"/>
                <w:color w:val="auto"/>
                <w:highlight w:val="none"/>
              </w:rPr>
            </w:pPr>
            <w:r>
              <w:rPr>
                <w:rFonts w:hint="eastAsia"/>
                <w:b w:val="0"/>
                <w:bCs w:val="0"/>
                <w:color w:val="auto"/>
                <w:highlight w:val="none"/>
              </w:rPr>
              <w:t>序号</w:t>
            </w:r>
          </w:p>
        </w:tc>
        <w:tc>
          <w:tcPr>
            <w:tcW w:w="661" w:type="dxa"/>
            <w:vAlign w:val="center"/>
          </w:tcPr>
          <w:p w14:paraId="43C489BB">
            <w:pPr>
              <w:pStyle w:val="27"/>
              <w:spacing w:line="240" w:lineRule="auto"/>
              <w:ind w:left="199" w:right="187"/>
              <w:jc w:val="center"/>
              <w:rPr>
                <w:b w:val="0"/>
                <w:bCs w:val="0"/>
                <w:color w:val="auto"/>
                <w:highlight w:val="none"/>
              </w:rPr>
            </w:pPr>
            <w:r>
              <w:rPr>
                <w:rFonts w:hint="eastAsia"/>
                <w:b w:val="0"/>
                <w:bCs w:val="0"/>
                <w:color w:val="auto"/>
                <w:highlight w:val="none"/>
              </w:rPr>
              <w:t>货物名称</w:t>
            </w:r>
          </w:p>
        </w:tc>
        <w:tc>
          <w:tcPr>
            <w:tcW w:w="1117" w:type="dxa"/>
            <w:gridSpan w:val="2"/>
            <w:vAlign w:val="center"/>
          </w:tcPr>
          <w:p w14:paraId="1D356E92">
            <w:pPr>
              <w:pStyle w:val="27"/>
              <w:spacing w:before="160" w:line="240" w:lineRule="auto"/>
              <w:ind w:left="150" w:right="137"/>
              <w:jc w:val="center"/>
              <w:rPr>
                <w:rFonts w:hint="eastAsia" w:eastAsia="宋体"/>
                <w:b w:val="0"/>
                <w:bCs w:val="0"/>
                <w:color w:val="auto"/>
                <w:highlight w:val="none"/>
                <w:lang w:eastAsia="zh-CN"/>
              </w:rPr>
            </w:pPr>
            <w:r>
              <w:rPr>
                <w:rFonts w:hint="eastAsia"/>
                <w:b w:val="0"/>
                <w:bCs w:val="0"/>
                <w:color w:val="auto"/>
                <w:highlight w:val="none"/>
              </w:rPr>
              <w:t>质保期</w:t>
            </w:r>
            <w:r>
              <w:rPr>
                <w:rFonts w:hint="eastAsia"/>
                <w:b w:val="0"/>
                <w:bCs w:val="0"/>
                <w:color w:val="auto"/>
                <w:highlight w:val="none"/>
                <w:lang w:eastAsia="zh-CN"/>
              </w:rPr>
              <w:t>（</w:t>
            </w:r>
            <w:r>
              <w:rPr>
                <w:rFonts w:hint="eastAsia"/>
                <w:b w:val="0"/>
                <w:bCs w:val="0"/>
                <w:color w:val="auto"/>
                <w:highlight w:val="none"/>
                <w:lang w:val="en-US" w:eastAsia="zh-CN"/>
              </w:rPr>
              <w:t>年</w:t>
            </w:r>
            <w:r>
              <w:rPr>
                <w:rFonts w:hint="eastAsia"/>
                <w:b w:val="0"/>
                <w:bCs w:val="0"/>
                <w:color w:val="auto"/>
                <w:highlight w:val="none"/>
                <w:lang w:eastAsia="zh-CN"/>
              </w:rPr>
              <w:t>，自验收合格之日算起）</w:t>
            </w:r>
          </w:p>
        </w:tc>
        <w:tc>
          <w:tcPr>
            <w:tcW w:w="632" w:type="dxa"/>
            <w:vAlign w:val="center"/>
          </w:tcPr>
          <w:p w14:paraId="38416621">
            <w:pPr>
              <w:pStyle w:val="27"/>
              <w:spacing w:line="240" w:lineRule="auto"/>
              <w:ind w:left="133" w:right="124"/>
              <w:jc w:val="center"/>
              <w:rPr>
                <w:b w:val="0"/>
                <w:bCs w:val="0"/>
                <w:color w:val="auto"/>
                <w:highlight w:val="none"/>
              </w:rPr>
            </w:pPr>
            <w:r>
              <w:rPr>
                <w:rFonts w:hint="eastAsia"/>
                <w:b w:val="0"/>
                <w:bCs w:val="0"/>
                <w:color w:val="auto"/>
                <w:spacing w:val="-3"/>
                <w:highlight w:val="none"/>
              </w:rPr>
              <w:t>品牌</w:t>
            </w:r>
          </w:p>
        </w:tc>
        <w:tc>
          <w:tcPr>
            <w:tcW w:w="662" w:type="dxa"/>
            <w:vAlign w:val="center"/>
          </w:tcPr>
          <w:p w14:paraId="1C40236F">
            <w:pPr>
              <w:pStyle w:val="27"/>
              <w:spacing w:line="240" w:lineRule="auto"/>
              <w:ind w:left="180" w:right="167"/>
              <w:jc w:val="center"/>
              <w:rPr>
                <w:rFonts w:hint="eastAsia" w:eastAsia="宋体"/>
                <w:b w:val="0"/>
                <w:bCs w:val="0"/>
                <w:color w:val="auto"/>
                <w:highlight w:val="none"/>
                <w:lang w:val="en-US" w:eastAsia="zh-CN"/>
              </w:rPr>
            </w:pPr>
            <w:r>
              <w:rPr>
                <w:rFonts w:hint="eastAsia"/>
                <w:b w:val="0"/>
                <w:bCs w:val="0"/>
                <w:color w:val="auto"/>
                <w:highlight w:val="none"/>
                <w:lang w:val="en-US" w:eastAsia="zh-CN"/>
              </w:rPr>
              <w:t>规格型号</w:t>
            </w:r>
          </w:p>
        </w:tc>
        <w:tc>
          <w:tcPr>
            <w:tcW w:w="662" w:type="dxa"/>
            <w:vAlign w:val="center"/>
          </w:tcPr>
          <w:p w14:paraId="789F3BFF">
            <w:pPr>
              <w:pStyle w:val="27"/>
              <w:spacing w:line="240" w:lineRule="auto"/>
              <w:ind w:left="180" w:right="167"/>
              <w:jc w:val="center"/>
              <w:rPr>
                <w:b w:val="0"/>
                <w:bCs w:val="0"/>
                <w:color w:val="auto"/>
                <w:highlight w:val="none"/>
              </w:rPr>
            </w:pPr>
            <w:r>
              <w:rPr>
                <w:rFonts w:hint="eastAsia"/>
                <w:b w:val="0"/>
                <w:bCs w:val="0"/>
                <w:color w:val="auto"/>
                <w:highlight w:val="none"/>
              </w:rPr>
              <w:t>产地</w:t>
            </w:r>
          </w:p>
        </w:tc>
        <w:tc>
          <w:tcPr>
            <w:tcW w:w="950" w:type="dxa"/>
            <w:vAlign w:val="center"/>
          </w:tcPr>
          <w:p w14:paraId="0D4D395B">
            <w:pPr>
              <w:pStyle w:val="27"/>
              <w:spacing w:line="240" w:lineRule="auto"/>
              <w:ind w:left="231" w:right="99" w:hanging="120"/>
              <w:jc w:val="center"/>
              <w:rPr>
                <w:rFonts w:hint="default" w:eastAsia="宋体"/>
                <w:b w:val="0"/>
                <w:bCs w:val="0"/>
                <w:color w:val="auto"/>
                <w:highlight w:val="none"/>
                <w:lang w:val="en-US" w:eastAsia="zh-CN"/>
              </w:rPr>
            </w:pPr>
            <w:r>
              <w:rPr>
                <w:rFonts w:hint="eastAsia"/>
                <w:b w:val="0"/>
                <w:bCs w:val="0"/>
                <w:color w:val="auto"/>
                <w:spacing w:val="-2"/>
                <w:highlight w:val="none"/>
                <w:lang w:val="en-US" w:eastAsia="zh-CN"/>
              </w:rPr>
              <w:t>生产厂家</w:t>
            </w:r>
          </w:p>
        </w:tc>
        <w:tc>
          <w:tcPr>
            <w:tcW w:w="775" w:type="dxa"/>
            <w:vAlign w:val="center"/>
          </w:tcPr>
          <w:p w14:paraId="38F69DCD">
            <w:pPr>
              <w:pStyle w:val="27"/>
              <w:spacing w:line="240" w:lineRule="auto"/>
              <w:ind w:left="186"/>
              <w:jc w:val="both"/>
              <w:rPr>
                <w:b w:val="0"/>
                <w:bCs w:val="0"/>
                <w:color w:val="auto"/>
                <w:highlight w:val="none"/>
              </w:rPr>
            </w:pPr>
            <w:r>
              <w:rPr>
                <w:rFonts w:hint="eastAsia"/>
                <w:b w:val="0"/>
                <w:bCs w:val="0"/>
                <w:color w:val="auto"/>
                <w:highlight w:val="none"/>
              </w:rPr>
              <w:t>单位</w:t>
            </w:r>
          </w:p>
        </w:tc>
        <w:tc>
          <w:tcPr>
            <w:tcW w:w="713" w:type="dxa"/>
            <w:vAlign w:val="center"/>
          </w:tcPr>
          <w:p w14:paraId="101CEE7D">
            <w:pPr>
              <w:pStyle w:val="27"/>
              <w:spacing w:line="240" w:lineRule="auto"/>
              <w:ind w:left="149"/>
              <w:jc w:val="center"/>
              <w:rPr>
                <w:b w:val="0"/>
                <w:bCs w:val="0"/>
                <w:color w:val="auto"/>
                <w:highlight w:val="none"/>
              </w:rPr>
            </w:pPr>
            <w:r>
              <w:rPr>
                <w:rFonts w:hint="eastAsia"/>
                <w:b w:val="0"/>
                <w:bCs w:val="0"/>
                <w:color w:val="auto"/>
                <w:highlight w:val="none"/>
              </w:rPr>
              <w:t>数量</w:t>
            </w:r>
          </w:p>
        </w:tc>
        <w:tc>
          <w:tcPr>
            <w:tcW w:w="750" w:type="dxa"/>
            <w:vAlign w:val="center"/>
          </w:tcPr>
          <w:p w14:paraId="66AF5BF2">
            <w:pPr>
              <w:pStyle w:val="27"/>
              <w:spacing w:line="240" w:lineRule="auto"/>
              <w:ind w:left="171"/>
              <w:jc w:val="center"/>
              <w:rPr>
                <w:b w:val="0"/>
                <w:bCs w:val="0"/>
                <w:color w:val="auto"/>
                <w:highlight w:val="none"/>
              </w:rPr>
            </w:pPr>
            <w:r>
              <w:rPr>
                <w:rFonts w:hint="eastAsia"/>
                <w:b w:val="0"/>
                <w:bCs w:val="0"/>
                <w:color w:val="auto"/>
                <w:highlight w:val="none"/>
              </w:rPr>
              <w:t>单价</w:t>
            </w:r>
          </w:p>
        </w:tc>
        <w:tc>
          <w:tcPr>
            <w:tcW w:w="712" w:type="dxa"/>
            <w:vAlign w:val="center"/>
          </w:tcPr>
          <w:p w14:paraId="7B6175DB">
            <w:pPr>
              <w:pStyle w:val="27"/>
              <w:spacing w:line="240" w:lineRule="auto"/>
              <w:ind w:left="171"/>
              <w:jc w:val="center"/>
              <w:rPr>
                <w:b w:val="0"/>
                <w:bCs w:val="0"/>
                <w:color w:val="auto"/>
                <w:highlight w:val="none"/>
              </w:rPr>
            </w:pPr>
            <w:r>
              <w:rPr>
                <w:rFonts w:hint="eastAsia"/>
                <w:b w:val="0"/>
                <w:bCs w:val="0"/>
                <w:color w:val="auto"/>
                <w:highlight w:val="none"/>
              </w:rPr>
              <w:t>总价</w:t>
            </w:r>
          </w:p>
        </w:tc>
        <w:tc>
          <w:tcPr>
            <w:tcW w:w="1016" w:type="dxa"/>
            <w:vAlign w:val="center"/>
          </w:tcPr>
          <w:p w14:paraId="0D39CABF">
            <w:pPr>
              <w:pStyle w:val="27"/>
              <w:spacing w:line="240" w:lineRule="auto"/>
              <w:ind w:left="150" w:right="134"/>
              <w:jc w:val="center"/>
              <w:rPr>
                <w:b w:val="0"/>
                <w:bCs w:val="0"/>
                <w:color w:val="auto"/>
                <w:highlight w:val="none"/>
              </w:rPr>
            </w:pPr>
            <w:r>
              <w:rPr>
                <w:rFonts w:hint="eastAsia"/>
                <w:b w:val="0"/>
                <w:bCs w:val="0"/>
                <w:color w:val="auto"/>
                <w:spacing w:val="-2"/>
                <w:highlight w:val="none"/>
              </w:rPr>
              <w:t>是否属</w:t>
            </w:r>
            <w:r>
              <w:rPr>
                <w:rFonts w:hint="eastAsia"/>
                <w:b w:val="0"/>
                <w:bCs w:val="0"/>
                <w:color w:val="auto"/>
                <w:highlight w:val="none"/>
              </w:rPr>
              <w:t>于中型、小</w:t>
            </w:r>
            <w:r>
              <w:rPr>
                <w:rFonts w:hint="eastAsia"/>
                <w:b w:val="0"/>
                <w:bCs w:val="0"/>
                <w:color w:val="auto"/>
                <w:spacing w:val="-2"/>
                <w:highlight w:val="none"/>
              </w:rPr>
              <w:t>型、微</w:t>
            </w:r>
            <w:r>
              <w:rPr>
                <w:rFonts w:hint="eastAsia"/>
                <w:b w:val="0"/>
                <w:bCs w:val="0"/>
                <w:color w:val="auto"/>
                <w:highlight w:val="none"/>
              </w:rPr>
              <w:t>型（填</w:t>
            </w:r>
          </w:p>
          <w:p w14:paraId="463BF725">
            <w:pPr>
              <w:pStyle w:val="27"/>
              <w:spacing w:line="240" w:lineRule="auto"/>
              <w:ind w:left="107" w:right="60"/>
              <w:jc w:val="center"/>
              <w:rPr>
                <w:b w:val="0"/>
                <w:bCs w:val="0"/>
                <w:color w:val="auto"/>
                <w:highlight w:val="none"/>
              </w:rPr>
            </w:pPr>
            <w:r>
              <w:rPr>
                <w:rFonts w:hint="eastAsia"/>
                <w:b w:val="0"/>
                <w:bCs w:val="0"/>
                <w:color w:val="auto"/>
                <w:highlight w:val="none"/>
              </w:rPr>
              <w:t>中型或小型或微型）</w:t>
            </w:r>
          </w:p>
        </w:tc>
        <w:tc>
          <w:tcPr>
            <w:tcW w:w="767" w:type="dxa"/>
            <w:vAlign w:val="center"/>
          </w:tcPr>
          <w:p w14:paraId="15E9E0AB">
            <w:pPr>
              <w:pStyle w:val="27"/>
              <w:spacing w:line="240" w:lineRule="auto"/>
              <w:ind w:left="246"/>
              <w:jc w:val="center"/>
              <w:rPr>
                <w:b w:val="0"/>
                <w:bCs w:val="0"/>
                <w:color w:val="auto"/>
                <w:highlight w:val="none"/>
              </w:rPr>
            </w:pPr>
            <w:r>
              <w:rPr>
                <w:rFonts w:hint="eastAsia"/>
                <w:b w:val="0"/>
                <w:bCs w:val="0"/>
                <w:color w:val="auto"/>
                <w:highlight w:val="none"/>
              </w:rPr>
              <w:t>备注</w:t>
            </w:r>
          </w:p>
        </w:tc>
      </w:tr>
      <w:tr w14:paraId="65BAE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599" w:type="dxa"/>
          </w:tcPr>
          <w:p w14:paraId="40C493C3">
            <w:pPr>
              <w:pStyle w:val="27"/>
              <w:spacing w:before="6" w:line="360" w:lineRule="auto"/>
              <w:rPr>
                <w:b w:val="0"/>
                <w:bCs w:val="0"/>
                <w:color w:val="auto"/>
                <w:sz w:val="26"/>
                <w:highlight w:val="none"/>
              </w:rPr>
            </w:pPr>
          </w:p>
          <w:p w14:paraId="11808091">
            <w:pPr>
              <w:pStyle w:val="27"/>
              <w:spacing w:line="360" w:lineRule="auto"/>
              <w:ind w:left="9"/>
              <w:jc w:val="center"/>
              <w:rPr>
                <w:b w:val="0"/>
                <w:bCs w:val="0"/>
                <w:color w:val="auto"/>
                <w:highlight w:val="none"/>
              </w:rPr>
            </w:pPr>
            <w:r>
              <w:rPr>
                <w:b w:val="0"/>
                <w:bCs w:val="0"/>
                <w:color w:val="auto"/>
                <w:highlight w:val="none"/>
              </w:rPr>
              <w:t>1</w:t>
            </w:r>
          </w:p>
        </w:tc>
        <w:tc>
          <w:tcPr>
            <w:tcW w:w="661" w:type="dxa"/>
          </w:tcPr>
          <w:p w14:paraId="7845750A">
            <w:pPr>
              <w:pStyle w:val="27"/>
              <w:spacing w:line="360" w:lineRule="auto"/>
              <w:rPr>
                <w:b w:val="0"/>
                <w:bCs w:val="0"/>
                <w:color w:val="auto"/>
                <w:sz w:val="22"/>
                <w:highlight w:val="none"/>
              </w:rPr>
            </w:pPr>
          </w:p>
        </w:tc>
        <w:tc>
          <w:tcPr>
            <w:tcW w:w="1117" w:type="dxa"/>
            <w:gridSpan w:val="2"/>
          </w:tcPr>
          <w:p w14:paraId="0C407F33">
            <w:pPr>
              <w:pStyle w:val="27"/>
              <w:spacing w:line="360" w:lineRule="auto"/>
              <w:rPr>
                <w:b w:val="0"/>
                <w:bCs w:val="0"/>
                <w:color w:val="auto"/>
                <w:sz w:val="22"/>
                <w:highlight w:val="none"/>
              </w:rPr>
            </w:pPr>
          </w:p>
        </w:tc>
        <w:tc>
          <w:tcPr>
            <w:tcW w:w="632" w:type="dxa"/>
          </w:tcPr>
          <w:p w14:paraId="380ACDCE">
            <w:pPr>
              <w:pStyle w:val="27"/>
              <w:spacing w:line="360" w:lineRule="auto"/>
              <w:rPr>
                <w:b w:val="0"/>
                <w:bCs w:val="0"/>
                <w:color w:val="auto"/>
                <w:sz w:val="22"/>
                <w:highlight w:val="none"/>
              </w:rPr>
            </w:pPr>
          </w:p>
        </w:tc>
        <w:tc>
          <w:tcPr>
            <w:tcW w:w="662" w:type="dxa"/>
          </w:tcPr>
          <w:p w14:paraId="14AD01B4">
            <w:pPr>
              <w:pStyle w:val="27"/>
              <w:spacing w:line="360" w:lineRule="auto"/>
              <w:rPr>
                <w:b w:val="0"/>
                <w:bCs w:val="0"/>
                <w:color w:val="auto"/>
                <w:sz w:val="22"/>
                <w:highlight w:val="none"/>
              </w:rPr>
            </w:pPr>
          </w:p>
        </w:tc>
        <w:tc>
          <w:tcPr>
            <w:tcW w:w="662" w:type="dxa"/>
          </w:tcPr>
          <w:p w14:paraId="468035F5">
            <w:pPr>
              <w:pStyle w:val="27"/>
              <w:spacing w:line="360" w:lineRule="auto"/>
              <w:rPr>
                <w:b w:val="0"/>
                <w:bCs w:val="0"/>
                <w:color w:val="auto"/>
                <w:sz w:val="22"/>
                <w:highlight w:val="none"/>
              </w:rPr>
            </w:pPr>
          </w:p>
        </w:tc>
        <w:tc>
          <w:tcPr>
            <w:tcW w:w="950" w:type="dxa"/>
          </w:tcPr>
          <w:p w14:paraId="3C1EFDEE">
            <w:pPr>
              <w:pStyle w:val="27"/>
              <w:spacing w:line="360" w:lineRule="auto"/>
              <w:rPr>
                <w:b w:val="0"/>
                <w:bCs w:val="0"/>
                <w:color w:val="auto"/>
                <w:sz w:val="22"/>
                <w:highlight w:val="none"/>
              </w:rPr>
            </w:pPr>
          </w:p>
        </w:tc>
        <w:tc>
          <w:tcPr>
            <w:tcW w:w="775" w:type="dxa"/>
          </w:tcPr>
          <w:p w14:paraId="55D1262E">
            <w:pPr>
              <w:pStyle w:val="27"/>
              <w:spacing w:line="360" w:lineRule="auto"/>
              <w:rPr>
                <w:b w:val="0"/>
                <w:bCs w:val="0"/>
                <w:color w:val="auto"/>
                <w:sz w:val="22"/>
                <w:highlight w:val="none"/>
              </w:rPr>
            </w:pPr>
          </w:p>
        </w:tc>
        <w:tc>
          <w:tcPr>
            <w:tcW w:w="713" w:type="dxa"/>
          </w:tcPr>
          <w:p w14:paraId="3CD33B09">
            <w:pPr>
              <w:pStyle w:val="27"/>
              <w:spacing w:line="360" w:lineRule="auto"/>
              <w:rPr>
                <w:b w:val="0"/>
                <w:bCs w:val="0"/>
                <w:color w:val="auto"/>
                <w:sz w:val="22"/>
                <w:highlight w:val="none"/>
              </w:rPr>
            </w:pPr>
          </w:p>
        </w:tc>
        <w:tc>
          <w:tcPr>
            <w:tcW w:w="750" w:type="dxa"/>
          </w:tcPr>
          <w:p w14:paraId="3B23CE1C">
            <w:pPr>
              <w:pStyle w:val="27"/>
              <w:spacing w:line="360" w:lineRule="auto"/>
              <w:rPr>
                <w:b w:val="0"/>
                <w:bCs w:val="0"/>
                <w:color w:val="auto"/>
                <w:sz w:val="22"/>
                <w:highlight w:val="none"/>
              </w:rPr>
            </w:pPr>
          </w:p>
        </w:tc>
        <w:tc>
          <w:tcPr>
            <w:tcW w:w="712" w:type="dxa"/>
          </w:tcPr>
          <w:p w14:paraId="05A0BC5D">
            <w:pPr>
              <w:pStyle w:val="27"/>
              <w:spacing w:line="360" w:lineRule="auto"/>
              <w:rPr>
                <w:b w:val="0"/>
                <w:bCs w:val="0"/>
                <w:color w:val="auto"/>
                <w:sz w:val="22"/>
                <w:highlight w:val="none"/>
              </w:rPr>
            </w:pPr>
          </w:p>
        </w:tc>
        <w:tc>
          <w:tcPr>
            <w:tcW w:w="1016" w:type="dxa"/>
          </w:tcPr>
          <w:p w14:paraId="7A89041F">
            <w:pPr>
              <w:pStyle w:val="27"/>
              <w:spacing w:line="360" w:lineRule="auto"/>
              <w:rPr>
                <w:b w:val="0"/>
                <w:bCs w:val="0"/>
                <w:color w:val="auto"/>
                <w:sz w:val="22"/>
                <w:highlight w:val="none"/>
              </w:rPr>
            </w:pPr>
          </w:p>
        </w:tc>
        <w:tc>
          <w:tcPr>
            <w:tcW w:w="767" w:type="dxa"/>
          </w:tcPr>
          <w:p w14:paraId="3F79DAE0">
            <w:pPr>
              <w:pStyle w:val="27"/>
              <w:spacing w:line="360" w:lineRule="auto"/>
              <w:rPr>
                <w:b w:val="0"/>
                <w:bCs w:val="0"/>
                <w:color w:val="auto"/>
                <w:sz w:val="22"/>
                <w:highlight w:val="none"/>
              </w:rPr>
            </w:pPr>
          </w:p>
        </w:tc>
      </w:tr>
      <w:tr w14:paraId="00B8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599" w:type="dxa"/>
          </w:tcPr>
          <w:p w14:paraId="3CF4FAB2">
            <w:pPr>
              <w:pStyle w:val="27"/>
              <w:spacing w:before="3" w:line="360" w:lineRule="auto"/>
              <w:rPr>
                <w:b w:val="0"/>
                <w:bCs w:val="0"/>
                <w:color w:val="auto"/>
                <w:sz w:val="21"/>
                <w:highlight w:val="none"/>
              </w:rPr>
            </w:pPr>
          </w:p>
          <w:p w14:paraId="3FC0D636">
            <w:pPr>
              <w:pStyle w:val="27"/>
              <w:spacing w:before="1" w:line="360" w:lineRule="auto"/>
              <w:ind w:left="99" w:right="90"/>
              <w:jc w:val="center"/>
              <w:rPr>
                <w:b w:val="0"/>
                <w:bCs w:val="0"/>
                <w:color w:val="auto"/>
                <w:highlight w:val="none"/>
              </w:rPr>
            </w:pPr>
            <w:r>
              <w:rPr>
                <w:b w:val="0"/>
                <w:bCs w:val="0"/>
                <w:color w:val="auto"/>
                <w:highlight w:val="none"/>
              </w:rPr>
              <w:t>...</w:t>
            </w:r>
          </w:p>
        </w:tc>
        <w:tc>
          <w:tcPr>
            <w:tcW w:w="661" w:type="dxa"/>
          </w:tcPr>
          <w:p w14:paraId="7E673474">
            <w:pPr>
              <w:pStyle w:val="27"/>
              <w:spacing w:line="360" w:lineRule="auto"/>
              <w:rPr>
                <w:b w:val="0"/>
                <w:bCs w:val="0"/>
                <w:color w:val="auto"/>
                <w:sz w:val="22"/>
                <w:highlight w:val="none"/>
              </w:rPr>
            </w:pPr>
          </w:p>
        </w:tc>
        <w:tc>
          <w:tcPr>
            <w:tcW w:w="1117" w:type="dxa"/>
            <w:gridSpan w:val="2"/>
          </w:tcPr>
          <w:p w14:paraId="4E20FCE4">
            <w:pPr>
              <w:pStyle w:val="27"/>
              <w:spacing w:line="360" w:lineRule="auto"/>
              <w:rPr>
                <w:b w:val="0"/>
                <w:bCs w:val="0"/>
                <w:color w:val="auto"/>
                <w:sz w:val="22"/>
                <w:highlight w:val="none"/>
              </w:rPr>
            </w:pPr>
          </w:p>
        </w:tc>
        <w:tc>
          <w:tcPr>
            <w:tcW w:w="632" w:type="dxa"/>
          </w:tcPr>
          <w:p w14:paraId="7ACCD112">
            <w:pPr>
              <w:pStyle w:val="27"/>
              <w:spacing w:line="360" w:lineRule="auto"/>
              <w:rPr>
                <w:b w:val="0"/>
                <w:bCs w:val="0"/>
                <w:color w:val="auto"/>
                <w:sz w:val="22"/>
                <w:highlight w:val="none"/>
              </w:rPr>
            </w:pPr>
          </w:p>
        </w:tc>
        <w:tc>
          <w:tcPr>
            <w:tcW w:w="662" w:type="dxa"/>
          </w:tcPr>
          <w:p w14:paraId="78F62265">
            <w:pPr>
              <w:pStyle w:val="27"/>
              <w:spacing w:line="360" w:lineRule="auto"/>
              <w:rPr>
                <w:b w:val="0"/>
                <w:bCs w:val="0"/>
                <w:color w:val="auto"/>
                <w:sz w:val="22"/>
                <w:highlight w:val="none"/>
              </w:rPr>
            </w:pPr>
          </w:p>
        </w:tc>
        <w:tc>
          <w:tcPr>
            <w:tcW w:w="662" w:type="dxa"/>
          </w:tcPr>
          <w:p w14:paraId="4D85B64E">
            <w:pPr>
              <w:pStyle w:val="27"/>
              <w:spacing w:line="360" w:lineRule="auto"/>
              <w:rPr>
                <w:b w:val="0"/>
                <w:bCs w:val="0"/>
                <w:color w:val="auto"/>
                <w:sz w:val="22"/>
                <w:highlight w:val="none"/>
              </w:rPr>
            </w:pPr>
          </w:p>
        </w:tc>
        <w:tc>
          <w:tcPr>
            <w:tcW w:w="950" w:type="dxa"/>
          </w:tcPr>
          <w:p w14:paraId="241B5311">
            <w:pPr>
              <w:pStyle w:val="27"/>
              <w:spacing w:line="360" w:lineRule="auto"/>
              <w:rPr>
                <w:b w:val="0"/>
                <w:bCs w:val="0"/>
                <w:color w:val="auto"/>
                <w:sz w:val="22"/>
                <w:highlight w:val="none"/>
              </w:rPr>
            </w:pPr>
          </w:p>
        </w:tc>
        <w:tc>
          <w:tcPr>
            <w:tcW w:w="775" w:type="dxa"/>
          </w:tcPr>
          <w:p w14:paraId="19A4C866">
            <w:pPr>
              <w:pStyle w:val="27"/>
              <w:spacing w:line="360" w:lineRule="auto"/>
              <w:rPr>
                <w:b w:val="0"/>
                <w:bCs w:val="0"/>
                <w:color w:val="auto"/>
                <w:sz w:val="22"/>
                <w:highlight w:val="none"/>
              </w:rPr>
            </w:pPr>
          </w:p>
        </w:tc>
        <w:tc>
          <w:tcPr>
            <w:tcW w:w="713" w:type="dxa"/>
          </w:tcPr>
          <w:p w14:paraId="6453E346">
            <w:pPr>
              <w:pStyle w:val="27"/>
              <w:spacing w:line="360" w:lineRule="auto"/>
              <w:rPr>
                <w:b w:val="0"/>
                <w:bCs w:val="0"/>
                <w:color w:val="auto"/>
                <w:sz w:val="22"/>
                <w:highlight w:val="none"/>
              </w:rPr>
            </w:pPr>
          </w:p>
        </w:tc>
        <w:tc>
          <w:tcPr>
            <w:tcW w:w="750" w:type="dxa"/>
          </w:tcPr>
          <w:p w14:paraId="60CE8DC5">
            <w:pPr>
              <w:pStyle w:val="27"/>
              <w:spacing w:line="360" w:lineRule="auto"/>
              <w:rPr>
                <w:b w:val="0"/>
                <w:bCs w:val="0"/>
                <w:color w:val="auto"/>
                <w:sz w:val="22"/>
                <w:highlight w:val="none"/>
              </w:rPr>
            </w:pPr>
          </w:p>
        </w:tc>
        <w:tc>
          <w:tcPr>
            <w:tcW w:w="712" w:type="dxa"/>
          </w:tcPr>
          <w:p w14:paraId="608C9518">
            <w:pPr>
              <w:pStyle w:val="27"/>
              <w:spacing w:line="360" w:lineRule="auto"/>
              <w:rPr>
                <w:b w:val="0"/>
                <w:bCs w:val="0"/>
                <w:color w:val="auto"/>
                <w:sz w:val="22"/>
                <w:highlight w:val="none"/>
              </w:rPr>
            </w:pPr>
          </w:p>
        </w:tc>
        <w:tc>
          <w:tcPr>
            <w:tcW w:w="1016" w:type="dxa"/>
          </w:tcPr>
          <w:p w14:paraId="7532C565">
            <w:pPr>
              <w:pStyle w:val="27"/>
              <w:spacing w:line="360" w:lineRule="auto"/>
              <w:rPr>
                <w:b w:val="0"/>
                <w:bCs w:val="0"/>
                <w:color w:val="auto"/>
                <w:sz w:val="22"/>
                <w:highlight w:val="none"/>
              </w:rPr>
            </w:pPr>
          </w:p>
        </w:tc>
        <w:tc>
          <w:tcPr>
            <w:tcW w:w="767" w:type="dxa"/>
          </w:tcPr>
          <w:p w14:paraId="7594B81D">
            <w:pPr>
              <w:pStyle w:val="27"/>
              <w:spacing w:line="360" w:lineRule="auto"/>
              <w:rPr>
                <w:b w:val="0"/>
                <w:bCs w:val="0"/>
                <w:color w:val="auto"/>
                <w:sz w:val="22"/>
                <w:highlight w:val="none"/>
              </w:rPr>
            </w:pPr>
          </w:p>
        </w:tc>
      </w:tr>
      <w:tr w14:paraId="7F126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99" w:type="dxa"/>
          </w:tcPr>
          <w:p w14:paraId="3D0AA928">
            <w:pPr>
              <w:pStyle w:val="27"/>
              <w:spacing w:before="1" w:line="360" w:lineRule="auto"/>
              <w:ind w:left="179"/>
              <w:rPr>
                <w:b w:val="0"/>
                <w:bCs w:val="0"/>
                <w:color w:val="auto"/>
                <w:highlight w:val="none"/>
              </w:rPr>
            </w:pPr>
            <w:r>
              <w:rPr>
                <w:rFonts w:hint="eastAsia"/>
                <w:b w:val="0"/>
                <w:bCs w:val="0"/>
                <w:color w:val="auto"/>
                <w:highlight w:val="none"/>
              </w:rPr>
              <w:t>合</w:t>
            </w:r>
          </w:p>
          <w:p w14:paraId="506771E9">
            <w:pPr>
              <w:pStyle w:val="27"/>
              <w:spacing w:before="158" w:line="360" w:lineRule="auto"/>
              <w:ind w:left="179"/>
              <w:rPr>
                <w:b w:val="0"/>
                <w:bCs w:val="0"/>
                <w:color w:val="auto"/>
                <w:highlight w:val="none"/>
              </w:rPr>
            </w:pPr>
            <w:r>
              <w:rPr>
                <w:rFonts w:hint="eastAsia"/>
                <w:b w:val="0"/>
                <w:bCs w:val="0"/>
                <w:color w:val="auto"/>
                <w:highlight w:val="none"/>
              </w:rPr>
              <w:t>计</w:t>
            </w:r>
          </w:p>
        </w:tc>
        <w:tc>
          <w:tcPr>
            <w:tcW w:w="662" w:type="dxa"/>
            <w:gridSpan w:val="2"/>
          </w:tcPr>
          <w:p w14:paraId="55791235">
            <w:pPr>
              <w:pStyle w:val="27"/>
              <w:spacing w:line="360" w:lineRule="auto"/>
              <w:rPr>
                <w:b w:val="0"/>
                <w:bCs w:val="0"/>
                <w:color w:val="auto"/>
                <w:sz w:val="22"/>
                <w:highlight w:val="none"/>
              </w:rPr>
            </w:pPr>
          </w:p>
        </w:tc>
        <w:tc>
          <w:tcPr>
            <w:tcW w:w="8755" w:type="dxa"/>
            <w:gridSpan w:val="11"/>
          </w:tcPr>
          <w:p w14:paraId="3CBC1D21">
            <w:pPr>
              <w:pStyle w:val="27"/>
              <w:spacing w:line="360" w:lineRule="auto"/>
              <w:rPr>
                <w:b w:val="0"/>
                <w:bCs w:val="0"/>
                <w:color w:val="auto"/>
                <w:sz w:val="22"/>
                <w:highlight w:val="none"/>
              </w:rPr>
            </w:pPr>
          </w:p>
        </w:tc>
      </w:tr>
    </w:tbl>
    <w:p w14:paraId="265C9DE0">
      <w:pPr>
        <w:pStyle w:val="7"/>
        <w:spacing w:line="360" w:lineRule="auto"/>
        <w:rPr>
          <w:color w:val="auto"/>
          <w:highlight w:val="none"/>
        </w:rPr>
      </w:pPr>
    </w:p>
    <w:p w14:paraId="2276D254">
      <w:pPr>
        <w:pStyle w:val="7"/>
        <w:spacing w:before="162" w:line="360" w:lineRule="auto"/>
        <w:rPr>
          <w:rFonts w:ascii="宋体"/>
          <w:color w:val="auto"/>
          <w:szCs w:val="22"/>
          <w:highlight w:val="none"/>
        </w:rPr>
      </w:pPr>
      <w:r>
        <w:rPr>
          <w:rFonts w:hint="eastAsia" w:ascii="宋体" w:hAnsi="宋体"/>
          <w:color w:val="auto"/>
          <w:szCs w:val="22"/>
          <w:highlight w:val="none"/>
        </w:rPr>
        <w:t>注：</w:t>
      </w:r>
      <w:r>
        <w:rPr>
          <w:rFonts w:ascii="宋体" w:hAnsi="宋体"/>
          <w:color w:val="auto"/>
          <w:szCs w:val="22"/>
          <w:highlight w:val="none"/>
        </w:rPr>
        <w:t>1</w:t>
      </w:r>
      <w:r>
        <w:rPr>
          <w:rFonts w:hint="eastAsia" w:ascii="宋体" w:hAnsi="宋体"/>
          <w:color w:val="auto"/>
          <w:szCs w:val="22"/>
          <w:highlight w:val="none"/>
        </w:rPr>
        <w:t>、</w:t>
      </w:r>
      <w:r>
        <w:rPr>
          <w:rFonts w:hint="eastAsia" w:ascii="宋体" w:hAnsi="宋体"/>
          <w:color w:val="auto"/>
          <w:szCs w:val="22"/>
          <w:highlight w:val="none"/>
          <w:lang w:eastAsia="zh-CN"/>
        </w:rPr>
        <w:t>投标人</w:t>
      </w:r>
      <w:r>
        <w:rPr>
          <w:rFonts w:hint="eastAsia" w:ascii="宋体" w:hAnsi="宋体"/>
          <w:color w:val="auto"/>
          <w:szCs w:val="22"/>
          <w:highlight w:val="none"/>
        </w:rPr>
        <w:t>根据所投标包的设备或产品填报（表格自行添减）。</w:t>
      </w:r>
    </w:p>
    <w:p w14:paraId="46A5AED6">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2</w:t>
      </w:r>
      <w:r>
        <w:rPr>
          <w:rFonts w:hint="eastAsia" w:ascii="宋体" w:hAnsi="宋体"/>
          <w:color w:val="auto"/>
          <w:szCs w:val="22"/>
          <w:highlight w:val="none"/>
        </w:rPr>
        <w:t>、</w:t>
      </w:r>
      <w:r>
        <w:rPr>
          <w:rFonts w:hint="eastAsia" w:ascii="宋体" w:hAnsi="宋体"/>
          <w:color w:val="auto"/>
          <w:szCs w:val="22"/>
          <w:highlight w:val="none"/>
          <w:lang w:val="en-US" w:eastAsia="zh-CN"/>
        </w:rPr>
        <w:t>所有货物的价格应包含货物及配置产品的设计、采购、制造、检测、试验、包装、运输、保险、装卸、货款、安装调试、培训、保修维护、技术支持、质保期服务、税费和服务内容的检验、验收、技术服务（包括技术资料、图纸的提供）、质保期保障等的全部费用”</w:t>
      </w:r>
    </w:p>
    <w:p w14:paraId="3BE2A07D">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3</w:t>
      </w:r>
      <w:r>
        <w:rPr>
          <w:rFonts w:hint="eastAsia" w:ascii="宋体" w:hAnsi="宋体"/>
          <w:color w:val="auto"/>
          <w:szCs w:val="22"/>
          <w:highlight w:val="none"/>
        </w:rPr>
        <w:t>、投标人在编写投标文件时，如果遇到技术参数内的产品名称</w:t>
      </w:r>
      <w:r>
        <w:rPr>
          <w:rFonts w:ascii="宋体" w:hAnsi="宋体"/>
          <w:color w:val="auto"/>
          <w:szCs w:val="22"/>
          <w:highlight w:val="none"/>
        </w:rPr>
        <w:t>/</w:t>
      </w:r>
      <w:r>
        <w:rPr>
          <w:rFonts w:hint="eastAsia" w:ascii="宋体" w:hAnsi="宋体"/>
          <w:color w:val="auto"/>
          <w:szCs w:val="22"/>
          <w:highlight w:val="none"/>
        </w:rPr>
        <w:t>设备名称与投标产品的商品名称不一致的，须在“备注”内写明商品名称。</w:t>
      </w:r>
    </w:p>
    <w:p w14:paraId="713B7895">
      <w:pPr>
        <w:pStyle w:val="7"/>
        <w:spacing w:before="2" w:line="360" w:lineRule="auto"/>
        <w:rPr>
          <w:color w:val="auto"/>
          <w:sz w:val="19"/>
          <w:highlight w:val="none"/>
        </w:rPr>
      </w:pPr>
    </w:p>
    <w:p w14:paraId="1095E552">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1F89AB91">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4B160C7D">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4044C57">
      <w:pPr>
        <w:rPr>
          <w:rFonts w:hint="eastAsia"/>
          <w:color w:val="auto"/>
          <w:highlight w:val="none"/>
        </w:rPr>
      </w:pPr>
      <w:bookmarkStart w:id="516" w:name="_Toc75"/>
    </w:p>
    <w:p w14:paraId="1FDB3CF1">
      <w:pPr>
        <w:spacing w:before="54" w:line="360" w:lineRule="auto"/>
        <w:ind w:left="6"/>
        <w:jc w:val="center"/>
        <w:outlineLvl w:val="1"/>
        <w:rPr>
          <w:b/>
          <w:color w:val="auto"/>
          <w:w w:val="95"/>
          <w:sz w:val="32"/>
          <w:highlight w:val="none"/>
        </w:rPr>
      </w:pPr>
      <w:bookmarkStart w:id="517" w:name="_Toc13887"/>
      <w:bookmarkStart w:id="518" w:name="_Toc9250"/>
      <w:r>
        <w:rPr>
          <w:rFonts w:hint="eastAsia"/>
          <w:b/>
          <w:color w:val="auto"/>
          <w:w w:val="95"/>
          <w:sz w:val="32"/>
          <w:highlight w:val="none"/>
        </w:rPr>
        <w:t>二、法定代表人身份证明</w:t>
      </w:r>
      <w:bookmarkEnd w:id="516"/>
      <w:bookmarkEnd w:id="517"/>
      <w:bookmarkEnd w:id="518"/>
    </w:p>
    <w:p w14:paraId="10DFE38A">
      <w:pPr>
        <w:pStyle w:val="7"/>
        <w:spacing w:line="360" w:lineRule="auto"/>
        <w:rPr>
          <w:b/>
          <w:color w:val="auto"/>
          <w:sz w:val="32"/>
          <w:highlight w:val="none"/>
        </w:rPr>
      </w:pPr>
    </w:p>
    <w:p w14:paraId="27A0962F">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w:t>
      </w:r>
      <w:r>
        <w:rPr>
          <w:rFonts w:ascii="宋体" w:hAnsi="宋体" w:cs="宋体"/>
          <w:color w:val="auto"/>
          <w:sz w:val="24"/>
          <w:szCs w:val="32"/>
          <w:highlight w:val="none"/>
          <w:u w:val="single"/>
        </w:rPr>
        <w:t xml:space="preserve">                         </w:t>
      </w:r>
    </w:p>
    <w:p w14:paraId="3F612813">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单位性质：</w:t>
      </w:r>
      <w:r>
        <w:rPr>
          <w:rFonts w:ascii="宋体" w:hAnsi="宋体" w:cs="宋体"/>
          <w:color w:val="auto"/>
          <w:sz w:val="24"/>
          <w:szCs w:val="32"/>
          <w:highlight w:val="none"/>
          <w:u w:val="single"/>
        </w:rPr>
        <w:t xml:space="preserve">                           </w:t>
      </w:r>
    </w:p>
    <w:p w14:paraId="31A7874B">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地址：</w:t>
      </w:r>
      <w:r>
        <w:rPr>
          <w:rFonts w:ascii="宋体" w:hAnsi="宋体" w:cs="宋体"/>
          <w:color w:val="auto"/>
          <w:sz w:val="24"/>
          <w:szCs w:val="32"/>
          <w:highlight w:val="none"/>
          <w:u w:val="single"/>
        </w:rPr>
        <w:t xml:space="preserve">                               </w:t>
      </w:r>
    </w:p>
    <w:p w14:paraId="7D6E6DFA">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成立时间：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月</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日</w:t>
      </w:r>
    </w:p>
    <w:p w14:paraId="0AB7E69C">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经营期限：</w:t>
      </w:r>
      <w:r>
        <w:rPr>
          <w:rFonts w:ascii="宋体" w:hAnsi="宋体" w:cs="宋体"/>
          <w:color w:val="auto"/>
          <w:sz w:val="24"/>
          <w:szCs w:val="32"/>
          <w:highlight w:val="none"/>
          <w:u w:val="single"/>
        </w:rPr>
        <w:t xml:space="preserve">                           </w:t>
      </w:r>
    </w:p>
    <w:p w14:paraId="334CA0BF">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姓名：</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性别：</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年龄：</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职务：</w:t>
      </w:r>
      <w:r>
        <w:rPr>
          <w:rFonts w:ascii="宋体" w:hAnsi="宋体" w:cs="宋体"/>
          <w:color w:val="auto"/>
          <w:sz w:val="24"/>
          <w:szCs w:val="32"/>
          <w:highlight w:val="none"/>
          <w:u w:val="single"/>
        </w:rPr>
        <w:t xml:space="preserve">          </w:t>
      </w:r>
    </w:p>
    <w:p w14:paraId="2C427C47">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系</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名称）的法定代表人。</w:t>
      </w:r>
    </w:p>
    <w:p w14:paraId="0A703658">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特此证明。</w:t>
      </w:r>
    </w:p>
    <w:p w14:paraId="7C87AF8C">
      <w:pPr>
        <w:adjustRightInd w:val="0"/>
        <w:snapToGrid w:val="0"/>
        <w:spacing w:line="360" w:lineRule="auto"/>
        <w:ind w:right="-82" w:rightChars="-39"/>
        <w:jc w:val="left"/>
        <w:rPr>
          <w:rFonts w:ascii="宋体" w:cs="宋体"/>
          <w:color w:val="auto"/>
          <w:sz w:val="24"/>
          <w:highlight w:val="none"/>
        </w:rPr>
      </w:pPr>
    </w:p>
    <w:p w14:paraId="430EA376">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附：法定代表人身份证复印件（或扫描件），正反面。</w:t>
      </w:r>
    </w:p>
    <w:p w14:paraId="78A2F32D">
      <w:pPr>
        <w:pStyle w:val="7"/>
        <w:spacing w:line="360" w:lineRule="auto"/>
        <w:rPr>
          <w:color w:val="auto"/>
          <w:highlight w:val="none"/>
        </w:rPr>
      </w:pPr>
    </w:p>
    <w:p w14:paraId="3E1E0048">
      <w:pPr>
        <w:pStyle w:val="7"/>
        <w:spacing w:line="360" w:lineRule="auto"/>
        <w:rPr>
          <w:color w:val="auto"/>
          <w:highlight w:val="none"/>
        </w:rPr>
      </w:pPr>
    </w:p>
    <w:p w14:paraId="70FF00F6">
      <w:pPr>
        <w:pStyle w:val="7"/>
        <w:spacing w:line="360" w:lineRule="auto"/>
        <w:rPr>
          <w:color w:val="auto"/>
          <w:highlight w:val="none"/>
        </w:rPr>
      </w:pPr>
    </w:p>
    <w:p w14:paraId="56FFE5C5">
      <w:pPr>
        <w:pStyle w:val="7"/>
        <w:spacing w:line="360" w:lineRule="auto"/>
        <w:rPr>
          <w:color w:val="auto"/>
          <w:highlight w:val="none"/>
        </w:rPr>
      </w:pPr>
    </w:p>
    <w:p w14:paraId="0389AC26">
      <w:pPr>
        <w:pStyle w:val="7"/>
        <w:spacing w:line="360" w:lineRule="auto"/>
        <w:rPr>
          <w:color w:val="auto"/>
          <w:highlight w:val="none"/>
        </w:rPr>
      </w:pPr>
    </w:p>
    <w:p w14:paraId="28317A46">
      <w:pPr>
        <w:pStyle w:val="7"/>
        <w:spacing w:line="360" w:lineRule="auto"/>
        <w:rPr>
          <w:color w:val="auto"/>
          <w:highlight w:val="none"/>
        </w:rPr>
      </w:pPr>
    </w:p>
    <w:p w14:paraId="6F906C12">
      <w:pPr>
        <w:pStyle w:val="7"/>
        <w:spacing w:line="360" w:lineRule="auto"/>
        <w:rPr>
          <w:color w:val="auto"/>
          <w:highlight w:val="none"/>
        </w:rPr>
      </w:pPr>
    </w:p>
    <w:p w14:paraId="5C5F196E">
      <w:pPr>
        <w:pStyle w:val="7"/>
        <w:spacing w:line="360" w:lineRule="auto"/>
        <w:rPr>
          <w:color w:val="auto"/>
          <w:highlight w:val="none"/>
        </w:rPr>
      </w:pPr>
    </w:p>
    <w:p w14:paraId="0BCE8F8D">
      <w:pPr>
        <w:pStyle w:val="7"/>
        <w:spacing w:line="360" w:lineRule="auto"/>
        <w:rPr>
          <w:color w:val="auto"/>
          <w:highlight w:val="none"/>
        </w:rPr>
      </w:pPr>
    </w:p>
    <w:p w14:paraId="4C52D3A2">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4524815E">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5CC12B1F">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643EBF7">
      <w:pPr>
        <w:pStyle w:val="10"/>
        <w:spacing w:line="360" w:lineRule="auto"/>
        <w:ind w:left="31680" w:right="31680"/>
        <w:rPr>
          <w:color w:val="auto"/>
          <w:highlight w:val="none"/>
        </w:rPr>
      </w:pPr>
    </w:p>
    <w:p w14:paraId="47714C03">
      <w:pPr>
        <w:pStyle w:val="10"/>
        <w:spacing w:line="360" w:lineRule="auto"/>
        <w:ind w:left="31680" w:right="31680"/>
        <w:rPr>
          <w:color w:val="auto"/>
          <w:highlight w:val="none"/>
        </w:rPr>
      </w:pPr>
    </w:p>
    <w:p w14:paraId="228C25A9">
      <w:pPr>
        <w:pStyle w:val="10"/>
        <w:spacing w:line="360" w:lineRule="auto"/>
        <w:ind w:left="31680" w:right="31680"/>
        <w:rPr>
          <w:color w:val="auto"/>
          <w:highlight w:val="none"/>
        </w:rPr>
      </w:pPr>
    </w:p>
    <w:p w14:paraId="36EEA2DB">
      <w:pPr>
        <w:spacing w:before="54" w:line="360" w:lineRule="auto"/>
        <w:ind w:left="6"/>
        <w:jc w:val="center"/>
        <w:outlineLvl w:val="1"/>
        <w:rPr>
          <w:b/>
          <w:color w:val="auto"/>
          <w:w w:val="95"/>
          <w:sz w:val="32"/>
          <w:highlight w:val="none"/>
        </w:rPr>
      </w:pPr>
      <w:bookmarkStart w:id="519" w:name="_Toc27272"/>
      <w:bookmarkStart w:id="520" w:name="_Toc30731"/>
      <w:bookmarkStart w:id="521" w:name="_Toc1881"/>
      <w:r>
        <w:rPr>
          <w:rFonts w:hint="eastAsia"/>
          <w:b/>
          <w:color w:val="auto"/>
          <w:w w:val="95"/>
          <w:sz w:val="32"/>
          <w:highlight w:val="none"/>
        </w:rPr>
        <w:t>三、授权委托书</w:t>
      </w:r>
      <w:bookmarkEnd w:id="519"/>
      <w:bookmarkEnd w:id="520"/>
      <w:bookmarkEnd w:id="521"/>
    </w:p>
    <w:p w14:paraId="2F71F77B">
      <w:pPr>
        <w:snapToGrid w:val="0"/>
        <w:spacing w:line="360" w:lineRule="auto"/>
        <w:ind w:right="-1" w:firstLine="480" w:firstLineChars="200"/>
        <w:jc w:val="left"/>
        <w:rPr>
          <w:rFonts w:asci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投标人</w:t>
      </w:r>
      <w:r>
        <w:rPr>
          <w:rFonts w:hint="eastAsia" w:ascii="宋体" w:hAnsi="宋体" w:cs="宋体"/>
          <w:color w:val="auto"/>
          <w:sz w:val="24"/>
          <w:highlight w:val="none"/>
          <w:u w:val="single"/>
        </w:rPr>
        <w:t>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（项目名称）（项目编号）（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rPr>
        <w:t>投标文件、签订合同和处理有关事宜，其法律后果由我方承担。</w:t>
      </w:r>
    </w:p>
    <w:p w14:paraId="43FDC6E4">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委托期限：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自签署之日起至投标有效期结束。</w:t>
      </w:r>
      <w:r>
        <w:rPr>
          <w:rFonts w:ascii="宋体" w:hAnsi="宋体" w:cs="宋体"/>
          <w:color w:val="auto"/>
          <w:sz w:val="24"/>
          <w:highlight w:val="none"/>
          <w:u w:val="single"/>
        </w:rPr>
        <w:t xml:space="preserve"> </w:t>
      </w:r>
    </w:p>
    <w:p w14:paraId="34C6F6F6">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代理人无转委托权。</w:t>
      </w:r>
    </w:p>
    <w:p w14:paraId="5E5A8796">
      <w:pPr>
        <w:snapToGrid w:val="0"/>
        <w:spacing w:line="360" w:lineRule="auto"/>
        <w:ind w:firstLine="480" w:firstLineChars="200"/>
        <w:jc w:val="left"/>
        <w:rPr>
          <w:rFonts w:ascii="宋体" w:cs="宋体"/>
          <w:color w:val="auto"/>
          <w:sz w:val="24"/>
          <w:highlight w:val="none"/>
        </w:rPr>
      </w:pPr>
    </w:p>
    <w:p w14:paraId="32A57136">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szCs w:val="32"/>
          <w:highlight w:val="none"/>
        </w:rPr>
        <w:t>法定代表人及委托代理人身份证复印件（或扫描件），正反面。</w:t>
      </w:r>
    </w:p>
    <w:p w14:paraId="460AF1C0">
      <w:pPr>
        <w:snapToGrid w:val="0"/>
        <w:spacing w:line="360" w:lineRule="auto"/>
        <w:jc w:val="left"/>
        <w:rPr>
          <w:rFonts w:ascii="宋体" w:cs="宋体"/>
          <w:color w:val="auto"/>
          <w:sz w:val="24"/>
          <w:highlight w:val="none"/>
        </w:rPr>
      </w:pPr>
    </w:p>
    <w:p w14:paraId="1CB61B2C">
      <w:pPr>
        <w:snapToGrid w:val="0"/>
        <w:spacing w:line="360" w:lineRule="auto"/>
        <w:jc w:val="left"/>
        <w:rPr>
          <w:rFonts w:ascii="宋体" w:cs="宋体"/>
          <w:color w:val="auto"/>
          <w:sz w:val="24"/>
          <w:highlight w:val="none"/>
        </w:rPr>
      </w:pPr>
    </w:p>
    <w:p w14:paraId="1FEC2289">
      <w:pPr>
        <w:snapToGrid w:val="0"/>
        <w:spacing w:line="360" w:lineRule="auto"/>
        <w:jc w:val="left"/>
        <w:rPr>
          <w:rFonts w:ascii="宋体" w:cs="宋体"/>
          <w:color w:val="auto"/>
          <w:sz w:val="24"/>
          <w:highlight w:val="none"/>
        </w:rPr>
      </w:pPr>
    </w:p>
    <w:p w14:paraId="7D176C37">
      <w:pPr>
        <w:snapToGrid w:val="0"/>
        <w:spacing w:line="360" w:lineRule="auto"/>
        <w:jc w:val="left"/>
        <w:rPr>
          <w:rFonts w:ascii="宋体" w:cs="宋体"/>
          <w:color w:val="auto"/>
          <w:sz w:val="24"/>
          <w:highlight w:val="none"/>
        </w:rPr>
      </w:pPr>
    </w:p>
    <w:p w14:paraId="15A2F944">
      <w:pPr>
        <w:snapToGrid w:val="0"/>
        <w:spacing w:line="360" w:lineRule="auto"/>
        <w:jc w:val="left"/>
        <w:rPr>
          <w:rFonts w:ascii="宋体" w:cs="宋体"/>
          <w:color w:val="auto"/>
          <w:sz w:val="24"/>
          <w:highlight w:val="none"/>
        </w:rPr>
      </w:pPr>
    </w:p>
    <w:p w14:paraId="270DFC36">
      <w:pPr>
        <w:snapToGrid w:val="0"/>
        <w:spacing w:line="360" w:lineRule="auto"/>
        <w:jc w:val="left"/>
        <w:rPr>
          <w:rFonts w:ascii="宋体" w:cs="宋体"/>
          <w:color w:val="auto"/>
          <w:sz w:val="24"/>
          <w:highlight w:val="none"/>
        </w:rPr>
      </w:pPr>
    </w:p>
    <w:p w14:paraId="563A0742">
      <w:pPr>
        <w:snapToGrid w:val="0"/>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w:t>
      </w:r>
      <w:r>
        <w:rPr>
          <w:rFonts w:hint="eastAsia" w:ascii="宋体" w:hAnsi="宋体" w:cs="宋体"/>
          <w:color w:val="auto"/>
          <w:sz w:val="24"/>
          <w:highlight w:val="none"/>
        </w:rPr>
        <w:t>）</w:t>
      </w:r>
    </w:p>
    <w:p w14:paraId="61687A02">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14:paraId="048EE7C8">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6ADCD98D">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14:paraId="28962AF5">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4C550E8E">
      <w:pPr>
        <w:pStyle w:val="20"/>
        <w:spacing w:line="360" w:lineRule="auto"/>
        <w:ind w:firstLine="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w:t>
      </w:r>
      <w:r>
        <w:rPr>
          <w:rFonts w:ascii="宋体" w:hAnsi="宋体" w:cs="宋体"/>
          <w:color w:val="auto"/>
          <w:sz w:val="24"/>
          <w:highlight w:val="none"/>
          <w:u w:val="single"/>
        </w:rPr>
        <w:t xml:space="preserve">                    </w:t>
      </w:r>
    </w:p>
    <w:p w14:paraId="6B52E7EE">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5906882">
      <w:pPr>
        <w:spacing w:before="54" w:line="360" w:lineRule="auto"/>
        <w:ind w:left="1"/>
        <w:jc w:val="center"/>
        <w:rPr>
          <w:b/>
          <w:color w:val="auto"/>
          <w:w w:val="95"/>
          <w:sz w:val="32"/>
          <w:highlight w:val="none"/>
        </w:rPr>
      </w:pPr>
    </w:p>
    <w:p w14:paraId="41AD7602">
      <w:pPr>
        <w:spacing w:before="54" w:line="360" w:lineRule="auto"/>
        <w:ind w:left="1"/>
        <w:jc w:val="center"/>
        <w:rPr>
          <w:b/>
          <w:color w:val="auto"/>
          <w:w w:val="95"/>
          <w:sz w:val="32"/>
          <w:highlight w:val="none"/>
        </w:rPr>
      </w:pPr>
    </w:p>
    <w:p w14:paraId="397FAE3E">
      <w:pPr>
        <w:spacing w:before="54" w:line="360" w:lineRule="auto"/>
        <w:ind w:left="1"/>
        <w:jc w:val="center"/>
        <w:rPr>
          <w:b/>
          <w:color w:val="auto"/>
          <w:w w:val="95"/>
          <w:sz w:val="32"/>
          <w:highlight w:val="none"/>
        </w:rPr>
      </w:pPr>
    </w:p>
    <w:p w14:paraId="16477537">
      <w:pPr>
        <w:spacing w:before="54" w:line="360" w:lineRule="auto"/>
        <w:ind w:left="1"/>
        <w:jc w:val="center"/>
        <w:rPr>
          <w:b/>
          <w:color w:val="auto"/>
          <w:w w:val="95"/>
          <w:sz w:val="32"/>
          <w:highlight w:val="none"/>
        </w:rPr>
      </w:pPr>
    </w:p>
    <w:p w14:paraId="296E65EF">
      <w:pPr>
        <w:pStyle w:val="10"/>
        <w:spacing w:line="360" w:lineRule="auto"/>
        <w:ind w:left="31680" w:right="31680"/>
        <w:rPr>
          <w:b/>
          <w:color w:val="auto"/>
          <w:w w:val="95"/>
          <w:sz w:val="32"/>
          <w:highlight w:val="none"/>
        </w:rPr>
      </w:pPr>
    </w:p>
    <w:p w14:paraId="5B6DEF90">
      <w:pPr>
        <w:rPr>
          <w:color w:val="auto"/>
          <w:highlight w:val="none"/>
        </w:rPr>
      </w:pPr>
    </w:p>
    <w:p w14:paraId="17C74DF9">
      <w:pPr>
        <w:spacing w:before="54" w:line="360" w:lineRule="auto"/>
        <w:ind w:left="6"/>
        <w:jc w:val="center"/>
        <w:outlineLvl w:val="1"/>
        <w:rPr>
          <w:b/>
          <w:color w:val="auto"/>
          <w:w w:val="95"/>
          <w:sz w:val="32"/>
          <w:highlight w:val="none"/>
        </w:rPr>
      </w:pPr>
      <w:bookmarkStart w:id="522" w:name="_Toc15380"/>
      <w:bookmarkStart w:id="523" w:name="_Toc8474"/>
      <w:bookmarkStart w:id="524" w:name="_Toc15621"/>
      <w:r>
        <w:rPr>
          <w:rFonts w:hint="eastAsia"/>
          <w:b/>
          <w:color w:val="auto"/>
          <w:w w:val="95"/>
          <w:sz w:val="32"/>
          <w:highlight w:val="none"/>
        </w:rPr>
        <w:t>四、投标承诺书</w:t>
      </w:r>
      <w:bookmarkEnd w:id="522"/>
      <w:bookmarkEnd w:id="523"/>
      <w:bookmarkEnd w:id="524"/>
    </w:p>
    <w:p w14:paraId="42616112">
      <w:pPr>
        <w:pStyle w:val="7"/>
        <w:spacing w:after="0" w:line="360" w:lineRule="auto"/>
        <w:ind w:firstLine="48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（采购代理机构）</w:t>
      </w:r>
      <w:r>
        <w:rPr>
          <w:color w:val="auto"/>
          <w:highlight w:val="none"/>
          <w:u w:val="single"/>
        </w:rPr>
        <w:t xml:space="preserve"> </w:t>
      </w:r>
      <w:r>
        <w:rPr>
          <w:rFonts w:hint="eastAsia"/>
          <w:color w:val="auto"/>
          <w:highlight w:val="none"/>
        </w:rPr>
        <w:t>：</w:t>
      </w:r>
    </w:p>
    <w:p w14:paraId="4D19E129">
      <w:pPr>
        <w:pStyle w:val="7"/>
        <w:spacing w:after="0" w:line="360" w:lineRule="auto"/>
        <w:ind w:right="333" w:firstLine="476" w:firstLineChars="200"/>
        <w:rPr>
          <w:color w:val="auto"/>
          <w:spacing w:val="-1"/>
          <w:highlight w:val="none"/>
        </w:rPr>
      </w:pPr>
      <w:r>
        <w:rPr>
          <w:rFonts w:hint="eastAsia"/>
          <w:color w:val="auto"/>
          <w:spacing w:val="-1"/>
          <w:highlight w:val="none"/>
        </w:rPr>
        <w:t>我公司作为本次采购项目的</w:t>
      </w:r>
      <w:r>
        <w:rPr>
          <w:rFonts w:hint="eastAsia"/>
          <w:color w:val="auto"/>
          <w:spacing w:val="-1"/>
          <w:highlight w:val="none"/>
          <w:lang w:eastAsia="zh-CN"/>
        </w:rPr>
        <w:t>投标人</w:t>
      </w:r>
      <w:r>
        <w:rPr>
          <w:rFonts w:hint="eastAsia"/>
          <w:color w:val="auto"/>
          <w:spacing w:val="-1"/>
          <w:highlight w:val="none"/>
        </w:rPr>
        <w:t>，根据招标文件要求，现郑重承诺如下：</w:t>
      </w:r>
    </w:p>
    <w:p w14:paraId="14F21ECD">
      <w:pPr>
        <w:pStyle w:val="7"/>
        <w:spacing w:after="0" w:line="360" w:lineRule="auto"/>
        <w:ind w:right="333" w:firstLine="476" w:firstLineChars="200"/>
        <w:rPr>
          <w:color w:val="auto"/>
          <w:spacing w:val="-1"/>
          <w:highlight w:val="none"/>
        </w:rPr>
      </w:pPr>
      <w:r>
        <w:rPr>
          <w:rFonts w:hint="eastAsia"/>
          <w:color w:val="auto"/>
          <w:spacing w:val="-1"/>
          <w:highlight w:val="none"/>
        </w:rPr>
        <w:t>一、具备《中华人民共和国政府采购法》第二十二条第一款和本项目规定的条件：</w:t>
      </w:r>
    </w:p>
    <w:p w14:paraId="14DF2593">
      <w:pPr>
        <w:pStyle w:val="7"/>
        <w:spacing w:after="0" w:line="360" w:lineRule="auto"/>
        <w:ind w:right="333" w:firstLine="476" w:firstLineChars="200"/>
        <w:rPr>
          <w:color w:val="auto"/>
          <w:spacing w:val="-1"/>
          <w:highlight w:val="none"/>
        </w:rPr>
      </w:pPr>
      <w:r>
        <w:rPr>
          <w:rFonts w:hint="eastAsia"/>
          <w:color w:val="auto"/>
          <w:spacing w:val="-1"/>
          <w:highlight w:val="none"/>
        </w:rPr>
        <w:t>（一）具有独立承担民事责任的能力；</w:t>
      </w:r>
    </w:p>
    <w:p w14:paraId="14B48CD4">
      <w:pPr>
        <w:pStyle w:val="7"/>
        <w:spacing w:after="0" w:line="360" w:lineRule="auto"/>
        <w:ind w:right="333" w:firstLine="476" w:firstLineChars="200"/>
        <w:rPr>
          <w:color w:val="auto"/>
          <w:spacing w:val="-1"/>
          <w:highlight w:val="none"/>
        </w:rPr>
      </w:pPr>
      <w:r>
        <w:rPr>
          <w:rFonts w:hint="eastAsia"/>
          <w:color w:val="auto"/>
          <w:spacing w:val="-1"/>
          <w:highlight w:val="none"/>
        </w:rPr>
        <w:t>（二）具有良好的商业信誉和健全的财务会计制度；</w:t>
      </w:r>
    </w:p>
    <w:p w14:paraId="51F9847C">
      <w:pPr>
        <w:pStyle w:val="7"/>
        <w:spacing w:after="0" w:line="360" w:lineRule="auto"/>
        <w:ind w:right="333" w:firstLine="476" w:firstLineChars="200"/>
        <w:rPr>
          <w:color w:val="auto"/>
          <w:spacing w:val="-1"/>
          <w:highlight w:val="none"/>
        </w:rPr>
      </w:pPr>
      <w:r>
        <w:rPr>
          <w:rFonts w:hint="eastAsia"/>
          <w:color w:val="auto"/>
          <w:spacing w:val="-1"/>
          <w:highlight w:val="none"/>
        </w:rPr>
        <w:t>（三）具有履行合同所必需的设备和专业技术能力；</w:t>
      </w:r>
    </w:p>
    <w:p w14:paraId="6EA9F020">
      <w:pPr>
        <w:pStyle w:val="7"/>
        <w:spacing w:after="0" w:line="360" w:lineRule="auto"/>
        <w:ind w:right="333" w:firstLine="476" w:firstLineChars="200"/>
        <w:rPr>
          <w:color w:val="auto"/>
          <w:spacing w:val="-1"/>
          <w:highlight w:val="none"/>
        </w:rPr>
      </w:pPr>
      <w:r>
        <w:rPr>
          <w:rFonts w:hint="eastAsia"/>
          <w:color w:val="auto"/>
          <w:spacing w:val="-1"/>
          <w:highlight w:val="none"/>
        </w:rPr>
        <w:t>（四）有依法缴纳税收和社会保障资金的良好记录；</w:t>
      </w:r>
    </w:p>
    <w:p w14:paraId="48B638F0">
      <w:pPr>
        <w:pStyle w:val="7"/>
        <w:spacing w:after="0" w:line="360" w:lineRule="auto"/>
        <w:ind w:right="333" w:firstLine="476" w:firstLineChars="200"/>
        <w:rPr>
          <w:color w:val="auto"/>
          <w:spacing w:val="-1"/>
          <w:highlight w:val="none"/>
        </w:rPr>
      </w:pPr>
      <w:r>
        <w:rPr>
          <w:rFonts w:hint="eastAsia"/>
          <w:color w:val="auto"/>
          <w:spacing w:val="-1"/>
          <w:highlight w:val="none"/>
        </w:rPr>
        <w:t>（五）参加政府采购活动前三年内，在经营活动中没有重大违法记录；</w:t>
      </w:r>
    </w:p>
    <w:p w14:paraId="673080C8">
      <w:pPr>
        <w:pStyle w:val="7"/>
        <w:spacing w:after="0" w:line="360" w:lineRule="auto"/>
        <w:ind w:right="333" w:firstLine="476" w:firstLineChars="200"/>
        <w:rPr>
          <w:color w:val="auto"/>
          <w:spacing w:val="-1"/>
          <w:highlight w:val="none"/>
        </w:rPr>
      </w:pPr>
      <w:r>
        <w:rPr>
          <w:rFonts w:hint="eastAsia"/>
          <w:color w:val="auto"/>
          <w:spacing w:val="-1"/>
          <w:highlight w:val="none"/>
        </w:rPr>
        <w:t>（六）法律、行政法规规定的其他条件；</w:t>
      </w:r>
    </w:p>
    <w:p w14:paraId="40FE0AF3">
      <w:pPr>
        <w:pStyle w:val="7"/>
        <w:spacing w:after="0" w:line="360" w:lineRule="auto"/>
        <w:ind w:right="333" w:firstLine="476" w:firstLineChars="200"/>
        <w:rPr>
          <w:color w:val="auto"/>
          <w:spacing w:val="-1"/>
          <w:highlight w:val="none"/>
        </w:rPr>
      </w:pPr>
      <w:r>
        <w:rPr>
          <w:rFonts w:hint="eastAsia"/>
          <w:color w:val="auto"/>
          <w:spacing w:val="-1"/>
          <w:highlight w:val="none"/>
        </w:rPr>
        <w:t>（七）根据采购项目提出的特殊条件。</w:t>
      </w:r>
    </w:p>
    <w:p w14:paraId="731DEED9">
      <w:pPr>
        <w:pStyle w:val="7"/>
        <w:spacing w:after="0" w:line="360" w:lineRule="auto"/>
        <w:ind w:right="333" w:firstLine="476" w:firstLineChars="200"/>
        <w:rPr>
          <w:color w:val="auto"/>
          <w:spacing w:val="-1"/>
          <w:highlight w:val="none"/>
        </w:rPr>
      </w:pPr>
      <w:r>
        <w:rPr>
          <w:rFonts w:hint="eastAsia"/>
          <w:color w:val="auto"/>
          <w:spacing w:val="-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66C38838">
      <w:pPr>
        <w:pStyle w:val="7"/>
        <w:spacing w:after="0" w:line="360" w:lineRule="auto"/>
        <w:ind w:right="333" w:firstLine="476" w:firstLineChars="200"/>
        <w:rPr>
          <w:color w:val="auto"/>
          <w:spacing w:val="-1"/>
          <w:highlight w:val="none"/>
        </w:rPr>
      </w:pPr>
      <w:r>
        <w:rPr>
          <w:rFonts w:hint="eastAsia"/>
          <w:color w:val="auto"/>
          <w:spacing w:val="-1"/>
          <w:highlight w:val="none"/>
        </w:rPr>
        <w:t>三、参加本次招标采购活动，不存在与单位负责人为同一人或者存在直接控股、管理关系的其他供应商参与同一合同项下的政府采购活动的行为。</w:t>
      </w:r>
    </w:p>
    <w:p w14:paraId="6D087B02">
      <w:pPr>
        <w:pStyle w:val="7"/>
        <w:spacing w:after="0" w:line="360" w:lineRule="auto"/>
        <w:ind w:right="333" w:firstLine="476" w:firstLineChars="200"/>
        <w:rPr>
          <w:color w:val="auto"/>
          <w:spacing w:val="-1"/>
          <w:highlight w:val="none"/>
        </w:rPr>
      </w:pPr>
      <w:r>
        <w:rPr>
          <w:rFonts w:hint="eastAsia"/>
          <w:color w:val="auto"/>
          <w:spacing w:val="-1"/>
          <w:highlight w:val="none"/>
        </w:rPr>
        <w:t>四、我们保证在中标公告发布后</w:t>
      </w:r>
      <w:r>
        <w:rPr>
          <w:color w:val="auto"/>
          <w:spacing w:val="-1"/>
          <w:highlight w:val="none"/>
        </w:rPr>
        <w:t xml:space="preserve"> 5 </w:t>
      </w:r>
      <w:r>
        <w:rPr>
          <w:rFonts w:hint="eastAsia"/>
          <w:color w:val="auto"/>
          <w:spacing w:val="-1"/>
          <w:highlight w:val="none"/>
        </w:rPr>
        <w:t>个工作日内，按招标文件的规定，以银行转账方式向贵公司一次性支付采购代理服务费用，并且按照规定和采购人签订合同。</w:t>
      </w:r>
    </w:p>
    <w:p w14:paraId="421CC4CE">
      <w:pPr>
        <w:pStyle w:val="7"/>
        <w:spacing w:after="0" w:line="360" w:lineRule="auto"/>
        <w:ind w:right="333" w:firstLine="476" w:firstLineChars="200"/>
        <w:rPr>
          <w:color w:val="auto"/>
          <w:spacing w:val="-1"/>
          <w:highlight w:val="none"/>
        </w:rPr>
      </w:pPr>
      <w:r>
        <w:rPr>
          <w:rFonts w:hint="eastAsia"/>
          <w:color w:val="auto"/>
          <w:spacing w:val="-1"/>
          <w:highlight w:val="none"/>
        </w:rPr>
        <w:t>五、参加本次招标采购活动，不存在和其他</w:t>
      </w:r>
      <w:r>
        <w:rPr>
          <w:rFonts w:hint="eastAsia"/>
          <w:color w:val="auto"/>
          <w:spacing w:val="-1"/>
          <w:highlight w:val="none"/>
          <w:lang w:eastAsia="zh-CN"/>
        </w:rPr>
        <w:t>投标人</w:t>
      </w:r>
      <w:r>
        <w:rPr>
          <w:rFonts w:hint="eastAsia"/>
          <w:color w:val="auto"/>
          <w:spacing w:val="-1"/>
          <w:highlight w:val="none"/>
        </w:rPr>
        <w:t>在同一合同项下的采购项目中，同时委托同一个自然人、同一家庭的人员、同一单位的人员作为代理人的行为。</w:t>
      </w:r>
    </w:p>
    <w:p w14:paraId="38BFDC0B">
      <w:pPr>
        <w:pStyle w:val="7"/>
        <w:spacing w:after="0" w:line="360" w:lineRule="auto"/>
        <w:ind w:right="333" w:firstLine="476" w:firstLineChars="200"/>
        <w:rPr>
          <w:color w:val="auto"/>
          <w:spacing w:val="-1"/>
          <w:highlight w:val="none"/>
        </w:rPr>
      </w:pPr>
      <w:r>
        <w:rPr>
          <w:rFonts w:hint="eastAsia"/>
          <w:color w:val="auto"/>
          <w:spacing w:val="-1"/>
          <w:highlight w:val="none"/>
        </w:rPr>
        <w:t>六、</w:t>
      </w:r>
      <w:r>
        <w:rPr>
          <w:rFonts w:hint="eastAsia"/>
          <w:color w:val="auto"/>
          <w:spacing w:val="-1"/>
          <w:highlight w:val="none"/>
          <w:lang w:eastAsia="zh-CN"/>
        </w:rPr>
        <w:t>投标人</w:t>
      </w:r>
      <w:r>
        <w:rPr>
          <w:rFonts w:hint="eastAsia"/>
          <w:color w:val="auto"/>
          <w:spacing w:val="-1"/>
          <w:highlight w:val="none"/>
        </w:rPr>
        <w:t>参加本次政府采购活动要求在近三年内</w:t>
      </w:r>
      <w:r>
        <w:rPr>
          <w:rFonts w:hint="eastAsia"/>
          <w:color w:val="auto"/>
          <w:spacing w:val="-1"/>
          <w:highlight w:val="none"/>
          <w:lang w:eastAsia="zh-CN"/>
        </w:rPr>
        <w:t>投标人</w:t>
      </w:r>
      <w:r>
        <w:rPr>
          <w:rFonts w:hint="eastAsia"/>
          <w:color w:val="auto"/>
          <w:spacing w:val="-1"/>
          <w:highlight w:val="none"/>
        </w:rPr>
        <w:t>和其法定代表人没有行贿犯罪行为。</w:t>
      </w:r>
    </w:p>
    <w:p w14:paraId="62F16240">
      <w:pPr>
        <w:pStyle w:val="7"/>
        <w:spacing w:after="0" w:line="360" w:lineRule="auto"/>
        <w:ind w:right="333" w:firstLine="476" w:firstLineChars="200"/>
        <w:rPr>
          <w:color w:val="auto"/>
          <w:spacing w:val="-1"/>
          <w:highlight w:val="none"/>
        </w:rPr>
      </w:pPr>
      <w:r>
        <w:rPr>
          <w:rFonts w:hint="eastAsia"/>
          <w:color w:val="auto"/>
          <w:spacing w:val="-1"/>
          <w:highlight w:val="none"/>
        </w:rPr>
        <w:t>七、参加本次招标采购活动，不存在联合体投标。</w:t>
      </w:r>
    </w:p>
    <w:p w14:paraId="50413E49">
      <w:pPr>
        <w:pStyle w:val="7"/>
        <w:spacing w:after="0" w:line="360" w:lineRule="auto"/>
        <w:ind w:right="333" w:firstLine="476" w:firstLineChars="200"/>
        <w:rPr>
          <w:color w:val="auto"/>
          <w:spacing w:val="-1"/>
          <w:highlight w:val="none"/>
        </w:rPr>
      </w:pPr>
      <w:r>
        <w:rPr>
          <w:rFonts w:hint="eastAsia"/>
          <w:color w:val="auto"/>
          <w:spacing w:val="-1"/>
          <w:highlight w:val="none"/>
        </w:rPr>
        <w:t>八、投标文件中提供的能够给予我公司带来优惠、好处的任何材料资料和技术、服务、商务等响应承诺情况都是真实的、有效的、合法的。</w:t>
      </w:r>
    </w:p>
    <w:p w14:paraId="3C444D12">
      <w:pPr>
        <w:pStyle w:val="7"/>
        <w:spacing w:after="0" w:line="360" w:lineRule="auto"/>
        <w:ind w:right="333" w:firstLine="476" w:firstLineChars="200"/>
        <w:rPr>
          <w:color w:val="auto"/>
          <w:spacing w:val="-1"/>
          <w:highlight w:val="none"/>
        </w:rPr>
      </w:pPr>
      <w:r>
        <w:rPr>
          <w:rFonts w:hint="eastAsia"/>
          <w:color w:val="auto"/>
          <w:spacing w:val="-1"/>
          <w:highlight w:val="none"/>
        </w:rPr>
        <w:t>九、存在以下行为之一的愿意接受相关部门的处理：</w:t>
      </w:r>
    </w:p>
    <w:p w14:paraId="25EE4320">
      <w:pPr>
        <w:pStyle w:val="7"/>
        <w:spacing w:after="0" w:line="360" w:lineRule="auto"/>
        <w:ind w:right="333" w:firstLine="476" w:firstLineChars="200"/>
        <w:rPr>
          <w:color w:val="auto"/>
          <w:spacing w:val="-1"/>
          <w:highlight w:val="none"/>
        </w:rPr>
      </w:pPr>
      <w:r>
        <w:rPr>
          <w:rFonts w:hint="eastAsia"/>
          <w:color w:val="auto"/>
          <w:spacing w:val="-1"/>
          <w:highlight w:val="none"/>
        </w:rPr>
        <w:t>（一）投标有效期内撤销投标文件的；</w:t>
      </w:r>
    </w:p>
    <w:p w14:paraId="16AB4BAB">
      <w:pPr>
        <w:pStyle w:val="7"/>
        <w:spacing w:after="0" w:line="360" w:lineRule="auto"/>
        <w:ind w:right="333" w:firstLine="476" w:firstLineChars="200"/>
        <w:rPr>
          <w:color w:val="auto"/>
          <w:spacing w:val="-1"/>
          <w:highlight w:val="none"/>
        </w:rPr>
      </w:pPr>
      <w:r>
        <w:rPr>
          <w:rFonts w:hint="eastAsia"/>
          <w:color w:val="auto"/>
          <w:spacing w:val="-1"/>
          <w:highlight w:val="none"/>
        </w:rPr>
        <w:t>（二）在采购人确定中标人以前放弃中标候选资格的；</w:t>
      </w:r>
    </w:p>
    <w:p w14:paraId="3B92404C">
      <w:pPr>
        <w:pStyle w:val="7"/>
        <w:spacing w:after="0" w:line="360" w:lineRule="auto"/>
        <w:ind w:right="333" w:firstLine="476" w:firstLineChars="200"/>
        <w:rPr>
          <w:color w:val="auto"/>
          <w:spacing w:val="-1"/>
          <w:highlight w:val="none"/>
        </w:rPr>
      </w:pPr>
      <w:r>
        <w:rPr>
          <w:rFonts w:hint="eastAsia"/>
          <w:color w:val="auto"/>
          <w:spacing w:val="-1"/>
          <w:highlight w:val="none"/>
        </w:rPr>
        <w:t>（三）由于中标人的原因未能按照招标文件的规定与采购人签订合同；</w:t>
      </w:r>
    </w:p>
    <w:p w14:paraId="08B7BFE7">
      <w:pPr>
        <w:pStyle w:val="7"/>
        <w:spacing w:after="0" w:line="360" w:lineRule="auto"/>
        <w:ind w:right="333" w:firstLine="476" w:firstLineChars="200"/>
        <w:rPr>
          <w:color w:val="auto"/>
          <w:spacing w:val="-1"/>
          <w:highlight w:val="none"/>
        </w:rPr>
      </w:pPr>
      <w:r>
        <w:rPr>
          <w:rFonts w:hint="eastAsia"/>
          <w:color w:val="auto"/>
          <w:spacing w:val="-1"/>
          <w:highlight w:val="none"/>
        </w:rPr>
        <w:t>（四）由于中标人的原因未能按照招标文件的规定交纳履约保证金；</w:t>
      </w:r>
    </w:p>
    <w:p w14:paraId="164A1FD4">
      <w:pPr>
        <w:pStyle w:val="7"/>
        <w:spacing w:after="0" w:line="360" w:lineRule="auto"/>
        <w:ind w:right="333" w:firstLine="476" w:firstLineChars="200"/>
        <w:rPr>
          <w:color w:val="auto"/>
          <w:spacing w:val="-1"/>
          <w:highlight w:val="none"/>
        </w:rPr>
      </w:pPr>
      <w:r>
        <w:rPr>
          <w:rFonts w:hint="eastAsia"/>
          <w:color w:val="auto"/>
          <w:spacing w:val="-1"/>
          <w:highlight w:val="none"/>
        </w:rPr>
        <w:t>（五）在投标文件中提供虚假材料谋取中标；</w:t>
      </w:r>
    </w:p>
    <w:p w14:paraId="250EE68E">
      <w:pPr>
        <w:pStyle w:val="7"/>
        <w:spacing w:after="0" w:line="360" w:lineRule="auto"/>
        <w:ind w:right="333" w:firstLine="476" w:firstLineChars="200"/>
        <w:rPr>
          <w:color w:val="auto"/>
          <w:spacing w:val="-1"/>
          <w:highlight w:val="none"/>
        </w:rPr>
      </w:pPr>
      <w:r>
        <w:rPr>
          <w:rFonts w:hint="eastAsia"/>
          <w:color w:val="auto"/>
          <w:spacing w:val="-1"/>
          <w:highlight w:val="none"/>
        </w:rPr>
        <w:t>（六）与采购人、其他</w:t>
      </w:r>
      <w:r>
        <w:rPr>
          <w:rFonts w:hint="eastAsia"/>
          <w:color w:val="auto"/>
          <w:spacing w:val="-1"/>
          <w:highlight w:val="none"/>
          <w:lang w:eastAsia="zh-CN"/>
        </w:rPr>
        <w:t>投标人</w:t>
      </w:r>
      <w:r>
        <w:rPr>
          <w:rFonts w:hint="eastAsia"/>
          <w:color w:val="auto"/>
          <w:spacing w:val="-1"/>
          <w:highlight w:val="none"/>
        </w:rPr>
        <w:t>或者采购代理机构恶意串通的；</w:t>
      </w:r>
    </w:p>
    <w:p w14:paraId="6A30EAE0">
      <w:pPr>
        <w:pStyle w:val="7"/>
        <w:spacing w:after="0" w:line="360" w:lineRule="auto"/>
        <w:ind w:right="333" w:firstLine="476" w:firstLineChars="200"/>
        <w:rPr>
          <w:color w:val="auto"/>
          <w:spacing w:val="-1"/>
          <w:highlight w:val="none"/>
        </w:rPr>
      </w:pPr>
      <w:r>
        <w:rPr>
          <w:rFonts w:hint="eastAsia"/>
          <w:color w:val="auto"/>
          <w:spacing w:val="-1"/>
          <w:highlight w:val="none"/>
        </w:rPr>
        <w:t>（七）投标有效期内，</w:t>
      </w:r>
      <w:r>
        <w:rPr>
          <w:rFonts w:hint="eastAsia"/>
          <w:color w:val="auto"/>
          <w:spacing w:val="-1"/>
          <w:highlight w:val="none"/>
          <w:lang w:eastAsia="zh-CN"/>
        </w:rPr>
        <w:t>投标人</w:t>
      </w:r>
      <w:r>
        <w:rPr>
          <w:rFonts w:hint="eastAsia"/>
          <w:color w:val="auto"/>
          <w:spacing w:val="-1"/>
          <w:highlight w:val="none"/>
        </w:rPr>
        <w:t>在政府采购活动中有违法、违规、违纪行为。</w:t>
      </w:r>
    </w:p>
    <w:p w14:paraId="4ECEA094">
      <w:pPr>
        <w:pStyle w:val="7"/>
        <w:spacing w:after="0" w:line="360" w:lineRule="auto"/>
        <w:ind w:right="333" w:firstLine="476" w:firstLineChars="200"/>
        <w:rPr>
          <w:color w:val="auto"/>
          <w:spacing w:val="-1"/>
          <w:highlight w:val="none"/>
        </w:rPr>
      </w:pPr>
      <w:r>
        <w:rPr>
          <w:rFonts w:hint="eastAsia"/>
          <w:color w:val="auto"/>
          <w:spacing w:val="-1"/>
          <w:highlight w:val="none"/>
        </w:rPr>
        <w:t>由此产生的一切法律后果和责任由我公司承担。我公司声明放弃对此提出任何异议和追索的权利。</w:t>
      </w:r>
    </w:p>
    <w:p w14:paraId="392A934C">
      <w:pPr>
        <w:pStyle w:val="7"/>
        <w:spacing w:after="0" w:line="360" w:lineRule="auto"/>
        <w:ind w:right="333" w:firstLine="476" w:firstLineChars="200"/>
        <w:rPr>
          <w:color w:val="auto"/>
          <w:spacing w:val="-1"/>
          <w:highlight w:val="none"/>
        </w:rPr>
      </w:pPr>
      <w:r>
        <w:rPr>
          <w:rFonts w:hint="eastAsia"/>
          <w:color w:val="auto"/>
          <w:spacing w:val="-1"/>
          <w:highlight w:val="none"/>
        </w:rPr>
        <w:t>本公司对上述承诺的内容事项真实性负责。如经查实上述承诺的内容事项存在虚假，</w:t>
      </w:r>
      <w:r>
        <w:rPr>
          <w:color w:val="auto"/>
          <w:spacing w:val="-1"/>
          <w:highlight w:val="none"/>
        </w:rPr>
        <w:t xml:space="preserve"> </w:t>
      </w:r>
      <w:r>
        <w:rPr>
          <w:rFonts w:hint="eastAsia"/>
          <w:color w:val="auto"/>
          <w:spacing w:val="-1"/>
          <w:highlight w:val="none"/>
        </w:rPr>
        <w:t>我公司愿意接受以提供虚假材料谋取中标而承担法律责任。</w:t>
      </w:r>
    </w:p>
    <w:p w14:paraId="596187E5">
      <w:pPr>
        <w:pStyle w:val="7"/>
        <w:spacing w:line="360" w:lineRule="auto"/>
        <w:rPr>
          <w:color w:val="auto"/>
          <w:highlight w:val="none"/>
        </w:rPr>
      </w:pPr>
    </w:p>
    <w:p w14:paraId="4C11B965">
      <w:pPr>
        <w:pStyle w:val="7"/>
        <w:spacing w:line="360" w:lineRule="auto"/>
        <w:rPr>
          <w:color w:val="auto"/>
          <w:highlight w:val="none"/>
        </w:rPr>
      </w:pPr>
    </w:p>
    <w:p w14:paraId="3C5C1A38">
      <w:pPr>
        <w:pStyle w:val="7"/>
        <w:spacing w:line="360" w:lineRule="auto"/>
        <w:rPr>
          <w:color w:val="auto"/>
          <w:highlight w:val="none"/>
        </w:rPr>
      </w:pPr>
    </w:p>
    <w:p w14:paraId="290F279A">
      <w:pPr>
        <w:pStyle w:val="7"/>
        <w:spacing w:line="360" w:lineRule="auto"/>
        <w:rPr>
          <w:color w:val="auto"/>
          <w:highlight w:val="none"/>
        </w:rPr>
      </w:pPr>
    </w:p>
    <w:p w14:paraId="208FAEFE">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0F9E66B7">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057140BF">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243C046">
      <w:pPr>
        <w:spacing w:before="54" w:line="360" w:lineRule="auto"/>
        <w:ind w:left="6"/>
        <w:jc w:val="center"/>
        <w:outlineLvl w:val="1"/>
        <w:rPr>
          <w:b/>
          <w:color w:val="auto"/>
          <w:w w:val="95"/>
          <w:sz w:val="32"/>
          <w:highlight w:val="none"/>
        </w:rPr>
      </w:pPr>
      <w:r>
        <w:rPr>
          <w:rFonts w:ascii="宋体" w:cs="宋体"/>
          <w:color w:val="auto"/>
          <w:kern w:val="0"/>
          <w:sz w:val="24"/>
          <w:highlight w:val="none"/>
        </w:rPr>
        <w:br w:type="page"/>
      </w:r>
      <w:bookmarkStart w:id="525" w:name="_Toc4122"/>
      <w:bookmarkStart w:id="526" w:name="_Toc32164"/>
      <w:bookmarkStart w:id="527" w:name="_Toc15713"/>
      <w:r>
        <w:rPr>
          <w:rFonts w:hint="eastAsia"/>
          <w:b/>
          <w:color w:val="auto"/>
          <w:w w:val="95"/>
          <w:sz w:val="32"/>
          <w:highlight w:val="none"/>
        </w:rPr>
        <w:t>五、技术部分</w:t>
      </w:r>
      <w:bookmarkEnd w:id="525"/>
      <w:bookmarkEnd w:id="526"/>
      <w:bookmarkEnd w:id="527"/>
    </w:p>
    <w:p w14:paraId="24CF7440">
      <w:pPr>
        <w:keepNext w:val="0"/>
        <w:keepLines w:val="0"/>
        <w:pageBreakBefore w:val="0"/>
        <w:widowControl w:val="0"/>
        <w:kinsoku/>
        <w:wordWrap/>
        <w:overflowPunct/>
        <w:topLinePunct w:val="0"/>
        <w:autoSpaceDE/>
        <w:autoSpaceDN/>
        <w:bidi w:val="0"/>
        <w:adjustRightInd/>
        <w:snapToGrid/>
        <w:spacing w:before="212" w:line="360" w:lineRule="auto"/>
        <w:ind w:left="0"/>
        <w:jc w:val="center"/>
        <w:textAlignment w:val="auto"/>
        <w:outlineLvl w:val="2"/>
        <w:rPr>
          <w:b/>
          <w:color w:val="auto"/>
          <w:sz w:val="32"/>
          <w:highlight w:val="none"/>
        </w:rPr>
      </w:pPr>
      <w:bookmarkStart w:id="528" w:name="（一）技术参数偏差表"/>
      <w:bookmarkEnd w:id="528"/>
      <w:r>
        <w:rPr>
          <w:rFonts w:hint="eastAsia"/>
          <w:b/>
          <w:color w:val="auto"/>
          <w:w w:val="95"/>
          <w:sz w:val="32"/>
          <w:highlight w:val="none"/>
        </w:rPr>
        <w:t>（一）技术参数偏差表</w:t>
      </w:r>
    </w:p>
    <w:p w14:paraId="1B74EC06">
      <w:pPr>
        <w:pStyle w:val="30"/>
        <w:numPr>
          <w:ilvl w:val="0"/>
          <w:numId w:val="0"/>
        </w:numPr>
        <w:tabs>
          <w:tab w:val="left" w:pos="580"/>
        </w:tabs>
        <w:spacing w:line="360" w:lineRule="auto"/>
        <w:ind w:leftChars="200"/>
        <w:jc w:val="center"/>
        <w:rPr>
          <w:b/>
          <w:color w:val="auto"/>
          <w:sz w:val="12"/>
          <w:highlight w:val="none"/>
        </w:rPr>
      </w:pPr>
      <w:r>
        <w:rPr>
          <w:rFonts w:hint="eastAsia"/>
          <w:b/>
          <w:color w:val="auto"/>
          <w:sz w:val="24"/>
          <w:highlight w:val="none"/>
          <w:lang w:val="en-US" w:eastAsia="zh-CN"/>
        </w:rPr>
        <w:t>1.</w:t>
      </w:r>
      <w:r>
        <w:rPr>
          <w:rFonts w:hint="eastAsia"/>
          <w:b/>
          <w:color w:val="auto"/>
          <w:sz w:val="24"/>
          <w:highlight w:val="none"/>
        </w:rPr>
        <w:t>标注</w:t>
      </w:r>
      <w:r>
        <w:rPr>
          <w:b/>
          <w:color w:val="auto"/>
          <w:sz w:val="24"/>
          <w:highlight w:val="none"/>
        </w:rPr>
        <w:t>“</w:t>
      </w:r>
      <w:r>
        <w:rPr>
          <w:rFonts w:hint="eastAsia" w:ascii="宋体" w:hAnsi="宋体" w:cs="宋体"/>
          <w:color w:val="auto"/>
          <w:sz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2"/>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14:paraId="175A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14:paraId="6C0035DA">
            <w:pPr>
              <w:pStyle w:val="27"/>
              <w:spacing w:before="4" w:line="360" w:lineRule="auto"/>
              <w:jc w:val="center"/>
              <w:rPr>
                <w:b/>
                <w:color w:val="auto"/>
                <w:sz w:val="18"/>
                <w:highlight w:val="none"/>
              </w:rPr>
            </w:pPr>
          </w:p>
          <w:p w14:paraId="235A687F">
            <w:pPr>
              <w:pStyle w:val="27"/>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14:paraId="297A55B2">
            <w:pPr>
              <w:pStyle w:val="27"/>
              <w:spacing w:before="2" w:line="360" w:lineRule="auto"/>
              <w:ind w:left="22"/>
              <w:jc w:val="center"/>
              <w:rPr>
                <w:b/>
                <w:color w:val="auto"/>
                <w:highlight w:val="none"/>
              </w:rPr>
            </w:pPr>
            <w:r>
              <w:rPr>
                <w:rFonts w:hint="eastAsia"/>
                <w:b/>
                <w:color w:val="auto"/>
                <w:w w:val="99"/>
                <w:highlight w:val="none"/>
              </w:rPr>
              <w:t>名</w:t>
            </w:r>
          </w:p>
          <w:p w14:paraId="1CF2DA94">
            <w:pPr>
              <w:pStyle w:val="27"/>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14:paraId="3B4E51E4">
            <w:pPr>
              <w:pStyle w:val="27"/>
              <w:spacing w:before="2" w:line="360" w:lineRule="auto"/>
              <w:ind w:left="219" w:right="192"/>
              <w:jc w:val="center"/>
              <w:rPr>
                <w:b/>
                <w:color w:val="auto"/>
                <w:highlight w:val="none"/>
              </w:rPr>
            </w:pPr>
            <w:r>
              <w:rPr>
                <w:rFonts w:hint="eastAsia"/>
                <w:b/>
                <w:color w:val="auto"/>
                <w:highlight w:val="none"/>
              </w:rPr>
              <w:t>招标文件要求的</w:t>
            </w:r>
          </w:p>
          <w:p w14:paraId="7687DA9A">
            <w:pPr>
              <w:pStyle w:val="27"/>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14:paraId="3ABE5127">
            <w:pPr>
              <w:pStyle w:val="27"/>
              <w:spacing w:before="2" w:line="360" w:lineRule="auto"/>
              <w:ind w:left="14"/>
              <w:jc w:val="center"/>
              <w:rPr>
                <w:b/>
                <w:color w:val="auto"/>
                <w:highlight w:val="none"/>
              </w:rPr>
            </w:pPr>
            <w:r>
              <w:rPr>
                <w:rFonts w:hint="eastAsia"/>
                <w:b/>
                <w:color w:val="auto"/>
                <w:highlight w:val="none"/>
              </w:rPr>
              <w:t>投标文件所附</w:t>
            </w:r>
          </w:p>
          <w:p w14:paraId="7DA1A17D">
            <w:pPr>
              <w:pStyle w:val="27"/>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14:paraId="32D72967">
            <w:pPr>
              <w:pStyle w:val="27"/>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14:paraId="037D6DF6">
            <w:pPr>
              <w:pStyle w:val="27"/>
              <w:spacing w:before="4" w:line="360" w:lineRule="auto"/>
              <w:jc w:val="center"/>
              <w:rPr>
                <w:b/>
                <w:color w:val="auto"/>
                <w:sz w:val="18"/>
                <w:highlight w:val="none"/>
              </w:rPr>
            </w:pPr>
          </w:p>
          <w:p w14:paraId="19EFF817">
            <w:pPr>
              <w:pStyle w:val="27"/>
              <w:spacing w:line="360" w:lineRule="auto"/>
              <w:ind w:left="30"/>
              <w:jc w:val="center"/>
              <w:rPr>
                <w:b/>
                <w:color w:val="auto"/>
                <w:highlight w:val="none"/>
              </w:rPr>
            </w:pPr>
            <w:r>
              <w:rPr>
                <w:rFonts w:hint="eastAsia"/>
                <w:b/>
                <w:color w:val="auto"/>
                <w:highlight w:val="none"/>
              </w:rPr>
              <w:t>偏离说明</w:t>
            </w:r>
          </w:p>
        </w:tc>
      </w:tr>
      <w:tr w14:paraId="0796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2282554B">
            <w:pPr>
              <w:pStyle w:val="27"/>
              <w:spacing w:before="162" w:line="360" w:lineRule="auto"/>
              <w:ind w:left="15"/>
              <w:jc w:val="center"/>
              <w:rPr>
                <w:color w:val="auto"/>
                <w:highlight w:val="none"/>
              </w:rPr>
            </w:pPr>
            <w:r>
              <w:rPr>
                <w:color w:val="auto"/>
                <w:highlight w:val="none"/>
              </w:rPr>
              <w:t>1</w:t>
            </w:r>
          </w:p>
        </w:tc>
        <w:tc>
          <w:tcPr>
            <w:tcW w:w="852" w:type="dxa"/>
          </w:tcPr>
          <w:p w14:paraId="7088F28B">
            <w:pPr>
              <w:pStyle w:val="27"/>
              <w:spacing w:line="360" w:lineRule="auto"/>
              <w:rPr>
                <w:color w:val="auto"/>
                <w:sz w:val="22"/>
                <w:highlight w:val="none"/>
              </w:rPr>
            </w:pPr>
          </w:p>
        </w:tc>
        <w:tc>
          <w:tcPr>
            <w:tcW w:w="2148" w:type="dxa"/>
          </w:tcPr>
          <w:p w14:paraId="1E38EDB3">
            <w:pPr>
              <w:pStyle w:val="27"/>
              <w:spacing w:line="360" w:lineRule="auto"/>
              <w:rPr>
                <w:color w:val="auto"/>
                <w:sz w:val="22"/>
                <w:highlight w:val="none"/>
              </w:rPr>
            </w:pPr>
          </w:p>
        </w:tc>
        <w:tc>
          <w:tcPr>
            <w:tcW w:w="1635" w:type="dxa"/>
          </w:tcPr>
          <w:p w14:paraId="682CD005">
            <w:pPr>
              <w:pStyle w:val="27"/>
              <w:spacing w:line="360" w:lineRule="auto"/>
              <w:rPr>
                <w:color w:val="auto"/>
                <w:sz w:val="22"/>
                <w:highlight w:val="none"/>
              </w:rPr>
            </w:pPr>
          </w:p>
        </w:tc>
        <w:tc>
          <w:tcPr>
            <w:tcW w:w="2320" w:type="dxa"/>
          </w:tcPr>
          <w:p w14:paraId="01A9274E">
            <w:pPr>
              <w:pStyle w:val="27"/>
              <w:spacing w:line="360" w:lineRule="auto"/>
              <w:rPr>
                <w:color w:val="auto"/>
                <w:sz w:val="22"/>
                <w:highlight w:val="none"/>
              </w:rPr>
            </w:pPr>
          </w:p>
        </w:tc>
        <w:tc>
          <w:tcPr>
            <w:tcW w:w="1500" w:type="dxa"/>
          </w:tcPr>
          <w:p w14:paraId="4A229FF2">
            <w:pPr>
              <w:pStyle w:val="27"/>
              <w:spacing w:line="360" w:lineRule="auto"/>
              <w:rPr>
                <w:color w:val="auto"/>
                <w:sz w:val="22"/>
                <w:highlight w:val="none"/>
              </w:rPr>
            </w:pPr>
          </w:p>
        </w:tc>
      </w:tr>
      <w:tr w14:paraId="29ECA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461A6B92">
            <w:pPr>
              <w:pStyle w:val="27"/>
              <w:spacing w:before="160" w:line="360" w:lineRule="auto"/>
              <w:ind w:left="15"/>
              <w:jc w:val="center"/>
              <w:rPr>
                <w:color w:val="auto"/>
                <w:highlight w:val="none"/>
              </w:rPr>
            </w:pPr>
            <w:r>
              <w:rPr>
                <w:color w:val="auto"/>
                <w:highlight w:val="none"/>
              </w:rPr>
              <w:t>2</w:t>
            </w:r>
          </w:p>
        </w:tc>
        <w:tc>
          <w:tcPr>
            <w:tcW w:w="852" w:type="dxa"/>
          </w:tcPr>
          <w:p w14:paraId="18593B1B">
            <w:pPr>
              <w:pStyle w:val="27"/>
              <w:spacing w:line="360" w:lineRule="auto"/>
              <w:rPr>
                <w:color w:val="auto"/>
                <w:sz w:val="22"/>
                <w:highlight w:val="none"/>
              </w:rPr>
            </w:pPr>
          </w:p>
        </w:tc>
        <w:tc>
          <w:tcPr>
            <w:tcW w:w="2148" w:type="dxa"/>
          </w:tcPr>
          <w:p w14:paraId="2C3AB425">
            <w:pPr>
              <w:pStyle w:val="27"/>
              <w:spacing w:line="360" w:lineRule="auto"/>
              <w:rPr>
                <w:color w:val="auto"/>
                <w:sz w:val="22"/>
                <w:highlight w:val="none"/>
              </w:rPr>
            </w:pPr>
          </w:p>
        </w:tc>
        <w:tc>
          <w:tcPr>
            <w:tcW w:w="1635" w:type="dxa"/>
          </w:tcPr>
          <w:p w14:paraId="09241292">
            <w:pPr>
              <w:pStyle w:val="27"/>
              <w:spacing w:line="360" w:lineRule="auto"/>
              <w:rPr>
                <w:color w:val="auto"/>
                <w:sz w:val="22"/>
                <w:highlight w:val="none"/>
              </w:rPr>
            </w:pPr>
          </w:p>
        </w:tc>
        <w:tc>
          <w:tcPr>
            <w:tcW w:w="2320" w:type="dxa"/>
          </w:tcPr>
          <w:p w14:paraId="78D18645">
            <w:pPr>
              <w:pStyle w:val="27"/>
              <w:spacing w:line="360" w:lineRule="auto"/>
              <w:rPr>
                <w:color w:val="auto"/>
                <w:sz w:val="22"/>
                <w:highlight w:val="none"/>
              </w:rPr>
            </w:pPr>
          </w:p>
        </w:tc>
        <w:tc>
          <w:tcPr>
            <w:tcW w:w="1500" w:type="dxa"/>
          </w:tcPr>
          <w:p w14:paraId="7F1358D5">
            <w:pPr>
              <w:pStyle w:val="27"/>
              <w:spacing w:line="360" w:lineRule="auto"/>
              <w:rPr>
                <w:color w:val="auto"/>
                <w:sz w:val="22"/>
                <w:highlight w:val="none"/>
              </w:rPr>
            </w:pPr>
          </w:p>
        </w:tc>
      </w:tr>
      <w:tr w14:paraId="093F3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44BADE78">
            <w:pPr>
              <w:pStyle w:val="27"/>
              <w:spacing w:before="161" w:line="360" w:lineRule="auto"/>
              <w:ind w:left="15"/>
              <w:jc w:val="center"/>
              <w:rPr>
                <w:color w:val="auto"/>
                <w:highlight w:val="none"/>
              </w:rPr>
            </w:pPr>
            <w:r>
              <w:rPr>
                <w:color w:val="auto"/>
                <w:highlight w:val="none"/>
              </w:rPr>
              <w:t>3</w:t>
            </w:r>
          </w:p>
        </w:tc>
        <w:tc>
          <w:tcPr>
            <w:tcW w:w="852" w:type="dxa"/>
          </w:tcPr>
          <w:p w14:paraId="436FD6FE">
            <w:pPr>
              <w:pStyle w:val="27"/>
              <w:spacing w:line="360" w:lineRule="auto"/>
              <w:rPr>
                <w:color w:val="auto"/>
                <w:sz w:val="22"/>
                <w:highlight w:val="none"/>
              </w:rPr>
            </w:pPr>
          </w:p>
        </w:tc>
        <w:tc>
          <w:tcPr>
            <w:tcW w:w="2148" w:type="dxa"/>
          </w:tcPr>
          <w:p w14:paraId="7A78C842">
            <w:pPr>
              <w:pStyle w:val="27"/>
              <w:spacing w:line="360" w:lineRule="auto"/>
              <w:rPr>
                <w:color w:val="auto"/>
                <w:sz w:val="22"/>
                <w:highlight w:val="none"/>
              </w:rPr>
            </w:pPr>
          </w:p>
        </w:tc>
        <w:tc>
          <w:tcPr>
            <w:tcW w:w="1635" w:type="dxa"/>
          </w:tcPr>
          <w:p w14:paraId="6E27E07F">
            <w:pPr>
              <w:pStyle w:val="27"/>
              <w:spacing w:line="360" w:lineRule="auto"/>
              <w:rPr>
                <w:color w:val="auto"/>
                <w:sz w:val="22"/>
                <w:highlight w:val="none"/>
              </w:rPr>
            </w:pPr>
          </w:p>
        </w:tc>
        <w:tc>
          <w:tcPr>
            <w:tcW w:w="2320" w:type="dxa"/>
          </w:tcPr>
          <w:p w14:paraId="4237CAED">
            <w:pPr>
              <w:pStyle w:val="27"/>
              <w:spacing w:line="360" w:lineRule="auto"/>
              <w:rPr>
                <w:color w:val="auto"/>
                <w:sz w:val="22"/>
                <w:highlight w:val="none"/>
              </w:rPr>
            </w:pPr>
          </w:p>
        </w:tc>
        <w:tc>
          <w:tcPr>
            <w:tcW w:w="1500" w:type="dxa"/>
          </w:tcPr>
          <w:p w14:paraId="65F312F2">
            <w:pPr>
              <w:pStyle w:val="27"/>
              <w:spacing w:line="360" w:lineRule="auto"/>
              <w:rPr>
                <w:color w:val="auto"/>
                <w:sz w:val="22"/>
                <w:highlight w:val="none"/>
              </w:rPr>
            </w:pPr>
          </w:p>
        </w:tc>
      </w:tr>
      <w:tr w14:paraId="6A551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14:paraId="0D148E8D">
            <w:pPr>
              <w:pStyle w:val="27"/>
              <w:spacing w:before="161" w:line="360" w:lineRule="auto"/>
              <w:ind w:left="15"/>
              <w:jc w:val="center"/>
              <w:rPr>
                <w:color w:val="auto"/>
                <w:highlight w:val="none"/>
              </w:rPr>
            </w:pPr>
            <w:r>
              <w:rPr>
                <w:color w:val="auto"/>
                <w:highlight w:val="none"/>
              </w:rPr>
              <w:t>4</w:t>
            </w:r>
          </w:p>
        </w:tc>
        <w:tc>
          <w:tcPr>
            <w:tcW w:w="852" w:type="dxa"/>
          </w:tcPr>
          <w:p w14:paraId="72637439">
            <w:pPr>
              <w:pStyle w:val="27"/>
              <w:spacing w:line="360" w:lineRule="auto"/>
              <w:rPr>
                <w:color w:val="auto"/>
                <w:sz w:val="22"/>
                <w:highlight w:val="none"/>
              </w:rPr>
            </w:pPr>
          </w:p>
        </w:tc>
        <w:tc>
          <w:tcPr>
            <w:tcW w:w="2148" w:type="dxa"/>
          </w:tcPr>
          <w:p w14:paraId="02F61837">
            <w:pPr>
              <w:pStyle w:val="27"/>
              <w:spacing w:line="360" w:lineRule="auto"/>
              <w:rPr>
                <w:color w:val="auto"/>
                <w:sz w:val="22"/>
                <w:highlight w:val="none"/>
              </w:rPr>
            </w:pPr>
          </w:p>
        </w:tc>
        <w:tc>
          <w:tcPr>
            <w:tcW w:w="1635" w:type="dxa"/>
          </w:tcPr>
          <w:p w14:paraId="7122494D">
            <w:pPr>
              <w:pStyle w:val="27"/>
              <w:spacing w:line="360" w:lineRule="auto"/>
              <w:rPr>
                <w:color w:val="auto"/>
                <w:sz w:val="22"/>
                <w:highlight w:val="none"/>
              </w:rPr>
            </w:pPr>
          </w:p>
        </w:tc>
        <w:tc>
          <w:tcPr>
            <w:tcW w:w="2320" w:type="dxa"/>
          </w:tcPr>
          <w:p w14:paraId="043DC73E">
            <w:pPr>
              <w:pStyle w:val="27"/>
              <w:spacing w:line="360" w:lineRule="auto"/>
              <w:rPr>
                <w:color w:val="auto"/>
                <w:sz w:val="22"/>
                <w:highlight w:val="none"/>
              </w:rPr>
            </w:pPr>
          </w:p>
        </w:tc>
        <w:tc>
          <w:tcPr>
            <w:tcW w:w="1500" w:type="dxa"/>
          </w:tcPr>
          <w:p w14:paraId="7AA7F180">
            <w:pPr>
              <w:pStyle w:val="27"/>
              <w:spacing w:line="360" w:lineRule="auto"/>
              <w:rPr>
                <w:color w:val="auto"/>
                <w:sz w:val="22"/>
                <w:highlight w:val="none"/>
              </w:rPr>
            </w:pPr>
          </w:p>
        </w:tc>
      </w:tr>
      <w:tr w14:paraId="0C07E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14:paraId="72150AE5">
            <w:pPr>
              <w:pStyle w:val="27"/>
              <w:spacing w:before="162" w:line="360" w:lineRule="auto"/>
              <w:ind w:left="15"/>
              <w:jc w:val="center"/>
              <w:rPr>
                <w:color w:val="auto"/>
                <w:highlight w:val="none"/>
              </w:rPr>
            </w:pPr>
            <w:r>
              <w:rPr>
                <w:color w:val="auto"/>
                <w:highlight w:val="none"/>
              </w:rPr>
              <w:t>5</w:t>
            </w:r>
          </w:p>
        </w:tc>
        <w:tc>
          <w:tcPr>
            <w:tcW w:w="852" w:type="dxa"/>
          </w:tcPr>
          <w:p w14:paraId="03A6D46F">
            <w:pPr>
              <w:pStyle w:val="27"/>
              <w:spacing w:line="360" w:lineRule="auto"/>
              <w:rPr>
                <w:color w:val="auto"/>
                <w:sz w:val="22"/>
                <w:highlight w:val="none"/>
              </w:rPr>
            </w:pPr>
          </w:p>
        </w:tc>
        <w:tc>
          <w:tcPr>
            <w:tcW w:w="2148" w:type="dxa"/>
          </w:tcPr>
          <w:p w14:paraId="25290C31">
            <w:pPr>
              <w:pStyle w:val="27"/>
              <w:spacing w:line="360" w:lineRule="auto"/>
              <w:rPr>
                <w:color w:val="auto"/>
                <w:sz w:val="22"/>
                <w:highlight w:val="none"/>
              </w:rPr>
            </w:pPr>
          </w:p>
        </w:tc>
        <w:tc>
          <w:tcPr>
            <w:tcW w:w="1635" w:type="dxa"/>
          </w:tcPr>
          <w:p w14:paraId="6F45EB70">
            <w:pPr>
              <w:pStyle w:val="27"/>
              <w:spacing w:line="360" w:lineRule="auto"/>
              <w:rPr>
                <w:color w:val="auto"/>
                <w:sz w:val="22"/>
                <w:highlight w:val="none"/>
              </w:rPr>
            </w:pPr>
          </w:p>
        </w:tc>
        <w:tc>
          <w:tcPr>
            <w:tcW w:w="2320" w:type="dxa"/>
          </w:tcPr>
          <w:p w14:paraId="352AAEE7">
            <w:pPr>
              <w:pStyle w:val="27"/>
              <w:spacing w:line="360" w:lineRule="auto"/>
              <w:rPr>
                <w:color w:val="auto"/>
                <w:sz w:val="22"/>
                <w:highlight w:val="none"/>
              </w:rPr>
            </w:pPr>
          </w:p>
        </w:tc>
        <w:tc>
          <w:tcPr>
            <w:tcW w:w="1500" w:type="dxa"/>
          </w:tcPr>
          <w:p w14:paraId="0E911E24">
            <w:pPr>
              <w:pStyle w:val="27"/>
              <w:spacing w:line="360" w:lineRule="auto"/>
              <w:rPr>
                <w:color w:val="auto"/>
                <w:sz w:val="22"/>
                <w:highlight w:val="none"/>
              </w:rPr>
            </w:pPr>
          </w:p>
        </w:tc>
      </w:tr>
      <w:tr w14:paraId="76BC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184BC4BE">
            <w:pPr>
              <w:pStyle w:val="27"/>
              <w:spacing w:before="162" w:line="360" w:lineRule="auto"/>
              <w:ind w:left="241" w:right="226"/>
              <w:jc w:val="center"/>
              <w:rPr>
                <w:color w:val="auto"/>
                <w:highlight w:val="none"/>
              </w:rPr>
            </w:pPr>
            <w:r>
              <w:rPr>
                <w:color w:val="auto"/>
                <w:highlight w:val="none"/>
              </w:rPr>
              <w:t>...</w:t>
            </w:r>
          </w:p>
        </w:tc>
        <w:tc>
          <w:tcPr>
            <w:tcW w:w="852" w:type="dxa"/>
          </w:tcPr>
          <w:p w14:paraId="3EB5366A">
            <w:pPr>
              <w:pStyle w:val="27"/>
              <w:spacing w:line="360" w:lineRule="auto"/>
              <w:rPr>
                <w:color w:val="auto"/>
                <w:sz w:val="22"/>
                <w:highlight w:val="none"/>
              </w:rPr>
            </w:pPr>
          </w:p>
        </w:tc>
        <w:tc>
          <w:tcPr>
            <w:tcW w:w="2148" w:type="dxa"/>
          </w:tcPr>
          <w:p w14:paraId="2DDC5572">
            <w:pPr>
              <w:pStyle w:val="27"/>
              <w:spacing w:line="360" w:lineRule="auto"/>
              <w:rPr>
                <w:color w:val="auto"/>
                <w:sz w:val="22"/>
                <w:highlight w:val="none"/>
              </w:rPr>
            </w:pPr>
          </w:p>
        </w:tc>
        <w:tc>
          <w:tcPr>
            <w:tcW w:w="1635" w:type="dxa"/>
          </w:tcPr>
          <w:p w14:paraId="2C28BC9F">
            <w:pPr>
              <w:pStyle w:val="27"/>
              <w:spacing w:line="360" w:lineRule="auto"/>
              <w:rPr>
                <w:color w:val="auto"/>
                <w:sz w:val="22"/>
                <w:highlight w:val="none"/>
              </w:rPr>
            </w:pPr>
          </w:p>
        </w:tc>
        <w:tc>
          <w:tcPr>
            <w:tcW w:w="2320" w:type="dxa"/>
          </w:tcPr>
          <w:p w14:paraId="2F182487">
            <w:pPr>
              <w:pStyle w:val="27"/>
              <w:spacing w:line="360" w:lineRule="auto"/>
              <w:rPr>
                <w:color w:val="auto"/>
                <w:sz w:val="22"/>
                <w:highlight w:val="none"/>
              </w:rPr>
            </w:pPr>
          </w:p>
        </w:tc>
        <w:tc>
          <w:tcPr>
            <w:tcW w:w="1500" w:type="dxa"/>
          </w:tcPr>
          <w:p w14:paraId="6286C4BD">
            <w:pPr>
              <w:pStyle w:val="27"/>
              <w:spacing w:line="360" w:lineRule="auto"/>
              <w:rPr>
                <w:color w:val="auto"/>
                <w:sz w:val="22"/>
                <w:highlight w:val="none"/>
              </w:rPr>
            </w:pPr>
          </w:p>
        </w:tc>
      </w:tr>
    </w:tbl>
    <w:p w14:paraId="2DC9DC58">
      <w:pPr>
        <w:pStyle w:val="7"/>
        <w:spacing w:line="360" w:lineRule="auto"/>
        <w:rPr>
          <w:b/>
          <w:color w:val="auto"/>
          <w:highlight w:val="none"/>
        </w:rPr>
      </w:pPr>
    </w:p>
    <w:p w14:paraId="7E873B45">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14:paraId="5A347ED9">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14:paraId="69E2930A">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14:paraId="7244D9AE">
      <w:pPr>
        <w:pStyle w:val="7"/>
        <w:spacing w:line="360" w:lineRule="auto"/>
        <w:rPr>
          <w:color w:val="auto"/>
          <w:sz w:val="20"/>
          <w:highlight w:val="none"/>
        </w:rPr>
      </w:pPr>
    </w:p>
    <w:p w14:paraId="301BE39A">
      <w:pPr>
        <w:pStyle w:val="25"/>
        <w:spacing w:line="360" w:lineRule="auto"/>
        <w:rPr>
          <w:color w:val="auto"/>
          <w:sz w:val="20"/>
          <w:highlight w:val="none"/>
        </w:rPr>
      </w:pPr>
    </w:p>
    <w:p w14:paraId="174063F2">
      <w:pPr>
        <w:rPr>
          <w:color w:val="auto"/>
          <w:sz w:val="20"/>
          <w:highlight w:val="none"/>
        </w:rPr>
      </w:pPr>
    </w:p>
    <w:p w14:paraId="4D66767D">
      <w:pPr>
        <w:rPr>
          <w:color w:val="auto"/>
          <w:sz w:val="20"/>
          <w:highlight w:val="none"/>
        </w:rPr>
      </w:pPr>
    </w:p>
    <w:p w14:paraId="72B6BBD3">
      <w:pPr>
        <w:rPr>
          <w:color w:val="auto"/>
          <w:sz w:val="20"/>
          <w:highlight w:val="none"/>
        </w:rPr>
      </w:pPr>
    </w:p>
    <w:p w14:paraId="24E89E97">
      <w:pPr>
        <w:rPr>
          <w:color w:val="auto"/>
          <w:sz w:val="20"/>
          <w:highlight w:val="none"/>
        </w:rPr>
      </w:pPr>
    </w:p>
    <w:p w14:paraId="4F726361">
      <w:pPr>
        <w:spacing w:line="360" w:lineRule="auto"/>
        <w:rPr>
          <w:color w:val="auto"/>
          <w:sz w:val="20"/>
          <w:highlight w:val="none"/>
        </w:rPr>
      </w:pPr>
    </w:p>
    <w:p w14:paraId="0464D2A8">
      <w:pPr>
        <w:pStyle w:val="20"/>
        <w:spacing w:line="360" w:lineRule="auto"/>
        <w:ind w:firstLine="0"/>
        <w:rPr>
          <w:color w:val="auto"/>
          <w:sz w:val="20"/>
          <w:highlight w:val="none"/>
        </w:rPr>
      </w:pPr>
    </w:p>
    <w:p w14:paraId="7383C187">
      <w:pPr>
        <w:pStyle w:val="30"/>
        <w:numPr>
          <w:ilvl w:val="0"/>
          <w:numId w:val="0"/>
        </w:numPr>
        <w:tabs>
          <w:tab w:val="left" w:pos="580"/>
        </w:tabs>
        <w:spacing w:before="215" w:line="360" w:lineRule="auto"/>
        <w:ind w:left="335" w:leftChars="0"/>
        <w:jc w:val="center"/>
        <w:rPr>
          <w:b/>
          <w:color w:val="auto"/>
          <w:sz w:val="24"/>
          <w:highlight w:val="none"/>
        </w:rPr>
      </w:pPr>
      <w:r>
        <w:rPr>
          <w:rFonts w:hint="eastAsia"/>
          <w:b/>
          <w:color w:val="auto"/>
          <w:sz w:val="24"/>
          <w:highlight w:val="none"/>
          <w:lang w:val="en-US" w:eastAsia="zh-CN"/>
        </w:rPr>
        <w:t>2.</w:t>
      </w:r>
      <w:r>
        <w:rPr>
          <w:rFonts w:hint="eastAsia"/>
          <w:b/>
          <w:color w:val="auto"/>
          <w:sz w:val="24"/>
          <w:highlight w:val="none"/>
        </w:rPr>
        <w:t>不带标注符号项技术参数偏差表</w:t>
      </w:r>
    </w:p>
    <w:p w14:paraId="16D3E646">
      <w:pPr>
        <w:pStyle w:val="7"/>
        <w:spacing w:before="5" w:line="360" w:lineRule="auto"/>
        <w:rPr>
          <w:b/>
          <w:color w:val="auto"/>
          <w:sz w:val="12"/>
          <w:highlight w:val="none"/>
        </w:rPr>
      </w:pP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991"/>
        <w:gridCol w:w="2478"/>
        <w:gridCol w:w="2230"/>
        <w:gridCol w:w="908"/>
        <w:gridCol w:w="962"/>
      </w:tblGrid>
      <w:tr w14:paraId="0102F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6" w:type="pct"/>
            <w:vAlign w:val="center"/>
          </w:tcPr>
          <w:p w14:paraId="54889A1E">
            <w:pPr>
              <w:pStyle w:val="27"/>
              <w:spacing w:before="4" w:line="360" w:lineRule="auto"/>
              <w:jc w:val="center"/>
              <w:rPr>
                <w:b/>
                <w:color w:val="auto"/>
                <w:sz w:val="18"/>
                <w:highlight w:val="none"/>
              </w:rPr>
            </w:pPr>
          </w:p>
          <w:p w14:paraId="7AB2CFA6">
            <w:pPr>
              <w:pStyle w:val="27"/>
              <w:spacing w:line="360" w:lineRule="auto"/>
              <w:ind w:right="226" w:firstLine="114" w:firstLineChars="50"/>
              <w:jc w:val="center"/>
              <w:rPr>
                <w:b/>
                <w:color w:val="auto"/>
                <w:highlight w:val="none"/>
              </w:rPr>
            </w:pPr>
            <w:r>
              <w:rPr>
                <w:b/>
                <w:color w:val="auto"/>
                <w:w w:val="95"/>
                <w:highlight w:val="none"/>
              </w:rPr>
              <w:t xml:space="preserve"> </w:t>
            </w:r>
            <w:r>
              <w:rPr>
                <w:rFonts w:hint="eastAsia"/>
                <w:b/>
                <w:color w:val="auto"/>
                <w:w w:val="95"/>
                <w:highlight w:val="none"/>
              </w:rPr>
              <w:t>序号</w:t>
            </w:r>
          </w:p>
        </w:tc>
        <w:tc>
          <w:tcPr>
            <w:tcW w:w="596" w:type="pct"/>
            <w:vAlign w:val="center"/>
          </w:tcPr>
          <w:p w14:paraId="472AF863">
            <w:pPr>
              <w:pStyle w:val="27"/>
              <w:spacing w:before="158" w:line="360" w:lineRule="auto"/>
              <w:ind w:left="22"/>
              <w:jc w:val="center"/>
              <w:rPr>
                <w:b/>
                <w:color w:val="auto"/>
                <w:highlight w:val="none"/>
              </w:rPr>
            </w:pPr>
            <w:r>
              <w:rPr>
                <w:rFonts w:hint="eastAsia"/>
                <w:b/>
                <w:color w:val="auto"/>
                <w:w w:val="99"/>
                <w:highlight w:val="none"/>
              </w:rPr>
              <w:t>货物名称</w:t>
            </w:r>
          </w:p>
        </w:tc>
        <w:tc>
          <w:tcPr>
            <w:tcW w:w="1490" w:type="pct"/>
            <w:vAlign w:val="center"/>
          </w:tcPr>
          <w:p w14:paraId="1A426F72">
            <w:pPr>
              <w:pStyle w:val="27"/>
              <w:spacing w:before="2" w:line="360" w:lineRule="auto"/>
              <w:ind w:left="219" w:right="192"/>
              <w:rPr>
                <w:b/>
                <w:color w:val="auto"/>
                <w:highlight w:val="none"/>
              </w:rPr>
            </w:pPr>
            <w:r>
              <w:rPr>
                <w:rFonts w:hint="eastAsia"/>
                <w:b/>
                <w:color w:val="auto"/>
                <w:highlight w:val="none"/>
              </w:rPr>
              <w:t>招标文件要求的技术参数</w:t>
            </w:r>
          </w:p>
        </w:tc>
        <w:tc>
          <w:tcPr>
            <w:tcW w:w="1341" w:type="pct"/>
            <w:vAlign w:val="center"/>
          </w:tcPr>
          <w:p w14:paraId="24E65F58">
            <w:pPr>
              <w:pStyle w:val="27"/>
              <w:spacing w:before="2" w:line="360" w:lineRule="auto"/>
              <w:ind w:left="14"/>
              <w:jc w:val="center"/>
              <w:rPr>
                <w:b/>
                <w:color w:val="auto"/>
                <w:highlight w:val="none"/>
              </w:rPr>
            </w:pPr>
            <w:r>
              <w:rPr>
                <w:rFonts w:hint="eastAsia"/>
                <w:b/>
                <w:color w:val="auto"/>
                <w:highlight w:val="none"/>
              </w:rPr>
              <w:t>投标文件所附的技术参数</w:t>
            </w:r>
          </w:p>
        </w:tc>
        <w:tc>
          <w:tcPr>
            <w:tcW w:w="546" w:type="pct"/>
            <w:vAlign w:val="center"/>
          </w:tcPr>
          <w:p w14:paraId="1B0F7187">
            <w:pPr>
              <w:pStyle w:val="27"/>
              <w:spacing w:before="158" w:line="360" w:lineRule="auto"/>
              <w:ind w:right="147"/>
              <w:jc w:val="center"/>
              <w:rPr>
                <w:b/>
                <w:color w:val="auto"/>
                <w:highlight w:val="none"/>
              </w:rPr>
            </w:pPr>
            <w:r>
              <w:rPr>
                <w:rFonts w:hint="eastAsia"/>
                <w:b/>
                <w:color w:val="auto"/>
                <w:highlight w:val="none"/>
              </w:rPr>
              <w:t>偏差情况</w:t>
            </w:r>
          </w:p>
        </w:tc>
        <w:tc>
          <w:tcPr>
            <w:tcW w:w="578" w:type="pct"/>
            <w:vAlign w:val="center"/>
          </w:tcPr>
          <w:p w14:paraId="60C9BEAC">
            <w:pPr>
              <w:pStyle w:val="27"/>
              <w:spacing w:before="4" w:line="360" w:lineRule="auto"/>
              <w:jc w:val="center"/>
              <w:rPr>
                <w:b/>
                <w:color w:val="auto"/>
                <w:sz w:val="18"/>
                <w:highlight w:val="none"/>
              </w:rPr>
            </w:pPr>
          </w:p>
          <w:p w14:paraId="03F93183">
            <w:pPr>
              <w:pStyle w:val="27"/>
              <w:spacing w:line="360" w:lineRule="auto"/>
              <w:ind w:left="30"/>
              <w:jc w:val="center"/>
              <w:rPr>
                <w:b/>
                <w:color w:val="auto"/>
                <w:highlight w:val="none"/>
              </w:rPr>
            </w:pPr>
            <w:r>
              <w:rPr>
                <w:rFonts w:hint="eastAsia"/>
                <w:b/>
                <w:color w:val="auto"/>
                <w:highlight w:val="none"/>
              </w:rPr>
              <w:t>偏离说明</w:t>
            </w:r>
          </w:p>
        </w:tc>
      </w:tr>
      <w:tr w14:paraId="65EE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6" w:type="pct"/>
          </w:tcPr>
          <w:p w14:paraId="32E5AF3E">
            <w:pPr>
              <w:pStyle w:val="27"/>
              <w:spacing w:before="162" w:line="360" w:lineRule="auto"/>
              <w:ind w:left="15"/>
              <w:jc w:val="center"/>
              <w:rPr>
                <w:color w:val="auto"/>
                <w:highlight w:val="none"/>
              </w:rPr>
            </w:pPr>
            <w:r>
              <w:rPr>
                <w:color w:val="auto"/>
                <w:highlight w:val="none"/>
              </w:rPr>
              <w:t>1</w:t>
            </w:r>
          </w:p>
        </w:tc>
        <w:tc>
          <w:tcPr>
            <w:tcW w:w="596" w:type="pct"/>
          </w:tcPr>
          <w:p w14:paraId="37BA992D">
            <w:pPr>
              <w:pStyle w:val="27"/>
              <w:spacing w:line="360" w:lineRule="auto"/>
              <w:rPr>
                <w:color w:val="auto"/>
                <w:sz w:val="22"/>
                <w:highlight w:val="none"/>
              </w:rPr>
            </w:pPr>
          </w:p>
        </w:tc>
        <w:tc>
          <w:tcPr>
            <w:tcW w:w="1490" w:type="pct"/>
          </w:tcPr>
          <w:p w14:paraId="6FC3F908">
            <w:pPr>
              <w:pStyle w:val="27"/>
              <w:spacing w:line="360" w:lineRule="auto"/>
              <w:rPr>
                <w:color w:val="auto"/>
                <w:sz w:val="22"/>
                <w:highlight w:val="none"/>
              </w:rPr>
            </w:pPr>
          </w:p>
        </w:tc>
        <w:tc>
          <w:tcPr>
            <w:tcW w:w="1341" w:type="pct"/>
          </w:tcPr>
          <w:p w14:paraId="5B215357">
            <w:pPr>
              <w:pStyle w:val="27"/>
              <w:spacing w:line="360" w:lineRule="auto"/>
              <w:rPr>
                <w:color w:val="auto"/>
                <w:sz w:val="22"/>
                <w:highlight w:val="none"/>
              </w:rPr>
            </w:pPr>
          </w:p>
        </w:tc>
        <w:tc>
          <w:tcPr>
            <w:tcW w:w="546" w:type="pct"/>
          </w:tcPr>
          <w:p w14:paraId="1E974143">
            <w:pPr>
              <w:pStyle w:val="27"/>
              <w:spacing w:line="360" w:lineRule="auto"/>
              <w:rPr>
                <w:color w:val="auto"/>
                <w:sz w:val="22"/>
                <w:highlight w:val="none"/>
              </w:rPr>
            </w:pPr>
          </w:p>
        </w:tc>
        <w:tc>
          <w:tcPr>
            <w:tcW w:w="578" w:type="pct"/>
          </w:tcPr>
          <w:p w14:paraId="4328A6E4">
            <w:pPr>
              <w:pStyle w:val="27"/>
              <w:spacing w:line="360" w:lineRule="auto"/>
              <w:rPr>
                <w:color w:val="auto"/>
                <w:sz w:val="22"/>
                <w:highlight w:val="none"/>
              </w:rPr>
            </w:pPr>
          </w:p>
        </w:tc>
      </w:tr>
      <w:tr w14:paraId="49D34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46" w:type="pct"/>
          </w:tcPr>
          <w:p w14:paraId="6DBF06C2">
            <w:pPr>
              <w:pStyle w:val="27"/>
              <w:spacing w:before="162" w:line="360" w:lineRule="auto"/>
              <w:ind w:left="15"/>
              <w:jc w:val="center"/>
              <w:rPr>
                <w:color w:val="auto"/>
                <w:highlight w:val="none"/>
              </w:rPr>
            </w:pPr>
            <w:r>
              <w:rPr>
                <w:color w:val="auto"/>
                <w:highlight w:val="none"/>
              </w:rPr>
              <w:t>2</w:t>
            </w:r>
          </w:p>
        </w:tc>
        <w:tc>
          <w:tcPr>
            <w:tcW w:w="596" w:type="pct"/>
          </w:tcPr>
          <w:p w14:paraId="6DAAF8C6">
            <w:pPr>
              <w:pStyle w:val="27"/>
              <w:spacing w:line="360" w:lineRule="auto"/>
              <w:rPr>
                <w:color w:val="auto"/>
                <w:sz w:val="22"/>
                <w:highlight w:val="none"/>
              </w:rPr>
            </w:pPr>
          </w:p>
        </w:tc>
        <w:tc>
          <w:tcPr>
            <w:tcW w:w="1490" w:type="pct"/>
          </w:tcPr>
          <w:p w14:paraId="1A3D37AC">
            <w:pPr>
              <w:pStyle w:val="27"/>
              <w:spacing w:line="360" w:lineRule="auto"/>
              <w:rPr>
                <w:color w:val="auto"/>
                <w:sz w:val="22"/>
                <w:highlight w:val="none"/>
              </w:rPr>
            </w:pPr>
          </w:p>
        </w:tc>
        <w:tc>
          <w:tcPr>
            <w:tcW w:w="1341" w:type="pct"/>
          </w:tcPr>
          <w:p w14:paraId="1ED22C0C">
            <w:pPr>
              <w:pStyle w:val="27"/>
              <w:spacing w:line="360" w:lineRule="auto"/>
              <w:rPr>
                <w:color w:val="auto"/>
                <w:sz w:val="22"/>
                <w:highlight w:val="none"/>
              </w:rPr>
            </w:pPr>
          </w:p>
        </w:tc>
        <w:tc>
          <w:tcPr>
            <w:tcW w:w="546" w:type="pct"/>
          </w:tcPr>
          <w:p w14:paraId="116D2CEF">
            <w:pPr>
              <w:pStyle w:val="27"/>
              <w:spacing w:line="360" w:lineRule="auto"/>
              <w:rPr>
                <w:color w:val="auto"/>
                <w:sz w:val="22"/>
                <w:highlight w:val="none"/>
              </w:rPr>
            </w:pPr>
          </w:p>
        </w:tc>
        <w:tc>
          <w:tcPr>
            <w:tcW w:w="578" w:type="pct"/>
          </w:tcPr>
          <w:p w14:paraId="69B4378C">
            <w:pPr>
              <w:pStyle w:val="27"/>
              <w:spacing w:line="360" w:lineRule="auto"/>
              <w:rPr>
                <w:color w:val="auto"/>
                <w:sz w:val="22"/>
                <w:highlight w:val="none"/>
              </w:rPr>
            </w:pPr>
          </w:p>
        </w:tc>
      </w:tr>
      <w:tr w14:paraId="3798C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0A9CBC30">
            <w:pPr>
              <w:pStyle w:val="27"/>
              <w:spacing w:before="161" w:line="360" w:lineRule="auto"/>
              <w:ind w:left="15"/>
              <w:jc w:val="center"/>
              <w:rPr>
                <w:color w:val="auto"/>
                <w:highlight w:val="none"/>
              </w:rPr>
            </w:pPr>
            <w:r>
              <w:rPr>
                <w:color w:val="auto"/>
                <w:highlight w:val="none"/>
              </w:rPr>
              <w:t>3</w:t>
            </w:r>
          </w:p>
        </w:tc>
        <w:tc>
          <w:tcPr>
            <w:tcW w:w="596" w:type="pct"/>
          </w:tcPr>
          <w:p w14:paraId="33BEBE69">
            <w:pPr>
              <w:pStyle w:val="27"/>
              <w:spacing w:line="360" w:lineRule="auto"/>
              <w:rPr>
                <w:color w:val="auto"/>
                <w:sz w:val="22"/>
                <w:highlight w:val="none"/>
              </w:rPr>
            </w:pPr>
          </w:p>
        </w:tc>
        <w:tc>
          <w:tcPr>
            <w:tcW w:w="1490" w:type="pct"/>
          </w:tcPr>
          <w:p w14:paraId="6743F32F">
            <w:pPr>
              <w:pStyle w:val="27"/>
              <w:spacing w:line="360" w:lineRule="auto"/>
              <w:rPr>
                <w:color w:val="auto"/>
                <w:sz w:val="22"/>
                <w:highlight w:val="none"/>
              </w:rPr>
            </w:pPr>
          </w:p>
        </w:tc>
        <w:tc>
          <w:tcPr>
            <w:tcW w:w="1341" w:type="pct"/>
          </w:tcPr>
          <w:p w14:paraId="12B455EC">
            <w:pPr>
              <w:pStyle w:val="27"/>
              <w:spacing w:line="360" w:lineRule="auto"/>
              <w:rPr>
                <w:color w:val="auto"/>
                <w:sz w:val="22"/>
                <w:highlight w:val="none"/>
              </w:rPr>
            </w:pPr>
          </w:p>
        </w:tc>
        <w:tc>
          <w:tcPr>
            <w:tcW w:w="546" w:type="pct"/>
          </w:tcPr>
          <w:p w14:paraId="33874C0B">
            <w:pPr>
              <w:pStyle w:val="27"/>
              <w:spacing w:line="360" w:lineRule="auto"/>
              <w:rPr>
                <w:color w:val="auto"/>
                <w:sz w:val="22"/>
                <w:highlight w:val="none"/>
              </w:rPr>
            </w:pPr>
          </w:p>
        </w:tc>
        <w:tc>
          <w:tcPr>
            <w:tcW w:w="578" w:type="pct"/>
          </w:tcPr>
          <w:p w14:paraId="1B50CD3D">
            <w:pPr>
              <w:pStyle w:val="27"/>
              <w:spacing w:line="360" w:lineRule="auto"/>
              <w:rPr>
                <w:color w:val="auto"/>
                <w:sz w:val="22"/>
                <w:highlight w:val="none"/>
              </w:rPr>
            </w:pPr>
          </w:p>
        </w:tc>
      </w:tr>
      <w:tr w14:paraId="07F08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6CD8304E">
            <w:pPr>
              <w:pStyle w:val="27"/>
              <w:spacing w:before="161" w:line="360" w:lineRule="auto"/>
              <w:ind w:left="15"/>
              <w:jc w:val="center"/>
              <w:rPr>
                <w:color w:val="auto"/>
                <w:highlight w:val="none"/>
              </w:rPr>
            </w:pPr>
            <w:r>
              <w:rPr>
                <w:color w:val="auto"/>
                <w:highlight w:val="none"/>
              </w:rPr>
              <w:t>4</w:t>
            </w:r>
          </w:p>
        </w:tc>
        <w:tc>
          <w:tcPr>
            <w:tcW w:w="596" w:type="pct"/>
          </w:tcPr>
          <w:p w14:paraId="0BB9213D">
            <w:pPr>
              <w:pStyle w:val="27"/>
              <w:spacing w:line="360" w:lineRule="auto"/>
              <w:rPr>
                <w:color w:val="auto"/>
                <w:sz w:val="22"/>
                <w:highlight w:val="none"/>
              </w:rPr>
            </w:pPr>
          </w:p>
        </w:tc>
        <w:tc>
          <w:tcPr>
            <w:tcW w:w="1490" w:type="pct"/>
          </w:tcPr>
          <w:p w14:paraId="68AB476C">
            <w:pPr>
              <w:pStyle w:val="27"/>
              <w:spacing w:line="360" w:lineRule="auto"/>
              <w:rPr>
                <w:color w:val="auto"/>
                <w:sz w:val="22"/>
                <w:highlight w:val="none"/>
              </w:rPr>
            </w:pPr>
          </w:p>
        </w:tc>
        <w:tc>
          <w:tcPr>
            <w:tcW w:w="1341" w:type="pct"/>
          </w:tcPr>
          <w:p w14:paraId="4EA65864">
            <w:pPr>
              <w:pStyle w:val="27"/>
              <w:spacing w:line="360" w:lineRule="auto"/>
              <w:rPr>
                <w:color w:val="auto"/>
                <w:sz w:val="22"/>
                <w:highlight w:val="none"/>
              </w:rPr>
            </w:pPr>
          </w:p>
        </w:tc>
        <w:tc>
          <w:tcPr>
            <w:tcW w:w="546" w:type="pct"/>
          </w:tcPr>
          <w:p w14:paraId="64CFAF49">
            <w:pPr>
              <w:pStyle w:val="27"/>
              <w:spacing w:line="360" w:lineRule="auto"/>
              <w:rPr>
                <w:color w:val="auto"/>
                <w:sz w:val="22"/>
                <w:highlight w:val="none"/>
              </w:rPr>
            </w:pPr>
          </w:p>
        </w:tc>
        <w:tc>
          <w:tcPr>
            <w:tcW w:w="578" w:type="pct"/>
          </w:tcPr>
          <w:p w14:paraId="5DD5BE0D">
            <w:pPr>
              <w:pStyle w:val="27"/>
              <w:spacing w:line="360" w:lineRule="auto"/>
              <w:rPr>
                <w:color w:val="auto"/>
                <w:sz w:val="22"/>
                <w:highlight w:val="none"/>
              </w:rPr>
            </w:pPr>
          </w:p>
        </w:tc>
      </w:tr>
      <w:tr w14:paraId="7765D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7DAAA596">
            <w:pPr>
              <w:pStyle w:val="27"/>
              <w:spacing w:before="162" w:line="360" w:lineRule="auto"/>
              <w:ind w:left="15"/>
              <w:jc w:val="center"/>
              <w:rPr>
                <w:color w:val="auto"/>
                <w:highlight w:val="none"/>
              </w:rPr>
            </w:pPr>
            <w:r>
              <w:rPr>
                <w:color w:val="auto"/>
                <w:highlight w:val="none"/>
              </w:rPr>
              <w:t>5</w:t>
            </w:r>
          </w:p>
        </w:tc>
        <w:tc>
          <w:tcPr>
            <w:tcW w:w="596" w:type="pct"/>
          </w:tcPr>
          <w:p w14:paraId="0CCC6A38">
            <w:pPr>
              <w:pStyle w:val="27"/>
              <w:spacing w:line="360" w:lineRule="auto"/>
              <w:rPr>
                <w:color w:val="auto"/>
                <w:sz w:val="22"/>
                <w:highlight w:val="none"/>
              </w:rPr>
            </w:pPr>
          </w:p>
        </w:tc>
        <w:tc>
          <w:tcPr>
            <w:tcW w:w="1490" w:type="pct"/>
          </w:tcPr>
          <w:p w14:paraId="65B6D7AA">
            <w:pPr>
              <w:pStyle w:val="27"/>
              <w:spacing w:line="360" w:lineRule="auto"/>
              <w:rPr>
                <w:color w:val="auto"/>
                <w:sz w:val="22"/>
                <w:highlight w:val="none"/>
              </w:rPr>
            </w:pPr>
          </w:p>
        </w:tc>
        <w:tc>
          <w:tcPr>
            <w:tcW w:w="1341" w:type="pct"/>
          </w:tcPr>
          <w:p w14:paraId="716C6AB0">
            <w:pPr>
              <w:pStyle w:val="27"/>
              <w:spacing w:line="360" w:lineRule="auto"/>
              <w:rPr>
                <w:color w:val="auto"/>
                <w:sz w:val="22"/>
                <w:highlight w:val="none"/>
              </w:rPr>
            </w:pPr>
          </w:p>
        </w:tc>
        <w:tc>
          <w:tcPr>
            <w:tcW w:w="546" w:type="pct"/>
          </w:tcPr>
          <w:p w14:paraId="431FEB73">
            <w:pPr>
              <w:pStyle w:val="27"/>
              <w:spacing w:line="360" w:lineRule="auto"/>
              <w:rPr>
                <w:color w:val="auto"/>
                <w:sz w:val="22"/>
                <w:highlight w:val="none"/>
              </w:rPr>
            </w:pPr>
          </w:p>
        </w:tc>
        <w:tc>
          <w:tcPr>
            <w:tcW w:w="578" w:type="pct"/>
          </w:tcPr>
          <w:p w14:paraId="20CBC19F">
            <w:pPr>
              <w:pStyle w:val="27"/>
              <w:spacing w:line="360" w:lineRule="auto"/>
              <w:rPr>
                <w:color w:val="auto"/>
                <w:sz w:val="22"/>
                <w:highlight w:val="none"/>
              </w:rPr>
            </w:pPr>
          </w:p>
        </w:tc>
      </w:tr>
      <w:tr w14:paraId="4E91E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18A02F9F">
            <w:pPr>
              <w:pStyle w:val="27"/>
              <w:spacing w:before="162" w:line="360" w:lineRule="auto"/>
              <w:ind w:left="241" w:right="226"/>
              <w:jc w:val="center"/>
              <w:rPr>
                <w:color w:val="auto"/>
                <w:highlight w:val="none"/>
              </w:rPr>
            </w:pPr>
            <w:r>
              <w:rPr>
                <w:color w:val="auto"/>
                <w:highlight w:val="none"/>
              </w:rPr>
              <w:t>...</w:t>
            </w:r>
          </w:p>
        </w:tc>
        <w:tc>
          <w:tcPr>
            <w:tcW w:w="596" w:type="pct"/>
          </w:tcPr>
          <w:p w14:paraId="28D1BCB8">
            <w:pPr>
              <w:pStyle w:val="27"/>
              <w:spacing w:line="360" w:lineRule="auto"/>
              <w:rPr>
                <w:color w:val="auto"/>
                <w:sz w:val="22"/>
                <w:highlight w:val="none"/>
              </w:rPr>
            </w:pPr>
          </w:p>
        </w:tc>
        <w:tc>
          <w:tcPr>
            <w:tcW w:w="1490" w:type="pct"/>
          </w:tcPr>
          <w:p w14:paraId="52E7E554">
            <w:pPr>
              <w:pStyle w:val="27"/>
              <w:spacing w:line="360" w:lineRule="auto"/>
              <w:rPr>
                <w:color w:val="auto"/>
                <w:sz w:val="22"/>
                <w:highlight w:val="none"/>
              </w:rPr>
            </w:pPr>
          </w:p>
        </w:tc>
        <w:tc>
          <w:tcPr>
            <w:tcW w:w="1341" w:type="pct"/>
          </w:tcPr>
          <w:p w14:paraId="1A45DB8E">
            <w:pPr>
              <w:pStyle w:val="27"/>
              <w:spacing w:line="360" w:lineRule="auto"/>
              <w:rPr>
                <w:color w:val="auto"/>
                <w:sz w:val="22"/>
                <w:highlight w:val="none"/>
              </w:rPr>
            </w:pPr>
          </w:p>
        </w:tc>
        <w:tc>
          <w:tcPr>
            <w:tcW w:w="546" w:type="pct"/>
          </w:tcPr>
          <w:p w14:paraId="7CC80F39">
            <w:pPr>
              <w:pStyle w:val="27"/>
              <w:spacing w:line="360" w:lineRule="auto"/>
              <w:rPr>
                <w:color w:val="auto"/>
                <w:sz w:val="22"/>
                <w:highlight w:val="none"/>
              </w:rPr>
            </w:pPr>
          </w:p>
        </w:tc>
        <w:tc>
          <w:tcPr>
            <w:tcW w:w="578" w:type="pct"/>
          </w:tcPr>
          <w:p w14:paraId="3EACC391">
            <w:pPr>
              <w:pStyle w:val="27"/>
              <w:spacing w:line="360" w:lineRule="auto"/>
              <w:rPr>
                <w:color w:val="auto"/>
                <w:sz w:val="22"/>
                <w:highlight w:val="none"/>
              </w:rPr>
            </w:pPr>
          </w:p>
        </w:tc>
      </w:tr>
    </w:tbl>
    <w:p w14:paraId="728AAEE7">
      <w:pPr>
        <w:pStyle w:val="7"/>
        <w:spacing w:line="360" w:lineRule="auto"/>
        <w:rPr>
          <w:b/>
          <w:color w:val="auto"/>
          <w:highlight w:val="none"/>
        </w:rPr>
      </w:pPr>
    </w:p>
    <w:p w14:paraId="6A796690">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14:paraId="607603AF">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14:paraId="1E59FB76">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14:paraId="61E03270">
      <w:pPr>
        <w:spacing w:line="360" w:lineRule="auto"/>
        <w:rPr>
          <w:color w:val="auto"/>
          <w:highlight w:val="none"/>
        </w:rPr>
      </w:pPr>
    </w:p>
    <w:p w14:paraId="2C343406">
      <w:pPr>
        <w:pStyle w:val="10"/>
        <w:spacing w:line="360" w:lineRule="auto"/>
        <w:ind w:left="31680" w:right="31680"/>
        <w:rPr>
          <w:color w:val="auto"/>
          <w:highlight w:val="none"/>
        </w:rPr>
      </w:pPr>
    </w:p>
    <w:p w14:paraId="23504304">
      <w:pPr>
        <w:pStyle w:val="10"/>
        <w:spacing w:line="360" w:lineRule="auto"/>
        <w:ind w:left="31680" w:right="31680"/>
        <w:rPr>
          <w:color w:val="auto"/>
          <w:highlight w:val="none"/>
        </w:rPr>
      </w:pPr>
    </w:p>
    <w:p w14:paraId="187E7311">
      <w:pPr>
        <w:pStyle w:val="10"/>
        <w:spacing w:line="360" w:lineRule="auto"/>
        <w:ind w:left="31680" w:right="31680"/>
        <w:rPr>
          <w:color w:val="auto"/>
          <w:highlight w:val="none"/>
        </w:rPr>
      </w:pPr>
    </w:p>
    <w:p w14:paraId="3F6D4F70">
      <w:pPr>
        <w:pStyle w:val="10"/>
        <w:spacing w:line="360" w:lineRule="auto"/>
        <w:ind w:left="31680" w:right="31680"/>
        <w:rPr>
          <w:color w:val="auto"/>
          <w:highlight w:val="none"/>
        </w:rPr>
      </w:pPr>
    </w:p>
    <w:p w14:paraId="550F9825">
      <w:pPr>
        <w:pStyle w:val="10"/>
        <w:spacing w:line="360" w:lineRule="auto"/>
        <w:ind w:left="31680" w:right="31680"/>
        <w:rPr>
          <w:color w:val="auto"/>
          <w:highlight w:val="none"/>
        </w:rPr>
      </w:pPr>
    </w:p>
    <w:p w14:paraId="00249023">
      <w:pPr>
        <w:pStyle w:val="10"/>
        <w:spacing w:line="360" w:lineRule="auto"/>
        <w:ind w:left="31680" w:right="31680"/>
        <w:rPr>
          <w:color w:val="auto"/>
          <w:highlight w:val="none"/>
        </w:rPr>
      </w:pPr>
    </w:p>
    <w:p w14:paraId="168E36BD">
      <w:pPr>
        <w:pStyle w:val="10"/>
        <w:spacing w:line="360" w:lineRule="auto"/>
        <w:ind w:left="31680" w:right="31680"/>
        <w:rPr>
          <w:color w:val="auto"/>
          <w:highlight w:val="none"/>
        </w:rPr>
      </w:pPr>
    </w:p>
    <w:p w14:paraId="5990326E">
      <w:pPr>
        <w:pStyle w:val="4"/>
        <w:jc w:val="center"/>
        <w:rPr>
          <w:color w:val="auto"/>
          <w:sz w:val="24"/>
          <w:szCs w:val="24"/>
          <w:highlight w:val="none"/>
        </w:rPr>
      </w:pPr>
      <w:r>
        <w:rPr>
          <w:rFonts w:hint="eastAsia"/>
          <w:color w:val="auto"/>
          <w:sz w:val="24"/>
          <w:szCs w:val="24"/>
          <w:highlight w:val="none"/>
        </w:rPr>
        <w:t>（二）技术参数证明材料</w:t>
      </w:r>
    </w:p>
    <w:p w14:paraId="12234D70">
      <w:pPr>
        <w:keepNext/>
        <w:keepLines/>
        <w:spacing w:line="360" w:lineRule="auto"/>
        <w:jc w:val="center"/>
        <w:rPr>
          <w:rFonts w:ascii="宋体" w:cs="宋体"/>
          <w:b/>
          <w:bCs/>
          <w:color w:val="auto"/>
          <w:kern w:val="0"/>
          <w:sz w:val="24"/>
          <w:highlight w:val="none"/>
        </w:rPr>
      </w:pPr>
    </w:p>
    <w:p w14:paraId="488AEF1B">
      <w:pPr>
        <w:pStyle w:val="10"/>
        <w:spacing w:line="360" w:lineRule="auto"/>
        <w:ind w:left="31680" w:right="31680"/>
        <w:rPr>
          <w:color w:val="auto"/>
          <w:highlight w:val="none"/>
        </w:rPr>
        <w:sectPr>
          <w:footerReference r:id="rId9" w:type="default"/>
          <w:pgSz w:w="11910" w:h="16840"/>
          <w:pgMar w:top="1440" w:right="1803" w:bottom="1440" w:left="1803" w:header="882" w:footer="964" w:gutter="0"/>
          <w:pgBorders>
            <w:top w:val="none" w:sz="0" w:space="0"/>
            <w:left w:val="none" w:sz="0" w:space="0"/>
            <w:bottom w:val="none" w:sz="0" w:space="0"/>
            <w:right w:val="none" w:sz="0" w:space="0"/>
          </w:pgBorders>
          <w:pgNumType w:fmt="decimal"/>
          <w:cols w:space="720" w:num="1"/>
        </w:sectPr>
      </w:pPr>
    </w:p>
    <w:p w14:paraId="45133E51">
      <w:pPr>
        <w:keepNext/>
        <w:keepLines/>
        <w:spacing w:line="360" w:lineRule="auto"/>
        <w:jc w:val="center"/>
        <w:outlineLvl w:val="2"/>
        <w:rPr>
          <w:rFonts w:ascii="宋体" w:cs="宋体"/>
          <w:b/>
          <w:bCs/>
          <w:color w:val="auto"/>
          <w:kern w:val="0"/>
          <w:sz w:val="32"/>
          <w:szCs w:val="32"/>
          <w:highlight w:val="none"/>
        </w:rPr>
      </w:pPr>
      <w:bookmarkStart w:id="529" w:name="_Toc4947"/>
      <w:bookmarkStart w:id="530" w:name="_Toc22795"/>
      <w:bookmarkStart w:id="531" w:name="_Toc22480"/>
      <w:r>
        <w:rPr>
          <w:rStyle w:val="31"/>
          <w:rFonts w:hint="eastAsia"/>
          <w:color w:val="auto"/>
          <w:highlight w:val="none"/>
        </w:rPr>
        <w:t>（三）备品备件清单报价表</w:t>
      </w:r>
      <w:bookmarkEnd w:id="529"/>
      <w:bookmarkEnd w:id="530"/>
      <w:bookmarkEnd w:id="531"/>
    </w:p>
    <w:p w14:paraId="2004A5D8">
      <w:pPr>
        <w:spacing w:line="360" w:lineRule="auto"/>
        <w:jc w:val="center"/>
        <w:rPr>
          <w:rFonts w:ascii="宋体" w:cs="宋体"/>
          <w:color w:val="auto"/>
          <w:sz w:val="32"/>
          <w:szCs w:val="32"/>
          <w:highlight w:val="none"/>
        </w:rPr>
      </w:pPr>
    </w:p>
    <w:p w14:paraId="4E5D9561">
      <w:pPr>
        <w:adjustRightInd w:val="0"/>
        <w:snapToGrid w:val="0"/>
        <w:spacing w:line="360" w:lineRule="auto"/>
        <w:ind w:right="-82" w:rightChars="-39"/>
        <w:jc w:val="right"/>
        <w:rPr>
          <w:rFonts w:ascii="宋体" w:cs="宋体"/>
          <w:color w:val="auto"/>
          <w:sz w:val="24"/>
          <w:highlight w:val="none"/>
        </w:rPr>
      </w:pPr>
      <w:r>
        <w:rPr>
          <w:rFonts w:hint="eastAsia" w:ascii="宋体" w:hAnsi="宋体" w:cs="宋体"/>
          <w:color w:val="auto"/>
          <w:sz w:val="24"/>
          <w:highlight w:val="none"/>
        </w:rPr>
        <w:t>金额单位：元</w:t>
      </w:r>
    </w:p>
    <w:tbl>
      <w:tblPr>
        <w:tblStyle w:val="22"/>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590"/>
        <w:gridCol w:w="1021"/>
        <w:gridCol w:w="1021"/>
        <w:gridCol w:w="1349"/>
        <w:gridCol w:w="1510"/>
        <w:gridCol w:w="772"/>
      </w:tblGrid>
      <w:tr w14:paraId="47D9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3" w:type="dxa"/>
            <w:vAlign w:val="center"/>
          </w:tcPr>
          <w:p w14:paraId="4D0A26DB">
            <w:pPr>
              <w:spacing w:line="360" w:lineRule="auto"/>
              <w:ind w:left="113" w:right="107"/>
              <w:jc w:val="center"/>
              <w:rPr>
                <w:rFonts w:ascii="宋体" w:cs="宋体"/>
                <w:color w:val="auto"/>
                <w:sz w:val="24"/>
                <w:highlight w:val="none"/>
                <w:lang w:val="zh-CN"/>
              </w:rPr>
            </w:pPr>
            <w:r>
              <w:rPr>
                <w:rFonts w:hint="eastAsia" w:ascii="宋体" w:hAnsi="宋体" w:cs="宋体"/>
                <w:color w:val="auto"/>
                <w:sz w:val="24"/>
                <w:highlight w:val="none"/>
                <w:lang w:val="zh-CN"/>
              </w:rPr>
              <w:t>序号</w:t>
            </w:r>
          </w:p>
        </w:tc>
        <w:tc>
          <w:tcPr>
            <w:tcW w:w="2590" w:type="dxa"/>
            <w:vAlign w:val="center"/>
          </w:tcPr>
          <w:p w14:paraId="23B8EB07">
            <w:pPr>
              <w:tabs>
                <w:tab w:val="left" w:pos="430"/>
              </w:tabs>
              <w:spacing w:line="360" w:lineRule="auto"/>
              <w:ind w:left="10"/>
              <w:jc w:val="center"/>
              <w:rPr>
                <w:rFonts w:ascii="宋体" w:cs="宋体"/>
                <w:color w:val="auto"/>
                <w:sz w:val="24"/>
                <w:highlight w:val="none"/>
                <w:lang w:val="zh-CN"/>
              </w:rPr>
            </w:pPr>
            <w:r>
              <w:rPr>
                <w:rFonts w:hint="eastAsia" w:ascii="宋体" w:hAnsi="宋体" w:cs="宋体"/>
                <w:color w:val="auto"/>
                <w:sz w:val="24"/>
                <w:highlight w:val="none"/>
                <w:lang w:val="zh-CN"/>
              </w:rPr>
              <w:t>名称</w:t>
            </w:r>
          </w:p>
        </w:tc>
        <w:tc>
          <w:tcPr>
            <w:tcW w:w="1021" w:type="dxa"/>
            <w:vAlign w:val="center"/>
          </w:tcPr>
          <w:p w14:paraId="69301B7F">
            <w:pPr>
              <w:spacing w:line="360" w:lineRule="auto"/>
              <w:ind w:left="212"/>
              <w:rPr>
                <w:rFonts w:ascii="宋体" w:cs="宋体"/>
                <w:color w:val="auto"/>
                <w:sz w:val="24"/>
                <w:highlight w:val="none"/>
                <w:lang w:val="zh-CN"/>
              </w:rPr>
            </w:pPr>
            <w:r>
              <w:rPr>
                <w:rFonts w:hint="eastAsia" w:ascii="宋体" w:hAnsi="宋体" w:cs="宋体"/>
                <w:color w:val="auto"/>
                <w:sz w:val="24"/>
                <w:highlight w:val="none"/>
                <w:lang w:val="zh-CN"/>
              </w:rPr>
              <w:t>制造商</w:t>
            </w:r>
          </w:p>
        </w:tc>
        <w:tc>
          <w:tcPr>
            <w:tcW w:w="1021" w:type="dxa"/>
            <w:vAlign w:val="center"/>
          </w:tcPr>
          <w:p w14:paraId="36BE261E">
            <w:pPr>
              <w:spacing w:line="360" w:lineRule="auto"/>
              <w:ind w:left="316"/>
              <w:rPr>
                <w:rFonts w:ascii="宋体" w:cs="宋体"/>
                <w:color w:val="auto"/>
                <w:sz w:val="24"/>
                <w:highlight w:val="none"/>
                <w:lang w:val="zh-CN"/>
              </w:rPr>
            </w:pPr>
            <w:r>
              <w:rPr>
                <w:rFonts w:hint="eastAsia" w:ascii="宋体" w:hAnsi="宋体" w:cs="宋体"/>
                <w:color w:val="auto"/>
                <w:sz w:val="24"/>
                <w:highlight w:val="none"/>
                <w:lang w:val="zh-CN"/>
              </w:rPr>
              <w:t>品牌</w:t>
            </w:r>
          </w:p>
        </w:tc>
        <w:tc>
          <w:tcPr>
            <w:tcW w:w="1349" w:type="dxa"/>
            <w:vAlign w:val="center"/>
          </w:tcPr>
          <w:p w14:paraId="0793B811">
            <w:pPr>
              <w:spacing w:line="360" w:lineRule="auto"/>
              <w:ind w:left="152"/>
              <w:rPr>
                <w:rFonts w:ascii="宋体" w:cs="宋体"/>
                <w:color w:val="auto"/>
                <w:sz w:val="24"/>
                <w:highlight w:val="none"/>
                <w:lang w:val="zh-CN"/>
              </w:rPr>
            </w:pPr>
            <w:r>
              <w:rPr>
                <w:rFonts w:hint="eastAsia" w:ascii="宋体" w:hAnsi="宋体" w:cs="宋体"/>
                <w:color w:val="auto"/>
                <w:sz w:val="24"/>
                <w:highlight w:val="none"/>
                <w:lang w:val="zh-CN"/>
              </w:rPr>
              <w:t>规格型号</w:t>
            </w:r>
          </w:p>
        </w:tc>
        <w:tc>
          <w:tcPr>
            <w:tcW w:w="1510" w:type="dxa"/>
            <w:vAlign w:val="center"/>
          </w:tcPr>
          <w:p w14:paraId="1A0556F4">
            <w:pPr>
              <w:spacing w:line="360" w:lineRule="auto"/>
              <w:ind w:left="106" w:right="-15"/>
              <w:jc w:val="center"/>
              <w:rPr>
                <w:rFonts w:ascii="宋体" w:cs="宋体"/>
                <w:color w:val="auto"/>
                <w:sz w:val="24"/>
                <w:highlight w:val="none"/>
                <w:lang w:val="zh-CN"/>
              </w:rPr>
            </w:pPr>
            <w:r>
              <w:rPr>
                <w:rFonts w:hint="eastAsia" w:ascii="宋体" w:hAnsi="宋体" w:cs="宋体"/>
                <w:color w:val="auto"/>
                <w:spacing w:val="-11"/>
                <w:sz w:val="24"/>
                <w:highlight w:val="none"/>
                <w:lang w:val="zh-CN"/>
              </w:rPr>
              <w:t>单价</w:t>
            </w:r>
          </w:p>
        </w:tc>
        <w:tc>
          <w:tcPr>
            <w:tcW w:w="772" w:type="dxa"/>
            <w:vAlign w:val="center"/>
          </w:tcPr>
          <w:p w14:paraId="71387C4C">
            <w:pPr>
              <w:spacing w:line="360" w:lineRule="auto"/>
              <w:jc w:val="center"/>
              <w:rPr>
                <w:rFonts w:ascii="宋体" w:cs="宋体"/>
                <w:color w:val="auto"/>
                <w:sz w:val="24"/>
                <w:highlight w:val="none"/>
                <w:lang w:val="zh-CN"/>
              </w:rPr>
            </w:pPr>
            <w:r>
              <w:rPr>
                <w:rFonts w:hint="eastAsia" w:ascii="宋体" w:hAnsi="宋体" w:cs="宋体"/>
                <w:color w:val="auto"/>
                <w:sz w:val="24"/>
                <w:highlight w:val="none"/>
                <w:lang w:val="zh-CN"/>
              </w:rPr>
              <w:t>备注</w:t>
            </w:r>
          </w:p>
        </w:tc>
      </w:tr>
      <w:tr w14:paraId="0F5DE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29797B3F">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1</w:t>
            </w:r>
          </w:p>
        </w:tc>
        <w:tc>
          <w:tcPr>
            <w:tcW w:w="2590" w:type="dxa"/>
            <w:vAlign w:val="center"/>
          </w:tcPr>
          <w:p w14:paraId="3397C1A6">
            <w:pPr>
              <w:spacing w:line="360" w:lineRule="auto"/>
              <w:ind w:left="106"/>
              <w:jc w:val="center"/>
              <w:rPr>
                <w:rFonts w:ascii="宋体" w:cs="宋体"/>
                <w:color w:val="auto"/>
                <w:sz w:val="24"/>
                <w:highlight w:val="none"/>
                <w:lang w:val="zh-CN"/>
              </w:rPr>
            </w:pPr>
          </w:p>
        </w:tc>
        <w:tc>
          <w:tcPr>
            <w:tcW w:w="1021" w:type="dxa"/>
            <w:vAlign w:val="center"/>
          </w:tcPr>
          <w:p w14:paraId="031CBEF7">
            <w:pPr>
              <w:spacing w:line="360" w:lineRule="auto"/>
              <w:jc w:val="center"/>
              <w:rPr>
                <w:rFonts w:ascii="宋体" w:cs="宋体"/>
                <w:color w:val="auto"/>
                <w:sz w:val="24"/>
                <w:highlight w:val="none"/>
                <w:lang w:val="zh-CN"/>
              </w:rPr>
            </w:pPr>
          </w:p>
        </w:tc>
        <w:tc>
          <w:tcPr>
            <w:tcW w:w="1021" w:type="dxa"/>
            <w:vAlign w:val="center"/>
          </w:tcPr>
          <w:p w14:paraId="5FB6B415">
            <w:pPr>
              <w:spacing w:line="360" w:lineRule="auto"/>
              <w:jc w:val="center"/>
              <w:rPr>
                <w:rFonts w:ascii="宋体" w:cs="宋体"/>
                <w:color w:val="auto"/>
                <w:sz w:val="24"/>
                <w:highlight w:val="none"/>
                <w:lang w:val="zh-CN"/>
              </w:rPr>
            </w:pPr>
          </w:p>
        </w:tc>
        <w:tc>
          <w:tcPr>
            <w:tcW w:w="1349" w:type="dxa"/>
            <w:vAlign w:val="center"/>
          </w:tcPr>
          <w:p w14:paraId="6523F956">
            <w:pPr>
              <w:spacing w:line="360" w:lineRule="auto"/>
              <w:jc w:val="center"/>
              <w:rPr>
                <w:rFonts w:ascii="宋体" w:cs="宋体"/>
                <w:color w:val="auto"/>
                <w:sz w:val="24"/>
                <w:highlight w:val="none"/>
                <w:lang w:val="zh-CN"/>
              </w:rPr>
            </w:pPr>
          </w:p>
        </w:tc>
        <w:tc>
          <w:tcPr>
            <w:tcW w:w="1510" w:type="dxa"/>
            <w:vAlign w:val="center"/>
          </w:tcPr>
          <w:p w14:paraId="1C525FB2">
            <w:pPr>
              <w:spacing w:line="360" w:lineRule="auto"/>
              <w:jc w:val="center"/>
              <w:rPr>
                <w:rFonts w:ascii="宋体" w:cs="宋体"/>
                <w:color w:val="auto"/>
                <w:sz w:val="24"/>
                <w:highlight w:val="none"/>
                <w:lang w:val="zh-CN"/>
              </w:rPr>
            </w:pPr>
          </w:p>
        </w:tc>
        <w:tc>
          <w:tcPr>
            <w:tcW w:w="772" w:type="dxa"/>
            <w:vAlign w:val="center"/>
          </w:tcPr>
          <w:p w14:paraId="392599B5">
            <w:pPr>
              <w:spacing w:line="360" w:lineRule="auto"/>
              <w:jc w:val="center"/>
              <w:rPr>
                <w:rFonts w:ascii="宋体" w:cs="宋体"/>
                <w:color w:val="auto"/>
                <w:sz w:val="24"/>
                <w:highlight w:val="none"/>
                <w:lang w:val="zh-CN"/>
              </w:rPr>
            </w:pPr>
          </w:p>
        </w:tc>
      </w:tr>
      <w:tr w14:paraId="65121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2A98E8EA">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2</w:t>
            </w:r>
          </w:p>
        </w:tc>
        <w:tc>
          <w:tcPr>
            <w:tcW w:w="2590" w:type="dxa"/>
            <w:vAlign w:val="center"/>
          </w:tcPr>
          <w:p w14:paraId="53330D9E">
            <w:pPr>
              <w:spacing w:line="360" w:lineRule="auto"/>
              <w:ind w:left="106"/>
              <w:jc w:val="center"/>
              <w:rPr>
                <w:rFonts w:ascii="宋体" w:cs="宋体"/>
                <w:color w:val="auto"/>
                <w:sz w:val="24"/>
                <w:highlight w:val="none"/>
                <w:lang w:val="zh-CN"/>
              </w:rPr>
            </w:pPr>
          </w:p>
        </w:tc>
        <w:tc>
          <w:tcPr>
            <w:tcW w:w="1021" w:type="dxa"/>
            <w:vAlign w:val="center"/>
          </w:tcPr>
          <w:p w14:paraId="332C6F82">
            <w:pPr>
              <w:spacing w:line="360" w:lineRule="auto"/>
              <w:jc w:val="center"/>
              <w:rPr>
                <w:rFonts w:ascii="宋体" w:cs="宋体"/>
                <w:color w:val="auto"/>
                <w:sz w:val="24"/>
                <w:highlight w:val="none"/>
                <w:lang w:val="zh-CN"/>
              </w:rPr>
            </w:pPr>
          </w:p>
        </w:tc>
        <w:tc>
          <w:tcPr>
            <w:tcW w:w="1021" w:type="dxa"/>
            <w:vAlign w:val="center"/>
          </w:tcPr>
          <w:p w14:paraId="63C7949E">
            <w:pPr>
              <w:spacing w:line="360" w:lineRule="auto"/>
              <w:jc w:val="center"/>
              <w:rPr>
                <w:rFonts w:ascii="宋体" w:cs="宋体"/>
                <w:color w:val="auto"/>
                <w:sz w:val="24"/>
                <w:highlight w:val="none"/>
                <w:lang w:val="zh-CN"/>
              </w:rPr>
            </w:pPr>
          </w:p>
        </w:tc>
        <w:tc>
          <w:tcPr>
            <w:tcW w:w="1349" w:type="dxa"/>
            <w:vAlign w:val="center"/>
          </w:tcPr>
          <w:p w14:paraId="08EE1142">
            <w:pPr>
              <w:spacing w:line="360" w:lineRule="auto"/>
              <w:jc w:val="center"/>
              <w:rPr>
                <w:rFonts w:ascii="宋体" w:cs="宋体"/>
                <w:color w:val="auto"/>
                <w:sz w:val="24"/>
                <w:highlight w:val="none"/>
                <w:lang w:val="zh-CN"/>
              </w:rPr>
            </w:pPr>
          </w:p>
        </w:tc>
        <w:tc>
          <w:tcPr>
            <w:tcW w:w="1510" w:type="dxa"/>
            <w:vAlign w:val="center"/>
          </w:tcPr>
          <w:p w14:paraId="6E8EC2CA">
            <w:pPr>
              <w:spacing w:line="360" w:lineRule="auto"/>
              <w:jc w:val="center"/>
              <w:rPr>
                <w:rFonts w:ascii="宋体" w:cs="宋体"/>
                <w:color w:val="auto"/>
                <w:sz w:val="24"/>
                <w:highlight w:val="none"/>
                <w:lang w:val="zh-CN"/>
              </w:rPr>
            </w:pPr>
          </w:p>
        </w:tc>
        <w:tc>
          <w:tcPr>
            <w:tcW w:w="772" w:type="dxa"/>
            <w:vAlign w:val="center"/>
          </w:tcPr>
          <w:p w14:paraId="5AD80B21">
            <w:pPr>
              <w:spacing w:line="360" w:lineRule="auto"/>
              <w:jc w:val="center"/>
              <w:rPr>
                <w:rFonts w:ascii="宋体" w:cs="宋体"/>
                <w:color w:val="auto"/>
                <w:sz w:val="24"/>
                <w:highlight w:val="none"/>
                <w:lang w:val="zh-CN"/>
              </w:rPr>
            </w:pPr>
          </w:p>
        </w:tc>
      </w:tr>
      <w:tr w14:paraId="2F6A1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757FD2D0">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3</w:t>
            </w:r>
          </w:p>
        </w:tc>
        <w:tc>
          <w:tcPr>
            <w:tcW w:w="2590" w:type="dxa"/>
            <w:vAlign w:val="center"/>
          </w:tcPr>
          <w:p w14:paraId="06B3E315">
            <w:pPr>
              <w:spacing w:line="360" w:lineRule="auto"/>
              <w:ind w:left="106"/>
              <w:jc w:val="center"/>
              <w:rPr>
                <w:rFonts w:ascii="宋体" w:cs="宋体"/>
                <w:color w:val="auto"/>
                <w:sz w:val="24"/>
                <w:highlight w:val="none"/>
                <w:lang w:val="zh-CN"/>
              </w:rPr>
            </w:pPr>
          </w:p>
        </w:tc>
        <w:tc>
          <w:tcPr>
            <w:tcW w:w="1021" w:type="dxa"/>
            <w:vAlign w:val="center"/>
          </w:tcPr>
          <w:p w14:paraId="192D0442">
            <w:pPr>
              <w:spacing w:line="360" w:lineRule="auto"/>
              <w:jc w:val="center"/>
              <w:rPr>
                <w:rFonts w:ascii="宋体" w:cs="宋体"/>
                <w:color w:val="auto"/>
                <w:sz w:val="24"/>
                <w:highlight w:val="none"/>
                <w:lang w:val="zh-CN"/>
              </w:rPr>
            </w:pPr>
          </w:p>
        </w:tc>
        <w:tc>
          <w:tcPr>
            <w:tcW w:w="1021" w:type="dxa"/>
            <w:vAlign w:val="center"/>
          </w:tcPr>
          <w:p w14:paraId="306752FB">
            <w:pPr>
              <w:spacing w:line="360" w:lineRule="auto"/>
              <w:jc w:val="center"/>
              <w:rPr>
                <w:rFonts w:ascii="宋体" w:cs="宋体"/>
                <w:color w:val="auto"/>
                <w:sz w:val="24"/>
                <w:highlight w:val="none"/>
                <w:lang w:val="zh-CN"/>
              </w:rPr>
            </w:pPr>
          </w:p>
        </w:tc>
        <w:tc>
          <w:tcPr>
            <w:tcW w:w="1349" w:type="dxa"/>
            <w:vAlign w:val="center"/>
          </w:tcPr>
          <w:p w14:paraId="587B1539">
            <w:pPr>
              <w:spacing w:line="360" w:lineRule="auto"/>
              <w:jc w:val="center"/>
              <w:rPr>
                <w:rFonts w:ascii="宋体" w:cs="宋体"/>
                <w:color w:val="auto"/>
                <w:sz w:val="24"/>
                <w:highlight w:val="none"/>
                <w:lang w:val="zh-CN"/>
              </w:rPr>
            </w:pPr>
          </w:p>
        </w:tc>
        <w:tc>
          <w:tcPr>
            <w:tcW w:w="1510" w:type="dxa"/>
            <w:vAlign w:val="center"/>
          </w:tcPr>
          <w:p w14:paraId="3F1D74DF">
            <w:pPr>
              <w:spacing w:line="360" w:lineRule="auto"/>
              <w:jc w:val="center"/>
              <w:rPr>
                <w:rFonts w:ascii="宋体" w:cs="宋体"/>
                <w:color w:val="auto"/>
                <w:sz w:val="24"/>
                <w:highlight w:val="none"/>
                <w:lang w:val="zh-CN"/>
              </w:rPr>
            </w:pPr>
          </w:p>
        </w:tc>
        <w:tc>
          <w:tcPr>
            <w:tcW w:w="772" w:type="dxa"/>
            <w:vAlign w:val="center"/>
          </w:tcPr>
          <w:p w14:paraId="70A7F94F">
            <w:pPr>
              <w:spacing w:line="360" w:lineRule="auto"/>
              <w:jc w:val="center"/>
              <w:rPr>
                <w:rFonts w:ascii="宋体" w:cs="宋体"/>
                <w:color w:val="auto"/>
                <w:sz w:val="24"/>
                <w:highlight w:val="none"/>
                <w:lang w:val="zh-CN"/>
              </w:rPr>
            </w:pPr>
          </w:p>
        </w:tc>
      </w:tr>
      <w:tr w14:paraId="3BA95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00B94067">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4</w:t>
            </w:r>
          </w:p>
        </w:tc>
        <w:tc>
          <w:tcPr>
            <w:tcW w:w="2590" w:type="dxa"/>
            <w:vAlign w:val="center"/>
          </w:tcPr>
          <w:p w14:paraId="3C3CEB3B">
            <w:pPr>
              <w:spacing w:line="360" w:lineRule="auto"/>
              <w:ind w:left="106"/>
              <w:jc w:val="center"/>
              <w:rPr>
                <w:rFonts w:ascii="宋体" w:cs="宋体"/>
                <w:color w:val="auto"/>
                <w:sz w:val="24"/>
                <w:highlight w:val="none"/>
                <w:lang w:val="zh-CN"/>
              </w:rPr>
            </w:pPr>
          </w:p>
        </w:tc>
        <w:tc>
          <w:tcPr>
            <w:tcW w:w="1021" w:type="dxa"/>
            <w:vAlign w:val="center"/>
          </w:tcPr>
          <w:p w14:paraId="3051C570">
            <w:pPr>
              <w:spacing w:line="360" w:lineRule="auto"/>
              <w:jc w:val="center"/>
              <w:rPr>
                <w:rFonts w:ascii="宋体" w:cs="宋体"/>
                <w:color w:val="auto"/>
                <w:sz w:val="24"/>
                <w:highlight w:val="none"/>
                <w:lang w:val="zh-CN"/>
              </w:rPr>
            </w:pPr>
          </w:p>
        </w:tc>
        <w:tc>
          <w:tcPr>
            <w:tcW w:w="1021" w:type="dxa"/>
            <w:vAlign w:val="center"/>
          </w:tcPr>
          <w:p w14:paraId="307ADEBD">
            <w:pPr>
              <w:spacing w:line="360" w:lineRule="auto"/>
              <w:jc w:val="center"/>
              <w:rPr>
                <w:rFonts w:ascii="宋体" w:cs="宋体"/>
                <w:color w:val="auto"/>
                <w:sz w:val="24"/>
                <w:highlight w:val="none"/>
                <w:lang w:val="zh-CN"/>
              </w:rPr>
            </w:pPr>
          </w:p>
        </w:tc>
        <w:tc>
          <w:tcPr>
            <w:tcW w:w="1349" w:type="dxa"/>
            <w:vAlign w:val="center"/>
          </w:tcPr>
          <w:p w14:paraId="09845DC8">
            <w:pPr>
              <w:spacing w:line="360" w:lineRule="auto"/>
              <w:jc w:val="center"/>
              <w:rPr>
                <w:rFonts w:ascii="宋体" w:cs="宋体"/>
                <w:color w:val="auto"/>
                <w:sz w:val="24"/>
                <w:highlight w:val="none"/>
                <w:lang w:val="zh-CN"/>
              </w:rPr>
            </w:pPr>
          </w:p>
        </w:tc>
        <w:tc>
          <w:tcPr>
            <w:tcW w:w="1510" w:type="dxa"/>
            <w:vAlign w:val="center"/>
          </w:tcPr>
          <w:p w14:paraId="74BBA7BE">
            <w:pPr>
              <w:spacing w:line="360" w:lineRule="auto"/>
              <w:jc w:val="center"/>
              <w:rPr>
                <w:rFonts w:ascii="宋体" w:cs="宋体"/>
                <w:color w:val="auto"/>
                <w:sz w:val="24"/>
                <w:highlight w:val="none"/>
                <w:lang w:val="zh-CN"/>
              </w:rPr>
            </w:pPr>
          </w:p>
        </w:tc>
        <w:tc>
          <w:tcPr>
            <w:tcW w:w="772" w:type="dxa"/>
            <w:vAlign w:val="center"/>
          </w:tcPr>
          <w:p w14:paraId="1AD971AF">
            <w:pPr>
              <w:spacing w:line="360" w:lineRule="auto"/>
              <w:jc w:val="center"/>
              <w:rPr>
                <w:rFonts w:ascii="宋体" w:cs="宋体"/>
                <w:color w:val="auto"/>
                <w:sz w:val="24"/>
                <w:highlight w:val="none"/>
                <w:lang w:val="zh-CN"/>
              </w:rPr>
            </w:pPr>
          </w:p>
        </w:tc>
      </w:tr>
      <w:tr w14:paraId="18359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14:paraId="04CBDB93">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5</w:t>
            </w:r>
          </w:p>
        </w:tc>
        <w:tc>
          <w:tcPr>
            <w:tcW w:w="2590" w:type="dxa"/>
            <w:vAlign w:val="center"/>
          </w:tcPr>
          <w:p w14:paraId="0716C195">
            <w:pPr>
              <w:spacing w:line="360" w:lineRule="auto"/>
              <w:ind w:left="106"/>
              <w:jc w:val="center"/>
              <w:rPr>
                <w:rFonts w:ascii="宋体" w:cs="宋体"/>
                <w:color w:val="auto"/>
                <w:sz w:val="24"/>
                <w:highlight w:val="none"/>
                <w:lang w:val="zh-CN"/>
              </w:rPr>
            </w:pPr>
          </w:p>
        </w:tc>
        <w:tc>
          <w:tcPr>
            <w:tcW w:w="1021" w:type="dxa"/>
            <w:vAlign w:val="center"/>
          </w:tcPr>
          <w:p w14:paraId="7C4EB95D">
            <w:pPr>
              <w:spacing w:line="360" w:lineRule="auto"/>
              <w:jc w:val="center"/>
              <w:rPr>
                <w:rFonts w:ascii="宋体" w:cs="宋体"/>
                <w:color w:val="auto"/>
                <w:sz w:val="24"/>
                <w:highlight w:val="none"/>
                <w:lang w:val="zh-CN"/>
              </w:rPr>
            </w:pPr>
          </w:p>
        </w:tc>
        <w:tc>
          <w:tcPr>
            <w:tcW w:w="1021" w:type="dxa"/>
            <w:vAlign w:val="center"/>
          </w:tcPr>
          <w:p w14:paraId="07B35F35">
            <w:pPr>
              <w:spacing w:line="360" w:lineRule="auto"/>
              <w:jc w:val="center"/>
              <w:rPr>
                <w:rFonts w:ascii="宋体" w:cs="宋体"/>
                <w:color w:val="auto"/>
                <w:sz w:val="24"/>
                <w:highlight w:val="none"/>
                <w:lang w:val="zh-CN"/>
              </w:rPr>
            </w:pPr>
          </w:p>
        </w:tc>
        <w:tc>
          <w:tcPr>
            <w:tcW w:w="1349" w:type="dxa"/>
            <w:vAlign w:val="center"/>
          </w:tcPr>
          <w:p w14:paraId="512E2B13">
            <w:pPr>
              <w:spacing w:line="360" w:lineRule="auto"/>
              <w:jc w:val="center"/>
              <w:rPr>
                <w:rFonts w:ascii="宋体" w:cs="宋体"/>
                <w:color w:val="auto"/>
                <w:sz w:val="24"/>
                <w:highlight w:val="none"/>
                <w:lang w:val="zh-CN"/>
              </w:rPr>
            </w:pPr>
          </w:p>
        </w:tc>
        <w:tc>
          <w:tcPr>
            <w:tcW w:w="1510" w:type="dxa"/>
            <w:vAlign w:val="center"/>
          </w:tcPr>
          <w:p w14:paraId="761E624B">
            <w:pPr>
              <w:spacing w:line="360" w:lineRule="auto"/>
              <w:jc w:val="center"/>
              <w:rPr>
                <w:rFonts w:ascii="宋体" w:cs="宋体"/>
                <w:color w:val="auto"/>
                <w:sz w:val="24"/>
                <w:highlight w:val="none"/>
                <w:lang w:val="zh-CN"/>
              </w:rPr>
            </w:pPr>
          </w:p>
        </w:tc>
        <w:tc>
          <w:tcPr>
            <w:tcW w:w="772" w:type="dxa"/>
            <w:vAlign w:val="center"/>
          </w:tcPr>
          <w:p w14:paraId="727443F7">
            <w:pPr>
              <w:spacing w:line="360" w:lineRule="auto"/>
              <w:jc w:val="center"/>
              <w:rPr>
                <w:rFonts w:ascii="宋体" w:cs="宋体"/>
                <w:color w:val="auto"/>
                <w:sz w:val="24"/>
                <w:highlight w:val="none"/>
                <w:lang w:val="zh-CN"/>
              </w:rPr>
            </w:pPr>
          </w:p>
        </w:tc>
      </w:tr>
      <w:tr w14:paraId="1B0FB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833" w:type="dxa"/>
            <w:vAlign w:val="center"/>
          </w:tcPr>
          <w:p w14:paraId="01AAB407">
            <w:pPr>
              <w:spacing w:line="360" w:lineRule="auto"/>
              <w:ind w:left="113" w:right="104"/>
              <w:jc w:val="center"/>
              <w:rPr>
                <w:rFonts w:ascii="宋体" w:cs="宋体"/>
                <w:color w:val="auto"/>
                <w:sz w:val="24"/>
                <w:highlight w:val="none"/>
              </w:rPr>
            </w:pPr>
            <w:r>
              <w:rPr>
                <w:rFonts w:hint="eastAsia" w:ascii="宋体" w:hAnsi="宋体" w:cs="宋体"/>
                <w:color w:val="auto"/>
                <w:w w:val="99"/>
                <w:sz w:val="24"/>
                <w:highlight w:val="none"/>
                <w:lang w:val="zh-CN"/>
              </w:rPr>
              <w:t>…</w:t>
            </w:r>
          </w:p>
        </w:tc>
        <w:tc>
          <w:tcPr>
            <w:tcW w:w="2590" w:type="dxa"/>
            <w:vAlign w:val="center"/>
          </w:tcPr>
          <w:p w14:paraId="62270FD0">
            <w:pPr>
              <w:spacing w:line="360" w:lineRule="auto"/>
              <w:ind w:left="106"/>
              <w:jc w:val="center"/>
              <w:rPr>
                <w:rFonts w:ascii="宋体" w:cs="宋体"/>
                <w:color w:val="auto"/>
                <w:sz w:val="24"/>
                <w:highlight w:val="none"/>
                <w:lang w:val="zh-CN"/>
              </w:rPr>
            </w:pPr>
          </w:p>
        </w:tc>
        <w:tc>
          <w:tcPr>
            <w:tcW w:w="1021" w:type="dxa"/>
            <w:vAlign w:val="center"/>
          </w:tcPr>
          <w:p w14:paraId="71FF75D6">
            <w:pPr>
              <w:spacing w:line="360" w:lineRule="auto"/>
              <w:jc w:val="center"/>
              <w:rPr>
                <w:rFonts w:ascii="宋体" w:cs="宋体"/>
                <w:color w:val="auto"/>
                <w:sz w:val="24"/>
                <w:highlight w:val="none"/>
                <w:lang w:val="zh-CN"/>
              </w:rPr>
            </w:pPr>
          </w:p>
        </w:tc>
        <w:tc>
          <w:tcPr>
            <w:tcW w:w="1021" w:type="dxa"/>
            <w:vAlign w:val="center"/>
          </w:tcPr>
          <w:p w14:paraId="02A2D7D9">
            <w:pPr>
              <w:spacing w:line="360" w:lineRule="auto"/>
              <w:jc w:val="center"/>
              <w:rPr>
                <w:rFonts w:ascii="宋体" w:cs="宋体"/>
                <w:color w:val="auto"/>
                <w:sz w:val="24"/>
                <w:highlight w:val="none"/>
                <w:lang w:val="zh-CN"/>
              </w:rPr>
            </w:pPr>
          </w:p>
        </w:tc>
        <w:tc>
          <w:tcPr>
            <w:tcW w:w="1349" w:type="dxa"/>
            <w:vAlign w:val="center"/>
          </w:tcPr>
          <w:p w14:paraId="1B2BAA38">
            <w:pPr>
              <w:spacing w:line="360" w:lineRule="auto"/>
              <w:jc w:val="center"/>
              <w:rPr>
                <w:rFonts w:ascii="宋体" w:cs="宋体"/>
                <w:color w:val="auto"/>
                <w:sz w:val="24"/>
                <w:highlight w:val="none"/>
                <w:lang w:val="zh-CN"/>
              </w:rPr>
            </w:pPr>
          </w:p>
        </w:tc>
        <w:tc>
          <w:tcPr>
            <w:tcW w:w="1510" w:type="dxa"/>
            <w:vAlign w:val="center"/>
          </w:tcPr>
          <w:p w14:paraId="6FAB8B88">
            <w:pPr>
              <w:spacing w:line="360" w:lineRule="auto"/>
              <w:jc w:val="center"/>
              <w:rPr>
                <w:rFonts w:ascii="宋体" w:cs="宋体"/>
                <w:color w:val="auto"/>
                <w:sz w:val="24"/>
                <w:highlight w:val="none"/>
                <w:lang w:val="zh-CN"/>
              </w:rPr>
            </w:pPr>
          </w:p>
        </w:tc>
        <w:tc>
          <w:tcPr>
            <w:tcW w:w="772" w:type="dxa"/>
            <w:vAlign w:val="center"/>
          </w:tcPr>
          <w:p w14:paraId="392A0551">
            <w:pPr>
              <w:spacing w:line="360" w:lineRule="auto"/>
              <w:jc w:val="center"/>
              <w:rPr>
                <w:rFonts w:ascii="宋体" w:cs="宋体"/>
                <w:color w:val="auto"/>
                <w:sz w:val="24"/>
                <w:highlight w:val="none"/>
                <w:lang w:val="zh-CN"/>
              </w:rPr>
            </w:pPr>
          </w:p>
        </w:tc>
      </w:tr>
    </w:tbl>
    <w:p w14:paraId="6FA75B22">
      <w:pPr>
        <w:spacing w:line="360" w:lineRule="auto"/>
        <w:ind w:left="107"/>
        <w:jc w:val="left"/>
        <w:rPr>
          <w:rFonts w:ascii="宋体" w:cs="宋体"/>
          <w:bCs/>
          <w:color w:val="auto"/>
          <w:sz w:val="24"/>
          <w:highlight w:val="none"/>
          <w:lang w:val="zh-CN"/>
        </w:rPr>
      </w:pPr>
    </w:p>
    <w:p w14:paraId="56C66E55">
      <w:pPr>
        <w:spacing w:line="360" w:lineRule="auto"/>
        <w:ind w:left="107"/>
        <w:jc w:val="left"/>
        <w:rPr>
          <w:rFonts w:ascii="宋体" w:cs="宋体"/>
          <w:bCs/>
          <w:color w:val="auto"/>
          <w:sz w:val="24"/>
          <w:highlight w:val="none"/>
          <w:lang w:val="zh-CN"/>
        </w:rPr>
      </w:pPr>
      <w:r>
        <w:rPr>
          <w:rFonts w:hint="eastAsia" w:ascii="宋体" w:hAnsi="宋体" w:cs="宋体"/>
          <w:bCs/>
          <w:color w:val="auto"/>
          <w:sz w:val="24"/>
          <w:highlight w:val="none"/>
          <w:lang w:val="zh-CN"/>
        </w:rPr>
        <w:t>备注：</w:t>
      </w:r>
    </w:p>
    <w:p w14:paraId="4CE303ED">
      <w:pPr>
        <w:spacing w:line="360" w:lineRule="auto"/>
        <w:ind w:firstLine="480" w:firstLineChars="200"/>
        <w:jc w:val="left"/>
        <w:rPr>
          <w:rFonts w:ascii="宋体" w:cs="宋体"/>
          <w:bCs/>
          <w:color w:val="auto"/>
          <w:sz w:val="24"/>
          <w:highlight w:val="none"/>
          <w:lang w:val="zh-CN"/>
        </w:rPr>
      </w:pPr>
      <w:r>
        <w:rPr>
          <w:rFonts w:ascii="宋体" w:hAnsi="宋体" w:cs="宋体"/>
          <w:bCs/>
          <w:color w:val="auto"/>
          <w:sz w:val="24"/>
          <w:highlight w:val="none"/>
        </w:rPr>
        <w:t>1.</w:t>
      </w:r>
      <w:r>
        <w:rPr>
          <w:rFonts w:hint="eastAsia" w:ascii="宋体" w:hAnsi="宋体" w:cs="宋体"/>
          <w:bCs/>
          <w:color w:val="auto"/>
          <w:sz w:val="24"/>
          <w:highlight w:val="none"/>
          <w:lang w:val="zh-CN"/>
        </w:rPr>
        <w:t>“规格型号”为必填项，如有空白、填写不全或未被查实的视为未报。</w:t>
      </w:r>
    </w:p>
    <w:p w14:paraId="288C1A62">
      <w:pPr>
        <w:spacing w:line="360" w:lineRule="auto"/>
        <w:ind w:firstLine="480" w:firstLineChars="200"/>
        <w:jc w:val="left"/>
        <w:rPr>
          <w:rFonts w:ascii="宋体" w:cs="宋体"/>
          <w:color w:val="auto"/>
          <w:sz w:val="24"/>
          <w:highlight w:val="none"/>
          <w:lang w:val="zh-CN"/>
        </w:rPr>
      </w:pPr>
      <w:r>
        <w:rPr>
          <w:rFonts w:ascii="宋体" w:hAnsi="宋体" w:cs="宋体"/>
          <w:bCs/>
          <w:color w:val="auto"/>
          <w:sz w:val="24"/>
          <w:highlight w:val="none"/>
        </w:rPr>
        <w:t>2.</w:t>
      </w:r>
      <w:r>
        <w:rPr>
          <w:rFonts w:hint="eastAsia" w:ascii="宋体" w:hAnsi="宋体" w:cs="宋体"/>
          <w:bCs/>
          <w:color w:val="auto"/>
          <w:sz w:val="24"/>
          <w:highlight w:val="none"/>
          <w:lang w:val="zh-CN"/>
        </w:rPr>
        <w:t>备品备件价格据实填</w:t>
      </w:r>
      <w:r>
        <w:rPr>
          <w:rFonts w:hint="eastAsia" w:ascii="宋体" w:hAnsi="宋体" w:cs="宋体"/>
          <w:color w:val="auto"/>
          <w:sz w:val="24"/>
          <w:highlight w:val="none"/>
          <w:lang w:val="zh-CN"/>
        </w:rPr>
        <w:t>写，采购人将根据所报价格，向中标供应商零星采购备品备件清单。</w:t>
      </w:r>
    </w:p>
    <w:p w14:paraId="7C5D4120">
      <w:pPr>
        <w:spacing w:line="360" w:lineRule="auto"/>
        <w:ind w:firstLine="480" w:firstLineChars="200"/>
        <w:jc w:val="left"/>
        <w:rPr>
          <w:color w:val="auto"/>
          <w:sz w:val="24"/>
          <w:highlight w:val="none"/>
        </w:rPr>
      </w:pPr>
      <w:r>
        <w:rPr>
          <w:rFonts w:ascii="宋体" w:hAnsi="宋体" w:cs="宋体"/>
          <w:color w:val="auto"/>
          <w:sz w:val="24"/>
          <w:highlight w:val="none"/>
        </w:rPr>
        <w:t>3.</w:t>
      </w:r>
      <w:r>
        <w:rPr>
          <w:rFonts w:hint="eastAsia"/>
          <w:color w:val="auto"/>
          <w:sz w:val="24"/>
          <w:highlight w:val="none"/>
        </w:rPr>
        <w:t>所采购货物本身随同配备的备品备件及器材的价格已包含于合同总价，不再额外收取费用。</w:t>
      </w:r>
    </w:p>
    <w:p w14:paraId="0B096700">
      <w:pPr>
        <w:spacing w:line="360" w:lineRule="auto"/>
        <w:ind w:firstLine="480" w:firstLineChars="200"/>
        <w:jc w:val="left"/>
        <w:rPr>
          <w:color w:val="auto"/>
          <w:highlight w:val="none"/>
          <w:lang w:val="zh-CN"/>
        </w:rPr>
      </w:pPr>
      <w:r>
        <w:rPr>
          <w:rFonts w:ascii="宋体" w:hAnsi="宋体" w:cs="宋体"/>
          <w:color w:val="auto"/>
          <w:sz w:val="24"/>
          <w:highlight w:val="none"/>
        </w:rPr>
        <w:t>4.</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需保证所能够提供使用的备品备件属于经过合法授权的，不存在侵权问题。</w:t>
      </w:r>
    </w:p>
    <w:p w14:paraId="623957A9">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根据所投标包实际情况，据实填写，可自行增加或删减。</w:t>
      </w:r>
    </w:p>
    <w:p w14:paraId="0334D57D">
      <w:pPr>
        <w:spacing w:before="54" w:line="360" w:lineRule="auto"/>
        <w:jc w:val="center"/>
        <w:outlineLvl w:val="1"/>
        <w:rPr>
          <w:b/>
          <w:color w:val="auto"/>
          <w:sz w:val="32"/>
          <w:highlight w:val="none"/>
        </w:rPr>
      </w:pPr>
      <w:r>
        <w:rPr>
          <w:b/>
          <w:color w:val="auto"/>
          <w:w w:val="95"/>
          <w:sz w:val="32"/>
          <w:highlight w:val="none"/>
        </w:rPr>
        <w:br w:type="page"/>
      </w:r>
      <w:bookmarkStart w:id="532" w:name="_Toc14810"/>
      <w:bookmarkStart w:id="533" w:name="_Toc26886"/>
      <w:bookmarkStart w:id="534" w:name="_Toc31940"/>
      <w:r>
        <w:rPr>
          <w:rFonts w:hint="eastAsia"/>
          <w:b/>
          <w:color w:val="auto"/>
          <w:w w:val="95"/>
          <w:sz w:val="32"/>
          <w:highlight w:val="none"/>
        </w:rPr>
        <w:t>六、</w:t>
      </w:r>
      <w:r>
        <w:rPr>
          <w:rFonts w:hint="eastAsia"/>
          <w:b/>
          <w:color w:val="auto"/>
          <w:sz w:val="32"/>
          <w:highlight w:val="none"/>
        </w:rPr>
        <w:t>业绩</w:t>
      </w:r>
      <w:bookmarkEnd w:id="532"/>
      <w:bookmarkEnd w:id="533"/>
      <w:bookmarkEnd w:id="534"/>
    </w:p>
    <w:p w14:paraId="32B456EE">
      <w:pPr>
        <w:pStyle w:val="7"/>
        <w:spacing w:before="12" w:line="360" w:lineRule="auto"/>
        <w:rPr>
          <w:b/>
          <w:color w:val="auto"/>
          <w:sz w:val="19"/>
          <w:highlight w:val="none"/>
        </w:rPr>
      </w:pPr>
    </w:p>
    <w:p w14:paraId="0FE0FCF1">
      <w:pPr>
        <w:pStyle w:val="7"/>
        <w:spacing w:before="66" w:line="360" w:lineRule="auto"/>
        <w:ind w:right="412"/>
        <w:jc w:val="right"/>
        <w:rPr>
          <w:color w:val="auto"/>
          <w:highlight w:val="none"/>
        </w:rPr>
      </w:pPr>
      <w:r>
        <w:rPr>
          <w:rFonts w:hint="eastAsia"/>
          <w:color w:val="auto"/>
          <w:highlight w:val="none"/>
        </w:rPr>
        <w:t>金额单位：元</w:t>
      </w:r>
    </w:p>
    <w:p w14:paraId="2983C6CD">
      <w:pPr>
        <w:pStyle w:val="7"/>
        <w:spacing w:before="3" w:line="360" w:lineRule="auto"/>
        <w:rPr>
          <w:color w:val="auto"/>
          <w:sz w:val="12"/>
          <w:highlight w:val="none"/>
        </w:rPr>
      </w:pPr>
    </w:p>
    <w:tbl>
      <w:tblPr>
        <w:tblStyle w:val="2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7"/>
        <w:gridCol w:w="1209"/>
        <w:gridCol w:w="765"/>
        <w:gridCol w:w="1069"/>
        <w:gridCol w:w="1153"/>
        <w:gridCol w:w="988"/>
        <w:gridCol w:w="657"/>
        <w:gridCol w:w="1811"/>
      </w:tblGrid>
      <w:tr w14:paraId="61C4D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395" w:type="pct"/>
          </w:tcPr>
          <w:p w14:paraId="3AE5E526">
            <w:pPr>
              <w:pStyle w:val="27"/>
              <w:spacing w:line="360" w:lineRule="auto"/>
              <w:jc w:val="center"/>
              <w:rPr>
                <w:color w:val="auto"/>
                <w:highlight w:val="none"/>
              </w:rPr>
            </w:pPr>
          </w:p>
          <w:p w14:paraId="07E6198D">
            <w:pPr>
              <w:pStyle w:val="27"/>
              <w:spacing w:before="161" w:line="360" w:lineRule="auto"/>
              <w:ind w:right="132"/>
              <w:jc w:val="center"/>
              <w:rPr>
                <w:color w:val="auto"/>
                <w:highlight w:val="none"/>
              </w:rPr>
            </w:pPr>
            <w:r>
              <w:rPr>
                <w:rFonts w:hint="eastAsia"/>
                <w:color w:val="auto"/>
                <w:highlight w:val="none"/>
              </w:rPr>
              <w:t>序号</w:t>
            </w:r>
          </w:p>
        </w:tc>
        <w:tc>
          <w:tcPr>
            <w:tcW w:w="727" w:type="pct"/>
          </w:tcPr>
          <w:p w14:paraId="20D7FA5B">
            <w:pPr>
              <w:pStyle w:val="27"/>
              <w:spacing w:before="3" w:line="360" w:lineRule="auto"/>
              <w:jc w:val="center"/>
              <w:rPr>
                <w:color w:val="auto"/>
                <w:sz w:val="18"/>
                <w:highlight w:val="none"/>
              </w:rPr>
            </w:pPr>
          </w:p>
          <w:p w14:paraId="1862ACBA">
            <w:pPr>
              <w:pStyle w:val="27"/>
              <w:spacing w:line="360" w:lineRule="auto"/>
              <w:ind w:left="138" w:right="128"/>
              <w:jc w:val="center"/>
              <w:rPr>
                <w:color w:val="auto"/>
                <w:spacing w:val="-2"/>
                <w:highlight w:val="none"/>
              </w:rPr>
            </w:pPr>
            <w:r>
              <w:rPr>
                <w:rFonts w:hint="eastAsia"/>
                <w:color w:val="auto"/>
                <w:spacing w:val="-2"/>
                <w:highlight w:val="none"/>
              </w:rPr>
              <w:t>用户单位</w:t>
            </w:r>
          </w:p>
          <w:p w14:paraId="15EC0359">
            <w:pPr>
              <w:pStyle w:val="27"/>
              <w:spacing w:line="360" w:lineRule="auto"/>
              <w:ind w:left="138" w:right="128"/>
              <w:jc w:val="center"/>
              <w:rPr>
                <w:color w:val="auto"/>
                <w:highlight w:val="none"/>
              </w:rPr>
            </w:pPr>
            <w:r>
              <w:rPr>
                <w:rFonts w:hint="eastAsia"/>
                <w:color w:val="auto"/>
                <w:spacing w:val="-2"/>
                <w:highlight w:val="none"/>
              </w:rPr>
              <w:t>名称</w:t>
            </w:r>
          </w:p>
        </w:tc>
        <w:tc>
          <w:tcPr>
            <w:tcW w:w="460" w:type="pct"/>
          </w:tcPr>
          <w:p w14:paraId="615C93F0">
            <w:pPr>
              <w:pStyle w:val="27"/>
              <w:spacing w:before="3" w:line="360" w:lineRule="auto"/>
              <w:jc w:val="center"/>
              <w:rPr>
                <w:color w:val="auto"/>
                <w:sz w:val="18"/>
                <w:highlight w:val="none"/>
              </w:rPr>
            </w:pPr>
          </w:p>
          <w:p w14:paraId="05216039">
            <w:pPr>
              <w:pStyle w:val="27"/>
              <w:spacing w:line="360" w:lineRule="auto"/>
              <w:ind w:left="152" w:right="140"/>
              <w:jc w:val="center"/>
              <w:rPr>
                <w:color w:val="auto"/>
                <w:highlight w:val="none"/>
              </w:rPr>
            </w:pPr>
            <w:r>
              <w:rPr>
                <w:rFonts w:hint="eastAsia"/>
                <w:color w:val="auto"/>
                <w:spacing w:val="-2"/>
                <w:highlight w:val="none"/>
              </w:rPr>
              <w:t>项目内容</w:t>
            </w:r>
          </w:p>
        </w:tc>
        <w:tc>
          <w:tcPr>
            <w:tcW w:w="643" w:type="pct"/>
          </w:tcPr>
          <w:p w14:paraId="68B11EDE">
            <w:pPr>
              <w:pStyle w:val="27"/>
              <w:spacing w:line="360" w:lineRule="auto"/>
              <w:jc w:val="center"/>
              <w:rPr>
                <w:color w:val="auto"/>
                <w:highlight w:val="none"/>
              </w:rPr>
            </w:pPr>
          </w:p>
          <w:p w14:paraId="6DB3F521">
            <w:pPr>
              <w:pStyle w:val="27"/>
              <w:spacing w:before="161" w:line="360" w:lineRule="auto"/>
              <w:ind w:left="147"/>
              <w:jc w:val="center"/>
              <w:rPr>
                <w:color w:val="auto"/>
                <w:highlight w:val="none"/>
              </w:rPr>
            </w:pPr>
            <w:r>
              <w:rPr>
                <w:rFonts w:hint="eastAsia"/>
                <w:color w:val="auto"/>
                <w:highlight w:val="none"/>
              </w:rPr>
              <w:t>实施地点</w:t>
            </w:r>
          </w:p>
        </w:tc>
        <w:tc>
          <w:tcPr>
            <w:tcW w:w="693" w:type="pct"/>
          </w:tcPr>
          <w:p w14:paraId="29A3C677">
            <w:pPr>
              <w:pStyle w:val="27"/>
              <w:spacing w:before="3" w:line="360" w:lineRule="auto"/>
              <w:jc w:val="center"/>
              <w:rPr>
                <w:color w:val="auto"/>
                <w:sz w:val="18"/>
                <w:highlight w:val="none"/>
              </w:rPr>
            </w:pPr>
          </w:p>
          <w:p w14:paraId="3D4C55C9">
            <w:pPr>
              <w:pStyle w:val="27"/>
              <w:spacing w:line="360" w:lineRule="auto"/>
              <w:ind w:left="136" w:right="128"/>
              <w:jc w:val="center"/>
              <w:rPr>
                <w:color w:val="auto"/>
                <w:spacing w:val="-1"/>
                <w:highlight w:val="none"/>
              </w:rPr>
            </w:pPr>
            <w:r>
              <w:rPr>
                <w:rFonts w:hint="eastAsia"/>
                <w:color w:val="auto"/>
                <w:spacing w:val="-1"/>
                <w:highlight w:val="none"/>
              </w:rPr>
              <w:t>用户联系人</w:t>
            </w:r>
          </w:p>
          <w:p w14:paraId="04342F44">
            <w:pPr>
              <w:pStyle w:val="27"/>
              <w:spacing w:line="360" w:lineRule="auto"/>
              <w:ind w:left="136" w:right="128"/>
              <w:jc w:val="center"/>
              <w:rPr>
                <w:color w:val="auto"/>
                <w:highlight w:val="none"/>
              </w:rPr>
            </w:pPr>
            <w:r>
              <w:rPr>
                <w:rFonts w:hint="eastAsia"/>
                <w:color w:val="auto"/>
                <w:spacing w:val="-1"/>
                <w:highlight w:val="none"/>
              </w:rPr>
              <w:t>及联系方式</w:t>
            </w:r>
          </w:p>
        </w:tc>
        <w:tc>
          <w:tcPr>
            <w:tcW w:w="594" w:type="pct"/>
          </w:tcPr>
          <w:p w14:paraId="30DDB0CA">
            <w:pPr>
              <w:pStyle w:val="27"/>
              <w:spacing w:before="3" w:line="360" w:lineRule="auto"/>
              <w:jc w:val="center"/>
              <w:rPr>
                <w:color w:val="auto"/>
                <w:sz w:val="18"/>
                <w:highlight w:val="none"/>
              </w:rPr>
            </w:pPr>
          </w:p>
          <w:p w14:paraId="557ADC19">
            <w:pPr>
              <w:pStyle w:val="27"/>
              <w:spacing w:line="360" w:lineRule="auto"/>
              <w:ind w:left="214" w:right="204"/>
              <w:jc w:val="center"/>
              <w:rPr>
                <w:color w:val="auto"/>
                <w:highlight w:val="none"/>
              </w:rPr>
            </w:pPr>
            <w:r>
              <w:rPr>
                <w:rFonts w:hint="eastAsia"/>
                <w:color w:val="auto"/>
                <w:spacing w:val="-2"/>
                <w:highlight w:val="none"/>
              </w:rPr>
              <w:t>项目起止时间</w:t>
            </w:r>
          </w:p>
        </w:tc>
        <w:tc>
          <w:tcPr>
            <w:tcW w:w="395" w:type="pct"/>
          </w:tcPr>
          <w:p w14:paraId="3C2319AB">
            <w:pPr>
              <w:pStyle w:val="27"/>
              <w:spacing w:before="3" w:line="360" w:lineRule="auto"/>
              <w:jc w:val="center"/>
              <w:rPr>
                <w:color w:val="auto"/>
                <w:sz w:val="18"/>
                <w:highlight w:val="none"/>
              </w:rPr>
            </w:pPr>
          </w:p>
          <w:p w14:paraId="78CD2143">
            <w:pPr>
              <w:pStyle w:val="27"/>
              <w:spacing w:line="360" w:lineRule="auto"/>
              <w:ind w:left="148" w:right="140"/>
              <w:jc w:val="center"/>
              <w:rPr>
                <w:color w:val="auto"/>
                <w:spacing w:val="-2"/>
                <w:highlight w:val="none"/>
              </w:rPr>
            </w:pPr>
            <w:r>
              <w:rPr>
                <w:rFonts w:hint="eastAsia"/>
                <w:color w:val="auto"/>
                <w:spacing w:val="-2"/>
                <w:highlight w:val="none"/>
              </w:rPr>
              <w:t>合同</w:t>
            </w:r>
          </w:p>
          <w:p w14:paraId="613D26EC">
            <w:pPr>
              <w:pStyle w:val="27"/>
              <w:spacing w:line="360" w:lineRule="auto"/>
              <w:ind w:left="148" w:right="140"/>
              <w:jc w:val="center"/>
              <w:rPr>
                <w:color w:val="auto"/>
                <w:highlight w:val="none"/>
              </w:rPr>
            </w:pPr>
            <w:r>
              <w:rPr>
                <w:rFonts w:hint="eastAsia"/>
                <w:color w:val="auto"/>
                <w:spacing w:val="-2"/>
                <w:highlight w:val="none"/>
              </w:rPr>
              <w:t>金额</w:t>
            </w:r>
          </w:p>
        </w:tc>
        <w:tc>
          <w:tcPr>
            <w:tcW w:w="1089" w:type="pct"/>
          </w:tcPr>
          <w:p w14:paraId="26A345AB">
            <w:pPr>
              <w:pStyle w:val="27"/>
              <w:spacing w:before="8" w:line="360" w:lineRule="auto"/>
              <w:ind w:left="838" w:right="110" w:hanging="720"/>
              <w:jc w:val="center"/>
              <w:rPr>
                <w:rFonts w:ascii="宋体" w:cs="宋体"/>
                <w:color w:val="auto"/>
                <w:highlight w:val="none"/>
              </w:rPr>
            </w:pPr>
          </w:p>
          <w:p w14:paraId="2951F62C">
            <w:pPr>
              <w:pStyle w:val="27"/>
              <w:spacing w:before="8" w:line="360" w:lineRule="auto"/>
              <w:ind w:right="110" w:firstLine="240" w:firstLineChars="100"/>
              <w:jc w:val="center"/>
              <w:rPr>
                <w:color w:val="auto"/>
                <w:highlight w:val="none"/>
              </w:rPr>
            </w:pPr>
            <w:r>
              <w:rPr>
                <w:rFonts w:hint="eastAsia" w:ascii="宋体" w:hAnsi="宋体" w:cs="宋体"/>
                <w:color w:val="auto"/>
                <w:highlight w:val="none"/>
              </w:rPr>
              <w:t>相关证明材料</w:t>
            </w:r>
          </w:p>
        </w:tc>
      </w:tr>
      <w:tr w14:paraId="44513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14:paraId="6554DFDA">
            <w:pPr>
              <w:pStyle w:val="27"/>
              <w:spacing w:before="1" w:line="360" w:lineRule="auto"/>
              <w:ind w:left="9"/>
              <w:jc w:val="center"/>
              <w:rPr>
                <w:color w:val="auto"/>
                <w:highlight w:val="none"/>
              </w:rPr>
            </w:pPr>
            <w:r>
              <w:rPr>
                <w:color w:val="auto"/>
                <w:highlight w:val="none"/>
              </w:rPr>
              <w:t>1</w:t>
            </w:r>
          </w:p>
        </w:tc>
        <w:tc>
          <w:tcPr>
            <w:tcW w:w="727" w:type="pct"/>
          </w:tcPr>
          <w:p w14:paraId="0BA10B0D">
            <w:pPr>
              <w:pStyle w:val="27"/>
              <w:spacing w:line="360" w:lineRule="auto"/>
              <w:rPr>
                <w:color w:val="auto"/>
                <w:sz w:val="22"/>
                <w:highlight w:val="none"/>
              </w:rPr>
            </w:pPr>
          </w:p>
        </w:tc>
        <w:tc>
          <w:tcPr>
            <w:tcW w:w="460" w:type="pct"/>
          </w:tcPr>
          <w:p w14:paraId="32E14596">
            <w:pPr>
              <w:pStyle w:val="27"/>
              <w:spacing w:line="360" w:lineRule="auto"/>
              <w:rPr>
                <w:color w:val="auto"/>
                <w:sz w:val="22"/>
                <w:highlight w:val="none"/>
              </w:rPr>
            </w:pPr>
          </w:p>
        </w:tc>
        <w:tc>
          <w:tcPr>
            <w:tcW w:w="643" w:type="pct"/>
          </w:tcPr>
          <w:p w14:paraId="5125B3B0">
            <w:pPr>
              <w:pStyle w:val="27"/>
              <w:spacing w:line="360" w:lineRule="auto"/>
              <w:rPr>
                <w:color w:val="auto"/>
                <w:sz w:val="22"/>
                <w:highlight w:val="none"/>
              </w:rPr>
            </w:pPr>
          </w:p>
        </w:tc>
        <w:tc>
          <w:tcPr>
            <w:tcW w:w="693" w:type="pct"/>
          </w:tcPr>
          <w:p w14:paraId="07459781">
            <w:pPr>
              <w:pStyle w:val="27"/>
              <w:spacing w:line="360" w:lineRule="auto"/>
              <w:rPr>
                <w:color w:val="auto"/>
                <w:sz w:val="22"/>
                <w:highlight w:val="none"/>
              </w:rPr>
            </w:pPr>
          </w:p>
        </w:tc>
        <w:tc>
          <w:tcPr>
            <w:tcW w:w="594" w:type="pct"/>
          </w:tcPr>
          <w:p w14:paraId="51B032BA">
            <w:pPr>
              <w:pStyle w:val="27"/>
              <w:spacing w:line="360" w:lineRule="auto"/>
              <w:rPr>
                <w:color w:val="auto"/>
                <w:sz w:val="22"/>
                <w:highlight w:val="none"/>
              </w:rPr>
            </w:pPr>
          </w:p>
        </w:tc>
        <w:tc>
          <w:tcPr>
            <w:tcW w:w="395" w:type="pct"/>
          </w:tcPr>
          <w:p w14:paraId="7EBB1A78">
            <w:pPr>
              <w:pStyle w:val="27"/>
              <w:spacing w:line="360" w:lineRule="auto"/>
              <w:rPr>
                <w:color w:val="auto"/>
                <w:sz w:val="22"/>
                <w:highlight w:val="none"/>
              </w:rPr>
            </w:pPr>
          </w:p>
        </w:tc>
        <w:tc>
          <w:tcPr>
            <w:tcW w:w="1089" w:type="pct"/>
          </w:tcPr>
          <w:p w14:paraId="0ACFF2F4">
            <w:pPr>
              <w:pStyle w:val="27"/>
              <w:spacing w:before="1" w:line="360" w:lineRule="auto"/>
              <w:ind w:left="118"/>
              <w:rPr>
                <w:color w:val="auto"/>
                <w:highlight w:val="none"/>
              </w:rPr>
            </w:pPr>
            <w:r>
              <w:rPr>
                <w:rFonts w:hint="eastAsia"/>
                <w:color w:val="auto"/>
                <w:highlight w:val="none"/>
              </w:rPr>
              <w:t>见投标文件（）页</w:t>
            </w:r>
          </w:p>
        </w:tc>
      </w:tr>
      <w:tr w14:paraId="0C986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95" w:type="pct"/>
          </w:tcPr>
          <w:p w14:paraId="1F615E3D">
            <w:pPr>
              <w:pStyle w:val="27"/>
              <w:spacing w:before="2" w:line="360" w:lineRule="auto"/>
              <w:ind w:left="9"/>
              <w:jc w:val="center"/>
              <w:rPr>
                <w:color w:val="auto"/>
                <w:highlight w:val="none"/>
              </w:rPr>
            </w:pPr>
            <w:r>
              <w:rPr>
                <w:color w:val="auto"/>
                <w:highlight w:val="none"/>
              </w:rPr>
              <w:t>2</w:t>
            </w:r>
          </w:p>
        </w:tc>
        <w:tc>
          <w:tcPr>
            <w:tcW w:w="727" w:type="pct"/>
          </w:tcPr>
          <w:p w14:paraId="5B476685">
            <w:pPr>
              <w:pStyle w:val="27"/>
              <w:spacing w:line="360" w:lineRule="auto"/>
              <w:rPr>
                <w:color w:val="auto"/>
                <w:sz w:val="22"/>
                <w:highlight w:val="none"/>
              </w:rPr>
            </w:pPr>
          </w:p>
        </w:tc>
        <w:tc>
          <w:tcPr>
            <w:tcW w:w="460" w:type="pct"/>
          </w:tcPr>
          <w:p w14:paraId="5A1F4CF9">
            <w:pPr>
              <w:pStyle w:val="27"/>
              <w:spacing w:line="360" w:lineRule="auto"/>
              <w:rPr>
                <w:color w:val="auto"/>
                <w:sz w:val="22"/>
                <w:highlight w:val="none"/>
              </w:rPr>
            </w:pPr>
          </w:p>
        </w:tc>
        <w:tc>
          <w:tcPr>
            <w:tcW w:w="643" w:type="pct"/>
          </w:tcPr>
          <w:p w14:paraId="4FD9CC9E">
            <w:pPr>
              <w:pStyle w:val="27"/>
              <w:spacing w:line="360" w:lineRule="auto"/>
              <w:rPr>
                <w:color w:val="auto"/>
                <w:sz w:val="22"/>
                <w:highlight w:val="none"/>
              </w:rPr>
            </w:pPr>
          </w:p>
        </w:tc>
        <w:tc>
          <w:tcPr>
            <w:tcW w:w="693" w:type="pct"/>
          </w:tcPr>
          <w:p w14:paraId="44F4DE63">
            <w:pPr>
              <w:pStyle w:val="27"/>
              <w:spacing w:line="360" w:lineRule="auto"/>
              <w:rPr>
                <w:color w:val="auto"/>
                <w:sz w:val="22"/>
                <w:highlight w:val="none"/>
              </w:rPr>
            </w:pPr>
          </w:p>
        </w:tc>
        <w:tc>
          <w:tcPr>
            <w:tcW w:w="594" w:type="pct"/>
          </w:tcPr>
          <w:p w14:paraId="288EB552">
            <w:pPr>
              <w:pStyle w:val="27"/>
              <w:spacing w:line="360" w:lineRule="auto"/>
              <w:rPr>
                <w:color w:val="auto"/>
                <w:sz w:val="22"/>
                <w:highlight w:val="none"/>
              </w:rPr>
            </w:pPr>
          </w:p>
        </w:tc>
        <w:tc>
          <w:tcPr>
            <w:tcW w:w="395" w:type="pct"/>
          </w:tcPr>
          <w:p w14:paraId="63A51A91">
            <w:pPr>
              <w:pStyle w:val="27"/>
              <w:spacing w:line="360" w:lineRule="auto"/>
              <w:rPr>
                <w:color w:val="auto"/>
                <w:sz w:val="22"/>
                <w:highlight w:val="none"/>
              </w:rPr>
            </w:pPr>
          </w:p>
        </w:tc>
        <w:tc>
          <w:tcPr>
            <w:tcW w:w="1089" w:type="pct"/>
          </w:tcPr>
          <w:p w14:paraId="557A33CC">
            <w:pPr>
              <w:pStyle w:val="27"/>
              <w:spacing w:before="2" w:line="360" w:lineRule="auto"/>
              <w:ind w:left="118"/>
              <w:rPr>
                <w:color w:val="auto"/>
                <w:highlight w:val="none"/>
              </w:rPr>
            </w:pPr>
            <w:r>
              <w:rPr>
                <w:rFonts w:hint="eastAsia"/>
                <w:color w:val="auto"/>
                <w:highlight w:val="none"/>
              </w:rPr>
              <w:t>见投标文件（）页</w:t>
            </w:r>
          </w:p>
        </w:tc>
      </w:tr>
      <w:tr w14:paraId="07E2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95" w:type="pct"/>
          </w:tcPr>
          <w:p w14:paraId="5ED50E22">
            <w:pPr>
              <w:pStyle w:val="27"/>
              <w:spacing w:line="360" w:lineRule="auto"/>
              <w:ind w:left="9"/>
              <w:jc w:val="center"/>
              <w:rPr>
                <w:color w:val="auto"/>
                <w:highlight w:val="none"/>
              </w:rPr>
            </w:pPr>
            <w:r>
              <w:rPr>
                <w:color w:val="auto"/>
                <w:highlight w:val="none"/>
              </w:rPr>
              <w:t>3</w:t>
            </w:r>
          </w:p>
        </w:tc>
        <w:tc>
          <w:tcPr>
            <w:tcW w:w="727" w:type="pct"/>
          </w:tcPr>
          <w:p w14:paraId="2AA2E84E">
            <w:pPr>
              <w:pStyle w:val="27"/>
              <w:spacing w:line="360" w:lineRule="auto"/>
              <w:rPr>
                <w:color w:val="auto"/>
                <w:sz w:val="22"/>
                <w:highlight w:val="none"/>
              </w:rPr>
            </w:pPr>
          </w:p>
        </w:tc>
        <w:tc>
          <w:tcPr>
            <w:tcW w:w="460" w:type="pct"/>
          </w:tcPr>
          <w:p w14:paraId="4AD21CA5">
            <w:pPr>
              <w:pStyle w:val="27"/>
              <w:spacing w:line="360" w:lineRule="auto"/>
              <w:rPr>
                <w:color w:val="auto"/>
                <w:sz w:val="22"/>
                <w:highlight w:val="none"/>
              </w:rPr>
            </w:pPr>
          </w:p>
        </w:tc>
        <w:tc>
          <w:tcPr>
            <w:tcW w:w="643" w:type="pct"/>
          </w:tcPr>
          <w:p w14:paraId="02D7A13C">
            <w:pPr>
              <w:pStyle w:val="27"/>
              <w:spacing w:line="360" w:lineRule="auto"/>
              <w:rPr>
                <w:color w:val="auto"/>
                <w:sz w:val="22"/>
                <w:highlight w:val="none"/>
              </w:rPr>
            </w:pPr>
          </w:p>
        </w:tc>
        <w:tc>
          <w:tcPr>
            <w:tcW w:w="693" w:type="pct"/>
          </w:tcPr>
          <w:p w14:paraId="66BCE82B">
            <w:pPr>
              <w:pStyle w:val="27"/>
              <w:spacing w:line="360" w:lineRule="auto"/>
              <w:rPr>
                <w:color w:val="auto"/>
                <w:sz w:val="22"/>
                <w:highlight w:val="none"/>
              </w:rPr>
            </w:pPr>
          </w:p>
        </w:tc>
        <w:tc>
          <w:tcPr>
            <w:tcW w:w="594" w:type="pct"/>
          </w:tcPr>
          <w:p w14:paraId="38B5AB3C">
            <w:pPr>
              <w:pStyle w:val="27"/>
              <w:spacing w:line="360" w:lineRule="auto"/>
              <w:rPr>
                <w:color w:val="auto"/>
                <w:sz w:val="22"/>
                <w:highlight w:val="none"/>
              </w:rPr>
            </w:pPr>
          </w:p>
        </w:tc>
        <w:tc>
          <w:tcPr>
            <w:tcW w:w="395" w:type="pct"/>
          </w:tcPr>
          <w:p w14:paraId="09BEEF49">
            <w:pPr>
              <w:pStyle w:val="27"/>
              <w:spacing w:line="360" w:lineRule="auto"/>
              <w:rPr>
                <w:color w:val="auto"/>
                <w:sz w:val="22"/>
                <w:highlight w:val="none"/>
              </w:rPr>
            </w:pPr>
          </w:p>
        </w:tc>
        <w:tc>
          <w:tcPr>
            <w:tcW w:w="1089" w:type="pct"/>
          </w:tcPr>
          <w:p w14:paraId="7A5DB14C">
            <w:pPr>
              <w:pStyle w:val="27"/>
              <w:spacing w:line="360" w:lineRule="auto"/>
              <w:ind w:left="118"/>
              <w:rPr>
                <w:color w:val="auto"/>
                <w:highlight w:val="none"/>
              </w:rPr>
            </w:pPr>
            <w:r>
              <w:rPr>
                <w:rFonts w:hint="eastAsia"/>
                <w:color w:val="auto"/>
                <w:highlight w:val="none"/>
              </w:rPr>
              <w:t>见投标文件（）页</w:t>
            </w:r>
          </w:p>
        </w:tc>
      </w:tr>
      <w:tr w14:paraId="625B4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14:paraId="524537F1">
            <w:pPr>
              <w:pStyle w:val="27"/>
              <w:spacing w:line="360" w:lineRule="auto"/>
              <w:ind w:left="9"/>
              <w:jc w:val="center"/>
              <w:rPr>
                <w:color w:val="auto"/>
                <w:highlight w:val="none"/>
              </w:rPr>
            </w:pPr>
            <w:r>
              <w:rPr>
                <w:color w:val="auto"/>
                <w:highlight w:val="none"/>
              </w:rPr>
              <w:t>4</w:t>
            </w:r>
          </w:p>
        </w:tc>
        <w:tc>
          <w:tcPr>
            <w:tcW w:w="727" w:type="pct"/>
          </w:tcPr>
          <w:p w14:paraId="35A9CE44">
            <w:pPr>
              <w:pStyle w:val="27"/>
              <w:spacing w:line="360" w:lineRule="auto"/>
              <w:rPr>
                <w:color w:val="auto"/>
                <w:sz w:val="22"/>
                <w:highlight w:val="none"/>
              </w:rPr>
            </w:pPr>
          </w:p>
        </w:tc>
        <w:tc>
          <w:tcPr>
            <w:tcW w:w="460" w:type="pct"/>
          </w:tcPr>
          <w:p w14:paraId="31D64858">
            <w:pPr>
              <w:pStyle w:val="27"/>
              <w:spacing w:line="360" w:lineRule="auto"/>
              <w:rPr>
                <w:color w:val="auto"/>
                <w:sz w:val="22"/>
                <w:highlight w:val="none"/>
              </w:rPr>
            </w:pPr>
          </w:p>
        </w:tc>
        <w:tc>
          <w:tcPr>
            <w:tcW w:w="643" w:type="pct"/>
          </w:tcPr>
          <w:p w14:paraId="33DED5B5">
            <w:pPr>
              <w:pStyle w:val="27"/>
              <w:spacing w:line="360" w:lineRule="auto"/>
              <w:rPr>
                <w:color w:val="auto"/>
                <w:sz w:val="22"/>
                <w:highlight w:val="none"/>
              </w:rPr>
            </w:pPr>
          </w:p>
        </w:tc>
        <w:tc>
          <w:tcPr>
            <w:tcW w:w="693" w:type="pct"/>
          </w:tcPr>
          <w:p w14:paraId="4EDC125C">
            <w:pPr>
              <w:pStyle w:val="27"/>
              <w:spacing w:line="360" w:lineRule="auto"/>
              <w:rPr>
                <w:color w:val="auto"/>
                <w:sz w:val="22"/>
                <w:highlight w:val="none"/>
              </w:rPr>
            </w:pPr>
          </w:p>
        </w:tc>
        <w:tc>
          <w:tcPr>
            <w:tcW w:w="594" w:type="pct"/>
          </w:tcPr>
          <w:p w14:paraId="09D5793E">
            <w:pPr>
              <w:pStyle w:val="27"/>
              <w:spacing w:line="360" w:lineRule="auto"/>
              <w:rPr>
                <w:color w:val="auto"/>
                <w:sz w:val="22"/>
                <w:highlight w:val="none"/>
              </w:rPr>
            </w:pPr>
          </w:p>
        </w:tc>
        <w:tc>
          <w:tcPr>
            <w:tcW w:w="395" w:type="pct"/>
          </w:tcPr>
          <w:p w14:paraId="625F1A53">
            <w:pPr>
              <w:pStyle w:val="27"/>
              <w:spacing w:line="360" w:lineRule="auto"/>
              <w:rPr>
                <w:color w:val="auto"/>
                <w:sz w:val="22"/>
                <w:highlight w:val="none"/>
              </w:rPr>
            </w:pPr>
          </w:p>
        </w:tc>
        <w:tc>
          <w:tcPr>
            <w:tcW w:w="1089" w:type="pct"/>
          </w:tcPr>
          <w:p w14:paraId="0A80B317">
            <w:pPr>
              <w:pStyle w:val="27"/>
              <w:spacing w:line="360" w:lineRule="auto"/>
              <w:ind w:left="118"/>
              <w:rPr>
                <w:color w:val="auto"/>
                <w:highlight w:val="none"/>
              </w:rPr>
            </w:pPr>
            <w:r>
              <w:rPr>
                <w:rFonts w:hint="eastAsia"/>
                <w:color w:val="auto"/>
                <w:highlight w:val="none"/>
              </w:rPr>
              <w:t>见投标文件（）页</w:t>
            </w:r>
          </w:p>
        </w:tc>
      </w:tr>
      <w:tr w14:paraId="1BB00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14:paraId="029F8B6C">
            <w:pPr>
              <w:pStyle w:val="27"/>
              <w:spacing w:before="1" w:line="360" w:lineRule="auto"/>
              <w:ind w:left="9"/>
              <w:jc w:val="center"/>
              <w:rPr>
                <w:color w:val="auto"/>
                <w:highlight w:val="none"/>
              </w:rPr>
            </w:pPr>
            <w:r>
              <w:rPr>
                <w:color w:val="auto"/>
                <w:highlight w:val="none"/>
              </w:rPr>
              <w:t>5</w:t>
            </w:r>
          </w:p>
        </w:tc>
        <w:tc>
          <w:tcPr>
            <w:tcW w:w="727" w:type="pct"/>
          </w:tcPr>
          <w:p w14:paraId="754D6145">
            <w:pPr>
              <w:pStyle w:val="27"/>
              <w:spacing w:line="360" w:lineRule="auto"/>
              <w:rPr>
                <w:color w:val="auto"/>
                <w:sz w:val="22"/>
                <w:highlight w:val="none"/>
              </w:rPr>
            </w:pPr>
          </w:p>
        </w:tc>
        <w:tc>
          <w:tcPr>
            <w:tcW w:w="460" w:type="pct"/>
          </w:tcPr>
          <w:p w14:paraId="41648988">
            <w:pPr>
              <w:pStyle w:val="27"/>
              <w:spacing w:line="360" w:lineRule="auto"/>
              <w:rPr>
                <w:color w:val="auto"/>
                <w:sz w:val="22"/>
                <w:highlight w:val="none"/>
              </w:rPr>
            </w:pPr>
          </w:p>
        </w:tc>
        <w:tc>
          <w:tcPr>
            <w:tcW w:w="643" w:type="pct"/>
          </w:tcPr>
          <w:p w14:paraId="3FD913EB">
            <w:pPr>
              <w:pStyle w:val="27"/>
              <w:spacing w:line="360" w:lineRule="auto"/>
              <w:rPr>
                <w:color w:val="auto"/>
                <w:sz w:val="22"/>
                <w:highlight w:val="none"/>
              </w:rPr>
            </w:pPr>
          </w:p>
        </w:tc>
        <w:tc>
          <w:tcPr>
            <w:tcW w:w="693" w:type="pct"/>
          </w:tcPr>
          <w:p w14:paraId="00EB7402">
            <w:pPr>
              <w:pStyle w:val="27"/>
              <w:spacing w:line="360" w:lineRule="auto"/>
              <w:rPr>
                <w:color w:val="auto"/>
                <w:sz w:val="22"/>
                <w:highlight w:val="none"/>
              </w:rPr>
            </w:pPr>
          </w:p>
        </w:tc>
        <w:tc>
          <w:tcPr>
            <w:tcW w:w="594" w:type="pct"/>
          </w:tcPr>
          <w:p w14:paraId="47418626">
            <w:pPr>
              <w:pStyle w:val="27"/>
              <w:spacing w:line="360" w:lineRule="auto"/>
              <w:rPr>
                <w:color w:val="auto"/>
                <w:sz w:val="22"/>
                <w:highlight w:val="none"/>
              </w:rPr>
            </w:pPr>
          </w:p>
        </w:tc>
        <w:tc>
          <w:tcPr>
            <w:tcW w:w="395" w:type="pct"/>
          </w:tcPr>
          <w:p w14:paraId="17A81A06">
            <w:pPr>
              <w:pStyle w:val="27"/>
              <w:spacing w:line="360" w:lineRule="auto"/>
              <w:rPr>
                <w:color w:val="auto"/>
                <w:sz w:val="22"/>
                <w:highlight w:val="none"/>
              </w:rPr>
            </w:pPr>
          </w:p>
        </w:tc>
        <w:tc>
          <w:tcPr>
            <w:tcW w:w="1089" w:type="pct"/>
          </w:tcPr>
          <w:p w14:paraId="2B791B81">
            <w:pPr>
              <w:pStyle w:val="27"/>
              <w:spacing w:before="1" w:line="360" w:lineRule="auto"/>
              <w:ind w:left="118"/>
              <w:rPr>
                <w:color w:val="auto"/>
                <w:highlight w:val="none"/>
              </w:rPr>
            </w:pPr>
            <w:r>
              <w:rPr>
                <w:rFonts w:hint="eastAsia"/>
                <w:color w:val="auto"/>
                <w:highlight w:val="none"/>
              </w:rPr>
              <w:t>见投标文件（）页</w:t>
            </w:r>
          </w:p>
        </w:tc>
      </w:tr>
      <w:tr w14:paraId="63652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95" w:type="pct"/>
          </w:tcPr>
          <w:p w14:paraId="55F510E3">
            <w:pPr>
              <w:pStyle w:val="27"/>
              <w:spacing w:before="3" w:line="360" w:lineRule="auto"/>
              <w:ind w:right="192"/>
              <w:jc w:val="right"/>
              <w:rPr>
                <w:color w:val="auto"/>
                <w:highlight w:val="none"/>
              </w:rPr>
            </w:pPr>
            <w:r>
              <w:rPr>
                <w:color w:val="auto"/>
                <w:highlight w:val="none"/>
              </w:rPr>
              <w:t>...</w:t>
            </w:r>
          </w:p>
        </w:tc>
        <w:tc>
          <w:tcPr>
            <w:tcW w:w="727" w:type="pct"/>
          </w:tcPr>
          <w:p w14:paraId="6513F321">
            <w:pPr>
              <w:pStyle w:val="27"/>
              <w:spacing w:line="360" w:lineRule="auto"/>
              <w:rPr>
                <w:color w:val="auto"/>
                <w:sz w:val="22"/>
                <w:highlight w:val="none"/>
              </w:rPr>
            </w:pPr>
          </w:p>
        </w:tc>
        <w:tc>
          <w:tcPr>
            <w:tcW w:w="460" w:type="pct"/>
          </w:tcPr>
          <w:p w14:paraId="51632625">
            <w:pPr>
              <w:pStyle w:val="27"/>
              <w:spacing w:line="360" w:lineRule="auto"/>
              <w:rPr>
                <w:color w:val="auto"/>
                <w:sz w:val="22"/>
                <w:highlight w:val="none"/>
              </w:rPr>
            </w:pPr>
          </w:p>
        </w:tc>
        <w:tc>
          <w:tcPr>
            <w:tcW w:w="643" w:type="pct"/>
          </w:tcPr>
          <w:p w14:paraId="387BB567">
            <w:pPr>
              <w:pStyle w:val="27"/>
              <w:spacing w:line="360" w:lineRule="auto"/>
              <w:rPr>
                <w:color w:val="auto"/>
                <w:sz w:val="22"/>
                <w:highlight w:val="none"/>
              </w:rPr>
            </w:pPr>
          </w:p>
        </w:tc>
        <w:tc>
          <w:tcPr>
            <w:tcW w:w="693" w:type="pct"/>
          </w:tcPr>
          <w:p w14:paraId="5944115F">
            <w:pPr>
              <w:pStyle w:val="27"/>
              <w:spacing w:line="360" w:lineRule="auto"/>
              <w:rPr>
                <w:color w:val="auto"/>
                <w:sz w:val="22"/>
                <w:highlight w:val="none"/>
              </w:rPr>
            </w:pPr>
          </w:p>
        </w:tc>
        <w:tc>
          <w:tcPr>
            <w:tcW w:w="594" w:type="pct"/>
          </w:tcPr>
          <w:p w14:paraId="40016B19">
            <w:pPr>
              <w:pStyle w:val="27"/>
              <w:spacing w:line="360" w:lineRule="auto"/>
              <w:rPr>
                <w:color w:val="auto"/>
                <w:sz w:val="22"/>
                <w:highlight w:val="none"/>
              </w:rPr>
            </w:pPr>
          </w:p>
        </w:tc>
        <w:tc>
          <w:tcPr>
            <w:tcW w:w="395" w:type="pct"/>
          </w:tcPr>
          <w:p w14:paraId="05970128">
            <w:pPr>
              <w:pStyle w:val="27"/>
              <w:spacing w:line="360" w:lineRule="auto"/>
              <w:rPr>
                <w:color w:val="auto"/>
                <w:sz w:val="22"/>
                <w:highlight w:val="none"/>
              </w:rPr>
            </w:pPr>
          </w:p>
        </w:tc>
        <w:tc>
          <w:tcPr>
            <w:tcW w:w="1089" w:type="pct"/>
          </w:tcPr>
          <w:p w14:paraId="047A59C5">
            <w:pPr>
              <w:pStyle w:val="27"/>
              <w:spacing w:line="360" w:lineRule="auto"/>
              <w:rPr>
                <w:color w:val="auto"/>
                <w:sz w:val="22"/>
                <w:highlight w:val="none"/>
              </w:rPr>
            </w:pPr>
          </w:p>
        </w:tc>
      </w:tr>
    </w:tbl>
    <w:p w14:paraId="72C1FF3F">
      <w:pPr>
        <w:pStyle w:val="7"/>
        <w:spacing w:line="360" w:lineRule="auto"/>
        <w:rPr>
          <w:color w:val="auto"/>
          <w:highlight w:val="none"/>
        </w:rPr>
      </w:pPr>
    </w:p>
    <w:p w14:paraId="69A466C4">
      <w:pPr>
        <w:spacing w:line="360" w:lineRule="auto"/>
        <w:jc w:val="left"/>
        <w:rPr>
          <w:rFonts w:ascii="宋体" w:cs="宋体"/>
          <w:color w:val="auto"/>
          <w:sz w:val="24"/>
          <w:highlight w:val="none"/>
        </w:rPr>
      </w:pPr>
      <w:r>
        <w:rPr>
          <w:rFonts w:hint="eastAsia" w:ascii="宋体" w:hAnsi="宋体" w:cs="宋体"/>
          <w:color w:val="auto"/>
          <w:sz w:val="24"/>
          <w:highlight w:val="none"/>
        </w:rPr>
        <w:t>备注：若招标文件评分因素及评标标准中要求提供业绩的，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所列业绩应按其要求将证明材料按顺序附后。</w:t>
      </w:r>
    </w:p>
    <w:p w14:paraId="3C9AF4B7">
      <w:pPr>
        <w:spacing w:line="360" w:lineRule="auto"/>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14:paraId="0F09724D">
      <w:pPr>
        <w:spacing w:before="54" w:line="360" w:lineRule="auto"/>
        <w:jc w:val="center"/>
        <w:outlineLvl w:val="1"/>
        <w:rPr>
          <w:b/>
          <w:color w:val="auto"/>
          <w:sz w:val="32"/>
          <w:highlight w:val="none"/>
        </w:rPr>
      </w:pPr>
      <w:bookmarkStart w:id="535" w:name="七、售后服务及优惠条件"/>
      <w:bookmarkEnd w:id="535"/>
      <w:bookmarkStart w:id="536" w:name="_Toc8374"/>
      <w:bookmarkStart w:id="537" w:name="_Toc26288"/>
      <w:bookmarkStart w:id="538" w:name="_Toc24889"/>
      <w:bookmarkStart w:id="539" w:name="_Toc24222"/>
      <w:r>
        <w:rPr>
          <w:rFonts w:hint="eastAsia"/>
          <w:b/>
          <w:color w:val="auto"/>
          <w:sz w:val="32"/>
          <w:highlight w:val="none"/>
        </w:rPr>
        <w:t>七、实施方案</w:t>
      </w:r>
      <w:bookmarkEnd w:id="536"/>
      <w:bookmarkEnd w:id="537"/>
      <w:bookmarkEnd w:id="538"/>
      <w:bookmarkEnd w:id="539"/>
    </w:p>
    <w:p w14:paraId="7FEA0971">
      <w:pPr>
        <w:jc w:val="center"/>
        <w:rPr>
          <w:color w:val="auto"/>
          <w:highlight w:val="none"/>
        </w:rPr>
      </w:pPr>
      <w:bookmarkStart w:id="540" w:name="_Toc24813"/>
      <w:bookmarkStart w:id="541" w:name="_Toc24558"/>
      <w:bookmarkStart w:id="542" w:name="_Toc16080"/>
      <w:bookmarkStart w:id="543" w:name="_Toc30429"/>
      <w:r>
        <w:rPr>
          <w:rFonts w:hint="eastAsia"/>
          <w:color w:val="auto"/>
          <w:highlight w:val="none"/>
        </w:rPr>
        <w:t>（格式自拟）</w:t>
      </w:r>
      <w:bookmarkEnd w:id="540"/>
      <w:bookmarkEnd w:id="541"/>
      <w:bookmarkEnd w:id="542"/>
      <w:bookmarkEnd w:id="543"/>
    </w:p>
    <w:p w14:paraId="2BE2C487">
      <w:pPr>
        <w:pStyle w:val="20"/>
        <w:spacing w:line="360" w:lineRule="auto"/>
        <w:ind w:left="420" w:leftChars="200" w:firstLine="0"/>
        <w:rPr>
          <w:color w:val="auto"/>
          <w:highlight w:val="none"/>
        </w:rPr>
      </w:pPr>
    </w:p>
    <w:p w14:paraId="0FA7032D">
      <w:pPr>
        <w:spacing w:line="360" w:lineRule="auto"/>
        <w:rPr>
          <w:color w:val="auto"/>
          <w:highlight w:val="none"/>
        </w:rPr>
      </w:pPr>
    </w:p>
    <w:p w14:paraId="10CF38B6">
      <w:pPr>
        <w:pStyle w:val="20"/>
        <w:spacing w:line="360" w:lineRule="auto"/>
        <w:rPr>
          <w:color w:val="auto"/>
          <w:highlight w:val="none"/>
        </w:rPr>
      </w:pPr>
    </w:p>
    <w:p w14:paraId="7B787CB0">
      <w:pPr>
        <w:spacing w:line="360" w:lineRule="auto"/>
        <w:rPr>
          <w:color w:val="auto"/>
          <w:highlight w:val="none"/>
        </w:rPr>
      </w:pPr>
    </w:p>
    <w:p w14:paraId="5D616B14">
      <w:pPr>
        <w:pStyle w:val="20"/>
        <w:spacing w:line="360" w:lineRule="auto"/>
        <w:rPr>
          <w:color w:val="auto"/>
          <w:highlight w:val="none"/>
        </w:rPr>
      </w:pPr>
    </w:p>
    <w:p w14:paraId="19D4A005">
      <w:pPr>
        <w:spacing w:line="360" w:lineRule="auto"/>
        <w:rPr>
          <w:color w:val="auto"/>
          <w:highlight w:val="none"/>
        </w:rPr>
      </w:pPr>
    </w:p>
    <w:p w14:paraId="32FEFE9B">
      <w:pPr>
        <w:pStyle w:val="20"/>
        <w:spacing w:line="360" w:lineRule="auto"/>
        <w:rPr>
          <w:color w:val="auto"/>
          <w:highlight w:val="none"/>
        </w:rPr>
      </w:pPr>
    </w:p>
    <w:p w14:paraId="28FE2CBE">
      <w:pPr>
        <w:spacing w:line="360" w:lineRule="auto"/>
        <w:rPr>
          <w:color w:val="auto"/>
          <w:highlight w:val="none"/>
        </w:rPr>
      </w:pPr>
    </w:p>
    <w:p w14:paraId="628C82B8">
      <w:pPr>
        <w:pStyle w:val="20"/>
        <w:spacing w:line="360" w:lineRule="auto"/>
        <w:rPr>
          <w:color w:val="auto"/>
          <w:highlight w:val="none"/>
        </w:rPr>
      </w:pPr>
    </w:p>
    <w:p w14:paraId="6BE398E9">
      <w:pPr>
        <w:spacing w:line="360" w:lineRule="auto"/>
        <w:rPr>
          <w:color w:val="auto"/>
          <w:highlight w:val="none"/>
        </w:rPr>
      </w:pPr>
    </w:p>
    <w:p w14:paraId="776741E2">
      <w:pPr>
        <w:pStyle w:val="20"/>
        <w:spacing w:line="360" w:lineRule="auto"/>
        <w:rPr>
          <w:color w:val="auto"/>
          <w:highlight w:val="none"/>
        </w:rPr>
      </w:pPr>
    </w:p>
    <w:p w14:paraId="06620E91">
      <w:pPr>
        <w:spacing w:line="360" w:lineRule="auto"/>
        <w:rPr>
          <w:color w:val="auto"/>
          <w:highlight w:val="none"/>
        </w:rPr>
      </w:pPr>
    </w:p>
    <w:p w14:paraId="7D68E767">
      <w:pPr>
        <w:pStyle w:val="20"/>
        <w:spacing w:line="360" w:lineRule="auto"/>
        <w:rPr>
          <w:color w:val="auto"/>
          <w:highlight w:val="none"/>
        </w:rPr>
      </w:pPr>
    </w:p>
    <w:p w14:paraId="2F2D35F3">
      <w:pPr>
        <w:spacing w:line="360" w:lineRule="auto"/>
        <w:rPr>
          <w:color w:val="auto"/>
          <w:highlight w:val="none"/>
        </w:rPr>
      </w:pPr>
    </w:p>
    <w:p w14:paraId="77EABE77">
      <w:pPr>
        <w:pStyle w:val="20"/>
        <w:spacing w:line="360" w:lineRule="auto"/>
        <w:rPr>
          <w:color w:val="auto"/>
          <w:highlight w:val="none"/>
        </w:rPr>
      </w:pPr>
    </w:p>
    <w:p w14:paraId="4C045C6E">
      <w:pPr>
        <w:spacing w:line="360" w:lineRule="auto"/>
        <w:rPr>
          <w:color w:val="auto"/>
          <w:highlight w:val="none"/>
        </w:rPr>
      </w:pPr>
    </w:p>
    <w:p w14:paraId="158FBCC7">
      <w:pPr>
        <w:pStyle w:val="20"/>
        <w:spacing w:line="360" w:lineRule="auto"/>
        <w:rPr>
          <w:color w:val="auto"/>
          <w:highlight w:val="none"/>
        </w:rPr>
      </w:pPr>
    </w:p>
    <w:p w14:paraId="3EF91EBB">
      <w:pPr>
        <w:spacing w:line="360" w:lineRule="auto"/>
        <w:rPr>
          <w:color w:val="auto"/>
          <w:highlight w:val="none"/>
        </w:rPr>
      </w:pPr>
    </w:p>
    <w:p w14:paraId="35A0A4CC">
      <w:pPr>
        <w:pStyle w:val="20"/>
        <w:spacing w:line="360" w:lineRule="auto"/>
        <w:rPr>
          <w:color w:val="auto"/>
          <w:highlight w:val="none"/>
        </w:rPr>
      </w:pPr>
    </w:p>
    <w:p w14:paraId="0370D6F9">
      <w:pPr>
        <w:spacing w:line="360" w:lineRule="auto"/>
        <w:rPr>
          <w:color w:val="auto"/>
          <w:highlight w:val="none"/>
        </w:rPr>
      </w:pPr>
    </w:p>
    <w:p w14:paraId="3F7C12EC">
      <w:pPr>
        <w:pStyle w:val="20"/>
        <w:spacing w:line="360" w:lineRule="auto"/>
        <w:rPr>
          <w:color w:val="auto"/>
          <w:highlight w:val="none"/>
        </w:rPr>
      </w:pPr>
    </w:p>
    <w:p w14:paraId="23B95C6D">
      <w:pPr>
        <w:spacing w:line="360" w:lineRule="auto"/>
        <w:rPr>
          <w:color w:val="auto"/>
          <w:highlight w:val="none"/>
        </w:rPr>
      </w:pPr>
    </w:p>
    <w:p w14:paraId="75D5144A">
      <w:pPr>
        <w:pStyle w:val="20"/>
        <w:spacing w:line="360" w:lineRule="auto"/>
        <w:rPr>
          <w:color w:val="auto"/>
          <w:highlight w:val="none"/>
        </w:rPr>
      </w:pPr>
    </w:p>
    <w:p w14:paraId="45A74A20">
      <w:pPr>
        <w:spacing w:line="360" w:lineRule="auto"/>
        <w:rPr>
          <w:color w:val="auto"/>
          <w:highlight w:val="none"/>
        </w:rPr>
      </w:pPr>
    </w:p>
    <w:p w14:paraId="5664B1A5">
      <w:pPr>
        <w:spacing w:line="360" w:lineRule="auto"/>
        <w:rPr>
          <w:color w:val="auto"/>
          <w:highlight w:val="none"/>
        </w:rPr>
      </w:pPr>
    </w:p>
    <w:p w14:paraId="29EB1908">
      <w:pPr>
        <w:spacing w:before="54" w:line="360" w:lineRule="auto"/>
        <w:ind w:left="6"/>
        <w:jc w:val="center"/>
        <w:outlineLvl w:val="1"/>
        <w:rPr>
          <w:b/>
          <w:color w:val="auto"/>
          <w:sz w:val="32"/>
          <w:highlight w:val="none"/>
        </w:rPr>
      </w:pPr>
      <w:bookmarkStart w:id="544" w:name="_Toc7491"/>
      <w:bookmarkStart w:id="545" w:name="_Toc25273"/>
      <w:bookmarkStart w:id="546" w:name="_Toc18939"/>
      <w:r>
        <w:rPr>
          <w:rFonts w:hint="eastAsia"/>
          <w:b/>
          <w:color w:val="auto"/>
          <w:sz w:val="32"/>
          <w:highlight w:val="none"/>
        </w:rPr>
        <w:t>八、履约能力</w:t>
      </w:r>
      <w:bookmarkEnd w:id="544"/>
      <w:bookmarkEnd w:id="545"/>
      <w:bookmarkEnd w:id="546"/>
    </w:p>
    <w:p w14:paraId="19E7474E">
      <w:pPr>
        <w:spacing w:before="54" w:line="360" w:lineRule="auto"/>
        <w:ind w:left="6"/>
        <w:jc w:val="center"/>
        <w:rPr>
          <w:bCs/>
          <w:color w:val="auto"/>
          <w:szCs w:val="21"/>
          <w:highlight w:val="none"/>
        </w:rPr>
      </w:pPr>
      <w:r>
        <w:rPr>
          <w:rFonts w:hint="eastAsia"/>
          <w:bCs/>
          <w:color w:val="auto"/>
          <w:szCs w:val="21"/>
          <w:highlight w:val="none"/>
        </w:rPr>
        <w:t>（格式自拟）</w:t>
      </w:r>
    </w:p>
    <w:p w14:paraId="7AFE3811">
      <w:pPr>
        <w:jc w:val="left"/>
        <w:rPr>
          <w:b/>
          <w:color w:val="auto"/>
          <w:sz w:val="32"/>
          <w:highlight w:val="none"/>
        </w:rPr>
      </w:pPr>
      <w:r>
        <w:rPr>
          <w:b/>
          <w:color w:val="auto"/>
          <w:sz w:val="32"/>
          <w:highlight w:val="none"/>
        </w:rPr>
        <w:br w:type="page"/>
      </w:r>
    </w:p>
    <w:p w14:paraId="0DE12009">
      <w:pPr>
        <w:spacing w:before="54" w:line="360" w:lineRule="auto"/>
        <w:ind w:left="6"/>
        <w:jc w:val="center"/>
        <w:outlineLvl w:val="1"/>
        <w:rPr>
          <w:b/>
          <w:color w:val="auto"/>
          <w:sz w:val="32"/>
          <w:highlight w:val="none"/>
        </w:rPr>
      </w:pPr>
      <w:bookmarkStart w:id="547" w:name="_Toc21298"/>
      <w:bookmarkStart w:id="548" w:name="_Toc16342"/>
      <w:bookmarkStart w:id="549" w:name="_Toc11938"/>
      <w:r>
        <w:rPr>
          <w:rFonts w:hint="eastAsia"/>
          <w:b/>
          <w:color w:val="auto"/>
          <w:sz w:val="32"/>
          <w:highlight w:val="none"/>
        </w:rPr>
        <w:t>九、售后服务及培训方案</w:t>
      </w:r>
      <w:bookmarkEnd w:id="547"/>
      <w:bookmarkEnd w:id="548"/>
      <w:bookmarkEnd w:id="549"/>
    </w:p>
    <w:p w14:paraId="348E2C11">
      <w:pPr>
        <w:spacing w:before="54" w:line="360" w:lineRule="auto"/>
        <w:ind w:left="6"/>
        <w:jc w:val="center"/>
        <w:rPr>
          <w:b/>
          <w:color w:val="auto"/>
          <w:w w:val="95"/>
          <w:sz w:val="32"/>
          <w:highlight w:val="none"/>
        </w:rPr>
      </w:pPr>
    </w:p>
    <w:p w14:paraId="72122842">
      <w:pPr>
        <w:spacing w:line="360" w:lineRule="auto"/>
        <w:jc w:val="center"/>
        <w:rPr>
          <w:rFonts w:ascii="Arial" w:hAnsi="Arial"/>
          <w:bCs/>
          <w:color w:val="auto"/>
          <w:sz w:val="24"/>
          <w:szCs w:val="22"/>
          <w:highlight w:val="none"/>
        </w:rPr>
      </w:pPr>
      <w:r>
        <w:rPr>
          <w:rFonts w:hint="eastAsia" w:ascii="Arial" w:hAnsi="Arial"/>
          <w:bCs/>
          <w:color w:val="auto"/>
          <w:sz w:val="24"/>
          <w:szCs w:val="22"/>
          <w:highlight w:val="none"/>
        </w:rPr>
        <w:t>（格式自拟）</w:t>
      </w:r>
    </w:p>
    <w:p w14:paraId="282F119E">
      <w:pPr>
        <w:pStyle w:val="10"/>
        <w:spacing w:line="360" w:lineRule="auto"/>
        <w:ind w:left="31680" w:right="31680"/>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14:paraId="65BB508B">
      <w:pPr>
        <w:spacing w:before="54" w:line="360" w:lineRule="auto"/>
        <w:ind w:left="6"/>
        <w:jc w:val="center"/>
        <w:outlineLvl w:val="1"/>
        <w:rPr>
          <w:b/>
          <w:color w:val="auto"/>
          <w:sz w:val="32"/>
          <w:highlight w:val="none"/>
        </w:rPr>
      </w:pPr>
      <w:bookmarkStart w:id="550" w:name="_Toc12316"/>
      <w:bookmarkStart w:id="551" w:name="_Toc29592"/>
      <w:bookmarkStart w:id="552" w:name="_Toc27614"/>
      <w:r>
        <w:rPr>
          <w:rFonts w:hint="eastAsia"/>
          <w:b/>
          <w:color w:val="auto"/>
          <w:sz w:val="32"/>
          <w:highlight w:val="none"/>
        </w:rPr>
        <w:t>十、资格证明文件</w:t>
      </w:r>
      <w:bookmarkEnd w:id="550"/>
      <w:bookmarkEnd w:id="551"/>
      <w:bookmarkEnd w:id="552"/>
    </w:p>
    <w:p w14:paraId="0C12E76C">
      <w:pPr>
        <w:spacing w:before="212" w:line="360" w:lineRule="auto"/>
        <w:ind w:left="628" w:right="408"/>
        <w:jc w:val="center"/>
        <w:rPr>
          <w:b/>
          <w:color w:val="auto"/>
          <w:w w:val="95"/>
          <w:sz w:val="32"/>
          <w:highlight w:val="none"/>
        </w:rPr>
      </w:pPr>
      <w:bookmarkStart w:id="553" w:name="（一）资格审查资料"/>
      <w:bookmarkEnd w:id="553"/>
      <w:bookmarkStart w:id="554" w:name="_Toc16240"/>
      <w:bookmarkStart w:id="555" w:name="_Toc12520"/>
      <w:bookmarkStart w:id="556" w:name="_Toc100065839"/>
      <w:bookmarkStart w:id="557" w:name="_Toc25140"/>
      <w:bookmarkStart w:id="558" w:name="_Toc32080"/>
      <w:r>
        <w:rPr>
          <w:rFonts w:hint="eastAsia"/>
          <w:b/>
          <w:color w:val="auto"/>
          <w:w w:val="95"/>
          <w:sz w:val="32"/>
          <w:highlight w:val="none"/>
        </w:rPr>
        <w:t>（一）</w:t>
      </w:r>
      <w:r>
        <w:rPr>
          <w:rFonts w:hint="eastAsia"/>
          <w:b/>
          <w:color w:val="auto"/>
          <w:w w:val="95"/>
          <w:sz w:val="32"/>
          <w:highlight w:val="none"/>
          <w:lang w:eastAsia="zh-CN"/>
        </w:rPr>
        <w:t>投标人</w:t>
      </w:r>
      <w:r>
        <w:rPr>
          <w:rFonts w:hint="eastAsia"/>
          <w:b/>
          <w:color w:val="auto"/>
          <w:w w:val="95"/>
          <w:sz w:val="32"/>
          <w:highlight w:val="none"/>
        </w:rPr>
        <w:t>基本情况表</w:t>
      </w:r>
      <w:bookmarkEnd w:id="554"/>
      <w:bookmarkEnd w:id="555"/>
      <w:bookmarkEnd w:id="556"/>
      <w:bookmarkEnd w:id="557"/>
      <w:bookmarkEnd w:id="558"/>
    </w:p>
    <w:tbl>
      <w:tblPr>
        <w:tblStyle w:val="2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5"/>
        <w:gridCol w:w="873"/>
        <w:gridCol w:w="708"/>
        <w:gridCol w:w="818"/>
        <w:gridCol w:w="234"/>
        <w:gridCol w:w="166"/>
        <w:gridCol w:w="1027"/>
        <w:gridCol w:w="209"/>
        <w:gridCol w:w="583"/>
        <w:gridCol w:w="1925"/>
      </w:tblGrid>
      <w:tr w14:paraId="09246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0049EB9">
            <w:pPr>
              <w:autoSpaceDE w:val="0"/>
              <w:autoSpaceDN w:val="0"/>
              <w:spacing w:before="52"/>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zh-CN"/>
              </w:rPr>
              <w:t>投标人</w:t>
            </w:r>
            <w:r>
              <w:rPr>
                <w:rFonts w:hint="eastAsia" w:ascii="宋体" w:hAnsi="宋体" w:cs="宋体"/>
                <w:color w:val="auto"/>
                <w:szCs w:val="22"/>
                <w:highlight w:val="none"/>
                <w:lang w:eastAsia="en-US"/>
              </w:rPr>
              <w:t>名称</w:t>
            </w:r>
          </w:p>
        </w:tc>
        <w:tc>
          <w:tcPr>
            <w:tcW w:w="3937" w:type="pct"/>
            <w:gridSpan w:val="9"/>
          </w:tcPr>
          <w:p w14:paraId="7FACFCEE">
            <w:pPr>
              <w:autoSpaceDE w:val="0"/>
              <w:autoSpaceDN w:val="0"/>
              <w:rPr>
                <w:rFonts w:ascii="宋体" w:cs="宋体"/>
                <w:color w:val="auto"/>
                <w:sz w:val="22"/>
                <w:szCs w:val="22"/>
                <w:highlight w:val="none"/>
                <w:lang w:eastAsia="en-US"/>
              </w:rPr>
            </w:pPr>
          </w:p>
        </w:tc>
      </w:tr>
      <w:tr w14:paraId="47C8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37EF43A1">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注册地址</w:t>
            </w:r>
          </w:p>
        </w:tc>
        <w:tc>
          <w:tcPr>
            <w:tcW w:w="1684" w:type="pct"/>
            <w:gridSpan w:val="5"/>
          </w:tcPr>
          <w:p w14:paraId="56E4B8CB">
            <w:pPr>
              <w:autoSpaceDE w:val="0"/>
              <w:autoSpaceDN w:val="0"/>
              <w:rPr>
                <w:rFonts w:ascii="宋体" w:cs="宋体"/>
                <w:color w:val="auto"/>
                <w:sz w:val="22"/>
                <w:szCs w:val="22"/>
                <w:highlight w:val="none"/>
                <w:lang w:eastAsia="en-US"/>
              </w:rPr>
            </w:pPr>
          </w:p>
        </w:tc>
        <w:tc>
          <w:tcPr>
            <w:tcW w:w="618" w:type="pct"/>
          </w:tcPr>
          <w:p w14:paraId="2B0F5D35">
            <w:pPr>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邮政编码</w:t>
            </w:r>
          </w:p>
        </w:tc>
        <w:tc>
          <w:tcPr>
            <w:tcW w:w="1634" w:type="pct"/>
            <w:gridSpan w:val="3"/>
          </w:tcPr>
          <w:p w14:paraId="49C17B9E">
            <w:pPr>
              <w:autoSpaceDE w:val="0"/>
              <w:autoSpaceDN w:val="0"/>
              <w:rPr>
                <w:rFonts w:ascii="宋体" w:cs="宋体"/>
                <w:color w:val="auto"/>
                <w:sz w:val="22"/>
                <w:szCs w:val="22"/>
                <w:highlight w:val="none"/>
                <w:lang w:eastAsia="en-US"/>
              </w:rPr>
            </w:pPr>
          </w:p>
        </w:tc>
      </w:tr>
      <w:tr w14:paraId="5EB18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restart"/>
          </w:tcPr>
          <w:p w14:paraId="140C5ECF">
            <w:pPr>
              <w:autoSpaceDE w:val="0"/>
              <w:autoSpaceDN w:val="0"/>
              <w:spacing w:before="4"/>
              <w:rPr>
                <w:rFonts w:ascii="宋体" w:cs="宋体"/>
                <w:b/>
                <w:color w:val="auto"/>
                <w:sz w:val="26"/>
                <w:szCs w:val="22"/>
                <w:highlight w:val="none"/>
                <w:lang w:eastAsia="en-US"/>
              </w:rPr>
            </w:pPr>
          </w:p>
          <w:p w14:paraId="17557170">
            <w:pPr>
              <w:autoSpaceDE w:val="0"/>
              <w:autoSpaceDN w:val="0"/>
              <w:spacing w:before="1"/>
              <w:ind w:left="260"/>
              <w:rPr>
                <w:rFonts w:ascii="宋体" w:cs="宋体"/>
                <w:color w:val="auto"/>
                <w:sz w:val="24"/>
                <w:szCs w:val="22"/>
                <w:highlight w:val="none"/>
                <w:lang w:eastAsia="en-US"/>
              </w:rPr>
            </w:pPr>
            <w:r>
              <w:rPr>
                <w:rFonts w:hint="eastAsia" w:ascii="宋体" w:hAnsi="宋体" w:cs="宋体"/>
                <w:color w:val="auto"/>
                <w:szCs w:val="22"/>
                <w:highlight w:val="none"/>
                <w:lang w:eastAsia="en-US"/>
              </w:rPr>
              <w:t>联系方式</w:t>
            </w:r>
          </w:p>
        </w:tc>
        <w:tc>
          <w:tcPr>
            <w:tcW w:w="525" w:type="pct"/>
          </w:tcPr>
          <w:p w14:paraId="55B10C30">
            <w:pPr>
              <w:autoSpaceDE w:val="0"/>
              <w:autoSpaceDN w:val="0"/>
              <w:spacing w:before="50"/>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联系人</w:t>
            </w:r>
          </w:p>
        </w:tc>
        <w:tc>
          <w:tcPr>
            <w:tcW w:w="1159" w:type="pct"/>
            <w:gridSpan w:val="4"/>
          </w:tcPr>
          <w:p w14:paraId="3E8A74A6">
            <w:pPr>
              <w:autoSpaceDE w:val="0"/>
              <w:autoSpaceDN w:val="0"/>
              <w:rPr>
                <w:rFonts w:ascii="宋体" w:cs="宋体"/>
                <w:color w:val="auto"/>
                <w:sz w:val="22"/>
                <w:szCs w:val="22"/>
                <w:highlight w:val="none"/>
                <w:lang w:eastAsia="en-US"/>
              </w:rPr>
            </w:pPr>
          </w:p>
        </w:tc>
        <w:tc>
          <w:tcPr>
            <w:tcW w:w="618" w:type="pct"/>
          </w:tcPr>
          <w:p w14:paraId="4695C997">
            <w:pPr>
              <w:tabs>
                <w:tab w:val="left" w:pos="491"/>
              </w:tabs>
              <w:autoSpaceDE w:val="0"/>
              <w:autoSpaceDN w:val="0"/>
              <w:spacing w:before="50"/>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电</w:t>
            </w:r>
            <w:r>
              <w:rPr>
                <w:rFonts w:ascii="宋体" w:cs="宋体"/>
                <w:color w:val="auto"/>
                <w:szCs w:val="22"/>
                <w:highlight w:val="none"/>
                <w:lang w:eastAsia="en-US"/>
              </w:rPr>
              <w:tab/>
            </w:r>
            <w:r>
              <w:rPr>
                <w:rFonts w:hint="eastAsia" w:ascii="宋体" w:hAnsi="宋体" w:cs="宋体"/>
                <w:color w:val="auto"/>
                <w:szCs w:val="22"/>
                <w:highlight w:val="none"/>
                <w:lang w:eastAsia="en-US"/>
              </w:rPr>
              <w:t>话</w:t>
            </w:r>
          </w:p>
        </w:tc>
        <w:tc>
          <w:tcPr>
            <w:tcW w:w="1634" w:type="pct"/>
            <w:gridSpan w:val="3"/>
          </w:tcPr>
          <w:p w14:paraId="35BFD3A7">
            <w:pPr>
              <w:autoSpaceDE w:val="0"/>
              <w:autoSpaceDN w:val="0"/>
              <w:rPr>
                <w:rFonts w:ascii="宋体" w:cs="宋体"/>
                <w:color w:val="auto"/>
                <w:sz w:val="22"/>
                <w:szCs w:val="22"/>
                <w:highlight w:val="none"/>
                <w:lang w:eastAsia="en-US"/>
              </w:rPr>
            </w:pPr>
          </w:p>
        </w:tc>
      </w:tr>
      <w:tr w14:paraId="5A73B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continue"/>
            <w:vAlign w:val="center"/>
          </w:tcPr>
          <w:p w14:paraId="14824064">
            <w:pPr>
              <w:widowControl/>
              <w:jc w:val="left"/>
              <w:rPr>
                <w:rFonts w:ascii="宋体" w:cs="宋体"/>
                <w:color w:val="auto"/>
                <w:sz w:val="24"/>
                <w:szCs w:val="22"/>
                <w:highlight w:val="none"/>
                <w:lang w:eastAsia="en-US"/>
              </w:rPr>
            </w:pPr>
          </w:p>
        </w:tc>
        <w:tc>
          <w:tcPr>
            <w:tcW w:w="525" w:type="pct"/>
          </w:tcPr>
          <w:p w14:paraId="67B25BCE">
            <w:pPr>
              <w:tabs>
                <w:tab w:val="left" w:pos="487"/>
              </w:tabs>
              <w:autoSpaceDE w:val="0"/>
              <w:autoSpaceDN w:val="0"/>
              <w:spacing w:before="51"/>
              <w:ind w:left="7"/>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传</w:t>
            </w:r>
            <w:r>
              <w:rPr>
                <w:rFonts w:ascii="宋体" w:cs="宋体"/>
                <w:color w:val="auto"/>
                <w:szCs w:val="22"/>
                <w:highlight w:val="none"/>
                <w:lang w:eastAsia="en-US"/>
              </w:rPr>
              <w:tab/>
            </w:r>
            <w:r>
              <w:rPr>
                <w:rFonts w:hint="eastAsia" w:ascii="宋体" w:hAnsi="宋体" w:cs="宋体"/>
                <w:color w:val="auto"/>
                <w:szCs w:val="22"/>
                <w:highlight w:val="none"/>
                <w:lang w:eastAsia="en-US"/>
              </w:rPr>
              <w:t>真</w:t>
            </w:r>
          </w:p>
        </w:tc>
        <w:tc>
          <w:tcPr>
            <w:tcW w:w="1159" w:type="pct"/>
            <w:gridSpan w:val="4"/>
          </w:tcPr>
          <w:p w14:paraId="38278FB8">
            <w:pPr>
              <w:autoSpaceDE w:val="0"/>
              <w:autoSpaceDN w:val="0"/>
              <w:rPr>
                <w:rFonts w:ascii="宋体" w:cs="宋体"/>
                <w:color w:val="auto"/>
                <w:sz w:val="22"/>
                <w:szCs w:val="22"/>
                <w:highlight w:val="none"/>
                <w:lang w:eastAsia="en-US"/>
              </w:rPr>
            </w:pPr>
          </w:p>
        </w:tc>
        <w:tc>
          <w:tcPr>
            <w:tcW w:w="618" w:type="pct"/>
          </w:tcPr>
          <w:p w14:paraId="677143C8">
            <w:pPr>
              <w:tabs>
                <w:tab w:val="left" w:pos="491"/>
              </w:tabs>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网</w:t>
            </w:r>
            <w:r>
              <w:rPr>
                <w:rFonts w:ascii="宋体" w:cs="宋体"/>
                <w:color w:val="auto"/>
                <w:szCs w:val="22"/>
                <w:highlight w:val="none"/>
                <w:lang w:eastAsia="en-US"/>
              </w:rPr>
              <w:tab/>
            </w:r>
            <w:r>
              <w:rPr>
                <w:rFonts w:hint="eastAsia" w:ascii="宋体" w:hAnsi="宋体" w:cs="宋体"/>
                <w:color w:val="auto"/>
                <w:szCs w:val="22"/>
                <w:highlight w:val="none"/>
                <w:lang w:eastAsia="en-US"/>
              </w:rPr>
              <w:t>址</w:t>
            </w:r>
          </w:p>
        </w:tc>
        <w:tc>
          <w:tcPr>
            <w:tcW w:w="1634" w:type="pct"/>
            <w:gridSpan w:val="3"/>
          </w:tcPr>
          <w:p w14:paraId="21F4EBFA">
            <w:pPr>
              <w:autoSpaceDE w:val="0"/>
              <w:autoSpaceDN w:val="0"/>
              <w:rPr>
                <w:rFonts w:ascii="宋体" w:cs="宋体"/>
                <w:color w:val="auto"/>
                <w:sz w:val="22"/>
                <w:szCs w:val="22"/>
                <w:highlight w:val="none"/>
                <w:lang w:eastAsia="en-US"/>
              </w:rPr>
            </w:pPr>
          </w:p>
        </w:tc>
      </w:tr>
      <w:tr w14:paraId="175D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E5042E5">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组织结构</w:t>
            </w:r>
          </w:p>
        </w:tc>
        <w:tc>
          <w:tcPr>
            <w:tcW w:w="3937" w:type="pct"/>
            <w:gridSpan w:val="9"/>
          </w:tcPr>
          <w:p w14:paraId="58408241">
            <w:pPr>
              <w:autoSpaceDE w:val="0"/>
              <w:autoSpaceDN w:val="0"/>
              <w:rPr>
                <w:rFonts w:ascii="宋体" w:cs="宋体"/>
                <w:color w:val="auto"/>
                <w:sz w:val="22"/>
                <w:szCs w:val="22"/>
                <w:highlight w:val="none"/>
                <w:lang w:eastAsia="en-US"/>
              </w:rPr>
            </w:pPr>
          </w:p>
        </w:tc>
      </w:tr>
      <w:tr w14:paraId="493EE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37C6951">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法定代表人</w:t>
            </w:r>
          </w:p>
        </w:tc>
        <w:tc>
          <w:tcPr>
            <w:tcW w:w="525" w:type="pct"/>
          </w:tcPr>
          <w:p w14:paraId="5AB57F8E">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14:paraId="3D4B8F3C">
            <w:pPr>
              <w:autoSpaceDE w:val="0"/>
              <w:autoSpaceDN w:val="0"/>
              <w:rPr>
                <w:rFonts w:ascii="宋体" w:cs="宋体"/>
                <w:color w:val="auto"/>
                <w:sz w:val="22"/>
                <w:szCs w:val="22"/>
                <w:highlight w:val="none"/>
                <w:lang w:eastAsia="en-US"/>
              </w:rPr>
            </w:pPr>
          </w:p>
        </w:tc>
        <w:tc>
          <w:tcPr>
            <w:tcW w:w="633" w:type="pct"/>
            <w:gridSpan w:val="2"/>
          </w:tcPr>
          <w:p w14:paraId="6C5DB1C7">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14:paraId="3271C575">
            <w:pPr>
              <w:autoSpaceDE w:val="0"/>
              <w:autoSpaceDN w:val="0"/>
              <w:rPr>
                <w:rFonts w:ascii="宋体" w:cs="宋体"/>
                <w:color w:val="auto"/>
                <w:sz w:val="22"/>
                <w:szCs w:val="22"/>
                <w:highlight w:val="none"/>
                <w:lang w:eastAsia="en-US"/>
              </w:rPr>
            </w:pPr>
          </w:p>
        </w:tc>
        <w:tc>
          <w:tcPr>
            <w:tcW w:w="351" w:type="pct"/>
          </w:tcPr>
          <w:p w14:paraId="64812E0E">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14:paraId="54CFAC74">
            <w:pPr>
              <w:autoSpaceDE w:val="0"/>
              <w:autoSpaceDN w:val="0"/>
              <w:rPr>
                <w:rFonts w:ascii="宋体" w:cs="宋体"/>
                <w:color w:val="auto"/>
                <w:sz w:val="22"/>
                <w:szCs w:val="22"/>
                <w:highlight w:val="none"/>
                <w:lang w:eastAsia="en-US"/>
              </w:rPr>
            </w:pPr>
          </w:p>
        </w:tc>
      </w:tr>
      <w:tr w14:paraId="1685E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7A4E0CF6">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项目负责人</w:t>
            </w:r>
          </w:p>
        </w:tc>
        <w:tc>
          <w:tcPr>
            <w:tcW w:w="525" w:type="pct"/>
          </w:tcPr>
          <w:p w14:paraId="1521E2AC">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14:paraId="74CD8B76">
            <w:pPr>
              <w:autoSpaceDE w:val="0"/>
              <w:autoSpaceDN w:val="0"/>
              <w:rPr>
                <w:rFonts w:ascii="宋体" w:cs="宋体"/>
                <w:color w:val="auto"/>
                <w:sz w:val="22"/>
                <w:szCs w:val="22"/>
                <w:highlight w:val="none"/>
                <w:lang w:eastAsia="en-US"/>
              </w:rPr>
            </w:pPr>
          </w:p>
        </w:tc>
        <w:tc>
          <w:tcPr>
            <w:tcW w:w="633" w:type="pct"/>
            <w:gridSpan w:val="2"/>
          </w:tcPr>
          <w:p w14:paraId="315A036D">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14:paraId="0CE7F66B">
            <w:pPr>
              <w:autoSpaceDE w:val="0"/>
              <w:autoSpaceDN w:val="0"/>
              <w:rPr>
                <w:rFonts w:ascii="宋体" w:cs="宋体"/>
                <w:color w:val="auto"/>
                <w:sz w:val="22"/>
                <w:szCs w:val="22"/>
                <w:highlight w:val="none"/>
                <w:lang w:eastAsia="en-US"/>
              </w:rPr>
            </w:pPr>
          </w:p>
        </w:tc>
        <w:tc>
          <w:tcPr>
            <w:tcW w:w="351" w:type="pct"/>
          </w:tcPr>
          <w:p w14:paraId="069D15FA">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14:paraId="784EBC6C">
            <w:pPr>
              <w:autoSpaceDE w:val="0"/>
              <w:autoSpaceDN w:val="0"/>
              <w:rPr>
                <w:rFonts w:ascii="宋体" w:cs="宋体"/>
                <w:color w:val="auto"/>
                <w:sz w:val="22"/>
                <w:szCs w:val="22"/>
                <w:highlight w:val="none"/>
                <w:lang w:eastAsia="en-US"/>
              </w:rPr>
            </w:pPr>
          </w:p>
        </w:tc>
      </w:tr>
      <w:tr w14:paraId="4FC2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6925C267">
            <w:pPr>
              <w:autoSpaceDE w:val="0"/>
              <w:autoSpaceDN w:val="0"/>
              <w:spacing w:before="52"/>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成立时间</w:t>
            </w:r>
          </w:p>
        </w:tc>
        <w:tc>
          <w:tcPr>
            <w:tcW w:w="951" w:type="pct"/>
            <w:gridSpan w:val="2"/>
          </w:tcPr>
          <w:p w14:paraId="72C6BBC1">
            <w:pPr>
              <w:autoSpaceDE w:val="0"/>
              <w:autoSpaceDN w:val="0"/>
              <w:rPr>
                <w:rFonts w:ascii="宋体" w:cs="宋体"/>
                <w:color w:val="auto"/>
                <w:sz w:val="22"/>
                <w:szCs w:val="22"/>
                <w:highlight w:val="none"/>
                <w:lang w:eastAsia="en-US"/>
              </w:rPr>
            </w:pPr>
          </w:p>
        </w:tc>
        <w:tc>
          <w:tcPr>
            <w:tcW w:w="2985" w:type="pct"/>
            <w:gridSpan w:val="7"/>
          </w:tcPr>
          <w:p w14:paraId="1226BA54">
            <w:pPr>
              <w:autoSpaceDE w:val="0"/>
              <w:autoSpaceDN w:val="0"/>
              <w:spacing w:before="52"/>
              <w:ind w:left="107"/>
              <w:rPr>
                <w:rFonts w:ascii="宋体" w:cs="宋体"/>
                <w:color w:val="auto"/>
                <w:sz w:val="24"/>
                <w:szCs w:val="22"/>
                <w:highlight w:val="none"/>
              </w:rPr>
            </w:pPr>
            <w:r>
              <w:rPr>
                <w:rFonts w:hint="eastAsia" w:ascii="宋体" w:hAnsi="宋体" w:cs="宋体"/>
                <w:color w:val="auto"/>
                <w:szCs w:val="22"/>
                <w:highlight w:val="none"/>
                <w:lang w:eastAsia="en-US"/>
              </w:rPr>
              <w:t>员工总人数</w:t>
            </w:r>
            <w:r>
              <w:rPr>
                <w:rFonts w:hint="eastAsia" w:ascii="宋体" w:hAnsi="宋体" w:cs="宋体"/>
                <w:color w:val="auto"/>
                <w:szCs w:val="22"/>
                <w:highlight w:val="none"/>
              </w:rPr>
              <w:t>：</w:t>
            </w:r>
          </w:p>
        </w:tc>
      </w:tr>
      <w:tr w14:paraId="0889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3764A12C">
            <w:pPr>
              <w:autoSpaceDE w:val="0"/>
              <w:autoSpaceDN w:val="0"/>
              <w:spacing w:before="51"/>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en-US"/>
              </w:rPr>
              <w:t>营业执照号</w:t>
            </w:r>
          </w:p>
        </w:tc>
        <w:tc>
          <w:tcPr>
            <w:tcW w:w="951" w:type="pct"/>
            <w:gridSpan w:val="2"/>
          </w:tcPr>
          <w:p w14:paraId="3FCA593C">
            <w:pPr>
              <w:autoSpaceDE w:val="0"/>
              <w:autoSpaceDN w:val="0"/>
              <w:rPr>
                <w:rFonts w:ascii="宋体" w:cs="宋体"/>
                <w:color w:val="auto"/>
                <w:sz w:val="22"/>
                <w:szCs w:val="22"/>
                <w:highlight w:val="none"/>
                <w:lang w:eastAsia="en-US"/>
              </w:rPr>
            </w:pPr>
          </w:p>
        </w:tc>
        <w:tc>
          <w:tcPr>
            <w:tcW w:w="492" w:type="pct"/>
            <w:vMerge w:val="restart"/>
          </w:tcPr>
          <w:p w14:paraId="40EEF322">
            <w:pPr>
              <w:autoSpaceDE w:val="0"/>
              <w:autoSpaceDN w:val="0"/>
              <w:rPr>
                <w:rFonts w:ascii="宋体" w:cs="宋体"/>
                <w:color w:val="auto"/>
                <w:sz w:val="22"/>
                <w:szCs w:val="22"/>
                <w:highlight w:val="none"/>
                <w:lang w:eastAsia="en-US"/>
              </w:rPr>
            </w:pPr>
          </w:p>
        </w:tc>
        <w:tc>
          <w:tcPr>
            <w:tcW w:w="985" w:type="pct"/>
            <w:gridSpan w:val="4"/>
          </w:tcPr>
          <w:p w14:paraId="478DDD64">
            <w:pPr>
              <w:autoSpaceDE w:val="0"/>
              <w:autoSpaceDN w:val="0"/>
              <w:spacing w:before="51"/>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高级职称人员</w:t>
            </w:r>
          </w:p>
        </w:tc>
        <w:tc>
          <w:tcPr>
            <w:tcW w:w="1507" w:type="pct"/>
            <w:gridSpan w:val="2"/>
          </w:tcPr>
          <w:p w14:paraId="64DFC734">
            <w:pPr>
              <w:autoSpaceDE w:val="0"/>
              <w:autoSpaceDN w:val="0"/>
              <w:rPr>
                <w:rFonts w:ascii="宋体" w:cs="宋体"/>
                <w:color w:val="auto"/>
                <w:sz w:val="22"/>
                <w:szCs w:val="22"/>
                <w:highlight w:val="none"/>
                <w:lang w:eastAsia="en-US"/>
              </w:rPr>
            </w:pPr>
          </w:p>
        </w:tc>
      </w:tr>
      <w:tr w14:paraId="399F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04DE91FA">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注册资金</w:t>
            </w:r>
          </w:p>
        </w:tc>
        <w:tc>
          <w:tcPr>
            <w:tcW w:w="951" w:type="pct"/>
            <w:gridSpan w:val="2"/>
          </w:tcPr>
          <w:p w14:paraId="5C854524">
            <w:pPr>
              <w:autoSpaceDE w:val="0"/>
              <w:autoSpaceDN w:val="0"/>
              <w:rPr>
                <w:rFonts w:ascii="宋体" w:cs="宋体"/>
                <w:color w:val="auto"/>
                <w:sz w:val="22"/>
                <w:szCs w:val="22"/>
                <w:highlight w:val="none"/>
                <w:lang w:eastAsia="en-US"/>
              </w:rPr>
            </w:pPr>
          </w:p>
        </w:tc>
        <w:tc>
          <w:tcPr>
            <w:tcW w:w="492" w:type="pct"/>
            <w:vMerge w:val="continue"/>
            <w:vAlign w:val="center"/>
          </w:tcPr>
          <w:p w14:paraId="0E83B289">
            <w:pPr>
              <w:widowControl/>
              <w:jc w:val="left"/>
              <w:rPr>
                <w:rFonts w:ascii="宋体" w:cs="宋体"/>
                <w:color w:val="auto"/>
                <w:sz w:val="22"/>
                <w:szCs w:val="22"/>
                <w:highlight w:val="none"/>
                <w:lang w:eastAsia="en-US"/>
              </w:rPr>
            </w:pPr>
          </w:p>
        </w:tc>
        <w:tc>
          <w:tcPr>
            <w:tcW w:w="985" w:type="pct"/>
            <w:gridSpan w:val="4"/>
          </w:tcPr>
          <w:p w14:paraId="5A0FF6CB">
            <w:pPr>
              <w:autoSpaceDE w:val="0"/>
              <w:autoSpaceDN w:val="0"/>
              <w:spacing w:before="50"/>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中级职称人员</w:t>
            </w:r>
          </w:p>
        </w:tc>
        <w:tc>
          <w:tcPr>
            <w:tcW w:w="1507" w:type="pct"/>
            <w:gridSpan w:val="2"/>
          </w:tcPr>
          <w:p w14:paraId="0034A213">
            <w:pPr>
              <w:autoSpaceDE w:val="0"/>
              <w:autoSpaceDN w:val="0"/>
              <w:rPr>
                <w:rFonts w:ascii="宋体" w:cs="宋体"/>
                <w:color w:val="auto"/>
                <w:sz w:val="22"/>
                <w:szCs w:val="22"/>
                <w:highlight w:val="none"/>
                <w:lang w:eastAsia="en-US"/>
              </w:rPr>
            </w:pPr>
          </w:p>
        </w:tc>
      </w:tr>
      <w:tr w14:paraId="5A69C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135E332D">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开户银行</w:t>
            </w:r>
          </w:p>
        </w:tc>
        <w:tc>
          <w:tcPr>
            <w:tcW w:w="951" w:type="pct"/>
            <w:gridSpan w:val="2"/>
          </w:tcPr>
          <w:p w14:paraId="20674DDB">
            <w:pPr>
              <w:autoSpaceDE w:val="0"/>
              <w:autoSpaceDN w:val="0"/>
              <w:rPr>
                <w:rFonts w:ascii="宋体" w:cs="宋体"/>
                <w:color w:val="auto"/>
                <w:sz w:val="22"/>
                <w:szCs w:val="22"/>
                <w:highlight w:val="none"/>
                <w:lang w:eastAsia="en-US"/>
              </w:rPr>
            </w:pPr>
          </w:p>
        </w:tc>
        <w:tc>
          <w:tcPr>
            <w:tcW w:w="492" w:type="pct"/>
            <w:vMerge w:val="continue"/>
            <w:vAlign w:val="center"/>
          </w:tcPr>
          <w:p w14:paraId="651EA1D9">
            <w:pPr>
              <w:widowControl/>
              <w:jc w:val="left"/>
              <w:rPr>
                <w:rFonts w:ascii="宋体" w:cs="宋体"/>
                <w:color w:val="auto"/>
                <w:sz w:val="22"/>
                <w:szCs w:val="22"/>
                <w:highlight w:val="none"/>
                <w:lang w:eastAsia="en-US"/>
              </w:rPr>
            </w:pPr>
          </w:p>
        </w:tc>
        <w:tc>
          <w:tcPr>
            <w:tcW w:w="985" w:type="pct"/>
            <w:gridSpan w:val="4"/>
          </w:tcPr>
          <w:p w14:paraId="3A37562F">
            <w:pPr>
              <w:autoSpaceDE w:val="0"/>
              <w:autoSpaceDN w:val="0"/>
              <w:spacing w:before="51"/>
              <w:ind w:left="511"/>
              <w:rPr>
                <w:rFonts w:ascii="宋体" w:cs="宋体"/>
                <w:color w:val="auto"/>
                <w:sz w:val="24"/>
                <w:szCs w:val="22"/>
                <w:highlight w:val="none"/>
                <w:lang w:eastAsia="en-US"/>
              </w:rPr>
            </w:pPr>
            <w:r>
              <w:rPr>
                <w:rFonts w:hint="eastAsia" w:ascii="宋体" w:hAnsi="宋体" w:cs="宋体"/>
                <w:color w:val="auto"/>
                <w:szCs w:val="22"/>
                <w:highlight w:val="none"/>
                <w:lang w:eastAsia="en-US"/>
              </w:rPr>
              <w:t>其他人员</w:t>
            </w:r>
          </w:p>
        </w:tc>
        <w:tc>
          <w:tcPr>
            <w:tcW w:w="1507" w:type="pct"/>
            <w:gridSpan w:val="2"/>
          </w:tcPr>
          <w:p w14:paraId="079E3A1F">
            <w:pPr>
              <w:autoSpaceDE w:val="0"/>
              <w:autoSpaceDN w:val="0"/>
              <w:rPr>
                <w:rFonts w:ascii="宋体" w:cs="宋体"/>
                <w:color w:val="auto"/>
                <w:sz w:val="22"/>
                <w:szCs w:val="22"/>
                <w:highlight w:val="none"/>
                <w:lang w:eastAsia="en-US"/>
              </w:rPr>
            </w:pPr>
          </w:p>
        </w:tc>
      </w:tr>
      <w:tr w14:paraId="361BE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C3BA637">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账号</w:t>
            </w:r>
          </w:p>
        </w:tc>
        <w:tc>
          <w:tcPr>
            <w:tcW w:w="951" w:type="pct"/>
            <w:gridSpan w:val="2"/>
          </w:tcPr>
          <w:p w14:paraId="784A934D">
            <w:pPr>
              <w:autoSpaceDE w:val="0"/>
              <w:autoSpaceDN w:val="0"/>
              <w:rPr>
                <w:rFonts w:ascii="宋体" w:cs="宋体"/>
                <w:color w:val="auto"/>
                <w:sz w:val="22"/>
                <w:szCs w:val="22"/>
                <w:highlight w:val="none"/>
                <w:lang w:eastAsia="en-US"/>
              </w:rPr>
            </w:pPr>
          </w:p>
        </w:tc>
        <w:tc>
          <w:tcPr>
            <w:tcW w:w="492" w:type="pct"/>
            <w:vMerge w:val="continue"/>
            <w:vAlign w:val="center"/>
          </w:tcPr>
          <w:p w14:paraId="3A5F16FE">
            <w:pPr>
              <w:widowControl/>
              <w:jc w:val="left"/>
              <w:rPr>
                <w:rFonts w:ascii="宋体" w:cs="宋体"/>
                <w:color w:val="auto"/>
                <w:sz w:val="22"/>
                <w:szCs w:val="22"/>
                <w:highlight w:val="none"/>
                <w:lang w:eastAsia="en-US"/>
              </w:rPr>
            </w:pPr>
          </w:p>
        </w:tc>
        <w:tc>
          <w:tcPr>
            <w:tcW w:w="985" w:type="pct"/>
            <w:gridSpan w:val="4"/>
          </w:tcPr>
          <w:p w14:paraId="77AA6C1C">
            <w:pPr>
              <w:autoSpaceDE w:val="0"/>
              <w:autoSpaceDN w:val="0"/>
              <w:rPr>
                <w:rFonts w:ascii="宋体" w:cs="宋体"/>
                <w:color w:val="auto"/>
                <w:sz w:val="22"/>
                <w:szCs w:val="22"/>
                <w:highlight w:val="none"/>
                <w:lang w:eastAsia="en-US"/>
              </w:rPr>
            </w:pPr>
          </w:p>
        </w:tc>
        <w:tc>
          <w:tcPr>
            <w:tcW w:w="1507" w:type="pct"/>
            <w:gridSpan w:val="2"/>
          </w:tcPr>
          <w:p w14:paraId="65D94B7C">
            <w:pPr>
              <w:autoSpaceDE w:val="0"/>
              <w:autoSpaceDN w:val="0"/>
              <w:rPr>
                <w:rFonts w:ascii="宋体" w:cs="宋体"/>
                <w:color w:val="auto"/>
                <w:sz w:val="22"/>
                <w:szCs w:val="22"/>
                <w:highlight w:val="none"/>
                <w:lang w:eastAsia="en-US"/>
              </w:rPr>
            </w:pPr>
          </w:p>
        </w:tc>
      </w:tr>
      <w:tr w14:paraId="6577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62" w:type="pct"/>
          </w:tcPr>
          <w:p w14:paraId="1E189747">
            <w:pPr>
              <w:autoSpaceDE w:val="0"/>
              <w:autoSpaceDN w:val="0"/>
              <w:spacing w:before="8"/>
              <w:rPr>
                <w:rFonts w:ascii="宋体" w:cs="宋体"/>
                <w:b/>
                <w:color w:val="auto"/>
                <w:sz w:val="33"/>
                <w:szCs w:val="22"/>
                <w:highlight w:val="none"/>
                <w:lang w:eastAsia="en-US"/>
              </w:rPr>
            </w:pPr>
          </w:p>
          <w:p w14:paraId="1575E305">
            <w:pPr>
              <w:autoSpaceDE w:val="0"/>
              <w:autoSpaceDN w:val="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经营范围</w:t>
            </w:r>
          </w:p>
        </w:tc>
        <w:tc>
          <w:tcPr>
            <w:tcW w:w="3937" w:type="pct"/>
            <w:gridSpan w:val="9"/>
          </w:tcPr>
          <w:p w14:paraId="4E6AD540">
            <w:pPr>
              <w:autoSpaceDE w:val="0"/>
              <w:autoSpaceDN w:val="0"/>
              <w:rPr>
                <w:rFonts w:ascii="宋体" w:cs="宋体"/>
                <w:color w:val="auto"/>
                <w:sz w:val="22"/>
                <w:szCs w:val="22"/>
                <w:highlight w:val="none"/>
                <w:lang w:eastAsia="en-US"/>
              </w:rPr>
            </w:pPr>
          </w:p>
        </w:tc>
      </w:tr>
      <w:tr w14:paraId="2799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62" w:type="pct"/>
          </w:tcPr>
          <w:p w14:paraId="3645DEBC">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备注</w:t>
            </w:r>
          </w:p>
        </w:tc>
        <w:tc>
          <w:tcPr>
            <w:tcW w:w="3937" w:type="pct"/>
            <w:gridSpan w:val="9"/>
          </w:tcPr>
          <w:p w14:paraId="125B7CA2">
            <w:pPr>
              <w:autoSpaceDE w:val="0"/>
              <w:autoSpaceDN w:val="0"/>
              <w:rPr>
                <w:rFonts w:ascii="宋体" w:cs="宋体"/>
                <w:color w:val="auto"/>
                <w:sz w:val="22"/>
                <w:szCs w:val="22"/>
                <w:highlight w:val="none"/>
                <w:lang w:eastAsia="en-US"/>
              </w:rPr>
            </w:pPr>
          </w:p>
        </w:tc>
      </w:tr>
    </w:tbl>
    <w:p w14:paraId="088DBB36">
      <w:pPr>
        <w:spacing w:after="120"/>
        <w:rPr>
          <w:rFonts w:ascii="宋体" w:cs="宋体"/>
          <w:b/>
          <w:color w:val="auto"/>
          <w:sz w:val="20"/>
          <w:highlight w:val="none"/>
        </w:rPr>
      </w:pPr>
    </w:p>
    <w:p w14:paraId="1116E8F8">
      <w:pPr>
        <w:spacing w:line="360" w:lineRule="auto"/>
        <w:ind w:firstLine="630" w:firstLineChars="300"/>
        <w:jc w:val="left"/>
        <w:rPr>
          <w:rFonts w:ascii="宋体" w:cs="宋体"/>
          <w:color w:val="auto"/>
          <w:highlight w:val="none"/>
        </w:rPr>
      </w:pPr>
      <w:r>
        <w:rPr>
          <w:rFonts w:hint="eastAsia" w:ascii="宋体" w:hAnsi="宋体" w:cs="宋体"/>
          <w:color w:val="auto"/>
          <w:highlight w:val="none"/>
        </w:rPr>
        <w:t>备注：后附营业执照。</w:t>
      </w:r>
    </w:p>
    <w:p w14:paraId="333B7CFE">
      <w:pPr>
        <w:spacing w:line="360" w:lineRule="auto"/>
        <w:jc w:val="center"/>
        <w:rPr>
          <w:b/>
          <w:color w:val="auto"/>
          <w:sz w:val="32"/>
          <w:highlight w:val="none"/>
        </w:rPr>
      </w:pPr>
      <w:r>
        <w:rPr>
          <w:rFonts w:ascii="宋体" w:cs="宋体"/>
          <w:color w:val="auto"/>
          <w:highlight w:val="none"/>
        </w:rPr>
        <w:br w:type="page"/>
      </w:r>
      <w:r>
        <w:rPr>
          <w:rFonts w:hint="eastAsia"/>
          <w:b/>
          <w:color w:val="auto"/>
          <w:w w:val="95"/>
          <w:sz w:val="32"/>
          <w:highlight w:val="none"/>
        </w:rPr>
        <w:t>（二）资格审查资料</w:t>
      </w:r>
    </w:p>
    <w:p w14:paraId="1B863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bookmarkStart w:id="559" w:name="（二）供应商基本情况表"/>
      <w:bookmarkEnd w:id="559"/>
    </w:p>
    <w:p w14:paraId="501EF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14:paraId="0E25A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14:paraId="5101EB8D">
      <w:pPr>
        <w:rPr>
          <w:rFonts w:hint="eastAsia" w:ascii="宋体" w:hAnsi="宋体" w:eastAsia="宋体" w:cs="宋体"/>
          <w:b/>
          <w:bCs/>
          <w:color w:val="auto"/>
          <w:sz w:val="28"/>
          <w:szCs w:val="28"/>
          <w:highlight w:val="none"/>
          <w:shd w:val="clear" w:color="FFFFFF" w:fill="auto"/>
          <w:lang w:eastAsia="zh-CN"/>
        </w:rPr>
      </w:pPr>
      <w:r>
        <w:rPr>
          <w:rFonts w:hint="eastAsia" w:ascii="宋体" w:hAnsi="宋体" w:eastAsia="宋体" w:cs="宋体"/>
          <w:b/>
          <w:bCs/>
          <w:color w:val="auto"/>
          <w:sz w:val="28"/>
          <w:szCs w:val="28"/>
          <w:highlight w:val="none"/>
          <w:shd w:val="clear" w:color="FFFFFF" w:fill="auto"/>
          <w:lang w:eastAsia="zh-CN"/>
        </w:rPr>
        <w:br w:type="page"/>
      </w:r>
    </w:p>
    <w:p w14:paraId="6979692E">
      <w:pPr>
        <w:spacing w:line="360" w:lineRule="auto"/>
        <w:ind w:right="598" w:rightChars="285"/>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8"/>
          <w:szCs w:val="28"/>
          <w:highlight w:val="none"/>
          <w:shd w:val="clear" w:color="FFFFFF" w:fill="auto"/>
          <w:lang w:eastAsia="zh-CN"/>
        </w:rPr>
        <w:t>附件</w:t>
      </w:r>
      <w:r>
        <w:rPr>
          <w:rFonts w:hint="eastAsia" w:ascii="宋体" w:hAnsi="宋体" w:cs="宋体"/>
          <w:b/>
          <w:bCs/>
          <w:color w:val="auto"/>
          <w:sz w:val="28"/>
          <w:szCs w:val="28"/>
          <w:highlight w:val="none"/>
          <w:shd w:val="clear" w:color="FFFFFF" w:fill="auto"/>
          <w:lang w:val="en-US" w:eastAsia="zh-CN"/>
        </w:rPr>
        <w:t>1</w:t>
      </w:r>
      <w:r>
        <w:rPr>
          <w:rFonts w:hint="eastAsia" w:ascii="宋体" w:hAnsi="宋体" w:eastAsia="宋体" w:cs="宋体"/>
          <w:b/>
          <w:bCs/>
          <w:color w:val="auto"/>
          <w:sz w:val="28"/>
          <w:szCs w:val="28"/>
          <w:highlight w:val="none"/>
          <w:shd w:val="clear" w:color="FFFFFF" w:fill="auto"/>
          <w:lang w:eastAsia="zh-CN"/>
        </w:rPr>
        <w:t>：</w:t>
      </w:r>
    </w:p>
    <w:p w14:paraId="29E14745">
      <w:pPr>
        <w:spacing w:line="360" w:lineRule="auto"/>
        <w:ind w:right="598" w:rightChars="285"/>
        <w:jc w:val="center"/>
        <w:rPr>
          <w:rFonts w:hint="eastAsia"/>
          <w:b/>
          <w:bCs/>
          <w:color w:val="auto"/>
          <w:sz w:val="24"/>
          <w:szCs w:val="24"/>
          <w:highlight w:val="none"/>
          <w:lang w:eastAsia="zh-CN"/>
        </w:rPr>
      </w:pPr>
      <w:r>
        <w:rPr>
          <w:rFonts w:hint="eastAsia"/>
          <w:b/>
          <w:bCs/>
          <w:color w:val="auto"/>
          <w:sz w:val="28"/>
          <w:szCs w:val="28"/>
          <w:highlight w:val="none"/>
          <w:lang w:eastAsia="zh-CN"/>
        </w:rPr>
        <w:t>承诺函（固定格式）</w:t>
      </w:r>
    </w:p>
    <w:p w14:paraId="7C54B9D0">
      <w:pPr>
        <w:spacing w:line="360" w:lineRule="auto"/>
        <w:ind w:right="598" w:rightChars="285"/>
        <w:rPr>
          <w:b/>
          <w:bCs/>
          <w:color w:val="auto"/>
          <w:sz w:val="24"/>
          <w:szCs w:val="24"/>
          <w:highlight w:val="none"/>
          <w:lang w:eastAsia="zh-CN"/>
        </w:rPr>
      </w:pPr>
      <w:r>
        <w:rPr>
          <w:rFonts w:hint="eastAsia"/>
          <w:b/>
          <w:bCs/>
          <w:color w:val="auto"/>
          <w:sz w:val="24"/>
          <w:szCs w:val="24"/>
          <w:highlight w:val="none"/>
          <w:lang w:eastAsia="zh-CN"/>
        </w:rPr>
        <w:t>致：</w:t>
      </w:r>
      <w:r>
        <w:rPr>
          <w:rFonts w:hint="eastAsia"/>
          <w:b/>
          <w:bCs/>
          <w:color w:val="auto"/>
          <w:sz w:val="24"/>
          <w:szCs w:val="24"/>
          <w:highlight w:val="none"/>
          <w:u w:val="single"/>
          <w:lang w:eastAsia="zh-CN"/>
        </w:rPr>
        <w:t>平顶山市消防救援支队</w:t>
      </w:r>
    </w:p>
    <w:p w14:paraId="2B16D990">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（投标人名称）</w:t>
      </w:r>
      <w:r>
        <w:rPr>
          <w:rFonts w:hint="eastAsia" w:ascii="宋体" w:hAnsi="宋体" w:eastAsia="宋体" w:cs="宋体"/>
          <w:color w:val="auto"/>
          <w:sz w:val="24"/>
          <w:szCs w:val="24"/>
          <w:highlight w:val="none"/>
          <w:lang w:eastAsia="zh-CN"/>
        </w:rPr>
        <w:t>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包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采购活动，现郑重承诺：</w:t>
      </w:r>
    </w:p>
    <w:p w14:paraId="149F6401">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具有履行合同所必需的设备和专业技术能力</w:t>
      </w:r>
      <w:r>
        <w:rPr>
          <w:rFonts w:hint="eastAsia" w:ascii="宋体" w:hAnsi="宋体" w:eastAsia="宋体" w:cs="宋体"/>
          <w:color w:val="auto"/>
          <w:sz w:val="24"/>
          <w:szCs w:val="24"/>
          <w:highlight w:val="none"/>
          <w:lang w:eastAsia="zh-CN"/>
        </w:rPr>
        <w:t xml:space="preserve">。 </w:t>
      </w:r>
    </w:p>
    <w:p w14:paraId="04FB4F88">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2、参加本次政府采购活动前三年内在经营活动中没有重大违法记录。 </w:t>
      </w:r>
    </w:p>
    <w:p w14:paraId="299B7FD0">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不存在“</w:t>
      </w:r>
      <w:r>
        <w:rPr>
          <w:rFonts w:hint="eastAsia" w:ascii="宋体" w:hAnsi="宋体" w:eastAsia="宋体" w:cs="宋体"/>
          <w:color w:val="auto"/>
          <w:sz w:val="24"/>
          <w:szCs w:val="24"/>
          <w:highlight w:val="none"/>
          <w:lang w:eastAsia="zh-CN"/>
        </w:rPr>
        <w:t>单位负责人为同一人或者存在直接控股、管理关系的不同供应商，</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eastAsia="zh-CN"/>
        </w:rPr>
        <w:t>参加同一合同项下的政府采购</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的情形</w:t>
      </w:r>
      <w:r>
        <w:rPr>
          <w:rFonts w:hint="eastAsia" w:ascii="宋体" w:hAnsi="宋体" w:eastAsia="宋体" w:cs="宋体"/>
          <w:color w:val="auto"/>
          <w:sz w:val="24"/>
          <w:szCs w:val="24"/>
          <w:highlight w:val="none"/>
          <w:lang w:eastAsia="zh-CN"/>
        </w:rPr>
        <w:t xml:space="preserve">。 </w:t>
      </w:r>
    </w:p>
    <w:p w14:paraId="4F4FE1CC">
      <w:pPr>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14:paraId="1FF5E4B0">
      <w:p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14:paraId="1A9F386D">
      <w:pPr>
        <w:pStyle w:val="20"/>
        <w:spacing w:line="360" w:lineRule="auto"/>
        <w:rPr>
          <w:rFonts w:hint="eastAsia" w:hAnsi="宋体" w:eastAsia="宋体" w:cs="宋体"/>
          <w:color w:val="auto"/>
          <w:szCs w:val="22"/>
          <w:highlight w:val="none"/>
          <w:lang w:eastAsia="zh-CN"/>
        </w:rPr>
      </w:pPr>
    </w:p>
    <w:p w14:paraId="27CCFEA6">
      <w:pPr>
        <w:spacing w:line="360" w:lineRule="auto"/>
        <w:ind w:left="810" w:leftChars="386" w:right="598" w:rightChars="285" w:firstLine="960"/>
        <w:rPr>
          <w:color w:val="auto"/>
          <w:sz w:val="24"/>
          <w:szCs w:val="24"/>
          <w:highlight w:val="none"/>
          <w:lang w:eastAsia="zh-CN"/>
        </w:rPr>
      </w:pPr>
      <w:r>
        <w:rPr>
          <w:color w:val="auto"/>
          <w:sz w:val="24"/>
          <w:szCs w:val="24"/>
          <w:highlight w:val="none"/>
          <w:lang w:eastAsia="zh-CN"/>
        </w:rPr>
        <w:t>  </w:t>
      </w:r>
    </w:p>
    <w:p w14:paraId="471C4488">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rFonts w:hint="eastAsia" w:hAnsi="宋体" w:cs="宋体"/>
          <w:color w:val="auto"/>
          <w:highlight w:val="none"/>
          <w:lang w:eastAsia="zh-CN"/>
        </w:rPr>
      </w:pPr>
      <w:r>
        <w:rPr>
          <w:rFonts w:hint="eastAsia" w:hAnsi="宋体" w:cs="宋体"/>
          <w:color w:val="auto"/>
          <w:highlight w:val="none"/>
          <w:lang w:eastAsia="zh-CN"/>
        </w:rPr>
        <w:t xml:space="preserve">        </w:t>
      </w:r>
    </w:p>
    <w:p w14:paraId="5FB3258C">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color w:val="auto"/>
          <w:highlight w:val="none"/>
          <w:lang w:eastAsia="zh-CN"/>
        </w:rPr>
      </w:pPr>
      <w:r>
        <w:rPr>
          <w:rFonts w:hint="eastAsia" w:hAnsi="宋体" w:cs="宋体"/>
          <w:color w:val="auto"/>
          <w:highlight w:val="none"/>
          <w:lang w:eastAsia="zh-CN"/>
        </w:rPr>
        <w:t xml:space="preserve"> 投标人：</w:t>
      </w:r>
      <w:r>
        <w:rPr>
          <w:rFonts w:hint="eastAsia" w:hAnsi="宋体" w:cs="宋体"/>
          <w:color w:val="auto"/>
          <w:highlight w:val="none"/>
          <w:u w:val="single"/>
          <w:lang w:eastAsia="zh-CN"/>
        </w:rPr>
        <w:t xml:space="preserve">                                </w:t>
      </w:r>
      <w:r>
        <w:rPr>
          <w:rFonts w:hint="eastAsia" w:hAnsi="宋体" w:cs="宋体"/>
          <w:color w:val="auto"/>
          <w:highlight w:val="none"/>
          <w:lang w:eastAsia="zh-CN"/>
        </w:rPr>
        <w:t>（电子签章）</w:t>
      </w:r>
    </w:p>
    <w:p w14:paraId="66A674F7">
      <w:pPr>
        <w:keepNext w:val="0"/>
        <w:keepLines w:val="0"/>
        <w:pageBreakBefore w:val="0"/>
        <w:widowControl w:val="0"/>
        <w:shd w:val="clear" w:color="FFFFFF" w:fill="auto"/>
        <w:kinsoku/>
        <w:wordWrap/>
        <w:overflowPunct/>
        <w:topLinePunct w:val="0"/>
        <w:autoSpaceDE w:val="0"/>
        <w:autoSpaceDN w:val="0"/>
        <w:bidi w:val="0"/>
        <w:adjustRightInd/>
        <w:snapToGrid w:val="0"/>
        <w:spacing w:line="360" w:lineRule="auto"/>
        <w:ind w:right="598" w:rightChars="285" w:firstLine="1440" w:firstLineChars="600"/>
        <w:jc w:val="both"/>
        <w:textAlignment w:val="auto"/>
        <w:rPr>
          <w:color w:val="auto"/>
          <w:sz w:val="24"/>
          <w:szCs w:val="24"/>
          <w:highlight w:val="none"/>
          <w:lang w:eastAsia="zh-CN"/>
        </w:rPr>
      </w:pPr>
      <w:r>
        <w:rPr>
          <w:rFonts w:hint="eastAsia"/>
          <w:color w:val="auto"/>
          <w:sz w:val="24"/>
          <w:szCs w:val="24"/>
          <w:highlight w:val="none"/>
          <w:lang w:eastAsia="zh-CN"/>
        </w:rPr>
        <w:t>法定代表人或委托代理人：</w:t>
      </w:r>
      <w:r>
        <w:rPr>
          <w:rFonts w:hint="eastAsia" w:hAnsi="宋体" w:cs="宋体"/>
          <w:color w:val="auto"/>
          <w:highlight w:val="none"/>
          <w:u w:val="single"/>
          <w:lang w:eastAsia="zh-CN"/>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lang w:eastAsia="zh-CN"/>
        </w:rPr>
        <w:t xml:space="preserve">   </w:t>
      </w:r>
      <w:r>
        <w:rPr>
          <w:rFonts w:hint="eastAsia"/>
          <w:color w:val="auto"/>
          <w:spacing w:val="-1"/>
          <w:sz w:val="24"/>
          <w:szCs w:val="24"/>
          <w:highlight w:val="none"/>
          <w:lang w:eastAsia="zh-CN"/>
        </w:rPr>
        <w:t>（电</w:t>
      </w:r>
      <w:r>
        <w:rPr>
          <w:rFonts w:hint="eastAsia"/>
          <w:color w:val="auto"/>
          <w:sz w:val="24"/>
          <w:szCs w:val="24"/>
          <w:highlight w:val="none"/>
          <w:lang w:eastAsia="zh-CN"/>
        </w:rPr>
        <w:t>子签章或签字）</w:t>
      </w:r>
    </w:p>
    <w:p w14:paraId="1E6925CC">
      <w:pPr>
        <w:rPr>
          <w:color w:val="auto"/>
          <w:highlight w:val="none"/>
        </w:rPr>
      </w:pP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lang w:eastAsia="zh-CN"/>
        </w:rPr>
        <w:t>日</w:t>
      </w:r>
      <w:r>
        <w:rPr>
          <w:color w:val="auto"/>
          <w:sz w:val="24"/>
          <w:szCs w:val="24"/>
          <w:highlight w:val="none"/>
          <w:lang w:eastAsia="zh-CN"/>
        </w:rPr>
        <w:tab/>
      </w:r>
      <w:r>
        <w:rPr>
          <w:rFonts w:hint="eastAsia"/>
          <w:color w:val="auto"/>
          <w:sz w:val="24"/>
          <w:szCs w:val="24"/>
          <w:highlight w:val="none"/>
          <w:lang w:eastAsia="zh-CN"/>
        </w:rPr>
        <w:t>期：</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年</w:t>
      </w:r>
      <w:r>
        <w:rPr>
          <w:color w:val="auto"/>
          <w:sz w:val="24"/>
          <w:szCs w:val="24"/>
          <w:highlight w:val="none"/>
          <w:lang w:eastAsia="zh-CN"/>
        </w:rPr>
        <w:tab/>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月</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14:paraId="28F88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C100B10">
      <w:pPr>
        <w:pStyle w:val="20"/>
        <w:rPr>
          <w:color w:val="auto"/>
          <w:highlight w:val="none"/>
        </w:rPr>
      </w:pPr>
    </w:p>
    <w:p w14:paraId="054B5081">
      <w:pPr>
        <w:spacing w:before="54" w:line="360" w:lineRule="auto"/>
        <w:ind w:left="6"/>
        <w:jc w:val="center"/>
        <w:outlineLvl w:val="1"/>
        <w:rPr>
          <w:rFonts w:ascii="宋体" w:cs="宋体"/>
          <w:b/>
          <w:bCs/>
          <w:color w:val="auto"/>
          <w:kern w:val="0"/>
          <w:sz w:val="32"/>
          <w:szCs w:val="32"/>
          <w:highlight w:val="none"/>
        </w:rPr>
      </w:pPr>
      <w:r>
        <w:rPr>
          <w:b/>
          <w:color w:val="auto"/>
          <w:w w:val="95"/>
          <w:sz w:val="32"/>
          <w:highlight w:val="none"/>
        </w:rPr>
        <w:br w:type="page"/>
      </w:r>
      <w:bookmarkStart w:id="560" w:name="_Toc13247"/>
      <w:bookmarkStart w:id="561" w:name="_Toc16445"/>
      <w:bookmarkStart w:id="562" w:name="_Toc29503"/>
      <w:bookmarkStart w:id="563" w:name="_Toc1425"/>
      <w:bookmarkStart w:id="564" w:name="_Toc30714"/>
      <w:bookmarkStart w:id="565" w:name="_Toc9291"/>
      <w:bookmarkStart w:id="566" w:name="_Toc8965"/>
      <w:bookmarkStart w:id="567" w:name="_Toc17484"/>
      <w:r>
        <w:rPr>
          <w:rFonts w:hint="eastAsia"/>
          <w:b/>
          <w:color w:val="auto"/>
          <w:sz w:val="32"/>
          <w:highlight w:val="none"/>
        </w:rPr>
        <w:t>十一、</w:t>
      </w:r>
      <w:bookmarkEnd w:id="560"/>
      <w:bookmarkEnd w:id="561"/>
      <w:bookmarkEnd w:id="562"/>
      <w:r>
        <w:rPr>
          <w:rFonts w:hint="eastAsia"/>
          <w:b/>
          <w:color w:val="auto"/>
          <w:sz w:val="32"/>
          <w:highlight w:val="none"/>
        </w:rPr>
        <w:t>其他资料</w:t>
      </w:r>
      <w:bookmarkEnd w:id="563"/>
      <w:bookmarkEnd w:id="564"/>
      <w:bookmarkEnd w:id="565"/>
      <w:bookmarkEnd w:id="566"/>
      <w:bookmarkEnd w:id="567"/>
    </w:p>
    <w:p w14:paraId="384D0B73">
      <w:pPr>
        <w:pStyle w:val="4"/>
        <w:jc w:val="center"/>
        <w:rPr>
          <w:color w:val="auto"/>
          <w:highlight w:val="none"/>
        </w:rPr>
      </w:pPr>
      <w:bookmarkStart w:id="568" w:name="_Toc31476"/>
      <w:bookmarkStart w:id="569" w:name="_Toc20383"/>
      <w:bookmarkStart w:id="570" w:name="_Toc14926"/>
      <w:bookmarkStart w:id="571" w:name="_Toc4468"/>
      <w:r>
        <w:rPr>
          <w:rFonts w:hint="eastAsia"/>
          <w:color w:val="auto"/>
          <w:highlight w:val="none"/>
        </w:rPr>
        <w:t>（一）</w:t>
      </w:r>
      <w:r>
        <w:rPr>
          <w:rFonts w:hint="eastAsia"/>
          <w:color w:val="auto"/>
          <w:highlight w:val="none"/>
          <w:lang w:eastAsia="zh-CN"/>
        </w:rPr>
        <w:t>投标人</w:t>
      </w:r>
      <w:r>
        <w:rPr>
          <w:rFonts w:hint="eastAsia"/>
          <w:color w:val="auto"/>
          <w:highlight w:val="none"/>
        </w:rPr>
        <w:t>诚信承诺书</w:t>
      </w:r>
      <w:bookmarkEnd w:id="568"/>
      <w:bookmarkEnd w:id="569"/>
      <w:bookmarkEnd w:id="570"/>
      <w:bookmarkEnd w:id="571"/>
    </w:p>
    <w:p w14:paraId="74D0CF75">
      <w:pPr>
        <w:spacing w:line="360" w:lineRule="auto"/>
        <w:jc w:val="center"/>
        <w:rPr>
          <w:rFonts w:ascii="宋体" w:cs="宋体"/>
          <w:color w:val="auto"/>
          <w:sz w:val="32"/>
          <w:szCs w:val="32"/>
          <w:highlight w:val="none"/>
        </w:rPr>
      </w:pPr>
    </w:p>
    <w:p w14:paraId="18239346">
      <w:pPr>
        <w:spacing w:line="360" w:lineRule="auto"/>
        <w:jc w:val="left"/>
        <w:rPr>
          <w:rFonts w:hint="eastAsia" w:asci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平顶山市消防救援支队</w:t>
      </w:r>
    </w:p>
    <w:p w14:paraId="27250304">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我公司郑重声明：</w:t>
      </w:r>
    </w:p>
    <w:p w14:paraId="7D28993E">
      <w:pPr>
        <w:snapToGrid w:val="0"/>
        <w:spacing w:line="360" w:lineRule="auto"/>
        <w:ind w:right="62" w:firstLine="473"/>
        <w:jc w:val="left"/>
        <w:rPr>
          <w:rFonts w:ascii="宋体" w:cs="宋体"/>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我公司保证在</w:t>
      </w:r>
      <w:r>
        <w:rPr>
          <w:rFonts w:hint="eastAsia" w:ascii="宋体" w:hAnsi="宋体" w:cs="宋体"/>
          <w:color w:val="auto"/>
          <w:sz w:val="24"/>
          <w:highlight w:val="none"/>
        </w:rPr>
        <w:t>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w:t>
      </w:r>
      <w:r>
        <w:rPr>
          <w:rFonts w:hint="eastAsia" w:ascii="宋体" w:hAnsi="宋体" w:cs="宋体"/>
          <w:bCs/>
          <w:color w:val="auto"/>
          <w:sz w:val="24"/>
          <w:highlight w:val="none"/>
        </w:rPr>
        <w:t>，完全按照本</w:t>
      </w:r>
      <w:r>
        <w:rPr>
          <w:rFonts w:hint="eastAsia" w:ascii="宋体" w:hAnsi="宋体" w:cs="宋体"/>
          <w:color w:val="auto"/>
          <w:sz w:val="24"/>
          <w:highlight w:val="none"/>
          <w:u w:val="single" w:color="FFFFFF"/>
        </w:rPr>
        <w:t>招标</w:t>
      </w:r>
      <w:r>
        <w:rPr>
          <w:rFonts w:hint="eastAsia" w:ascii="宋体" w:hAnsi="宋体" w:cs="宋体"/>
          <w:bCs/>
          <w:color w:val="auto"/>
          <w:sz w:val="24"/>
          <w:highlight w:val="none"/>
        </w:rPr>
        <w:t>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14:paraId="01553835">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我公司在本次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投标过程中，提供的所有文件材料，均是真实的。一旦发现有虚假材料，我公司承诺，取消中标资格，</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14:paraId="2267D913">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14:paraId="4A155919">
      <w:pPr>
        <w:spacing w:line="360" w:lineRule="auto"/>
        <w:jc w:val="left"/>
        <w:rPr>
          <w:rFonts w:ascii="宋体" w:cs="宋体"/>
          <w:color w:val="auto"/>
          <w:sz w:val="24"/>
          <w:highlight w:val="none"/>
        </w:rPr>
      </w:pPr>
    </w:p>
    <w:p w14:paraId="1D2DD117">
      <w:pPr>
        <w:spacing w:line="360" w:lineRule="auto"/>
        <w:jc w:val="left"/>
        <w:rPr>
          <w:rFonts w:ascii="宋体" w:cs="宋体"/>
          <w:color w:val="auto"/>
          <w:sz w:val="24"/>
          <w:highlight w:val="none"/>
        </w:rPr>
      </w:pPr>
      <w:r>
        <w:rPr>
          <w:rFonts w:hint="eastAsia" w:ascii="宋体" w:hAnsi="宋体" w:cs="宋体"/>
          <w:color w:val="auto"/>
          <w:sz w:val="24"/>
          <w:highlight w:val="none"/>
        </w:rPr>
        <w:t>注：该项内容不得涂改，否则其投标有可能被拒绝。</w:t>
      </w:r>
    </w:p>
    <w:p w14:paraId="4A76A4B0">
      <w:pPr>
        <w:spacing w:line="360" w:lineRule="auto"/>
        <w:rPr>
          <w:rFonts w:ascii="宋体" w:cs="宋体"/>
          <w:color w:val="auto"/>
          <w:sz w:val="24"/>
          <w:highlight w:val="none"/>
        </w:rPr>
      </w:pPr>
    </w:p>
    <w:p w14:paraId="0F2D508A">
      <w:pPr>
        <w:spacing w:line="360" w:lineRule="auto"/>
        <w:ind w:firstLine="2640" w:firstLineChars="11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27FAE23F">
      <w:pPr>
        <w:spacing w:line="360" w:lineRule="auto"/>
        <w:ind w:firstLine="1920" w:firstLineChars="8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767316B7">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F3B7117">
      <w:pPr>
        <w:pStyle w:val="4"/>
        <w:jc w:val="center"/>
        <w:rPr>
          <w:color w:val="auto"/>
          <w:highlight w:val="none"/>
        </w:rPr>
      </w:pPr>
      <w:bookmarkStart w:id="572" w:name="_Toc10731"/>
      <w:bookmarkStart w:id="573" w:name="_Toc13340"/>
      <w:bookmarkStart w:id="574" w:name="_Toc10490"/>
      <w:r>
        <w:rPr>
          <w:color w:val="auto"/>
          <w:highlight w:val="none"/>
        </w:rPr>
        <w:br w:type="page"/>
      </w:r>
      <w:bookmarkStart w:id="575" w:name="_Toc28969"/>
      <w:r>
        <w:rPr>
          <w:rFonts w:hint="eastAsia"/>
          <w:color w:val="auto"/>
          <w:highlight w:val="none"/>
        </w:rPr>
        <w:t>（二）反商业贿赂承诺书</w:t>
      </w:r>
      <w:bookmarkEnd w:id="572"/>
      <w:bookmarkEnd w:id="573"/>
      <w:bookmarkEnd w:id="574"/>
      <w:bookmarkEnd w:id="575"/>
    </w:p>
    <w:p w14:paraId="6D235FC8">
      <w:pPr>
        <w:spacing w:line="360" w:lineRule="auto"/>
        <w:jc w:val="center"/>
        <w:rPr>
          <w:rFonts w:ascii="宋体" w:cs="宋体"/>
          <w:color w:val="auto"/>
          <w:sz w:val="32"/>
          <w:szCs w:val="32"/>
          <w:highlight w:val="none"/>
        </w:rPr>
      </w:pPr>
    </w:p>
    <w:p w14:paraId="17CC0EE6">
      <w:pPr>
        <w:spacing w:line="360" w:lineRule="auto"/>
        <w:jc w:val="left"/>
        <w:rPr>
          <w:rFonts w:ascii="宋体" w:cs="宋体"/>
          <w:color w:val="auto"/>
          <w:sz w:val="24"/>
          <w:highlight w:val="none"/>
        </w:rPr>
      </w:pPr>
      <w:r>
        <w:rPr>
          <w:rFonts w:hint="eastAsia" w:ascii="宋体" w:hAnsi="宋体" w:cs="宋体"/>
          <w:color w:val="auto"/>
          <w:sz w:val="24"/>
          <w:highlight w:val="none"/>
        </w:rPr>
        <w:t>我公司承诺：</w:t>
      </w:r>
    </w:p>
    <w:p w14:paraId="0669B541">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招标活动中，我公司保证做到：</w:t>
      </w:r>
    </w:p>
    <w:p w14:paraId="69FB55E3">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一、公平竞争参加本次招标活动。</w:t>
      </w:r>
    </w:p>
    <w:p w14:paraId="1F09B905">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14:paraId="69E82142">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w:t>
      </w:r>
    </w:p>
    <w:p w14:paraId="68853423">
      <w:pPr>
        <w:spacing w:line="360" w:lineRule="auto"/>
        <w:ind w:firstLine="480" w:firstLineChars="200"/>
        <w:jc w:val="left"/>
        <w:rPr>
          <w:rFonts w:ascii="宋体" w:cs="宋体"/>
          <w:color w:val="auto"/>
          <w:sz w:val="24"/>
          <w:highlight w:val="none"/>
        </w:rPr>
      </w:pPr>
    </w:p>
    <w:p w14:paraId="3F519F12">
      <w:pPr>
        <w:adjustRightInd w:val="0"/>
        <w:snapToGrid w:val="0"/>
        <w:spacing w:line="360" w:lineRule="auto"/>
        <w:ind w:right="-81" w:rightChars="-39"/>
        <w:jc w:val="left"/>
        <w:rPr>
          <w:rFonts w:ascii="宋体" w:cs="宋体"/>
          <w:color w:val="auto"/>
          <w:sz w:val="24"/>
          <w:highlight w:val="none"/>
        </w:rPr>
      </w:pPr>
    </w:p>
    <w:p w14:paraId="32B4CD9E">
      <w:pPr>
        <w:spacing w:line="360" w:lineRule="auto"/>
        <w:rPr>
          <w:rFonts w:ascii="宋体" w:cs="宋体"/>
          <w:color w:val="auto"/>
          <w:sz w:val="24"/>
          <w:highlight w:val="none"/>
        </w:rPr>
      </w:pPr>
    </w:p>
    <w:p w14:paraId="5322A7C0">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194889D3">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5A4B275F">
      <w:pPr>
        <w:spacing w:line="360" w:lineRule="auto"/>
        <w:jc w:val="left"/>
        <w:rPr>
          <w:rFonts w:ascii="宋体" w:cs="宋体"/>
          <w:color w:val="auto"/>
          <w:szCs w:val="21"/>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15C2DCB8">
      <w:pPr>
        <w:pStyle w:val="4"/>
        <w:numPr>
          <w:ilvl w:val="0"/>
          <w:numId w:val="14"/>
        </w:numPr>
        <w:ind w:left="3"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bookmarkStart w:id="576" w:name="_Toc7741"/>
      <w:bookmarkStart w:id="577" w:name="_Toc1453"/>
      <w:bookmarkStart w:id="578" w:name="_Toc6109"/>
      <w:r>
        <w:rPr>
          <w:rFonts w:ascii="宋体" w:cs="宋体"/>
          <w:color w:val="auto"/>
          <w:sz w:val="24"/>
          <w:highlight w:val="none"/>
        </w:rPr>
        <w:br w:type="page"/>
      </w:r>
      <w:r>
        <w:rPr>
          <w:rFonts w:hint="eastAsia" w:eastAsia="宋体"/>
          <w:color w:val="auto"/>
          <w:highlight w:val="none"/>
        </w:rPr>
        <w:t>合同主要条款内容</w:t>
      </w:r>
    </w:p>
    <w:p w14:paraId="46FA462B">
      <w:pPr>
        <w:rPr>
          <w:rFonts w:hint="eastAsia"/>
          <w:color w:val="auto"/>
          <w:highlight w:val="none"/>
          <w:lang w:eastAsia="zh-CN"/>
        </w:rPr>
      </w:pPr>
    </w:p>
    <w:p w14:paraId="4B4B2159">
      <w:pPr>
        <w:rPr>
          <w:rFonts w:hint="eastAsia"/>
          <w:color w:val="auto"/>
          <w:highlight w:val="none"/>
          <w:lang w:eastAsia="zh-CN"/>
        </w:rPr>
      </w:pPr>
    </w:p>
    <w:p w14:paraId="01405991">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合同主要条款内容</w:t>
      </w:r>
    </w:p>
    <w:p w14:paraId="54B3EF82">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乙方开通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小时服务热线，提供</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小时技术服务。产品出现问题，故障响应时间为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，到达现场时间不超过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小时无法排除故障，乙方应</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小时内提供同款设备供用户使用，直至送修设备修好后换回为止。</w:t>
      </w:r>
    </w:p>
    <w:p w14:paraId="0085D886">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乙方应按照招标文件、投标文件及本合同的要求，对出售给甲方的货物进行有效跟踪服务，定期巡检，每年不少于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次。</w:t>
      </w:r>
    </w:p>
    <w:p w14:paraId="3D8DA5AA">
      <w:pPr>
        <w:rPr>
          <w:rFonts w:hint="eastAsia"/>
          <w:color w:val="auto"/>
          <w:highlight w:val="none"/>
        </w:rPr>
      </w:pPr>
    </w:p>
    <w:p w14:paraId="699A8B04">
      <w:pPr>
        <w:spacing w:line="360" w:lineRule="auto"/>
        <w:jc w:val="righ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040A49E4">
      <w:pPr>
        <w:spacing w:line="360" w:lineRule="auto"/>
        <w:jc w:val="righ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55D56EB1">
      <w:pPr>
        <w:jc w:val="right"/>
        <w:rPr>
          <w:color w:val="auto"/>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2B6737DC">
      <w:pPr>
        <w:rPr>
          <w:rFonts w:hint="eastAsia" w:eastAsia="宋体"/>
          <w:color w:val="auto"/>
          <w:highlight w:val="none"/>
        </w:rPr>
      </w:pPr>
    </w:p>
    <w:p w14:paraId="3BB086D9">
      <w:pPr>
        <w:rPr>
          <w:rFonts w:hint="eastAsia" w:eastAsia="宋体"/>
          <w:color w:val="auto"/>
          <w:highlight w:val="none"/>
        </w:rPr>
      </w:pPr>
      <w:r>
        <w:rPr>
          <w:rFonts w:hint="eastAsia" w:eastAsia="宋体"/>
          <w:color w:val="auto"/>
          <w:highlight w:val="none"/>
        </w:rPr>
        <w:br w:type="page"/>
      </w:r>
    </w:p>
    <w:p w14:paraId="1EEB6EBD">
      <w:pPr>
        <w:pStyle w:val="4"/>
        <w:jc w:val="center"/>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四</w:t>
      </w:r>
      <w:r>
        <w:rPr>
          <w:rFonts w:hint="eastAsia" w:eastAsia="宋体"/>
          <w:color w:val="auto"/>
          <w:highlight w:val="none"/>
        </w:rPr>
        <w:t>）</w:t>
      </w:r>
      <w:r>
        <w:rPr>
          <w:rFonts w:hint="eastAsia" w:eastAsia="宋体"/>
          <w:color w:val="auto"/>
          <w:highlight w:val="none"/>
          <w:lang w:eastAsia="zh-CN"/>
        </w:rPr>
        <w:t>投标人</w:t>
      </w:r>
      <w:r>
        <w:rPr>
          <w:rFonts w:hint="eastAsia" w:eastAsia="宋体"/>
          <w:color w:val="auto"/>
          <w:highlight w:val="none"/>
        </w:rPr>
        <w:t>认为需提供的其他材料</w:t>
      </w:r>
      <w:bookmarkEnd w:id="576"/>
      <w:bookmarkEnd w:id="577"/>
      <w:bookmarkEnd w:id="578"/>
    </w:p>
    <w:p w14:paraId="14AD59B7">
      <w:pPr>
        <w:spacing w:line="360" w:lineRule="auto"/>
        <w:rPr>
          <w:rFonts w:hint="eastAsia" w:ascii="宋体" w:cs="宋体"/>
          <w:color w:val="auto"/>
          <w:sz w:val="24"/>
          <w:szCs w:val="24"/>
          <w:highlight w:val="none"/>
          <w:lang w:val="en-US" w:eastAsia="zh-CN"/>
        </w:rPr>
      </w:pPr>
    </w:p>
    <w:p w14:paraId="00CBED2E">
      <w:pPr>
        <w:spacing w:line="360" w:lineRule="auto"/>
        <w:rPr>
          <w:rFonts w:hint="eastAsia" w:ascii="宋体" w:cs="宋体"/>
          <w:color w:val="auto"/>
          <w:sz w:val="24"/>
          <w:szCs w:val="24"/>
          <w:highlight w:val="none"/>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产品选型(整体设计)</w:t>
      </w:r>
    </w:p>
    <w:p w14:paraId="56C443A9">
      <w:pPr>
        <w:spacing w:line="360" w:lineRule="auto"/>
        <w:rPr>
          <w:rFonts w:hint="eastAsia" w:ascii="宋体" w:cs="宋体"/>
          <w:color w:val="auto"/>
          <w:sz w:val="24"/>
          <w:szCs w:val="24"/>
          <w:highlight w:val="none"/>
        </w:rPr>
      </w:pPr>
    </w:p>
    <w:p w14:paraId="34083903">
      <w:pPr>
        <w:spacing w:line="360" w:lineRule="auto"/>
        <w:rPr>
          <w:rFonts w:hint="eastAsia" w:ascii="宋体" w:cs="宋体"/>
          <w:color w:val="auto"/>
          <w:sz w:val="24"/>
          <w:szCs w:val="24"/>
          <w:highlight w:val="none"/>
        </w:rPr>
      </w:pPr>
    </w:p>
    <w:p w14:paraId="5A1EFD92">
      <w:pPr>
        <w:spacing w:line="360" w:lineRule="auto"/>
        <w:rPr>
          <w:rFonts w:hint="eastAsia" w:ascii="宋体" w:cs="宋体"/>
          <w:color w:val="auto"/>
          <w:sz w:val="24"/>
          <w:szCs w:val="24"/>
          <w:highlight w:val="none"/>
        </w:rPr>
      </w:pPr>
      <w:r>
        <w:rPr>
          <w:rFonts w:hint="eastAsia" w:ascii="宋体" w:cs="宋体"/>
          <w:color w:val="auto"/>
          <w:sz w:val="24"/>
          <w:szCs w:val="24"/>
          <w:highlight w:val="none"/>
        </w:rPr>
        <w:t>2.专业技术生产能力</w:t>
      </w:r>
    </w:p>
    <w:p w14:paraId="23501BC6">
      <w:pPr>
        <w:spacing w:line="360" w:lineRule="auto"/>
        <w:rPr>
          <w:rFonts w:hint="eastAsia" w:ascii="宋体" w:cs="宋体"/>
          <w:color w:val="auto"/>
          <w:sz w:val="24"/>
          <w:szCs w:val="24"/>
          <w:highlight w:val="none"/>
          <w:lang w:val="en-US" w:eastAsia="zh-CN"/>
        </w:rPr>
      </w:pPr>
    </w:p>
    <w:p w14:paraId="0F95C7A2">
      <w:pPr>
        <w:spacing w:line="360" w:lineRule="auto"/>
        <w:rPr>
          <w:rFonts w:hint="eastAsia" w:ascii="宋体" w:cs="宋体"/>
          <w:color w:val="auto"/>
          <w:sz w:val="24"/>
          <w:szCs w:val="24"/>
          <w:highlight w:val="none"/>
          <w:lang w:val="en-US" w:eastAsia="zh-CN"/>
        </w:rPr>
      </w:pPr>
    </w:p>
    <w:p w14:paraId="26721144">
      <w:pPr>
        <w:spacing w:line="360" w:lineRule="auto"/>
        <w:rPr>
          <w:rFonts w:ascii="宋体" w:cs="宋体"/>
          <w:b/>
          <w:color w:val="auto"/>
          <w:sz w:val="28"/>
          <w:szCs w:val="28"/>
          <w:highlight w:val="none"/>
        </w:rPr>
      </w:pPr>
      <w:r>
        <w:rPr>
          <w:rFonts w:hint="eastAsia" w:ascii="宋体" w:cs="宋体"/>
          <w:color w:val="auto"/>
          <w:sz w:val="24"/>
          <w:szCs w:val="24"/>
          <w:highlight w:val="none"/>
          <w:lang w:val="en-US" w:eastAsia="zh-CN"/>
        </w:rPr>
        <w:t>3.</w:t>
      </w:r>
      <w:r>
        <w:rPr>
          <w:rFonts w:hint="eastAsia" w:ascii="宋体" w:cs="宋体"/>
          <w:color w:val="auto"/>
          <w:sz w:val="24"/>
          <w:szCs w:val="24"/>
          <w:highlight w:val="none"/>
        </w:rPr>
        <w:t>投标人认为应附的其他材料</w:t>
      </w:r>
      <w:r>
        <w:rPr>
          <w:rFonts w:ascii="宋体" w:cs="宋体"/>
          <w:color w:val="auto"/>
          <w:sz w:val="24"/>
          <w:szCs w:val="24"/>
          <w:highlight w:val="none"/>
        </w:rPr>
        <w:br w:type="page"/>
      </w:r>
      <w:r>
        <w:rPr>
          <w:rFonts w:hint="eastAsia" w:ascii="宋体" w:hAnsi="宋体" w:cs="宋体"/>
          <w:b/>
          <w:color w:val="auto"/>
          <w:sz w:val="28"/>
          <w:szCs w:val="28"/>
          <w:highlight w:val="none"/>
        </w:rPr>
        <w:t>附</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件</w:t>
      </w:r>
    </w:p>
    <w:p w14:paraId="68BC5117">
      <w:pPr>
        <w:keepNext/>
        <w:keepLines/>
        <w:spacing w:line="360" w:lineRule="auto"/>
        <w:jc w:val="center"/>
        <w:outlineLvl w:val="2"/>
        <w:rPr>
          <w:rFonts w:ascii="宋体" w:cs="宋体"/>
          <w:b/>
          <w:bCs/>
          <w:color w:val="auto"/>
          <w:kern w:val="0"/>
          <w:sz w:val="32"/>
          <w:szCs w:val="32"/>
          <w:highlight w:val="none"/>
        </w:rPr>
      </w:pPr>
      <w:bookmarkStart w:id="579" w:name="_Toc15503"/>
      <w:bookmarkStart w:id="580" w:name="_Toc26116"/>
      <w:bookmarkStart w:id="581" w:name="_Toc131"/>
      <w:r>
        <w:rPr>
          <w:rFonts w:hint="eastAsia" w:ascii="宋体" w:hAnsi="宋体" w:cs="宋体"/>
          <w:b/>
          <w:bCs/>
          <w:color w:val="auto"/>
          <w:kern w:val="0"/>
          <w:sz w:val="32"/>
          <w:szCs w:val="32"/>
          <w:highlight w:val="none"/>
        </w:rPr>
        <w:t>中小企业声明函（货物）</w:t>
      </w:r>
      <w:bookmarkEnd w:id="579"/>
      <w:bookmarkEnd w:id="580"/>
      <w:bookmarkEnd w:id="581"/>
    </w:p>
    <w:p w14:paraId="77FC9245">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本公司（联合体）郑重声明，根据《政府采购促进中小企业发展管理办法》（财库﹝</w:t>
      </w:r>
      <w:r>
        <w:rPr>
          <w:rFonts w:ascii="宋体" w:hAnsi="宋体" w:cs="宋体"/>
          <w:color w:val="auto"/>
          <w:kern w:val="0"/>
          <w:sz w:val="24"/>
          <w:highlight w:val="none"/>
        </w:rPr>
        <w:t>2020</w:t>
      </w:r>
      <w:r>
        <w:rPr>
          <w:rFonts w:hint="eastAsia" w:ascii="宋体" w:hAnsi="宋体" w:cs="宋体"/>
          <w:color w:val="auto"/>
          <w:kern w:val="0"/>
          <w:sz w:val="24"/>
          <w:highlight w:val="none"/>
        </w:rPr>
        <w:t>﹞</w:t>
      </w:r>
      <w:r>
        <w:rPr>
          <w:rFonts w:ascii="宋体" w:hAnsi="宋体" w:cs="宋体"/>
          <w:color w:val="auto"/>
          <w:kern w:val="0"/>
          <w:sz w:val="24"/>
          <w:highlight w:val="none"/>
        </w:rPr>
        <w:t>46</w:t>
      </w:r>
      <w:r>
        <w:rPr>
          <w:rFonts w:hint="eastAsia" w:ascii="宋体" w:hAnsi="宋体" w:cs="宋体"/>
          <w:color w:val="auto"/>
          <w:kern w:val="0"/>
          <w:sz w:val="24"/>
          <w:highlight w:val="none"/>
        </w:rPr>
        <w:t>号）的规定，本公司（联合体）参加</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（单位名称）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（项目名称</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14:paraId="0E175757">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CB4CFBE">
      <w:pPr>
        <w:widowControl/>
        <w:spacing w:line="360" w:lineRule="auto"/>
        <w:ind w:firstLine="480" w:firstLineChars="200"/>
        <w:jc w:val="left"/>
        <w:rPr>
          <w:rFonts w:ascii="宋体" w:cs="宋体"/>
          <w:color w:val="auto"/>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E93C8A">
      <w:pPr>
        <w:widowControl/>
        <w:spacing w:line="360" w:lineRule="auto"/>
        <w:ind w:firstLine="480" w:firstLineChars="200"/>
        <w:jc w:val="left"/>
        <w:rPr>
          <w:rFonts w:ascii="宋体" w:cs="宋体"/>
          <w:color w:val="auto"/>
          <w:kern w:val="0"/>
          <w:sz w:val="24"/>
          <w:highlight w:val="none"/>
        </w:rPr>
      </w:pPr>
      <w:r>
        <w:rPr>
          <w:rFonts w:ascii="宋体" w:cs="宋体"/>
          <w:color w:val="auto"/>
          <w:kern w:val="0"/>
          <w:sz w:val="24"/>
          <w:highlight w:val="none"/>
        </w:rPr>
        <w:t>......</w:t>
      </w:r>
    </w:p>
    <w:p w14:paraId="439F942D">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1EB222EC">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26203FE1">
      <w:pPr>
        <w:adjustRightInd w:val="0"/>
        <w:snapToGrid w:val="0"/>
        <w:spacing w:line="360" w:lineRule="auto"/>
        <w:ind w:right="-81" w:rightChars="-39"/>
        <w:jc w:val="left"/>
        <w:rPr>
          <w:rFonts w:ascii="宋体" w:cs="宋体"/>
          <w:color w:val="auto"/>
          <w:sz w:val="24"/>
          <w:highlight w:val="none"/>
        </w:rPr>
      </w:pPr>
    </w:p>
    <w:p w14:paraId="2116CE7C">
      <w:pPr>
        <w:widowControl/>
        <w:wordWrap w:val="0"/>
        <w:spacing w:line="360" w:lineRule="auto"/>
        <w:jc w:val="right"/>
        <w:rPr>
          <w:rFonts w:ascii="宋体" w:cs="宋体"/>
          <w:color w:val="auto"/>
          <w:szCs w:val="21"/>
          <w:highlight w:val="none"/>
        </w:rPr>
      </w:pPr>
      <w:r>
        <w:rPr>
          <w:rFonts w:hint="eastAsia" w:ascii="宋体" w:hAnsi="宋体" w:cs="宋体"/>
          <w:color w:val="auto"/>
          <w:kern w:val="0"/>
          <w:szCs w:val="21"/>
          <w:highlight w:val="none"/>
        </w:rPr>
        <w:t>企业名称（电子签章）：</w:t>
      </w:r>
      <w:r>
        <w:rPr>
          <w:rFonts w:ascii="宋体" w:hAnsi="宋体" w:cs="宋体"/>
          <w:color w:val="auto"/>
          <w:sz w:val="24"/>
          <w:highlight w:val="none"/>
          <w:u w:val="single"/>
        </w:rPr>
        <w:t xml:space="preserve">                    </w:t>
      </w:r>
    </w:p>
    <w:p w14:paraId="0478B937">
      <w:pPr>
        <w:wordWrap w:val="0"/>
        <w:spacing w:line="360" w:lineRule="auto"/>
        <w:jc w:val="righ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u w:val="single"/>
        </w:rPr>
        <w:t xml:space="preserve">                    </w:t>
      </w:r>
    </w:p>
    <w:p w14:paraId="273DEDF6">
      <w:pPr>
        <w:spacing w:line="360" w:lineRule="auto"/>
        <w:jc w:val="left"/>
        <w:rPr>
          <w:rFonts w:ascii="宋体" w:cs="宋体"/>
          <w:color w:val="auto"/>
          <w:sz w:val="24"/>
          <w:highlight w:val="none"/>
        </w:rPr>
      </w:pPr>
    </w:p>
    <w:p w14:paraId="4C41D9AE">
      <w:pPr>
        <w:spacing w:line="360" w:lineRule="auto"/>
        <w:ind w:firstLine="480" w:firstLineChars="200"/>
        <w:rPr>
          <w:rFonts w:asci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14:paraId="377BD0B0">
      <w:pPr>
        <w:spacing w:line="360" w:lineRule="auto"/>
        <w:rPr>
          <w:rFonts w:ascii="宋体" w:cs="宋体"/>
          <w:color w:val="auto"/>
          <w:sz w:val="24"/>
          <w:highlight w:val="none"/>
        </w:rPr>
      </w:pPr>
      <w:r>
        <w:rPr>
          <w:rFonts w:hint="eastAsia" w:ascii="宋体" w:hAnsi="宋体" w:cs="宋体"/>
          <w:color w:val="auto"/>
          <w:sz w:val="24"/>
          <w:highlight w:val="none"/>
        </w:rPr>
        <w:t>注：</w:t>
      </w:r>
    </w:p>
    <w:p w14:paraId="1683D9AA">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该声明函是针对中小微型企业的，非中小型、微型企业不用提供该声明。</w:t>
      </w:r>
    </w:p>
    <w:p w14:paraId="5AA9736A">
      <w:pPr>
        <w:spacing w:line="360" w:lineRule="auto"/>
        <w:ind w:firstLine="480" w:firstLineChars="200"/>
        <w:rPr>
          <w:rFonts w:asci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根据《关于印发《政府采购促进中小企业发展管理办法》的通知》（财库〔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号）、《关于进一步加大政府采购支持中小企业力度的通知》（财库〔</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号）的规定，对于非专门面向中小企业预留采购份额的采购项目或者采购包，对小型和微型企业产品的价格给予</w:t>
      </w:r>
      <w:r>
        <w:rPr>
          <w:rFonts w:ascii="宋体" w:hAnsi="宋体" w:cs="宋体"/>
          <w:color w:val="auto"/>
          <w:sz w:val="24"/>
          <w:highlight w:val="none"/>
        </w:rPr>
        <w:t>10%</w:t>
      </w:r>
      <w:r>
        <w:rPr>
          <w:rFonts w:hint="eastAsia" w:ascii="宋体" w:hAnsi="宋体" w:cs="宋体"/>
          <w:color w:val="auto"/>
          <w:sz w:val="24"/>
          <w:highlight w:val="none"/>
        </w:rPr>
        <w:t>的扣除，用扣除后的价格参与评审，中小企业与大企业的负责人为同一人，或者与大企业存在直接控股、管理关系的除外。在货物采购项目中，投标人提供的货物既有小型和微型企业制造</w:t>
      </w:r>
      <w:r>
        <w:rPr>
          <w:rFonts w:hint="eastAsia" w:ascii="宋体" w:hAnsi="宋体" w:cs="宋体"/>
          <w:color w:val="auto"/>
          <w:sz w:val="24"/>
          <w:szCs w:val="24"/>
          <w:highlight w:val="none"/>
        </w:rPr>
        <w:t>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号文件执行，投标人应提供《中小企业声明函》。</w:t>
      </w:r>
    </w:p>
    <w:p w14:paraId="497681BF">
      <w:pPr>
        <w:spacing w:line="360" w:lineRule="auto"/>
        <w:ind w:firstLine="640" w:firstLineChars="200"/>
        <w:jc w:val="left"/>
        <w:rPr>
          <w:rFonts w:ascii="宋体" w:cs="宋体"/>
          <w:color w:val="auto"/>
          <w:sz w:val="32"/>
          <w:szCs w:val="32"/>
          <w:highlight w:val="none"/>
        </w:rPr>
      </w:pPr>
    </w:p>
    <w:p w14:paraId="677768A1">
      <w:pPr>
        <w:spacing w:line="360" w:lineRule="auto"/>
        <w:ind w:firstLine="640" w:firstLineChars="200"/>
        <w:jc w:val="left"/>
        <w:rPr>
          <w:rFonts w:ascii="宋体" w:cs="宋体"/>
          <w:color w:val="auto"/>
          <w:sz w:val="32"/>
          <w:szCs w:val="32"/>
          <w:highlight w:val="none"/>
        </w:rPr>
      </w:pPr>
    </w:p>
    <w:p w14:paraId="6BE08DC6">
      <w:pPr>
        <w:spacing w:line="360" w:lineRule="auto"/>
        <w:ind w:firstLine="640" w:firstLineChars="200"/>
        <w:jc w:val="left"/>
        <w:rPr>
          <w:rFonts w:ascii="宋体" w:cs="宋体"/>
          <w:color w:val="auto"/>
          <w:sz w:val="32"/>
          <w:szCs w:val="32"/>
          <w:highlight w:val="none"/>
        </w:rPr>
      </w:pPr>
    </w:p>
    <w:p w14:paraId="64187705">
      <w:pPr>
        <w:spacing w:line="360" w:lineRule="auto"/>
        <w:ind w:firstLine="640" w:firstLineChars="200"/>
        <w:jc w:val="left"/>
        <w:rPr>
          <w:rFonts w:ascii="宋体" w:cs="宋体"/>
          <w:color w:val="auto"/>
          <w:sz w:val="32"/>
          <w:szCs w:val="32"/>
          <w:highlight w:val="none"/>
        </w:rPr>
      </w:pPr>
    </w:p>
    <w:p w14:paraId="52752DF8">
      <w:pPr>
        <w:spacing w:line="360" w:lineRule="auto"/>
        <w:ind w:firstLine="640" w:firstLineChars="200"/>
        <w:jc w:val="left"/>
        <w:rPr>
          <w:rFonts w:ascii="宋体" w:cs="宋体"/>
          <w:color w:val="auto"/>
          <w:sz w:val="32"/>
          <w:szCs w:val="32"/>
          <w:highlight w:val="none"/>
        </w:rPr>
      </w:pPr>
    </w:p>
    <w:p w14:paraId="43A62476">
      <w:pPr>
        <w:spacing w:line="360" w:lineRule="auto"/>
        <w:ind w:firstLine="640" w:firstLineChars="200"/>
        <w:jc w:val="left"/>
        <w:rPr>
          <w:rFonts w:ascii="宋体" w:cs="宋体"/>
          <w:color w:val="auto"/>
          <w:sz w:val="32"/>
          <w:szCs w:val="32"/>
          <w:highlight w:val="none"/>
        </w:rPr>
      </w:pPr>
    </w:p>
    <w:p w14:paraId="29CC54E4">
      <w:pPr>
        <w:spacing w:line="360" w:lineRule="auto"/>
        <w:ind w:firstLine="640" w:firstLineChars="200"/>
        <w:jc w:val="left"/>
        <w:rPr>
          <w:rFonts w:ascii="宋体" w:cs="宋体"/>
          <w:color w:val="auto"/>
          <w:sz w:val="32"/>
          <w:szCs w:val="32"/>
          <w:highlight w:val="none"/>
        </w:rPr>
      </w:pPr>
    </w:p>
    <w:p w14:paraId="1AE615A2">
      <w:pPr>
        <w:spacing w:line="360" w:lineRule="auto"/>
        <w:ind w:firstLine="640" w:firstLineChars="200"/>
        <w:jc w:val="left"/>
        <w:rPr>
          <w:rFonts w:ascii="宋体" w:cs="宋体"/>
          <w:color w:val="auto"/>
          <w:sz w:val="32"/>
          <w:szCs w:val="32"/>
          <w:highlight w:val="none"/>
        </w:rPr>
      </w:pPr>
    </w:p>
    <w:p w14:paraId="1BFCC0FC">
      <w:pPr>
        <w:spacing w:line="360" w:lineRule="auto"/>
        <w:ind w:firstLine="640" w:firstLineChars="200"/>
        <w:jc w:val="left"/>
        <w:rPr>
          <w:rFonts w:ascii="宋体" w:cs="宋体"/>
          <w:color w:val="auto"/>
          <w:sz w:val="32"/>
          <w:szCs w:val="32"/>
          <w:highlight w:val="none"/>
        </w:rPr>
      </w:pPr>
    </w:p>
    <w:p w14:paraId="4C3F7311">
      <w:pPr>
        <w:spacing w:line="360" w:lineRule="auto"/>
        <w:ind w:firstLine="640" w:firstLineChars="200"/>
        <w:jc w:val="left"/>
        <w:rPr>
          <w:rFonts w:ascii="宋体" w:cs="宋体"/>
          <w:color w:val="auto"/>
          <w:sz w:val="32"/>
          <w:szCs w:val="32"/>
          <w:highlight w:val="none"/>
        </w:rPr>
      </w:pPr>
    </w:p>
    <w:p w14:paraId="2443C4E9">
      <w:pPr>
        <w:spacing w:line="360" w:lineRule="auto"/>
        <w:ind w:firstLine="640" w:firstLineChars="200"/>
        <w:jc w:val="left"/>
        <w:rPr>
          <w:rFonts w:ascii="宋体" w:cs="宋体"/>
          <w:color w:val="auto"/>
          <w:sz w:val="32"/>
          <w:szCs w:val="32"/>
          <w:highlight w:val="none"/>
        </w:rPr>
      </w:pPr>
    </w:p>
    <w:p w14:paraId="08379E17">
      <w:pPr>
        <w:pStyle w:val="13"/>
        <w:rPr>
          <w:rFonts w:ascii="宋体" w:cs="宋体"/>
          <w:color w:val="auto"/>
          <w:sz w:val="32"/>
          <w:szCs w:val="32"/>
          <w:highlight w:val="none"/>
        </w:rPr>
      </w:pPr>
    </w:p>
    <w:p w14:paraId="1CCC50E1">
      <w:pPr>
        <w:pStyle w:val="13"/>
        <w:rPr>
          <w:rFonts w:ascii="宋体" w:cs="宋体"/>
          <w:color w:val="auto"/>
          <w:sz w:val="32"/>
          <w:szCs w:val="32"/>
          <w:highlight w:val="none"/>
        </w:rPr>
      </w:pPr>
    </w:p>
    <w:p w14:paraId="1EF13622">
      <w:pPr>
        <w:pStyle w:val="13"/>
        <w:rPr>
          <w:rFonts w:ascii="宋体" w:cs="宋体"/>
          <w:color w:val="auto"/>
          <w:sz w:val="32"/>
          <w:szCs w:val="32"/>
          <w:highlight w:val="none"/>
        </w:rPr>
      </w:pPr>
    </w:p>
    <w:p w14:paraId="2EF994F1">
      <w:pPr>
        <w:pStyle w:val="13"/>
        <w:rPr>
          <w:rFonts w:ascii="宋体" w:cs="宋体"/>
          <w:color w:val="auto"/>
          <w:sz w:val="32"/>
          <w:szCs w:val="32"/>
          <w:highlight w:val="none"/>
        </w:rPr>
      </w:pPr>
    </w:p>
    <w:p w14:paraId="02001FA2">
      <w:pPr>
        <w:pStyle w:val="13"/>
        <w:rPr>
          <w:rFonts w:ascii="宋体" w:cs="宋体"/>
          <w:color w:val="auto"/>
          <w:sz w:val="32"/>
          <w:szCs w:val="32"/>
          <w:highlight w:val="none"/>
        </w:rPr>
      </w:pPr>
    </w:p>
    <w:p w14:paraId="6BFA0017">
      <w:pPr>
        <w:keepNext/>
        <w:keepLines/>
        <w:spacing w:line="360" w:lineRule="auto"/>
        <w:jc w:val="center"/>
        <w:outlineLvl w:val="2"/>
        <w:rPr>
          <w:rFonts w:ascii="宋体" w:cs="宋体"/>
          <w:b/>
          <w:bCs/>
          <w:color w:val="auto"/>
          <w:kern w:val="0"/>
          <w:sz w:val="32"/>
          <w:szCs w:val="32"/>
          <w:highlight w:val="none"/>
        </w:rPr>
      </w:pPr>
      <w:bookmarkStart w:id="582" w:name="_Toc27929"/>
      <w:bookmarkStart w:id="583" w:name="_Toc16860"/>
      <w:r>
        <w:rPr>
          <w:rFonts w:hint="eastAsia" w:ascii="宋体" w:hAnsi="宋体" w:cs="宋体"/>
          <w:b/>
          <w:bCs/>
          <w:color w:val="auto"/>
          <w:kern w:val="0"/>
          <w:sz w:val="32"/>
          <w:szCs w:val="32"/>
          <w:highlight w:val="none"/>
        </w:rPr>
        <w:t>监狱企业的证明文件</w:t>
      </w:r>
      <w:bookmarkEnd w:id="582"/>
      <w:bookmarkEnd w:id="583"/>
    </w:p>
    <w:p w14:paraId="490EC352">
      <w:pPr>
        <w:spacing w:line="360" w:lineRule="auto"/>
        <w:jc w:val="center"/>
        <w:rPr>
          <w:rFonts w:ascii="宋体" w:cs="宋体"/>
          <w:color w:val="auto"/>
          <w:kern w:val="0"/>
          <w:sz w:val="32"/>
          <w:szCs w:val="32"/>
          <w:highlight w:val="none"/>
        </w:rPr>
      </w:pPr>
    </w:p>
    <w:p w14:paraId="3548C1FC">
      <w:pPr>
        <w:widowControl/>
        <w:spacing w:line="360" w:lineRule="auto"/>
        <w:jc w:val="center"/>
        <w:textAlignment w:val="baseline"/>
        <w:rPr>
          <w:rFonts w:ascii="宋体" w:cs="宋体"/>
          <w:color w:val="auto"/>
          <w:sz w:val="24"/>
          <w:highlight w:val="none"/>
        </w:rPr>
      </w:pPr>
      <w:r>
        <w:rPr>
          <w:rFonts w:hint="eastAsia" w:ascii="宋体" w:hAnsi="宋体" w:cs="宋体"/>
          <w:color w:val="auto"/>
          <w:sz w:val="24"/>
          <w:highlight w:val="none"/>
        </w:rPr>
        <w:t>（制造商属于监狱企业的提供，不属于的不提供此项内容）</w:t>
      </w:r>
    </w:p>
    <w:p w14:paraId="20BF21D0">
      <w:pPr>
        <w:widowControl/>
        <w:spacing w:line="360" w:lineRule="auto"/>
        <w:ind w:firstLine="480" w:firstLineChars="200"/>
        <w:jc w:val="left"/>
        <w:textAlignment w:val="baseline"/>
        <w:rPr>
          <w:rFonts w:ascii="宋体" w:cs="宋体"/>
          <w:color w:val="auto"/>
          <w:kern w:val="0"/>
          <w:sz w:val="32"/>
          <w:szCs w:val="32"/>
          <w:highlight w:val="none"/>
        </w:rPr>
      </w:pPr>
      <w:r>
        <w:rPr>
          <w:rFonts w:hint="eastAsia" w:ascii="宋体" w:hAnsi="宋体" w:cs="宋体"/>
          <w:color w:val="auto"/>
          <w:sz w:val="24"/>
          <w:highlight w:val="none"/>
        </w:rPr>
        <w:t>监狱企业（制造商）视同小型、微型企业，投标人应提供省级及以上监狱管理局、戒毒管理局（含新疆生产建设兵团）在招标文件发出时间至投标截止时间前出具的属于监狱企业（制造商）的证明文件。</w:t>
      </w:r>
      <w:r>
        <w:rPr>
          <w:rFonts w:ascii="宋体" w:cs="宋体"/>
          <w:color w:val="auto"/>
          <w:kern w:val="0"/>
          <w:sz w:val="24"/>
          <w:highlight w:val="none"/>
        </w:rPr>
        <w:br w:type="page"/>
      </w:r>
    </w:p>
    <w:p w14:paraId="401BE048">
      <w:pPr>
        <w:keepNext/>
        <w:keepLines/>
        <w:spacing w:line="360" w:lineRule="auto"/>
        <w:jc w:val="center"/>
        <w:outlineLvl w:val="2"/>
        <w:rPr>
          <w:rFonts w:ascii="宋体" w:cs="宋体"/>
          <w:b/>
          <w:bCs/>
          <w:color w:val="auto"/>
          <w:kern w:val="0"/>
          <w:sz w:val="32"/>
          <w:szCs w:val="32"/>
          <w:highlight w:val="none"/>
        </w:rPr>
      </w:pPr>
      <w:bookmarkStart w:id="584" w:name="_Toc5950"/>
      <w:bookmarkStart w:id="585" w:name="_Toc5146"/>
      <w:r>
        <w:rPr>
          <w:rFonts w:hint="eastAsia" w:ascii="宋体" w:hAnsi="宋体" w:cs="宋体"/>
          <w:b/>
          <w:bCs/>
          <w:color w:val="auto"/>
          <w:kern w:val="0"/>
          <w:sz w:val="32"/>
          <w:szCs w:val="32"/>
          <w:highlight w:val="none"/>
        </w:rPr>
        <w:t>残疾人福利性单位声明函</w:t>
      </w:r>
      <w:bookmarkEnd w:id="584"/>
      <w:bookmarkEnd w:id="585"/>
    </w:p>
    <w:p w14:paraId="6CD5A0FC">
      <w:pPr>
        <w:spacing w:line="360" w:lineRule="auto"/>
        <w:jc w:val="center"/>
        <w:rPr>
          <w:rFonts w:ascii="宋体" w:cs="宋体"/>
          <w:b/>
          <w:color w:val="auto"/>
          <w:spacing w:val="6"/>
          <w:sz w:val="32"/>
          <w:szCs w:val="32"/>
          <w:highlight w:val="none"/>
        </w:rPr>
      </w:pPr>
    </w:p>
    <w:p w14:paraId="4A28A146">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（制造商属于残疾人福利性单位的填写，不属于的无需填写或不提供此项内容）</w:t>
      </w:r>
    </w:p>
    <w:p w14:paraId="6B2A0111">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本单位郑重声明，根据《财政部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民政部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中国残疾人联合会关于促进残疾人就业政府采购政策的通知》（财库〔</w:t>
      </w:r>
      <w:r>
        <w:rPr>
          <w:rFonts w:ascii="宋体" w:hAnsi="宋体" w:cs="宋体"/>
          <w:color w:val="auto"/>
          <w:spacing w:val="6"/>
          <w:sz w:val="24"/>
          <w:szCs w:val="21"/>
          <w:highlight w:val="none"/>
        </w:rPr>
        <w:t>2017</w:t>
      </w:r>
      <w:r>
        <w:rPr>
          <w:rFonts w:hint="eastAsia" w:ascii="宋体" w:hAnsi="宋体" w:cs="宋体"/>
          <w:color w:val="auto"/>
          <w:spacing w:val="6"/>
          <w:sz w:val="24"/>
          <w:szCs w:val="21"/>
          <w:highlight w:val="none"/>
        </w:rPr>
        <w:t>〕</w:t>
      </w:r>
      <w:r>
        <w:rPr>
          <w:rFonts w:ascii="宋体" w:hAnsi="宋体" w:cs="宋体"/>
          <w:color w:val="auto"/>
          <w:spacing w:val="6"/>
          <w:sz w:val="24"/>
          <w:szCs w:val="21"/>
          <w:highlight w:val="none"/>
        </w:rPr>
        <w:t xml:space="preserve"> 141</w:t>
      </w:r>
      <w:r>
        <w:rPr>
          <w:rFonts w:hint="eastAsia" w:ascii="宋体" w:hAnsi="宋体" w:cs="宋体"/>
          <w:color w:val="auto"/>
          <w:spacing w:val="6"/>
          <w:sz w:val="24"/>
          <w:szCs w:val="21"/>
          <w:highlight w:val="none"/>
        </w:rPr>
        <w:t>号）的规定，本单位为符合条件的残疾人福利性单位，为（单位名称）的（项目名称）采购活动提供本单位制造的货物。</w:t>
      </w:r>
    </w:p>
    <w:p w14:paraId="0C0EF7C0">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本单位对上述声明的真实性负责。如有虚假，将依法承担相应责任。</w:t>
      </w:r>
    </w:p>
    <w:p w14:paraId="675D3033">
      <w:pPr>
        <w:spacing w:line="360" w:lineRule="auto"/>
        <w:ind w:firstLine="504" w:firstLineChars="200"/>
        <w:jc w:val="left"/>
        <w:rPr>
          <w:rFonts w:ascii="宋体" w:cs="宋体"/>
          <w:color w:val="auto"/>
          <w:spacing w:val="6"/>
          <w:sz w:val="24"/>
          <w:szCs w:val="21"/>
          <w:highlight w:val="none"/>
        </w:rPr>
      </w:pPr>
    </w:p>
    <w:p w14:paraId="3F64D046">
      <w:pPr>
        <w:spacing w:line="360" w:lineRule="auto"/>
        <w:ind w:firstLine="504" w:firstLineChars="200"/>
        <w:jc w:val="left"/>
        <w:rPr>
          <w:rFonts w:ascii="宋体" w:cs="宋体"/>
          <w:color w:val="auto"/>
          <w:spacing w:val="6"/>
          <w:sz w:val="24"/>
          <w:szCs w:val="21"/>
          <w:highlight w:val="none"/>
        </w:rPr>
      </w:pPr>
    </w:p>
    <w:p w14:paraId="4BD0E9A3">
      <w:pPr>
        <w:spacing w:line="360" w:lineRule="auto"/>
        <w:ind w:firstLine="4536" w:firstLineChars="18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制造商（企业电子签章或公章）：</w:t>
      </w:r>
      <w:r>
        <w:rPr>
          <w:rFonts w:ascii="宋体" w:hAnsi="宋体" w:cs="宋体"/>
          <w:color w:val="auto"/>
          <w:spacing w:val="6"/>
          <w:sz w:val="24"/>
          <w:szCs w:val="21"/>
          <w:highlight w:val="none"/>
        </w:rPr>
        <w:t xml:space="preserve">                     </w:t>
      </w:r>
    </w:p>
    <w:p w14:paraId="73D7B36D">
      <w:pPr>
        <w:spacing w:line="360" w:lineRule="auto"/>
        <w:ind w:firstLine="4788" w:firstLineChars="19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日</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期：</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年</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月</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日</w:t>
      </w:r>
    </w:p>
    <w:p w14:paraId="3B8206CC">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备注：</w:t>
      </w:r>
    </w:p>
    <w:p w14:paraId="67126090">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1</w:t>
      </w:r>
      <w:r>
        <w:rPr>
          <w:rFonts w:hint="eastAsia" w:ascii="宋体" w:hAnsi="宋体" w:cs="宋体"/>
          <w:color w:val="auto"/>
          <w:spacing w:val="6"/>
          <w:sz w:val="24"/>
          <w:szCs w:val="21"/>
          <w:highlight w:val="none"/>
        </w:rPr>
        <w:t>、制造商为残疾人福利性单位的，随中标、成交结果同时公告《残疾人福利性单位声明函》，接受社会监督。</w:t>
      </w:r>
    </w:p>
    <w:p w14:paraId="41A91CF2">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2</w:t>
      </w:r>
      <w:r>
        <w:rPr>
          <w:rFonts w:hint="eastAsia" w:ascii="宋体" w:hAnsi="宋体" w:cs="宋体"/>
          <w:color w:val="auto"/>
          <w:spacing w:val="6"/>
          <w:sz w:val="24"/>
          <w:szCs w:val="21"/>
          <w:highlight w:val="none"/>
        </w:rPr>
        <w:t>、投标人提供的《残疾人福利性单位声明函》与事实不符的，依照《政府采购法》第七十七条第一款的规定追究法律责任。</w:t>
      </w:r>
    </w:p>
    <w:p w14:paraId="0BAE2E87">
      <w:pPr>
        <w:widowControl/>
        <w:spacing w:line="360" w:lineRule="auto"/>
        <w:ind w:firstLine="560" w:firstLineChars="200"/>
        <w:jc w:val="left"/>
        <w:rPr>
          <w:rFonts w:ascii="宋体" w:cs="宋体"/>
          <w:bCs/>
          <w:color w:val="auto"/>
          <w:sz w:val="24"/>
          <w:highlight w:val="none"/>
        </w:rPr>
      </w:pPr>
      <w:r>
        <w:rPr>
          <w:rFonts w:ascii="宋体" w:cs="宋体"/>
          <w:b/>
          <w:color w:val="auto"/>
          <w:sz w:val="28"/>
          <w:szCs w:val="28"/>
          <w:highlight w:val="none"/>
        </w:rPr>
        <w:br w:type="page"/>
      </w:r>
    </w:p>
    <w:p w14:paraId="7D14BB11">
      <w:pPr>
        <w:widowControl/>
        <w:spacing w:line="360" w:lineRule="auto"/>
        <w:jc w:val="center"/>
        <w:outlineLvl w:val="2"/>
        <w:rPr>
          <w:rFonts w:ascii="微软雅黑" w:hAnsi="微软雅黑" w:eastAsia="微软雅黑" w:cs="宋体"/>
          <w:b/>
          <w:bCs/>
          <w:color w:val="auto"/>
          <w:kern w:val="36"/>
          <w:sz w:val="28"/>
          <w:szCs w:val="28"/>
          <w:highlight w:val="none"/>
        </w:rPr>
      </w:pPr>
      <w:bookmarkStart w:id="586" w:name="_Toc5378"/>
      <w:r>
        <w:rPr>
          <w:rFonts w:hint="eastAsia" w:ascii="宋体" w:hAnsi="宋体" w:cs="宋体"/>
          <w:b/>
          <w:bCs/>
          <w:color w:val="auto"/>
          <w:sz w:val="24"/>
          <w:szCs w:val="21"/>
          <w:highlight w:val="none"/>
        </w:rPr>
        <w:t>关于印发节能产品政府采购品目清单的通知</w:t>
      </w:r>
      <w:bookmarkEnd w:id="586"/>
    </w:p>
    <w:p w14:paraId="1067EC52">
      <w:pPr>
        <w:snapToGrid w:val="0"/>
        <w:spacing w:line="360" w:lineRule="auto"/>
        <w:ind w:firstLine="480" w:firstLineChars="200"/>
        <w:jc w:val="center"/>
        <w:rPr>
          <w:rFonts w:ascii="宋体" w:cs="宋体"/>
          <w:color w:val="auto"/>
          <w:sz w:val="24"/>
          <w:szCs w:val="21"/>
          <w:highlight w:val="none"/>
        </w:rPr>
      </w:pPr>
      <w:r>
        <w:rPr>
          <w:rFonts w:hint="eastAsia" w:ascii="宋体" w:hAnsi="宋体" w:cs="宋体"/>
          <w:color w:val="auto"/>
          <w:sz w:val="24"/>
          <w:szCs w:val="21"/>
          <w:highlight w:val="none"/>
        </w:rPr>
        <w:t>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19</w:t>
      </w:r>
      <w:r>
        <w:rPr>
          <w:rFonts w:hint="eastAsia" w:ascii="宋体" w:hAnsi="宋体" w:cs="宋体"/>
          <w:color w:val="auto"/>
          <w:sz w:val="24"/>
          <w:szCs w:val="21"/>
          <w:highlight w:val="none"/>
        </w:rPr>
        <w:t>号</w:t>
      </w:r>
    </w:p>
    <w:p w14:paraId="2567A34B">
      <w:pPr>
        <w:autoSpaceDE w:val="0"/>
        <w:autoSpaceDN w:val="0"/>
        <w:adjustRightInd w:val="0"/>
        <w:spacing w:line="360" w:lineRule="auto"/>
        <w:jc w:val="left"/>
        <w:rPr>
          <w:rFonts w:ascii="宋体" w:cs="宋体"/>
          <w:color w:val="auto"/>
          <w:kern w:val="0"/>
          <w:sz w:val="24"/>
          <w:highlight w:val="none"/>
        </w:rPr>
      </w:pPr>
    </w:p>
    <w:p w14:paraId="589C443B">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有关中央预算单位，各省、自治区、直辖市、计划单列市财政厅（局）、发展改革委（经信委、工信委、工信厅、经信局），新疆生产建设兵团财政局、发展改革委：</w:t>
      </w:r>
    </w:p>
    <w:p w14:paraId="26AFA73F">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根据《财政部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生态环境部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市场监管总局关于调整优化节能产品</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环境标志产品政府采购执行机制的通知》（财库〔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9</w:t>
      </w:r>
      <w:r>
        <w:rPr>
          <w:rFonts w:hint="eastAsia" w:ascii="宋体" w:hAnsi="宋体" w:cs="宋体"/>
          <w:color w:val="auto"/>
          <w:sz w:val="24"/>
          <w:szCs w:val="21"/>
          <w:highlight w:val="none"/>
        </w:rPr>
        <w:t>号），我们研究制定节能产品政府采购品目清单，现印发给你们，请遵照执行。</w:t>
      </w:r>
    </w:p>
    <w:p w14:paraId="48E9FBC8">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附件：节能产品政府采购品目清单</w:t>
      </w:r>
    </w:p>
    <w:p w14:paraId="743E9FEC">
      <w:pPr>
        <w:snapToGrid w:val="0"/>
        <w:spacing w:line="360" w:lineRule="auto"/>
        <w:ind w:firstLine="480" w:firstLineChars="200"/>
        <w:jc w:val="right"/>
        <w:rPr>
          <w:rFonts w:ascii="宋体" w:cs="宋体"/>
          <w:color w:val="auto"/>
          <w:sz w:val="24"/>
          <w:szCs w:val="21"/>
          <w:highlight w:val="none"/>
        </w:rPr>
      </w:pPr>
      <w:r>
        <w:rPr>
          <w:rFonts w:hint="eastAsia" w:ascii="宋体" w:hAnsi="宋体" w:cs="宋体"/>
          <w:color w:val="auto"/>
          <w:sz w:val="24"/>
          <w:szCs w:val="21"/>
          <w:highlight w:val="none"/>
        </w:rPr>
        <w:t>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p>
    <w:p w14:paraId="17BF0D74">
      <w:pPr>
        <w:snapToGrid w:val="0"/>
        <w:spacing w:line="360" w:lineRule="auto"/>
        <w:ind w:firstLine="480" w:firstLineChars="200"/>
        <w:jc w:val="right"/>
        <w:rPr>
          <w:rFonts w:ascii="宋体" w:cs="宋体"/>
          <w:color w:val="auto"/>
          <w:sz w:val="24"/>
          <w:szCs w:val="21"/>
          <w:highlight w:val="none"/>
        </w:rPr>
      </w:pPr>
      <w:r>
        <w:rPr>
          <w:rFonts w:ascii="宋体" w:hAnsi="宋体" w:cs="宋体"/>
          <w:color w:val="auto"/>
          <w:sz w:val="24"/>
          <w:szCs w:val="21"/>
          <w:highlight w:val="none"/>
        </w:rPr>
        <w:t>2019</w:t>
      </w:r>
      <w:r>
        <w:rPr>
          <w:rFonts w:hint="eastAsia" w:ascii="宋体" w:hAnsi="宋体" w:cs="宋体"/>
          <w:color w:val="auto"/>
          <w:sz w:val="24"/>
          <w:szCs w:val="21"/>
          <w:highlight w:val="none"/>
        </w:rPr>
        <w:t>年</w:t>
      </w:r>
      <w:r>
        <w:rPr>
          <w:rFonts w:ascii="宋体" w:hAnsi="宋体" w:cs="宋体"/>
          <w:color w:val="auto"/>
          <w:sz w:val="24"/>
          <w:szCs w:val="21"/>
          <w:highlight w:val="none"/>
        </w:rPr>
        <w:t>4</w:t>
      </w:r>
      <w:r>
        <w:rPr>
          <w:rFonts w:hint="eastAsia" w:ascii="宋体" w:hAnsi="宋体" w:cs="宋体"/>
          <w:color w:val="auto"/>
          <w:sz w:val="24"/>
          <w:szCs w:val="21"/>
          <w:highlight w:val="none"/>
        </w:rPr>
        <w:t>月</w:t>
      </w:r>
      <w:r>
        <w:rPr>
          <w:rFonts w:ascii="宋体" w:hAnsi="宋体" w:cs="宋体"/>
          <w:color w:val="auto"/>
          <w:sz w:val="24"/>
          <w:szCs w:val="21"/>
          <w:highlight w:val="none"/>
        </w:rPr>
        <w:t>2</w:t>
      </w:r>
      <w:r>
        <w:rPr>
          <w:rFonts w:hint="eastAsia" w:ascii="宋体" w:hAnsi="宋体" w:cs="宋体"/>
          <w:color w:val="auto"/>
          <w:sz w:val="24"/>
          <w:szCs w:val="21"/>
          <w:highlight w:val="none"/>
        </w:rPr>
        <w:t>日</w:t>
      </w:r>
    </w:p>
    <w:p w14:paraId="79AFF0E3">
      <w:pPr>
        <w:spacing w:line="360" w:lineRule="auto"/>
        <w:jc w:val="right"/>
        <w:rPr>
          <w:color w:val="auto"/>
          <w:sz w:val="24"/>
          <w:highlight w:val="none"/>
        </w:rPr>
      </w:pPr>
    </w:p>
    <w:p w14:paraId="45E347C3">
      <w:pPr>
        <w:autoSpaceDE w:val="0"/>
        <w:autoSpaceDN w:val="0"/>
        <w:adjustRightInd w:val="0"/>
        <w:spacing w:line="360" w:lineRule="auto"/>
        <w:jc w:val="left"/>
        <w:rPr>
          <w:rFonts w:ascii="宋体" w:cs="宋体"/>
          <w:color w:val="auto"/>
          <w:kern w:val="0"/>
          <w:sz w:val="24"/>
          <w:highlight w:val="none"/>
        </w:rPr>
      </w:pPr>
    </w:p>
    <w:p w14:paraId="5D539935">
      <w:pPr>
        <w:spacing w:line="360" w:lineRule="auto"/>
        <w:jc w:val="left"/>
        <w:rPr>
          <w:color w:val="auto"/>
          <w:sz w:val="24"/>
          <w:highlight w:val="none"/>
        </w:rPr>
      </w:pPr>
    </w:p>
    <w:p w14:paraId="04320499">
      <w:pPr>
        <w:autoSpaceDE w:val="0"/>
        <w:autoSpaceDN w:val="0"/>
        <w:adjustRightInd w:val="0"/>
        <w:spacing w:line="360" w:lineRule="auto"/>
        <w:jc w:val="left"/>
        <w:rPr>
          <w:rFonts w:ascii="宋体" w:cs="宋体"/>
          <w:color w:val="auto"/>
          <w:kern w:val="0"/>
          <w:sz w:val="24"/>
          <w:highlight w:val="none"/>
        </w:rPr>
      </w:pPr>
    </w:p>
    <w:p w14:paraId="4F912D28">
      <w:pPr>
        <w:spacing w:line="360" w:lineRule="auto"/>
        <w:jc w:val="left"/>
        <w:rPr>
          <w:color w:val="auto"/>
          <w:sz w:val="24"/>
          <w:highlight w:val="none"/>
        </w:rPr>
      </w:pPr>
    </w:p>
    <w:p w14:paraId="7EE276EF">
      <w:pPr>
        <w:autoSpaceDE w:val="0"/>
        <w:autoSpaceDN w:val="0"/>
        <w:adjustRightInd w:val="0"/>
        <w:spacing w:line="360" w:lineRule="auto"/>
        <w:jc w:val="left"/>
        <w:rPr>
          <w:rFonts w:ascii="宋体" w:cs="宋体"/>
          <w:color w:val="auto"/>
          <w:kern w:val="0"/>
          <w:sz w:val="24"/>
          <w:highlight w:val="none"/>
        </w:rPr>
      </w:pPr>
    </w:p>
    <w:p w14:paraId="33FEDF3E">
      <w:pPr>
        <w:spacing w:line="360" w:lineRule="auto"/>
        <w:jc w:val="left"/>
        <w:rPr>
          <w:color w:val="auto"/>
          <w:sz w:val="24"/>
          <w:highlight w:val="none"/>
        </w:rPr>
      </w:pPr>
    </w:p>
    <w:p w14:paraId="1CC7CDD5">
      <w:pPr>
        <w:autoSpaceDE w:val="0"/>
        <w:autoSpaceDN w:val="0"/>
        <w:adjustRightInd w:val="0"/>
        <w:spacing w:line="360" w:lineRule="auto"/>
        <w:jc w:val="left"/>
        <w:rPr>
          <w:rFonts w:ascii="宋体" w:cs="宋体"/>
          <w:color w:val="auto"/>
          <w:kern w:val="0"/>
          <w:sz w:val="24"/>
          <w:highlight w:val="none"/>
        </w:rPr>
      </w:pPr>
    </w:p>
    <w:p w14:paraId="0A75C157">
      <w:pPr>
        <w:spacing w:line="360" w:lineRule="auto"/>
        <w:jc w:val="left"/>
        <w:rPr>
          <w:color w:val="auto"/>
          <w:sz w:val="24"/>
          <w:highlight w:val="none"/>
        </w:rPr>
      </w:pPr>
    </w:p>
    <w:p w14:paraId="4D428C20">
      <w:pPr>
        <w:autoSpaceDE w:val="0"/>
        <w:autoSpaceDN w:val="0"/>
        <w:adjustRightInd w:val="0"/>
        <w:spacing w:line="360" w:lineRule="auto"/>
        <w:jc w:val="left"/>
        <w:rPr>
          <w:rFonts w:ascii="宋体" w:cs="宋体"/>
          <w:color w:val="auto"/>
          <w:kern w:val="0"/>
          <w:sz w:val="24"/>
          <w:highlight w:val="none"/>
        </w:rPr>
      </w:pPr>
    </w:p>
    <w:p w14:paraId="0606F7EC">
      <w:pPr>
        <w:spacing w:line="360" w:lineRule="auto"/>
        <w:jc w:val="left"/>
        <w:rPr>
          <w:color w:val="auto"/>
          <w:sz w:val="24"/>
          <w:highlight w:val="none"/>
        </w:rPr>
      </w:pPr>
    </w:p>
    <w:p w14:paraId="206B8E54">
      <w:pPr>
        <w:autoSpaceDE w:val="0"/>
        <w:autoSpaceDN w:val="0"/>
        <w:adjustRightInd w:val="0"/>
        <w:spacing w:line="360" w:lineRule="auto"/>
        <w:jc w:val="left"/>
        <w:rPr>
          <w:rFonts w:ascii="宋体" w:cs="宋体"/>
          <w:color w:val="auto"/>
          <w:kern w:val="0"/>
          <w:sz w:val="24"/>
          <w:highlight w:val="none"/>
        </w:rPr>
      </w:pPr>
    </w:p>
    <w:p w14:paraId="43A7F753">
      <w:pPr>
        <w:pStyle w:val="20"/>
        <w:spacing w:line="360" w:lineRule="auto"/>
        <w:rPr>
          <w:color w:val="auto"/>
          <w:highlight w:val="none"/>
        </w:rPr>
      </w:pPr>
    </w:p>
    <w:p w14:paraId="3764F735">
      <w:pPr>
        <w:spacing w:line="360" w:lineRule="auto"/>
        <w:jc w:val="left"/>
        <w:rPr>
          <w:color w:val="auto"/>
          <w:sz w:val="24"/>
          <w:highlight w:val="none"/>
        </w:rPr>
      </w:pPr>
    </w:p>
    <w:p w14:paraId="689CDA33">
      <w:pPr>
        <w:autoSpaceDE w:val="0"/>
        <w:autoSpaceDN w:val="0"/>
        <w:adjustRightInd w:val="0"/>
        <w:spacing w:line="360" w:lineRule="auto"/>
        <w:jc w:val="left"/>
        <w:rPr>
          <w:rFonts w:ascii="宋体" w:cs="宋体"/>
          <w:color w:val="auto"/>
          <w:kern w:val="0"/>
          <w:sz w:val="24"/>
          <w:highlight w:val="none"/>
        </w:rPr>
      </w:pPr>
    </w:p>
    <w:p w14:paraId="48C77E7D">
      <w:pPr>
        <w:spacing w:line="360" w:lineRule="auto"/>
        <w:jc w:val="left"/>
        <w:rPr>
          <w:color w:val="auto"/>
          <w:sz w:val="24"/>
          <w:highlight w:val="none"/>
        </w:rPr>
      </w:pPr>
    </w:p>
    <w:p w14:paraId="2CD26E8F">
      <w:pPr>
        <w:autoSpaceDE w:val="0"/>
        <w:autoSpaceDN w:val="0"/>
        <w:adjustRightInd w:val="0"/>
        <w:spacing w:line="360" w:lineRule="auto"/>
        <w:jc w:val="left"/>
        <w:rPr>
          <w:rFonts w:ascii="宋体" w:cs="宋体"/>
          <w:color w:val="auto"/>
          <w:kern w:val="0"/>
          <w:sz w:val="24"/>
          <w:highlight w:val="none"/>
        </w:rPr>
      </w:pPr>
    </w:p>
    <w:p w14:paraId="2D71A4F2">
      <w:pPr>
        <w:widowControl/>
        <w:spacing w:line="360" w:lineRule="auto"/>
        <w:jc w:val="center"/>
        <w:outlineLvl w:val="2"/>
        <w:rPr>
          <w:rFonts w:ascii="宋体" w:cs="宋体"/>
          <w:b/>
          <w:bCs/>
          <w:color w:val="auto"/>
          <w:sz w:val="24"/>
          <w:szCs w:val="21"/>
          <w:highlight w:val="none"/>
        </w:rPr>
      </w:pPr>
      <w:bookmarkStart w:id="587" w:name="_Toc873"/>
      <w:r>
        <w:rPr>
          <w:rFonts w:hint="eastAsia" w:ascii="宋体" w:hAnsi="宋体" w:cs="宋体"/>
          <w:b/>
          <w:bCs/>
          <w:color w:val="auto"/>
          <w:sz w:val="24"/>
          <w:szCs w:val="21"/>
          <w:highlight w:val="none"/>
        </w:rPr>
        <w:t>节能产品政府采购品目清单</w:t>
      </w:r>
      <w:bookmarkEnd w:id="587"/>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5"/>
        <w:gridCol w:w="1824"/>
        <w:gridCol w:w="1598"/>
        <w:gridCol w:w="2969"/>
      </w:tblGrid>
      <w:tr w14:paraId="7E60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5A9FA360">
            <w:pPr>
              <w:spacing w:line="360" w:lineRule="auto"/>
              <w:jc w:val="center"/>
              <w:rPr>
                <w:rFonts w:ascii="宋体" w:cs="宋体"/>
                <w:color w:val="auto"/>
                <w:szCs w:val="21"/>
                <w:highlight w:val="none"/>
              </w:rPr>
            </w:pPr>
            <w:r>
              <w:rPr>
                <w:rFonts w:hint="eastAsia" w:ascii="宋体" w:hAnsi="宋体" w:cs="宋体"/>
                <w:color w:val="auto"/>
                <w:szCs w:val="21"/>
                <w:highlight w:val="none"/>
              </w:rPr>
              <w:t>品目序号</w:t>
            </w:r>
          </w:p>
        </w:tc>
        <w:tc>
          <w:tcPr>
            <w:tcW w:w="2822" w:type="pct"/>
            <w:gridSpan w:val="3"/>
          </w:tcPr>
          <w:p w14:paraId="7A63D057">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1743" w:type="pct"/>
          </w:tcPr>
          <w:p w14:paraId="36EB856D">
            <w:pPr>
              <w:spacing w:line="360" w:lineRule="auto"/>
              <w:jc w:val="center"/>
              <w:rPr>
                <w:rFonts w:ascii="宋体" w:cs="宋体"/>
                <w:color w:val="auto"/>
                <w:szCs w:val="21"/>
                <w:highlight w:val="none"/>
              </w:rPr>
            </w:pPr>
            <w:r>
              <w:rPr>
                <w:rFonts w:hint="eastAsia" w:ascii="宋体" w:hAnsi="宋体" w:cs="宋体"/>
                <w:color w:val="auto"/>
                <w:szCs w:val="21"/>
                <w:highlight w:val="none"/>
              </w:rPr>
              <w:t>依据的标准</w:t>
            </w:r>
          </w:p>
        </w:tc>
      </w:tr>
      <w:tr w14:paraId="0598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14:paraId="5BC709EF">
            <w:pPr>
              <w:spacing w:line="360" w:lineRule="auto"/>
              <w:rPr>
                <w:rFonts w:ascii="宋体" w:cs="宋体"/>
                <w:color w:val="auto"/>
                <w:szCs w:val="21"/>
                <w:highlight w:val="none"/>
              </w:rPr>
            </w:pPr>
          </w:p>
          <w:p w14:paraId="619DD489">
            <w:pPr>
              <w:spacing w:line="360" w:lineRule="auto"/>
              <w:rPr>
                <w:rFonts w:ascii="宋体" w:cs="宋体"/>
                <w:color w:val="auto"/>
                <w:szCs w:val="21"/>
                <w:highlight w:val="none"/>
              </w:rPr>
            </w:pPr>
            <w:r>
              <w:rPr>
                <w:rFonts w:ascii="宋体" w:hAnsi="宋体" w:cs="宋体"/>
                <w:color w:val="auto"/>
                <w:szCs w:val="21"/>
                <w:highlight w:val="none"/>
              </w:rPr>
              <w:t>1</w:t>
            </w:r>
          </w:p>
        </w:tc>
        <w:tc>
          <w:tcPr>
            <w:tcW w:w="813" w:type="pct"/>
            <w:vMerge w:val="restart"/>
          </w:tcPr>
          <w:p w14:paraId="6CFADA6C">
            <w:pPr>
              <w:spacing w:line="360" w:lineRule="auto"/>
              <w:rPr>
                <w:rFonts w:ascii="宋体" w:cs="宋体"/>
                <w:color w:val="auto"/>
                <w:szCs w:val="21"/>
                <w:highlight w:val="none"/>
              </w:rPr>
            </w:pPr>
          </w:p>
          <w:p w14:paraId="198E31A4">
            <w:pPr>
              <w:spacing w:line="360" w:lineRule="auto"/>
              <w:rPr>
                <w:rFonts w:ascii="宋体" w:cs="宋体"/>
                <w:color w:val="auto"/>
                <w:szCs w:val="21"/>
                <w:highlight w:val="none"/>
              </w:rPr>
            </w:pPr>
          </w:p>
          <w:p w14:paraId="753534ED">
            <w:pPr>
              <w:spacing w:line="360" w:lineRule="auto"/>
              <w:rPr>
                <w:rFonts w:ascii="宋体" w:cs="宋体"/>
                <w:color w:val="auto"/>
                <w:szCs w:val="21"/>
                <w:highlight w:val="none"/>
              </w:rPr>
            </w:pPr>
            <w:r>
              <w:rPr>
                <w:rFonts w:ascii="宋体" w:hAnsi="宋体" w:cs="宋体"/>
                <w:color w:val="auto"/>
                <w:szCs w:val="21"/>
                <w:highlight w:val="none"/>
              </w:rPr>
              <w:t>A020101</w:t>
            </w:r>
            <w:r>
              <w:rPr>
                <w:rFonts w:hint="eastAsia" w:ascii="宋体" w:hAnsi="宋体" w:cs="宋体"/>
                <w:color w:val="auto"/>
                <w:szCs w:val="21"/>
                <w:highlight w:val="none"/>
              </w:rPr>
              <w:t>计算机设备</w:t>
            </w:r>
          </w:p>
          <w:p w14:paraId="27528895">
            <w:pPr>
              <w:spacing w:line="360" w:lineRule="auto"/>
              <w:rPr>
                <w:rFonts w:ascii="宋体" w:cs="宋体"/>
                <w:color w:val="auto"/>
                <w:szCs w:val="21"/>
                <w:highlight w:val="none"/>
              </w:rPr>
            </w:pPr>
          </w:p>
          <w:p w14:paraId="0F999F41">
            <w:pPr>
              <w:spacing w:line="360" w:lineRule="auto"/>
              <w:rPr>
                <w:rFonts w:ascii="宋体" w:cs="宋体"/>
                <w:color w:val="auto"/>
                <w:szCs w:val="21"/>
                <w:highlight w:val="none"/>
              </w:rPr>
            </w:pPr>
          </w:p>
        </w:tc>
        <w:tc>
          <w:tcPr>
            <w:tcW w:w="1071" w:type="pct"/>
          </w:tcPr>
          <w:p w14:paraId="20C5925D">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A02010104</w:t>
            </w:r>
            <w:r>
              <w:rPr>
                <w:rFonts w:hint="eastAsia" w:ascii="宋体" w:hAnsi="宋体" w:cs="宋体"/>
                <w:color w:val="auto"/>
                <w:szCs w:val="21"/>
                <w:highlight w:val="none"/>
              </w:rPr>
              <w:t>台式计算机</w:t>
            </w:r>
          </w:p>
        </w:tc>
        <w:tc>
          <w:tcPr>
            <w:tcW w:w="937" w:type="pct"/>
          </w:tcPr>
          <w:p w14:paraId="6714985A">
            <w:pPr>
              <w:spacing w:line="360" w:lineRule="auto"/>
              <w:rPr>
                <w:rFonts w:ascii="宋体" w:cs="宋体"/>
                <w:color w:val="auto"/>
                <w:szCs w:val="21"/>
                <w:highlight w:val="none"/>
              </w:rPr>
            </w:pPr>
          </w:p>
        </w:tc>
        <w:tc>
          <w:tcPr>
            <w:tcW w:w="1743" w:type="pct"/>
          </w:tcPr>
          <w:p w14:paraId="0499B862">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14:paraId="345A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6A21F56">
            <w:pPr>
              <w:spacing w:line="360" w:lineRule="auto"/>
              <w:rPr>
                <w:rFonts w:ascii="宋体" w:cs="宋体"/>
                <w:color w:val="auto"/>
                <w:szCs w:val="21"/>
                <w:highlight w:val="none"/>
              </w:rPr>
            </w:pPr>
          </w:p>
        </w:tc>
        <w:tc>
          <w:tcPr>
            <w:tcW w:w="813" w:type="pct"/>
            <w:vMerge w:val="continue"/>
          </w:tcPr>
          <w:p w14:paraId="31B06BB7">
            <w:pPr>
              <w:spacing w:line="360" w:lineRule="auto"/>
              <w:rPr>
                <w:rFonts w:ascii="宋体" w:cs="宋体"/>
                <w:color w:val="auto"/>
                <w:szCs w:val="21"/>
                <w:highlight w:val="none"/>
              </w:rPr>
            </w:pPr>
          </w:p>
        </w:tc>
        <w:tc>
          <w:tcPr>
            <w:tcW w:w="1071" w:type="pct"/>
          </w:tcPr>
          <w:p w14:paraId="273A7D0E">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A02010105</w:t>
            </w:r>
            <w:r>
              <w:rPr>
                <w:rFonts w:hint="eastAsia" w:ascii="宋体" w:hAnsi="宋体" w:cs="宋体"/>
                <w:color w:val="auto"/>
                <w:szCs w:val="21"/>
                <w:highlight w:val="none"/>
              </w:rPr>
              <w:t>便携式计算机</w:t>
            </w:r>
          </w:p>
        </w:tc>
        <w:tc>
          <w:tcPr>
            <w:tcW w:w="937" w:type="pct"/>
          </w:tcPr>
          <w:p w14:paraId="5F25228D">
            <w:pPr>
              <w:spacing w:line="360" w:lineRule="auto"/>
              <w:rPr>
                <w:rFonts w:ascii="宋体" w:cs="宋体"/>
                <w:color w:val="auto"/>
                <w:szCs w:val="21"/>
                <w:highlight w:val="none"/>
              </w:rPr>
            </w:pPr>
          </w:p>
        </w:tc>
        <w:tc>
          <w:tcPr>
            <w:tcW w:w="1743" w:type="pct"/>
          </w:tcPr>
          <w:p w14:paraId="14CECA01">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14:paraId="785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627588FF">
            <w:pPr>
              <w:spacing w:line="360" w:lineRule="auto"/>
              <w:rPr>
                <w:rFonts w:ascii="宋体" w:cs="宋体"/>
                <w:color w:val="auto"/>
                <w:szCs w:val="21"/>
                <w:highlight w:val="none"/>
              </w:rPr>
            </w:pPr>
          </w:p>
        </w:tc>
        <w:tc>
          <w:tcPr>
            <w:tcW w:w="813" w:type="pct"/>
            <w:vMerge w:val="continue"/>
          </w:tcPr>
          <w:p w14:paraId="0117AEA6">
            <w:pPr>
              <w:spacing w:line="360" w:lineRule="auto"/>
              <w:rPr>
                <w:rFonts w:ascii="宋体" w:cs="宋体"/>
                <w:color w:val="auto"/>
                <w:szCs w:val="21"/>
                <w:highlight w:val="none"/>
              </w:rPr>
            </w:pPr>
          </w:p>
        </w:tc>
        <w:tc>
          <w:tcPr>
            <w:tcW w:w="1071" w:type="pct"/>
          </w:tcPr>
          <w:p w14:paraId="6AE57723">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A02010107</w:t>
            </w:r>
            <w:r>
              <w:rPr>
                <w:rFonts w:hint="eastAsia" w:ascii="宋体" w:hAnsi="宋体" w:cs="宋体"/>
                <w:color w:val="auto"/>
                <w:szCs w:val="21"/>
                <w:highlight w:val="none"/>
              </w:rPr>
              <w:t>平板式微型计算机</w:t>
            </w:r>
          </w:p>
        </w:tc>
        <w:tc>
          <w:tcPr>
            <w:tcW w:w="937" w:type="pct"/>
          </w:tcPr>
          <w:p w14:paraId="2A3F5081">
            <w:pPr>
              <w:spacing w:line="360" w:lineRule="auto"/>
              <w:rPr>
                <w:rFonts w:ascii="宋体" w:cs="宋体"/>
                <w:color w:val="auto"/>
                <w:szCs w:val="21"/>
                <w:highlight w:val="none"/>
              </w:rPr>
            </w:pPr>
          </w:p>
        </w:tc>
        <w:tc>
          <w:tcPr>
            <w:tcW w:w="1743" w:type="pct"/>
          </w:tcPr>
          <w:p w14:paraId="7982128C">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14:paraId="15B5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pct"/>
            <w:vMerge w:val="restart"/>
          </w:tcPr>
          <w:p w14:paraId="2335E897">
            <w:pPr>
              <w:spacing w:line="360" w:lineRule="auto"/>
              <w:rPr>
                <w:rFonts w:ascii="宋体" w:cs="宋体"/>
                <w:color w:val="auto"/>
                <w:szCs w:val="21"/>
                <w:highlight w:val="none"/>
              </w:rPr>
            </w:pPr>
          </w:p>
          <w:p w14:paraId="25477C49">
            <w:pPr>
              <w:spacing w:line="360" w:lineRule="auto"/>
              <w:rPr>
                <w:rFonts w:ascii="宋体" w:cs="宋体"/>
                <w:color w:val="auto"/>
                <w:szCs w:val="21"/>
                <w:highlight w:val="none"/>
              </w:rPr>
            </w:pPr>
          </w:p>
          <w:p w14:paraId="09248C07">
            <w:pPr>
              <w:spacing w:line="360" w:lineRule="auto"/>
              <w:rPr>
                <w:rFonts w:ascii="宋体" w:cs="宋体"/>
                <w:color w:val="auto"/>
                <w:szCs w:val="21"/>
                <w:highlight w:val="none"/>
              </w:rPr>
            </w:pPr>
            <w:r>
              <w:rPr>
                <w:rFonts w:ascii="宋体" w:hAnsi="宋体" w:cs="宋体"/>
                <w:color w:val="auto"/>
                <w:szCs w:val="21"/>
                <w:highlight w:val="none"/>
              </w:rPr>
              <w:t>2</w:t>
            </w:r>
          </w:p>
        </w:tc>
        <w:tc>
          <w:tcPr>
            <w:tcW w:w="813" w:type="pct"/>
            <w:vMerge w:val="restart"/>
          </w:tcPr>
          <w:p w14:paraId="7C68B772">
            <w:pPr>
              <w:spacing w:line="360" w:lineRule="auto"/>
              <w:rPr>
                <w:rFonts w:ascii="宋体" w:cs="宋体"/>
                <w:color w:val="auto"/>
                <w:szCs w:val="21"/>
                <w:highlight w:val="none"/>
              </w:rPr>
            </w:pPr>
          </w:p>
          <w:p w14:paraId="6FD01947">
            <w:pPr>
              <w:spacing w:line="360" w:lineRule="auto"/>
              <w:rPr>
                <w:rFonts w:ascii="宋体" w:cs="宋体"/>
                <w:color w:val="auto"/>
                <w:szCs w:val="21"/>
                <w:highlight w:val="none"/>
              </w:rPr>
            </w:pPr>
            <w:r>
              <w:rPr>
                <w:rFonts w:ascii="宋体" w:hAnsi="宋体" w:cs="宋体"/>
                <w:color w:val="auto"/>
                <w:szCs w:val="21"/>
                <w:highlight w:val="none"/>
              </w:rPr>
              <w:t>A020106</w:t>
            </w:r>
            <w:r>
              <w:rPr>
                <w:rFonts w:hint="eastAsia" w:ascii="宋体" w:hAnsi="宋体" w:cs="宋体"/>
                <w:color w:val="auto"/>
                <w:szCs w:val="21"/>
                <w:highlight w:val="none"/>
              </w:rPr>
              <w:t>输入输出设备</w:t>
            </w:r>
          </w:p>
          <w:p w14:paraId="07497A7B">
            <w:pPr>
              <w:spacing w:line="360" w:lineRule="auto"/>
              <w:rPr>
                <w:rFonts w:ascii="宋体" w:cs="宋体"/>
                <w:color w:val="auto"/>
                <w:szCs w:val="21"/>
                <w:highlight w:val="none"/>
              </w:rPr>
            </w:pPr>
          </w:p>
        </w:tc>
        <w:tc>
          <w:tcPr>
            <w:tcW w:w="1071" w:type="pct"/>
            <w:vMerge w:val="restart"/>
          </w:tcPr>
          <w:p w14:paraId="0F1E6E4A">
            <w:pPr>
              <w:spacing w:line="360" w:lineRule="auto"/>
              <w:rPr>
                <w:rFonts w:ascii="宋体" w:cs="宋体"/>
                <w:color w:val="auto"/>
                <w:szCs w:val="21"/>
                <w:highlight w:val="none"/>
              </w:rPr>
            </w:pPr>
          </w:p>
          <w:p w14:paraId="35A9B41E">
            <w:pPr>
              <w:spacing w:line="360" w:lineRule="auto"/>
              <w:rPr>
                <w:rFonts w:ascii="宋体" w:cs="宋体"/>
                <w:color w:val="auto"/>
                <w:szCs w:val="21"/>
                <w:highlight w:val="none"/>
              </w:rPr>
            </w:pPr>
          </w:p>
          <w:p w14:paraId="4352D02B">
            <w:pPr>
              <w:spacing w:line="360" w:lineRule="auto"/>
              <w:rPr>
                <w:rFonts w:ascii="宋体" w:cs="宋体"/>
                <w:color w:val="auto"/>
                <w:szCs w:val="21"/>
                <w:highlight w:val="none"/>
              </w:rPr>
            </w:pPr>
            <w:r>
              <w:rPr>
                <w:rFonts w:ascii="宋体" w:hAnsi="宋体" w:cs="宋体"/>
                <w:color w:val="auto"/>
                <w:szCs w:val="21"/>
                <w:highlight w:val="none"/>
              </w:rPr>
              <w:t>A02010601</w:t>
            </w:r>
            <w:r>
              <w:rPr>
                <w:rFonts w:hint="eastAsia" w:ascii="宋体" w:hAnsi="宋体" w:cs="宋体"/>
                <w:color w:val="auto"/>
                <w:szCs w:val="21"/>
                <w:highlight w:val="none"/>
              </w:rPr>
              <w:t>打印设备</w:t>
            </w:r>
          </w:p>
        </w:tc>
        <w:tc>
          <w:tcPr>
            <w:tcW w:w="937" w:type="pct"/>
          </w:tcPr>
          <w:p w14:paraId="2A8C873A">
            <w:pPr>
              <w:spacing w:line="360" w:lineRule="auto"/>
              <w:rPr>
                <w:rFonts w:ascii="宋体" w:cs="宋体"/>
                <w:color w:val="auto"/>
                <w:szCs w:val="21"/>
                <w:highlight w:val="none"/>
              </w:rPr>
            </w:pPr>
            <w:r>
              <w:rPr>
                <w:rFonts w:ascii="宋体" w:hAnsi="宋体" w:cs="宋体"/>
                <w:color w:val="auto"/>
                <w:szCs w:val="21"/>
                <w:highlight w:val="none"/>
              </w:rPr>
              <w:t xml:space="preserve">A0201060101 </w:t>
            </w:r>
            <w:r>
              <w:rPr>
                <w:rFonts w:hint="eastAsia" w:ascii="宋体" w:hAnsi="宋体" w:cs="宋体"/>
                <w:color w:val="auto"/>
                <w:szCs w:val="21"/>
                <w:highlight w:val="none"/>
              </w:rPr>
              <w:t>喷墨打印机</w:t>
            </w:r>
          </w:p>
        </w:tc>
        <w:tc>
          <w:tcPr>
            <w:tcW w:w="1743" w:type="pct"/>
          </w:tcPr>
          <w:p w14:paraId="3C2AB479">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14:paraId="287E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79B61FC2">
            <w:pPr>
              <w:spacing w:line="360" w:lineRule="auto"/>
              <w:rPr>
                <w:rFonts w:ascii="宋体" w:cs="宋体"/>
                <w:color w:val="auto"/>
                <w:szCs w:val="21"/>
                <w:highlight w:val="none"/>
              </w:rPr>
            </w:pPr>
          </w:p>
        </w:tc>
        <w:tc>
          <w:tcPr>
            <w:tcW w:w="813" w:type="pct"/>
            <w:vMerge w:val="continue"/>
          </w:tcPr>
          <w:p w14:paraId="3AD49724">
            <w:pPr>
              <w:spacing w:line="360" w:lineRule="auto"/>
              <w:rPr>
                <w:rFonts w:ascii="宋体" w:cs="宋体"/>
                <w:color w:val="auto"/>
                <w:szCs w:val="21"/>
                <w:highlight w:val="none"/>
              </w:rPr>
            </w:pPr>
          </w:p>
        </w:tc>
        <w:tc>
          <w:tcPr>
            <w:tcW w:w="1071" w:type="pct"/>
            <w:vMerge w:val="continue"/>
          </w:tcPr>
          <w:p w14:paraId="4CB324E2">
            <w:pPr>
              <w:spacing w:line="360" w:lineRule="auto"/>
              <w:rPr>
                <w:rFonts w:ascii="宋体" w:cs="宋体"/>
                <w:color w:val="auto"/>
                <w:szCs w:val="21"/>
                <w:highlight w:val="none"/>
              </w:rPr>
            </w:pPr>
          </w:p>
        </w:tc>
        <w:tc>
          <w:tcPr>
            <w:tcW w:w="937" w:type="pct"/>
          </w:tcPr>
          <w:p w14:paraId="60D59F66">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A0201060102 </w:t>
            </w:r>
            <w:r>
              <w:rPr>
                <w:rFonts w:hint="eastAsia" w:ascii="宋体" w:hAnsi="宋体" w:cs="宋体"/>
                <w:color w:val="auto"/>
                <w:szCs w:val="21"/>
                <w:highlight w:val="none"/>
              </w:rPr>
              <w:t>激光打印机</w:t>
            </w:r>
          </w:p>
        </w:tc>
        <w:tc>
          <w:tcPr>
            <w:tcW w:w="1743" w:type="pct"/>
          </w:tcPr>
          <w:p w14:paraId="538C243E">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14:paraId="0295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70A2AB4">
            <w:pPr>
              <w:spacing w:line="360" w:lineRule="auto"/>
              <w:rPr>
                <w:rFonts w:ascii="宋体" w:cs="宋体"/>
                <w:color w:val="auto"/>
                <w:szCs w:val="21"/>
                <w:highlight w:val="none"/>
              </w:rPr>
            </w:pPr>
          </w:p>
        </w:tc>
        <w:tc>
          <w:tcPr>
            <w:tcW w:w="813" w:type="pct"/>
            <w:vMerge w:val="continue"/>
          </w:tcPr>
          <w:p w14:paraId="058F5BB5">
            <w:pPr>
              <w:spacing w:line="360" w:lineRule="auto"/>
              <w:rPr>
                <w:rFonts w:ascii="宋体" w:cs="宋体"/>
                <w:color w:val="auto"/>
                <w:szCs w:val="21"/>
                <w:highlight w:val="none"/>
              </w:rPr>
            </w:pPr>
          </w:p>
        </w:tc>
        <w:tc>
          <w:tcPr>
            <w:tcW w:w="1071" w:type="pct"/>
            <w:vMerge w:val="continue"/>
          </w:tcPr>
          <w:p w14:paraId="3EFDFDDA">
            <w:pPr>
              <w:spacing w:line="360" w:lineRule="auto"/>
              <w:rPr>
                <w:rFonts w:ascii="宋体" w:cs="宋体"/>
                <w:color w:val="auto"/>
                <w:szCs w:val="21"/>
                <w:highlight w:val="none"/>
              </w:rPr>
            </w:pPr>
          </w:p>
        </w:tc>
        <w:tc>
          <w:tcPr>
            <w:tcW w:w="937" w:type="pct"/>
          </w:tcPr>
          <w:p w14:paraId="7A977A97">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A0201060104 </w:t>
            </w:r>
            <w:r>
              <w:rPr>
                <w:rFonts w:hint="eastAsia" w:ascii="宋体" w:hAnsi="宋体" w:cs="宋体"/>
                <w:color w:val="auto"/>
                <w:szCs w:val="21"/>
                <w:highlight w:val="none"/>
              </w:rPr>
              <w:t>针式打印机</w:t>
            </w:r>
          </w:p>
        </w:tc>
        <w:tc>
          <w:tcPr>
            <w:tcW w:w="1743" w:type="pct"/>
          </w:tcPr>
          <w:p w14:paraId="091B068C">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14:paraId="0BE4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381C1584">
            <w:pPr>
              <w:spacing w:line="360" w:lineRule="auto"/>
              <w:rPr>
                <w:rFonts w:ascii="宋体" w:cs="宋体"/>
                <w:color w:val="auto"/>
                <w:szCs w:val="21"/>
                <w:highlight w:val="none"/>
              </w:rPr>
            </w:pPr>
          </w:p>
        </w:tc>
        <w:tc>
          <w:tcPr>
            <w:tcW w:w="813" w:type="pct"/>
            <w:vMerge w:val="continue"/>
          </w:tcPr>
          <w:p w14:paraId="79BB3493">
            <w:pPr>
              <w:spacing w:line="360" w:lineRule="auto"/>
              <w:rPr>
                <w:rFonts w:ascii="宋体" w:cs="宋体"/>
                <w:color w:val="auto"/>
                <w:szCs w:val="21"/>
                <w:highlight w:val="none"/>
              </w:rPr>
            </w:pPr>
          </w:p>
        </w:tc>
        <w:tc>
          <w:tcPr>
            <w:tcW w:w="1071" w:type="pct"/>
          </w:tcPr>
          <w:p w14:paraId="75C42BAA">
            <w:pPr>
              <w:spacing w:line="360" w:lineRule="auto"/>
              <w:rPr>
                <w:rFonts w:ascii="宋体" w:cs="宋体"/>
                <w:color w:val="auto"/>
                <w:szCs w:val="21"/>
                <w:highlight w:val="none"/>
              </w:rPr>
            </w:pPr>
            <w:r>
              <w:rPr>
                <w:rFonts w:ascii="宋体" w:hAnsi="宋体" w:cs="宋体"/>
                <w:color w:val="auto"/>
                <w:szCs w:val="21"/>
                <w:highlight w:val="none"/>
              </w:rPr>
              <w:t>A02010604</w:t>
            </w:r>
            <w:r>
              <w:rPr>
                <w:rFonts w:hint="eastAsia" w:ascii="宋体" w:hAnsi="宋体" w:cs="宋体"/>
                <w:color w:val="auto"/>
                <w:szCs w:val="21"/>
                <w:highlight w:val="none"/>
              </w:rPr>
              <w:t>显示设备</w:t>
            </w:r>
          </w:p>
        </w:tc>
        <w:tc>
          <w:tcPr>
            <w:tcW w:w="937" w:type="pct"/>
          </w:tcPr>
          <w:p w14:paraId="1916E688">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A0201060401 </w:t>
            </w:r>
            <w:r>
              <w:rPr>
                <w:rFonts w:hint="eastAsia" w:ascii="宋体" w:hAnsi="宋体" w:cs="宋体"/>
                <w:color w:val="auto"/>
                <w:szCs w:val="21"/>
                <w:highlight w:val="none"/>
              </w:rPr>
              <w:t>液晶显示器</w:t>
            </w:r>
          </w:p>
        </w:tc>
        <w:tc>
          <w:tcPr>
            <w:tcW w:w="1743" w:type="pct"/>
          </w:tcPr>
          <w:p w14:paraId="5E281336">
            <w:pPr>
              <w:spacing w:line="360" w:lineRule="auto"/>
              <w:rPr>
                <w:rFonts w:ascii="宋体" w:cs="宋体"/>
                <w:color w:val="auto"/>
                <w:szCs w:val="21"/>
                <w:highlight w:val="none"/>
              </w:rPr>
            </w:pPr>
            <w:r>
              <w:rPr>
                <w:rFonts w:hint="eastAsia" w:ascii="宋体" w:hAnsi="宋体" w:cs="宋体"/>
                <w:color w:val="auto"/>
                <w:szCs w:val="21"/>
                <w:highlight w:val="none"/>
              </w:rPr>
              <w:t>《计算机显示器能效限定值及能效等级》</w:t>
            </w:r>
            <w:r>
              <w:rPr>
                <w:rFonts w:ascii="宋体" w:hAnsi="宋体" w:cs="宋体"/>
                <w:color w:val="auto"/>
                <w:szCs w:val="21"/>
                <w:highlight w:val="none"/>
              </w:rPr>
              <w:t xml:space="preserve"> (GB 21520)</w:t>
            </w:r>
          </w:p>
        </w:tc>
      </w:tr>
      <w:tr w14:paraId="7749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B861528">
            <w:pPr>
              <w:spacing w:line="360" w:lineRule="auto"/>
              <w:rPr>
                <w:rFonts w:ascii="宋体" w:cs="宋体"/>
                <w:color w:val="auto"/>
                <w:szCs w:val="21"/>
                <w:highlight w:val="none"/>
              </w:rPr>
            </w:pPr>
          </w:p>
        </w:tc>
        <w:tc>
          <w:tcPr>
            <w:tcW w:w="813" w:type="pct"/>
            <w:vMerge w:val="continue"/>
          </w:tcPr>
          <w:p w14:paraId="0B0F414E">
            <w:pPr>
              <w:spacing w:line="360" w:lineRule="auto"/>
              <w:rPr>
                <w:rFonts w:ascii="宋体" w:cs="宋体"/>
                <w:color w:val="auto"/>
                <w:szCs w:val="21"/>
                <w:highlight w:val="none"/>
              </w:rPr>
            </w:pPr>
          </w:p>
        </w:tc>
        <w:tc>
          <w:tcPr>
            <w:tcW w:w="1071" w:type="pct"/>
          </w:tcPr>
          <w:p w14:paraId="601A91FC">
            <w:pPr>
              <w:spacing w:line="360" w:lineRule="auto"/>
              <w:rPr>
                <w:rFonts w:ascii="宋体" w:cs="宋体"/>
                <w:color w:val="auto"/>
                <w:szCs w:val="21"/>
                <w:highlight w:val="none"/>
              </w:rPr>
            </w:pPr>
          </w:p>
          <w:p w14:paraId="0EABEC01">
            <w:pPr>
              <w:spacing w:line="360" w:lineRule="auto"/>
              <w:rPr>
                <w:rFonts w:ascii="宋体" w:cs="宋体"/>
                <w:color w:val="auto"/>
                <w:szCs w:val="21"/>
                <w:highlight w:val="none"/>
              </w:rPr>
            </w:pPr>
            <w:r>
              <w:rPr>
                <w:rFonts w:ascii="宋体" w:hAnsi="宋体" w:cs="宋体"/>
                <w:color w:val="auto"/>
                <w:szCs w:val="21"/>
                <w:highlight w:val="none"/>
              </w:rPr>
              <w:t>02010609</w:t>
            </w:r>
            <w:r>
              <w:rPr>
                <w:rFonts w:hint="eastAsia" w:ascii="宋体" w:hAnsi="宋体" w:cs="宋体"/>
                <w:color w:val="auto"/>
                <w:szCs w:val="21"/>
                <w:highlight w:val="none"/>
              </w:rPr>
              <w:t>图形图像输入设备</w:t>
            </w:r>
          </w:p>
        </w:tc>
        <w:tc>
          <w:tcPr>
            <w:tcW w:w="937" w:type="pct"/>
          </w:tcPr>
          <w:p w14:paraId="2D7D7AE4">
            <w:pPr>
              <w:spacing w:line="360" w:lineRule="auto"/>
              <w:rPr>
                <w:rFonts w:ascii="宋体" w:cs="宋体"/>
                <w:color w:val="auto"/>
                <w:szCs w:val="21"/>
                <w:highlight w:val="none"/>
              </w:rPr>
            </w:pPr>
          </w:p>
          <w:p w14:paraId="0516119F">
            <w:pPr>
              <w:spacing w:line="360" w:lineRule="auto"/>
              <w:rPr>
                <w:rFonts w:ascii="宋体" w:cs="宋体"/>
                <w:color w:val="auto"/>
                <w:szCs w:val="21"/>
                <w:highlight w:val="none"/>
              </w:rPr>
            </w:pPr>
            <w:r>
              <w:rPr>
                <w:rFonts w:ascii="宋体" w:hAnsi="宋体" w:cs="宋体"/>
                <w:color w:val="auto"/>
                <w:szCs w:val="21"/>
                <w:highlight w:val="none"/>
              </w:rPr>
              <w:t>A0201060901</w:t>
            </w:r>
            <w:r>
              <w:rPr>
                <w:rFonts w:hint="eastAsia" w:ascii="宋体" w:hAnsi="宋体" w:cs="宋体"/>
                <w:color w:val="auto"/>
                <w:szCs w:val="21"/>
                <w:highlight w:val="none"/>
              </w:rPr>
              <w:t>扫描仪</w:t>
            </w:r>
          </w:p>
        </w:tc>
        <w:tc>
          <w:tcPr>
            <w:tcW w:w="1743" w:type="pct"/>
          </w:tcPr>
          <w:p w14:paraId="4BA28898">
            <w:pPr>
              <w:spacing w:line="360" w:lineRule="auto"/>
              <w:rPr>
                <w:rFonts w:ascii="宋体" w:cs="宋体"/>
                <w:color w:val="auto"/>
                <w:szCs w:val="21"/>
                <w:highlight w:val="none"/>
              </w:rPr>
            </w:pPr>
            <w:r>
              <w:rPr>
                <w:rFonts w:hint="eastAsia" w:ascii="宋体" w:hAnsi="宋体" w:cs="宋体"/>
                <w:color w:val="auto"/>
                <w:szCs w:val="21"/>
                <w:highlight w:val="none"/>
              </w:rPr>
              <w:t>参照</w:t>
            </w:r>
            <w:r>
              <w:rPr>
                <w:rFonts w:ascii="宋体" w:hAnsi="宋体" w:cs="宋体"/>
                <w:color w:val="auto"/>
                <w:szCs w:val="21"/>
                <w:highlight w:val="none"/>
              </w:rPr>
              <w:t>(</w:t>
            </w: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(GB 21521) </w:t>
            </w:r>
            <w:r>
              <w:rPr>
                <w:rFonts w:hint="eastAsia" w:ascii="宋体" w:hAnsi="宋体" w:cs="宋体"/>
                <w:color w:val="auto"/>
                <w:szCs w:val="21"/>
                <w:highlight w:val="none"/>
              </w:rPr>
              <w:t>中打印速度为</w:t>
            </w:r>
            <w:r>
              <w:rPr>
                <w:rFonts w:ascii="宋体" w:hAnsi="宋体" w:cs="宋体"/>
                <w:color w:val="auto"/>
                <w:szCs w:val="21"/>
                <w:highlight w:val="none"/>
              </w:rPr>
              <w:t xml:space="preserve">15 </w:t>
            </w:r>
            <w:r>
              <w:rPr>
                <w:rFonts w:hint="eastAsia" w:ascii="宋体" w:hAnsi="宋体" w:cs="宋体"/>
                <w:color w:val="auto"/>
                <w:szCs w:val="21"/>
                <w:highlight w:val="none"/>
              </w:rPr>
              <w:t>页</w:t>
            </w:r>
            <w:r>
              <w:rPr>
                <w:rFonts w:ascii="宋体" w:hAnsi="宋体" w:cs="宋体"/>
                <w:color w:val="auto"/>
                <w:szCs w:val="21"/>
                <w:highlight w:val="none"/>
              </w:rPr>
              <w:t>/</w:t>
            </w:r>
            <w:r>
              <w:rPr>
                <w:rFonts w:hint="eastAsia" w:ascii="宋体" w:hAnsi="宋体" w:cs="宋体"/>
                <w:color w:val="auto"/>
                <w:szCs w:val="21"/>
                <w:highlight w:val="none"/>
              </w:rPr>
              <w:t>分的针式打印机相关要求</w:t>
            </w:r>
          </w:p>
        </w:tc>
      </w:tr>
      <w:tr w14:paraId="27A2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3" w:type="pct"/>
          </w:tcPr>
          <w:p w14:paraId="091CE0F5">
            <w:pPr>
              <w:spacing w:line="360" w:lineRule="auto"/>
              <w:rPr>
                <w:rFonts w:ascii="宋体" w:cs="宋体"/>
                <w:color w:val="auto"/>
                <w:szCs w:val="21"/>
                <w:highlight w:val="none"/>
              </w:rPr>
            </w:pPr>
            <w:r>
              <w:rPr>
                <w:rFonts w:ascii="宋体" w:hAnsi="宋体" w:cs="宋体"/>
                <w:color w:val="auto"/>
                <w:szCs w:val="21"/>
                <w:highlight w:val="none"/>
              </w:rPr>
              <w:t>3</w:t>
            </w:r>
          </w:p>
        </w:tc>
        <w:tc>
          <w:tcPr>
            <w:tcW w:w="813" w:type="pct"/>
            <w:vMerge w:val="restart"/>
          </w:tcPr>
          <w:p w14:paraId="1BE50CCF">
            <w:pPr>
              <w:spacing w:line="360" w:lineRule="auto"/>
              <w:rPr>
                <w:rFonts w:ascii="宋体" w:cs="宋体"/>
                <w:color w:val="auto"/>
                <w:szCs w:val="21"/>
                <w:highlight w:val="none"/>
              </w:rPr>
            </w:pPr>
            <w:r>
              <w:rPr>
                <w:rFonts w:ascii="宋体" w:hAnsi="宋体" w:cs="宋体"/>
                <w:color w:val="auto"/>
                <w:szCs w:val="21"/>
                <w:highlight w:val="none"/>
              </w:rPr>
              <w:t>4020202</w:t>
            </w:r>
            <w:r>
              <w:rPr>
                <w:rFonts w:hint="eastAsia" w:ascii="宋体" w:hAnsi="宋体" w:cs="宋体"/>
                <w:color w:val="auto"/>
                <w:szCs w:val="21"/>
                <w:highlight w:val="none"/>
              </w:rPr>
              <w:t>投影仪</w:t>
            </w:r>
          </w:p>
          <w:p w14:paraId="35FCDDFD">
            <w:pPr>
              <w:spacing w:line="360" w:lineRule="auto"/>
              <w:rPr>
                <w:rFonts w:ascii="宋体" w:cs="宋体"/>
                <w:color w:val="auto"/>
                <w:szCs w:val="21"/>
                <w:highlight w:val="none"/>
              </w:rPr>
            </w:pPr>
            <w:r>
              <w:rPr>
                <w:rFonts w:ascii="宋体" w:hAnsi="宋体" w:cs="宋体"/>
                <w:color w:val="auto"/>
                <w:szCs w:val="21"/>
                <w:highlight w:val="none"/>
              </w:rPr>
              <w:t>4020204</w:t>
            </w:r>
            <w:r>
              <w:rPr>
                <w:rFonts w:hint="eastAsia" w:ascii="宋体" w:hAnsi="宋体" w:cs="宋体"/>
                <w:color w:val="auto"/>
                <w:szCs w:val="21"/>
                <w:highlight w:val="none"/>
              </w:rPr>
              <w:t>多功能一体机</w:t>
            </w:r>
          </w:p>
        </w:tc>
        <w:tc>
          <w:tcPr>
            <w:tcW w:w="1071" w:type="pct"/>
          </w:tcPr>
          <w:p w14:paraId="26CB1351">
            <w:pPr>
              <w:spacing w:line="360" w:lineRule="auto"/>
              <w:rPr>
                <w:rFonts w:ascii="宋体" w:cs="宋体"/>
                <w:color w:val="auto"/>
                <w:szCs w:val="21"/>
                <w:highlight w:val="none"/>
              </w:rPr>
            </w:pPr>
          </w:p>
        </w:tc>
        <w:tc>
          <w:tcPr>
            <w:tcW w:w="937" w:type="pct"/>
          </w:tcPr>
          <w:p w14:paraId="117CFFFC">
            <w:pPr>
              <w:spacing w:line="360" w:lineRule="auto"/>
              <w:rPr>
                <w:rFonts w:ascii="宋体" w:cs="宋体"/>
                <w:color w:val="auto"/>
                <w:szCs w:val="21"/>
                <w:highlight w:val="none"/>
              </w:rPr>
            </w:pPr>
          </w:p>
        </w:tc>
        <w:tc>
          <w:tcPr>
            <w:tcW w:w="1743" w:type="pct"/>
          </w:tcPr>
          <w:p w14:paraId="2B01780A">
            <w:pPr>
              <w:spacing w:line="360" w:lineRule="auto"/>
              <w:rPr>
                <w:rFonts w:ascii="宋体" w:cs="宋体"/>
                <w:color w:val="auto"/>
                <w:szCs w:val="21"/>
                <w:highlight w:val="none"/>
              </w:rPr>
            </w:pPr>
            <w:r>
              <w:rPr>
                <w:rFonts w:hint="eastAsia" w:ascii="宋体" w:hAnsi="宋体" w:cs="宋体"/>
                <w:color w:val="auto"/>
                <w:szCs w:val="21"/>
                <w:highlight w:val="none"/>
              </w:rPr>
              <w:t>《投影机能效限定值及能效等级》</w:t>
            </w:r>
            <w:r>
              <w:rPr>
                <w:rFonts w:ascii="宋体" w:hAnsi="宋体" w:cs="宋体"/>
                <w:color w:val="auto"/>
                <w:szCs w:val="21"/>
                <w:highlight w:val="none"/>
              </w:rPr>
              <w:t xml:space="preserve">      (CB 32028)</w:t>
            </w:r>
          </w:p>
        </w:tc>
      </w:tr>
      <w:tr w14:paraId="53E4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3" w:type="pct"/>
          </w:tcPr>
          <w:p w14:paraId="34F65758">
            <w:pPr>
              <w:spacing w:line="360" w:lineRule="auto"/>
              <w:rPr>
                <w:rFonts w:ascii="宋体" w:cs="宋体"/>
                <w:color w:val="auto"/>
                <w:szCs w:val="21"/>
                <w:highlight w:val="none"/>
              </w:rPr>
            </w:pPr>
            <w:r>
              <w:rPr>
                <w:rFonts w:ascii="宋体" w:hAnsi="宋体" w:cs="宋体"/>
                <w:color w:val="auto"/>
                <w:szCs w:val="21"/>
                <w:highlight w:val="none"/>
              </w:rPr>
              <w:t>4</w:t>
            </w:r>
          </w:p>
        </w:tc>
        <w:tc>
          <w:tcPr>
            <w:tcW w:w="813" w:type="pct"/>
            <w:vMerge w:val="continue"/>
          </w:tcPr>
          <w:p w14:paraId="5D815981">
            <w:pPr>
              <w:spacing w:line="360" w:lineRule="auto"/>
              <w:rPr>
                <w:rFonts w:ascii="宋体" w:cs="宋体"/>
                <w:color w:val="auto"/>
                <w:szCs w:val="21"/>
                <w:highlight w:val="none"/>
              </w:rPr>
            </w:pPr>
          </w:p>
        </w:tc>
        <w:tc>
          <w:tcPr>
            <w:tcW w:w="1071" w:type="pct"/>
          </w:tcPr>
          <w:p w14:paraId="343F1F37">
            <w:pPr>
              <w:spacing w:line="360" w:lineRule="auto"/>
              <w:rPr>
                <w:rFonts w:ascii="宋体" w:cs="宋体"/>
                <w:color w:val="auto"/>
                <w:szCs w:val="21"/>
                <w:highlight w:val="none"/>
              </w:rPr>
            </w:pPr>
          </w:p>
        </w:tc>
        <w:tc>
          <w:tcPr>
            <w:tcW w:w="937" w:type="pct"/>
          </w:tcPr>
          <w:p w14:paraId="1553DB39">
            <w:pPr>
              <w:spacing w:line="360" w:lineRule="auto"/>
              <w:rPr>
                <w:rFonts w:ascii="宋体" w:cs="宋体"/>
                <w:color w:val="auto"/>
                <w:szCs w:val="21"/>
                <w:highlight w:val="none"/>
              </w:rPr>
            </w:pPr>
          </w:p>
        </w:tc>
        <w:tc>
          <w:tcPr>
            <w:tcW w:w="1743" w:type="pct"/>
          </w:tcPr>
          <w:p w14:paraId="191FBBA7">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定值及能效等级》</w:t>
            </w:r>
            <w:r>
              <w:rPr>
                <w:rFonts w:ascii="宋体" w:hAnsi="宋体" w:cs="宋体"/>
                <w:color w:val="auto"/>
                <w:szCs w:val="21"/>
                <w:highlight w:val="none"/>
              </w:rPr>
              <w:t xml:space="preserve"> (GB 21521)</w:t>
            </w:r>
          </w:p>
        </w:tc>
      </w:tr>
      <w:tr w14:paraId="52BB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74109783">
            <w:pPr>
              <w:spacing w:line="360" w:lineRule="auto"/>
              <w:rPr>
                <w:rFonts w:ascii="宋体" w:cs="宋体"/>
                <w:color w:val="auto"/>
                <w:szCs w:val="21"/>
                <w:highlight w:val="none"/>
              </w:rPr>
            </w:pPr>
            <w:r>
              <w:rPr>
                <w:rFonts w:ascii="宋体" w:hAnsi="宋体" w:cs="宋体"/>
                <w:color w:val="auto"/>
                <w:szCs w:val="21"/>
                <w:highlight w:val="none"/>
              </w:rPr>
              <w:t>5</w:t>
            </w:r>
          </w:p>
        </w:tc>
        <w:tc>
          <w:tcPr>
            <w:tcW w:w="813" w:type="pct"/>
          </w:tcPr>
          <w:p w14:paraId="77AB1793">
            <w:pPr>
              <w:spacing w:line="360" w:lineRule="auto"/>
              <w:rPr>
                <w:rFonts w:ascii="宋体" w:cs="宋体"/>
                <w:color w:val="auto"/>
                <w:szCs w:val="21"/>
                <w:highlight w:val="none"/>
              </w:rPr>
            </w:pPr>
            <w:r>
              <w:rPr>
                <w:rFonts w:ascii="宋体" w:hAnsi="宋体" w:cs="宋体"/>
                <w:color w:val="auto"/>
                <w:szCs w:val="21"/>
                <w:highlight w:val="none"/>
              </w:rPr>
              <w:t>24020519</w:t>
            </w:r>
            <w:r>
              <w:rPr>
                <w:rFonts w:hint="eastAsia" w:ascii="宋体" w:hAnsi="宋体" w:cs="宋体"/>
                <w:color w:val="auto"/>
                <w:szCs w:val="21"/>
                <w:highlight w:val="none"/>
              </w:rPr>
              <w:t>泵</w:t>
            </w:r>
          </w:p>
        </w:tc>
        <w:tc>
          <w:tcPr>
            <w:tcW w:w="1071" w:type="pct"/>
          </w:tcPr>
          <w:p w14:paraId="3E200FFB">
            <w:pPr>
              <w:spacing w:line="360" w:lineRule="auto"/>
              <w:rPr>
                <w:rFonts w:ascii="宋体" w:cs="宋体"/>
                <w:color w:val="auto"/>
                <w:szCs w:val="21"/>
                <w:highlight w:val="none"/>
              </w:rPr>
            </w:pPr>
            <w:r>
              <w:rPr>
                <w:rFonts w:ascii="宋体" w:hAnsi="宋体" w:cs="宋体"/>
                <w:color w:val="auto"/>
                <w:szCs w:val="21"/>
                <w:highlight w:val="none"/>
              </w:rPr>
              <w:t xml:space="preserve">A02051901 </w:t>
            </w:r>
            <w:r>
              <w:rPr>
                <w:rFonts w:hint="eastAsia" w:ascii="宋体" w:hAnsi="宋体" w:cs="宋体"/>
                <w:color w:val="auto"/>
                <w:szCs w:val="21"/>
                <w:highlight w:val="none"/>
              </w:rPr>
              <w:t>离心泵</w:t>
            </w:r>
          </w:p>
        </w:tc>
        <w:tc>
          <w:tcPr>
            <w:tcW w:w="937" w:type="pct"/>
          </w:tcPr>
          <w:p w14:paraId="706DA7E4">
            <w:pPr>
              <w:spacing w:line="360" w:lineRule="auto"/>
              <w:rPr>
                <w:rFonts w:ascii="宋体" w:cs="宋体"/>
                <w:color w:val="auto"/>
                <w:szCs w:val="21"/>
                <w:highlight w:val="none"/>
              </w:rPr>
            </w:pPr>
          </w:p>
        </w:tc>
        <w:tc>
          <w:tcPr>
            <w:tcW w:w="1743" w:type="pct"/>
          </w:tcPr>
          <w:p w14:paraId="0758021A">
            <w:pPr>
              <w:spacing w:line="360" w:lineRule="auto"/>
              <w:rPr>
                <w:rFonts w:ascii="宋体" w:cs="宋体"/>
                <w:color w:val="auto"/>
                <w:szCs w:val="21"/>
                <w:highlight w:val="none"/>
              </w:rPr>
            </w:pPr>
            <w:r>
              <w:rPr>
                <w:rFonts w:hint="eastAsia" w:ascii="宋体" w:hAnsi="宋体" w:cs="宋体"/>
                <w:color w:val="auto"/>
                <w:szCs w:val="21"/>
                <w:highlight w:val="none"/>
              </w:rPr>
              <w:t>《清水离心泵能效限定值及节能评价值》</w:t>
            </w:r>
            <w:r>
              <w:rPr>
                <w:rFonts w:ascii="宋体" w:hAnsi="宋体" w:cs="宋体"/>
                <w:color w:val="auto"/>
                <w:szCs w:val="21"/>
                <w:highlight w:val="none"/>
              </w:rPr>
              <w:t xml:space="preserve"> (GB 19762)</w:t>
            </w:r>
          </w:p>
        </w:tc>
      </w:tr>
      <w:tr w14:paraId="5F5E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14:paraId="4AB90019">
            <w:pPr>
              <w:spacing w:line="360" w:lineRule="auto"/>
              <w:rPr>
                <w:rFonts w:ascii="宋体" w:cs="宋体"/>
                <w:color w:val="auto"/>
                <w:szCs w:val="21"/>
                <w:highlight w:val="none"/>
              </w:rPr>
            </w:pPr>
            <w:r>
              <w:rPr>
                <w:rFonts w:ascii="宋体" w:hAnsi="宋体" w:cs="宋体"/>
                <w:color w:val="auto"/>
                <w:szCs w:val="21"/>
                <w:highlight w:val="none"/>
              </w:rPr>
              <w:t>6</w:t>
            </w:r>
          </w:p>
        </w:tc>
        <w:tc>
          <w:tcPr>
            <w:tcW w:w="813" w:type="pct"/>
            <w:vMerge w:val="restart"/>
          </w:tcPr>
          <w:p w14:paraId="3BCE5770">
            <w:pPr>
              <w:spacing w:line="360" w:lineRule="auto"/>
              <w:rPr>
                <w:rFonts w:ascii="宋体" w:cs="宋体"/>
                <w:color w:val="auto"/>
                <w:szCs w:val="21"/>
                <w:highlight w:val="none"/>
              </w:rPr>
            </w:pPr>
            <w:r>
              <w:rPr>
                <w:rFonts w:ascii="宋体" w:hAnsi="宋体" w:cs="宋体"/>
                <w:color w:val="auto"/>
                <w:szCs w:val="21"/>
                <w:highlight w:val="none"/>
              </w:rPr>
              <w:t>A020523</w:t>
            </w:r>
            <w:r>
              <w:rPr>
                <w:rFonts w:hint="eastAsia" w:ascii="宋体" w:hAnsi="宋体" w:cs="宋体"/>
                <w:color w:val="auto"/>
                <w:szCs w:val="21"/>
                <w:highlight w:val="none"/>
              </w:rPr>
              <w:t>制冷空调设备</w:t>
            </w:r>
          </w:p>
          <w:p w14:paraId="68ADC409">
            <w:pPr>
              <w:spacing w:line="360" w:lineRule="auto"/>
              <w:rPr>
                <w:rFonts w:ascii="宋体" w:cs="宋体"/>
                <w:color w:val="auto"/>
                <w:szCs w:val="21"/>
                <w:highlight w:val="none"/>
              </w:rPr>
            </w:pPr>
          </w:p>
          <w:p w14:paraId="568309C8">
            <w:pPr>
              <w:spacing w:line="360" w:lineRule="auto"/>
              <w:rPr>
                <w:rFonts w:ascii="宋体" w:cs="宋体"/>
                <w:color w:val="auto"/>
                <w:szCs w:val="21"/>
                <w:highlight w:val="none"/>
              </w:rPr>
            </w:pPr>
          </w:p>
          <w:p w14:paraId="5A0F8F8D">
            <w:pPr>
              <w:spacing w:line="360" w:lineRule="auto"/>
              <w:rPr>
                <w:rFonts w:ascii="宋体" w:cs="宋体"/>
                <w:color w:val="auto"/>
                <w:szCs w:val="21"/>
                <w:highlight w:val="none"/>
              </w:rPr>
            </w:pPr>
          </w:p>
          <w:p w14:paraId="7D3A1EFC">
            <w:pPr>
              <w:spacing w:line="360" w:lineRule="auto"/>
              <w:rPr>
                <w:rFonts w:ascii="宋体" w:cs="宋体"/>
                <w:color w:val="auto"/>
                <w:szCs w:val="21"/>
                <w:highlight w:val="none"/>
              </w:rPr>
            </w:pPr>
          </w:p>
          <w:p w14:paraId="0661C671">
            <w:pPr>
              <w:spacing w:line="360" w:lineRule="auto"/>
              <w:rPr>
                <w:rFonts w:ascii="宋体" w:cs="宋体"/>
                <w:color w:val="auto"/>
                <w:szCs w:val="21"/>
                <w:highlight w:val="none"/>
              </w:rPr>
            </w:pPr>
          </w:p>
          <w:p w14:paraId="169D2EE2">
            <w:pPr>
              <w:spacing w:line="360" w:lineRule="auto"/>
              <w:rPr>
                <w:rFonts w:ascii="宋体" w:cs="宋体"/>
                <w:color w:val="auto"/>
                <w:szCs w:val="21"/>
                <w:highlight w:val="none"/>
              </w:rPr>
            </w:pPr>
          </w:p>
          <w:p w14:paraId="2F8BC60F">
            <w:pPr>
              <w:spacing w:line="360" w:lineRule="auto"/>
              <w:rPr>
                <w:rFonts w:ascii="宋体" w:cs="宋体"/>
                <w:color w:val="auto"/>
                <w:szCs w:val="21"/>
                <w:highlight w:val="none"/>
              </w:rPr>
            </w:pPr>
          </w:p>
          <w:p w14:paraId="67537E53">
            <w:pPr>
              <w:spacing w:line="360" w:lineRule="auto"/>
              <w:rPr>
                <w:rFonts w:ascii="宋体" w:cs="宋体"/>
                <w:color w:val="auto"/>
                <w:szCs w:val="21"/>
                <w:highlight w:val="none"/>
              </w:rPr>
            </w:pPr>
          </w:p>
          <w:p w14:paraId="649656D3">
            <w:pPr>
              <w:spacing w:line="360" w:lineRule="auto"/>
              <w:rPr>
                <w:rFonts w:ascii="宋体" w:cs="宋体"/>
                <w:color w:val="auto"/>
                <w:szCs w:val="21"/>
                <w:highlight w:val="none"/>
              </w:rPr>
            </w:pPr>
          </w:p>
          <w:p w14:paraId="04FCE9D9">
            <w:pPr>
              <w:spacing w:line="360" w:lineRule="auto"/>
              <w:rPr>
                <w:rFonts w:ascii="宋体" w:cs="宋体"/>
                <w:color w:val="auto"/>
                <w:szCs w:val="21"/>
                <w:highlight w:val="none"/>
              </w:rPr>
            </w:pPr>
          </w:p>
          <w:p w14:paraId="71D93C08">
            <w:pPr>
              <w:spacing w:line="360" w:lineRule="auto"/>
              <w:rPr>
                <w:rFonts w:ascii="宋体" w:cs="宋体"/>
                <w:color w:val="auto"/>
                <w:szCs w:val="21"/>
                <w:highlight w:val="none"/>
              </w:rPr>
            </w:pPr>
          </w:p>
          <w:p w14:paraId="7784132E">
            <w:pPr>
              <w:spacing w:line="360" w:lineRule="auto"/>
              <w:rPr>
                <w:rFonts w:ascii="宋体" w:cs="宋体"/>
                <w:color w:val="auto"/>
                <w:szCs w:val="21"/>
                <w:highlight w:val="none"/>
              </w:rPr>
            </w:pPr>
          </w:p>
          <w:p w14:paraId="2DCD46FF">
            <w:pPr>
              <w:spacing w:line="360" w:lineRule="auto"/>
              <w:rPr>
                <w:rFonts w:ascii="宋体" w:cs="宋体"/>
                <w:color w:val="auto"/>
                <w:szCs w:val="21"/>
                <w:highlight w:val="none"/>
              </w:rPr>
            </w:pPr>
          </w:p>
          <w:p w14:paraId="553680E3">
            <w:pPr>
              <w:spacing w:line="360" w:lineRule="auto"/>
              <w:rPr>
                <w:rFonts w:ascii="宋体" w:cs="宋体"/>
                <w:color w:val="auto"/>
                <w:szCs w:val="21"/>
                <w:highlight w:val="none"/>
              </w:rPr>
            </w:pPr>
          </w:p>
          <w:p w14:paraId="2CEC01B7">
            <w:pPr>
              <w:spacing w:line="360" w:lineRule="auto"/>
              <w:rPr>
                <w:rFonts w:ascii="宋体" w:cs="宋体"/>
                <w:color w:val="auto"/>
                <w:szCs w:val="21"/>
                <w:highlight w:val="none"/>
              </w:rPr>
            </w:pPr>
          </w:p>
          <w:p w14:paraId="4BBD9CD1">
            <w:pPr>
              <w:spacing w:line="360" w:lineRule="auto"/>
              <w:rPr>
                <w:rFonts w:ascii="宋体" w:cs="宋体"/>
                <w:color w:val="auto"/>
                <w:szCs w:val="21"/>
                <w:highlight w:val="none"/>
              </w:rPr>
            </w:pPr>
          </w:p>
          <w:p w14:paraId="59410FB5">
            <w:pPr>
              <w:spacing w:line="360" w:lineRule="auto"/>
              <w:rPr>
                <w:rFonts w:ascii="宋体" w:cs="宋体"/>
                <w:color w:val="auto"/>
                <w:szCs w:val="21"/>
                <w:highlight w:val="none"/>
              </w:rPr>
            </w:pPr>
          </w:p>
        </w:tc>
        <w:tc>
          <w:tcPr>
            <w:tcW w:w="1071" w:type="pct"/>
            <w:vMerge w:val="restart"/>
          </w:tcPr>
          <w:p w14:paraId="4C4F854C">
            <w:pPr>
              <w:spacing w:line="360" w:lineRule="auto"/>
              <w:jc w:val="left"/>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A02052301 </w:t>
            </w:r>
            <w:r>
              <w:rPr>
                <w:rFonts w:hint="eastAsia" w:ascii="宋体" w:hAnsi="宋体" w:cs="宋体"/>
                <w:color w:val="auto"/>
                <w:szCs w:val="21"/>
                <w:highlight w:val="none"/>
              </w:rPr>
              <w:t>制冷压缩机</w:t>
            </w:r>
          </w:p>
        </w:tc>
        <w:tc>
          <w:tcPr>
            <w:tcW w:w="937" w:type="pct"/>
          </w:tcPr>
          <w:p w14:paraId="49E6091D">
            <w:pPr>
              <w:spacing w:line="360" w:lineRule="auto"/>
              <w:rPr>
                <w:rFonts w:ascii="宋体" w:cs="宋体"/>
                <w:color w:val="auto"/>
                <w:szCs w:val="21"/>
                <w:highlight w:val="none"/>
              </w:rPr>
            </w:pPr>
          </w:p>
          <w:p w14:paraId="483DCA35">
            <w:pPr>
              <w:spacing w:line="360" w:lineRule="auto"/>
              <w:rPr>
                <w:rFonts w:ascii="宋体" w:cs="宋体"/>
                <w:color w:val="auto"/>
                <w:szCs w:val="21"/>
                <w:highlight w:val="none"/>
              </w:rPr>
            </w:pPr>
            <w:r>
              <w:rPr>
                <w:rFonts w:hint="eastAsia" w:ascii="宋体" w:hAnsi="宋体" w:cs="宋体"/>
                <w:color w:val="auto"/>
                <w:szCs w:val="21"/>
                <w:highlight w:val="none"/>
              </w:rPr>
              <w:t>冷水机组</w:t>
            </w:r>
          </w:p>
        </w:tc>
        <w:tc>
          <w:tcPr>
            <w:tcW w:w="1743" w:type="pct"/>
          </w:tcPr>
          <w:p w14:paraId="326F838E">
            <w:pPr>
              <w:spacing w:line="360" w:lineRule="auto"/>
              <w:rPr>
                <w:rFonts w:ascii="宋体" w:cs="宋体"/>
                <w:color w:val="auto"/>
                <w:szCs w:val="21"/>
                <w:highlight w:val="none"/>
              </w:rPr>
            </w:pPr>
            <w:r>
              <w:rPr>
                <w:rFonts w:hint="eastAsia" w:ascii="宋体" w:hAnsi="宋体" w:cs="宋体"/>
                <w:color w:val="auto"/>
                <w:szCs w:val="21"/>
                <w:highlight w:val="none"/>
              </w:rPr>
              <w:t>《冷水机组能效限定值及能效等级》</w:t>
            </w:r>
            <w:r>
              <w:rPr>
                <w:rFonts w:ascii="宋体" w:hAnsi="宋体" w:cs="宋体"/>
                <w:color w:val="auto"/>
                <w:szCs w:val="21"/>
                <w:highlight w:val="none"/>
              </w:rPr>
              <w:t>(GB19577)</w:t>
            </w:r>
            <w:r>
              <w:rPr>
                <w:rFonts w:hint="eastAsia" w:ascii="宋体" w:hAnsi="宋体" w:cs="宋体"/>
                <w:color w:val="auto"/>
                <w:szCs w:val="21"/>
                <w:highlight w:val="none"/>
              </w:rPr>
              <w:t>，《低环境温度空气源热泵</w:t>
            </w:r>
            <w:r>
              <w:rPr>
                <w:rFonts w:ascii="宋体" w:hAnsi="宋体" w:cs="宋体"/>
                <w:color w:val="auto"/>
                <w:szCs w:val="21"/>
                <w:highlight w:val="none"/>
              </w:rPr>
              <w:t>(</w:t>
            </w:r>
            <w:r>
              <w:rPr>
                <w:rFonts w:hint="eastAsia" w:ascii="宋体" w:hAnsi="宋体" w:cs="宋体"/>
                <w:color w:val="auto"/>
                <w:szCs w:val="21"/>
                <w:highlight w:val="none"/>
              </w:rPr>
              <w:t>冷水</w:t>
            </w:r>
            <w:r>
              <w:rPr>
                <w:rFonts w:ascii="宋体" w:hAnsi="宋体" w:cs="宋体"/>
                <w:color w:val="auto"/>
                <w:szCs w:val="21"/>
                <w:highlight w:val="none"/>
              </w:rPr>
              <w:t>)</w:t>
            </w:r>
            <w:r>
              <w:rPr>
                <w:rFonts w:hint="eastAsia" w:ascii="宋体" w:hAnsi="宋体" w:cs="宋体"/>
                <w:color w:val="auto"/>
                <w:szCs w:val="21"/>
                <w:highlight w:val="none"/>
              </w:rPr>
              <w:t>机组能效限定值及能效等级》</w:t>
            </w:r>
            <w:r>
              <w:rPr>
                <w:rFonts w:ascii="宋体" w:hAnsi="宋体" w:cs="宋体"/>
                <w:color w:val="auto"/>
                <w:szCs w:val="21"/>
                <w:highlight w:val="none"/>
              </w:rPr>
              <w:t>(GB 37 480)</w:t>
            </w:r>
          </w:p>
        </w:tc>
      </w:tr>
      <w:tr w14:paraId="39BE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41D980A7">
            <w:pPr>
              <w:spacing w:line="360" w:lineRule="auto"/>
              <w:rPr>
                <w:rFonts w:ascii="宋体" w:cs="宋体"/>
                <w:color w:val="auto"/>
                <w:szCs w:val="21"/>
                <w:highlight w:val="none"/>
              </w:rPr>
            </w:pPr>
          </w:p>
        </w:tc>
        <w:tc>
          <w:tcPr>
            <w:tcW w:w="813" w:type="pct"/>
            <w:vMerge w:val="continue"/>
          </w:tcPr>
          <w:p w14:paraId="11654F64">
            <w:pPr>
              <w:spacing w:line="360" w:lineRule="auto"/>
              <w:rPr>
                <w:rFonts w:ascii="宋体" w:cs="宋体"/>
                <w:color w:val="auto"/>
                <w:szCs w:val="21"/>
                <w:highlight w:val="none"/>
              </w:rPr>
            </w:pPr>
          </w:p>
        </w:tc>
        <w:tc>
          <w:tcPr>
            <w:tcW w:w="1071" w:type="pct"/>
            <w:vMerge w:val="continue"/>
          </w:tcPr>
          <w:p w14:paraId="29BCFE01">
            <w:pPr>
              <w:spacing w:line="360" w:lineRule="auto"/>
              <w:rPr>
                <w:rFonts w:ascii="宋体" w:cs="宋体"/>
                <w:color w:val="auto"/>
                <w:szCs w:val="21"/>
                <w:highlight w:val="none"/>
              </w:rPr>
            </w:pPr>
          </w:p>
        </w:tc>
        <w:tc>
          <w:tcPr>
            <w:tcW w:w="937" w:type="pct"/>
          </w:tcPr>
          <w:p w14:paraId="2A3F8F70">
            <w:pPr>
              <w:spacing w:line="360" w:lineRule="auto"/>
              <w:rPr>
                <w:rFonts w:ascii="宋体" w:cs="宋体"/>
                <w:color w:val="auto"/>
                <w:szCs w:val="21"/>
                <w:highlight w:val="none"/>
              </w:rPr>
            </w:pPr>
          </w:p>
          <w:p w14:paraId="247C53CA">
            <w:pPr>
              <w:spacing w:line="360" w:lineRule="auto"/>
              <w:rPr>
                <w:rFonts w:ascii="宋体" w:cs="宋体"/>
                <w:color w:val="auto"/>
                <w:szCs w:val="21"/>
                <w:highlight w:val="none"/>
              </w:rPr>
            </w:pPr>
            <w:r>
              <w:rPr>
                <w:rFonts w:hint="eastAsia" w:ascii="宋体" w:hAnsi="宋体" w:cs="宋体"/>
                <w:color w:val="auto"/>
                <w:szCs w:val="21"/>
                <w:highlight w:val="none"/>
              </w:rPr>
              <w:t>水源热泵机组</w:t>
            </w:r>
          </w:p>
        </w:tc>
        <w:tc>
          <w:tcPr>
            <w:tcW w:w="1743" w:type="pct"/>
          </w:tcPr>
          <w:p w14:paraId="671D5148">
            <w:pPr>
              <w:spacing w:line="360" w:lineRule="auto"/>
              <w:rPr>
                <w:rFonts w:ascii="宋体" w:cs="宋体"/>
                <w:color w:val="auto"/>
                <w:szCs w:val="21"/>
                <w:highlight w:val="none"/>
              </w:rPr>
            </w:pPr>
            <w:r>
              <w:rPr>
                <w:rFonts w:hint="eastAsia" w:ascii="宋体" w:hAnsi="宋体" w:cs="宋体"/>
                <w:color w:val="auto"/>
                <w:szCs w:val="21"/>
                <w:highlight w:val="none"/>
              </w:rPr>
              <w:t>《水</w:t>
            </w:r>
            <w:r>
              <w:rPr>
                <w:rFonts w:ascii="宋体" w:hAnsi="宋体" w:cs="宋体"/>
                <w:color w:val="auto"/>
                <w:szCs w:val="21"/>
                <w:highlight w:val="none"/>
              </w:rPr>
              <w:t>(</w:t>
            </w:r>
            <w:r>
              <w:rPr>
                <w:rFonts w:hint="eastAsia" w:ascii="宋体" w:hAnsi="宋体" w:cs="宋体"/>
                <w:color w:val="auto"/>
                <w:szCs w:val="21"/>
                <w:highlight w:val="none"/>
              </w:rPr>
              <w:t>地</w:t>
            </w:r>
            <w:r>
              <w:rPr>
                <w:rFonts w:ascii="宋体" w:hAnsi="宋体" w:cs="宋体"/>
                <w:color w:val="auto"/>
                <w:szCs w:val="21"/>
                <w:highlight w:val="none"/>
              </w:rPr>
              <w:t>)</w:t>
            </w:r>
            <w:r>
              <w:rPr>
                <w:rFonts w:hint="eastAsia" w:ascii="宋体" w:hAnsi="宋体" w:cs="宋体"/>
                <w:color w:val="auto"/>
                <w:szCs w:val="21"/>
                <w:highlight w:val="none"/>
              </w:rPr>
              <w:t>源热泵机组能效限定值及能效等级》</w:t>
            </w:r>
            <w:r>
              <w:rPr>
                <w:rFonts w:ascii="宋体" w:hAnsi="宋体" w:cs="宋体"/>
                <w:color w:val="auto"/>
                <w:szCs w:val="21"/>
                <w:highlight w:val="none"/>
              </w:rPr>
              <w:t xml:space="preserve"> (GB 30721)</w:t>
            </w:r>
          </w:p>
        </w:tc>
      </w:tr>
      <w:tr w14:paraId="2FF6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7BAF5818">
            <w:pPr>
              <w:spacing w:line="360" w:lineRule="auto"/>
              <w:rPr>
                <w:rFonts w:ascii="宋体" w:cs="宋体"/>
                <w:color w:val="auto"/>
                <w:szCs w:val="21"/>
                <w:highlight w:val="none"/>
              </w:rPr>
            </w:pPr>
          </w:p>
        </w:tc>
        <w:tc>
          <w:tcPr>
            <w:tcW w:w="813" w:type="pct"/>
            <w:vMerge w:val="continue"/>
          </w:tcPr>
          <w:p w14:paraId="07B4D803">
            <w:pPr>
              <w:spacing w:line="360" w:lineRule="auto"/>
              <w:rPr>
                <w:rFonts w:ascii="宋体" w:cs="宋体"/>
                <w:color w:val="auto"/>
                <w:szCs w:val="21"/>
                <w:highlight w:val="none"/>
              </w:rPr>
            </w:pPr>
          </w:p>
        </w:tc>
        <w:tc>
          <w:tcPr>
            <w:tcW w:w="1071" w:type="pct"/>
            <w:vMerge w:val="restart"/>
          </w:tcPr>
          <w:p w14:paraId="65A6E2ED">
            <w:pPr>
              <w:spacing w:line="360" w:lineRule="auto"/>
              <w:rPr>
                <w:rFonts w:ascii="宋体" w:cs="宋体"/>
                <w:color w:val="auto"/>
                <w:szCs w:val="21"/>
                <w:highlight w:val="none"/>
              </w:rPr>
            </w:pPr>
          </w:p>
          <w:p w14:paraId="397BEE86">
            <w:pPr>
              <w:spacing w:line="360" w:lineRule="auto"/>
              <w:rPr>
                <w:rFonts w:ascii="宋体" w:cs="宋体"/>
                <w:color w:val="auto"/>
                <w:szCs w:val="21"/>
                <w:highlight w:val="none"/>
              </w:rPr>
            </w:pPr>
          </w:p>
          <w:p w14:paraId="6859C1EF">
            <w:pPr>
              <w:spacing w:line="360" w:lineRule="auto"/>
              <w:rPr>
                <w:rFonts w:ascii="宋体" w:cs="宋体"/>
                <w:color w:val="auto"/>
                <w:szCs w:val="21"/>
                <w:highlight w:val="none"/>
              </w:rPr>
            </w:pPr>
          </w:p>
          <w:p w14:paraId="64EB1B44">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A02052305 </w:t>
            </w:r>
            <w:r>
              <w:rPr>
                <w:rFonts w:hint="eastAsia" w:ascii="宋体" w:hAnsi="宋体" w:cs="宋体"/>
                <w:color w:val="auto"/>
                <w:szCs w:val="21"/>
                <w:highlight w:val="none"/>
              </w:rPr>
              <w:t>空调机</w:t>
            </w:r>
          </w:p>
        </w:tc>
        <w:tc>
          <w:tcPr>
            <w:tcW w:w="937" w:type="pct"/>
          </w:tcPr>
          <w:p w14:paraId="2B9825DE">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w:t>
            </w:r>
          </w:p>
        </w:tc>
        <w:tc>
          <w:tcPr>
            <w:tcW w:w="1743" w:type="pct"/>
          </w:tcPr>
          <w:p w14:paraId="661BC1C2">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《溴化锂吸收式冷水机组能效限定值及能效等级》</w:t>
            </w:r>
            <w:r>
              <w:rPr>
                <w:rFonts w:ascii="宋体" w:hAnsi="宋体" w:cs="宋体"/>
                <w:color w:val="auto"/>
                <w:szCs w:val="21"/>
                <w:highlight w:val="none"/>
              </w:rPr>
              <w:t xml:space="preserve"> (GB 29540)</w:t>
            </w:r>
          </w:p>
        </w:tc>
      </w:tr>
      <w:tr w14:paraId="2030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75E24D3">
            <w:pPr>
              <w:spacing w:line="360" w:lineRule="auto"/>
              <w:rPr>
                <w:rFonts w:ascii="宋体" w:cs="宋体"/>
                <w:color w:val="auto"/>
                <w:szCs w:val="21"/>
                <w:highlight w:val="none"/>
              </w:rPr>
            </w:pPr>
          </w:p>
        </w:tc>
        <w:tc>
          <w:tcPr>
            <w:tcW w:w="813" w:type="pct"/>
            <w:vMerge w:val="continue"/>
          </w:tcPr>
          <w:p w14:paraId="3D7E71E3">
            <w:pPr>
              <w:spacing w:line="360" w:lineRule="auto"/>
              <w:rPr>
                <w:rFonts w:ascii="宋体" w:cs="宋体"/>
                <w:color w:val="auto"/>
                <w:szCs w:val="21"/>
                <w:highlight w:val="none"/>
              </w:rPr>
            </w:pPr>
          </w:p>
        </w:tc>
        <w:tc>
          <w:tcPr>
            <w:tcW w:w="1071" w:type="pct"/>
            <w:vMerge w:val="continue"/>
          </w:tcPr>
          <w:p w14:paraId="4EF21BF5">
            <w:pPr>
              <w:spacing w:line="360" w:lineRule="auto"/>
              <w:rPr>
                <w:rFonts w:ascii="宋体" w:cs="宋体"/>
                <w:color w:val="auto"/>
                <w:szCs w:val="21"/>
                <w:highlight w:val="none"/>
              </w:rPr>
            </w:pPr>
          </w:p>
        </w:tc>
        <w:tc>
          <w:tcPr>
            <w:tcW w:w="937" w:type="pct"/>
          </w:tcPr>
          <w:p w14:paraId="5AE34114">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w:t>
            </w:r>
            <w:r>
              <w:rPr>
                <w:rFonts w:ascii="宋体" w:hAnsi="宋体" w:cs="宋体"/>
                <w:color w:val="auto"/>
                <w:szCs w:val="21"/>
                <w:highlight w:val="none"/>
              </w:rPr>
              <w:t>(</w:t>
            </w:r>
            <w:r>
              <w:rPr>
                <w:rFonts w:hint="eastAsia" w:ascii="宋体" w:hAnsi="宋体" w:cs="宋体"/>
                <w:color w:val="auto"/>
                <w:szCs w:val="21"/>
                <w:highlight w:val="none"/>
              </w:rPr>
              <w:t>制量</w:t>
            </w:r>
            <w:r>
              <w:rPr>
                <w:rFonts w:ascii="宋体" w:hAnsi="宋体" w:cs="宋体"/>
                <w:color w:val="auto"/>
                <w:szCs w:val="21"/>
                <w:highlight w:val="none"/>
              </w:rPr>
              <w:t>&gt;14000W)</w:t>
            </w:r>
          </w:p>
        </w:tc>
        <w:tc>
          <w:tcPr>
            <w:tcW w:w="1743" w:type="pct"/>
          </w:tcPr>
          <w:p w14:paraId="7D50D4F7">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机组能效限定值及能源效率等级》</w:t>
            </w:r>
            <w:r>
              <w:rPr>
                <w:rFonts w:ascii="宋体" w:hAnsi="宋体" w:cs="宋体"/>
                <w:color w:val="auto"/>
                <w:szCs w:val="21"/>
                <w:highlight w:val="none"/>
              </w:rPr>
              <w:t>(GB 21454)</w:t>
            </w:r>
          </w:p>
        </w:tc>
      </w:tr>
      <w:tr w14:paraId="1A3E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0A7624A2">
            <w:pPr>
              <w:spacing w:line="360" w:lineRule="auto"/>
              <w:rPr>
                <w:rFonts w:ascii="宋体" w:cs="宋体"/>
                <w:color w:val="auto"/>
                <w:szCs w:val="21"/>
                <w:highlight w:val="none"/>
              </w:rPr>
            </w:pPr>
          </w:p>
        </w:tc>
        <w:tc>
          <w:tcPr>
            <w:tcW w:w="813" w:type="pct"/>
            <w:vMerge w:val="continue"/>
          </w:tcPr>
          <w:p w14:paraId="078BBEC1">
            <w:pPr>
              <w:spacing w:line="360" w:lineRule="auto"/>
              <w:rPr>
                <w:rFonts w:ascii="宋体" w:cs="宋体"/>
                <w:color w:val="auto"/>
                <w:szCs w:val="21"/>
                <w:highlight w:val="none"/>
              </w:rPr>
            </w:pPr>
          </w:p>
        </w:tc>
        <w:tc>
          <w:tcPr>
            <w:tcW w:w="1071" w:type="pct"/>
            <w:vMerge w:val="continue"/>
          </w:tcPr>
          <w:p w14:paraId="782A2A8B">
            <w:pPr>
              <w:spacing w:line="360" w:lineRule="auto"/>
              <w:rPr>
                <w:rFonts w:ascii="宋体" w:cs="宋体"/>
                <w:color w:val="auto"/>
                <w:szCs w:val="21"/>
                <w:highlight w:val="none"/>
              </w:rPr>
            </w:pPr>
          </w:p>
        </w:tc>
        <w:tc>
          <w:tcPr>
            <w:tcW w:w="937" w:type="pct"/>
          </w:tcPr>
          <w:p w14:paraId="4E927BAB">
            <w:pPr>
              <w:spacing w:line="360" w:lineRule="auto"/>
              <w:rPr>
                <w:rFonts w:ascii="宋体" w:cs="宋体"/>
                <w:color w:val="auto"/>
                <w:szCs w:val="21"/>
                <w:highlight w:val="none"/>
              </w:rPr>
            </w:pPr>
            <w:r>
              <w:rPr>
                <w:rFonts w:hint="eastAsia" w:ascii="宋体" w:hAnsi="宋体" w:cs="宋体"/>
                <w:color w:val="auto"/>
                <w:szCs w:val="21"/>
                <w:highlight w:val="none"/>
              </w:rPr>
              <w:t>《单元式空气调节机</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&gt;14000w)</w:t>
            </w:r>
          </w:p>
        </w:tc>
        <w:tc>
          <w:tcPr>
            <w:tcW w:w="1743" w:type="pct"/>
          </w:tcPr>
          <w:p w14:paraId="2C2BB4AC">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 xml:space="preserve"> (GB 19576) </w:t>
            </w:r>
            <w:r>
              <w:rPr>
                <w:rFonts w:hint="eastAsia" w:ascii="宋体" w:hAnsi="宋体" w:cs="宋体"/>
                <w:color w:val="auto"/>
                <w:szCs w:val="21"/>
                <w:highlight w:val="none"/>
              </w:rPr>
              <w:t>《风管送风式空调机组能效限定值及能效等级》</w:t>
            </w:r>
            <w:r>
              <w:rPr>
                <w:rFonts w:ascii="宋体" w:hAnsi="宋体" w:cs="宋体"/>
                <w:color w:val="auto"/>
                <w:szCs w:val="21"/>
                <w:highlight w:val="none"/>
              </w:rPr>
              <w:t xml:space="preserve"> (GB 37479)</w:t>
            </w:r>
          </w:p>
        </w:tc>
      </w:tr>
      <w:tr w14:paraId="3C26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3" w:type="pct"/>
            <w:vMerge w:val="continue"/>
          </w:tcPr>
          <w:p w14:paraId="025CA880">
            <w:pPr>
              <w:spacing w:line="360" w:lineRule="auto"/>
              <w:rPr>
                <w:rFonts w:ascii="宋体" w:cs="宋体"/>
                <w:color w:val="auto"/>
                <w:szCs w:val="21"/>
                <w:highlight w:val="none"/>
              </w:rPr>
            </w:pPr>
          </w:p>
        </w:tc>
        <w:tc>
          <w:tcPr>
            <w:tcW w:w="813" w:type="pct"/>
            <w:vMerge w:val="continue"/>
          </w:tcPr>
          <w:p w14:paraId="08E75167">
            <w:pPr>
              <w:spacing w:line="360" w:lineRule="auto"/>
              <w:rPr>
                <w:rFonts w:ascii="宋体" w:cs="宋体"/>
                <w:color w:val="auto"/>
                <w:szCs w:val="21"/>
                <w:highlight w:val="none"/>
              </w:rPr>
            </w:pPr>
          </w:p>
        </w:tc>
        <w:tc>
          <w:tcPr>
            <w:tcW w:w="1071" w:type="pct"/>
            <w:vMerge w:val="restart"/>
          </w:tcPr>
          <w:p w14:paraId="5E61BBA1">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A02052309</w:t>
            </w:r>
            <w:r>
              <w:rPr>
                <w:rFonts w:hint="eastAsia" w:ascii="宋体" w:hAnsi="宋体" w:cs="宋体"/>
                <w:color w:val="auto"/>
                <w:szCs w:val="21"/>
                <w:highlight w:val="none"/>
              </w:rPr>
              <w:t>专用制冷</w:t>
            </w:r>
            <w:r>
              <w:rPr>
                <w:rFonts w:ascii="宋体" w:cs="宋体"/>
                <w:color w:val="auto"/>
                <w:szCs w:val="21"/>
                <w:highlight w:val="none"/>
              </w:rPr>
              <w:t>.</w:t>
            </w:r>
            <w:r>
              <w:rPr>
                <w:rFonts w:hint="eastAsia" w:ascii="宋体" w:hAnsi="宋体" w:cs="宋体"/>
                <w:color w:val="auto"/>
                <w:szCs w:val="21"/>
                <w:highlight w:val="none"/>
              </w:rPr>
              <w:t>空调设备</w:t>
            </w:r>
          </w:p>
          <w:p w14:paraId="17331ACF">
            <w:pPr>
              <w:spacing w:line="360" w:lineRule="auto"/>
              <w:rPr>
                <w:rFonts w:ascii="宋体" w:cs="宋体"/>
                <w:color w:val="auto"/>
                <w:szCs w:val="21"/>
                <w:highlight w:val="none"/>
              </w:rPr>
            </w:pPr>
          </w:p>
          <w:p w14:paraId="2DDFD3EC">
            <w:pPr>
              <w:spacing w:line="360" w:lineRule="auto"/>
              <w:rPr>
                <w:rFonts w:ascii="宋体" w:cs="宋体"/>
                <w:color w:val="auto"/>
                <w:szCs w:val="21"/>
                <w:highlight w:val="none"/>
              </w:rPr>
            </w:pPr>
            <w:r>
              <w:rPr>
                <w:rFonts w:ascii="宋体" w:hAnsi="宋体" w:cs="宋体"/>
                <w:color w:val="auto"/>
                <w:szCs w:val="21"/>
                <w:highlight w:val="none"/>
              </w:rPr>
              <w:t>A02052399</w:t>
            </w:r>
            <w:r>
              <w:rPr>
                <w:rFonts w:hint="eastAsia" w:ascii="宋体" w:hAnsi="宋体" w:cs="宋体"/>
                <w:color w:val="auto"/>
                <w:szCs w:val="21"/>
                <w:highlight w:val="none"/>
              </w:rPr>
              <w:t>其他制冷空调设备</w:t>
            </w:r>
          </w:p>
        </w:tc>
        <w:tc>
          <w:tcPr>
            <w:tcW w:w="937" w:type="pct"/>
          </w:tcPr>
          <w:p w14:paraId="5B3894EF">
            <w:pPr>
              <w:spacing w:line="360" w:lineRule="auto"/>
              <w:rPr>
                <w:rFonts w:ascii="宋体" w:cs="宋体"/>
                <w:color w:val="auto"/>
                <w:szCs w:val="21"/>
                <w:highlight w:val="none"/>
              </w:rPr>
            </w:pPr>
          </w:p>
          <w:p w14:paraId="7D2E7491">
            <w:pPr>
              <w:spacing w:line="360" w:lineRule="auto"/>
              <w:rPr>
                <w:rFonts w:ascii="宋体" w:cs="宋体"/>
                <w:color w:val="auto"/>
                <w:szCs w:val="21"/>
                <w:highlight w:val="none"/>
              </w:rPr>
            </w:pPr>
            <w:r>
              <w:rPr>
                <w:rFonts w:hint="eastAsia" w:ascii="宋体" w:hAnsi="宋体" w:cs="宋体"/>
                <w:color w:val="auto"/>
                <w:szCs w:val="21"/>
                <w:highlight w:val="none"/>
              </w:rPr>
              <w:t>机房空调</w:t>
            </w:r>
          </w:p>
        </w:tc>
        <w:tc>
          <w:tcPr>
            <w:tcW w:w="1743" w:type="pct"/>
          </w:tcPr>
          <w:p w14:paraId="3F2CCA7D">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(GB 19576)</w:t>
            </w:r>
          </w:p>
        </w:tc>
      </w:tr>
      <w:tr w14:paraId="1B66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33" w:type="pct"/>
            <w:vMerge w:val="continue"/>
          </w:tcPr>
          <w:p w14:paraId="51D9884A">
            <w:pPr>
              <w:spacing w:line="360" w:lineRule="auto"/>
              <w:rPr>
                <w:rFonts w:ascii="宋体" w:cs="宋体"/>
                <w:color w:val="auto"/>
                <w:szCs w:val="21"/>
                <w:highlight w:val="none"/>
              </w:rPr>
            </w:pPr>
          </w:p>
        </w:tc>
        <w:tc>
          <w:tcPr>
            <w:tcW w:w="813" w:type="pct"/>
            <w:vMerge w:val="continue"/>
          </w:tcPr>
          <w:p w14:paraId="581E7622">
            <w:pPr>
              <w:spacing w:line="360" w:lineRule="auto"/>
              <w:rPr>
                <w:rFonts w:ascii="宋体" w:cs="宋体"/>
                <w:color w:val="auto"/>
                <w:szCs w:val="21"/>
                <w:highlight w:val="none"/>
              </w:rPr>
            </w:pPr>
          </w:p>
        </w:tc>
        <w:tc>
          <w:tcPr>
            <w:tcW w:w="1071" w:type="pct"/>
            <w:vMerge w:val="continue"/>
          </w:tcPr>
          <w:p w14:paraId="2B0D0D3A">
            <w:pPr>
              <w:spacing w:line="360" w:lineRule="auto"/>
              <w:rPr>
                <w:rFonts w:ascii="宋体" w:cs="宋体"/>
                <w:color w:val="auto"/>
                <w:szCs w:val="21"/>
                <w:highlight w:val="none"/>
              </w:rPr>
            </w:pPr>
          </w:p>
        </w:tc>
        <w:tc>
          <w:tcPr>
            <w:tcW w:w="937" w:type="pct"/>
          </w:tcPr>
          <w:p w14:paraId="56343B0A">
            <w:pPr>
              <w:spacing w:line="360" w:lineRule="auto"/>
              <w:rPr>
                <w:rFonts w:ascii="宋体" w:cs="宋体"/>
                <w:color w:val="auto"/>
                <w:szCs w:val="21"/>
                <w:highlight w:val="none"/>
              </w:rPr>
            </w:pPr>
          </w:p>
          <w:p w14:paraId="06DC8A0D">
            <w:pPr>
              <w:spacing w:line="360" w:lineRule="auto"/>
              <w:rPr>
                <w:rFonts w:ascii="宋体" w:cs="宋体"/>
                <w:color w:val="auto"/>
                <w:szCs w:val="21"/>
                <w:highlight w:val="none"/>
              </w:rPr>
            </w:pPr>
            <w:r>
              <w:rPr>
                <w:rFonts w:hint="eastAsia" w:ascii="宋体" w:hAnsi="宋体" w:cs="宋体"/>
                <w:color w:val="auto"/>
                <w:szCs w:val="21"/>
                <w:highlight w:val="none"/>
              </w:rPr>
              <w:t>冷却塔</w:t>
            </w:r>
          </w:p>
        </w:tc>
        <w:tc>
          <w:tcPr>
            <w:tcW w:w="1743" w:type="pct"/>
          </w:tcPr>
          <w:p w14:paraId="589CEB9A">
            <w:pPr>
              <w:spacing w:line="360" w:lineRule="auto"/>
              <w:rPr>
                <w:rFonts w:ascii="宋体" w:cs="宋体"/>
                <w:color w:val="auto"/>
                <w:szCs w:val="21"/>
                <w:highlight w:val="none"/>
              </w:rPr>
            </w:pPr>
            <w:r>
              <w:rPr>
                <w:rFonts w:hint="eastAsia" w:ascii="宋体" w:hAnsi="宋体" w:cs="宋体"/>
                <w:color w:val="auto"/>
                <w:szCs w:val="21"/>
                <w:highlight w:val="none"/>
              </w:rPr>
              <w:t>《机械通风冷却塔第</w:t>
            </w:r>
            <w:r>
              <w:rPr>
                <w:rFonts w:ascii="宋体" w:hAnsi="宋体" w:cs="宋体"/>
                <w:color w:val="auto"/>
                <w:szCs w:val="21"/>
                <w:highlight w:val="none"/>
              </w:rPr>
              <w:t>1</w:t>
            </w:r>
            <w:r>
              <w:rPr>
                <w:rFonts w:hint="eastAsia" w:ascii="宋体" w:hAnsi="宋体" w:cs="宋体"/>
                <w:color w:val="auto"/>
                <w:szCs w:val="21"/>
                <w:highlight w:val="none"/>
              </w:rPr>
              <w:t>部分：中小型开式冷却塔</w:t>
            </w:r>
            <w:r>
              <w:rPr>
                <w:rFonts w:ascii="宋体" w:hAnsi="宋体" w:cs="宋体"/>
                <w:color w:val="auto"/>
                <w:szCs w:val="21"/>
                <w:highlight w:val="none"/>
              </w:rPr>
              <w:t>)(GB/T 7190.1)</w:t>
            </w:r>
            <w:r>
              <w:rPr>
                <w:rFonts w:hint="eastAsia" w:ascii="宋体" w:hAnsi="宋体" w:cs="宋体"/>
                <w:color w:val="auto"/>
                <w:szCs w:val="21"/>
                <w:highlight w:val="none"/>
              </w:rPr>
              <w:t>：《机械通风冷却塔</w:t>
            </w:r>
            <w:r>
              <w:rPr>
                <w:rFonts w:ascii="宋体" w:hAnsi="宋体" w:cs="宋体"/>
                <w:color w:val="auto"/>
                <w:szCs w:val="21"/>
                <w:highlight w:val="none"/>
              </w:rPr>
              <w:t xml:space="preserve"> </w:t>
            </w:r>
            <w:r>
              <w:rPr>
                <w:rFonts w:hint="eastAsia" w:ascii="宋体" w:hAnsi="宋体" w:cs="宋体"/>
                <w:color w:val="auto"/>
                <w:szCs w:val="21"/>
                <w:highlight w:val="none"/>
              </w:rPr>
              <w:t>第</w:t>
            </w:r>
            <w:r>
              <w:rPr>
                <w:rFonts w:ascii="宋体" w:hAnsi="宋体" w:cs="宋体"/>
                <w:color w:val="auto"/>
                <w:szCs w:val="21"/>
                <w:highlight w:val="none"/>
              </w:rPr>
              <w:t>2</w:t>
            </w:r>
            <w:r>
              <w:rPr>
                <w:rFonts w:hint="eastAsia" w:ascii="宋体" w:hAnsi="宋体" w:cs="宋体"/>
                <w:color w:val="auto"/>
                <w:szCs w:val="21"/>
                <w:highlight w:val="none"/>
              </w:rPr>
              <w:t>部分：</w:t>
            </w:r>
            <w:r>
              <w:rPr>
                <w:rFonts w:ascii="宋体" w:hAnsi="宋体" w:cs="宋体"/>
                <w:color w:val="auto"/>
                <w:szCs w:val="21"/>
                <w:highlight w:val="none"/>
              </w:rPr>
              <w:t xml:space="preserve"> </w:t>
            </w:r>
            <w:r>
              <w:rPr>
                <w:rFonts w:hint="eastAsia" w:ascii="宋体" w:hAnsi="宋体" w:cs="宋体"/>
                <w:color w:val="auto"/>
                <w:szCs w:val="21"/>
                <w:highlight w:val="none"/>
              </w:rPr>
              <w:t>大型开式冷却塔》</w:t>
            </w:r>
            <w:r>
              <w:rPr>
                <w:rFonts w:ascii="宋体" w:hAnsi="宋体" w:cs="宋体"/>
                <w:color w:val="auto"/>
                <w:szCs w:val="21"/>
                <w:highlight w:val="none"/>
              </w:rPr>
              <w:t xml:space="preserve"> (GB /T 7190.2)</w:t>
            </w:r>
          </w:p>
        </w:tc>
      </w:tr>
      <w:tr w14:paraId="0FB7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3" w:type="pct"/>
          </w:tcPr>
          <w:p w14:paraId="5C13F15C">
            <w:pPr>
              <w:spacing w:line="360" w:lineRule="auto"/>
              <w:rPr>
                <w:rFonts w:ascii="宋体" w:cs="宋体"/>
                <w:color w:val="auto"/>
                <w:szCs w:val="21"/>
                <w:highlight w:val="none"/>
              </w:rPr>
            </w:pPr>
            <w:r>
              <w:rPr>
                <w:rFonts w:ascii="宋体" w:hAnsi="宋体" w:cs="宋体"/>
                <w:color w:val="auto"/>
                <w:szCs w:val="21"/>
                <w:highlight w:val="none"/>
              </w:rPr>
              <w:t>7</w:t>
            </w:r>
          </w:p>
        </w:tc>
        <w:tc>
          <w:tcPr>
            <w:tcW w:w="813" w:type="pct"/>
          </w:tcPr>
          <w:p w14:paraId="53FDBD56">
            <w:pPr>
              <w:spacing w:line="360" w:lineRule="auto"/>
              <w:rPr>
                <w:rFonts w:ascii="宋体" w:cs="宋体"/>
                <w:color w:val="auto"/>
                <w:szCs w:val="21"/>
                <w:highlight w:val="none"/>
              </w:rPr>
            </w:pPr>
            <w:r>
              <w:rPr>
                <w:rFonts w:ascii="宋体" w:hAnsi="宋体" w:cs="宋体"/>
                <w:color w:val="auto"/>
                <w:szCs w:val="21"/>
                <w:highlight w:val="none"/>
              </w:rPr>
              <w:t>A020601</w:t>
            </w:r>
            <w:r>
              <w:rPr>
                <w:rFonts w:hint="eastAsia" w:ascii="宋体" w:hAnsi="宋体" w:cs="宋体"/>
                <w:color w:val="auto"/>
                <w:szCs w:val="21"/>
                <w:highlight w:val="none"/>
              </w:rPr>
              <w:t>电机</w:t>
            </w:r>
          </w:p>
        </w:tc>
        <w:tc>
          <w:tcPr>
            <w:tcW w:w="1071" w:type="pct"/>
          </w:tcPr>
          <w:p w14:paraId="1FC0E754">
            <w:pPr>
              <w:spacing w:line="360" w:lineRule="auto"/>
              <w:rPr>
                <w:rFonts w:ascii="宋体" w:cs="宋体"/>
                <w:color w:val="auto"/>
                <w:szCs w:val="21"/>
                <w:highlight w:val="none"/>
              </w:rPr>
            </w:pPr>
          </w:p>
        </w:tc>
        <w:tc>
          <w:tcPr>
            <w:tcW w:w="937" w:type="pct"/>
          </w:tcPr>
          <w:p w14:paraId="7BD02BA3">
            <w:pPr>
              <w:spacing w:line="360" w:lineRule="auto"/>
              <w:rPr>
                <w:rFonts w:ascii="宋体" w:cs="宋体"/>
                <w:color w:val="auto"/>
                <w:szCs w:val="21"/>
                <w:highlight w:val="none"/>
              </w:rPr>
            </w:pPr>
          </w:p>
        </w:tc>
        <w:tc>
          <w:tcPr>
            <w:tcW w:w="1743" w:type="pct"/>
          </w:tcPr>
          <w:p w14:paraId="42F09F82">
            <w:pPr>
              <w:spacing w:line="360" w:lineRule="auto"/>
              <w:rPr>
                <w:rFonts w:ascii="宋体" w:cs="宋体"/>
                <w:color w:val="auto"/>
                <w:szCs w:val="21"/>
                <w:highlight w:val="none"/>
              </w:rPr>
            </w:pPr>
            <w:r>
              <w:rPr>
                <w:rFonts w:hint="eastAsia" w:ascii="宋体" w:hAnsi="宋体" w:cs="宋体"/>
                <w:color w:val="auto"/>
                <w:szCs w:val="21"/>
                <w:highlight w:val="none"/>
              </w:rPr>
              <w:t>《中小型三相异步电动机能效限定值及能效等级》</w:t>
            </w:r>
            <w:r>
              <w:rPr>
                <w:rFonts w:ascii="宋体" w:hAnsi="宋体" w:cs="宋体"/>
                <w:color w:val="auto"/>
                <w:szCs w:val="21"/>
                <w:highlight w:val="none"/>
              </w:rPr>
              <w:t xml:space="preserve"> (GB 18613)</w:t>
            </w:r>
          </w:p>
        </w:tc>
      </w:tr>
      <w:tr w14:paraId="0EB5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544C2116">
            <w:pPr>
              <w:spacing w:line="360" w:lineRule="auto"/>
              <w:rPr>
                <w:rFonts w:ascii="宋体" w:cs="宋体"/>
                <w:color w:val="auto"/>
                <w:szCs w:val="21"/>
                <w:highlight w:val="none"/>
              </w:rPr>
            </w:pPr>
            <w:r>
              <w:rPr>
                <w:rFonts w:ascii="宋体" w:hAnsi="宋体" w:cs="宋体"/>
                <w:color w:val="auto"/>
                <w:szCs w:val="21"/>
                <w:highlight w:val="none"/>
              </w:rPr>
              <w:t>8</w:t>
            </w:r>
          </w:p>
        </w:tc>
        <w:tc>
          <w:tcPr>
            <w:tcW w:w="813" w:type="pct"/>
          </w:tcPr>
          <w:p w14:paraId="5A0C152E">
            <w:pPr>
              <w:spacing w:line="360" w:lineRule="auto"/>
              <w:rPr>
                <w:rFonts w:ascii="宋体" w:cs="宋体"/>
                <w:color w:val="auto"/>
                <w:szCs w:val="21"/>
                <w:highlight w:val="none"/>
              </w:rPr>
            </w:pPr>
            <w:r>
              <w:rPr>
                <w:rFonts w:ascii="宋体" w:hAnsi="宋体" w:cs="宋体"/>
                <w:color w:val="auto"/>
                <w:szCs w:val="21"/>
                <w:highlight w:val="none"/>
              </w:rPr>
              <w:t>A020602</w:t>
            </w:r>
            <w:r>
              <w:rPr>
                <w:rFonts w:hint="eastAsia" w:ascii="宋体" w:hAnsi="宋体" w:cs="宋体"/>
                <w:color w:val="auto"/>
                <w:szCs w:val="21"/>
                <w:highlight w:val="none"/>
              </w:rPr>
              <w:t>变压器</w:t>
            </w:r>
          </w:p>
        </w:tc>
        <w:tc>
          <w:tcPr>
            <w:tcW w:w="1071" w:type="pct"/>
          </w:tcPr>
          <w:p w14:paraId="32E80EBC">
            <w:pPr>
              <w:spacing w:line="360" w:lineRule="auto"/>
              <w:rPr>
                <w:rFonts w:ascii="宋体" w:cs="宋体"/>
                <w:color w:val="auto"/>
                <w:szCs w:val="21"/>
                <w:highlight w:val="none"/>
              </w:rPr>
            </w:pPr>
            <w:r>
              <w:rPr>
                <w:rFonts w:hint="eastAsia" w:ascii="宋体" w:hAnsi="宋体" w:cs="宋体"/>
                <w:color w:val="auto"/>
                <w:szCs w:val="21"/>
                <w:highlight w:val="none"/>
              </w:rPr>
              <w:t>配电变压器</w:t>
            </w:r>
          </w:p>
        </w:tc>
        <w:tc>
          <w:tcPr>
            <w:tcW w:w="937" w:type="pct"/>
          </w:tcPr>
          <w:p w14:paraId="0430734D">
            <w:pPr>
              <w:spacing w:line="360" w:lineRule="auto"/>
              <w:rPr>
                <w:rFonts w:ascii="宋体" w:cs="宋体"/>
                <w:color w:val="auto"/>
                <w:szCs w:val="21"/>
                <w:highlight w:val="none"/>
              </w:rPr>
            </w:pPr>
          </w:p>
        </w:tc>
        <w:tc>
          <w:tcPr>
            <w:tcW w:w="1743" w:type="pct"/>
          </w:tcPr>
          <w:p w14:paraId="346B7E35">
            <w:pPr>
              <w:spacing w:line="360" w:lineRule="auto"/>
              <w:rPr>
                <w:rFonts w:ascii="宋体" w:cs="宋体"/>
                <w:color w:val="auto"/>
                <w:szCs w:val="21"/>
                <w:highlight w:val="none"/>
              </w:rPr>
            </w:pPr>
            <w:r>
              <w:rPr>
                <w:rFonts w:hint="eastAsia" w:ascii="宋体" w:hAnsi="宋体" w:cs="宋体"/>
                <w:color w:val="auto"/>
                <w:szCs w:val="21"/>
                <w:highlight w:val="none"/>
              </w:rPr>
              <w:t>《三相配电变压器能效限定值及能效等级》</w:t>
            </w:r>
            <w:r>
              <w:rPr>
                <w:rFonts w:ascii="宋体" w:hAnsi="宋体" w:cs="宋体"/>
                <w:color w:val="auto"/>
                <w:szCs w:val="21"/>
                <w:highlight w:val="none"/>
              </w:rPr>
              <w:t>(GB 20052)</w:t>
            </w:r>
          </w:p>
        </w:tc>
      </w:tr>
      <w:tr w14:paraId="5430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76FCA2FE">
            <w:pPr>
              <w:spacing w:line="360" w:lineRule="auto"/>
              <w:rPr>
                <w:rFonts w:ascii="宋体" w:cs="宋体"/>
                <w:color w:val="auto"/>
                <w:szCs w:val="21"/>
                <w:highlight w:val="none"/>
              </w:rPr>
            </w:pPr>
            <w:r>
              <w:rPr>
                <w:rFonts w:ascii="宋体" w:hAnsi="宋体" w:cs="宋体"/>
                <w:color w:val="auto"/>
                <w:szCs w:val="21"/>
                <w:highlight w:val="none"/>
              </w:rPr>
              <w:t>9</w:t>
            </w:r>
          </w:p>
        </w:tc>
        <w:tc>
          <w:tcPr>
            <w:tcW w:w="813" w:type="pct"/>
          </w:tcPr>
          <w:p w14:paraId="124517B9">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A020609</w:t>
            </w:r>
            <w:r>
              <w:rPr>
                <w:rFonts w:hint="eastAsia" w:ascii="宋体" w:hAnsi="宋体" w:cs="宋体"/>
                <w:color w:val="auto"/>
                <w:szCs w:val="21"/>
                <w:highlight w:val="none"/>
              </w:rPr>
              <w:t>镇流器</w:t>
            </w:r>
          </w:p>
        </w:tc>
        <w:tc>
          <w:tcPr>
            <w:tcW w:w="1071" w:type="pct"/>
          </w:tcPr>
          <w:p w14:paraId="5EB134FB">
            <w:pPr>
              <w:spacing w:line="360" w:lineRule="auto"/>
              <w:rPr>
                <w:rFonts w:ascii="宋体" w:cs="宋体"/>
                <w:color w:val="auto"/>
                <w:szCs w:val="21"/>
                <w:highlight w:val="none"/>
              </w:rPr>
            </w:pPr>
            <w:r>
              <w:rPr>
                <w:rFonts w:hint="eastAsia" w:ascii="宋体" w:hAnsi="宋体" w:cs="宋体"/>
                <w:color w:val="auto"/>
                <w:szCs w:val="21"/>
                <w:highlight w:val="none"/>
              </w:rPr>
              <w:t>管型荧光灯镇流器</w:t>
            </w:r>
          </w:p>
        </w:tc>
        <w:tc>
          <w:tcPr>
            <w:tcW w:w="937" w:type="pct"/>
          </w:tcPr>
          <w:p w14:paraId="4CD706E4">
            <w:pPr>
              <w:spacing w:line="360" w:lineRule="auto"/>
              <w:rPr>
                <w:rFonts w:ascii="宋体" w:cs="宋体"/>
                <w:color w:val="auto"/>
                <w:szCs w:val="21"/>
                <w:highlight w:val="none"/>
              </w:rPr>
            </w:pPr>
          </w:p>
        </w:tc>
        <w:tc>
          <w:tcPr>
            <w:tcW w:w="1743" w:type="pct"/>
          </w:tcPr>
          <w:p w14:paraId="50FB97FA">
            <w:pPr>
              <w:tabs>
                <w:tab w:val="left" w:pos="628"/>
              </w:tabs>
              <w:spacing w:line="360" w:lineRule="auto"/>
              <w:jc w:val="left"/>
              <w:rPr>
                <w:rFonts w:ascii="宋体" w:cs="宋体"/>
                <w:color w:val="auto"/>
                <w:szCs w:val="21"/>
                <w:highlight w:val="none"/>
              </w:rPr>
            </w:pPr>
            <w:r>
              <w:rPr>
                <w:rFonts w:hint="eastAsia" w:ascii="宋体" w:hAnsi="宋体" w:cs="宋体"/>
                <w:color w:val="auto"/>
                <w:szCs w:val="21"/>
                <w:highlight w:val="none"/>
              </w:rPr>
              <w:t>《管形荧光灯镇流器能效限定值及能效等级》</w:t>
            </w:r>
            <w:r>
              <w:rPr>
                <w:rFonts w:ascii="宋体" w:hAnsi="宋体" w:cs="宋体"/>
                <w:color w:val="auto"/>
                <w:szCs w:val="21"/>
                <w:highlight w:val="none"/>
              </w:rPr>
              <w:t>(GB 17896)</w:t>
            </w:r>
          </w:p>
        </w:tc>
      </w:tr>
      <w:tr w14:paraId="47FD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14:paraId="5DC165CA">
            <w:pPr>
              <w:spacing w:line="360" w:lineRule="auto"/>
              <w:rPr>
                <w:rFonts w:ascii="宋体" w:cs="宋体"/>
                <w:color w:val="auto"/>
                <w:szCs w:val="21"/>
                <w:highlight w:val="none"/>
              </w:rPr>
            </w:pPr>
          </w:p>
          <w:p w14:paraId="1A45D7E8">
            <w:pPr>
              <w:spacing w:line="360" w:lineRule="auto"/>
              <w:rPr>
                <w:rFonts w:ascii="宋体" w:cs="宋体"/>
                <w:color w:val="auto"/>
                <w:szCs w:val="21"/>
                <w:highlight w:val="none"/>
              </w:rPr>
            </w:pPr>
          </w:p>
          <w:p w14:paraId="059C907C">
            <w:pPr>
              <w:spacing w:line="360" w:lineRule="auto"/>
              <w:rPr>
                <w:rFonts w:ascii="宋体" w:cs="宋体"/>
                <w:color w:val="auto"/>
                <w:szCs w:val="21"/>
                <w:highlight w:val="none"/>
              </w:rPr>
            </w:pPr>
            <w:r>
              <w:rPr>
                <w:rFonts w:ascii="宋体" w:hAnsi="宋体" w:cs="宋体"/>
                <w:color w:val="auto"/>
                <w:szCs w:val="21"/>
                <w:highlight w:val="none"/>
              </w:rPr>
              <w:t>10</w:t>
            </w:r>
          </w:p>
        </w:tc>
        <w:tc>
          <w:tcPr>
            <w:tcW w:w="813" w:type="pct"/>
            <w:vMerge w:val="restart"/>
          </w:tcPr>
          <w:p w14:paraId="218A5274">
            <w:pPr>
              <w:spacing w:line="360" w:lineRule="auto"/>
              <w:rPr>
                <w:rFonts w:ascii="宋体" w:cs="宋体"/>
                <w:color w:val="auto"/>
                <w:szCs w:val="21"/>
                <w:highlight w:val="none"/>
              </w:rPr>
            </w:pPr>
          </w:p>
          <w:p w14:paraId="79786B3B">
            <w:pPr>
              <w:spacing w:line="360" w:lineRule="auto"/>
              <w:rPr>
                <w:rFonts w:ascii="宋体" w:cs="宋体"/>
                <w:color w:val="auto"/>
                <w:szCs w:val="21"/>
                <w:highlight w:val="none"/>
              </w:rPr>
            </w:pPr>
          </w:p>
          <w:p w14:paraId="4A57C902">
            <w:pPr>
              <w:spacing w:line="360" w:lineRule="auto"/>
              <w:rPr>
                <w:rFonts w:ascii="宋体" w:cs="宋体"/>
                <w:color w:val="auto"/>
                <w:szCs w:val="21"/>
                <w:highlight w:val="none"/>
              </w:rPr>
            </w:pPr>
          </w:p>
          <w:p w14:paraId="24A2CAC6">
            <w:pPr>
              <w:spacing w:line="360" w:lineRule="auto"/>
              <w:rPr>
                <w:rFonts w:ascii="宋体" w:cs="宋体"/>
                <w:color w:val="auto"/>
                <w:szCs w:val="21"/>
                <w:highlight w:val="none"/>
              </w:rPr>
            </w:pPr>
            <w:r>
              <w:rPr>
                <w:rFonts w:ascii="宋体" w:hAnsi="宋体" w:cs="宋体"/>
                <w:color w:val="auto"/>
                <w:szCs w:val="21"/>
                <w:highlight w:val="none"/>
              </w:rPr>
              <w:t>A020618</w:t>
            </w:r>
            <w:r>
              <w:rPr>
                <w:rFonts w:hint="eastAsia" w:ascii="宋体" w:hAnsi="宋体" w:cs="宋体"/>
                <w:color w:val="auto"/>
                <w:szCs w:val="21"/>
                <w:highlight w:val="none"/>
              </w:rPr>
              <w:t>生活用电器</w:t>
            </w:r>
          </w:p>
        </w:tc>
        <w:tc>
          <w:tcPr>
            <w:tcW w:w="1071" w:type="pct"/>
          </w:tcPr>
          <w:p w14:paraId="10AFDE8E">
            <w:pPr>
              <w:spacing w:line="360" w:lineRule="auto"/>
              <w:rPr>
                <w:rFonts w:ascii="宋体" w:cs="宋体"/>
                <w:color w:val="auto"/>
                <w:szCs w:val="21"/>
                <w:highlight w:val="none"/>
              </w:rPr>
            </w:pPr>
            <w:r>
              <w:rPr>
                <w:rFonts w:ascii="宋体" w:hAnsi="宋体" w:cs="宋体"/>
                <w:color w:val="auto"/>
                <w:szCs w:val="21"/>
                <w:highlight w:val="none"/>
              </w:rPr>
              <w:t>A0206180101</w:t>
            </w:r>
            <w:r>
              <w:rPr>
                <w:rFonts w:hint="eastAsia" w:ascii="宋体" w:hAnsi="宋体" w:cs="宋体"/>
                <w:color w:val="auto"/>
                <w:szCs w:val="21"/>
                <w:highlight w:val="none"/>
              </w:rPr>
              <w:t>电冰箱</w:t>
            </w:r>
          </w:p>
        </w:tc>
        <w:tc>
          <w:tcPr>
            <w:tcW w:w="937" w:type="pct"/>
          </w:tcPr>
          <w:p w14:paraId="59953A55">
            <w:pPr>
              <w:spacing w:line="360" w:lineRule="auto"/>
              <w:rPr>
                <w:rFonts w:ascii="宋体" w:cs="宋体"/>
                <w:color w:val="auto"/>
                <w:szCs w:val="21"/>
                <w:highlight w:val="none"/>
              </w:rPr>
            </w:pPr>
          </w:p>
        </w:tc>
        <w:tc>
          <w:tcPr>
            <w:tcW w:w="1743" w:type="pct"/>
          </w:tcPr>
          <w:p w14:paraId="66D2ACFE">
            <w:pPr>
              <w:spacing w:line="360" w:lineRule="auto"/>
              <w:rPr>
                <w:rFonts w:ascii="宋体" w:cs="宋体"/>
                <w:color w:val="auto"/>
                <w:szCs w:val="21"/>
                <w:highlight w:val="none"/>
              </w:rPr>
            </w:pPr>
            <w:r>
              <w:rPr>
                <w:rFonts w:hint="eastAsia" w:ascii="宋体" w:hAnsi="宋体" w:cs="宋体"/>
                <w:color w:val="auto"/>
                <w:szCs w:val="21"/>
                <w:highlight w:val="none"/>
              </w:rPr>
              <w:t>《家用电冰箱耗电量限定值及能效等级》</w:t>
            </w:r>
            <w:r>
              <w:rPr>
                <w:rFonts w:ascii="宋体" w:hAnsi="宋体" w:cs="宋体"/>
                <w:color w:val="auto"/>
                <w:szCs w:val="21"/>
                <w:highlight w:val="none"/>
              </w:rPr>
              <w:t xml:space="preserve"> (GB 12021.2)</w:t>
            </w:r>
          </w:p>
        </w:tc>
      </w:tr>
      <w:tr w14:paraId="5C60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F24351E">
            <w:pPr>
              <w:spacing w:line="360" w:lineRule="auto"/>
              <w:rPr>
                <w:rFonts w:ascii="宋体" w:cs="宋体"/>
                <w:color w:val="auto"/>
                <w:szCs w:val="21"/>
                <w:highlight w:val="none"/>
              </w:rPr>
            </w:pPr>
          </w:p>
        </w:tc>
        <w:tc>
          <w:tcPr>
            <w:tcW w:w="813" w:type="pct"/>
            <w:vMerge w:val="continue"/>
          </w:tcPr>
          <w:p w14:paraId="16263562">
            <w:pPr>
              <w:spacing w:line="360" w:lineRule="auto"/>
              <w:rPr>
                <w:rFonts w:ascii="宋体" w:cs="宋体"/>
                <w:color w:val="auto"/>
                <w:szCs w:val="21"/>
                <w:highlight w:val="none"/>
              </w:rPr>
            </w:pPr>
          </w:p>
        </w:tc>
        <w:tc>
          <w:tcPr>
            <w:tcW w:w="1071" w:type="pct"/>
            <w:vMerge w:val="restart"/>
          </w:tcPr>
          <w:p w14:paraId="461EA729">
            <w:pPr>
              <w:spacing w:line="360" w:lineRule="auto"/>
              <w:rPr>
                <w:rFonts w:ascii="宋体" w:cs="宋体"/>
                <w:color w:val="auto"/>
                <w:szCs w:val="21"/>
                <w:highlight w:val="none"/>
              </w:rPr>
            </w:pPr>
          </w:p>
          <w:p w14:paraId="3F6717C2">
            <w:pPr>
              <w:spacing w:line="360" w:lineRule="auto"/>
              <w:rPr>
                <w:rFonts w:ascii="宋体" w:cs="宋体"/>
                <w:color w:val="auto"/>
                <w:szCs w:val="21"/>
                <w:highlight w:val="none"/>
              </w:rPr>
            </w:pPr>
          </w:p>
          <w:p w14:paraId="5E8E9FB2">
            <w:pPr>
              <w:autoSpaceDE w:val="0"/>
              <w:autoSpaceDN w:val="0"/>
              <w:adjustRightInd w:val="0"/>
              <w:spacing w:line="360" w:lineRule="auto"/>
              <w:rPr>
                <w:rFonts w:ascii="宋体" w:cs="宋体"/>
                <w:color w:val="auto"/>
                <w:kern w:val="0"/>
                <w:szCs w:val="21"/>
                <w:highlight w:val="none"/>
              </w:rPr>
            </w:pPr>
          </w:p>
          <w:p w14:paraId="49EC88B2">
            <w:pPr>
              <w:spacing w:line="360" w:lineRule="auto"/>
              <w:rPr>
                <w:color w:val="auto"/>
                <w:sz w:val="24"/>
                <w:highlight w:val="none"/>
              </w:rPr>
            </w:pPr>
          </w:p>
          <w:p w14:paraId="715D0B01">
            <w:pPr>
              <w:autoSpaceDE w:val="0"/>
              <w:autoSpaceDN w:val="0"/>
              <w:adjustRightInd w:val="0"/>
              <w:spacing w:line="360" w:lineRule="auto"/>
              <w:rPr>
                <w:rFonts w:ascii="宋体" w:cs="宋体"/>
                <w:color w:val="auto"/>
                <w:kern w:val="0"/>
                <w:sz w:val="24"/>
                <w:highlight w:val="none"/>
              </w:rPr>
            </w:pPr>
          </w:p>
          <w:p w14:paraId="21C4FADB">
            <w:pPr>
              <w:spacing w:line="360" w:lineRule="auto"/>
              <w:rPr>
                <w:rFonts w:ascii="宋体" w:cs="宋体"/>
                <w:color w:val="auto"/>
                <w:szCs w:val="21"/>
                <w:highlight w:val="none"/>
              </w:rPr>
            </w:pPr>
          </w:p>
          <w:p w14:paraId="443DB79F">
            <w:pPr>
              <w:spacing w:line="360" w:lineRule="auto"/>
              <w:rPr>
                <w:rFonts w:ascii="宋体" w:cs="宋体"/>
                <w:color w:val="auto"/>
                <w:szCs w:val="21"/>
                <w:highlight w:val="none"/>
              </w:rPr>
            </w:pPr>
            <w:r>
              <w:rPr>
                <w:rFonts w:ascii="宋体" w:hAnsi="宋体" w:cs="宋体"/>
                <w:color w:val="auto"/>
                <w:szCs w:val="21"/>
                <w:highlight w:val="none"/>
              </w:rPr>
              <w:t>A0206180203</w:t>
            </w:r>
            <w:r>
              <w:rPr>
                <w:rFonts w:hint="eastAsia" w:ascii="宋体" w:hAnsi="宋体" w:cs="宋体"/>
                <w:color w:val="auto"/>
                <w:szCs w:val="21"/>
                <w:highlight w:val="none"/>
              </w:rPr>
              <w:t>空调机</w:t>
            </w:r>
          </w:p>
          <w:p w14:paraId="44822C6D">
            <w:pPr>
              <w:spacing w:line="360" w:lineRule="auto"/>
              <w:rPr>
                <w:rFonts w:ascii="宋体" w:cs="宋体"/>
                <w:color w:val="auto"/>
                <w:szCs w:val="21"/>
                <w:highlight w:val="none"/>
              </w:rPr>
            </w:pPr>
          </w:p>
          <w:p w14:paraId="74186E1A">
            <w:pPr>
              <w:spacing w:line="360" w:lineRule="auto"/>
              <w:rPr>
                <w:rFonts w:ascii="宋体" w:cs="宋体"/>
                <w:color w:val="auto"/>
                <w:szCs w:val="21"/>
                <w:highlight w:val="none"/>
              </w:rPr>
            </w:pPr>
          </w:p>
        </w:tc>
        <w:tc>
          <w:tcPr>
            <w:tcW w:w="937" w:type="pct"/>
          </w:tcPr>
          <w:p w14:paraId="7076E608">
            <w:pPr>
              <w:spacing w:line="360" w:lineRule="auto"/>
              <w:rPr>
                <w:rFonts w:ascii="宋体" w:cs="宋体"/>
                <w:color w:val="auto"/>
                <w:szCs w:val="21"/>
                <w:highlight w:val="none"/>
              </w:rPr>
            </w:pPr>
          </w:p>
          <w:p w14:paraId="2670B277">
            <w:pPr>
              <w:spacing w:line="360" w:lineRule="auto"/>
              <w:rPr>
                <w:rFonts w:ascii="宋体" w:cs="宋体"/>
                <w:color w:val="auto"/>
                <w:szCs w:val="21"/>
                <w:highlight w:val="none"/>
              </w:rPr>
            </w:pPr>
            <w:r>
              <w:rPr>
                <w:rFonts w:hint="eastAsia" w:ascii="宋体" w:hAnsi="宋体" w:cs="宋体"/>
                <w:color w:val="auto"/>
                <w:szCs w:val="21"/>
                <w:highlight w:val="none"/>
              </w:rPr>
              <w:t>房间空气调节器</w:t>
            </w:r>
          </w:p>
        </w:tc>
        <w:tc>
          <w:tcPr>
            <w:tcW w:w="1743" w:type="pct"/>
          </w:tcPr>
          <w:p w14:paraId="5C3412D5">
            <w:pPr>
              <w:spacing w:line="360" w:lineRule="auto"/>
              <w:rPr>
                <w:rFonts w:ascii="宋体" w:cs="宋体"/>
                <w:color w:val="auto"/>
                <w:szCs w:val="21"/>
                <w:highlight w:val="none"/>
              </w:rPr>
            </w:pPr>
            <w:r>
              <w:rPr>
                <w:rFonts w:hint="eastAsia" w:ascii="宋体" w:hAnsi="宋体" w:cs="宋体"/>
                <w:color w:val="auto"/>
                <w:szCs w:val="21"/>
                <w:highlight w:val="none"/>
              </w:rPr>
              <w:t>《转速可控型房间空气调节器能效限定值及能效等级》</w:t>
            </w:r>
            <w:r>
              <w:rPr>
                <w:rFonts w:ascii="宋体" w:hAnsi="宋体" w:cs="宋体"/>
                <w:color w:val="auto"/>
                <w:szCs w:val="21"/>
                <w:highlight w:val="none"/>
              </w:rPr>
              <w:t xml:space="preserve"> (GB21455-2013)</w:t>
            </w:r>
            <w:r>
              <w:rPr>
                <w:rFonts w:hint="eastAsia" w:ascii="宋体" w:hAnsi="宋体" w:cs="宋体"/>
                <w:color w:val="auto"/>
                <w:szCs w:val="21"/>
                <w:highlight w:val="none"/>
              </w:rPr>
              <w:t>，待</w:t>
            </w:r>
            <w:r>
              <w:rPr>
                <w:rFonts w:ascii="宋体" w:hAnsi="宋体" w:cs="宋体"/>
                <w:color w:val="auto"/>
                <w:szCs w:val="21"/>
                <w:highlight w:val="none"/>
              </w:rPr>
              <w:t>2019</w:t>
            </w:r>
            <w:r>
              <w:rPr>
                <w:rFonts w:hint="eastAsia" w:ascii="宋体" w:hAnsi="宋体" w:cs="宋体"/>
                <w:color w:val="auto"/>
                <w:szCs w:val="21"/>
                <w:highlight w:val="none"/>
              </w:rPr>
              <w:t>年修订发布后，按《房间空气调节器能效限定值及能效等级》</w:t>
            </w:r>
            <w:r>
              <w:rPr>
                <w:rFonts w:ascii="宋体" w:hAnsi="宋体" w:cs="宋体"/>
                <w:color w:val="auto"/>
                <w:szCs w:val="21"/>
                <w:highlight w:val="none"/>
              </w:rPr>
              <w:t>(GB2145-2019)</w:t>
            </w:r>
            <w:r>
              <w:rPr>
                <w:rFonts w:hint="eastAsia" w:ascii="宋体" w:hAnsi="宋体" w:cs="宋体"/>
                <w:color w:val="auto"/>
                <w:szCs w:val="21"/>
                <w:highlight w:val="none"/>
              </w:rPr>
              <w:t>实施</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14:paraId="675B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CF44904">
            <w:pPr>
              <w:spacing w:line="360" w:lineRule="auto"/>
              <w:rPr>
                <w:rFonts w:ascii="宋体" w:cs="宋体"/>
                <w:color w:val="auto"/>
                <w:szCs w:val="21"/>
                <w:highlight w:val="none"/>
              </w:rPr>
            </w:pPr>
          </w:p>
        </w:tc>
        <w:tc>
          <w:tcPr>
            <w:tcW w:w="813" w:type="pct"/>
            <w:vMerge w:val="continue"/>
          </w:tcPr>
          <w:p w14:paraId="74FE6DC1">
            <w:pPr>
              <w:spacing w:line="360" w:lineRule="auto"/>
              <w:rPr>
                <w:rFonts w:ascii="宋体" w:cs="宋体"/>
                <w:color w:val="auto"/>
                <w:szCs w:val="21"/>
                <w:highlight w:val="none"/>
              </w:rPr>
            </w:pPr>
          </w:p>
        </w:tc>
        <w:tc>
          <w:tcPr>
            <w:tcW w:w="1071" w:type="pct"/>
            <w:vMerge w:val="continue"/>
          </w:tcPr>
          <w:p w14:paraId="4EF35611">
            <w:pPr>
              <w:spacing w:line="360" w:lineRule="auto"/>
              <w:rPr>
                <w:rFonts w:ascii="宋体" w:cs="宋体"/>
                <w:color w:val="auto"/>
                <w:szCs w:val="21"/>
                <w:highlight w:val="none"/>
              </w:rPr>
            </w:pPr>
          </w:p>
        </w:tc>
        <w:tc>
          <w:tcPr>
            <w:tcW w:w="937" w:type="pct"/>
          </w:tcPr>
          <w:p w14:paraId="45222F21">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组</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14:paraId="672D60E2">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定值及能源效率等级》</w:t>
            </w:r>
            <w:r>
              <w:rPr>
                <w:rFonts w:ascii="宋体" w:hAnsi="宋体" w:cs="宋体"/>
                <w:color w:val="auto"/>
                <w:szCs w:val="21"/>
                <w:highlight w:val="none"/>
              </w:rPr>
              <w:t>(GB 21454)</w:t>
            </w:r>
          </w:p>
        </w:tc>
      </w:tr>
      <w:tr w14:paraId="23FF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4D14F9B">
            <w:pPr>
              <w:spacing w:line="360" w:lineRule="auto"/>
              <w:rPr>
                <w:rFonts w:ascii="宋体" w:cs="宋体"/>
                <w:color w:val="auto"/>
                <w:szCs w:val="21"/>
                <w:highlight w:val="none"/>
              </w:rPr>
            </w:pPr>
          </w:p>
        </w:tc>
        <w:tc>
          <w:tcPr>
            <w:tcW w:w="813" w:type="pct"/>
            <w:vMerge w:val="continue"/>
          </w:tcPr>
          <w:p w14:paraId="518C8B19">
            <w:pPr>
              <w:spacing w:line="360" w:lineRule="auto"/>
              <w:rPr>
                <w:rFonts w:ascii="宋体" w:cs="宋体"/>
                <w:color w:val="auto"/>
                <w:szCs w:val="21"/>
                <w:highlight w:val="none"/>
              </w:rPr>
            </w:pPr>
          </w:p>
        </w:tc>
        <w:tc>
          <w:tcPr>
            <w:tcW w:w="1071" w:type="pct"/>
            <w:vMerge w:val="continue"/>
          </w:tcPr>
          <w:p w14:paraId="1E686E66">
            <w:pPr>
              <w:spacing w:line="360" w:lineRule="auto"/>
              <w:rPr>
                <w:rFonts w:ascii="宋体" w:cs="宋体"/>
                <w:color w:val="auto"/>
                <w:szCs w:val="21"/>
                <w:highlight w:val="none"/>
              </w:rPr>
            </w:pPr>
          </w:p>
        </w:tc>
        <w:tc>
          <w:tcPr>
            <w:tcW w:w="937" w:type="pct"/>
          </w:tcPr>
          <w:p w14:paraId="6BEFBA16">
            <w:pPr>
              <w:spacing w:line="360" w:lineRule="auto"/>
              <w:rPr>
                <w:rFonts w:ascii="宋体" w:cs="宋体"/>
                <w:color w:val="auto"/>
                <w:szCs w:val="21"/>
                <w:highlight w:val="none"/>
              </w:rPr>
            </w:pPr>
            <w:r>
              <w:rPr>
                <w:rFonts w:hint="eastAsia" w:ascii="宋体" w:hAnsi="宋体" w:cs="宋体"/>
                <w:color w:val="auto"/>
                <w:szCs w:val="21"/>
                <w:highlight w:val="none"/>
              </w:rPr>
              <w:t>单元式空气调节</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14:paraId="6268DEC4">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w:t>
            </w:r>
            <w:r>
              <w:rPr>
                <w:rFonts w:ascii="宋体" w:hAnsi="宋体" w:cs="宋体"/>
                <w:color w:val="auto"/>
                <w:szCs w:val="21"/>
                <w:highlight w:val="none"/>
              </w:rPr>
              <w:t xml:space="preserve"> </w:t>
            </w:r>
            <w:r>
              <w:rPr>
                <w:rFonts w:hint="eastAsia" w:ascii="宋体" w:hAnsi="宋体" w:cs="宋体"/>
                <w:color w:val="auto"/>
                <w:szCs w:val="21"/>
                <w:highlight w:val="none"/>
              </w:rPr>
              <w:t>及能源效率等级》</w:t>
            </w:r>
            <w:r>
              <w:rPr>
                <w:rFonts w:ascii="宋体" w:hAnsi="宋体" w:cs="宋体"/>
                <w:color w:val="auto"/>
                <w:szCs w:val="21"/>
                <w:highlight w:val="none"/>
              </w:rPr>
              <w:t>(GB 19576)</w:t>
            </w:r>
            <w:r>
              <w:rPr>
                <w:rFonts w:hint="eastAsia" w:ascii="宋体" w:hAnsi="宋体" w:cs="宋体"/>
                <w:color w:val="auto"/>
                <w:szCs w:val="21"/>
                <w:highlight w:val="none"/>
              </w:rPr>
              <w:t>《风管送风式空调机组能效限定值及</w:t>
            </w:r>
            <w:r>
              <w:rPr>
                <w:rFonts w:ascii="宋体" w:hAnsi="宋体" w:cs="宋体"/>
                <w:color w:val="auto"/>
                <w:szCs w:val="21"/>
                <w:highlight w:val="none"/>
              </w:rPr>
              <w:t xml:space="preserve"> </w:t>
            </w:r>
            <w:r>
              <w:rPr>
                <w:rFonts w:hint="eastAsia" w:ascii="宋体" w:hAnsi="宋体" w:cs="宋体"/>
                <w:color w:val="auto"/>
                <w:szCs w:val="21"/>
                <w:highlight w:val="none"/>
              </w:rPr>
              <w:t>能效等级》</w:t>
            </w:r>
            <w:r>
              <w:rPr>
                <w:rFonts w:ascii="宋体" w:hAnsi="宋体" w:cs="宋体"/>
                <w:color w:val="auto"/>
                <w:szCs w:val="21"/>
                <w:highlight w:val="none"/>
              </w:rPr>
              <w:t xml:space="preserve"> (GB 37479)</w:t>
            </w:r>
          </w:p>
        </w:tc>
      </w:tr>
      <w:tr w14:paraId="0D28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4FADCCC6">
            <w:pPr>
              <w:spacing w:line="360" w:lineRule="auto"/>
              <w:rPr>
                <w:rFonts w:ascii="宋体" w:cs="宋体"/>
                <w:color w:val="auto"/>
                <w:szCs w:val="21"/>
                <w:highlight w:val="none"/>
              </w:rPr>
            </w:pPr>
          </w:p>
        </w:tc>
        <w:tc>
          <w:tcPr>
            <w:tcW w:w="813" w:type="pct"/>
            <w:vMerge w:val="continue"/>
          </w:tcPr>
          <w:p w14:paraId="352E76DF">
            <w:pPr>
              <w:spacing w:line="360" w:lineRule="auto"/>
              <w:rPr>
                <w:rFonts w:ascii="宋体" w:cs="宋体"/>
                <w:color w:val="auto"/>
                <w:szCs w:val="21"/>
                <w:highlight w:val="none"/>
              </w:rPr>
            </w:pPr>
          </w:p>
        </w:tc>
        <w:tc>
          <w:tcPr>
            <w:tcW w:w="1071" w:type="pct"/>
          </w:tcPr>
          <w:p w14:paraId="20196A36">
            <w:pPr>
              <w:spacing w:line="360" w:lineRule="auto"/>
              <w:rPr>
                <w:rFonts w:ascii="宋体" w:cs="宋体"/>
                <w:color w:val="auto"/>
                <w:szCs w:val="21"/>
                <w:highlight w:val="none"/>
              </w:rPr>
            </w:pPr>
          </w:p>
          <w:p w14:paraId="52052664">
            <w:pPr>
              <w:spacing w:line="360" w:lineRule="auto"/>
              <w:rPr>
                <w:rFonts w:ascii="宋体" w:cs="宋体"/>
                <w:color w:val="auto"/>
                <w:szCs w:val="21"/>
                <w:highlight w:val="none"/>
              </w:rPr>
            </w:pPr>
            <w:r>
              <w:rPr>
                <w:rFonts w:ascii="宋体" w:hAnsi="宋体" w:cs="宋体"/>
                <w:color w:val="auto"/>
                <w:szCs w:val="21"/>
                <w:highlight w:val="none"/>
              </w:rPr>
              <w:t>A020618301</w:t>
            </w:r>
            <w:r>
              <w:rPr>
                <w:rFonts w:hint="eastAsia" w:ascii="宋体" w:hAnsi="宋体" w:cs="宋体"/>
                <w:color w:val="auto"/>
                <w:szCs w:val="21"/>
                <w:highlight w:val="none"/>
              </w:rPr>
              <w:t>洗衣机</w:t>
            </w:r>
          </w:p>
        </w:tc>
        <w:tc>
          <w:tcPr>
            <w:tcW w:w="937" w:type="pct"/>
          </w:tcPr>
          <w:p w14:paraId="1B197F98">
            <w:pPr>
              <w:spacing w:line="360" w:lineRule="auto"/>
              <w:rPr>
                <w:rFonts w:ascii="宋体" w:cs="宋体"/>
                <w:color w:val="auto"/>
                <w:szCs w:val="21"/>
                <w:highlight w:val="none"/>
              </w:rPr>
            </w:pPr>
          </w:p>
        </w:tc>
        <w:tc>
          <w:tcPr>
            <w:tcW w:w="1743" w:type="pct"/>
          </w:tcPr>
          <w:p w14:paraId="2C5D0A94">
            <w:pPr>
              <w:spacing w:line="360" w:lineRule="auto"/>
              <w:rPr>
                <w:rFonts w:ascii="宋体" w:cs="宋体"/>
                <w:color w:val="auto"/>
                <w:szCs w:val="21"/>
                <w:highlight w:val="none"/>
              </w:rPr>
            </w:pPr>
            <w:r>
              <w:rPr>
                <w:rFonts w:hint="eastAsia" w:ascii="宋体" w:hAnsi="宋体" w:cs="宋体"/>
                <w:color w:val="auto"/>
                <w:szCs w:val="21"/>
                <w:highlight w:val="none"/>
              </w:rPr>
              <w:t>《电动洗衣机能效水效限定值及等级》</w:t>
            </w:r>
            <w:r>
              <w:rPr>
                <w:rFonts w:ascii="宋体" w:hAnsi="宋体" w:cs="宋体"/>
                <w:color w:val="auto"/>
                <w:szCs w:val="21"/>
                <w:highlight w:val="none"/>
              </w:rPr>
              <w:t xml:space="preserve">  (GB 12021.4)</w:t>
            </w:r>
          </w:p>
        </w:tc>
      </w:tr>
      <w:tr w14:paraId="2B98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2BC78FA">
            <w:pPr>
              <w:spacing w:line="360" w:lineRule="auto"/>
              <w:rPr>
                <w:rFonts w:ascii="宋体" w:cs="宋体"/>
                <w:color w:val="auto"/>
                <w:szCs w:val="21"/>
                <w:highlight w:val="none"/>
              </w:rPr>
            </w:pPr>
          </w:p>
        </w:tc>
        <w:tc>
          <w:tcPr>
            <w:tcW w:w="813" w:type="pct"/>
            <w:vMerge w:val="continue"/>
          </w:tcPr>
          <w:p w14:paraId="0F951A8A">
            <w:pPr>
              <w:spacing w:line="360" w:lineRule="auto"/>
              <w:rPr>
                <w:rFonts w:ascii="宋体" w:cs="宋体"/>
                <w:color w:val="auto"/>
                <w:szCs w:val="21"/>
                <w:highlight w:val="none"/>
              </w:rPr>
            </w:pPr>
          </w:p>
        </w:tc>
        <w:tc>
          <w:tcPr>
            <w:tcW w:w="1071" w:type="pct"/>
            <w:vMerge w:val="restart"/>
          </w:tcPr>
          <w:p w14:paraId="379AF27B">
            <w:pPr>
              <w:spacing w:line="360" w:lineRule="auto"/>
              <w:rPr>
                <w:rFonts w:ascii="宋体" w:cs="宋体"/>
                <w:color w:val="auto"/>
                <w:szCs w:val="21"/>
                <w:highlight w:val="none"/>
              </w:rPr>
            </w:pPr>
          </w:p>
          <w:p w14:paraId="6EB94136">
            <w:pPr>
              <w:spacing w:line="360" w:lineRule="auto"/>
              <w:rPr>
                <w:rFonts w:ascii="宋体" w:cs="宋体"/>
                <w:color w:val="auto"/>
                <w:szCs w:val="21"/>
                <w:highlight w:val="none"/>
              </w:rPr>
            </w:pPr>
          </w:p>
          <w:p w14:paraId="410442EE">
            <w:pPr>
              <w:spacing w:line="360" w:lineRule="auto"/>
              <w:rPr>
                <w:rFonts w:ascii="宋体" w:cs="宋体"/>
                <w:color w:val="auto"/>
                <w:szCs w:val="21"/>
                <w:highlight w:val="none"/>
              </w:rPr>
            </w:pPr>
          </w:p>
          <w:p w14:paraId="24BE0A78">
            <w:pPr>
              <w:spacing w:line="360" w:lineRule="auto"/>
              <w:rPr>
                <w:rFonts w:ascii="宋体" w:cs="宋体"/>
                <w:color w:val="auto"/>
                <w:szCs w:val="21"/>
                <w:highlight w:val="none"/>
              </w:rPr>
            </w:pPr>
            <w:r>
              <w:rPr>
                <w:rFonts w:ascii="宋体" w:hAnsi="宋体" w:cs="宋体"/>
                <w:color w:val="auto"/>
                <w:szCs w:val="21"/>
                <w:highlight w:val="none"/>
              </w:rPr>
              <w:t>A02061808</w:t>
            </w:r>
            <w:r>
              <w:rPr>
                <w:rFonts w:hint="eastAsia" w:ascii="宋体" w:hAnsi="宋体" w:cs="宋体"/>
                <w:color w:val="auto"/>
                <w:szCs w:val="21"/>
                <w:highlight w:val="none"/>
              </w:rPr>
              <w:t>热水器</w:t>
            </w:r>
          </w:p>
        </w:tc>
        <w:tc>
          <w:tcPr>
            <w:tcW w:w="937" w:type="pct"/>
          </w:tcPr>
          <w:p w14:paraId="46FF95F9">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电热水器</w:t>
            </w:r>
          </w:p>
        </w:tc>
        <w:tc>
          <w:tcPr>
            <w:tcW w:w="1743" w:type="pct"/>
          </w:tcPr>
          <w:p w14:paraId="2CB4B42A">
            <w:pPr>
              <w:spacing w:line="360" w:lineRule="auto"/>
              <w:rPr>
                <w:rFonts w:ascii="宋体" w:cs="宋体"/>
                <w:color w:val="auto"/>
                <w:szCs w:val="21"/>
                <w:highlight w:val="none"/>
              </w:rPr>
            </w:pPr>
            <w:r>
              <w:rPr>
                <w:rFonts w:hint="eastAsia" w:ascii="宋体" w:hAnsi="宋体" w:cs="宋体"/>
                <w:color w:val="auto"/>
                <w:szCs w:val="21"/>
                <w:highlight w:val="none"/>
              </w:rPr>
              <w:t>《储水式电热水器能效限定值及能效等级》</w:t>
            </w:r>
            <w:r>
              <w:rPr>
                <w:rFonts w:ascii="宋体" w:hAnsi="宋体" w:cs="宋体"/>
                <w:color w:val="auto"/>
                <w:szCs w:val="21"/>
                <w:highlight w:val="none"/>
              </w:rPr>
              <w:t>(GB 21519)</w:t>
            </w:r>
          </w:p>
        </w:tc>
      </w:tr>
      <w:tr w14:paraId="6DF2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B5EA1F4">
            <w:pPr>
              <w:spacing w:line="360" w:lineRule="auto"/>
              <w:rPr>
                <w:rFonts w:ascii="宋体" w:cs="宋体"/>
                <w:color w:val="auto"/>
                <w:szCs w:val="21"/>
                <w:highlight w:val="none"/>
              </w:rPr>
            </w:pPr>
          </w:p>
        </w:tc>
        <w:tc>
          <w:tcPr>
            <w:tcW w:w="813" w:type="pct"/>
            <w:vMerge w:val="continue"/>
          </w:tcPr>
          <w:p w14:paraId="39326711">
            <w:pPr>
              <w:spacing w:line="360" w:lineRule="auto"/>
              <w:rPr>
                <w:rFonts w:ascii="宋体" w:cs="宋体"/>
                <w:color w:val="auto"/>
                <w:szCs w:val="21"/>
                <w:highlight w:val="none"/>
              </w:rPr>
            </w:pPr>
          </w:p>
        </w:tc>
        <w:tc>
          <w:tcPr>
            <w:tcW w:w="1071" w:type="pct"/>
            <w:vMerge w:val="continue"/>
          </w:tcPr>
          <w:p w14:paraId="68E48FF3">
            <w:pPr>
              <w:spacing w:line="360" w:lineRule="auto"/>
              <w:rPr>
                <w:rFonts w:ascii="宋体" w:cs="宋体"/>
                <w:color w:val="auto"/>
                <w:szCs w:val="21"/>
                <w:highlight w:val="none"/>
              </w:rPr>
            </w:pPr>
          </w:p>
        </w:tc>
        <w:tc>
          <w:tcPr>
            <w:tcW w:w="937" w:type="pct"/>
          </w:tcPr>
          <w:p w14:paraId="57930689">
            <w:pPr>
              <w:spacing w:line="360" w:lineRule="auto"/>
              <w:rPr>
                <w:rFonts w:ascii="宋体" w:cs="宋体"/>
                <w:color w:val="auto"/>
                <w:szCs w:val="21"/>
                <w:highlight w:val="none"/>
              </w:rPr>
            </w:pPr>
            <w:r>
              <w:rPr>
                <w:rFonts w:hint="eastAsia" w:ascii="宋体" w:hAnsi="宋体" w:cs="宋体"/>
                <w:color w:val="auto"/>
                <w:szCs w:val="21"/>
                <w:highlight w:val="none"/>
              </w:rPr>
              <w:t>燃气热水器</w:t>
            </w:r>
          </w:p>
        </w:tc>
        <w:tc>
          <w:tcPr>
            <w:tcW w:w="1743" w:type="pct"/>
          </w:tcPr>
          <w:p w14:paraId="3503AB52">
            <w:pPr>
              <w:spacing w:line="360" w:lineRule="auto"/>
              <w:rPr>
                <w:rFonts w:ascii="宋体" w:cs="宋体"/>
                <w:color w:val="auto"/>
                <w:szCs w:val="21"/>
                <w:highlight w:val="none"/>
              </w:rPr>
            </w:pPr>
            <w:r>
              <w:rPr>
                <w:rFonts w:hint="eastAsia" w:ascii="宋体" w:hAnsi="宋体" w:cs="宋体"/>
                <w:color w:val="auto"/>
                <w:szCs w:val="21"/>
                <w:highlight w:val="none"/>
              </w:rPr>
              <w:t>《家用燃气快速热水器和燃气采暖热水炉能效限定值及能效等级》</w:t>
            </w:r>
            <w:r>
              <w:rPr>
                <w:rFonts w:ascii="宋体" w:hAnsi="宋体" w:cs="宋体"/>
                <w:color w:val="auto"/>
                <w:szCs w:val="21"/>
                <w:highlight w:val="none"/>
              </w:rPr>
              <w:t xml:space="preserve"> (GB 20665)</w:t>
            </w:r>
          </w:p>
        </w:tc>
      </w:tr>
      <w:tr w14:paraId="11F8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3BC54E7">
            <w:pPr>
              <w:spacing w:line="360" w:lineRule="auto"/>
              <w:rPr>
                <w:rFonts w:ascii="宋体" w:cs="宋体"/>
                <w:color w:val="auto"/>
                <w:szCs w:val="21"/>
                <w:highlight w:val="none"/>
              </w:rPr>
            </w:pPr>
          </w:p>
        </w:tc>
        <w:tc>
          <w:tcPr>
            <w:tcW w:w="813" w:type="pct"/>
            <w:vMerge w:val="continue"/>
          </w:tcPr>
          <w:p w14:paraId="199A1AE3">
            <w:pPr>
              <w:spacing w:line="360" w:lineRule="auto"/>
              <w:rPr>
                <w:rFonts w:ascii="宋体" w:cs="宋体"/>
                <w:color w:val="auto"/>
                <w:szCs w:val="21"/>
                <w:highlight w:val="none"/>
              </w:rPr>
            </w:pPr>
          </w:p>
        </w:tc>
        <w:tc>
          <w:tcPr>
            <w:tcW w:w="1071" w:type="pct"/>
            <w:vMerge w:val="continue"/>
          </w:tcPr>
          <w:p w14:paraId="0214DBD7">
            <w:pPr>
              <w:spacing w:line="360" w:lineRule="auto"/>
              <w:rPr>
                <w:rFonts w:ascii="宋体" w:cs="宋体"/>
                <w:color w:val="auto"/>
                <w:szCs w:val="21"/>
                <w:highlight w:val="none"/>
              </w:rPr>
            </w:pPr>
          </w:p>
        </w:tc>
        <w:tc>
          <w:tcPr>
            <w:tcW w:w="937" w:type="pct"/>
          </w:tcPr>
          <w:p w14:paraId="214370C5">
            <w:pPr>
              <w:spacing w:line="360" w:lineRule="auto"/>
              <w:rPr>
                <w:rFonts w:ascii="宋体" w:cs="宋体"/>
                <w:color w:val="auto"/>
                <w:szCs w:val="21"/>
                <w:highlight w:val="none"/>
              </w:rPr>
            </w:pPr>
            <w:r>
              <w:rPr>
                <w:rFonts w:hint="eastAsia" w:ascii="宋体" w:hAnsi="宋体" w:cs="宋体"/>
                <w:color w:val="auto"/>
                <w:szCs w:val="21"/>
                <w:highlight w:val="none"/>
              </w:rPr>
              <w:t>热泵热水器</w:t>
            </w:r>
          </w:p>
        </w:tc>
        <w:tc>
          <w:tcPr>
            <w:tcW w:w="1743" w:type="pct"/>
          </w:tcPr>
          <w:p w14:paraId="04E4DBAA">
            <w:pPr>
              <w:spacing w:line="360" w:lineRule="auto"/>
              <w:rPr>
                <w:rFonts w:ascii="宋体" w:cs="宋体"/>
                <w:color w:val="auto"/>
                <w:szCs w:val="21"/>
                <w:highlight w:val="none"/>
              </w:rPr>
            </w:pPr>
            <w:r>
              <w:rPr>
                <w:rFonts w:hint="eastAsia" w:ascii="宋体" w:hAnsi="宋体" w:cs="宋体"/>
                <w:color w:val="auto"/>
                <w:szCs w:val="21"/>
                <w:highlight w:val="none"/>
              </w:rPr>
              <w:t>《热泵热水机</w:t>
            </w:r>
            <w:r>
              <w:rPr>
                <w:rFonts w:ascii="宋体" w:hAnsi="宋体" w:cs="宋体"/>
                <w:color w:val="auto"/>
                <w:szCs w:val="21"/>
                <w:highlight w:val="none"/>
              </w:rPr>
              <w:t>(</w:t>
            </w:r>
            <w:r>
              <w:rPr>
                <w:rFonts w:hint="eastAsia" w:ascii="宋体" w:hAnsi="宋体" w:cs="宋体"/>
                <w:color w:val="auto"/>
                <w:szCs w:val="21"/>
                <w:highlight w:val="none"/>
              </w:rPr>
              <w:t>器</w:t>
            </w:r>
            <w:r>
              <w:rPr>
                <w:rFonts w:ascii="宋体" w:hAnsi="宋体" w:cs="宋体"/>
                <w:color w:val="auto"/>
                <w:szCs w:val="21"/>
                <w:highlight w:val="none"/>
              </w:rPr>
              <w:t>)</w:t>
            </w:r>
            <w:r>
              <w:rPr>
                <w:rFonts w:hint="eastAsia" w:ascii="宋体" w:hAnsi="宋体" w:cs="宋体"/>
                <w:color w:val="auto"/>
                <w:szCs w:val="21"/>
                <w:highlight w:val="none"/>
              </w:rPr>
              <w:t>能效限定值及能效等级》</w:t>
            </w:r>
            <w:r>
              <w:rPr>
                <w:rFonts w:ascii="宋体" w:hAnsi="宋体" w:cs="宋体"/>
                <w:color w:val="auto"/>
                <w:szCs w:val="21"/>
                <w:highlight w:val="none"/>
              </w:rPr>
              <w:t xml:space="preserve"> (CB 29541)</w:t>
            </w:r>
          </w:p>
        </w:tc>
      </w:tr>
      <w:tr w14:paraId="0DC3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3912569">
            <w:pPr>
              <w:spacing w:line="360" w:lineRule="auto"/>
              <w:rPr>
                <w:rFonts w:ascii="宋体" w:cs="宋体"/>
                <w:color w:val="auto"/>
                <w:szCs w:val="21"/>
                <w:highlight w:val="none"/>
              </w:rPr>
            </w:pPr>
          </w:p>
        </w:tc>
        <w:tc>
          <w:tcPr>
            <w:tcW w:w="813" w:type="pct"/>
            <w:vMerge w:val="continue"/>
          </w:tcPr>
          <w:p w14:paraId="04BF9188">
            <w:pPr>
              <w:spacing w:line="360" w:lineRule="auto"/>
              <w:rPr>
                <w:rFonts w:ascii="宋体" w:cs="宋体"/>
                <w:color w:val="auto"/>
                <w:szCs w:val="21"/>
                <w:highlight w:val="none"/>
              </w:rPr>
            </w:pPr>
          </w:p>
        </w:tc>
        <w:tc>
          <w:tcPr>
            <w:tcW w:w="1071" w:type="pct"/>
            <w:vMerge w:val="continue"/>
          </w:tcPr>
          <w:p w14:paraId="183F412B">
            <w:pPr>
              <w:spacing w:line="360" w:lineRule="auto"/>
              <w:rPr>
                <w:rFonts w:ascii="宋体" w:cs="宋体"/>
                <w:color w:val="auto"/>
                <w:szCs w:val="21"/>
                <w:highlight w:val="none"/>
              </w:rPr>
            </w:pPr>
          </w:p>
        </w:tc>
        <w:tc>
          <w:tcPr>
            <w:tcW w:w="937" w:type="pct"/>
          </w:tcPr>
          <w:p w14:paraId="204DC7C5">
            <w:pPr>
              <w:spacing w:line="360" w:lineRule="auto"/>
              <w:rPr>
                <w:rFonts w:ascii="宋体" w:cs="宋体"/>
                <w:color w:val="auto"/>
                <w:szCs w:val="21"/>
                <w:highlight w:val="none"/>
              </w:rPr>
            </w:pPr>
            <w:r>
              <w:rPr>
                <w:rFonts w:hint="eastAsia" w:ascii="宋体" w:hAnsi="宋体" w:cs="宋体"/>
                <w:color w:val="auto"/>
                <w:szCs w:val="21"/>
                <w:highlight w:val="none"/>
              </w:rPr>
              <w:t>太阳能热水系统</w:t>
            </w:r>
          </w:p>
        </w:tc>
        <w:tc>
          <w:tcPr>
            <w:tcW w:w="1743" w:type="pct"/>
          </w:tcPr>
          <w:p w14:paraId="719D4E1F">
            <w:pPr>
              <w:spacing w:line="360" w:lineRule="auto"/>
              <w:rPr>
                <w:rFonts w:ascii="宋体" w:cs="宋体"/>
                <w:color w:val="auto"/>
                <w:szCs w:val="21"/>
                <w:highlight w:val="none"/>
              </w:rPr>
            </w:pPr>
            <w:r>
              <w:rPr>
                <w:rFonts w:hint="eastAsia" w:ascii="宋体" w:hAnsi="宋体" w:cs="宋体"/>
                <w:color w:val="auto"/>
                <w:szCs w:val="21"/>
                <w:highlight w:val="none"/>
              </w:rPr>
              <w:t>《家用太阳能热水系统能效限定值及能效等级》</w:t>
            </w:r>
            <w:r>
              <w:rPr>
                <w:rFonts w:ascii="宋体" w:hAnsi="宋体" w:cs="宋体"/>
                <w:color w:val="auto"/>
                <w:szCs w:val="21"/>
                <w:highlight w:val="none"/>
              </w:rPr>
              <w:t xml:space="preserve"> (GB 26969)</w:t>
            </w:r>
          </w:p>
        </w:tc>
      </w:tr>
      <w:tr w14:paraId="57C9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3" w:type="pct"/>
            <w:vMerge w:val="restart"/>
          </w:tcPr>
          <w:p w14:paraId="68DD0931">
            <w:pPr>
              <w:spacing w:line="360" w:lineRule="auto"/>
              <w:rPr>
                <w:rFonts w:ascii="宋体" w:cs="宋体"/>
                <w:color w:val="auto"/>
                <w:szCs w:val="21"/>
                <w:highlight w:val="none"/>
              </w:rPr>
            </w:pPr>
            <w:r>
              <w:rPr>
                <w:rFonts w:ascii="宋体" w:hAnsi="宋体" w:cs="宋体"/>
                <w:color w:val="auto"/>
                <w:szCs w:val="21"/>
                <w:highlight w:val="none"/>
              </w:rPr>
              <w:t>11</w:t>
            </w:r>
          </w:p>
        </w:tc>
        <w:tc>
          <w:tcPr>
            <w:tcW w:w="813" w:type="pct"/>
            <w:vMerge w:val="restart"/>
          </w:tcPr>
          <w:p w14:paraId="4E44D9E6">
            <w:pPr>
              <w:spacing w:line="360" w:lineRule="auto"/>
              <w:rPr>
                <w:rFonts w:ascii="宋体" w:cs="宋体"/>
                <w:color w:val="auto"/>
                <w:szCs w:val="21"/>
                <w:highlight w:val="none"/>
              </w:rPr>
            </w:pPr>
          </w:p>
          <w:p w14:paraId="208FC4E5">
            <w:pPr>
              <w:spacing w:line="360" w:lineRule="auto"/>
              <w:rPr>
                <w:rFonts w:ascii="宋体" w:cs="宋体"/>
                <w:color w:val="auto"/>
                <w:szCs w:val="21"/>
                <w:highlight w:val="none"/>
              </w:rPr>
            </w:pPr>
          </w:p>
          <w:p w14:paraId="3F678E3F">
            <w:pPr>
              <w:spacing w:line="360" w:lineRule="auto"/>
              <w:rPr>
                <w:rFonts w:ascii="宋体" w:cs="宋体"/>
                <w:color w:val="auto"/>
                <w:szCs w:val="21"/>
                <w:highlight w:val="none"/>
              </w:rPr>
            </w:pPr>
          </w:p>
          <w:p w14:paraId="7DF4DF27">
            <w:pPr>
              <w:spacing w:line="360" w:lineRule="auto"/>
              <w:rPr>
                <w:rFonts w:ascii="宋体" w:cs="宋体"/>
                <w:color w:val="auto"/>
                <w:szCs w:val="21"/>
                <w:highlight w:val="none"/>
              </w:rPr>
            </w:pPr>
            <w:r>
              <w:rPr>
                <w:rFonts w:ascii="宋体" w:hAnsi="宋体" w:cs="宋体"/>
                <w:color w:val="auto"/>
                <w:szCs w:val="21"/>
                <w:highlight w:val="none"/>
              </w:rPr>
              <w:t>A020619</w:t>
            </w:r>
            <w:r>
              <w:rPr>
                <w:rFonts w:hint="eastAsia" w:ascii="宋体" w:hAnsi="宋体" w:cs="宋体"/>
                <w:color w:val="auto"/>
                <w:szCs w:val="21"/>
                <w:highlight w:val="none"/>
              </w:rPr>
              <w:t>照明设备</w:t>
            </w:r>
          </w:p>
        </w:tc>
        <w:tc>
          <w:tcPr>
            <w:tcW w:w="1071" w:type="pct"/>
          </w:tcPr>
          <w:p w14:paraId="32C3F6C3">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普通照明用双瑞荧光灯</w:t>
            </w:r>
          </w:p>
        </w:tc>
        <w:tc>
          <w:tcPr>
            <w:tcW w:w="937" w:type="pct"/>
          </w:tcPr>
          <w:p w14:paraId="4571261D">
            <w:pPr>
              <w:spacing w:line="360" w:lineRule="auto"/>
              <w:rPr>
                <w:rFonts w:ascii="宋体" w:cs="宋体"/>
                <w:color w:val="auto"/>
                <w:szCs w:val="21"/>
                <w:highlight w:val="none"/>
              </w:rPr>
            </w:pPr>
          </w:p>
        </w:tc>
        <w:tc>
          <w:tcPr>
            <w:tcW w:w="1743" w:type="pct"/>
          </w:tcPr>
          <w:p w14:paraId="24CD914E">
            <w:pPr>
              <w:spacing w:line="360" w:lineRule="auto"/>
              <w:rPr>
                <w:rFonts w:ascii="宋体" w:cs="宋体"/>
                <w:color w:val="auto"/>
                <w:szCs w:val="21"/>
                <w:highlight w:val="none"/>
              </w:rPr>
            </w:pPr>
            <w:r>
              <w:rPr>
                <w:rFonts w:hint="eastAsia" w:ascii="宋体" w:hAnsi="宋体" w:cs="宋体"/>
                <w:color w:val="auto"/>
                <w:szCs w:val="21"/>
                <w:highlight w:val="none"/>
              </w:rPr>
              <w:t>《普通照明用双端荧光灯能效限定值及能效等级》</w:t>
            </w:r>
            <w:r>
              <w:rPr>
                <w:rFonts w:ascii="宋体" w:hAnsi="宋体" w:cs="宋体"/>
                <w:color w:val="auto"/>
                <w:szCs w:val="21"/>
                <w:highlight w:val="none"/>
              </w:rPr>
              <w:t>(GB 19043 )</w:t>
            </w:r>
          </w:p>
        </w:tc>
      </w:tr>
      <w:tr w14:paraId="4C2F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627C438">
            <w:pPr>
              <w:spacing w:line="360" w:lineRule="auto"/>
              <w:rPr>
                <w:rFonts w:ascii="宋体" w:cs="宋体"/>
                <w:color w:val="auto"/>
                <w:szCs w:val="21"/>
                <w:highlight w:val="none"/>
              </w:rPr>
            </w:pPr>
          </w:p>
        </w:tc>
        <w:tc>
          <w:tcPr>
            <w:tcW w:w="813" w:type="pct"/>
            <w:vMerge w:val="continue"/>
          </w:tcPr>
          <w:p w14:paraId="6E8307D5">
            <w:pPr>
              <w:spacing w:line="360" w:lineRule="auto"/>
              <w:rPr>
                <w:rFonts w:ascii="宋体" w:cs="宋体"/>
                <w:color w:val="auto"/>
                <w:szCs w:val="21"/>
                <w:highlight w:val="none"/>
              </w:rPr>
            </w:pPr>
          </w:p>
        </w:tc>
        <w:tc>
          <w:tcPr>
            <w:tcW w:w="1071" w:type="pct"/>
          </w:tcPr>
          <w:p w14:paraId="396F8A51">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道路</w:t>
            </w:r>
            <w:r>
              <w:rPr>
                <w:rFonts w:ascii="宋体" w:hAnsi="宋体" w:cs="宋体"/>
                <w:color w:val="auto"/>
                <w:szCs w:val="21"/>
                <w:highlight w:val="none"/>
              </w:rPr>
              <w:t>/</w:t>
            </w:r>
            <w:r>
              <w:rPr>
                <w:rFonts w:hint="eastAsia" w:ascii="宋体" w:hAnsi="宋体" w:cs="宋体"/>
                <w:color w:val="auto"/>
                <w:szCs w:val="21"/>
                <w:highlight w:val="none"/>
              </w:rPr>
              <w:t>隧道照明产品</w:t>
            </w:r>
          </w:p>
        </w:tc>
        <w:tc>
          <w:tcPr>
            <w:tcW w:w="937" w:type="pct"/>
          </w:tcPr>
          <w:p w14:paraId="5CDEA444">
            <w:pPr>
              <w:spacing w:line="360" w:lineRule="auto"/>
              <w:rPr>
                <w:rFonts w:ascii="宋体" w:cs="宋体"/>
                <w:color w:val="auto"/>
                <w:szCs w:val="21"/>
                <w:highlight w:val="none"/>
              </w:rPr>
            </w:pPr>
          </w:p>
        </w:tc>
        <w:tc>
          <w:tcPr>
            <w:tcW w:w="1743" w:type="pct"/>
          </w:tcPr>
          <w:p w14:paraId="199A5B63">
            <w:pPr>
              <w:spacing w:line="360" w:lineRule="auto"/>
              <w:rPr>
                <w:rFonts w:ascii="宋体" w:cs="宋体"/>
                <w:color w:val="auto"/>
                <w:szCs w:val="21"/>
                <w:highlight w:val="none"/>
              </w:rPr>
            </w:pPr>
            <w:r>
              <w:rPr>
                <w:rFonts w:hint="eastAsia" w:ascii="宋体" w:hAnsi="宋体" w:cs="宋体"/>
                <w:color w:val="auto"/>
                <w:szCs w:val="21"/>
                <w:highlight w:val="none"/>
              </w:rPr>
              <w:t>《道路和隧道照明用</w:t>
            </w:r>
            <w:r>
              <w:rPr>
                <w:rFonts w:ascii="宋体" w:hAnsi="宋体" w:cs="宋体"/>
                <w:color w:val="auto"/>
                <w:szCs w:val="21"/>
                <w:highlight w:val="none"/>
              </w:rPr>
              <w:t>LED</w:t>
            </w:r>
            <w:r>
              <w:rPr>
                <w:rFonts w:hint="eastAsia" w:ascii="宋体" w:hAnsi="宋体" w:cs="宋体"/>
                <w:color w:val="auto"/>
                <w:szCs w:val="21"/>
                <w:highlight w:val="none"/>
              </w:rPr>
              <w:t>灯具能效限定值及能效等级》</w:t>
            </w:r>
            <w:r>
              <w:rPr>
                <w:rFonts w:ascii="宋体" w:hAnsi="宋体" w:cs="宋体"/>
                <w:color w:val="auto"/>
                <w:szCs w:val="21"/>
                <w:highlight w:val="none"/>
              </w:rPr>
              <w:t>(GB37 478)</w:t>
            </w:r>
          </w:p>
        </w:tc>
      </w:tr>
      <w:tr w14:paraId="66A7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09F6B020">
            <w:pPr>
              <w:spacing w:line="360" w:lineRule="auto"/>
              <w:rPr>
                <w:rFonts w:ascii="宋体" w:cs="宋体"/>
                <w:color w:val="auto"/>
                <w:szCs w:val="21"/>
                <w:highlight w:val="none"/>
              </w:rPr>
            </w:pPr>
          </w:p>
        </w:tc>
        <w:tc>
          <w:tcPr>
            <w:tcW w:w="813" w:type="pct"/>
            <w:vMerge w:val="continue"/>
          </w:tcPr>
          <w:p w14:paraId="1B067CC0">
            <w:pPr>
              <w:spacing w:line="360" w:lineRule="auto"/>
              <w:rPr>
                <w:rFonts w:ascii="宋体" w:cs="宋体"/>
                <w:color w:val="auto"/>
                <w:szCs w:val="21"/>
                <w:highlight w:val="none"/>
              </w:rPr>
            </w:pPr>
          </w:p>
        </w:tc>
        <w:tc>
          <w:tcPr>
            <w:tcW w:w="1071" w:type="pct"/>
          </w:tcPr>
          <w:p w14:paraId="34502C05">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筒灯</w:t>
            </w:r>
          </w:p>
        </w:tc>
        <w:tc>
          <w:tcPr>
            <w:tcW w:w="937" w:type="pct"/>
          </w:tcPr>
          <w:p w14:paraId="67F17A55">
            <w:pPr>
              <w:spacing w:line="360" w:lineRule="auto"/>
              <w:rPr>
                <w:rFonts w:ascii="宋体" w:cs="宋体"/>
                <w:color w:val="auto"/>
                <w:szCs w:val="21"/>
                <w:highlight w:val="none"/>
              </w:rPr>
            </w:pPr>
          </w:p>
        </w:tc>
        <w:tc>
          <w:tcPr>
            <w:tcW w:w="1743" w:type="pct"/>
          </w:tcPr>
          <w:p w14:paraId="7EBA75C4">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 xml:space="preserve"> (GB 30255)</w:t>
            </w:r>
          </w:p>
        </w:tc>
      </w:tr>
      <w:tr w14:paraId="45FC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3" w:type="pct"/>
            <w:vMerge w:val="continue"/>
          </w:tcPr>
          <w:p w14:paraId="701B0EAE">
            <w:pPr>
              <w:spacing w:line="360" w:lineRule="auto"/>
              <w:rPr>
                <w:rFonts w:ascii="宋体" w:cs="宋体"/>
                <w:color w:val="auto"/>
                <w:szCs w:val="21"/>
                <w:highlight w:val="none"/>
              </w:rPr>
            </w:pPr>
          </w:p>
        </w:tc>
        <w:tc>
          <w:tcPr>
            <w:tcW w:w="813" w:type="pct"/>
            <w:vMerge w:val="continue"/>
          </w:tcPr>
          <w:p w14:paraId="07BCAA22">
            <w:pPr>
              <w:spacing w:line="360" w:lineRule="auto"/>
              <w:rPr>
                <w:rFonts w:ascii="宋体" w:cs="宋体"/>
                <w:color w:val="auto"/>
                <w:szCs w:val="21"/>
                <w:highlight w:val="none"/>
              </w:rPr>
            </w:pPr>
          </w:p>
        </w:tc>
        <w:tc>
          <w:tcPr>
            <w:tcW w:w="1071" w:type="pct"/>
            <w:vMerge w:val="restart"/>
          </w:tcPr>
          <w:p w14:paraId="24DE8CB8">
            <w:pPr>
              <w:spacing w:line="360" w:lineRule="auto"/>
              <w:rPr>
                <w:rFonts w:ascii="宋体" w:cs="宋体"/>
                <w:color w:val="auto"/>
                <w:szCs w:val="21"/>
                <w:highlight w:val="none"/>
              </w:rPr>
            </w:pPr>
            <w:r>
              <w:rPr>
                <w:rFonts w:hint="eastAsia" w:ascii="宋体" w:hAnsi="宋体" w:cs="宋体"/>
                <w:color w:val="auto"/>
                <w:szCs w:val="21"/>
                <w:highlight w:val="none"/>
              </w:rPr>
              <w:t>普通照明用非定向自镇流</w:t>
            </w:r>
            <w:r>
              <w:rPr>
                <w:rFonts w:ascii="宋体" w:hAnsi="宋体" w:cs="宋体"/>
                <w:color w:val="auto"/>
                <w:szCs w:val="21"/>
                <w:highlight w:val="none"/>
              </w:rPr>
              <w:t>LED</w:t>
            </w:r>
            <w:r>
              <w:rPr>
                <w:rFonts w:hint="eastAsia" w:ascii="宋体" w:hAnsi="宋体" w:cs="宋体"/>
                <w:color w:val="auto"/>
                <w:szCs w:val="21"/>
                <w:highlight w:val="none"/>
              </w:rPr>
              <w:t>灯</w:t>
            </w:r>
          </w:p>
          <w:p w14:paraId="13107248">
            <w:pPr>
              <w:spacing w:line="360" w:lineRule="auto"/>
              <w:rPr>
                <w:rFonts w:ascii="宋体" w:cs="宋体"/>
                <w:color w:val="auto"/>
                <w:szCs w:val="21"/>
                <w:highlight w:val="none"/>
              </w:rPr>
            </w:pPr>
            <w:r>
              <w:rPr>
                <w:rFonts w:ascii="宋体" w:hAnsi="宋体" w:cs="宋体"/>
                <w:color w:val="auto"/>
                <w:szCs w:val="21"/>
                <w:highlight w:val="none"/>
              </w:rPr>
              <w:t xml:space="preserve">A02091001 </w:t>
            </w:r>
            <w:r>
              <w:rPr>
                <w:rFonts w:hint="eastAsia" w:ascii="宋体" w:hAnsi="宋体" w:cs="宋体"/>
                <w:color w:val="auto"/>
                <w:szCs w:val="21"/>
                <w:highlight w:val="none"/>
              </w:rPr>
              <w:t>普通电视设备</w:t>
            </w:r>
            <w:r>
              <w:rPr>
                <w:rFonts w:ascii="宋体" w:hAnsi="宋体" w:cs="宋体"/>
                <w:color w:val="auto"/>
                <w:szCs w:val="21"/>
                <w:highlight w:val="none"/>
              </w:rPr>
              <w:t>(</w:t>
            </w:r>
            <w:r>
              <w:rPr>
                <w:rFonts w:hint="eastAsia" w:ascii="宋体" w:hAnsi="宋体" w:cs="宋体"/>
                <w:color w:val="auto"/>
                <w:szCs w:val="21"/>
                <w:highlight w:val="none"/>
              </w:rPr>
              <w:t>电视机</w:t>
            </w:r>
            <w:r>
              <w:rPr>
                <w:rFonts w:ascii="宋体" w:hAnsi="宋体" w:cs="宋体"/>
                <w:color w:val="auto"/>
                <w:szCs w:val="21"/>
                <w:highlight w:val="none"/>
              </w:rPr>
              <w:t>)</w:t>
            </w:r>
          </w:p>
        </w:tc>
        <w:tc>
          <w:tcPr>
            <w:tcW w:w="937" w:type="pct"/>
          </w:tcPr>
          <w:p w14:paraId="3CBF2DED">
            <w:pPr>
              <w:spacing w:line="360" w:lineRule="auto"/>
              <w:rPr>
                <w:rFonts w:ascii="宋体" w:cs="宋体"/>
                <w:color w:val="auto"/>
                <w:szCs w:val="21"/>
                <w:highlight w:val="none"/>
              </w:rPr>
            </w:pPr>
          </w:p>
        </w:tc>
        <w:tc>
          <w:tcPr>
            <w:tcW w:w="1743" w:type="pct"/>
          </w:tcPr>
          <w:p w14:paraId="64DB7AEA">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(GB 30255)</w:t>
            </w:r>
          </w:p>
        </w:tc>
      </w:tr>
      <w:tr w14:paraId="1297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0955BABF">
            <w:pPr>
              <w:spacing w:line="360" w:lineRule="auto"/>
              <w:rPr>
                <w:rFonts w:ascii="宋体" w:cs="宋体"/>
                <w:color w:val="auto"/>
                <w:szCs w:val="21"/>
                <w:highlight w:val="none"/>
              </w:rPr>
            </w:pPr>
            <w:r>
              <w:rPr>
                <w:rFonts w:ascii="宋体" w:hAnsi="宋体" w:cs="宋体"/>
                <w:color w:val="auto"/>
                <w:szCs w:val="21"/>
                <w:highlight w:val="none"/>
              </w:rPr>
              <w:t>12</w:t>
            </w:r>
          </w:p>
        </w:tc>
        <w:tc>
          <w:tcPr>
            <w:tcW w:w="813" w:type="pct"/>
          </w:tcPr>
          <w:p w14:paraId="3181FCCA">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A020910</w:t>
            </w:r>
            <w:r>
              <w:rPr>
                <w:rFonts w:hint="eastAsia" w:ascii="宋体" w:hAnsi="宋体" w:cs="宋体"/>
                <w:color w:val="auto"/>
                <w:szCs w:val="21"/>
                <w:highlight w:val="none"/>
              </w:rPr>
              <w:t>电视设备</w:t>
            </w:r>
          </w:p>
        </w:tc>
        <w:tc>
          <w:tcPr>
            <w:tcW w:w="1071" w:type="pct"/>
            <w:vMerge w:val="continue"/>
          </w:tcPr>
          <w:p w14:paraId="4FEE8BFB">
            <w:pPr>
              <w:spacing w:line="360" w:lineRule="auto"/>
              <w:rPr>
                <w:rFonts w:ascii="宋体" w:cs="宋体"/>
                <w:color w:val="auto"/>
                <w:szCs w:val="21"/>
                <w:highlight w:val="none"/>
              </w:rPr>
            </w:pPr>
          </w:p>
        </w:tc>
        <w:tc>
          <w:tcPr>
            <w:tcW w:w="937" w:type="pct"/>
          </w:tcPr>
          <w:p w14:paraId="52D102C9">
            <w:pPr>
              <w:spacing w:line="360" w:lineRule="auto"/>
              <w:rPr>
                <w:rFonts w:ascii="宋体" w:cs="宋体"/>
                <w:color w:val="auto"/>
                <w:szCs w:val="21"/>
                <w:highlight w:val="none"/>
              </w:rPr>
            </w:pPr>
          </w:p>
        </w:tc>
        <w:tc>
          <w:tcPr>
            <w:tcW w:w="1743" w:type="pct"/>
          </w:tcPr>
          <w:p w14:paraId="45633074">
            <w:pPr>
              <w:spacing w:line="360" w:lineRule="auto"/>
              <w:rPr>
                <w:rFonts w:ascii="宋体" w:cs="宋体"/>
                <w:color w:val="auto"/>
                <w:szCs w:val="21"/>
                <w:highlight w:val="none"/>
              </w:rPr>
            </w:pPr>
            <w:r>
              <w:rPr>
                <w:rFonts w:hint="eastAsia" w:ascii="宋体" w:hAnsi="宋体" w:cs="宋体"/>
                <w:color w:val="auto"/>
                <w:szCs w:val="21"/>
                <w:highlight w:val="none"/>
              </w:rPr>
              <w:t>《平板电视能效限定值及能效等级》</w:t>
            </w:r>
            <w:r>
              <w:rPr>
                <w:rFonts w:ascii="宋体" w:hAnsi="宋体" w:cs="宋体"/>
                <w:color w:val="auto"/>
                <w:szCs w:val="21"/>
                <w:highlight w:val="none"/>
              </w:rPr>
              <w:t>(GB 24850)</w:t>
            </w:r>
          </w:p>
        </w:tc>
      </w:tr>
      <w:tr w14:paraId="30F2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6100C966">
            <w:pPr>
              <w:spacing w:line="360" w:lineRule="auto"/>
              <w:rPr>
                <w:rFonts w:ascii="宋体" w:cs="宋体"/>
                <w:color w:val="auto"/>
                <w:szCs w:val="21"/>
                <w:highlight w:val="none"/>
              </w:rPr>
            </w:pPr>
            <w:r>
              <w:rPr>
                <w:rFonts w:ascii="宋体" w:hAnsi="宋体" w:cs="宋体"/>
                <w:color w:val="auto"/>
                <w:szCs w:val="21"/>
                <w:highlight w:val="none"/>
              </w:rPr>
              <w:t>13</w:t>
            </w:r>
          </w:p>
        </w:tc>
        <w:tc>
          <w:tcPr>
            <w:tcW w:w="813" w:type="pct"/>
            <w:vMerge w:val="restart"/>
          </w:tcPr>
          <w:p w14:paraId="5F087626">
            <w:pPr>
              <w:spacing w:line="360" w:lineRule="auto"/>
              <w:rPr>
                <w:rFonts w:ascii="宋体" w:cs="宋体"/>
                <w:color w:val="auto"/>
                <w:szCs w:val="21"/>
                <w:highlight w:val="none"/>
              </w:rPr>
            </w:pPr>
          </w:p>
          <w:p w14:paraId="2C3C32AA">
            <w:pPr>
              <w:spacing w:line="360" w:lineRule="auto"/>
              <w:rPr>
                <w:rFonts w:ascii="宋体" w:cs="宋体"/>
                <w:color w:val="auto"/>
                <w:szCs w:val="21"/>
                <w:highlight w:val="none"/>
              </w:rPr>
            </w:pPr>
          </w:p>
          <w:p w14:paraId="791DCA77">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A020911</w:t>
            </w:r>
            <w:r>
              <w:rPr>
                <w:rFonts w:hint="eastAsia" w:ascii="宋体" w:hAnsi="宋体" w:cs="宋体"/>
                <w:color w:val="auto"/>
                <w:szCs w:val="21"/>
                <w:highlight w:val="none"/>
              </w:rPr>
              <w:t>视颇设备</w:t>
            </w:r>
          </w:p>
          <w:p w14:paraId="5CB76412">
            <w:pPr>
              <w:spacing w:line="360" w:lineRule="auto"/>
              <w:rPr>
                <w:rFonts w:ascii="宋体" w:cs="宋体"/>
                <w:color w:val="auto"/>
                <w:szCs w:val="21"/>
                <w:highlight w:val="none"/>
              </w:rPr>
            </w:pPr>
          </w:p>
          <w:p w14:paraId="39EFD28D">
            <w:pPr>
              <w:spacing w:line="360" w:lineRule="auto"/>
              <w:rPr>
                <w:rFonts w:ascii="宋体" w:cs="宋体"/>
                <w:color w:val="auto"/>
                <w:szCs w:val="21"/>
                <w:highlight w:val="none"/>
              </w:rPr>
            </w:pPr>
          </w:p>
          <w:p w14:paraId="3C268A0F">
            <w:pPr>
              <w:spacing w:line="360" w:lineRule="auto"/>
              <w:rPr>
                <w:rFonts w:ascii="宋体" w:cs="宋体"/>
                <w:color w:val="auto"/>
                <w:szCs w:val="21"/>
                <w:highlight w:val="none"/>
              </w:rPr>
            </w:pPr>
            <w:r>
              <w:rPr>
                <w:rFonts w:ascii="宋体" w:hAnsi="宋体" w:cs="宋体"/>
                <w:color w:val="auto"/>
                <w:szCs w:val="21"/>
                <w:highlight w:val="none"/>
              </w:rPr>
              <w:t>A031210</w:t>
            </w:r>
            <w:r>
              <w:rPr>
                <w:rFonts w:hint="eastAsia" w:ascii="宋体" w:hAnsi="宋体" w:cs="宋体"/>
                <w:color w:val="auto"/>
                <w:szCs w:val="21"/>
                <w:highlight w:val="none"/>
              </w:rPr>
              <w:t>饮食故事机械</w:t>
            </w:r>
          </w:p>
        </w:tc>
        <w:tc>
          <w:tcPr>
            <w:tcW w:w="1071" w:type="pct"/>
          </w:tcPr>
          <w:p w14:paraId="283074DE">
            <w:pPr>
              <w:spacing w:line="360" w:lineRule="auto"/>
              <w:rPr>
                <w:rFonts w:ascii="宋体" w:cs="宋体"/>
                <w:color w:val="auto"/>
                <w:szCs w:val="21"/>
                <w:highlight w:val="none"/>
              </w:rPr>
            </w:pPr>
          </w:p>
          <w:p w14:paraId="266BE134">
            <w:pPr>
              <w:spacing w:line="360" w:lineRule="auto"/>
              <w:rPr>
                <w:rFonts w:ascii="宋体" w:cs="宋体"/>
                <w:color w:val="auto"/>
                <w:szCs w:val="21"/>
                <w:highlight w:val="none"/>
              </w:rPr>
            </w:pPr>
          </w:p>
          <w:p w14:paraId="37E0CE4F">
            <w:pPr>
              <w:spacing w:line="360" w:lineRule="auto"/>
              <w:rPr>
                <w:rFonts w:ascii="宋体" w:cs="宋体"/>
                <w:color w:val="auto"/>
                <w:szCs w:val="21"/>
                <w:highlight w:val="none"/>
              </w:rPr>
            </w:pPr>
            <w:r>
              <w:rPr>
                <w:rFonts w:ascii="宋体" w:hAnsi="宋体" w:cs="宋体"/>
                <w:color w:val="auto"/>
                <w:szCs w:val="21"/>
                <w:highlight w:val="none"/>
              </w:rPr>
              <w:t>A02091107</w:t>
            </w:r>
            <w:r>
              <w:rPr>
                <w:rFonts w:hint="eastAsia" w:ascii="宋体" w:hAnsi="宋体" w:cs="宋体"/>
                <w:color w:val="auto"/>
                <w:szCs w:val="21"/>
                <w:highlight w:val="none"/>
              </w:rPr>
              <w:t>视颊监控设备</w:t>
            </w:r>
          </w:p>
        </w:tc>
        <w:tc>
          <w:tcPr>
            <w:tcW w:w="937" w:type="pct"/>
          </w:tcPr>
          <w:p w14:paraId="598EB492">
            <w:pPr>
              <w:spacing w:line="360" w:lineRule="auto"/>
              <w:rPr>
                <w:rFonts w:ascii="宋体" w:cs="宋体"/>
                <w:color w:val="auto"/>
                <w:szCs w:val="21"/>
                <w:highlight w:val="none"/>
              </w:rPr>
            </w:pPr>
          </w:p>
        </w:tc>
        <w:tc>
          <w:tcPr>
            <w:tcW w:w="1743" w:type="pct"/>
          </w:tcPr>
          <w:p w14:paraId="7783B3F8">
            <w:pPr>
              <w:spacing w:line="360" w:lineRule="auto"/>
              <w:rPr>
                <w:rFonts w:ascii="宋体" w:cs="宋体"/>
                <w:color w:val="auto"/>
                <w:szCs w:val="21"/>
                <w:highlight w:val="none"/>
              </w:rPr>
            </w:pPr>
            <w:r>
              <w:rPr>
                <w:rFonts w:hint="eastAsia" w:ascii="宋体" w:hAnsi="宋体" w:cs="宋体"/>
                <w:color w:val="auto"/>
                <w:szCs w:val="21"/>
                <w:highlight w:val="none"/>
              </w:rPr>
              <w:t>以射频信号为主要信号输入的监视器应符合《平板电视能效限定值及能效等级》</w:t>
            </w:r>
            <w:r>
              <w:rPr>
                <w:rFonts w:ascii="宋体" w:hAnsi="宋体" w:cs="宋体"/>
                <w:color w:val="auto"/>
                <w:szCs w:val="21"/>
                <w:highlight w:val="none"/>
              </w:rPr>
              <w:t xml:space="preserve"> (GB 24850) </w:t>
            </w:r>
            <w:r>
              <w:rPr>
                <w:rFonts w:hint="eastAsia" w:ascii="宋体" w:hAnsi="宋体" w:cs="宋体"/>
                <w:color w:val="auto"/>
                <w:szCs w:val="21"/>
                <w:highlight w:val="none"/>
              </w:rPr>
              <w:t>，</w:t>
            </w:r>
          </w:p>
          <w:p w14:paraId="781271BC">
            <w:pPr>
              <w:spacing w:line="360" w:lineRule="auto"/>
              <w:rPr>
                <w:rFonts w:ascii="宋体" w:cs="宋体"/>
                <w:color w:val="auto"/>
                <w:szCs w:val="21"/>
                <w:highlight w:val="none"/>
              </w:rPr>
            </w:pPr>
            <w:r>
              <w:rPr>
                <w:rFonts w:hint="eastAsia" w:ascii="宋体" w:hAnsi="宋体" w:cs="宋体"/>
                <w:color w:val="auto"/>
                <w:szCs w:val="21"/>
                <w:highlight w:val="none"/>
              </w:rPr>
              <w:t>以数字信号为主要信号输入的监视器应符合《计算机显示器能效限定值及能效等级》</w:t>
            </w:r>
            <w:r>
              <w:rPr>
                <w:rFonts w:ascii="宋体" w:hAnsi="宋体" w:cs="宋体"/>
                <w:color w:val="auto"/>
                <w:szCs w:val="21"/>
                <w:highlight w:val="none"/>
              </w:rPr>
              <w:t>(GB 21520 )</w:t>
            </w:r>
          </w:p>
        </w:tc>
      </w:tr>
      <w:tr w14:paraId="2846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55D84DA7">
            <w:pPr>
              <w:spacing w:line="360" w:lineRule="auto"/>
              <w:rPr>
                <w:rFonts w:ascii="宋体" w:cs="宋体"/>
                <w:color w:val="auto"/>
                <w:szCs w:val="21"/>
                <w:highlight w:val="none"/>
              </w:rPr>
            </w:pPr>
            <w:r>
              <w:rPr>
                <w:rFonts w:ascii="宋体" w:hAnsi="宋体" w:cs="宋体"/>
                <w:color w:val="auto"/>
                <w:szCs w:val="21"/>
                <w:highlight w:val="none"/>
              </w:rPr>
              <w:t>14</w:t>
            </w:r>
          </w:p>
        </w:tc>
        <w:tc>
          <w:tcPr>
            <w:tcW w:w="813" w:type="pct"/>
            <w:vMerge w:val="continue"/>
          </w:tcPr>
          <w:p w14:paraId="7CD7142E">
            <w:pPr>
              <w:spacing w:line="360" w:lineRule="auto"/>
              <w:rPr>
                <w:rFonts w:ascii="宋体" w:cs="宋体"/>
                <w:color w:val="auto"/>
                <w:szCs w:val="21"/>
                <w:highlight w:val="none"/>
              </w:rPr>
            </w:pPr>
          </w:p>
        </w:tc>
        <w:tc>
          <w:tcPr>
            <w:tcW w:w="1071" w:type="pct"/>
          </w:tcPr>
          <w:p w14:paraId="51409055">
            <w:pPr>
              <w:spacing w:line="360" w:lineRule="auto"/>
              <w:rPr>
                <w:rFonts w:ascii="宋体" w:cs="宋体"/>
                <w:color w:val="auto"/>
                <w:szCs w:val="21"/>
                <w:highlight w:val="none"/>
              </w:rPr>
            </w:pPr>
          </w:p>
          <w:p w14:paraId="07A4B1E4">
            <w:pPr>
              <w:spacing w:line="360" w:lineRule="auto"/>
              <w:rPr>
                <w:rFonts w:ascii="宋体" w:cs="宋体"/>
                <w:color w:val="auto"/>
                <w:szCs w:val="21"/>
                <w:highlight w:val="none"/>
              </w:rPr>
            </w:pPr>
            <w:r>
              <w:rPr>
                <w:rFonts w:hint="eastAsia" w:ascii="宋体" w:hAnsi="宋体" w:cs="宋体"/>
                <w:color w:val="auto"/>
                <w:szCs w:val="21"/>
                <w:highlight w:val="none"/>
              </w:rPr>
              <w:t>商用燃气灶具</w:t>
            </w:r>
          </w:p>
        </w:tc>
        <w:tc>
          <w:tcPr>
            <w:tcW w:w="937" w:type="pct"/>
          </w:tcPr>
          <w:p w14:paraId="31DDA543">
            <w:pPr>
              <w:spacing w:line="360" w:lineRule="auto"/>
              <w:rPr>
                <w:rFonts w:ascii="宋体" w:cs="宋体"/>
                <w:color w:val="auto"/>
                <w:szCs w:val="21"/>
                <w:highlight w:val="none"/>
              </w:rPr>
            </w:pPr>
          </w:p>
        </w:tc>
        <w:tc>
          <w:tcPr>
            <w:tcW w:w="1743" w:type="pct"/>
          </w:tcPr>
          <w:p w14:paraId="2BF72973">
            <w:pPr>
              <w:spacing w:line="360" w:lineRule="auto"/>
              <w:rPr>
                <w:rFonts w:ascii="宋体" w:cs="宋体"/>
                <w:color w:val="auto"/>
                <w:szCs w:val="21"/>
                <w:highlight w:val="none"/>
              </w:rPr>
            </w:pPr>
            <w:r>
              <w:rPr>
                <w:rFonts w:hint="eastAsia" w:ascii="宋体" w:hAnsi="宋体" w:cs="宋体"/>
                <w:color w:val="auto"/>
                <w:szCs w:val="21"/>
                <w:highlight w:val="none"/>
              </w:rPr>
              <w:t>《商用燃气灶具能效限定值及能</w:t>
            </w:r>
            <w:r>
              <w:rPr>
                <w:rFonts w:ascii="宋体" w:hAnsi="宋体" w:cs="宋体"/>
                <w:color w:val="auto"/>
                <w:szCs w:val="21"/>
                <w:highlight w:val="none"/>
              </w:rPr>
              <w:t xml:space="preserve"> </w:t>
            </w:r>
            <w:r>
              <w:rPr>
                <w:rFonts w:hint="eastAsia" w:ascii="宋体" w:hAnsi="宋体" w:cs="宋体"/>
                <w:color w:val="auto"/>
                <w:szCs w:val="21"/>
                <w:highlight w:val="none"/>
              </w:rPr>
              <w:t>效等级》</w:t>
            </w:r>
            <w:r>
              <w:rPr>
                <w:rFonts w:ascii="宋体" w:hAnsi="宋体" w:cs="宋体"/>
                <w:color w:val="auto"/>
                <w:szCs w:val="21"/>
                <w:highlight w:val="none"/>
              </w:rPr>
              <w:t>(GB 30531 )</w:t>
            </w:r>
          </w:p>
        </w:tc>
      </w:tr>
      <w:tr w14:paraId="2D04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3" w:type="pct"/>
            <w:vMerge w:val="restart"/>
          </w:tcPr>
          <w:p w14:paraId="1BD1A162">
            <w:pPr>
              <w:spacing w:line="360" w:lineRule="auto"/>
              <w:rPr>
                <w:rFonts w:ascii="宋体" w:cs="宋体"/>
                <w:color w:val="auto"/>
                <w:szCs w:val="21"/>
                <w:highlight w:val="none"/>
              </w:rPr>
            </w:pPr>
            <w:r>
              <w:rPr>
                <w:rFonts w:ascii="宋体" w:hAnsi="宋体" w:cs="宋体"/>
                <w:color w:val="auto"/>
                <w:szCs w:val="21"/>
                <w:highlight w:val="none"/>
              </w:rPr>
              <w:t>15</w:t>
            </w:r>
          </w:p>
        </w:tc>
        <w:tc>
          <w:tcPr>
            <w:tcW w:w="813" w:type="pct"/>
            <w:vMerge w:val="restart"/>
          </w:tcPr>
          <w:p w14:paraId="27F6A8F7">
            <w:pPr>
              <w:spacing w:line="360" w:lineRule="auto"/>
              <w:rPr>
                <w:rFonts w:ascii="宋体" w:cs="宋体"/>
                <w:color w:val="auto"/>
                <w:szCs w:val="21"/>
                <w:highlight w:val="none"/>
              </w:rPr>
            </w:pPr>
          </w:p>
          <w:p w14:paraId="6A467466">
            <w:pPr>
              <w:spacing w:line="360" w:lineRule="auto"/>
              <w:rPr>
                <w:rFonts w:ascii="宋体" w:cs="宋体"/>
                <w:color w:val="auto"/>
                <w:szCs w:val="21"/>
                <w:highlight w:val="none"/>
              </w:rPr>
            </w:pPr>
          </w:p>
          <w:p w14:paraId="5D85949D">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A060805</w:t>
            </w:r>
            <w:r>
              <w:rPr>
                <w:rFonts w:hint="eastAsia" w:ascii="宋体" w:hAnsi="宋体" w:cs="宋体"/>
                <w:color w:val="auto"/>
                <w:szCs w:val="21"/>
                <w:highlight w:val="none"/>
              </w:rPr>
              <w:t>便器</w:t>
            </w:r>
          </w:p>
        </w:tc>
        <w:tc>
          <w:tcPr>
            <w:tcW w:w="1071" w:type="pct"/>
          </w:tcPr>
          <w:p w14:paraId="68F41052">
            <w:pPr>
              <w:spacing w:line="360" w:lineRule="auto"/>
              <w:rPr>
                <w:rFonts w:ascii="宋体" w:cs="宋体"/>
                <w:color w:val="auto"/>
                <w:szCs w:val="21"/>
                <w:highlight w:val="none"/>
              </w:rPr>
            </w:pPr>
            <w:r>
              <w:rPr>
                <w:rFonts w:hint="eastAsia" w:ascii="宋体" w:hAnsi="宋体" w:cs="宋体"/>
                <w:color w:val="auto"/>
                <w:szCs w:val="21"/>
                <w:highlight w:val="none"/>
              </w:rPr>
              <w:t>坐便器</w:t>
            </w:r>
          </w:p>
        </w:tc>
        <w:tc>
          <w:tcPr>
            <w:tcW w:w="937" w:type="pct"/>
          </w:tcPr>
          <w:p w14:paraId="7FE7044E">
            <w:pPr>
              <w:spacing w:line="360" w:lineRule="auto"/>
              <w:rPr>
                <w:rFonts w:ascii="宋体" w:cs="宋体"/>
                <w:color w:val="auto"/>
                <w:szCs w:val="21"/>
                <w:highlight w:val="none"/>
              </w:rPr>
            </w:pPr>
          </w:p>
        </w:tc>
        <w:tc>
          <w:tcPr>
            <w:tcW w:w="1743" w:type="pct"/>
          </w:tcPr>
          <w:p w14:paraId="548DF683">
            <w:pPr>
              <w:spacing w:line="360" w:lineRule="auto"/>
              <w:rPr>
                <w:rFonts w:ascii="宋体" w:cs="宋体"/>
                <w:color w:val="auto"/>
                <w:szCs w:val="21"/>
                <w:highlight w:val="none"/>
              </w:rPr>
            </w:pPr>
            <w:r>
              <w:rPr>
                <w:rFonts w:hint="eastAsia" w:ascii="宋体" w:hAnsi="宋体" w:cs="宋体"/>
                <w:color w:val="auto"/>
                <w:szCs w:val="21"/>
                <w:highlight w:val="none"/>
              </w:rPr>
              <w:t>《坐便器水效限定值及水效等级》</w:t>
            </w:r>
            <w:r>
              <w:rPr>
                <w:rFonts w:ascii="宋体" w:hAnsi="宋体" w:cs="宋体"/>
                <w:color w:val="auto"/>
                <w:szCs w:val="21"/>
                <w:highlight w:val="none"/>
              </w:rPr>
              <w:t xml:space="preserve">      (GB 25502)</w:t>
            </w:r>
          </w:p>
        </w:tc>
      </w:tr>
      <w:tr w14:paraId="7691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89ED54C">
            <w:pPr>
              <w:spacing w:line="360" w:lineRule="auto"/>
              <w:rPr>
                <w:rFonts w:ascii="宋体" w:cs="宋体"/>
                <w:color w:val="auto"/>
                <w:szCs w:val="21"/>
                <w:highlight w:val="none"/>
              </w:rPr>
            </w:pPr>
          </w:p>
        </w:tc>
        <w:tc>
          <w:tcPr>
            <w:tcW w:w="813" w:type="pct"/>
            <w:vMerge w:val="continue"/>
          </w:tcPr>
          <w:p w14:paraId="1C4E02C7">
            <w:pPr>
              <w:spacing w:line="360" w:lineRule="auto"/>
              <w:rPr>
                <w:rFonts w:ascii="宋体" w:cs="宋体"/>
                <w:color w:val="auto"/>
                <w:szCs w:val="21"/>
                <w:highlight w:val="none"/>
              </w:rPr>
            </w:pPr>
          </w:p>
        </w:tc>
        <w:tc>
          <w:tcPr>
            <w:tcW w:w="1071" w:type="pct"/>
          </w:tcPr>
          <w:p w14:paraId="5114F22B">
            <w:pPr>
              <w:spacing w:line="360" w:lineRule="auto"/>
              <w:rPr>
                <w:rFonts w:ascii="宋体" w:cs="宋体"/>
                <w:color w:val="auto"/>
                <w:szCs w:val="21"/>
                <w:highlight w:val="none"/>
              </w:rPr>
            </w:pPr>
            <w:r>
              <w:rPr>
                <w:rFonts w:hint="eastAsia" w:ascii="宋体" w:hAnsi="宋体" w:cs="宋体"/>
                <w:color w:val="auto"/>
                <w:szCs w:val="21"/>
                <w:highlight w:val="none"/>
              </w:rPr>
              <w:t>蹲便器</w:t>
            </w:r>
          </w:p>
        </w:tc>
        <w:tc>
          <w:tcPr>
            <w:tcW w:w="937" w:type="pct"/>
          </w:tcPr>
          <w:p w14:paraId="7D52468B">
            <w:pPr>
              <w:spacing w:line="360" w:lineRule="auto"/>
              <w:rPr>
                <w:rFonts w:ascii="宋体" w:cs="宋体"/>
                <w:color w:val="auto"/>
                <w:szCs w:val="21"/>
                <w:highlight w:val="none"/>
              </w:rPr>
            </w:pPr>
          </w:p>
        </w:tc>
        <w:tc>
          <w:tcPr>
            <w:tcW w:w="1743" w:type="pct"/>
          </w:tcPr>
          <w:p w14:paraId="1890E5BB">
            <w:pPr>
              <w:spacing w:line="360" w:lineRule="auto"/>
              <w:rPr>
                <w:rFonts w:ascii="宋体" w:cs="宋体"/>
                <w:color w:val="auto"/>
                <w:szCs w:val="21"/>
                <w:highlight w:val="none"/>
              </w:rPr>
            </w:pPr>
            <w:r>
              <w:rPr>
                <w:rFonts w:hint="eastAsia" w:ascii="宋体" w:hAnsi="宋体" w:cs="宋体"/>
                <w:color w:val="auto"/>
                <w:szCs w:val="21"/>
                <w:highlight w:val="none"/>
              </w:rPr>
              <w:t>《蹲便器用水效率限定值及用水效率等级》</w:t>
            </w:r>
            <w:r>
              <w:rPr>
                <w:rFonts w:ascii="宋体" w:hAnsi="宋体" w:cs="宋体"/>
                <w:color w:val="auto"/>
                <w:szCs w:val="21"/>
                <w:highlight w:val="none"/>
              </w:rPr>
              <w:t xml:space="preserve"> (GB 30717)</w:t>
            </w:r>
          </w:p>
        </w:tc>
      </w:tr>
      <w:tr w14:paraId="2B4C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3D86BC57">
            <w:pPr>
              <w:spacing w:line="360" w:lineRule="auto"/>
              <w:rPr>
                <w:rFonts w:ascii="宋体" w:cs="宋体"/>
                <w:color w:val="auto"/>
                <w:szCs w:val="21"/>
                <w:highlight w:val="none"/>
              </w:rPr>
            </w:pPr>
          </w:p>
        </w:tc>
        <w:tc>
          <w:tcPr>
            <w:tcW w:w="813" w:type="pct"/>
            <w:vMerge w:val="continue"/>
          </w:tcPr>
          <w:p w14:paraId="4A03E8E6">
            <w:pPr>
              <w:spacing w:line="360" w:lineRule="auto"/>
              <w:rPr>
                <w:rFonts w:ascii="宋体" w:cs="宋体"/>
                <w:color w:val="auto"/>
                <w:szCs w:val="21"/>
                <w:highlight w:val="none"/>
              </w:rPr>
            </w:pPr>
          </w:p>
        </w:tc>
        <w:tc>
          <w:tcPr>
            <w:tcW w:w="1071" w:type="pct"/>
          </w:tcPr>
          <w:p w14:paraId="5674129B">
            <w:pPr>
              <w:spacing w:line="360" w:lineRule="auto"/>
              <w:rPr>
                <w:rFonts w:ascii="宋体" w:cs="宋体"/>
                <w:color w:val="auto"/>
                <w:szCs w:val="21"/>
                <w:highlight w:val="none"/>
              </w:rPr>
            </w:pPr>
            <w:r>
              <w:rPr>
                <w:rFonts w:hint="eastAsia" w:ascii="宋体" w:hAnsi="宋体" w:cs="宋体"/>
                <w:color w:val="auto"/>
                <w:szCs w:val="21"/>
                <w:highlight w:val="none"/>
              </w:rPr>
              <w:t>小便器</w:t>
            </w:r>
          </w:p>
        </w:tc>
        <w:tc>
          <w:tcPr>
            <w:tcW w:w="937" w:type="pct"/>
          </w:tcPr>
          <w:p w14:paraId="30DCFECF">
            <w:pPr>
              <w:spacing w:line="360" w:lineRule="auto"/>
              <w:rPr>
                <w:rFonts w:ascii="宋体" w:cs="宋体"/>
                <w:color w:val="auto"/>
                <w:szCs w:val="21"/>
                <w:highlight w:val="none"/>
              </w:rPr>
            </w:pPr>
          </w:p>
        </w:tc>
        <w:tc>
          <w:tcPr>
            <w:tcW w:w="1743" w:type="pct"/>
          </w:tcPr>
          <w:p w14:paraId="49D8C1E1">
            <w:pPr>
              <w:spacing w:line="360" w:lineRule="auto"/>
              <w:rPr>
                <w:rFonts w:ascii="宋体" w:cs="宋体"/>
                <w:color w:val="auto"/>
                <w:szCs w:val="21"/>
                <w:highlight w:val="none"/>
              </w:rPr>
            </w:pPr>
            <w:r>
              <w:rPr>
                <w:rFonts w:hint="eastAsia" w:ascii="宋体" w:hAnsi="宋体" w:cs="宋体"/>
                <w:color w:val="auto"/>
                <w:szCs w:val="21"/>
                <w:highlight w:val="none"/>
              </w:rPr>
              <w:t>《小便器用水效率限定值及用水</w:t>
            </w:r>
            <w:r>
              <w:rPr>
                <w:rFonts w:ascii="宋体" w:hAnsi="宋体" w:cs="宋体"/>
                <w:color w:val="auto"/>
                <w:szCs w:val="21"/>
                <w:highlight w:val="none"/>
              </w:rPr>
              <w:t xml:space="preserve"> </w:t>
            </w:r>
            <w:r>
              <w:rPr>
                <w:rFonts w:hint="eastAsia" w:ascii="宋体" w:hAnsi="宋体" w:cs="宋体"/>
                <w:color w:val="auto"/>
                <w:szCs w:val="21"/>
                <w:highlight w:val="none"/>
              </w:rPr>
              <w:t>效率等级》</w:t>
            </w:r>
            <w:r>
              <w:rPr>
                <w:rFonts w:ascii="宋体" w:hAnsi="宋体" w:cs="宋体"/>
                <w:color w:val="auto"/>
                <w:szCs w:val="21"/>
                <w:highlight w:val="none"/>
              </w:rPr>
              <w:t xml:space="preserve">(GB 28377) </w:t>
            </w:r>
          </w:p>
        </w:tc>
      </w:tr>
      <w:tr w14:paraId="0F13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6FAC50F1">
            <w:pPr>
              <w:spacing w:line="360" w:lineRule="auto"/>
              <w:rPr>
                <w:rFonts w:ascii="宋体" w:cs="宋体"/>
                <w:color w:val="auto"/>
                <w:szCs w:val="21"/>
                <w:highlight w:val="none"/>
              </w:rPr>
            </w:pPr>
            <w:r>
              <w:rPr>
                <w:rFonts w:ascii="宋体" w:hAnsi="宋体" w:cs="宋体"/>
                <w:color w:val="auto"/>
                <w:szCs w:val="21"/>
                <w:highlight w:val="none"/>
              </w:rPr>
              <w:t>16</w:t>
            </w:r>
          </w:p>
        </w:tc>
        <w:tc>
          <w:tcPr>
            <w:tcW w:w="813" w:type="pct"/>
          </w:tcPr>
          <w:p w14:paraId="0176CAA4">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A060806</w:t>
            </w:r>
            <w:r>
              <w:rPr>
                <w:rFonts w:hint="eastAsia" w:ascii="宋体" w:hAnsi="宋体" w:cs="宋体"/>
                <w:color w:val="auto"/>
                <w:szCs w:val="21"/>
                <w:highlight w:val="none"/>
              </w:rPr>
              <w:t>水嘴</w:t>
            </w:r>
          </w:p>
        </w:tc>
        <w:tc>
          <w:tcPr>
            <w:tcW w:w="1071" w:type="pct"/>
          </w:tcPr>
          <w:p w14:paraId="07426C7E">
            <w:pPr>
              <w:spacing w:line="360" w:lineRule="auto"/>
              <w:rPr>
                <w:rFonts w:ascii="宋体" w:cs="宋体"/>
                <w:color w:val="auto"/>
                <w:szCs w:val="21"/>
                <w:highlight w:val="none"/>
              </w:rPr>
            </w:pPr>
          </w:p>
        </w:tc>
        <w:tc>
          <w:tcPr>
            <w:tcW w:w="937" w:type="pct"/>
          </w:tcPr>
          <w:p w14:paraId="3C4456E3">
            <w:pPr>
              <w:spacing w:line="360" w:lineRule="auto"/>
              <w:rPr>
                <w:rFonts w:ascii="宋体" w:cs="宋体"/>
                <w:color w:val="auto"/>
                <w:szCs w:val="21"/>
                <w:highlight w:val="none"/>
              </w:rPr>
            </w:pPr>
          </w:p>
        </w:tc>
        <w:tc>
          <w:tcPr>
            <w:tcW w:w="1743" w:type="pct"/>
          </w:tcPr>
          <w:p w14:paraId="530B6DB0">
            <w:pPr>
              <w:spacing w:line="360" w:lineRule="auto"/>
              <w:rPr>
                <w:rFonts w:ascii="宋体" w:cs="宋体"/>
                <w:color w:val="auto"/>
                <w:szCs w:val="21"/>
                <w:highlight w:val="none"/>
              </w:rPr>
            </w:pPr>
            <w:r>
              <w:rPr>
                <w:rFonts w:hint="eastAsia" w:ascii="宋体" w:hAnsi="宋体" w:cs="宋体"/>
                <w:color w:val="auto"/>
                <w:szCs w:val="21"/>
                <w:highlight w:val="none"/>
              </w:rPr>
              <w:t>《水嘴用水效率限定值及用水效率等级（</w:t>
            </w:r>
            <w:r>
              <w:rPr>
                <w:rFonts w:ascii="宋体" w:hAnsi="宋体" w:cs="宋体"/>
                <w:color w:val="auto"/>
                <w:szCs w:val="21"/>
                <w:highlight w:val="none"/>
              </w:rPr>
              <w:t>GB 25501)</w:t>
            </w:r>
          </w:p>
        </w:tc>
      </w:tr>
      <w:tr w14:paraId="4491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37198E71">
            <w:pPr>
              <w:spacing w:line="360" w:lineRule="auto"/>
              <w:rPr>
                <w:rFonts w:ascii="宋体" w:cs="宋体"/>
                <w:color w:val="auto"/>
                <w:szCs w:val="21"/>
                <w:highlight w:val="none"/>
              </w:rPr>
            </w:pPr>
            <w:r>
              <w:rPr>
                <w:rFonts w:ascii="宋体" w:hAnsi="宋体" w:cs="宋体"/>
                <w:color w:val="auto"/>
                <w:szCs w:val="21"/>
                <w:highlight w:val="none"/>
              </w:rPr>
              <w:t>17</w:t>
            </w:r>
          </w:p>
        </w:tc>
        <w:tc>
          <w:tcPr>
            <w:tcW w:w="813" w:type="pct"/>
          </w:tcPr>
          <w:p w14:paraId="413E3104">
            <w:pPr>
              <w:spacing w:line="360" w:lineRule="auto"/>
              <w:rPr>
                <w:rFonts w:ascii="宋体" w:cs="宋体"/>
                <w:color w:val="auto"/>
                <w:szCs w:val="21"/>
                <w:highlight w:val="none"/>
              </w:rPr>
            </w:pPr>
            <w:r>
              <w:rPr>
                <w:rFonts w:ascii="宋体" w:hAnsi="宋体" w:cs="宋体"/>
                <w:color w:val="auto"/>
                <w:szCs w:val="21"/>
                <w:highlight w:val="none"/>
              </w:rPr>
              <w:t>A060807</w:t>
            </w:r>
            <w:r>
              <w:rPr>
                <w:rFonts w:hint="eastAsia" w:ascii="宋体" w:hAnsi="宋体" w:cs="宋体"/>
                <w:color w:val="auto"/>
                <w:szCs w:val="21"/>
                <w:highlight w:val="none"/>
              </w:rPr>
              <w:t>便器冲洗阀嘴</w:t>
            </w:r>
          </w:p>
        </w:tc>
        <w:tc>
          <w:tcPr>
            <w:tcW w:w="1071" w:type="pct"/>
          </w:tcPr>
          <w:p w14:paraId="379322CB">
            <w:pPr>
              <w:spacing w:line="360" w:lineRule="auto"/>
              <w:rPr>
                <w:rFonts w:ascii="宋体" w:cs="宋体"/>
                <w:color w:val="auto"/>
                <w:szCs w:val="21"/>
                <w:highlight w:val="none"/>
              </w:rPr>
            </w:pPr>
          </w:p>
        </w:tc>
        <w:tc>
          <w:tcPr>
            <w:tcW w:w="937" w:type="pct"/>
          </w:tcPr>
          <w:p w14:paraId="7DB4ACEB">
            <w:pPr>
              <w:spacing w:line="360" w:lineRule="auto"/>
              <w:rPr>
                <w:rFonts w:ascii="宋体" w:cs="宋体"/>
                <w:color w:val="auto"/>
                <w:szCs w:val="21"/>
                <w:highlight w:val="none"/>
              </w:rPr>
            </w:pPr>
          </w:p>
        </w:tc>
        <w:tc>
          <w:tcPr>
            <w:tcW w:w="1743" w:type="pct"/>
          </w:tcPr>
          <w:p w14:paraId="16AA85BE">
            <w:pPr>
              <w:spacing w:line="360" w:lineRule="auto"/>
              <w:rPr>
                <w:rFonts w:ascii="宋体" w:cs="宋体"/>
                <w:color w:val="auto"/>
                <w:szCs w:val="21"/>
                <w:highlight w:val="none"/>
              </w:rPr>
            </w:pPr>
            <w:r>
              <w:rPr>
                <w:rFonts w:hint="eastAsia" w:ascii="宋体" w:hAnsi="宋体" w:cs="宋体"/>
                <w:color w:val="auto"/>
                <w:szCs w:val="21"/>
                <w:highlight w:val="none"/>
              </w:rPr>
              <w:t>《便器冲洗阀用水效率限定值及用水效率等级（</w:t>
            </w:r>
            <w:r>
              <w:rPr>
                <w:rFonts w:ascii="宋体" w:hAnsi="宋体" w:cs="宋体"/>
                <w:color w:val="auto"/>
                <w:szCs w:val="21"/>
                <w:highlight w:val="none"/>
              </w:rPr>
              <w:t>GB 28379)</w:t>
            </w:r>
          </w:p>
        </w:tc>
      </w:tr>
      <w:tr w14:paraId="1C14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4166FD5D">
            <w:pPr>
              <w:spacing w:line="360" w:lineRule="auto"/>
              <w:rPr>
                <w:rFonts w:ascii="宋体" w:cs="宋体"/>
                <w:color w:val="auto"/>
                <w:szCs w:val="21"/>
                <w:highlight w:val="none"/>
              </w:rPr>
            </w:pPr>
            <w:r>
              <w:rPr>
                <w:rFonts w:ascii="宋体" w:hAnsi="宋体" w:cs="宋体"/>
                <w:color w:val="auto"/>
                <w:szCs w:val="21"/>
                <w:highlight w:val="none"/>
              </w:rPr>
              <w:t>18</w:t>
            </w:r>
          </w:p>
        </w:tc>
        <w:tc>
          <w:tcPr>
            <w:tcW w:w="813" w:type="pct"/>
          </w:tcPr>
          <w:p w14:paraId="57C196EC">
            <w:pPr>
              <w:spacing w:line="360" w:lineRule="auto"/>
              <w:rPr>
                <w:rFonts w:ascii="宋体" w:cs="宋体"/>
                <w:color w:val="auto"/>
                <w:szCs w:val="21"/>
                <w:highlight w:val="none"/>
              </w:rPr>
            </w:pPr>
            <w:r>
              <w:rPr>
                <w:rFonts w:ascii="宋体" w:hAnsi="宋体" w:cs="宋体"/>
                <w:color w:val="auto"/>
                <w:szCs w:val="21"/>
                <w:highlight w:val="none"/>
              </w:rPr>
              <w:t>A060810</w:t>
            </w:r>
            <w:r>
              <w:rPr>
                <w:rFonts w:hint="eastAsia" w:ascii="宋体" w:hAnsi="宋体" w:cs="宋体"/>
                <w:color w:val="auto"/>
                <w:szCs w:val="21"/>
                <w:highlight w:val="none"/>
              </w:rPr>
              <w:t>淋浴器</w:t>
            </w:r>
          </w:p>
        </w:tc>
        <w:tc>
          <w:tcPr>
            <w:tcW w:w="1071" w:type="pct"/>
          </w:tcPr>
          <w:p w14:paraId="70C53605">
            <w:pPr>
              <w:spacing w:line="360" w:lineRule="auto"/>
              <w:rPr>
                <w:rFonts w:ascii="宋体" w:cs="宋体"/>
                <w:color w:val="auto"/>
                <w:szCs w:val="21"/>
                <w:highlight w:val="none"/>
              </w:rPr>
            </w:pPr>
          </w:p>
        </w:tc>
        <w:tc>
          <w:tcPr>
            <w:tcW w:w="937" w:type="pct"/>
          </w:tcPr>
          <w:p w14:paraId="346A9437">
            <w:pPr>
              <w:spacing w:line="360" w:lineRule="auto"/>
              <w:rPr>
                <w:rFonts w:ascii="宋体" w:cs="宋体"/>
                <w:color w:val="auto"/>
                <w:szCs w:val="21"/>
                <w:highlight w:val="none"/>
              </w:rPr>
            </w:pPr>
          </w:p>
        </w:tc>
        <w:tc>
          <w:tcPr>
            <w:tcW w:w="1743" w:type="pct"/>
          </w:tcPr>
          <w:p w14:paraId="793A5761">
            <w:pPr>
              <w:spacing w:line="360" w:lineRule="auto"/>
              <w:rPr>
                <w:rFonts w:ascii="宋体" w:cs="宋体"/>
                <w:color w:val="auto"/>
                <w:szCs w:val="21"/>
                <w:highlight w:val="none"/>
              </w:rPr>
            </w:pPr>
            <w:r>
              <w:rPr>
                <w:rFonts w:hint="eastAsia" w:ascii="宋体" w:hAnsi="宋体" w:cs="宋体"/>
                <w:color w:val="auto"/>
                <w:szCs w:val="21"/>
                <w:highlight w:val="none"/>
              </w:rPr>
              <w:t>《淋浴器用水效率限定值及用水效率等级》（</w:t>
            </w:r>
            <w:r>
              <w:rPr>
                <w:rFonts w:ascii="宋体" w:hAnsi="宋体" w:cs="宋体"/>
                <w:color w:val="auto"/>
                <w:szCs w:val="21"/>
                <w:highlight w:val="none"/>
              </w:rPr>
              <w:t>GB 28378)</w:t>
            </w:r>
          </w:p>
        </w:tc>
      </w:tr>
    </w:tbl>
    <w:p w14:paraId="73B89B02">
      <w:pPr>
        <w:spacing w:line="360" w:lineRule="auto"/>
        <w:jc w:val="left"/>
        <w:rPr>
          <w:rFonts w:ascii="宋体" w:cs="宋体"/>
          <w:color w:val="auto"/>
          <w:szCs w:val="21"/>
          <w:highlight w:val="none"/>
        </w:rPr>
      </w:pPr>
    </w:p>
    <w:p w14:paraId="7F05B298">
      <w:pPr>
        <w:spacing w:line="360" w:lineRule="auto"/>
        <w:jc w:val="left"/>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节能产品认证应依据相关国家标准的最新版本，依据国家标准中二级能效（水效</w:t>
      </w:r>
      <w:r>
        <w:rPr>
          <w:rFonts w:ascii="宋体" w:hAnsi="宋体" w:cs="宋体"/>
          <w:color w:val="auto"/>
          <w:szCs w:val="21"/>
          <w:highlight w:val="none"/>
        </w:rPr>
        <w:t>)</w:t>
      </w:r>
      <w:r>
        <w:rPr>
          <w:rFonts w:hint="eastAsia" w:ascii="宋体" w:hAnsi="宋体" w:cs="宋体"/>
          <w:color w:val="auto"/>
          <w:szCs w:val="21"/>
          <w:highlight w:val="none"/>
        </w:rPr>
        <w:t>指标。</w:t>
      </w:r>
    </w:p>
    <w:p w14:paraId="40AB870E">
      <w:pPr>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上述产品中认证标准发生变更的，依据原认证标准获得的、仍在有效期内的认证证书可使用至</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w:t>
      </w:r>
    </w:p>
    <w:p w14:paraId="7CDD545D">
      <w:pPr>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以“</w:t>
      </w: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”标注的为政府强制采购产品。</w:t>
      </w:r>
    </w:p>
    <w:p w14:paraId="3FEB8300">
      <w:pPr>
        <w:pStyle w:val="13"/>
        <w:spacing w:line="360" w:lineRule="auto"/>
        <w:ind w:left="0" w:leftChars="0"/>
        <w:jc w:val="center"/>
        <w:outlineLvl w:val="2"/>
        <w:rPr>
          <w:color w:val="auto"/>
          <w:highlight w:val="none"/>
        </w:rPr>
      </w:pPr>
      <w:r>
        <w:rPr>
          <w:color w:val="auto"/>
          <w:highlight w:val="none"/>
        </w:rPr>
        <w:br w:type="page"/>
      </w:r>
      <w:bookmarkStart w:id="588" w:name="_Toc7371"/>
      <w:r>
        <w:rPr>
          <w:rStyle w:val="31"/>
          <w:rFonts w:hint="eastAsia"/>
          <w:color w:val="auto"/>
          <w:highlight w:val="none"/>
        </w:rPr>
        <w:t>关于印发环境标志产品政府采购品目清单的通知</w:t>
      </w:r>
      <w:bookmarkEnd w:id="588"/>
    </w:p>
    <w:p w14:paraId="2C15E6A6">
      <w:pPr>
        <w:spacing w:line="360" w:lineRule="auto"/>
        <w:rPr>
          <w:color w:val="auto"/>
          <w:highlight w:val="none"/>
        </w:rPr>
      </w:pPr>
      <w:r>
        <w:rPr>
          <w:color w:val="auto"/>
          <w:highlight w:val="none"/>
        </w:rPr>
        <w:t xml:space="preserve">    </w:t>
      </w:r>
      <w:r>
        <w:rPr>
          <w:rFonts w:hint="eastAsia"/>
          <w:color w:val="auto"/>
          <w:highlight w:val="none"/>
        </w:rPr>
        <w:t>有关中央预算单位，各省、自治区、直辖市、计划单列市财政厅（局）、生态环境厅（局），新疆生产建设兵团财政局、环境保护局：</w:t>
      </w:r>
    </w:p>
    <w:p w14:paraId="2B07D38A">
      <w:pPr>
        <w:spacing w:line="360" w:lineRule="auto"/>
        <w:rPr>
          <w:color w:val="auto"/>
          <w:highlight w:val="none"/>
        </w:rPr>
      </w:pPr>
    </w:p>
    <w:p w14:paraId="20BAAEC2">
      <w:pPr>
        <w:spacing w:line="360" w:lineRule="auto"/>
        <w:rPr>
          <w:color w:val="auto"/>
          <w:highlight w:val="none"/>
        </w:rPr>
      </w:pPr>
      <w:r>
        <w:rPr>
          <w:rFonts w:hint="eastAsia"/>
          <w:color w:val="auto"/>
          <w:highlight w:val="none"/>
        </w:rPr>
        <w:t>　　根据《财政部发展改革委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w:t>
      </w:r>
      <w:r>
        <w:rPr>
          <w:color w:val="auto"/>
          <w:highlight w:val="none"/>
        </w:rPr>
        <w:t xml:space="preserve"> </w:t>
      </w:r>
      <w:r>
        <w:rPr>
          <w:rFonts w:hint="eastAsia"/>
          <w:color w:val="auto"/>
          <w:highlight w:val="none"/>
        </w:rPr>
        <w:t>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r>
        <w:rPr>
          <w:color w:val="auto"/>
          <w:highlight w:val="none"/>
        </w:rPr>
        <w:t xml:space="preserve"> </w:t>
      </w:r>
      <w:r>
        <w:rPr>
          <w:rFonts w:hint="eastAsia"/>
          <w:color w:val="auto"/>
          <w:highlight w:val="none"/>
        </w:rPr>
        <w:t>我们研究制定了环境标志产品政府采购品目清单，现印发给你们，请遵照执行。</w:t>
      </w:r>
    </w:p>
    <w:p w14:paraId="4670895E">
      <w:pPr>
        <w:spacing w:line="360" w:lineRule="auto"/>
        <w:rPr>
          <w:color w:val="auto"/>
          <w:highlight w:val="none"/>
        </w:rPr>
      </w:pPr>
    </w:p>
    <w:p w14:paraId="4AF59A9D">
      <w:pPr>
        <w:spacing w:line="360" w:lineRule="auto"/>
        <w:rPr>
          <w:color w:val="auto"/>
          <w:highlight w:val="none"/>
        </w:rPr>
      </w:pPr>
      <w:r>
        <w:rPr>
          <w:rFonts w:hint="eastAsia"/>
          <w:color w:val="auto"/>
          <w:highlight w:val="none"/>
        </w:rPr>
        <w:t>　　附件：环境标志产品政府采购品目清单</w:t>
      </w:r>
    </w:p>
    <w:p w14:paraId="598DA7A2">
      <w:pPr>
        <w:spacing w:line="360" w:lineRule="auto"/>
        <w:rPr>
          <w:color w:val="auto"/>
          <w:highlight w:val="none"/>
        </w:rPr>
      </w:pPr>
    </w:p>
    <w:p w14:paraId="6DE50AA1">
      <w:pPr>
        <w:spacing w:line="360" w:lineRule="auto"/>
        <w:jc w:val="right"/>
        <w:rPr>
          <w:color w:val="auto"/>
          <w:highlight w:val="none"/>
        </w:rPr>
      </w:pPr>
      <w:r>
        <w:rPr>
          <w:rFonts w:hint="eastAsia"/>
          <w:color w:val="auto"/>
          <w:highlight w:val="none"/>
        </w:rPr>
        <w:t>财政部</w:t>
      </w:r>
      <w:r>
        <w:rPr>
          <w:color w:val="auto"/>
          <w:highlight w:val="none"/>
        </w:rPr>
        <w:t xml:space="preserve"> </w:t>
      </w:r>
      <w:r>
        <w:rPr>
          <w:rFonts w:hint="eastAsia"/>
          <w:color w:val="auto"/>
          <w:highlight w:val="none"/>
        </w:rPr>
        <w:t>生态环境部</w:t>
      </w:r>
    </w:p>
    <w:p w14:paraId="205C86D0">
      <w:pPr>
        <w:spacing w:line="360" w:lineRule="auto"/>
        <w:jc w:val="right"/>
        <w:rPr>
          <w:color w:val="auto"/>
          <w:highlight w:val="none"/>
        </w:rPr>
      </w:pPr>
      <w:r>
        <w:rPr>
          <w:color w:val="auto"/>
          <w:highlight w:val="none"/>
        </w:rPr>
        <w:t>2019</w:t>
      </w:r>
      <w:r>
        <w:rPr>
          <w:rFonts w:hint="eastAsia"/>
          <w:color w:val="auto"/>
          <w:highlight w:val="none"/>
        </w:rPr>
        <w:t>年</w:t>
      </w:r>
      <w:r>
        <w:rPr>
          <w:color w:val="auto"/>
          <w:highlight w:val="none"/>
        </w:rPr>
        <w:t>3</w:t>
      </w:r>
      <w:r>
        <w:rPr>
          <w:rFonts w:hint="eastAsia"/>
          <w:color w:val="auto"/>
          <w:highlight w:val="none"/>
        </w:rPr>
        <w:t>月</w:t>
      </w:r>
      <w:r>
        <w:rPr>
          <w:color w:val="auto"/>
          <w:highlight w:val="none"/>
        </w:rPr>
        <w:t>29</w:t>
      </w:r>
      <w:r>
        <w:rPr>
          <w:rFonts w:hint="eastAsia"/>
          <w:color w:val="auto"/>
          <w:highlight w:val="none"/>
        </w:rPr>
        <w:t>日</w:t>
      </w:r>
    </w:p>
    <w:p w14:paraId="388FE5E0">
      <w:pPr>
        <w:pStyle w:val="4"/>
        <w:jc w:val="center"/>
        <w:rPr>
          <w:color w:val="auto"/>
          <w:highlight w:val="none"/>
        </w:rPr>
      </w:pPr>
      <w:r>
        <w:rPr>
          <w:color w:val="auto"/>
          <w:highlight w:val="none"/>
        </w:rPr>
        <w:br w:type="page"/>
      </w:r>
      <w:bookmarkStart w:id="589" w:name="_Toc4050"/>
      <w:r>
        <w:rPr>
          <w:rFonts w:hint="eastAsia"/>
          <w:color w:val="auto"/>
          <w:highlight w:val="none"/>
        </w:rPr>
        <w:t>环境标志产品政府采购品目清单</w:t>
      </w:r>
      <w:bookmarkEnd w:id="589"/>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9"/>
        <w:gridCol w:w="1166"/>
        <w:gridCol w:w="2347"/>
        <w:gridCol w:w="1666"/>
        <w:gridCol w:w="2425"/>
      </w:tblGrid>
      <w:tr w14:paraId="68CFF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1" w:type="pct"/>
            <w:vAlign w:val="center"/>
          </w:tcPr>
          <w:p w14:paraId="12AB24FD">
            <w:pPr>
              <w:spacing w:line="360" w:lineRule="auto"/>
              <w:jc w:val="center"/>
              <w:rPr>
                <w:color w:val="auto"/>
                <w:highlight w:val="none"/>
              </w:rPr>
            </w:pPr>
            <w:r>
              <w:rPr>
                <w:rFonts w:hint="eastAsia"/>
                <w:color w:val="auto"/>
                <w:highlight w:val="none"/>
              </w:rPr>
              <w:t>品目</w:t>
            </w:r>
            <w:r>
              <w:rPr>
                <w:color w:val="auto"/>
                <w:highlight w:val="none"/>
              </w:rPr>
              <w:t xml:space="preserve"> </w:t>
            </w:r>
            <w:r>
              <w:rPr>
                <w:rFonts w:hint="eastAsia"/>
                <w:color w:val="auto"/>
                <w:highlight w:val="none"/>
              </w:rPr>
              <w:t>序号</w:t>
            </w:r>
          </w:p>
        </w:tc>
        <w:tc>
          <w:tcPr>
            <w:tcW w:w="3118" w:type="pct"/>
            <w:gridSpan w:val="3"/>
            <w:vAlign w:val="center"/>
          </w:tcPr>
          <w:p w14:paraId="2C69EEA9">
            <w:pPr>
              <w:spacing w:line="360" w:lineRule="auto"/>
              <w:jc w:val="center"/>
              <w:rPr>
                <w:color w:val="auto"/>
                <w:highlight w:val="none"/>
              </w:rPr>
            </w:pPr>
            <w:r>
              <w:rPr>
                <w:rFonts w:hint="eastAsia"/>
                <w:color w:val="auto"/>
                <w:highlight w:val="none"/>
              </w:rPr>
              <w:t>名称</w:t>
            </w:r>
          </w:p>
        </w:tc>
        <w:tc>
          <w:tcPr>
            <w:tcW w:w="1460" w:type="pct"/>
            <w:vAlign w:val="center"/>
          </w:tcPr>
          <w:p w14:paraId="6CAE4FE7">
            <w:pPr>
              <w:spacing w:line="360" w:lineRule="auto"/>
              <w:jc w:val="center"/>
              <w:rPr>
                <w:color w:val="auto"/>
                <w:highlight w:val="none"/>
              </w:rPr>
            </w:pPr>
            <w:r>
              <w:rPr>
                <w:rFonts w:hint="eastAsia"/>
                <w:color w:val="auto"/>
                <w:highlight w:val="none"/>
              </w:rPr>
              <w:t>依据的标准</w:t>
            </w:r>
          </w:p>
        </w:tc>
      </w:tr>
      <w:tr w14:paraId="74109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restart"/>
            <w:tcBorders>
              <w:bottom w:val="nil"/>
            </w:tcBorders>
          </w:tcPr>
          <w:p w14:paraId="3B4C2A6A">
            <w:pPr>
              <w:spacing w:line="360" w:lineRule="auto"/>
              <w:jc w:val="center"/>
              <w:rPr>
                <w:color w:val="auto"/>
                <w:highlight w:val="none"/>
              </w:rPr>
            </w:pPr>
            <w:r>
              <w:rPr>
                <w:color w:val="auto"/>
                <w:highlight w:val="none"/>
              </w:rPr>
              <w:t>1</w:t>
            </w:r>
          </w:p>
        </w:tc>
        <w:tc>
          <w:tcPr>
            <w:tcW w:w="702" w:type="pct"/>
            <w:vMerge w:val="restart"/>
            <w:tcBorders>
              <w:bottom w:val="nil"/>
            </w:tcBorders>
          </w:tcPr>
          <w:p w14:paraId="256D2051">
            <w:pPr>
              <w:spacing w:line="360" w:lineRule="auto"/>
              <w:jc w:val="center"/>
              <w:rPr>
                <w:color w:val="auto"/>
                <w:highlight w:val="none"/>
              </w:rPr>
            </w:pPr>
            <w:r>
              <w:rPr>
                <w:color w:val="auto"/>
                <w:highlight w:val="none"/>
              </w:rPr>
              <w:t xml:space="preserve">A020101 </w:t>
            </w:r>
            <w:r>
              <w:rPr>
                <w:rFonts w:hint="eastAsia"/>
                <w:color w:val="auto"/>
                <w:highlight w:val="none"/>
              </w:rPr>
              <w:t>计算机</w:t>
            </w:r>
            <w:r>
              <w:rPr>
                <w:color w:val="auto"/>
                <w:highlight w:val="none"/>
              </w:rPr>
              <w:t xml:space="preserve"> </w:t>
            </w:r>
            <w:r>
              <w:rPr>
                <w:rFonts w:hint="eastAsia"/>
                <w:color w:val="auto"/>
                <w:highlight w:val="none"/>
              </w:rPr>
              <w:t>设备</w:t>
            </w:r>
          </w:p>
        </w:tc>
        <w:tc>
          <w:tcPr>
            <w:tcW w:w="1413" w:type="pct"/>
          </w:tcPr>
          <w:p w14:paraId="0D6765B3">
            <w:pPr>
              <w:spacing w:line="360" w:lineRule="auto"/>
              <w:jc w:val="left"/>
              <w:rPr>
                <w:color w:val="auto"/>
                <w:highlight w:val="none"/>
              </w:rPr>
            </w:pPr>
            <w:r>
              <w:rPr>
                <w:color w:val="auto"/>
                <w:highlight w:val="none"/>
              </w:rPr>
              <w:t xml:space="preserve">A02010103 </w:t>
            </w:r>
            <w:r>
              <w:rPr>
                <w:rFonts w:hint="eastAsia"/>
                <w:color w:val="auto"/>
                <w:highlight w:val="none"/>
              </w:rPr>
              <w:t>服务器</w:t>
            </w:r>
          </w:p>
        </w:tc>
        <w:tc>
          <w:tcPr>
            <w:tcW w:w="1002" w:type="pct"/>
          </w:tcPr>
          <w:p w14:paraId="1E30F475">
            <w:pPr>
              <w:spacing w:line="360" w:lineRule="auto"/>
              <w:jc w:val="left"/>
              <w:rPr>
                <w:color w:val="auto"/>
                <w:highlight w:val="none"/>
              </w:rPr>
            </w:pPr>
          </w:p>
        </w:tc>
        <w:tc>
          <w:tcPr>
            <w:tcW w:w="1460" w:type="pct"/>
          </w:tcPr>
          <w:p w14:paraId="14ADDA49">
            <w:pPr>
              <w:spacing w:line="360" w:lineRule="auto"/>
              <w:jc w:val="left"/>
              <w:rPr>
                <w:color w:val="auto"/>
                <w:highlight w:val="none"/>
              </w:rPr>
            </w:pPr>
            <w:r>
              <w:rPr>
                <w:color w:val="auto"/>
                <w:highlight w:val="none"/>
              </w:rPr>
              <w:t xml:space="preserve">HJ2507 </w:t>
            </w:r>
            <w:r>
              <w:rPr>
                <w:rFonts w:hint="eastAsia"/>
                <w:color w:val="auto"/>
                <w:highlight w:val="none"/>
              </w:rPr>
              <w:t>网络服务器</w:t>
            </w:r>
          </w:p>
        </w:tc>
      </w:tr>
      <w:tr w14:paraId="7D52A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0E6E116D">
            <w:pPr>
              <w:spacing w:line="360" w:lineRule="auto"/>
              <w:jc w:val="center"/>
              <w:rPr>
                <w:color w:val="auto"/>
                <w:highlight w:val="none"/>
              </w:rPr>
            </w:pPr>
          </w:p>
        </w:tc>
        <w:tc>
          <w:tcPr>
            <w:tcW w:w="702" w:type="pct"/>
            <w:vMerge w:val="continue"/>
            <w:tcBorders>
              <w:top w:val="nil"/>
              <w:bottom w:val="nil"/>
            </w:tcBorders>
          </w:tcPr>
          <w:p w14:paraId="04274900">
            <w:pPr>
              <w:spacing w:line="360" w:lineRule="auto"/>
              <w:jc w:val="center"/>
              <w:rPr>
                <w:color w:val="auto"/>
                <w:highlight w:val="none"/>
              </w:rPr>
            </w:pPr>
          </w:p>
        </w:tc>
        <w:tc>
          <w:tcPr>
            <w:tcW w:w="1413" w:type="pct"/>
          </w:tcPr>
          <w:p w14:paraId="3AA25D55">
            <w:pPr>
              <w:spacing w:line="360" w:lineRule="auto"/>
              <w:jc w:val="left"/>
              <w:rPr>
                <w:color w:val="auto"/>
                <w:highlight w:val="none"/>
              </w:rPr>
            </w:pPr>
            <w:r>
              <w:rPr>
                <w:color w:val="auto"/>
                <w:highlight w:val="none"/>
              </w:rPr>
              <w:t xml:space="preserve">A02010104 </w:t>
            </w:r>
            <w:r>
              <w:rPr>
                <w:rFonts w:hint="eastAsia"/>
                <w:color w:val="auto"/>
                <w:highlight w:val="none"/>
              </w:rPr>
              <w:t>台式计算机</w:t>
            </w:r>
          </w:p>
        </w:tc>
        <w:tc>
          <w:tcPr>
            <w:tcW w:w="1002" w:type="pct"/>
          </w:tcPr>
          <w:p w14:paraId="08134376">
            <w:pPr>
              <w:spacing w:line="360" w:lineRule="auto"/>
              <w:jc w:val="left"/>
              <w:rPr>
                <w:color w:val="auto"/>
                <w:highlight w:val="none"/>
              </w:rPr>
            </w:pPr>
          </w:p>
        </w:tc>
        <w:tc>
          <w:tcPr>
            <w:tcW w:w="1460" w:type="pct"/>
          </w:tcPr>
          <w:p w14:paraId="7120AB91">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56D3E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57A43BC4">
            <w:pPr>
              <w:spacing w:line="360" w:lineRule="auto"/>
              <w:jc w:val="center"/>
              <w:rPr>
                <w:color w:val="auto"/>
                <w:highlight w:val="none"/>
              </w:rPr>
            </w:pPr>
          </w:p>
        </w:tc>
        <w:tc>
          <w:tcPr>
            <w:tcW w:w="702" w:type="pct"/>
            <w:vMerge w:val="continue"/>
            <w:tcBorders>
              <w:top w:val="nil"/>
              <w:bottom w:val="nil"/>
            </w:tcBorders>
          </w:tcPr>
          <w:p w14:paraId="738D4CF0">
            <w:pPr>
              <w:spacing w:line="360" w:lineRule="auto"/>
              <w:jc w:val="center"/>
              <w:rPr>
                <w:color w:val="auto"/>
                <w:highlight w:val="none"/>
              </w:rPr>
            </w:pPr>
          </w:p>
        </w:tc>
        <w:tc>
          <w:tcPr>
            <w:tcW w:w="1413" w:type="pct"/>
          </w:tcPr>
          <w:p w14:paraId="159D480B">
            <w:pPr>
              <w:spacing w:line="360" w:lineRule="auto"/>
              <w:jc w:val="left"/>
              <w:rPr>
                <w:color w:val="auto"/>
                <w:highlight w:val="none"/>
              </w:rPr>
            </w:pPr>
            <w:r>
              <w:rPr>
                <w:color w:val="auto"/>
                <w:highlight w:val="none"/>
              </w:rPr>
              <w:t xml:space="preserve">A02010105 </w:t>
            </w:r>
            <w:r>
              <w:rPr>
                <w:rFonts w:hint="eastAsia"/>
                <w:color w:val="auto"/>
                <w:highlight w:val="none"/>
              </w:rPr>
              <w:t>便携式计算机</w:t>
            </w:r>
          </w:p>
        </w:tc>
        <w:tc>
          <w:tcPr>
            <w:tcW w:w="1002" w:type="pct"/>
          </w:tcPr>
          <w:p w14:paraId="4EF7BFDE">
            <w:pPr>
              <w:spacing w:line="360" w:lineRule="auto"/>
              <w:jc w:val="left"/>
              <w:rPr>
                <w:color w:val="auto"/>
                <w:highlight w:val="none"/>
              </w:rPr>
            </w:pPr>
          </w:p>
        </w:tc>
        <w:tc>
          <w:tcPr>
            <w:tcW w:w="1460" w:type="pct"/>
          </w:tcPr>
          <w:p w14:paraId="29C50F37">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3FC3A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1531F9C6">
            <w:pPr>
              <w:spacing w:line="360" w:lineRule="auto"/>
              <w:jc w:val="center"/>
              <w:rPr>
                <w:color w:val="auto"/>
                <w:highlight w:val="none"/>
              </w:rPr>
            </w:pPr>
          </w:p>
        </w:tc>
        <w:tc>
          <w:tcPr>
            <w:tcW w:w="702" w:type="pct"/>
            <w:vMerge w:val="continue"/>
            <w:tcBorders>
              <w:top w:val="nil"/>
              <w:bottom w:val="nil"/>
            </w:tcBorders>
          </w:tcPr>
          <w:p w14:paraId="47A9493E">
            <w:pPr>
              <w:spacing w:line="360" w:lineRule="auto"/>
              <w:jc w:val="center"/>
              <w:rPr>
                <w:color w:val="auto"/>
                <w:highlight w:val="none"/>
              </w:rPr>
            </w:pPr>
          </w:p>
        </w:tc>
        <w:tc>
          <w:tcPr>
            <w:tcW w:w="1413" w:type="pct"/>
          </w:tcPr>
          <w:p w14:paraId="20653C71">
            <w:pPr>
              <w:spacing w:line="360" w:lineRule="auto"/>
              <w:jc w:val="left"/>
              <w:rPr>
                <w:color w:val="auto"/>
                <w:highlight w:val="none"/>
              </w:rPr>
            </w:pPr>
            <w:r>
              <w:rPr>
                <w:color w:val="auto"/>
                <w:highlight w:val="none"/>
              </w:rPr>
              <w:t xml:space="preserve">A02010107 </w:t>
            </w:r>
            <w:r>
              <w:rPr>
                <w:rFonts w:hint="eastAsia"/>
                <w:color w:val="auto"/>
                <w:highlight w:val="none"/>
              </w:rPr>
              <w:t>平板式微型计算机</w:t>
            </w:r>
          </w:p>
        </w:tc>
        <w:tc>
          <w:tcPr>
            <w:tcW w:w="1002" w:type="pct"/>
          </w:tcPr>
          <w:p w14:paraId="099CD7AF">
            <w:pPr>
              <w:spacing w:line="360" w:lineRule="auto"/>
              <w:jc w:val="left"/>
              <w:rPr>
                <w:color w:val="auto"/>
                <w:highlight w:val="none"/>
              </w:rPr>
            </w:pPr>
          </w:p>
        </w:tc>
        <w:tc>
          <w:tcPr>
            <w:tcW w:w="1460" w:type="pct"/>
          </w:tcPr>
          <w:p w14:paraId="322076BC">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1A53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6458B235">
            <w:pPr>
              <w:spacing w:line="360" w:lineRule="auto"/>
              <w:jc w:val="center"/>
              <w:rPr>
                <w:color w:val="auto"/>
                <w:highlight w:val="none"/>
              </w:rPr>
            </w:pPr>
          </w:p>
        </w:tc>
        <w:tc>
          <w:tcPr>
            <w:tcW w:w="702" w:type="pct"/>
            <w:vMerge w:val="continue"/>
            <w:tcBorders>
              <w:top w:val="nil"/>
              <w:bottom w:val="nil"/>
            </w:tcBorders>
          </w:tcPr>
          <w:p w14:paraId="29CA9290">
            <w:pPr>
              <w:spacing w:line="360" w:lineRule="auto"/>
              <w:jc w:val="center"/>
              <w:rPr>
                <w:color w:val="auto"/>
                <w:highlight w:val="none"/>
              </w:rPr>
            </w:pPr>
          </w:p>
        </w:tc>
        <w:tc>
          <w:tcPr>
            <w:tcW w:w="1413" w:type="pct"/>
          </w:tcPr>
          <w:p w14:paraId="5D0E0298">
            <w:pPr>
              <w:spacing w:line="360" w:lineRule="auto"/>
              <w:jc w:val="left"/>
              <w:rPr>
                <w:color w:val="auto"/>
                <w:highlight w:val="none"/>
              </w:rPr>
            </w:pPr>
            <w:r>
              <w:rPr>
                <w:color w:val="auto"/>
                <w:highlight w:val="none"/>
              </w:rPr>
              <w:t xml:space="preserve">A02010108 </w:t>
            </w:r>
            <w:r>
              <w:rPr>
                <w:rFonts w:hint="eastAsia"/>
                <w:color w:val="auto"/>
                <w:highlight w:val="none"/>
              </w:rPr>
              <w:t>网络计算机</w:t>
            </w:r>
          </w:p>
        </w:tc>
        <w:tc>
          <w:tcPr>
            <w:tcW w:w="1002" w:type="pct"/>
          </w:tcPr>
          <w:p w14:paraId="634CECFF">
            <w:pPr>
              <w:spacing w:line="360" w:lineRule="auto"/>
              <w:jc w:val="left"/>
              <w:rPr>
                <w:color w:val="auto"/>
                <w:highlight w:val="none"/>
              </w:rPr>
            </w:pPr>
          </w:p>
        </w:tc>
        <w:tc>
          <w:tcPr>
            <w:tcW w:w="1460" w:type="pct"/>
          </w:tcPr>
          <w:p w14:paraId="70017B4C">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7388F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1182855C">
            <w:pPr>
              <w:spacing w:line="360" w:lineRule="auto"/>
              <w:jc w:val="center"/>
              <w:rPr>
                <w:color w:val="auto"/>
                <w:highlight w:val="none"/>
              </w:rPr>
            </w:pPr>
          </w:p>
        </w:tc>
        <w:tc>
          <w:tcPr>
            <w:tcW w:w="702" w:type="pct"/>
            <w:vMerge w:val="continue"/>
            <w:tcBorders>
              <w:top w:val="nil"/>
              <w:bottom w:val="nil"/>
            </w:tcBorders>
          </w:tcPr>
          <w:p w14:paraId="0C09E479">
            <w:pPr>
              <w:spacing w:line="360" w:lineRule="auto"/>
              <w:jc w:val="center"/>
              <w:rPr>
                <w:color w:val="auto"/>
                <w:highlight w:val="none"/>
              </w:rPr>
            </w:pPr>
          </w:p>
        </w:tc>
        <w:tc>
          <w:tcPr>
            <w:tcW w:w="1413" w:type="pct"/>
          </w:tcPr>
          <w:p w14:paraId="22EC9B8E">
            <w:pPr>
              <w:spacing w:line="360" w:lineRule="auto"/>
              <w:jc w:val="left"/>
              <w:rPr>
                <w:color w:val="auto"/>
                <w:highlight w:val="none"/>
              </w:rPr>
            </w:pPr>
            <w:r>
              <w:rPr>
                <w:color w:val="auto"/>
                <w:highlight w:val="none"/>
              </w:rPr>
              <w:t xml:space="preserve">A02010109 </w:t>
            </w:r>
            <w:r>
              <w:rPr>
                <w:rFonts w:hint="eastAsia"/>
                <w:color w:val="auto"/>
                <w:highlight w:val="none"/>
              </w:rPr>
              <w:t>计算机工作站</w:t>
            </w:r>
          </w:p>
        </w:tc>
        <w:tc>
          <w:tcPr>
            <w:tcW w:w="1002" w:type="pct"/>
          </w:tcPr>
          <w:p w14:paraId="43BFDBFD">
            <w:pPr>
              <w:spacing w:line="360" w:lineRule="auto"/>
              <w:jc w:val="left"/>
              <w:rPr>
                <w:color w:val="auto"/>
                <w:highlight w:val="none"/>
              </w:rPr>
            </w:pPr>
          </w:p>
        </w:tc>
        <w:tc>
          <w:tcPr>
            <w:tcW w:w="1460" w:type="pct"/>
          </w:tcPr>
          <w:p w14:paraId="668D8F5B">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2C59D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56167AF6">
            <w:pPr>
              <w:spacing w:line="360" w:lineRule="auto"/>
              <w:jc w:val="center"/>
              <w:rPr>
                <w:color w:val="auto"/>
                <w:highlight w:val="none"/>
              </w:rPr>
            </w:pPr>
          </w:p>
        </w:tc>
        <w:tc>
          <w:tcPr>
            <w:tcW w:w="702" w:type="pct"/>
            <w:vMerge w:val="continue"/>
            <w:tcBorders>
              <w:top w:val="nil"/>
            </w:tcBorders>
          </w:tcPr>
          <w:p w14:paraId="29E13268">
            <w:pPr>
              <w:spacing w:line="360" w:lineRule="auto"/>
              <w:jc w:val="center"/>
              <w:rPr>
                <w:color w:val="auto"/>
                <w:highlight w:val="none"/>
              </w:rPr>
            </w:pPr>
          </w:p>
        </w:tc>
        <w:tc>
          <w:tcPr>
            <w:tcW w:w="1413" w:type="pct"/>
          </w:tcPr>
          <w:p w14:paraId="2D96F0D6">
            <w:pPr>
              <w:spacing w:line="360" w:lineRule="auto"/>
              <w:jc w:val="left"/>
              <w:rPr>
                <w:color w:val="auto"/>
                <w:highlight w:val="none"/>
              </w:rPr>
            </w:pPr>
            <w:r>
              <w:rPr>
                <w:color w:val="auto"/>
                <w:highlight w:val="none"/>
              </w:rPr>
              <w:t xml:space="preserve">A02010199 </w:t>
            </w:r>
            <w:r>
              <w:rPr>
                <w:rFonts w:hint="eastAsia"/>
                <w:color w:val="auto"/>
                <w:highlight w:val="none"/>
              </w:rPr>
              <w:t>其他计算机设备</w:t>
            </w:r>
          </w:p>
        </w:tc>
        <w:tc>
          <w:tcPr>
            <w:tcW w:w="1002" w:type="pct"/>
          </w:tcPr>
          <w:p w14:paraId="6F54D6FE">
            <w:pPr>
              <w:spacing w:line="360" w:lineRule="auto"/>
              <w:jc w:val="left"/>
              <w:rPr>
                <w:color w:val="auto"/>
                <w:highlight w:val="none"/>
              </w:rPr>
            </w:pPr>
          </w:p>
        </w:tc>
        <w:tc>
          <w:tcPr>
            <w:tcW w:w="1460" w:type="pct"/>
          </w:tcPr>
          <w:p w14:paraId="41F4A23D">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73B9B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34B61966">
            <w:pPr>
              <w:spacing w:line="360" w:lineRule="auto"/>
              <w:jc w:val="center"/>
              <w:rPr>
                <w:color w:val="auto"/>
                <w:highlight w:val="none"/>
              </w:rPr>
            </w:pPr>
            <w:r>
              <w:rPr>
                <w:color w:val="auto"/>
                <w:highlight w:val="none"/>
              </w:rPr>
              <w:t>2</w:t>
            </w:r>
          </w:p>
        </w:tc>
        <w:tc>
          <w:tcPr>
            <w:tcW w:w="702" w:type="pct"/>
            <w:vMerge w:val="restart"/>
            <w:tcBorders>
              <w:bottom w:val="nil"/>
            </w:tcBorders>
          </w:tcPr>
          <w:p w14:paraId="63551040">
            <w:pPr>
              <w:spacing w:line="360" w:lineRule="auto"/>
              <w:jc w:val="center"/>
              <w:rPr>
                <w:color w:val="auto"/>
                <w:highlight w:val="none"/>
              </w:rPr>
            </w:pPr>
            <w:r>
              <w:rPr>
                <w:color w:val="auto"/>
                <w:highlight w:val="none"/>
              </w:rPr>
              <w:t xml:space="preserve">A020106 </w:t>
            </w:r>
            <w:r>
              <w:rPr>
                <w:rFonts w:hint="eastAsia"/>
                <w:color w:val="auto"/>
                <w:highlight w:val="none"/>
              </w:rPr>
              <w:t>输入输</w:t>
            </w:r>
            <w:r>
              <w:rPr>
                <w:color w:val="auto"/>
                <w:highlight w:val="none"/>
              </w:rPr>
              <w:t xml:space="preserve"> </w:t>
            </w:r>
            <w:r>
              <w:rPr>
                <w:rFonts w:hint="eastAsia"/>
                <w:color w:val="auto"/>
                <w:highlight w:val="none"/>
              </w:rPr>
              <w:t>出设备</w:t>
            </w:r>
          </w:p>
        </w:tc>
        <w:tc>
          <w:tcPr>
            <w:tcW w:w="1413" w:type="pct"/>
            <w:vMerge w:val="restart"/>
            <w:tcBorders>
              <w:bottom w:val="nil"/>
            </w:tcBorders>
          </w:tcPr>
          <w:p w14:paraId="6B2E6FDC">
            <w:pPr>
              <w:spacing w:line="360" w:lineRule="auto"/>
              <w:jc w:val="left"/>
              <w:rPr>
                <w:color w:val="auto"/>
                <w:highlight w:val="none"/>
              </w:rPr>
            </w:pPr>
            <w:r>
              <w:rPr>
                <w:color w:val="auto"/>
                <w:highlight w:val="none"/>
              </w:rPr>
              <w:t xml:space="preserve">A02010601 </w:t>
            </w:r>
            <w:r>
              <w:rPr>
                <w:rFonts w:hint="eastAsia"/>
                <w:color w:val="auto"/>
                <w:highlight w:val="none"/>
              </w:rPr>
              <w:t>打印设备</w:t>
            </w:r>
          </w:p>
        </w:tc>
        <w:tc>
          <w:tcPr>
            <w:tcW w:w="1002" w:type="pct"/>
          </w:tcPr>
          <w:p w14:paraId="305CF559">
            <w:pPr>
              <w:spacing w:line="360" w:lineRule="auto"/>
              <w:jc w:val="left"/>
              <w:rPr>
                <w:color w:val="auto"/>
                <w:highlight w:val="none"/>
              </w:rPr>
            </w:pPr>
            <w:r>
              <w:rPr>
                <w:color w:val="auto"/>
                <w:highlight w:val="none"/>
              </w:rPr>
              <w:t xml:space="preserve">A0201060101 </w:t>
            </w:r>
            <w:r>
              <w:rPr>
                <w:rFonts w:hint="eastAsia"/>
                <w:color w:val="auto"/>
                <w:highlight w:val="none"/>
              </w:rPr>
              <w:t>喷墨打印机</w:t>
            </w:r>
          </w:p>
        </w:tc>
        <w:tc>
          <w:tcPr>
            <w:tcW w:w="1460" w:type="pct"/>
          </w:tcPr>
          <w:p w14:paraId="4B0375C5">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0020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17D10F60">
            <w:pPr>
              <w:spacing w:line="360" w:lineRule="auto"/>
              <w:jc w:val="center"/>
              <w:rPr>
                <w:color w:val="auto"/>
                <w:highlight w:val="none"/>
              </w:rPr>
            </w:pPr>
          </w:p>
        </w:tc>
        <w:tc>
          <w:tcPr>
            <w:tcW w:w="702" w:type="pct"/>
            <w:vMerge w:val="continue"/>
            <w:tcBorders>
              <w:top w:val="nil"/>
              <w:bottom w:val="nil"/>
            </w:tcBorders>
          </w:tcPr>
          <w:p w14:paraId="27E99E15">
            <w:pPr>
              <w:spacing w:line="360" w:lineRule="auto"/>
              <w:jc w:val="center"/>
              <w:rPr>
                <w:color w:val="auto"/>
                <w:highlight w:val="none"/>
              </w:rPr>
            </w:pPr>
          </w:p>
        </w:tc>
        <w:tc>
          <w:tcPr>
            <w:tcW w:w="1413" w:type="pct"/>
            <w:vMerge w:val="continue"/>
            <w:tcBorders>
              <w:top w:val="nil"/>
              <w:bottom w:val="nil"/>
            </w:tcBorders>
          </w:tcPr>
          <w:p w14:paraId="41BDE4E0">
            <w:pPr>
              <w:spacing w:line="360" w:lineRule="auto"/>
              <w:jc w:val="left"/>
              <w:rPr>
                <w:color w:val="auto"/>
                <w:highlight w:val="none"/>
              </w:rPr>
            </w:pPr>
          </w:p>
        </w:tc>
        <w:tc>
          <w:tcPr>
            <w:tcW w:w="1002" w:type="pct"/>
          </w:tcPr>
          <w:p w14:paraId="10E4D23C">
            <w:pPr>
              <w:spacing w:line="360" w:lineRule="auto"/>
              <w:jc w:val="left"/>
              <w:rPr>
                <w:color w:val="auto"/>
                <w:highlight w:val="none"/>
              </w:rPr>
            </w:pPr>
            <w:r>
              <w:rPr>
                <w:color w:val="auto"/>
                <w:highlight w:val="none"/>
              </w:rPr>
              <w:t xml:space="preserve">A0201060102 </w:t>
            </w:r>
            <w:r>
              <w:rPr>
                <w:rFonts w:hint="eastAsia"/>
                <w:color w:val="auto"/>
                <w:highlight w:val="none"/>
              </w:rPr>
              <w:t>激光打印机</w:t>
            </w:r>
          </w:p>
        </w:tc>
        <w:tc>
          <w:tcPr>
            <w:tcW w:w="1460" w:type="pct"/>
          </w:tcPr>
          <w:p w14:paraId="071A46BE">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0D791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7B3667E9">
            <w:pPr>
              <w:spacing w:line="360" w:lineRule="auto"/>
              <w:jc w:val="center"/>
              <w:rPr>
                <w:color w:val="auto"/>
                <w:highlight w:val="none"/>
              </w:rPr>
            </w:pPr>
          </w:p>
        </w:tc>
        <w:tc>
          <w:tcPr>
            <w:tcW w:w="702" w:type="pct"/>
            <w:vMerge w:val="continue"/>
            <w:tcBorders>
              <w:top w:val="nil"/>
              <w:bottom w:val="nil"/>
            </w:tcBorders>
          </w:tcPr>
          <w:p w14:paraId="545CDD9D">
            <w:pPr>
              <w:spacing w:line="360" w:lineRule="auto"/>
              <w:jc w:val="center"/>
              <w:rPr>
                <w:color w:val="auto"/>
                <w:highlight w:val="none"/>
              </w:rPr>
            </w:pPr>
          </w:p>
        </w:tc>
        <w:tc>
          <w:tcPr>
            <w:tcW w:w="1413" w:type="pct"/>
            <w:vMerge w:val="continue"/>
            <w:tcBorders>
              <w:top w:val="nil"/>
              <w:bottom w:val="nil"/>
            </w:tcBorders>
          </w:tcPr>
          <w:p w14:paraId="21BB9531">
            <w:pPr>
              <w:spacing w:line="360" w:lineRule="auto"/>
              <w:jc w:val="left"/>
              <w:rPr>
                <w:color w:val="auto"/>
                <w:highlight w:val="none"/>
              </w:rPr>
            </w:pPr>
          </w:p>
        </w:tc>
        <w:tc>
          <w:tcPr>
            <w:tcW w:w="1002" w:type="pct"/>
          </w:tcPr>
          <w:p w14:paraId="55FE31FA">
            <w:pPr>
              <w:spacing w:line="360" w:lineRule="auto"/>
              <w:jc w:val="left"/>
              <w:rPr>
                <w:color w:val="auto"/>
                <w:highlight w:val="none"/>
              </w:rPr>
            </w:pPr>
            <w:r>
              <w:rPr>
                <w:color w:val="auto"/>
                <w:highlight w:val="none"/>
              </w:rPr>
              <w:t xml:space="preserve">A0201060103 </w:t>
            </w:r>
            <w:r>
              <w:rPr>
                <w:rFonts w:hint="eastAsia"/>
                <w:color w:val="auto"/>
                <w:highlight w:val="none"/>
              </w:rPr>
              <w:t>热式打印机</w:t>
            </w:r>
          </w:p>
        </w:tc>
        <w:tc>
          <w:tcPr>
            <w:tcW w:w="1460" w:type="pct"/>
          </w:tcPr>
          <w:p w14:paraId="6427EF35">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0281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70619E54">
            <w:pPr>
              <w:spacing w:line="360" w:lineRule="auto"/>
              <w:jc w:val="center"/>
              <w:rPr>
                <w:color w:val="auto"/>
                <w:highlight w:val="none"/>
              </w:rPr>
            </w:pPr>
          </w:p>
        </w:tc>
        <w:tc>
          <w:tcPr>
            <w:tcW w:w="702" w:type="pct"/>
            <w:vMerge w:val="continue"/>
            <w:tcBorders>
              <w:top w:val="nil"/>
              <w:bottom w:val="nil"/>
            </w:tcBorders>
          </w:tcPr>
          <w:p w14:paraId="5505043D">
            <w:pPr>
              <w:spacing w:line="360" w:lineRule="auto"/>
              <w:jc w:val="center"/>
              <w:rPr>
                <w:color w:val="auto"/>
                <w:highlight w:val="none"/>
              </w:rPr>
            </w:pPr>
          </w:p>
        </w:tc>
        <w:tc>
          <w:tcPr>
            <w:tcW w:w="1413" w:type="pct"/>
            <w:vMerge w:val="continue"/>
            <w:tcBorders>
              <w:top w:val="nil"/>
            </w:tcBorders>
          </w:tcPr>
          <w:p w14:paraId="733FC138">
            <w:pPr>
              <w:spacing w:line="360" w:lineRule="auto"/>
              <w:jc w:val="left"/>
              <w:rPr>
                <w:color w:val="auto"/>
                <w:highlight w:val="none"/>
              </w:rPr>
            </w:pPr>
          </w:p>
        </w:tc>
        <w:tc>
          <w:tcPr>
            <w:tcW w:w="1002" w:type="pct"/>
          </w:tcPr>
          <w:p w14:paraId="6B3C1AEB">
            <w:pPr>
              <w:spacing w:line="360" w:lineRule="auto"/>
              <w:jc w:val="left"/>
              <w:rPr>
                <w:color w:val="auto"/>
                <w:highlight w:val="none"/>
              </w:rPr>
            </w:pPr>
            <w:r>
              <w:rPr>
                <w:color w:val="auto"/>
                <w:highlight w:val="none"/>
              </w:rPr>
              <w:t xml:space="preserve">A0201060104 </w:t>
            </w:r>
            <w:r>
              <w:rPr>
                <w:rFonts w:hint="eastAsia"/>
                <w:color w:val="auto"/>
                <w:highlight w:val="none"/>
              </w:rPr>
              <w:t>针式打印机</w:t>
            </w:r>
          </w:p>
        </w:tc>
        <w:tc>
          <w:tcPr>
            <w:tcW w:w="1460" w:type="pct"/>
          </w:tcPr>
          <w:p w14:paraId="35A510D7">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4A565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42DC44F8">
            <w:pPr>
              <w:spacing w:line="360" w:lineRule="auto"/>
              <w:jc w:val="center"/>
              <w:rPr>
                <w:color w:val="auto"/>
                <w:highlight w:val="none"/>
              </w:rPr>
            </w:pPr>
          </w:p>
        </w:tc>
        <w:tc>
          <w:tcPr>
            <w:tcW w:w="702" w:type="pct"/>
            <w:vMerge w:val="continue"/>
            <w:tcBorders>
              <w:top w:val="nil"/>
              <w:bottom w:val="nil"/>
            </w:tcBorders>
          </w:tcPr>
          <w:p w14:paraId="576D989F">
            <w:pPr>
              <w:spacing w:line="360" w:lineRule="auto"/>
              <w:jc w:val="center"/>
              <w:rPr>
                <w:color w:val="auto"/>
                <w:highlight w:val="none"/>
              </w:rPr>
            </w:pPr>
          </w:p>
        </w:tc>
        <w:tc>
          <w:tcPr>
            <w:tcW w:w="1413" w:type="pct"/>
            <w:vMerge w:val="restart"/>
            <w:tcBorders>
              <w:bottom w:val="nil"/>
            </w:tcBorders>
          </w:tcPr>
          <w:p w14:paraId="350CB3F4">
            <w:pPr>
              <w:spacing w:line="360" w:lineRule="auto"/>
              <w:jc w:val="left"/>
              <w:rPr>
                <w:color w:val="auto"/>
                <w:highlight w:val="none"/>
              </w:rPr>
            </w:pPr>
            <w:r>
              <w:rPr>
                <w:color w:val="auto"/>
                <w:highlight w:val="none"/>
              </w:rPr>
              <w:t xml:space="preserve">A02010604 </w:t>
            </w:r>
            <w:r>
              <w:rPr>
                <w:rFonts w:hint="eastAsia"/>
                <w:color w:val="auto"/>
                <w:highlight w:val="none"/>
              </w:rPr>
              <w:t>显示设备</w:t>
            </w:r>
          </w:p>
        </w:tc>
        <w:tc>
          <w:tcPr>
            <w:tcW w:w="1002" w:type="pct"/>
          </w:tcPr>
          <w:p w14:paraId="62124F83">
            <w:pPr>
              <w:spacing w:line="360" w:lineRule="auto"/>
              <w:jc w:val="left"/>
              <w:rPr>
                <w:color w:val="auto"/>
                <w:highlight w:val="none"/>
              </w:rPr>
            </w:pPr>
            <w:r>
              <w:rPr>
                <w:color w:val="auto"/>
                <w:highlight w:val="none"/>
              </w:rPr>
              <w:t xml:space="preserve">A0201060401 </w:t>
            </w:r>
            <w:r>
              <w:rPr>
                <w:rFonts w:hint="eastAsia"/>
                <w:color w:val="auto"/>
                <w:highlight w:val="none"/>
              </w:rPr>
              <w:t>液晶显示器</w:t>
            </w:r>
          </w:p>
        </w:tc>
        <w:tc>
          <w:tcPr>
            <w:tcW w:w="1460" w:type="pct"/>
          </w:tcPr>
          <w:p w14:paraId="00CB020E">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10C03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286B91DD">
            <w:pPr>
              <w:spacing w:line="360" w:lineRule="auto"/>
              <w:jc w:val="center"/>
              <w:rPr>
                <w:color w:val="auto"/>
                <w:highlight w:val="none"/>
              </w:rPr>
            </w:pPr>
          </w:p>
        </w:tc>
        <w:tc>
          <w:tcPr>
            <w:tcW w:w="702" w:type="pct"/>
            <w:vMerge w:val="continue"/>
            <w:tcBorders>
              <w:top w:val="nil"/>
              <w:bottom w:val="nil"/>
            </w:tcBorders>
          </w:tcPr>
          <w:p w14:paraId="577D6D56">
            <w:pPr>
              <w:spacing w:line="360" w:lineRule="auto"/>
              <w:jc w:val="center"/>
              <w:rPr>
                <w:color w:val="auto"/>
                <w:highlight w:val="none"/>
              </w:rPr>
            </w:pPr>
          </w:p>
        </w:tc>
        <w:tc>
          <w:tcPr>
            <w:tcW w:w="1413" w:type="pct"/>
            <w:vMerge w:val="continue"/>
            <w:tcBorders>
              <w:top w:val="nil"/>
            </w:tcBorders>
          </w:tcPr>
          <w:p w14:paraId="549AB724">
            <w:pPr>
              <w:spacing w:line="360" w:lineRule="auto"/>
              <w:jc w:val="left"/>
              <w:rPr>
                <w:color w:val="auto"/>
                <w:highlight w:val="none"/>
              </w:rPr>
            </w:pPr>
          </w:p>
        </w:tc>
        <w:tc>
          <w:tcPr>
            <w:tcW w:w="1002" w:type="pct"/>
          </w:tcPr>
          <w:p w14:paraId="70EDF8FE">
            <w:pPr>
              <w:spacing w:line="360" w:lineRule="auto"/>
              <w:jc w:val="left"/>
              <w:rPr>
                <w:color w:val="auto"/>
                <w:highlight w:val="none"/>
              </w:rPr>
            </w:pPr>
            <w:r>
              <w:rPr>
                <w:color w:val="auto"/>
                <w:highlight w:val="none"/>
              </w:rPr>
              <w:t xml:space="preserve">A0201060499 </w:t>
            </w:r>
            <w:r>
              <w:rPr>
                <w:rFonts w:hint="eastAsia"/>
                <w:color w:val="auto"/>
                <w:highlight w:val="none"/>
              </w:rPr>
              <w:t>其他显示器</w:t>
            </w:r>
          </w:p>
        </w:tc>
        <w:tc>
          <w:tcPr>
            <w:tcW w:w="1460" w:type="pct"/>
          </w:tcPr>
          <w:p w14:paraId="11EA145A">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4B835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989A9E2">
            <w:pPr>
              <w:spacing w:line="360" w:lineRule="auto"/>
              <w:jc w:val="center"/>
              <w:rPr>
                <w:color w:val="auto"/>
                <w:highlight w:val="none"/>
              </w:rPr>
            </w:pPr>
          </w:p>
        </w:tc>
        <w:tc>
          <w:tcPr>
            <w:tcW w:w="702" w:type="pct"/>
            <w:vMerge w:val="continue"/>
            <w:tcBorders>
              <w:top w:val="nil"/>
            </w:tcBorders>
          </w:tcPr>
          <w:p w14:paraId="742CF3A6">
            <w:pPr>
              <w:spacing w:line="360" w:lineRule="auto"/>
              <w:jc w:val="center"/>
              <w:rPr>
                <w:color w:val="auto"/>
                <w:highlight w:val="none"/>
              </w:rPr>
            </w:pPr>
          </w:p>
        </w:tc>
        <w:tc>
          <w:tcPr>
            <w:tcW w:w="1413" w:type="pct"/>
          </w:tcPr>
          <w:p w14:paraId="32C5230A">
            <w:pPr>
              <w:spacing w:line="360" w:lineRule="auto"/>
              <w:jc w:val="left"/>
              <w:rPr>
                <w:color w:val="auto"/>
                <w:highlight w:val="none"/>
              </w:rPr>
            </w:pPr>
            <w:r>
              <w:rPr>
                <w:color w:val="auto"/>
                <w:highlight w:val="none"/>
              </w:rPr>
              <w:t xml:space="preserve">A02010609 </w:t>
            </w:r>
            <w:r>
              <w:rPr>
                <w:rFonts w:hint="eastAsia"/>
                <w:color w:val="auto"/>
                <w:highlight w:val="none"/>
              </w:rPr>
              <w:t>图形图像输入设备</w:t>
            </w:r>
          </w:p>
        </w:tc>
        <w:tc>
          <w:tcPr>
            <w:tcW w:w="1002" w:type="pct"/>
          </w:tcPr>
          <w:p w14:paraId="5C9E5384">
            <w:pPr>
              <w:spacing w:line="360" w:lineRule="auto"/>
              <w:jc w:val="left"/>
              <w:rPr>
                <w:color w:val="auto"/>
                <w:highlight w:val="none"/>
              </w:rPr>
            </w:pPr>
            <w:r>
              <w:rPr>
                <w:color w:val="auto"/>
                <w:highlight w:val="none"/>
              </w:rPr>
              <w:t xml:space="preserve">A0201060901 </w:t>
            </w:r>
            <w:r>
              <w:rPr>
                <w:rFonts w:hint="eastAsia"/>
                <w:color w:val="auto"/>
                <w:highlight w:val="none"/>
              </w:rPr>
              <w:t>扫描仪</w:t>
            </w:r>
          </w:p>
        </w:tc>
        <w:tc>
          <w:tcPr>
            <w:tcW w:w="1460" w:type="pct"/>
          </w:tcPr>
          <w:p w14:paraId="3409BBB0">
            <w:pPr>
              <w:spacing w:line="360" w:lineRule="auto"/>
              <w:jc w:val="left"/>
              <w:rPr>
                <w:color w:val="auto"/>
                <w:highlight w:val="none"/>
              </w:rPr>
            </w:pPr>
            <w:r>
              <w:rPr>
                <w:color w:val="auto"/>
                <w:highlight w:val="none"/>
              </w:rPr>
              <w:t xml:space="preserve">HJ2517 </w:t>
            </w:r>
            <w:r>
              <w:rPr>
                <w:rFonts w:hint="eastAsia"/>
                <w:color w:val="auto"/>
                <w:highlight w:val="none"/>
              </w:rPr>
              <w:t>扫描仪</w:t>
            </w:r>
          </w:p>
        </w:tc>
      </w:tr>
      <w:tr w14:paraId="6F7FF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1DCA379D">
            <w:pPr>
              <w:spacing w:line="360" w:lineRule="auto"/>
              <w:jc w:val="center"/>
              <w:rPr>
                <w:color w:val="auto"/>
                <w:highlight w:val="none"/>
              </w:rPr>
            </w:pPr>
            <w:r>
              <w:rPr>
                <w:color w:val="auto"/>
                <w:highlight w:val="none"/>
              </w:rPr>
              <w:t>3</w:t>
            </w:r>
          </w:p>
        </w:tc>
        <w:tc>
          <w:tcPr>
            <w:tcW w:w="702" w:type="pct"/>
          </w:tcPr>
          <w:p w14:paraId="5B3CFBF5">
            <w:pPr>
              <w:spacing w:line="360" w:lineRule="auto"/>
              <w:jc w:val="center"/>
              <w:rPr>
                <w:color w:val="auto"/>
                <w:highlight w:val="none"/>
              </w:rPr>
            </w:pPr>
            <w:r>
              <w:rPr>
                <w:color w:val="auto"/>
                <w:highlight w:val="none"/>
              </w:rPr>
              <w:t xml:space="preserve">A020202 </w:t>
            </w:r>
            <w:r>
              <w:rPr>
                <w:rFonts w:hint="eastAsia"/>
                <w:color w:val="auto"/>
                <w:highlight w:val="none"/>
              </w:rPr>
              <w:t>投影仪</w:t>
            </w:r>
          </w:p>
        </w:tc>
        <w:tc>
          <w:tcPr>
            <w:tcW w:w="1413" w:type="pct"/>
          </w:tcPr>
          <w:p w14:paraId="7AE59690">
            <w:pPr>
              <w:spacing w:line="360" w:lineRule="auto"/>
              <w:jc w:val="left"/>
              <w:rPr>
                <w:color w:val="auto"/>
                <w:highlight w:val="none"/>
              </w:rPr>
            </w:pPr>
          </w:p>
        </w:tc>
        <w:tc>
          <w:tcPr>
            <w:tcW w:w="1002" w:type="pct"/>
          </w:tcPr>
          <w:p w14:paraId="4D416D4E">
            <w:pPr>
              <w:spacing w:line="360" w:lineRule="auto"/>
              <w:jc w:val="left"/>
              <w:rPr>
                <w:color w:val="auto"/>
                <w:highlight w:val="none"/>
              </w:rPr>
            </w:pPr>
          </w:p>
        </w:tc>
        <w:tc>
          <w:tcPr>
            <w:tcW w:w="1460" w:type="pct"/>
          </w:tcPr>
          <w:p w14:paraId="6E37B150">
            <w:pPr>
              <w:spacing w:line="360" w:lineRule="auto"/>
              <w:jc w:val="left"/>
              <w:rPr>
                <w:color w:val="auto"/>
                <w:highlight w:val="none"/>
              </w:rPr>
            </w:pPr>
            <w:r>
              <w:rPr>
                <w:color w:val="auto"/>
                <w:highlight w:val="none"/>
              </w:rPr>
              <w:t xml:space="preserve">HJ2516 </w:t>
            </w:r>
            <w:r>
              <w:rPr>
                <w:rFonts w:hint="eastAsia"/>
                <w:color w:val="auto"/>
                <w:highlight w:val="none"/>
              </w:rPr>
              <w:t>投影仪</w:t>
            </w:r>
          </w:p>
        </w:tc>
      </w:tr>
      <w:tr w14:paraId="577CC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Pr>
          <w:p w14:paraId="57D91974">
            <w:pPr>
              <w:spacing w:line="360" w:lineRule="auto"/>
              <w:jc w:val="center"/>
              <w:rPr>
                <w:color w:val="auto"/>
                <w:highlight w:val="none"/>
              </w:rPr>
            </w:pPr>
            <w:r>
              <w:rPr>
                <w:color w:val="auto"/>
                <w:highlight w:val="none"/>
              </w:rPr>
              <w:t>4</w:t>
            </w:r>
          </w:p>
        </w:tc>
        <w:tc>
          <w:tcPr>
            <w:tcW w:w="702" w:type="pct"/>
          </w:tcPr>
          <w:p w14:paraId="226636BA">
            <w:pPr>
              <w:spacing w:line="360" w:lineRule="auto"/>
              <w:jc w:val="center"/>
              <w:rPr>
                <w:color w:val="auto"/>
                <w:highlight w:val="none"/>
              </w:rPr>
            </w:pPr>
            <w:r>
              <w:rPr>
                <w:color w:val="auto"/>
                <w:highlight w:val="none"/>
              </w:rPr>
              <w:t xml:space="preserve">A020201 </w:t>
            </w:r>
            <w:r>
              <w:rPr>
                <w:rFonts w:hint="eastAsia"/>
                <w:color w:val="auto"/>
                <w:highlight w:val="none"/>
              </w:rPr>
              <w:t>复印机</w:t>
            </w:r>
          </w:p>
        </w:tc>
        <w:tc>
          <w:tcPr>
            <w:tcW w:w="1413" w:type="pct"/>
          </w:tcPr>
          <w:p w14:paraId="33748C23">
            <w:pPr>
              <w:spacing w:line="360" w:lineRule="auto"/>
              <w:jc w:val="left"/>
              <w:rPr>
                <w:color w:val="auto"/>
                <w:highlight w:val="none"/>
              </w:rPr>
            </w:pPr>
          </w:p>
        </w:tc>
        <w:tc>
          <w:tcPr>
            <w:tcW w:w="1002" w:type="pct"/>
          </w:tcPr>
          <w:p w14:paraId="0B2F5033">
            <w:pPr>
              <w:spacing w:line="360" w:lineRule="auto"/>
              <w:jc w:val="left"/>
              <w:rPr>
                <w:color w:val="auto"/>
                <w:highlight w:val="none"/>
              </w:rPr>
            </w:pPr>
          </w:p>
        </w:tc>
        <w:tc>
          <w:tcPr>
            <w:tcW w:w="1460" w:type="pct"/>
          </w:tcPr>
          <w:p w14:paraId="7B328E21">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14:paraId="0E86E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4F29EBDE">
            <w:pPr>
              <w:spacing w:line="360" w:lineRule="auto"/>
              <w:jc w:val="center"/>
              <w:rPr>
                <w:color w:val="auto"/>
                <w:highlight w:val="none"/>
              </w:rPr>
            </w:pPr>
            <w:r>
              <w:rPr>
                <w:color w:val="auto"/>
                <w:highlight w:val="none"/>
              </w:rPr>
              <w:t>5</w:t>
            </w:r>
          </w:p>
        </w:tc>
        <w:tc>
          <w:tcPr>
            <w:tcW w:w="702" w:type="pct"/>
          </w:tcPr>
          <w:p w14:paraId="6204B792">
            <w:pPr>
              <w:spacing w:line="360" w:lineRule="auto"/>
              <w:jc w:val="center"/>
              <w:rPr>
                <w:color w:val="auto"/>
                <w:highlight w:val="none"/>
              </w:rPr>
            </w:pPr>
            <w:r>
              <w:rPr>
                <w:color w:val="auto"/>
                <w:highlight w:val="none"/>
              </w:rPr>
              <w:t xml:space="preserve">A020204 </w:t>
            </w:r>
            <w:r>
              <w:rPr>
                <w:rFonts w:hint="eastAsia"/>
                <w:color w:val="auto"/>
                <w:highlight w:val="none"/>
              </w:rPr>
              <w:t>多功能</w:t>
            </w:r>
            <w:r>
              <w:rPr>
                <w:color w:val="auto"/>
                <w:highlight w:val="none"/>
              </w:rPr>
              <w:t xml:space="preserve"> </w:t>
            </w:r>
            <w:r>
              <w:rPr>
                <w:rFonts w:hint="eastAsia"/>
                <w:color w:val="auto"/>
                <w:highlight w:val="none"/>
              </w:rPr>
              <w:t>一体机</w:t>
            </w:r>
          </w:p>
        </w:tc>
        <w:tc>
          <w:tcPr>
            <w:tcW w:w="1413" w:type="pct"/>
          </w:tcPr>
          <w:p w14:paraId="7CB45E31">
            <w:pPr>
              <w:spacing w:line="360" w:lineRule="auto"/>
              <w:jc w:val="left"/>
              <w:rPr>
                <w:color w:val="auto"/>
                <w:highlight w:val="none"/>
              </w:rPr>
            </w:pPr>
          </w:p>
        </w:tc>
        <w:tc>
          <w:tcPr>
            <w:tcW w:w="1002" w:type="pct"/>
          </w:tcPr>
          <w:p w14:paraId="5BAD0ED1">
            <w:pPr>
              <w:spacing w:line="360" w:lineRule="auto"/>
              <w:jc w:val="left"/>
              <w:rPr>
                <w:color w:val="auto"/>
                <w:highlight w:val="none"/>
              </w:rPr>
            </w:pPr>
          </w:p>
        </w:tc>
        <w:tc>
          <w:tcPr>
            <w:tcW w:w="1460" w:type="pct"/>
          </w:tcPr>
          <w:p w14:paraId="2CD30041">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14:paraId="1B052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615BE7AD">
            <w:pPr>
              <w:spacing w:line="360" w:lineRule="auto"/>
              <w:jc w:val="center"/>
              <w:rPr>
                <w:color w:val="auto"/>
                <w:highlight w:val="none"/>
              </w:rPr>
            </w:pPr>
            <w:r>
              <w:rPr>
                <w:color w:val="auto"/>
                <w:highlight w:val="none"/>
              </w:rPr>
              <w:t>6</w:t>
            </w:r>
          </w:p>
        </w:tc>
        <w:tc>
          <w:tcPr>
            <w:tcW w:w="702" w:type="pct"/>
          </w:tcPr>
          <w:p w14:paraId="4057BEFA">
            <w:pPr>
              <w:spacing w:line="360" w:lineRule="auto"/>
              <w:jc w:val="center"/>
              <w:rPr>
                <w:color w:val="auto"/>
                <w:highlight w:val="none"/>
              </w:rPr>
            </w:pPr>
            <w:r>
              <w:rPr>
                <w:color w:val="auto"/>
                <w:highlight w:val="none"/>
              </w:rPr>
              <w:t xml:space="preserve">A020210 </w:t>
            </w:r>
            <w:r>
              <w:rPr>
                <w:rFonts w:hint="eastAsia"/>
                <w:color w:val="auto"/>
                <w:highlight w:val="none"/>
              </w:rPr>
              <w:t>文</w:t>
            </w:r>
            <w:r>
              <w:rPr>
                <w:color w:val="auto"/>
                <w:highlight w:val="none"/>
              </w:rPr>
              <w:t xml:space="preserve"> </w:t>
            </w:r>
            <w:r>
              <w:rPr>
                <w:rFonts w:hint="eastAsia"/>
                <w:color w:val="auto"/>
                <w:highlight w:val="none"/>
              </w:rPr>
              <w:t>印设</w:t>
            </w:r>
            <w:r>
              <w:rPr>
                <w:color w:val="auto"/>
                <w:highlight w:val="none"/>
              </w:rPr>
              <w:t xml:space="preserve"> </w:t>
            </w:r>
            <w:r>
              <w:rPr>
                <w:rFonts w:hint="eastAsia"/>
                <w:color w:val="auto"/>
                <w:highlight w:val="none"/>
              </w:rPr>
              <w:t>备</w:t>
            </w:r>
          </w:p>
        </w:tc>
        <w:tc>
          <w:tcPr>
            <w:tcW w:w="1413" w:type="pct"/>
          </w:tcPr>
          <w:p w14:paraId="654B86AC">
            <w:pPr>
              <w:spacing w:line="360" w:lineRule="auto"/>
              <w:jc w:val="left"/>
              <w:rPr>
                <w:color w:val="auto"/>
                <w:highlight w:val="none"/>
              </w:rPr>
            </w:pPr>
            <w:r>
              <w:rPr>
                <w:color w:val="auto"/>
                <w:highlight w:val="none"/>
              </w:rPr>
              <w:t xml:space="preserve">A02021001 </w:t>
            </w:r>
            <w:r>
              <w:rPr>
                <w:rFonts w:hint="eastAsia"/>
                <w:color w:val="auto"/>
                <w:highlight w:val="none"/>
              </w:rPr>
              <w:t>速印机</w:t>
            </w:r>
          </w:p>
        </w:tc>
        <w:tc>
          <w:tcPr>
            <w:tcW w:w="1002" w:type="pct"/>
          </w:tcPr>
          <w:p w14:paraId="0AA226EF">
            <w:pPr>
              <w:spacing w:line="360" w:lineRule="auto"/>
              <w:jc w:val="left"/>
              <w:rPr>
                <w:color w:val="auto"/>
                <w:highlight w:val="none"/>
              </w:rPr>
            </w:pPr>
          </w:p>
        </w:tc>
        <w:tc>
          <w:tcPr>
            <w:tcW w:w="1460" w:type="pct"/>
          </w:tcPr>
          <w:p w14:paraId="1D91EBB7">
            <w:pPr>
              <w:spacing w:line="360" w:lineRule="auto"/>
              <w:jc w:val="left"/>
              <w:rPr>
                <w:color w:val="auto"/>
                <w:highlight w:val="none"/>
              </w:rPr>
            </w:pPr>
            <w:r>
              <w:rPr>
                <w:color w:val="auto"/>
                <w:highlight w:val="none"/>
              </w:rPr>
              <w:t xml:space="preserve">HJ472 </w:t>
            </w:r>
            <w:r>
              <w:rPr>
                <w:rFonts w:hint="eastAsia"/>
                <w:color w:val="auto"/>
                <w:highlight w:val="none"/>
              </w:rPr>
              <w:t>数字式一体化速印机</w:t>
            </w:r>
          </w:p>
        </w:tc>
      </w:tr>
      <w:tr w14:paraId="621FE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21" w:type="pct"/>
          </w:tcPr>
          <w:p w14:paraId="4F556200">
            <w:pPr>
              <w:spacing w:line="360" w:lineRule="auto"/>
              <w:jc w:val="center"/>
              <w:rPr>
                <w:color w:val="auto"/>
                <w:highlight w:val="none"/>
              </w:rPr>
            </w:pPr>
            <w:r>
              <w:rPr>
                <w:color w:val="auto"/>
                <w:highlight w:val="none"/>
              </w:rPr>
              <w:t>7</w:t>
            </w:r>
          </w:p>
        </w:tc>
        <w:tc>
          <w:tcPr>
            <w:tcW w:w="702" w:type="pct"/>
          </w:tcPr>
          <w:p w14:paraId="7D32C1DC">
            <w:pPr>
              <w:spacing w:line="360" w:lineRule="auto"/>
              <w:jc w:val="center"/>
              <w:rPr>
                <w:color w:val="auto"/>
                <w:highlight w:val="none"/>
              </w:rPr>
            </w:pPr>
            <w:r>
              <w:rPr>
                <w:color w:val="auto"/>
                <w:highlight w:val="none"/>
              </w:rPr>
              <w:t xml:space="preserve">A020301 </w:t>
            </w:r>
            <w:r>
              <w:rPr>
                <w:rFonts w:hint="eastAsia"/>
                <w:color w:val="auto"/>
                <w:highlight w:val="none"/>
              </w:rPr>
              <w:t>载货汽</w:t>
            </w:r>
            <w:r>
              <w:rPr>
                <w:color w:val="auto"/>
                <w:highlight w:val="none"/>
              </w:rPr>
              <w:t xml:space="preserve">  </w:t>
            </w:r>
            <w:r>
              <w:rPr>
                <w:rFonts w:hint="eastAsia"/>
                <w:color w:val="auto"/>
                <w:highlight w:val="none"/>
              </w:rPr>
              <w:t>车（含自卸汽车）</w:t>
            </w:r>
          </w:p>
        </w:tc>
        <w:tc>
          <w:tcPr>
            <w:tcW w:w="1413" w:type="pct"/>
          </w:tcPr>
          <w:p w14:paraId="39E93558">
            <w:pPr>
              <w:spacing w:line="360" w:lineRule="auto"/>
              <w:jc w:val="left"/>
              <w:rPr>
                <w:color w:val="auto"/>
                <w:highlight w:val="none"/>
              </w:rPr>
            </w:pPr>
          </w:p>
        </w:tc>
        <w:tc>
          <w:tcPr>
            <w:tcW w:w="1002" w:type="pct"/>
          </w:tcPr>
          <w:p w14:paraId="3A3612A3">
            <w:pPr>
              <w:spacing w:line="360" w:lineRule="auto"/>
              <w:jc w:val="left"/>
              <w:rPr>
                <w:color w:val="auto"/>
                <w:highlight w:val="none"/>
              </w:rPr>
            </w:pPr>
          </w:p>
        </w:tc>
        <w:tc>
          <w:tcPr>
            <w:tcW w:w="1460" w:type="pct"/>
          </w:tcPr>
          <w:p w14:paraId="5F697378">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044D8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pct"/>
            <w:vMerge w:val="restart"/>
            <w:tcBorders>
              <w:bottom w:val="nil"/>
            </w:tcBorders>
          </w:tcPr>
          <w:p w14:paraId="36DAE3BC">
            <w:pPr>
              <w:spacing w:line="360" w:lineRule="auto"/>
              <w:jc w:val="center"/>
              <w:rPr>
                <w:color w:val="auto"/>
                <w:highlight w:val="none"/>
              </w:rPr>
            </w:pPr>
            <w:r>
              <w:rPr>
                <w:color w:val="auto"/>
                <w:highlight w:val="none"/>
              </w:rPr>
              <w:t>8</w:t>
            </w:r>
          </w:p>
        </w:tc>
        <w:tc>
          <w:tcPr>
            <w:tcW w:w="702" w:type="pct"/>
            <w:vMerge w:val="restart"/>
            <w:tcBorders>
              <w:bottom w:val="nil"/>
            </w:tcBorders>
          </w:tcPr>
          <w:p w14:paraId="642B6342">
            <w:pPr>
              <w:spacing w:line="360" w:lineRule="auto"/>
              <w:jc w:val="center"/>
              <w:rPr>
                <w:color w:val="auto"/>
                <w:highlight w:val="none"/>
              </w:rPr>
            </w:pPr>
            <w:r>
              <w:rPr>
                <w:color w:val="auto"/>
                <w:highlight w:val="none"/>
              </w:rPr>
              <w:t xml:space="preserve">A020305 </w:t>
            </w:r>
            <w:r>
              <w:rPr>
                <w:rFonts w:hint="eastAsia"/>
                <w:color w:val="auto"/>
                <w:highlight w:val="none"/>
              </w:rPr>
              <w:t>乘用车</w:t>
            </w:r>
            <w:r>
              <w:rPr>
                <w:color w:val="auto"/>
                <w:highlight w:val="none"/>
              </w:rPr>
              <w:t xml:space="preserve"> </w:t>
            </w:r>
            <w:r>
              <w:rPr>
                <w:rFonts w:hint="eastAsia"/>
                <w:color w:val="auto"/>
                <w:highlight w:val="none"/>
              </w:rPr>
              <w:t>（轿车）</w:t>
            </w:r>
          </w:p>
        </w:tc>
        <w:tc>
          <w:tcPr>
            <w:tcW w:w="1413" w:type="pct"/>
          </w:tcPr>
          <w:p w14:paraId="23AAB253">
            <w:pPr>
              <w:spacing w:line="360" w:lineRule="auto"/>
              <w:jc w:val="left"/>
              <w:rPr>
                <w:color w:val="auto"/>
                <w:highlight w:val="none"/>
              </w:rPr>
            </w:pPr>
            <w:r>
              <w:rPr>
                <w:color w:val="auto"/>
                <w:highlight w:val="none"/>
              </w:rPr>
              <w:t xml:space="preserve">A02030501 </w:t>
            </w:r>
            <w:r>
              <w:rPr>
                <w:rFonts w:hint="eastAsia"/>
                <w:color w:val="auto"/>
                <w:highlight w:val="none"/>
              </w:rPr>
              <w:t>轿车</w:t>
            </w:r>
          </w:p>
        </w:tc>
        <w:tc>
          <w:tcPr>
            <w:tcW w:w="1002" w:type="pct"/>
          </w:tcPr>
          <w:p w14:paraId="7AD3916E">
            <w:pPr>
              <w:spacing w:line="360" w:lineRule="auto"/>
              <w:jc w:val="left"/>
              <w:rPr>
                <w:color w:val="auto"/>
                <w:highlight w:val="none"/>
              </w:rPr>
            </w:pPr>
          </w:p>
        </w:tc>
        <w:tc>
          <w:tcPr>
            <w:tcW w:w="1460" w:type="pct"/>
          </w:tcPr>
          <w:p w14:paraId="447F7E47">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11C06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2B21EF82">
            <w:pPr>
              <w:spacing w:line="360" w:lineRule="auto"/>
              <w:jc w:val="center"/>
              <w:rPr>
                <w:color w:val="auto"/>
                <w:highlight w:val="none"/>
              </w:rPr>
            </w:pPr>
          </w:p>
        </w:tc>
        <w:tc>
          <w:tcPr>
            <w:tcW w:w="702" w:type="pct"/>
            <w:vMerge w:val="continue"/>
            <w:tcBorders>
              <w:top w:val="nil"/>
            </w:tcBorders>
          </w:tcPr>
          <w:p w14:paraId="20714B97">
            <w:pPr>
              <w:spacing w:line="360" w:lineRule="auto"/>
              <w:jc w:val="center"/>
              <w:rPr>
                <w:color w:val="auto"/>
                <w:highlight w:val="none"/>
              </w:rPr>
            </w:pPr>
          </w:p>
        </w:tc>
        <w:tc>
          <w:tcPr>
            <w:tcW w:w="1413" w:type="pct"/>
          </w:tcPr>
          <w:p w14:paraId="5A76A0A2">
            <w:pPr>
              <w:spacing w:line="360" w:lineRule="auto"/>
              <w:jc w:val="left"/>
              <w:rPr>
                <w:color w:val="auto"/>
                <w:highlight w:val="none"/>
              </w:rPr>
            </w:pPr>
            <w:r>
              <w:rPr>
                <w:color w:val="auto"/>
                <w:highlight w:val="none"/>
              </w:rPr>
              <w:t xml:space="preserve">A02030599 </w:t>
            </w:r>
            <w:r>
              <w:rPr>
                <w:rFonts w:hint="eastAsia"/>
                <w:color w:val="auto"/>
                <w:highlight w:val="none"/>
              </w:rPr>
              <w:t>其他乘用车（轿车）</w:t>
            </w:r>
          </w:p>
        </w:tc>
        <w:tc>
          <w:tcPr>
            <w:tcW w:w="1002" w:type="pct"/>
          </w:tcPr>
          <w:p w14:paraId="0CC0CE71">
            <w:pPr>
              <w:spacing w:line="360" w:lineRule="auto"/>
              <w:jc w:val="left"/>
              <w:rPr>
                <w:color w:val="auto"/>
                <w:highlight w:val="none"/>
              </w:rPr>
            </w:pPr>
          </w:p>
        </w:tc>
        <w:tc>
          <w:tcPr>
            <w:tcW w:w="1460" w:type="pct"/>
          </w:tcPr>
          <w:p w14:paraId="1D519BC2">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391A4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14:paraId="470BC45E">
            <w:pPr>
              <w:spacing w:line="360" w:lineRule="auto"/>
              <w:jc w:val="center"/>
              <w:rPr>
                <w:color w:val="auto"/>
                <w:highlight w:val="none"/>
              </w:rPr>
            </w:pPr>
            <w:r>
              <w:rPr>
                <w:color w:val="auto"/>
                <w:highlight w:val="none"/>
              </w:rPr>
              <w:t>9</w:t>
            </w:r>
          </w:p>
        </w:tc>
        <w:tc>
          <w:tcPr>
            <w:tcW w:w="702" w:type="pct"/>
          </w:tcPr>
          <w:p w14:paraId="04C71DB1">
            <w:pPr>
              <w:spacing w:line="360" w:lineRule="auto"/>
              <w:jc w:val="center"/>
              <w:rPr>
                <w:color w:val="auto"/>
                <w:highlight w:val="none"/>
              </w:rPr>
            </w:pPr>
            <w:r>
              <w:rPr>
                <w:color w:val="auto"/>
                <w:highlight w:val="none"/>
              </w:rPr>
              <w:t xml:space="preserve">A020306 </w:t>
            </w:r>
            <w:r>
              <w:rPr>
                <w:rFonts w:hint="eastAsia"/>
                <w:color w:val="auto"/>
                <w:highlight w:val="none"/>
              </w:rPr>
              <w:t>客车</w:t>
            </w:r>
          </w:p>
        </w:tc>
        <w:tc>
          <w:tcPr>
            <w:tcW w:w="1413" w:type="pct"/>
          </w:tcPr>
          <w:p w14:paraId="699B9666">
            <w:pPr>
              <w:spacing w:line="360" w:lineRule="auto"/>
              <w:jc w:val="left"/>
              <w:rPr>
                <w:color w:val="auto"/>
                <w:highlight w:val="none"/>
              </w:rPr>
            </w:pPr>
            <w:r>
              <w:rPr>
                <w:color w:val="auto"/>
                <w:highlight w:val="none"/>
              </w:rPr>
              <w:t xml:space="preserve">A02030601 </w:t>
            </w:r>
            <w:r>
              <w:rPr>
                <w:rFonts w:hint="eastAsia"/>
                <w:color w:val="auto"/>
                <w:highlight w:val="none"/>
              </w:rPr>
              <w:t>小型客车</w:t>
            </w:r>
          </w:p>
        </w:tc>
        <w:tc>
          <w:tcPr>
            <w:tcW w:w="1002" w:type="pct"/>
          </w:tcPr>
          <w:p w14:paraId="328F3417">
            <w:pPr>
              <w:spacing w:line="360" w:lineRule="auto"/>
              <w:jc w:val="left"/>
              <w:rPr>
                <w:color w:val="auto"/>
                <w:highlight w:val="none"/>
              </w:rPr>
            </w:pPr>
          </w:p>
        </w:tc>
        <w:tc>
          <w:tcPr>
            <w:tcW w:w="1460" w:type="pct"/>
          </w:tcPr>
          <w:p w14:paraId="5937A11E">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01C11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092B4521">
            <w:pPr>
              <w:spacing w:line="360" w:lineRule="auto"/>
              <w:jc w:val="center"/>
              <w:rPr>
                <w:color w:val="auto"/>
                <w:highlight w:val="none"/>
              </w:rPr>
            </w:pPr>
            <w:r>
              <w:rPr>
                <w:color w:val="auto"/>
                <w:highlight w:val="none"/>
              </w:rPr>
              <w:t>10</w:t>
            </w:r>
          </w:p>
        </w:tc>
        <w:tc>
          <w:tcPr>
            <w:tcW w:w="702" w:type="pct"/>
          </w:tcPr>
          <w:p w14:paraId="0DBD91DF">
            <w:pPr>
              <w:spacing w:line="360" w:lineRule="auto"/>
              <w:jc w:val="center"/>
              <w:rPr>
                <w:color w:val="auto"/>
                <w:highlight w:val="none"/>
              </w:rPr>
            </w:pPr>
            <w:r>
              <w:rPr>
                <w:color w:val="auto"/>
                <w:highlight w:val="none"/>
              </w:rPr>
              <w:t xml:space="preserve">A020307 </w:t>
            </w:r>
            <w:r>
              <w:rPr>
                <w:rFonts w:hint="eastAsia"/>
                <w:color w:val="auto"/>
                <w:highlight w:val="none"/>
              </w:rPr>
              <w:t>专用车</w:t>
            </w:r>
            <w:r>
              <w:rPr>
                <w:color w:val="auto"/>
                <w:highlight w:val="none"/>
              </w:rPr>
              <w:t xml:space="preserve"> </w:t>
            </w:r>
            <w:r>
              <w:rPr>
                <w:rFonts w:hint="eastAsia"/>
                <w:color w:val="auto"/>
                <w:highlight w:val="none"/>
              </w:rPr>
              <w:t>辆</w:t>
            </w:r>
          </w:p>
        </w:tc>
        <w:tc>
          <w:tcPr>
            <w:tcW w:w="1413" w:type="pct"/>
          </w:tcPr>
          <w:p w14:paraId="731DDBE2">
            <w:pPr>
              <w:spacing w:line="360" w:lineRule="auto"/>
              <w:jc w:val="left"/>
              <w:rPr>
                <w:color w:val="auto"/>
                <w:highlight w:val="none"/>
              </w:rPr>
            </w:pPr>
            <w:r>
              <w:rPr>
                <w:color w:val="auto"/>
                <w:highlight w:val="none"/>
              </w:rPr>
              <w:t xml:space="preserve">A02030799 </w:t>
            </w:r>
            <w:r>
              <w:rPr>
                <w:rFonts w:hint="eastAsia"/>
                <w:color w:val="auto"/>
                <w:highlight w:val="none"/>
              </w:rPr>
              <w:t>其他专用汽车</w:t>
            </w:r>
          </w:p>
        </w:tc>
        <w:tc>
          <w:tcPr>
            <w:tcW w:w="1002" w:type="pct"/>
          </w:tcPr>
          <w:p w14:paraId="04C377E3">
            <w:pPr>
              <w:spacing w:line="360" w:lineRule="auto"/>
              <w:jc w:val="left"/>
              <w:rPr>
                <w:color w:val="auto"/>
                <w:highlight w:val="none"/>
              </w:rPr>
            </w:pPr>
          </w:p>
        </w:tc>
        <w:tc>
          <w:tcPr>
            <w:tcW w:w="1460" w:type="pct"/>
          </w:tcPr>
          <w:p w14:paraId="5CF1D9BA">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53318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vMerge w:val="restart"/>
            <w:tcBorders>
              <w:bottom w:val="nil"/>
            </w:tcBorders>
          </w:tcPr>
          <w:p w14:paraId="1EC65286">
            <w:pPr>
              <w:spacing w:line="360" w:lineRule="auto"/>
              <w:jc w:val="center"/>
              <w:rPr>
                <w:color w:val="auto"/>
                <w:highlight w:val="none"/>
              </w:rPr>
            </w:pPr>
            <w:r>
              <w:rPr>
                <w:color w:val="auto"/>
                <w:highlight w:val="none"/>
              </w:rPr>
              <w:t>11</w:t>
            </w:r>
          </w:p>
        </w:tc>
        <w:tc>
          <w:tcPr>
            <w:tcW w:w="702" w:type="pct"/>
            <w:vMerge w:val="restart"/>
            <w:tcBorders>
              <w:bottom w:val="nil"/>
            </w:tcBorders>
          </w:tcPr>
          <w:p w14:paraId="30C6A375">
            <w:pPr>
              <w:spacing w:line="360" w:lineRule="auto"/>
              <w:jc w:val="center"/>
              <w:rPr>
                <w:color w:val="auto"/>
                <w:highlight w:val="none"/>
              </w:rPr>
            </w:pPr>
            <w:r>
              <w:rPr>
                <w:color w:val="auto"/>
                <w:highlight w:val="none"/>
              </w:rPr>
              <w:t xml:space="preserve">A020523 </w:t>
            </w:r>
            <w:r>
              <w:rPr>
                <w:rFonts w:hint="eastAsia"/>
                <w:color w:val="auto"/>
                <w:highlight w:val="none"/>
              </w:rPr>
              <w:t>制冷空</w:t>
            </w:r>
            <w:r>
              <w:rPr>
                <w:color w:val="auto"/>
                <w:highlight w:val="none"/>
              </w:rPr>
              <w:t xml:space="preserve"> </w:t>
            </w:r>
            <w:r>
              <w:rPr>
                <w:rFonts w:hint="eastAsia"/>
                <w:color w:val="auto"/>
                <w:highlight w:val="none"/>
              </w:rPr>
              <w:t>调设备</w:t>
            </w:r>
          </w:p>
        </w:tc>
        <w:tc>
          <w:tcPr>
            <w:tcW w:w="1413" w:type="pct"/>
          </w:tcPr>
          <w:p w14:paraId="297A71CF">
            <w:pPr>
              <w:spacing w:line="360" w:lineRule="auto"/>
              <w:jc w:val="left"/>
              <w:rPr>
                <w:color w:val="auto"/>
                <w:highlight w:val="none"/>
              </w:rPr>
            </w:pPr>
            <w:r>
              <w:rPr>
                <w:color w:val="auto"/>
                <w:highlight w:val="none"/>
              </w:rPr>
              <w:t xml:space="preserve">A02052301 </w:t>
            </w:r>
            <w:r>
              <w:rPr>
                <w:rFonts w:hint="eastAsia"/>
                <w:color w:val="auto"/>
                <w:highlight w:val="none"/>
              </w:rPr>
              <w:t>制冷压缩机</w:t>
            </w:r>
          </w:p>
        </w:tc>
        <w:tc>
          <w:tcPr>
            <w:tcW w:w="1002" w:type="pct"/>
          </w:tcPr>
          <w:p w14:paraId="59F0E205">
            <w:pPr>
              <w:spacing w:line="360" w:lineRule="auto"/>
              <w:jc w:val="left"/>
              <w:rPr>
                <w:color w:val="auto"/>
                <w:highlight w:val="none"/>
              </w:rPr>
            </w:pPr>
          </w:p>
        </w:tc>
        <w:tc>
          <w:tcPr>
            <w:tcW w:w="1460" w:type="pct"/>
          </w:tcPr>
          <w:p w14:paraId="23AB6447">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14:paraId="603D5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bottom w:val="nil"/>
            </w:tcBorders>
          </w:tcPr>
          <w:p w14:paraId="15E49AA5">
            <w:pPr>
              <w:spacing w:line="360" w:lineRule="auto"/>
              <w:jc w:val="center"/>
              <w:rPr>
                <w:color w:val="auto"/>
                <w:highlight w:val="none"/>
              </w:rPr>
            </w:pPr>
          </w:p>
        </w:tc>
        <w:tc>
          <w:tcPr>
            <w:tcW w:w="702" w:type="pct"/>
            <w:vMerge w:val="continue"/>
            <w:tcBorders>
              <w:top w:val="nil"/>
              <w:bottom w:val="nil"/>
            </w:tcBorders>
          </w:tcPr>
          <w:p w14:paraId="61C8A6CA">
            <w:pPr>
              <w:spacing w:line="360" w:lineRule="auto"/>
              <w:jc w:val="center"/>
              <w:rPr>
                <w:color w:val="auto"/>
                <w:highlight w:val="none"/>
              </w:rPr>
            </w:pPr>
          </w:p>
        </w:tc>
        <w:tc>
          <w:tcPr>
            <w:tcW w:w="1413" w:type="pct"/>
          </w:tcPr>
          <w:p w14:paraId="14F83E2E">
            <w:pPr>
              <w:spacing w:line="360" w:lineRule="auto"/>
              <w:jc w:val="left"/>
              <w:rPr>
                <w:color w:val="auto"/>
                <w:highlight w:val="none"/>
              </w:rPr>
            </w:pPr>
            <w:r>
              <w:rPr>
                <w:color w:val="auto"/>
                <w:highlight w:val="none"/>
              </w:rPr>
              <w:t xml:space="preserve">A02052305 </w:t>
            </w:r>
            <w:r>
              <w:rPr>
                <w:rFonts w:hint="eastAsia"/>
                <w:color w:val="auto"/>
                <w:highlight w:val="none"/>
              </w:rPr>
              <w:t>空调机组</w:t>
            </w:r>
          </w:p>
        </w:tc>
        <w:tc>
          <w:tcPr>
            <w:tcW w:w="1002" w:type="pct"/>
          </w:tcPr>
          <w:p w14:paraId="2B34FBC2">
            <w:pPr>
              <w:spacing w:line="360" w:lineRule="auto"/>
              <w:jc w:val="left"/>
              <w:rPr>
                <w:color w:val="auto"/>
                <w:highlight w:val="none"/>
              </w:rPr>
            </w:pPr>
          </w:p>
        </w:tc>
        <w:tc>
          <w:tcPr>
            <w:tcW w:w="1460" w:type="pct"/>
          </w:tcPr>
          <w:p w14:paraId="2845C3AE">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14:paraId="74315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tcBorders>
          </w:tcPr>
          <w:p w14:paraId="61D15E44">
            <w:pPr>
              <w:spacing w:line="360" w:lineRule="auto"/>
              <w:jc w:val="center"/>
              <w:rPr>
                <w:color w:val="auto"/>
                <w:highlight w:val="none"/>
              </w:rPr>
            </w:pPr>
          </w:p>
        </w:tc>
        <w:tc>
          <w:tcPr>
            <w:tcW w:w="702" w:type="pct"/>
            <w:vMerge w:val="continue"/>
            <w:tcBorders>
              <w:top w:val="nil"/>
            </w:tcBorders>
          </w:tcPr>
          <w:p w14:paraId="5DA33A2A">
            <w:pPr>
              <w:spacing w:line="360" w:lineRule="auto"/>
              <w:jc w:val="center"/>
              <w:rPr>
                <w:color w:val="auto"/>
                <w:highlight w:val="none"/>
              </w:rPr>
            </w:pPr>
          </w:p>
        </w:tc>
        <w:tc>
          <w:tcPr>
            <w:tcW w:w="1413" w:type="pct"/>
          </w:tcPr>
          <w:p w14:paraId="69121892">
            <w:pPr>
              <w:spacing w:line="360" w:lineRule="auto"/>
              <w:jc w:val="left"/>
              <w:rPr>
                <w:color w:val="auto"/>
                <w:highlight w:val="none"/>
              </w:rPr>
            </w:pPr>
            <w:r>
              <w:rPr>
                <w:color w:val="auto"/>
                <w:highlight w:val="none"/>
              </w:rPr>
              <w:t xml:space="preserve">A02052309 </w:t>
            </w:r>
            <w:r>
              <w:rPr>
                <w:rFonts w:hint="eastAsia"/>
                <w:color w:val="auto"/>
                <w:highlight w:val="none"/>
              </w:rPr>
              <w:t>专用制冷、空调设备</w:t>
            </w:r>
          </w:p>
        </w:tc>
        <w:tc>
          <w:tcPr>
            <w:tcW w:w="1002" w:type="pct"/>
          </w:tcPr>
          <w:p w14:paraId="60607C5F">
            <w:pPr>
              <w:spacing w:line="360" w:lineRule="auto"/>
              <w:jc w:val="left"/>
              <w:rPr>
                <w:color w:val="auto"/>
                <w:highlight w:val="none"/>
              </w:rPr>
            </w:pPr>
          </w:p>
        </w:tc>
        <w:tc>
          <w:tcPr>
            <w:tcW w:w="1460" w:type="pct"/>
          </w:tcPr>
          <w:p w14:paraId="74EC1B31">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14:paraId="6981C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4EBA0578">
            <w:pPr>
              <w:spacing w:line="360" w:lineRule="auto"/>
              <w:jc w:val="center"/>
              <w:rPr>
                <w:color w:val="auto"/>
                <w:highlight w:val="none"/>
              </w:rPr>
            </w:pPr>
            <w:r>
              <w:rPr>
                <w:color w:val="auto"/>
                <w:highlight w:val="none"/>
              </w:rPr>
              <w:t>12</w:t>
            </w:r>
          </w:p>
        </w:tc>
        <w:tc>
          <w:tcPr>
            <w:tcW w:w="702" w:type="pct"/>
            <w:vMerge w:val="restart"/>
            <w:tcBorders>
              <w:bottom w:val="nil"/>
            </w:tcBorders>
          </w:tcPr>
          <w:p w14:paraId="6D049CAC">
            <w:pPr>
              <w:spacing w:line="360" w:lineRule="auto"/>
              <w:jc w:val="center"/>
              <w:rPr>
                <w:color w:val="auto"/>
                <w:highlight w:val="none"/>
              </w:rPr>
            </w:pPr>
            <w:r>
              <w:rPr>
                <w:color w:val="auto"/>
                <w:highlight w:val="none"/>
              </w:rPr>
              <w:t xml:space="preserve">A020618 </w:t>
            </w:r>
            <w:r>
              <w:rPr>
                <w:rFonts w:hint="eastAsia"/>
                <w:color w:val="auto"/>
                <w:highlight w:val="none"/>
              </w:rPr>
              <w:t>生活用</w:t>
            </w:r>
            <w:r>
              <w:rPr>
                <w:color w:val="auto"/>
                <w:highlight w:val="none"/>
              </w:rPr>
              <w:t xml:space="preserve"> </w:t>
            </w:r>
            <w:r>
              <w:rPr>
                <w:rFonts w:hint="eastAsia"/>
                <w:color w:val="auto"/>
                <w:highlight w:val="none"/>
              </w:rPr>
              <w:t>电器</w:t>
            </w:r>
          </w:p>
        </w:tc>
        <w:tc>
          <w:tcPr>
            <w:tcW w:w="1413" w:type="pct"/>
          </w:tcPr>
          <w:p w14:paraId="2636327D">
            <w:pPr>
              <w:spacing w:line="360" w:lineRule="auto"/>
              <w:jc w:val="left"/>
              <w:rPr>
                <w:color w:val="auto"/>
                <w:highlight w:val="none"/>
              </w:rPr>
            </w:pPr>
            <w:r>
              <w:rPr>
                <w:color w:val="auto"/>
                <w:highlight w:val="none"/>
              </w:rPr>
              <w:t xml:space="preserve">A02061802 </w:t>
            </w:r>
            <w:r>
              <w:rPr>
                <w:rFonts w:hint="eastAsia"/>
                <w:color w:val="auto"/>
                <w:highlight w:val="none"/>
              </w:rPr>
              <w:t>空气调节电器</w:t>
            </w:r>
          </w:p>
        </w:tc>
        <w:tc>
          <w:tcPr>
            <w:tcW w:w="1002" w:type="pct"/>
          </w:tcPr>
          <w:p w14:paraId="1D238A01">
            <w:pPr>
              <w:spacing w:line="360" w:lineRule="auto"/>
              <w:jc w:val="left"/>
              <w:rPr>
                <w:color w:val="auto"/>
                <w:highlight w:val="none"/>
              </w:rPr>
            </w:pPr>
            <w:r>
              <w:rPr>
                <w:color w:val="auto"/>
                <w:highlight w:val="none"/>
              </w:rPr>
              <w:t xml:space="preserve">A0206180203 </w:t>
            </w:r>
            <w:r>
              <w:rPr>
                <w:rFonts w:hint="eastAsia"/>
                <w:color w:val="auto"/>
                <w:highlight w:val="none"/>
              </w:rPr>
              <w:t>空调机</w:t>
            </w:r>
          </w:p>
        </w:tc>
        <w:tc>
          <w:tcPr>
            <w:tcW w:w="1460" w:type="pct"/>
          </w:tcPr>
          <w:p w14:paraId="4C722F6B">
            <w:pPr>
              <w:spacing w:line="360" w:lineRule="auto"/>
              <w:jc w:val="left"/>
              <w:rPr>
                <w:color w:val="auto"/>
                <w:highlight w:val="none"/>
              </w:rPr>
            </w:pPr>
            <w:r>
              <w:rPr>
                <w:color w:val="auto"/>
                <w:highlight w:val="none"/>
              </w:rPr>
              <w:t xml:space="preserve">HJ2535 </w:t>
            </w:r>
            <w:r>
              <w:rPr>
                <w:rFonts w:hint="eastAsia"/>
                <w:color w:val="auto"/>
                <w:highlight w:val="none"/>
              </w:rPr>
              <w:t>房间空气调节器</w:t>
            </w:r>
          </w:p>
        </w:tc>
      </w:tr>
      <w:tr w14:paraId="61D5D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1" w:type="pct"/>
            <w:vMerge w:val="continue"/>
            <w:tcBorders>
              <w:top w:val="nil"/>
            </w:tcBorders>
          </w:tcPr>
          <w:p w14:paraId="248DBC17">
            <w:pPr>
              <w:spacing w:line="360" w:lineRule="auto"/>
              <w:jc w:val="center"/>
              <w:rPr>
                <w:color w:val="auto"/>
                <w:highlight w:val="none"/>
              </w:rPr>
            </w:pPr>
          </w:p>
        </w:tc>
        <w:tc>
          <w:tcPr>
            <w:tcW w:w="702" w:type="pct"/>
            <w:vMerge w:val="continue"/>
            <w:tcBorders>
              <w:top w:val="nil"/>
            </w:tcBorders>
          </w:tcPr>
          <w:p w14:paraId="6CB3401D">
            <w:pPr>
              <w:spacing w:line="360" w:lineRule="auto"/>
              <w:jc w:val="center"/>
              <w:rPr>
                <w:color w:val="auto"/>
                <w:highlight w:val="none"/>
              </w:rPr>
            </w:pPr>
          </w:p>
        </w:tc>
        <w:tc>
          <w:tcPr>
            <w:tcW w:w="1413" w:type="pct"/>
          </w:tcPr>
          <w:p w14:paraId="604A6988">
            <w:pPr>
              <w:spacing w:line="360" w:lineRule="auto"/>
              <w:jc w:val="left"/>
              <w:rPr>
                <w:color w:val="auto"/>
                <w:highlight w:val="none"/>
              </w:rPr>
            </w:pPr>
            <w:r>
              <w:rPr>
                <w:color w:val="auto"/>
                <w:highlight w:val="none"/>
              </w:rPr>
              <w:t xml:space="preserve">A02061808 </w:t>
            </w:r>
            <w:r>
              <w:rPr>
                <w:rFonts w:hint="eastAsia"/>
                <w:color w:val="auto"/>
                <w:highlight w:val="none"/>
              </w:rPr>
              <w:t>热水器</w:t>
            </w:r>
          </w:p>
        </w:tc>
        <w:tc>
          <w:tcPr>
            <w:tcW w:w="1002" w:type="pct"/>
          </w:tcPr>
          <w:p w14:paraId="06FEED06">
            <w:pPr>
              <w:spacing w:line="360" w:lineRule="auto"/>
              <w:jc w:val="left"/>
              <w:rPr>
                <w:color w:val="auto"/>
                <w:highlight w:val="none"/>
              </w:rPr>
            </w:pPr>
          </w:p>
        </w:tc>
        <w:tc>
          <w:tcPr>
            <w:tcW w:w="1460" w:type="pct"/>
          </w:tcPr>
          <w:p w14:paraId="3E44D4CA">
            <w:pPr>
              <w:spacing w:line="360" w:lineRule="auto"/>
              <w:jc w:val="left"/>
              <w:rPr>
                <w:color w:val="auto"/>
                <w:highlight w:val="none"/>
              </w:rPr>
            </w:pPr>
            <w:r>
              <w:rPr>
                <w:color w:val="auto"/>
                <w:highlight w:val="none"/>
              </w:rPr>
              <w:t xml:space="preserve">HJ/T362 </w:t>
            </w:r>
            <w:r>
              <w:rPr>
                <w:rFonts w:hint="eastAsia"/>
                <w:color w:val="auto"/>
                <w:highlight w:val="none"/>
              </w:rPr>
              <w:t>太阳能集热器</w:t>
            </w:r>
          </w:p>
        </w:tc>
      </w:tr>
      <w:tr w14:paraId="6ABFE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14:paraId="5D6E2834">
            <w:pPr>
              <w:spacing w:line="360" w:lineRule="auto"/>
              <w:jc w:val="center"/>
              <w:rPr>
                <w:color w:val="auto"/>
                <w:highlight w:val="none"/>
              </w:rPr>
            </w:pPr>
            <w:r>
              <w:rPr>
                <w:color w:val="auto"/>
                <w:highlight w:val="none"/>
              </w:rPr>
              <w:t>13</w:t>
            </w:r>
          </w:p>
        </w:tc>
        <w:tc>
          <w:tcPr>
            <w:tcW w:w="702" w:type="pct"/>
          </w:tcPr>
          <w:p w14:paraId="19D5AEC5">
            <w:pPr>
              <w:spacing w:line="360" w:lineRule="auto"/>
              <w:jc w:val="center"/>
              <w:rPr>
                <w:color w:val="auto"/>
                <w:highlight w:val="none"/>
              </w:rPr>
            </w:pPr>
            <w:r>
              <w:rPr>
                <w:color w:val="auto"/>
                <w:highlight w:val="none"/>
              </w:rPr>
              <w:t xml:space="preserve">A020619 </w:t>
            </w:r>
            <w:r>
              <w:rPr>
                <w:rFonts w:hint="eastAsia"/>
                <w:color w:val="auto"/>
                <w:highlight w:val="none"/>
              </w:rPr>
              <w:t>照</w:t>
            </w:r>
            <w:r>
              <w:rPr>
                <w:color w:val="auto"/>
                <w:highlight w:val="none"/>
              </w:rPr>
              <w:t xml:space="preserve"> </w:t>
            </w:r>
            <w:r>
              <w:rPr>
                <w:rFonts w:hint="eastAsia"/>
                <w:color w:val="auto"/>
                <w:highlight w:val="none"/>
              </w:rPr>
              <w:t>明设</w:t>
            </w:r>
            <w:r>
              <w:rPr>
                <w:color w:val="auto"/>
                <w:highlight w:val="none"/>
              </w:rPr>
              <w:t xml:space="preserve"> </w:t>
            </w:r>
            <w:r>
              <w:rPr>
                <w:rFonts w:hint="eastAsia"/>
                <w:color w:val="auto"/>
                <w:highlight w:val="none"/>
              </w:rPr>
              <w:t>备</w:t>
            </w:r>
          </w:p>
        </w:tc>
        <w:tc>
          <w:tcPr>
            <w:tcW w:w="1413" w:type="pct"/>
          </w:tcPr>
          <w:p w14:paraId="2CC58C29">
            <w:pPr>
              <w:spacing w:line="360" w:lineRule="auto"/>
              <w:jc w:val="left"/>
              <w:rPr>
                <w:color w:val="auto"/>
                <w:highlight w:val="none"/>
              </w:rPr>
            </w:pPr>
            <w:r>
              <w:rPr>
                <w:color w:val="auto"/>
                <w:highlight w:val="none"/>
              </w:rPr>
              <w:t xml:space="preserve">A02061908 </w:t>
            </w:r>
            <w:r>
              <w:rPr>
                <w:rFonts w:hint="eastAsia"/>
                <w:color w:val="auto"/>
                <w:highlight w:val="none"/>
              </w:rPr>
              <w:t>室内照明灯具</w:t>
            </w:r>
          </w:p>
        </w:tc>
        <w:tc>
          <w:tcPr>
            <w:tcW w:w="1002" w:type="pct"/>
          </w:tcPr>
          <w:p w14:paraId="578D04AC">
            <w:pPr>
              <w:spacing w:line="360" w:lineRule="auto"/>
              <w:jc w:val="left"/>
              <w:rPr>
                <w:color w:val="auto"/>
                <w:highlight w:val="none"/>
              </w:rPr>
            </w:pPr>
          </w:p>
        </w:tc>
        <w:tc>
          <w:tcPr>
            <w:tcW w:w="1460" w:type="pct"/>
          </w:tcPr>
          <w:p w14:paraId="2471848F">
            <w:pPr>
              <w:spacing w:line="360" w:lineRule="auto"/>
              <w:jc w:val="left"/>
              <w:rPr>
                <w:color w:val="auto"/>
                <w:highlight w:val="none"/>
              </w:rPr>
            </w:pPr>
            <w:r>
              <w:rPr>
                <w:color w:val="auto"/>
                <w:highlight w:val="none"/>
              </w:rPr>
              <w:t xml:space="preserve">HJ2518 </w:t>
            </w:r>
            <w:r>
              <w:rPr>
                <w:rFonts w:hint="eastAsia"/>
                <w:color w:val="auto"/>
                <w:highlight w:val="none"/>
              </w:rPr>
              <w:t>照明光源</w:t>
            </w:r>
          </w:p>
        </w:tc>
      </w:tr>
      <w:tr w14:paraId="57282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14:paraId="1DA676F6">
            <w:pPr>
              <w:spacing w:line="360" w:lineRule="auto"/>
              <w:jc w:val="center"/>
              <w:rPr>
                <w:color w:val="auto"/>
                <w:highlight w:val="none"/>
              </w:rPr>
            </w:pPr>
            <w:r>
              <w:rPr>
                <w:color w:val="auto"/>
                <w:highlight w:val="none"/>
              </w:rPr>
              <w:t>14</w:t>
            </w:r>
          </w:p>
        </w:tc>
        <w:tc>
          <w:tcPr>
            <w:tcW w:w="702" w:type="pct"/>
          </w:tcPr>
          <w:p w14:paraId="1F09106D">
            <w:pPr>
              <w:spacing w:line="360" w:lineRule="auto"/>
              <w:jc w:val="center"/>
              <w:rPr>
                <w:color w:val="auto"/>
                <w:highlight w:val="none"/>
              </w:rPr>
            </w:pPr>
            <w:r>
              <w:rPr>
                <w:color w:val="auto"/>
                <w:highlight w:val="none"/>
              </w:rPr>
              <w:t xml:space="preserve">A020810 </w:t>
            </w:r>
            <w:r>
              <w:rPr>
                <w:rFonts w:hint="eastAsia"/>
                <w:color w:val="auto"/>
                <w:highlight w:val="none"/>
              </w:rPr>
              <w:t>传真及</w:t>
            </w:r>
            <w:r>
              <w:rPr>
                <w:color w:val="auto"/>
                <w:highlight w:val="none"/>
              </w:rPr>
              <w:t xml:space="preserve"> </w:t>
            </w:r>
            <w:r>
              <w:rPr>
                <w:rFonts w:hint="eastAsia"/>
                <w:color w:val="auto"/>
                <w:highlight w:val="none"/>
              </w:rPr>
              <w:t>数据数字通信设</w:t>
            </w:r>
            <w:r>
              <w:rPr>
                <w:color w:val="auto"/>
                <w:highlight w:val="none"/>
              </w:rPr>
              <w:t xml:space="preserve"> </w:t>
            </w:r>
            <w:r>
              <w:rPr>
                <w:rFonts w:hint="eastAsia"/>
                <w:color w:val="auto"/>
                <w:highlight w:val="none"/>
              </w:rPr>
              <w:t>备</w:t>
            </w:r>
          </w:p>
        </w:tc>
        <w:tc>
          <w:tcPr>
            <w:tcW w:w="1413" w:type="pct"/>
          </w:tcPr>
          <w:p w14:paraId="13831EA3">
            <w:pPr>
              <w:spacing w:line="360" w:lineRule="auto"/>
              <w:jc w:val="left"/>
              <w:rPr>
                <w:color w:val="auto"/>
                <w:highlight w:val="none"/>
              </w:rPr>
            </w:pPr>
            <w:r>
              <w:rPr>
                <w:color w:val="auto"/>
                <w:highlight w:val="none"/>
              </w:rPr>
              <w:t xml:space="preserve">A02081001 </w:t>
            </w:r>
            <w:r>
              <w:rPr>
                <w:rFonts w:hint="eastAsia"/>
                <w:color w:val="auto"/>
                <w:highlight w:val="none"/>
              </w:rPr>
              <w:t>传真通信设备</w:t>
            </w:r>
          </w:p>
        </w:tc>
        <w:tc>
          <w:tcPr>
            <w:tcW w:w="1002" w:type="pct"/>
          </w:tcPr>
          <w:p w14:paraId="4D5CEB96">
            <w:pPr>
              <w:spacing w:line="360" w:lineRule="auto"/>
              <w:jc w:val="left"/>
              <w:rPr>
                <w:color w:val="auto"/>
                <w:highlight w:val="none"/>
              </w:rPr>
            </w:pPr>
          </w:p>
        </w:tc>
        <w:tc>
          <w:tcPr>
            <w:tcW w:w="1460" w:type="pct"/>
          </w:tcPr>
          <w:p w14:paraId="37939FCD">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3DEC6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14:paraId="719A8E3B">
            <w:pPr>
              <w:spacing w:line="360" w:lineRule="auto"/>
              <w:jc w:val="center"/>
              <w:rPr>
                <w:color w:val="auto"/>
                <w:highlight w:val="none"/>
              </w:rPr>
            </w:pPr>
            <w:r>
              <w:rPr>
                <w:color w:val="auto"/>
                <w:highlight w:val="none"/>
              </w:rPr>
              <w:t>15</w:t>
            </w:r>
          </w:p>
        </w:tc>
        <w:tc>
          <w:tcPr>
            <w:tcW w:w="702" w:type="pct"/>
            <w:vMerge w:val="restart"/>
            <w:tcBorders>
              <w:bottom w:val="nil"/>
            </w:tcBorders>
          </w:tcPr>
          <w:p w14:paraId="38D9F52C">
            <w:pPr>
              <w:spacing w:line="360" w:lineRule="auto"/>
              <w:jc w:val="center"/>
              <w:rPr>
                <w:color w:val="auto"/>
                <w:highlight w:val="none"/>
              </w:rPr>
            </w:pPr>
            <w:r>
              <w:rPr>
                <w:color w:val="auto"/>
                <w:highlight w:val="none"/>
              </w:rPr>
              <w:t xml:space="preserve">A020910 </w:t>
            </w:r>
            <w:r>
              <w:rPr>
                <w:rFonts w:hint="eastAsia"/>
                <w:color w:val="auto"/>
                <w:highlight w:val="none"/>
              </w:rPr>
              <w:t>电视设</w:t>
            </w:r>
            <w:r>
              <w:rPr>
                <w:color w:val="auto"/>
                <w:highlight w:val="none"/>
              </w:rPr>
              <w:t xml:space="preserve"> </w:t>
            </w:r>
            <w:r>
              <w:rPr>
                <w:rFonts w:hint="eastAsia"/>
                <w:color w:val="auto"/>
                <w:highlight w:val="none"/>
              </w:rPr>
              <w:t>备</w:t>
            </w:r>
          </w:p>
        </w:tc>
        <w:tc>
          <w:tcPr>
            <w:tcW w:w="1413" w:type="pct"/>
          </w:tcPr>
          <w:p w14:paraId="16AC1531">
            <w:pPr>
              <w:spacing w:line="360" w:lineRule="auto"/>
              <w:jc w:val="left"/>
              <w:rPr>
                <w:color w:val="auto"/>
                <w:highlight w:val="none"/>
              </w:rPr>
            </w:pPr>
            <w:r>
              <w:rPr>
                <w:color w:val="auto"/>
                <w:highlight w:val="none"/>
              </w:rPr>
              <w:t xml:space="preserve">A02091001 </w:t>
            </w:r>
            <w:r>
              <w:rPr>
                <w:rFonts w:hint="eastAsia"/>
                <w:color w:val="auto"/>
                <w:highlight w:val="none"/>
              </w:rPr>
              <w:t>普通电视设备（电视</w:t>
            </w:r>
            <w:r>
              <w:rPr>
                <w:color w:val="auto"/>
                <w:highlight w:val="none"/>
              </w:rPr>
              <w:t xml:space="preserve"> </w:t>
            </w:r>
            <w:r>
              <w:rPr>
                <w:rFonts w:hint="eastAsia"/>
                <w:color w:val="auto"/>
                <w:highlight w:val="none"/>
              </w:rPr>
              <w:t>机）</w:t>
            </w:r>
          </w:p>
        </w:tc>
        <w:tc>
          <w:tcPr>
            <w:tcW w:w="1002" w:type="pct"/>
          </w:tcPr>
          <w:p w14:paraId="5111D641">
            <w:pPr>
              <w:spacing w:line="360" w:lineRule="auto"/>
              <w:jc w:val="left"/>
              <w:rPr>
                <w:color w:val="auto"/>
                <w:highlight w:val="none"/>
              </w:rPr>
            </w:pPr>
          </w:p>
        </w:tc>
        <w:tc>
          <w:tcPr>
            <w:tcW w:w="1460" w:type="pct"/>
          </w:tcPr>
          <w:p w14:paraId="540CA7ED">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14:paraId="6F35B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14:paraId="2F5D1F06">
            <w:pPr>
              <w:spacing w:line="360" w:lineRule="auto"/>
              <w:jc w:val="center"/>
              <w:rPr>
                <w:color w:val="auto"/>
                <w:highlight w:val="none"/>
              </w:rPr>
            </w:pPr>
          </w:p>
        </w:tc>
        <w:tc>
          <w:tcPr>
            <w:tcW w:w="702" w:type="pct"/>
            <w:vMerge w:val="continue"/>
            <w:tcBorders>
              <w:top w:val="nil"/>
            </w:tcBorders>
          </w:tcPr>
          <w:p w14:paraId="039B85BE">
            <w:pPr>
              <w:spacing w:line="360" w:lineRule="auto"/>
              <w:jc w:val="center"/>
              <w:rPr>
                <w:color w:val="auto"/>
                <w:highlight w:val="none"/>
              </w:rPr>
            </w:pPr>
          </w:p>
        </w:tc>
        <w:tc>
          <w:tcPr>
            <w:tcW w:w="1413" w:type="pct"/>
          </w:tcPr>
          <w:p w14:paraId="4E30F4A0">
            <w:pPr>
              <w:spacing w:line="360" w:lineRule="auto"/>
              <w:jc w:val="left"/>
              <w:rPr>
                <w:color w:val="auto"/>
                <w:highlight w:val="none"/>
              </w:rPr>
            </w:pPr>
            <w:r>
              <w:rPr>
                <w:color w:val="auto"/>
                <w:highlight w:val="none"/>
              </w:rPr>
              <w:t xml:space="preserve">A02091003 </w:t>
            </w:r>
            <w:r>
              <w:rPr>
                <w:rFonts w:hint="eastAsia"/>
                <w:color w:val="auto"/>
                <w:highlight w:val="none"/>
              </w:rPr>
              <w:t>特殊功能应用电视</w:t>
            </w:r>
            <w:r>
              <w:rPr>
                <w:color w:val="auto"/>
                <w:highlight w:val="none"/>
              </w:rPr>
              <w:t xml:space="preserve"> </w:t>
            </w:r>
            <w:r>
              <w:rPr>
                <w:rFonts w:hint="eastAsia"/>
                <w:color w:val="auto"/>
                <w:highlight w:val="none"/>
              </w:rPr>
              <w:t>设备</w:t>
            </w:r>
          </w:p>
        </w:tc>
        <w:tc>
          <w:tcPr>
            <w:tcW w:w="1002" w:type="pct"/>
          </w:tcPr>
          <w:p w14:paraId="669752C4">
            <w:pPr>
              <w:spacing w:line="360" w:lineRule="auto"/>
              <w:jc w:val="left"/>
              <w:rPr>
                <w:color w:val="auto"/>
                <w:highlight w:val="none"/>
              </w:rPr>
            </w:pPr>
          </w:p>
        </w:tc>
        <w:tc>
          <w:tcPr>
            <w:tcW w:w="1460" w:type="pct"/>
          </w:tcPr>
          <w:p w14:paraId="1F7C5559">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14:paraId="01CEE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restart"/>
            <w:tcBorders>
              <w:bottom w:val="nil"/>
            </w:tcBorders>
          </w:tcPr>
          <w:p w14:paraId="012039B3">
            <w:pPr>
              <w:spacing w:line="360" w:lineRule="auto"/>
              <w:jc w:val="center"/>
              <w:rPr>
                <w:color w:val="auto"/>
                <w:highlight w:val="none"/>
              </w:rPr>
            </w:pPr>
            <w:r>
              <w:rPr>
                <w:color w:val="auto"/>
                <w:highlight w:val="none"/>
              </w:rPr>
              <w:t>16</w:t>
            </w:r>
          </w:p>
        </w:tc>
        <w:tc>
          <w:tcPr>
            <w:tcW w:w="702" w:type="pct"/>
            <w:vMerge w:val="restart"/>
            <w:tcBorders>
              <w:bottom w:val="nil"/>
            </w:tcBorders>
          </w:tcPr>
          <w:p w14:paraId="7466032B">
            <w:pPr>
              <w:spacing w:line="360" w:lineRule="auto"/>
              <w:jc w:val="center"/>
              <w:rPr>
                <w:color w:val="auto"/>
                <w:highlight w:val="none"/>
              </w:rPr>
            </w:pPr>
            <w:r>
              <w:rPr>
                <w:color w:val="auto"/>
                <w:highlight w:val="none"/>
              </w:rPr>
              <w:t xml:space="preserve">A0601 </w:t>
            </w:r>
            <w:r>
              <w:rPr>
                <w:rFonts w:hint="eastAsia"/>
                <w:color w:val="auto"/>
                <w:highlight w:val="none"/>
              </w:rPr>
              <w:t>床类</w:t>
            </w:r>
          </w:p>
        </w:tc>
        <w:tc>
          <w:tcPr>
            <w:tcW w:w="1413" w:type="pct"/>
          </w:tcPr>
          <w:p w14:paraId="45335A1F">
            <w:pPr>
              <w:spacing w:line="360" w:lineRule="auto"/>
              <w:jc w:val="left"/>
              <w:rPr>
                <w:color w:val="auto"/>
                <w:highlight w:val="none"/>
              </w:rPr>
            </w:pPr>
            <w:r>
              <w:rPr>
                <w:color w:val="auto"/>
                <w:highlight w:val="none"/>
              </w:rPr>
              <w:t xml:space="preserve">A060101 </w:t>
            </w:r>
            <w:r>
              <w:rPr>
                <w:rFonts w:hint="eastAsia"/>
                <w:color w:val="auto"/>
                <w:highlight w:val="none"/>
              </w:rPr>
              <w:t>钢木床类</w:t>
            </w:r>
          </w:p>
        </w:tc>
        <w:tc>
          <w:tcPr>
            <w:tcW w:w="1002" w:type="pct"/>
          </w:tcPr>
          <w:p w14:paraId="36BDA705">
            <w:pPr>
              <w:spacing w:line="360" w:lineRule="auto"/>
              <w:jc w:val="left"/>
              <w:rPr>
                <w:color w:val="auto"/>
                <w:highlight w:val="none"/>
              </w:rPr>
            </w:pPr>
          </w:p>
        </w:tc>
        <w:tc>
          <w:tcPr>
            <w:tcW w:w="1460" w:type="pct"/>
          </w:tcPr>
          <w:p w14:paraId="1275075E">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CB81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21" w:type="pct"/>
            <w:vMerge w:val="continue"/>
            <w:tcBorders>
              <w:top w:val="nil"/>
              <w:bottom w:val="nil"/>
            </w:tcBorders>
          </w:tcPr>
          <w:p w14:paraId="0851D961">
            <w:pPr>
              <w:spacing w:line="360" w:lineRule="auto"/>
              <w:jc w:val="center"/>
              <w:rPr>
                <w:color w:val="auto"/>
                <w:highlight w:val="none"/>
              </w:rPr>
            </w:pPr>
          </w:p>
        </w:tc>
        <w:tc>
          <w:tcPr>
            <w:tcW w:w="702" w:type="pct"/>
            <w:vMerge w:val="continue"/>
            <w:tcBorders>
              <w:top w:val="nil"/>
              <w:bottom w:val="nil"/>
            </w:tcBorders>
          </w:tcPr>
          <w:p w14:paraId="6FDE5980">
            <w:pPr>
              <w:spacing w:line="360" w:lineRule="auto"/>
              <w:jc w:val="center"/>
              <w:rPr>
                <w:color w:val="auto"/>
                <w:highlight w:val="none"/>
              </w:rPr>
            </w:pPr>
          </w:p>
        </w:tc>
        <w:tc>
          <w:tcPr>
            <w:tcW w:w="1413" w:type="pct"/>
          </w:tcPr>
          <w:p w14:paraId="74DBEC66">
            <w:pPr>
              <w:spacing w:line="360" w:lineRule="auto"/>
              <w:jc w:val="left"/>
              <w:rPr>
                <w:color w:val="auto"/>
                <w:highlight w:val="none"/>
              </w:rPr>
            </w:pPr>
            <w:r>
              <w:rPr>
                <w:color w:val="auto"/>
                <w:highlight w:val="none"/>
              </w:rPr>
              <w:t xml:space="preserve">A060104 </w:t>
            </w:r>
            <w:r>
              <w:rPr>
                <w:rFonts w:hint="eastAsia"/>
                <w:color w:val="auto"/>
                <w:highlight w:val="none"/>
              </w:rPr>
              <w:t>木制床类</w:t>
            </w:r>
          </w:p>
        </w:tc>
        <w:tc>
          <w:tcPr>
            <w:tcW w:w="1002" w:type="pct"/>
          </w:tcPr>
          <w:p w14:paraId="319B1605">
            <w:pPr>
              <w:spacing w:line="360" w:lineRule="auto"/>
              <w:jc w:val="left"/>
              <w:rPr>
                <w:color w:val="auto"/>
                <w:highlight w:val="none"/>
              </w:rPr>
            </w:pPr>
          </w:p>
        </w:tc>
        <w:tc>
          <w:tcPr>
            <w:tcW w:w="1460" w:type="pct"/>
          </w:tcPr>
          <w:p w14:paraId="7DEBC0DB">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0D3D1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33BABA2B">
            <w:pPr>
              <w:spacing w:line="360" w:lineRule="auto"/>
              <w:jc w:val="center"/>
              <w:rPr>
                <w:color w:val="auto"/>
                <w:highlight w:val="none"/>
              </w:rPr>
            </w:pPr>
          </w:p>
        </w:tc>
        <w:tc>
          <w:tcPr>
            <w:tcW w:w="702" w:type="pct"/>
            <w:vMerge w:val="continue"/>
            <w:tcBorders>
              <w:top w:val="nil"/>
            </w:tcBorders>
          </w:tcPr>
          <w:p w14:paraId="30B9BD7F">
            <w:pPr>
              <w:spacing w:line="360" w:lineRule="auto"/>
              <w:jc w:val="center"/>
              <w:rPr>
                <w:color w:val="auto"/>
                <w:highlight w:val="none"/>
              </w:rPr>
            </w:pPr>
          </w:p>
        </w:tc>
        <w:tc>
          <w:tcPr>
            <w:tcW w:w="1413" w:type="pct"/>
          </w:tcPr>
          <w:p w14:paraId="094D7AC7">
            <w:pPr>
              <w:spacing w:line="360" w:lineRule="auto"/>
              <w:jc w:val="left"/>
              <w:rPr>
                <w:color w:val="auto"/>
                <w:highlight w:val="none"/>
              </w:rPr>
            </w:pPr>
            <w:r>
              <w:rPr>
                <w:color w:val="auto"/>
                <w:highlight w:val="none"/>
              </w:rPr>
              <w:t xml:space="preserve">A060199 </w:t>
            </w:r>
            <w:r>
              <w:rPr>
                <w:rFonts w:hint="eastAsia"/>
                <w:color w:val="auto"/>
                <w:highlight w:val="none"/>
              </w:rPr>
              <w:t>其他床类</w:t>
            </w:r>
          </w:p>
        </w:tc>
        <w:tc>
          <w:tcPr>
            <w:tcW w:w="1002" w:type="pct"/>
          </w:tcPr>
          <w:p w14:paraId="5BB8F352">
            <w:pPr>
              <w:spacing w:line="360" w:lineRule="auto"/>
              <w:jc w:val="left"/>
              <w:rPr>
                <w:color w:val="auto"/>
                <w:highlight w:val="none"/>
              </w:rPr>
            </w:pPr>
          </w:p>
        </w:tc>
        <w:tc>
          <w:tcPr>
            <w:tcW w:w="1460" w:type="pct"/>
          </w:tcPr>
          <w:p w14:paraId="0CBADA5E">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5118A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332665FD">
            <w:pPr>
              <w:spacing w:line="360" w:lineRule="auto"/>
              <w:jc w:val="center"/>
              <w:rPr>
                <w:color w:val="auto"/>
                <w:highlight w:val="none"/>
              </w:rPr>
            </w:pPr>
            <w:r>
              <w:rPr>
                <w:color w:val="auto"/>
                <w:highlight w:val="none"/>
              </w:rPr>
              <w:t>17</w:t>
            </w:r>
          </w:p>
        </w:tc>
        <w:tc>
          <w:tcPr>
            <w:tcW w:w="702" w:type="pct"/>
            <w:vMerge w:val="restart"/>
            <w:tcBorders>
              <w:bottom w:val="nil"/>
            </w:tcBorders>
          </w:tcPr>
          <w:p w14:paraId="65D9637F">
            <w:pPr>
              <w:spacing w:line="360" w:lineRule="auto"/>
              <w:jc w:val="center"/>
              <w:rPr>
                <w:color w:val="auto"/>
                <w:highlight w:val="none"/>
              </w:rPr>
            </w:pPr>
            <w:r>
              <w:rPr>
                <w:color w:val="auto"/>
                <w:highlight w:val="none"/>
              </w:rPr>
              <w:t xml:space="preserve">A0602 </w:t>
            </w:r>
            <w:r>
              <w:rPr>
                <w:rFonts w:hint="eastAsia"/>
                <w:color w:val="auto"/>
                <w:highlight w:val="none"/>
              </w:rPr>
              <w:t>台、桌类</w:t>
            </w:r>
          </w:p>
        </w:tc>
        <w:tc>
          <w:tcPr>
            <w:tcW w:w="1413" w:type="pct"/>
          </w:tcPr>
          <w:p w14:paraId="0FF1E84F">
            <w:pPr>
              <w:spacing w:line="360" w:lineRule="auto"/>
              <w:jc w:val="left"/>
              <w:rPr>
                <w:color w:val="auto"/>
                <w:highlight w:val="none"/>
              </w:rPr>
            </w:pPr>
            <w:r>
              <w:rPr>
                <w:color w:val="auto"/>
                <w:highlight w:val="none"/>
              </w:rPr>
              <w:t xml:space="preserve">A060201 </w:t>
            </w:r>
            <w:r>
              <w:rPr>
                <w:rFonts w:hint="eastAsia"/>
                <w:color w:val="auto"/>
                <w:highlight w:val="none"/>
              </w:rPr>
              <w:t>钢木台、桌类</w:t>
            </w:r>
          </w:p>
        </w:tc>
        <w:tc>
          <w:tcPr>
            <w:tcW w:w="1002" w:type="pct"/>
          </w:tcPr>
          <w:p w14:paraId="6EE25567">
            <w:pPr>
              <w:spacing w:line="360" w:lineRule="auto"/>
              <w:jc w:val="left"/>
              <w:rPr>
                <w:color w:val="auto"/>
                <w:highlight w:val="none"/>
              </w:rPr>
            </w:pPr>
          </w:p>
        </w:tc>
        <w:tc>
          <w:tcPr>
            <w:tcW w:w="1460" w:type="pct"/>
          </w:tcPr>
          <w:p w14:paraId="5360485A">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5788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14:paraId="4F2932DA">
            <w:pPr>
              <w:spacing w:line="360" w:lineRule="auto"/>
              <w:jc w:val="center"/>
              <w:rPr>
                <w:color w:val="auto"/>
                <w:highlight w:val="none"/>
              </w:rPr>
            </w:pPr>
          </w:p>
        </w:tc>
        <w:tc>
          <w:tcPr>
            <w:tcW w:w="702" w:type="pct"/>
            <w:vMerge w:val="continue"/>
            <w:tcBorders>
              <w:top w:val="nil"/>
              <w:bottom w:val="nil"/>
            </w:tcBorders>
          </w:tcPr>
          <w:p w14:paraId="6B4FDD57">
            <w:pPr>
              <w:spacing w:line="360" w:lineRule="auto"/>
              <w:jc w:val="center"/>
              <w:rPr>
                <w:color w:val="auto"/>
                <w:highlight w:val="none"/>
              </w:rPr>
            </w:pPr>
          </w:p>
        </w:tc>
        <w:tc>
          <w:tcPr>
            <w:tcW w:w="1413" w:type="pct"/>
          </w:tcPr>
          <w:p w14:paraId="35221B0D">
            <w:pPr>
              <w:spacing w:line="360" w:lineRule="auto"/>
              <w:jc w:val="left"/>
              <w:rPr>
                <w:color w:val="auto"/>
                <w:highlight w:val="none"/>
              </w:rPr>
            </w:pPr>
            <w:r>
              <w:rPr>
                <w:color w:val="auto"/>
                <w:highlight w:val="none"/>
              </w:rPr>
              <w:t xml:space="preserve">A060205 </w:t>
            </w:r>
            <w:r>
              <w:rPr>
                <w:rFonts w:hint="eastAsia"/>
                <w:color w:val="auto"/>
                <w:highlight w:val="none"/>
              </w:rPr>
              <w:t>木制台、桌类</w:t>
            </w:r>
          </w:p>
        </w:tc>
        <w:tc>
          <w:tcPr>
            <w:tcW w:w="1002" w:type="pct"/>
          </w:tcPr>
          <w:p w14:paraId="387952A4">
            <w:pPr>
              <w:spacing w:line="360" w:lineRule="auto"/>
              <w:jc w:val="left"/>
              <w:rPr>
                <w:color w:val="auto"/>
                <w:highlight w:val="none"/>
              </w:rPr>
            </w:pPr>
          </w:p>
        </w:tc>
        <w:tc>
          <w:tcPr>
            <w:tcW w:w="1460" w:type="pct"/>
          </w:tcPr>
          <w:p w14:paraId="0616586D">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794EA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07A74AC4">
            <w:pPr>
              <w:spacing w:line="360" w:lineRule="auto"/>
              <w:jc w:val="center"/>
              <w:rPr>
                <w:color w:val="auto"/>
                <w:highlight w:val="none"/>
              </w:rPr>
            </w:pPr>
          </w:p>
        </w:tc>
        <w:tc>
          <w:tcPr>
            <w:tcW w:w="702" w:type="pct"/>
            <w:vMerge w:val="continue"/>
            <w:tcBorders>
              <w:top w:val="nil"/>
            </w:tcBorders>
          </w:tcPr>
          <w:p w14:paraId="0FA3C6AF">
            <w:pPr>
              <w:spacing w:line="360" w:lineRule="auto"/>
              <w:jc w:val="center"/>
              <w:rPr>
                <w:color w:val="auto"/>
                <w:highlight w:val="none"/>
              </w:rPr>
            </w:pPr>
          </w:p>
        </w:tc>
        <w:tc>
          <w:tcPr>
            <w:tcW w:w="1413" w:type="pct"/>
          </w:tcPr>
          <w:p w14:paraId="0430DC70">
            <w:pPr>
              <w:spacing w:line="360" w:lineRule="auto"/>
              <w:jc w:val="left"/>
              <w:rPr>
                <w:color w:val="auto"/>
                <w:highlight w:val="none"/>
              </w:rPr>
            </w:pPr>
            <w:r>
              <w:rPr>
                <w:color w:val="auto"/>
                <w:highlight w:val="none"/>
              </w:rPr>
              <w:t xml:space="preserve">A060299 </w:t>
            </w:r>
            <w:r>
              <w:rPr>
                <w:rFonts w:hint="eastAsia"/>
                <w:color w:val="auto"/>
                <w:highlight w:val="none"/>
              </w:rPr>
              <w:t>其他台、桌类</w:t>
            </w:r>
          </w:p>
        </w:tc>
        <w:tc>
          <w:tcPr>
            <w:tcW w:w="1002" w:type="pct"/>
          </w:tcPr>
          <w:p w14:paraId="423CE47D">
            <w:pPr>
              <w:spacing w:line="360" w:lineRule="auto"/>
              <w:jc w:val="left"/>
              <w:rPr>
                <w:color w:val="auto"/>
                <w:highlight w:val="none"/>
              </w:rPr>
            </w:pPr>
          </w:p>
        </w:tc>
        <w:tc>
          <w:tcPr>
            <w:tcW w:w="1460" w:type="pct"/>
          </w:tcPr>
          <w:p w14:paraId="51C1C197">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40756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45A4E741">
            <w:pPr>
              <w:spacing w:line="360" w:lineRule="auto"/>
              <w:jc w:val="center"/>
              <w:rPr>
                <w:color w:val="auto"/>
                <w:highlight w:val="none"/>
              </w:rPr>
            </w:pPr>
            <w:r>
              <w:rPr>
                <w:color w:val="auto"/>
                <w:highlight w:val="none"/>
              </w:rPr>
              <w:t>18</w:t>
            </w:r>
          </w:p>
        </w:tc>
        <w:tc>
          <w:tcPr>
            <w:tcW w:w="702" w:type="pct"/>
            <w:vMerge w:val="restart"/>
            <w:tcBorders>
              <w:bottom w:val="nil"/>
            </w:tcBorders>
          </w:tcPr>
          <w:p w14:paraId="7C99C25D">
            <w:pPr>
              <w:spacing w:line="360" w:lineRule="auto"/>
              <w:jc w:val="center"/>
              <w:rPr>
                <w:color w:val="auto"/>
                <w:highlight w:val="none"/>
              </w:rPr>
            </w:pPr>
            <w:r>
              <w:rPr>
                <w:color w:val="auto"/>
                <w:highlight w:val="none"/>
              </w:rPr>
              <w:t xml:space="preserve">A0603 </w:t>
            </w:r>
            <w:r>
              <w:rPr>
                <w:rFonts w:hint="eastAsia"/>
                <w:color w:val="auto"/>
                <w:highlight w:val="none"/>
              </w:rPr>
              <w:t>椅凳类</w:t>
            </w:r>
          </w:p>
        </w:tc>
        <w:tc>
          <w:tcPr>
            <w:tcW w:w="1413" w:type="pct"/>
          </w:tcPr>
          <w:p w14:paraId="71442FF8">
            <w:pPr>
              <w:spacing w:line="360" w:lineRule="auto"/>
              <w:jc w:val="left"/>
              <w:rPr>
                <w:color w:val="auto"/>
                <w:highlight w:val="none"/>
              </w:rPr>
            </w:pPr>
            <w:r>
              <w:rPr>
                <w:color w:val="auto"/>
                <w:highlight w:val="none"/>
              </w:rPr>
              <w:t xml:space="preserve">A060301 </w:t>
            </w:r>
            <w:r>
              <w:rPr>
                <w:rFonts w:hint="eastAsia"/>
                <w:color w:val="auto"/>
                <w:highlight w:val="none"/>
              </w:rPr>
              <w:t>金属骨架为主的椅凳类</w:t>
            </w:r>
          </w:p>
        </w:tc>
        <w:tc>
          <w:tcPr>
            <w:tcW w:w="1002" w:type="pct"/>
          </w:tcPr>
          <w:p w14:paraId="23552CEC">
            <w:pPr>
              <w:spacing w:line="360" w:lineRule="auto"/>
              <w:jc w:val="left"/>
              <w:rPr>
                <w:color w:val="auto"/>
                <w:highlight w:val="none"/>
              </w:rPr>
            </w:pPr>
          </w:p>
        </w:tc>
        <w:tc>
          <w:tcPr>
            <w:tcW w:w="1460" w:type="pct"/>
          </w:tcPr>
          <w:p w14:paraId="1E80BAA1">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17E28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14:paraId="32D071E5">
            <w:pPr>
              <w:spacing w:line="360" w:lineRule="auto"/>
              <w:jc w:val="center"/>
              <w:rPr>
                <w:color w:val="auto"/>
                <w:highlight w:val="none"/>
              </w:rPr>
            </w:pPr>
          </w:p>
        </w:tc>
        <w:tc>
          <w:tcPr>
            <w:tcW w:w="702" w:type="pct"/>
            <w:vMerge w:val="continue"/>
            <w:tcBorders>
              <w:top w:val="nil"/>
              <w:bottom w:val="nil"/>
            </w:tcBorders>
          </w:tcPr>
          <w:p w14:paraId="3083C8F6">
            <w:pPr>
              <w:spacing w:line="360" w:lineRule="auto"/>
              <w:jc w:val="center"/>
              <w:rPr>
                <w:color w:val="auto"/>
                <w:highlight w:val="none"/>
              </w:rPr>
            </w:pPr>
          </w:p>
        </w:tc>
        <w:tc>
          <w:tcPr>
            <w:tcW w:w="1413" w:type="pct"/>
          </w:tcPr>
          <w:p w14:paraId="57A27B1B">
            <w:pPr>
              <w:spacing w:line="360" w:lineRule="auto"/>
              <w:jc w:val="left"/>
              <w:rPr>
                <w:color w:val="auto"/>
                <w:highlight w:val="none"/>
              </w:rPr>
            </w:pPr>
            <w:r>
              <w:rPr>
                <w:color w:val="auto"/>
                <w:highlight w:val="none"/>
              </w:rPr>
              <w:t xml:space="preserve">A060302 </w:t>
            </w:r>
            <w:r>
              <w:rPr>
                <w:rFonts w:hint="eastAsia"/>
                <w:color w:val="auto"/>
                <w:highlight w:val="none"/>
              </w:rPr>
              <w:t>木骨架为主的椅凳类</w:t>
            </w:r>
          </w:p>
        </w:tc>
        <w:tc>
          <w:tcPr>
            <w:tcW w:w="1002" w:type="pct"/>
          </w:tcPr>
          <w:p w14:paraId="43CDC24E">
            <w:pPr>
              <w:spacing w:line="360" w:lineRule="auto"/>
              <w:jc w:val="left"/>
              <w:rPr>
                <w:color w:val="auto"/>
                <w:highlight w:val="none"/>
              </w:rPr>
            </w:pPr>
          </w:p>
        </w:tc>
        <w:tc>
          <w:tcPr>
            <w:tcW w:w="1460" w:type="pct"/>
          </w:tcPr>
          <w:p w14:paraId="6EB14D37">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21820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19BB62F6">
            <w:pPr>
              <w:spacing w:line="360" w:lineRule="auto"/>
              <w:jc w:val="center"/>
              <w:rPr>
                <w:color w:val="auto"/>
                <w:highlight w:val="none"/>
              </w:rPr>
            </w:pPr>
          </w:p>
        </w:tc>
        <w:tc>
          <w:tcPr>
            <w:tcW w:w="702" w:type="pct"/>
            <w:vMerge w:val="continue"/>
            <w:tcBorders>
              <w:top w:val="nil"/>
            </w:tcBorders>
          </w:tcPr>
          <w:p w14:paraId="650FDBF8">
            <w:pPr>
              <w:spacing w:line="360" w:lineRule="auto"/>
              <w:jc w:val="center"/>
              <w:rPr>
                <w:color w:val="auto"/>
                <w:highlight w:val="none"/>
              </w:rPr>
            </w:pPr>
          </w:p>
        </w:tc>
        <w:tc>
          <w:tcPr>
            <w:tcW w:w="1413" w:type="pct"/>
          </w:tcPr>
          <w:p w14:paraId="21024840">
            <w:pPr>
              <w:spacing w:line="360" w:lineRule="auto"/>
              <w:jc w:val="left"/>
              <w:rPr>
                <w:color w:val="auto"/>
                <w:highlight w:val="none"/>
              </w:rPr>
            </w:pPr>
            <w:r>
              <w:rPr>
                <w:color w:val="auto"/>
                <w:highlight w:val="none"/>
              </w:rPr>
              <w:t xml:space="preserve">A060399 </w:t>
            </w:r>
            <w:r>
              <w:rPr>
                <w:rFonts w:hint="eastAsia"/>
                <w:color w:val="auto"/>
                <w:highlight w:val="none"/>
              </w:rPr>
              <w:t>其他椅凳类</w:t>
            </w:r>
          </w:p>
        </w:tc>
        <w:tc>
          <w:tcPr>
            <w:tcW w:w="1002" w:type="pct"/>
          </w:tcPr>
          <w:p w14:paraId="33834E3B">
            <w:pPr>
              <w:spacing w:line="360" w:lineRule="auto"/>
              <w:jc w:val="left"/>
              <w:rPr>
                <w:color w:val="auto"/>
                <w:highlight w:val="none"/>
              </w:rPr>
            </w:pPr>
          </w:p>
        </w:tc>
        <w:tc>
          <w:tcPr>
            <w:tcW w:w="1460" w:type="pct"/>
          </w:tcPr>
          <w:p w14:paraId="1EB71512">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60F5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6B0EEBDE">
            <w:pPr>
              <w:spacing w:line="360" w:lineRule="auto"/>
              <w:jc w:val="center"/>
              <w:rPr>
                <w:color w:val="auto"/>
                <w:highlight w:val="none"/>
              </w:rPr>
            </w:pPr>
            <w:r>
              <w:rPr>
                <w:color w:val="auto"/>
                <w:highlight w:val="none"/>
              </w:rPr>
              <w:t>19</w:t>
            </w:r>
          </w:p>
        </w:tc>
        <w:tc>
          <w:tcPr>
            <w:tcW w:w="702" w:type="pct"/>
          </w:tcPr>
          <w:p w14:paraId="443076FA">
            <w:pPr>
              <w:spacing w:line="360" w:lineRule="auto"/>
              <w:jc w:val="center"/>
              <w:rPr>
                <w:color w:val="auto"/>
                <w:highlight w:val="none"/>
              </w:rPr>
            </w:pPr>
            <w:r>
              <w:rPr>
                <w:color w:val="auto"/>
                <w:highlight w:val="none"/>
              </w:rPr>
              <w:t xml:space="preserve">A0604 </w:t>
            </w:r>
            <w:r>
              <w:rPr>
                <w:rFonts w:hint="eastAsia"/>
                <w:color w:val="auto"/>
                <w:highlight w:val="none"/>
              </w:rPr>
              <w:t>沙发类</w:t>
            </w:r>
          </w:p>
        </w:tc>
        <w:tc>
          <w:tcPr>
            <w:tcW w:w="1413" w:type="pct"/>
          </w:tcPr>
          <w:p w14:paraId="4876A628">
            <w:pPr>
              <w:spacing w:line="360" w:lineRule="auto"/>
              <w:jc w:val="left"/>
              <w:rPr>
                <w:color w:val="auto"/>
                <w:highlight w:val="none"/>
              </w:rPr>
            </w:pPr>
            <w:r>
              <w:rPr>
                <w:color w:val="auto"/>
                <w:highlight w:val="none"/>
              </w:rPr>
              <w:t xml:space="preserve">A060499 </w:t>
            </w:r>
            <w:r>
              <w:rPr>
                <w:rFonts w:hint="eastAsia"/>
                <w:color w:val="auto"/>
                <w:highlight w:val="none"/>
              </w:rPr>
              <w:t>其他沙发类</w:t>
            </w:r>
          </w:p>
        </w:tc>
        <w:tc>
          <w:tcPr>
            <w:tcW w:w="1002" w:type="pct"/>
          </w:tcPr>
          <w:p w14:paraId="6764C43B">
            <w:pPr>
              <w:spacing w:line="360" w:lineRule="auto"/>
              <w:jc w:val="left"/>
              <w:rPr>
                <w:color w:val="auto"/>
                <w:highlight w:val="none"/>
              </w:rPr>
            </w:pPr>
          </w:p>
        </w:tc>
        <w:tc>
          <w:tcPr>
            <w:tcW w:w="1460" w:type="pct"/>
          </w:tcPr>
          <w:p w14:paraId="5CA9DB5C">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0C4EE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2C99F5AD">
            <w:pPr>
              <w:spacing w:line="360" w:lineRule="auto"/>
              <w:jc w:val="center"/>
              <w:rPr>
                <w:color w:val="auto"/>
                <w:highlight w:val="none"/>
              </w:rPr>
            </w:pPr>
            <w:r>
              <w:rPr>
                <w:color w:val="auto"/>
                <w:highlight w:val="none"/>
              </w:rPr>
              <w:t>20</w:t>
            </w:r>
          </w:p>
        </w:tc>
        <w:tc>
          <w:tcPr>
            <w:tcW w:w="702" w:type="pct"/>
            <w:vMerge w:val="restart"/>
            <w:tcBorders>
              <w:bottom w:val="nil"/>
            </w:tcBorders>
          </w:tcPr>
          <w:p w14:paraId="4D37C670">
            <w:pPr>
              <w:spacing w:line="360" w:lineRule="auto"/>
              <w:jc w:val="center"/>
              <w:rPr>
                <w:color w:val="auto"/>
                <w:highlight w:val="none"/>
              </w:rPr>
            </w:pPr>
            <w:r>
              <w:rPr>
                <w:color w:val="auto"/>
                <w:highlight w:val="none"/>
              </w:rPr>
              <w:t xml:space="preserve">A0605 </w:t>
            </w:r>
            <w:r>
              <w:rPr>
                <w:rFonts w:hint="eastAsia"/>
                <w:color w:val="auto"/>
                <w:highlight w:val="none"/>
              </w:rPr>
              <w:t>柜类</w:t>
            </w:r>
          </w:p>
        </w:tc>
        <w:tc>
          <w:tcPr>
            <w:tcW w:w="1413" w:type="pct"/>
          </w:tcPr>
          <w:p w14:paraId="171FC249">
            <w:pPr>
              <w:spacing w:line="360" w:lineRule="auto"/>
              <w:jc w:val="left"/>
              <w:rPr>
                <w:color w:val="auto"/>
                <w:highlight w:val="none"/>
              </w:rPr>
            </w:pPr>
            <w:r>
              <w:rPr>
                <w:color w:val="auto"/>
                <w:highlight w:val="none"/>
              </w:rPr>
              <w:t xml:space="preserve">A060501 </w:t>
            </w:r>
            <w:r>
              <w:rPr>
                <w:rFonts w:hint="eastAsia"/>
                <w:color w:val="auto"/>
                <w:highlight w:val="none"/>
              </w:rPr>
              <w:t>木质柜类</w:t>
            </w:r>
          </w:p>
        </w:tc>
        <w:tc>
          <w:tcPr>
            <w:tcW w:w="1002" w:type="pct"/>
          </w:tcPr>
          <w:p w14:paraId="0FD80B7B">
            <w:pPr>
              <w:spacing w:line="360" w:lineRule="auto"/>
              <w:jc w:val="left"/>
              <w:rPr>
                <w:color w:val="auto"/>
                <w:highlight w:val="none"/>
              </w:rPr>
            </w:pPr>
          </w:p>
        </w:tc>
        <w:tc>
          <w:tcPr>
            <w:tcW w:w="1460" w:type="pct"/>
          </w:tcPr>
          <w:p w14:paraId="3506B46C">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0D68F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5DF8F007">
            <w:pPr>
              <w:spacing w:line="360" w:lineRule="auto"/>
              <w:jc w:val="center"/>
              <w:rPr>
                <w:color w:val="auto"/>
                <w:highlight w:val="none"/>
              </w:rPr>
            </w:pPr>
          </w:p>
        </w:tc>
        <w:tc>
          <w:tcPr>
            <w:tcW w:w="702" w:type="pct"/>
            <w:vMerge w:val="continue"/>
            <w:tcBorders>
              <w:top w:val="nil"/>
              <w:bottom w:val="nil"/>
            </w:tcBorders>
          </w:tcPr>
          <w:p w14:paraId="5026CEE6">
            <w:pPr>
              <w:spacing w:line="360" w:lineRule="auto"/>
              <w:jc w:val="center"/>
              <w:rPr>
                <w:color w:val="auto"/>
                <w:highlight w:val="none"/>
              </w:rPr>
            </w:pPr>
          </w:p>
        </w:tc>
        <w:tc>
          <w:tcPr>
            <w:tcW w:w="1413" w:type="pct"/>
          </w:tcPr>
          <w:p w14:paraId="0190708F">
            <w:pPr>
              <w:spacing w:line="360" w:lineRule="auto"/>
              <w:jc w:val="left"/>
              <w:rPr>
                <w:color w:val="auto"/>
                <w:highlight w:val="none"/>
              </w:rPr>
            </w:pPr>
            <w:r>
              <w:rPr>
                <w:color w:val="auto"/>
                <w:highlight w:val="none"/>
              </w:rPr>
              <w:t xml:space="preserve">A060503 </w:t>
            </w:r>
            <w:r>
              <w:rPr>
                <w:rFonts w:hint="eastAsia"/>
                <w:color w:val="auto"/>
                <w:highlight w:val="none"/>
              </w:rPr>
              <w:t>金属质柜类</w:t>
            </w:r>
          </w:p>
        </w:tc>
        <w:tc>
          <w:tcPr>
            <w:tcW w:w="1002" w:type="pct"/>
          </w:tcPr>
          <w:p w14:paraId="432A9C1D">
            <w:pPr>
              <w:spacing w:line="360" w:lineRule="auto"/>
              <w:jc w:val="left"/>
              <w:rPr>
                <w:color w:val="auto"/>
                <w:highlight w:val="none"/>
              </w:rPr>
            </w:pPr>
          </w:p>
        </w:tc>
        <w:tc>
          <w:tcPr>
            <w:tcW w:w="1460" w:type="pct"/>
          </w:tcPr>
          <w:p w14:paraId="4585D560">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28435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9CD4946">
            <w:pPr>
              <w:spacing w:line="360" w:lineRule="auto"/>
              <w:jc w:val="center"/>
              <w:rPr>
                <w:color w:val="auto"/>
                <w:highlight w:val="none"/>
              </w:rPr>
            </w:pPr>
          </w:p>
        </w:tc>
        <w:tc>
          <w:tcPr>
            <w:tcW w:w="702" w:type="pct"/>
            <w:vMerge w:val="continue"/>
            <w:tcBorders>
              <w:top w:val="nil"/>
            </w:tcBorders>
          </w:tcPr>
          <w:p w14:paraId="536C30EF">
            <w:pPr>
              <w:spacing w:line="360" w:lineRule="auto"/>
              <w:jc w:val="center"/>
              <w:rPr>
                <w:color w:val="auto"/>
                <w:highlight w:val="none"/>
              </w:rPr>
            </w:pPr>
          </w:p>
        </w:tc>
        <w:tc>
          <w:tcPr>
            <w:tcW w:w="1413" w:type="pct"/>
          </w:tcPr>
          <w:p w14:paraId="0769D354">
            <w:pPr>
              <w:spacing w:line="360" w:lineRule="auto"/>
              <w:jc w:val="left"/>
              <w:rPr>
                <w:color w:val="auto"/>
                <w:highlight w:val="none"/>
              </w:rPr>
            </w:pPr>
            <w:r>
              <w:rPr>
                <w:color w:val="auto"/>
                <w:highlight w:val="none"/>
              </w:rPr>
              <w:t xml:space="preserve">A060599 </w:t>
            </w:r>
            <w:r>
              <w:rPr>
                <w:rFonts w:hint="eastAsia"/>
                <w:color w:val="auto"/>
                <w:highlight w:val="none"/>
              </w:rPr>
              <w:t>其他柜类</w:t>
            </w:r>
          </w:p>
        </w:tc>
        <w:tc>
          <w:tcPr>
            <w:tcW w:w="1002" w:type="pct"/>
          </w:tcPr>
          <w:p w14:paraId="32253796">
            <w:pPr>
              <w:spacing w:line="360" w:lineRule="auto"/>
              <w:jc w:val="left"/>
              <w:rPr>
                <w:color w:val="auto"/>
                <w:highlight w:val="none"/>
              </w:rPr>
            </w:pPr>
          </w:p>
        </w:tc>
        <w:tc>
          <w:tcPr>
            <w:tcW w:w="1460" w:type="pct"/>
          </w:tcPr>
          <w:p w14:paraId="79855A47">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19A35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2FFFF4F5">
            <w:pPr>
              <w:spacing w:line="360" w:lineRule="auto"/>
              <w:jc w:val="center"/>
              <w:rPr>
                <w:color w:val="auto"/>
                <w:highlight w:val="none"/>
              </w:rPr>
            </w:pPr>
            <w:r>
              <w:rPr>
                <w:color w:val="auto"/>
                <w:highlight w:val="none"/>
              </w:rPr>
              <w:t>21</w:t>
            </w:r>
          </w:p>
        </w:tc>
        <w:tc>
          <w:tcPr>
            <w:tcW w:w="702" w:type="pct"/>
            <w:vMerge w:val="restart"/>
            <w:tcBorders>
              <w:bottom w:val="nil"/>
            </w:tcBorders>
          </w:tcPr>
          <w:p w14:paraId="2D618EEA">
            <w:pPr>
              <w:spacing w:line="360" w:lineRule="auto"/>
              <w:jc w:val="center"/>
              <w:rPr>
                <w:color w:val="auto"/>
                <w:highlight w:val="none"/>
              </w:rPr>
            </w:pPr>
            <w:r>
              <w:rPr>
                <w:color w:val="auto"/>
                <w:highlight w:val="none"/>
              </w:rPr>
              <w:t xml:space="preserve">A0606 </w:t>
            </w:r>
            <w:r>
              <w:rPr>
                <w:rFonts w:hint="eastAsia"/>
                <w:color w:val="auto"/>
                <w:highlight w:val="none"/>
              </w:rPr>
              <w:t>架类</w:t>
            </w:r>
          </w:p>
        </w:tc>
        <w:tc>
          <w:tcPr>
            <w:tcW w:w="1413" w:type="pct"/>
          </w:tcPr>
          <w:p w14:paraId="3AD7575F">
            <w:pPr>
              <w:spacing w:line="360" w:lineRule="auto"/>
              <w:jc w:val="left"/>
              <w:rPr>
                <w:color w:val="auto"/>
                <w:highlight w:val="none"/>
              </w:rPr>
            </w:pPr>
            <w:r>
              <w:rPr>
                <w:color w:val="auto"/>
                <w:highlight w:val="none"/>
              </w:rPr>
              <w:t xml:space="preserve">A060601 </w:t>
            </w:r>
            <w:r>
              <w:rPr>
                <w:rFonts w:hint="eastAsia"/>
                <w:color w:val="auto"/>
                <w:highlight w:val="none"/>
              </w:rPr>
              <w:t>木质架类</w:t>
            </w:r>
          </w:p>
        </w:tc>
        <w:tc>
          <w:tcPr>
            <w:tcW w:w="1002" w:type="pct"/>
          </w:tcPr>
          <w:p w14:paraId="09AED5BE">
            <w:pPr>
              <w:spacing w:line="360" w:lineRule="auto"/>
              <w:jc w:val="left"/>
              <w:rPr>
                <w:color w:val="auto"/>
                <w:highlight w:val="none"/>
              </w:rPr>
            </w:pPr>
          </w:p>
        </w:tc>
        <w:tc>
          <w:tcPr>
            <w:tcW w:w="1460" w:type="pct"/>
          </w:tcPr>
          <w:p w14:paraId="7B93ACA4">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3A3AC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76430999">
            <w:pPr>
              <w:spacing w:line="360" w:lineRule="auto"/>
              <w:jc w:val="center"/>
              <w:rPr>
                <w:color w:val="auto"/>
                <w:highlight w:val="none"/>
              </w:rPr>
            </w:pPr>
          </w:p>
        </w:tc>
        <w:tc>
          <w:tcPr>
            <w:tcW w:w="702" w:type="pct"/>
            <w:vMerge w:val="continue"/>
            <w:tcBorders>
              <w:top w:val="nil"/>
            </w:tcBorders>
          </w:tcPr>
          <w:p w14:paraId="03FD95B3">
            <w:pPr>
              <w:spacing w:line="360" w:lineRule="auto"/>
              <w:jc w:val="center"/>
              <w:rPr>
                <w:color w:val="auto"/>
                <w:highlight w:val="none"/>
              </w:rPr>
            </w:pPr>
          </w:p>
        </w:tc>
        <w:tc>
          <w:tcPr>
            <w:tcW w:w="1413" w:type="pct"/>
          </w:tcPr>
          <w:p w14:paraId="049A74A7">
            <w:pPr>
              <w:spacing w:line="360" w:lineRule="auto"/>
              <w:jc w:val="left"/>
              <w:rPr>
                <w:color w:val="auto"/>
                <w:highlight w:val="none"/>
              </w:rPr>
            </w:pPr>
            <w:r>
              <w:rPr>
                <w:color w:val="auto"/>
                <w:highlight w:val="none"/>
              </w:rPr>
              <w:t xml:space="preserve">A060602 </w:t>
            </w:r>
            <w:r>
              <w:rPr>
                <w:rFonts w:hint="eastAsia"/>
                <w:color w:val="auto"/>
                <w:highlight w:val="none"/>
              </w:rPr>
              <w:t>金属质架类</w:t>
            </w:r>
          </w:p>
        </w:tc>
        <w:tc>
          <w:tcPr>
            <w:tcW w:w="1002" w:type="pct"/>
          </w:tcPr>
          <w:p w14:paraId="11414A99">
            <w:pPr>
              <w:spacing w:line="360" w:lineRule="auto"/>
              <w:jc w:val="left"/>
              <w:rPr>
                <w:color w:val="auto"/>
                <w:highlight w:val="none"/>
              </w:rPr>
            </w:pPr>
          </w:p>
        </w:tc>
        <w:tc>
          <w:tcPr>
            <w:tcW w:w="1460" w:type="pct"/>
          </w:tcPr>
          <w:p w14:paraId="4897B505">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305A6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10A68294">
            <w:pPr>
              <w:spacing w:line="360" w:lineRule="auto"/>
              <w:jc w:val="center"/>
              <w:rPr>
                <w:color w:val="auto"/>
                <w:highlight w:val="none"/>
              </w:rPr>
            </w:pPr>
            <w:r>
              <w:rPr>
                <w:color w:val="auto"/>
                <w:highlight w:val="none"/>
              </w:rPr>
              <w:t>22</w:t>
            </w:r>
          </w:p>
        </w:tc>
        <w:tc>
          <w:tcPr>
            <w:tcW w:w="702" w:type="pct"/>
            <w:vMerge w:val="restart"/>
            <w:tcBorders>
              <w:bottom w:val="nil"/>
            </w:tcBorders>
          </w:tcPr>
          <w:p w14:paraId="7769EFC6">
            <w:pPr>
              <w:spacing w:line="360" w:lineRule="auto"/>
              <w:jc w:val="center"/>
              <w:rPr>
                <w:color w:val="auto"/>
                <w:highlight w:val="none"/>
              </w:rPr>
            </w:pPr>
            <w:r>
              <w:rPr>
                <w:color w:val="auto"/>
                <w:highlight w:val="none"/>
              </w:rPr>
              <w:t xml:space="preserve">A0607 </w:t>
            </w:r>
            <w:r>
              <w:rPr>
                <w:rFonts w:hint="eastAsia"/>
                <w:color w:val="auto"/>
                <w:highlight w:val="none"/>
              </w:rPr>
              <w:t>屏风类</w:t>
            </w:r>
          </w:p>
        </w:tc>
        <w:tc>
          <w:tcPr>
            <w:tcW w:w="1413" w:type="pct"/>
          </w:tcPr>
          <w:p w14:paraId="0E4023BD">
            <w:pPr>
              <w:spacing w:line="360" w:lineRule="auto"/>
              <w:jc w:val="left"/>
              <w:rPr>
                <w:color w:val="auto"/>
                <w:highlight w:val="none"/>
              </w:rPr>
            </w:pPr>
            <w:r>
              <w:rPr>
                <w:color w:val="auto"/>
                <w:highlight w:val="none"/>
              </w:rPr>
              <w:t xml:space="preserve">A060701 </w:t>
            </w:r>
            <w:r>
              <w:rPr>
                <w:rFonts w:hint="eastAsia"/>
                <w:color w:val="auto"/>
                <w:highlight w:val="none"/>
              </w:rPr>
              <w:t>木质屏风类</w:t>
            </w:r>
          </w:p>
        </w:tc>
        <w:tc>
          <w:tcPr>
            <w:tcW w:w="1002" w:type="pct"/>
          </w:tcPr>
          <w:p w14:paraId="6B69ECB6">
            <w:pPr>
              <w:spacing w:line="360" w:lineRule="auto"/>
              <w:jc w:val="left"/>
              <w:rPr>
                <w:color w:val="auto"/>
                <w:highlight w:val="none"/>
              </w:rPr>
            </w:pPr>
          </w:p>
        </w:tc>
        <w:tc>
          <w:tcPr>
            <w:tcW w:w="1460" w:type="pct"/>
          </w:tcPr>
          <w:p w14:paraId="27696A59">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56E30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4CD4072">
            <w:pPr>
              <w:spacing w:line="360" w:lineRule="auto"/>
              <w:jc w:val="center"/>
              <w:rPr>
                <w:color w:val="auto"/>
                <w:highlight w:val="none"/>
              </w:rPr>
            </w:pPr>
          </w:p>
        </w:tc>
        <w:tc>
          <w:tcPr>
            <w:tcW w:w="702" w:type="pct"/>
            <w:vMerge w:val="continue"/>
            <w:tcBorders>
              <w:top w:val="nil"/>
            </w:tcBorders>
          </w:tcPr>
          <w:p w14:paraId="42CC1403">
            <w:pPr>
              <w:spacing w:line="360" w:lineRule="auto"/>
              <w:jc w:val="center"/>
              <w:rPr>
                <w:color w:val="auto"/>
                <w:highlight w:val="none"/>
              </w:rPr>
            </w:pPr>
          </w:p>
        </w:tc>
        <w:tc>
          <w:tcPr>
            <w:tcW w:w="1413" w:type="pct"/>
          </w:tcPr>
          <w:p w14:paraId="384B4643">
            <w:pPr>
              <w:spacing w:line="360" w:lineRule="auto"/>
              <w:jc w:val="left"/>
              <w:rPr>
                <w:color w:val="auto"/>
                <w:highlight w:val="none"/>
              </w:rPr>
            </w:pPr>
            <w:r>
              <w:rPr>
                <w:color w:val="auto"/>
                <w:highlight w:val="none"/>
              </w:rPr>
              <w:t xml:space="preserve">A060702 </w:t>
            </w:r>
            <w:r>
              <w:rPr>
                <w:rFonts w:hint="eastAsia"/>
                <w:color w:val="auto"/>
                <w:highlight w:val="none"/>
              </w:rPr>
              <w:t>金属质屏风类</w:t>
            </w:r>
          </w:p>
        </w:tc>
        <w:tc>
          <w:tcPr>
            <w:tcW w:w="1002" w:type="pct"/>
          </w:tcPr>
          <w:p w14:paraId="1F594185">
            <w:pPr>
              <w:spacing w:line="360" w:lineRule="auto"/>
              <w:jc w:val="left"/>
              <w:rPr>
                <w:color w:val="auto"/>
                <w:highlight w:val="none"/>
              </w:rPr>
            </w:pPr>
          </w:p>
        </w:tc>
        <w:tc>
          <w:tcPr>
            <w:tcW w:w="1460" w:type="pct"/>
          </w:tcPr>
          <w:p w14:paraId="1FEAA4E1">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4D2FD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14:paraId="52C79458">
            <w:pPr>
              <w:spacing w:line="360" w:lineRule="auto"/>
              <w:jc w:val="center"/>
              <w:rPr>
                <w:color w:val="auto"/>
                <w:highlight w:val="none"/>
              </w:rPr>
            </w:pPr>
            <w:r>
              <w:rPr>
                <w:color w:val="auto"/>
                <w:highlight w:val="none"/>
              </w:rPr>
              <w:t>23</w:t>
            </w:r>
          </w:p>
        </w:tc>
        <w:tc>
          <w:tcPr>
            <w:tcW w:w="702" w:type="pct"/>
          </w:tcPr>
          <w:p w14:paraId="6B1EEF0D">
            <w:pPr>
              <w:spacing w:line="360" w:lineRule="auto"/>
              <w:jc w:val="center"/>
              <w:rPr>
                <w:color w:val="auto"/>
                <w:highlight w:val="none"/>
              </w:rPr>
            </w:pPr>
            <w:r>
              <w:rPr>
                <w:color w:val="auto"/>
                <w:highlight w:val="none"/>
              </w:rPr>
              <w:t xml:space="preserve">A060804 </w:t>
            </w:r>
            <w:r>
              <w:rPr>
                <w:rFonts w:hint="eastAsia"/>
                <w:color w:val="auto"/>
                <w:highlight w:val="none"/>
              </w:rPr>
              <w:t>水池</w:t>
            </w:r>
          </w:p>
        </w:tc>
        <w:tc>
          <w:tcPr>
            <w:tcW w:w="1413" w:type="pct"/>
          </w:tcPr>
          <w:p w14:paraId="6BF4B3AF">
            <w:pPr>
              <w:spacing w:line="360" w:lineRule="auto"/>
              <w:jc w:val="left"/>
              <w:rPr>
                <w:color w:val="auto"/>
                <w:highlight w:val="none"/>
              </w:rPr>
            </w:pPr>
          </w:p>
        </w:tc>
        <w:tc>
          <w:tcPr>
            <w:tcW w:w="1002" w:type="pct"/>
          </w:tcPr>
          <w:p w14:paraId="2C5CB525">
            <w:pPr>
              <w:spacing w:line="360" w:lineRule="auto"/>
              <w:jc w:val="left"/>
              <w:rPr>
                <w:color w:val="auto"/>
                <w:highlight w:val="none"/>
              </w:rPr>
            </w:pPr>
          </w:p>
        </w:tc>
        <w:tc>
          <w:tcPr>
            <w:tcW w:w="1460" w:type="pct"/>
          </w:tcPr>
          <w:p w14:paraId="72EAE962">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14:paraId="5A45E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3E7DFA1D">
            <w:pPr>
              <w:spacing w:line="360" w:lineRule="auto"/>
              <w:jc w:val="center"/>
              <w:rPr>
                <w:color w:val="auto"/>
                <w:highlight w:val="none"/>
              </w:rPr>
            </w:pPr>
            <w:r>
              <w:rPr>
                <w:color w:val="auto"/>
                <w:highlight w:val="none"/>
              </w:rPr>
              <w:t>24</w:t>
            </w:r>
          </w:p>
        </w:tc>
        <w:tc>
          <w:tcPr>
            <w:tcW w:w="702" w:type="pct"/>
          </w:tcPr>
          <w:p w14:paraId="5F34DAD3">
            <w:pPr>
              <w:spacing w:line="360" w:lineRule="auto"/>
              <w:jc w:val="center"/>
              <w:rPr>
                <w:color w:val="auto"/>
                <w:highlight w:val="none"/>
              </w:rPr>
            </w:pPr>
            <w:r>
              <w:rPr>
                <w:color w:val="auto"/>
                <w:highlight w:val="none"/>
              </w:rPr>
              <w:t xml:space="preserve">A060805 </w:t>
            </w:r>
            <w:r>
              <w:rPr>
                <w:rFonts w:hint="eastAsia"/>
                <w:color w:val="auto"/>
                <w:highlight w:val="none"/>
              </w:rPr>
              <w:t>便器</w:t>
            </w:r>
          </w:p>
        </w:tc>
        <w:tc>
          <w:tcPr>
            <w:tcW w:w="1413" w:type="pct"/>
          </w:tcPr>
          <w:p w14:paraId="4378BCCE">
            <w:pPr>
              <w:spacing w:line="360" w:lineRule="auto"/>
              <w:jc w:val="left"/>
              <w:rPr>
                <w:color w:val="auto"/>
                <w:highlight w:val="none"/>
              </w:rPr>
            </w:pPr>
          </w:p>
        </w:tc>
        <w:tc>
          <w:tcPr>
            <w:tcW w:w="1002" w:type="pct"/>
          </w:tcPr>
          <w:p w14:paraId="6DA3B3C6">
            <w:pPr>
              <w:spacing w:line="360" w:lineRule="auto"/>
              <w:jc w:val="left"/>
              <w:rPr>
                <w:color w:val="auto"/>
                <w:highlight w:val="none"/>
              </w:rPr>
            </w:pPr>
          </w:p>
        </w:tc>
        <w:tc>
          <w:tcPr>
            <w:tcW w:w="1460" w:type="pct"/>
          </w:tcPr>
          <w:p w14:paraId="1C7C2172">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14:paraId="3C92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1DE50911">
            <w:pPr>
              <w:spacing w:line="360" w:lineRule="auto"/>
              <w:jc w:val="center"/>
              <w:rPr>
                <w:color w:val="auto"/>
                <w:highlight w:val="none"/>
              </w:rPr>
            </w:pPr>
            <w:r>
              <w:rPr>
                <w:color w:val="auto"/>
                <w:highlight w:val="none"/>
              </w:rPr>
              <w:t>25</w:t>
            </w:r>
          </w:p>
        </w:tc>
        <w:tc>
          <w:tcPr>
            <w:tcW w:w="702" w:type="pct"/>
          </w:tcPr>
          <w:p w14:paraId="76D3616B">
            <w:pPr>
              <w:spacing w:line="360" w:lineRule="auto"/>
              <w:jc w:val="center"/>
              <w:rPr>
                <w:color w:val="auto"/>
                <w:highlight w:val="none"/>
              </w:rPr>
            </w:pPr>
            <w:r>
              <w:rPr>
                <w:color w:val="auto"/>
                <w:highlight w:val="none"/>
              </w:rPr>
              <w:t xml:space="preserve">A060806 </w:t>
            </w:r>
            <w:r>
              <w:rPr>
                <w:rFonts w:hint="eastAsia"/>
                <w:color w:val="auto"/>
                <w:highlight w:val="none"/>
              </w:rPr>
              <w:t>水嘴</w:t>
            </w:r>
          </w:p>
        </w:tc>
        <w:tc>
          <w:tcPr>
            <w:tcW w:w="1413" w:type="pct"/>
          </w:tcPr>
          <w:p w14:paraId="186E56E8">
            <w:pPr>
              <w:spacing w:line="360" w:lineRule="auto"/>
              <w:jc w:val="left"/>
              <w:rPr>
                <w:color w:val="auto"/>
                <w:highlight w:val="none"/>
              </w:rPr>
            </w:pPr>
          </w:p>
        </w:tc>
        <w:tc>
          <w:tcPr>
            <w:tcW w:w="1002" w:type="pct"/>
          </w:tcPr>
          <w:p w14:paraId="713E7CD6">
            <w:pPr>
              <w:spacing w:line="360" w:lineRule="auto"/>
              <w:jc w:val="left"/>
              <w:rPr>
                <w:color w:val="auto"/>
                <w:highlight w:val="none"/>
              </w:rPr>
            </w:pPr>
          </w:p>
        </w:tc>
        <w:tc>
          <w:tcPr>
            <w:tcW w:w="1460" w:type="pct"/>
          </w:tcPr>
          <w:p w14:paraId="06710505">
            <w:pPr>
              <w:spacing w:line="360" w:lineRule="auto"/>
              <w:jc w:val="left"/>
              <w:rPr>
                <w:color w:val="auto"/>
                <w:highlight w:val="none"/>
              </w:rPr>
            </w:pPr>
            <w:r>
              <w:rPr>
                <w:color w:val="auto"/>
                <w:highlight w:val="none"/>
              </w:rPr>
              <w:t xml:space="preserve">HJ/T411 </w:t>
            </w:r>
            <w:r>
              <w:rPr>
                <w:rFonts w:hint="eastAsia"/>
                <w:color w:val="auto"/>
                <w:highlight w:val="none"/>
              </w:rPr>
              <w:t>水嘴</w:t>
            </w:r>
          </w:p>
        </w:tc>
      </w:tr>
      <w:tr w14:paraId="3C9F5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14:paraId="747D15F2">
            <w:pPr>
              <w:spacing w:line="360" w:lineRule="auto"/>
              <w:jc w:val="center"/>
              <w:rPr>
                <w:color w:val="auto"/>
                <w:highlight w:val="none"/>
              </w:rPr>
            </w:pPr>
            <w:r>
              <w:rPr>
                <w:color w:val="auto"/>
                <w:highlight w:val="none"/>
              </w:rPr>
              <w:t>26</w:t>
            </w:r>
          </w:p>
        </w:tc>
        <w:tc>
          <w:tcPr>
            <w:tcW w:w="702" w:type="pct"/>
          </w:tcPr>
          <w:p w14:paraId="3566A0D5">
            <w:pPr>
              <w:spacing w:line="360" w:lineRule="auto"/>
              <w:jc w:val="center"/>
              <w:rPr>
                <w:color w:val="auto"/>
                <w:highlight w:val="none"/>
              </w:rPr>
            </w:pPr>
            <w:r>
              <w:rPr>
                <w:color w:val="auto"/>
                <w:highlight w:val="none"/>
              </w:rPr>
              <w:t xml:space="preserve">A0609 </w:t>
            </w:r>
            <w:r>
              <w:rPr>
                <w:rFonts w:hint="eastAsia"/>
                <w:color w:val="auto"/>
                <w:highlight w:val="none"/>
              </w:rPr>
              <w:t>组合家具</w:t>
            </w:r>
          </w:p>
        </w:tc>
        <w:tc>
          <w:tcPr>
            <w:tcW w:w="1413" w:type="pct"/>
          </w:tcPr>
          <w:p w14:paraId="2985B06A">
            <w:pPr>
              <w:spacing w:line="360" w:lineRule="auto"/>
              <w:jc w:val="left"/>
              <w:rPr>
                <w:color w:val="auto"/>
                <w:highlight w:val="none"/>
              </w:rPr>
            </w:pPr>
          </w:p>
        </w:tc>
        <w:tc>
          <w:tcPr>
            <w:tcW w:w="1002" w:type="pct"/>
          </w:tcPr>
          <w:p w14:paraId="0B0BB6FA">
            <w:pPr>
              <w:spacing w:line="360" w:lineRule="auto"/>
              <w:jc w:val="left"/>
              <w:rPr>
                <w:color w:val="auto"/>
                <w:highlight w:val="none"/>
              </w:rPr>
            </w:pPr>
          </w:p>
        </w:tc>
        <w:tc>
          <w:tcPr>
            <w:tcW w:w="1460" w:type="pct"/>
          </w:tcPr>
          <w:p w14:paraId="08FAE1A8">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78123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0D8AACCE">
            <w:pPr>
              <w:spacing w:line="360" w:lineRule="auto"/>
              <w:jc w:val="center"/>
              <w:rPr>
                <w:color w:val="auto"/>
                <w:highlight w:val="none"/>
              </w:rPr>
            </w:pPr>
            <w:r>
              <w:rPr>
                <w:color w:val="auto"/>
                <w:highlight w:val="none"/>
              </w:rPr>
              <w:t>27</w:t>
            </w:r>
          </w:p>
        </w:tc>
        <w:tc>
          <w:tcPr>
            <w:tcW w:w="702" w:type="pct"/>
          </w:tcPr>
          <w:p w14:paraId="2688F7A6">
            <w:pPr>
              <w:spacing w:line="360" w:lineRule="auto"/>
              <w:jc w:val="center"/>
              <w:rPr>
                <w:color w:val="auto"/>
                <w:highlight w:val="none"/>
              </w:rPr>
            </w:pPr>
            <w:r>
              <w:rPr>
                <w:color w:val="auto"/>
                <w:highlight w:val="none"/>
              </w:rPr>
              <w:t xml:space="preserve">A0610 </w:t>
            </w:r>
            <w:r>
              <w:rPr>
                <w:rFonts w:hint="eastAsia"/>
                <w:color w:val="auto"/>
                <w:highlight w:val="none"/>
              </w:rPr>
              <w:t>家用家具</w:t>
            </w:r>
            <w:r>
              <w:rPr>
                <w:color w:val="auto"/>
                <w:highlight w:val="none"/>
              </w:rPr>
              <w:t xml:space="preserve"> </w:t>
            </w:r>
            <w:r>
              <w:rPr>
                <w:rFonts w:hint="eastAsia"/>
                <w:color w:val="auto"/>
                <w:highlight w:val="none"/>
              </w:rPr>
              <w:t>零配件</w:t>
            </w:r>
          </w:p>
        </w:tc>
        <w:tc>
          <w:tcPr>
            <w:tcW w:w="1413" w:type="pct"/>
          </w:tcPr>
          <w:p w14:paraId="7837D7E7">
            <w:pPr>
              <w:spacing w:line="360" w:lineRule="auto"/>
              <w:jc w:val="left"/>
              <w:rPr>
                <w:color w:val="auto"/>
                <w:highlight w:val="none"/>
              </w:rPr>
            </w:pPr>
          </w:p>
        </w:tc>
        <w:tc>
          <w:tcPr>
            <w:tcW w:w="1002" w:type="pct"/>
          </w:tcPr>
          <w:p w14:paraId="37B7DF55">
            <w:pPr>
              <w:spacing w:line="360" w:lineRule="auto"/>
              <w:jc w:val="left"/>
              <w:rPr>
                <w:color w:val="auto"/>
                <w:highlight w:val="none"/>
              </w:rPr>
            </w:pPr>
          </w:p>
        </w:tc>
        <w:tc>
          <w:tcPr>
            <w:tcW w:w="1460" w:type="pct"/>
          </w:tcPr>
          <w:p w14:paraId="5F39F08E">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572B5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tcPr>
          <w:p w14:paraId="11F67D4D">
            <w:pPr>
              <w:spacing w:line="360" w:lineRule="auto"/>
              <w:jc w:val="center"/>
              <w:rPr>
                <w:color w:val="auto"/>
                <w:highlight w:val="none"/>
              </w:rPr>
            </w:pPr>
            <w:r>
              <w:rPr>
                <w:color w:val="auto"/>
                <w:highlight w:val="none"/>
              </w:rPr>
              <w:t>28</w:t>
            </w:r>
          </w:p>
        </w:tc>
        <w:tc>
          <w:tcPr>
            <w:tcW w:w="702" w:type="pct"/>
          </w:tcPr>
          <w:p w14:paraId="6CA5B6B7">
            <w:pPr>
              <w:spacing w:line="360" w:lineRule="auto"/>
              <w:jc w:val="center"/>
              <w:rPr>
                <w:color w:val="auto"/>
                <w:highlight w:val="none"/>
              </w:rPr>
            </w:pPr>
            <w:r>
              <w:rPr>
                <w:color w:val="auto"/>
                <w:highlight w:val="none"/>
              </w:rPr>
              <w:t xml:space="preserve">A0699 </w:t>
            </w:r>
            <w:r>
              <w:rPr>
                <w:rFonts w:hint="eastAsia"/>
                <w:color w:val="auto"/>
                <w:highlight w:val="none"/>
              </w:rPr>
              <w:t>其他家具</w:t>
            </w:r>
            <w:r>
              <w:rPr>
                <w:color w:val="auto"/>
                <w:highlight w:val="none"/>
              </w:rPr>
              <w:t xml:space="preserve"> </w:t>
            </w:r>
            <w:r>
              <w:rPr>
                <w:rFonts w:hint="eastAsia"/>
                <w:color w:val="auto"/>
                <w:highlight w:val="none"/>
              </w:rPr>
              <w:t>用具</w:t>
            </w:r>
          </w:p>
        </w:tc>
        <w:tc>
          <w:tcPr>
            <w:tcW w:w="1413" w:type="pct"/>
          </w:tcPr>
          <w:p w14:paraId="5F06C637">
            <w:pPr>
              <w:spacing w:line="360" w:lineRule="auto"/>
              <w:jc w:val="left"/>
              <w:rPr>
                <w:color w:val="auto"/>
                <w:highlight w:val="none"/>
              </w:rPr>
            </w:pPr>
          </w:p>
        </w:tc>
        <w:tc>
          <w:tcPr>
            <w:tcW w:w="1002" w:type="pct"/>
          </w:tcPr>
          <w:p w14:paraId="40803A42">
            <w:pPr>
              <w:spacing w:line="360" w:lineRule="auto"/>
              <w:jc w:val="left"/>
              <w:rPr>
                <w:color w:val="auto"/>
                <w:highlight w:val="none"/>
              </w:rPr>
            </w:pPr>
          </w:p>
        </w:tc>
        <w:tc>
          <w:tcPr>
            <w:tcW w:w="1460" w:type="pct"/>
          </w:tcPr>
          <w:p w14:paraId="5F872A13">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A798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14:paraId="1AB0E5B2">
            <w:pPr>
              <w:spacing w:line="360" w:lineRule="auto"/>
              <w:jc w:val="center"/>
              <w:rPr>
                <w:color w:val="auto"/>
                <w:highlight w:val="none"/>
              </w:rPr>
            </w:pPr>
            <w:r>
              <w:rPr>
                <w:color w:val="auto"/>
                <w:highlight w:val="none"/>
              </w:rPr>
              <w:t>29</w:t>
            </w:r>
          </w:p>
        </w:tc>
        <w:tc>
          <w:tcPr>
            <w:tcW w:w="702" w:type="pct"/>
          </w:tcPr>
          <w:p w14:paraId="3B323E0A">
            <w:pPr>
              <w:spacing w:line="360" w:lineRule="auto"/>
              <w:jc w:val="center"/>
              <w:rPr>
                <w:color w:val="auto"/>
                <w:highlight w:val="none"/>
              </w:rPr>
            </w:pPr>
            <w:r>
              <w:rPr>
                <w:color w:val="auto"/>
                <w:highlight w:val="none"/>
              </w:rPr>
              <w:t xml:space="preserve">A070101 </w:t>
            </w:r>
            <w:r>
              <w:rPr>
                <w:rFonts w:hint="eastAsia"/>
                <w:color w:val="auto"/>
                <w:highlight w:val="none"/>
              </w:rPr>
              <w:t>棉、化纤</w:t>
            </w:r>
            <w:r>
              <w:rPr>
                <w:color w:val="auto"/>
                <w:highlight w:val="none"/>
              </w:rPr>
              <w:t xml:space="preserve"> </w:t>
            </w:r>
            <w:r>
              <w:rPr>
                <w:rFonts w:hint="eastAsia"/>
                <w:color w:val="auto"/>
                <w:highlight w:val="none"/>
              </w:rPr>
              <w:t>纺织及印染原料</w:t>
            </w:r>
          </w:p>
        </w:tc>
        <w:tc>
          <w:tcPr>
            <w:tcW w:w="1413" w:type="pct"/>
          </w:tcPr>
          <w:p w14:paraId="68A4A030">
            <w:pPr>
              <w:spacing w:line="360" w:lineRule="auto"/>
              <w:jc w:val="left"/>
              <w:rPr>
                <w:color w:val="auto"/>
                <w:highlight w:val="none"/>
              </w:rPr>
            </w:pPr>
          </w:p>
        </w:tc>
        <w:tc>
          <w:tcPr>
            <w:tcW w:w="1002" w:type="pct"/>
          </w:tcPr>
          <w:p w14:paraId="604BBD3D">
            <w:pPr>
              <w:spacing w:line="360" w:lineRule="auto"/>
              <w:jc w:val="left"/>
              <w:rPr>
                <w:color w:val="auto"/>
                <w:highlight w:val="none"/>
              </w:rPr>
            </w:pPr>
          </w:p>
        </w:tc>
        <w:tc>
          <w:tcPr>
            <w:tcW w:w="1460" w:type="pct"/>
          </w:tcPr>
          <w:p w14:paraId="7E112A90">
            <w:pPr>
              <w:spacing w:line="360" w:lineRule="auto"/>
              <w:jc w:val="left"/>
              <w:rPr>
                <w:color w:val="auto"/>
                <w:highlight w:val="none"/>
              </w:rPr>
            </w:pPr>
            <w:r>
              <w:rPr>
                <w:color w:val="auto"/>
                <w:highlight w:val="none"/>
              </w:rPr>
              <w:t xml:space="preserve">HJ2546 </w:t>
            </w:r>
            <w:r>
              <w:rPr>
                <w:rFonts w:hint="eastAsia"/>
                <w:color w:val="auto"/>
                <w:highlight w:val="none"/>
              </w:rPr>
              <w:t>纺织产品</w:t>
            </w:r>
          </w:p>
        </w:tc>
      </w:tr>
      <w:tr w14:paraId="44D0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21" w:type="pct"/>
          </w:tcPr>
          <w:p w14:paraId="77EA6C68">
            <w:pPr>
              <w:spacing w:line="360" w:lineRule="auto"/>
              <w:jc w:val="left"/>
              <w:rPr>
                <w:color w:val="auto"/>
                <w:highlight w:val="none"/>
              </w:rPr>
            </w:pPr>
            <w:r>
              <w:rPr>
                <w:color w:val="auto"/>
                <w:highlight w:val="none"/>
              </w:rPr>
              <w:t>30</w:t>
            </w:r>
          </w:p>
        </w:tc>
        <w:tc>
          <w:tcPr>
            <w:tcW w:w="702" w:type="pct"/>
          </w:tcPr>
          <w:p w14:paraId="5FCB71E7">
            <w:pPr>
              <w:spacing w:line="360" w:lineRule="auto"/>
              <w:jc w:val="left"/>
              <w:rPr>
                <w:color w:val="auto"/>
                <w:highlight w:val="none"/>
              </w:rPr>
            </w:pPr>
            <w:r>
              <w:rPr>
                <w:color w:val="auto"/>
                <w:highlight w:val="none"/>
              </w:rPr>
              <w:t xml:space="preserve">A090101 </w:t>
            </w:r>
            <w:r>
              <w:rPr>
                <w:rFonts w:hint="eastAsia"/>
                <w:color w:val="auto"/>
                <w:highlight w:val="none"/>
              </w:rPr>
              <w:t>复</w:t>
            </w:r>
            <w:r>
              <w:rPr>
                <w:color w:val="auto"/>
                <w:highlight w:val="none"/>
              </w:rPr>
              <w:t xml:space="preserve"> </w:t>
            </w:r>
            <w:r>
              <w:rPr>
                <w:rFonts w:hint="eastAsia"/>
                <w:color w:val="auto"/>
                <w:highlight w:val="none"/>
              </w:rPr>
              <w:t>印纸</w:t>
            </w:r>
            <w:r>
              <w:rPr>
                <w:color w:val="auto"/>
                <w:highlight w:val="none"/>
              </w:rPr>
              <w:t xml:space="preserve"> </w:t>
            </w:r>
            <w:r>
              <w:rPr>
                <w:rFonts w:hint="eastAsia"/>
                <w:color w:val="auto"/>
                <w:highlight w:val="none"/>
              </w:rPr>
              <w:t>（包括再生复印</w:t>
            </w:r>
            <w:r>
              <w:rPr>
                <w:color w:val="auto"/>
                <w:highlight w:val="none"/>
              </w:rPr>
              <w:t xml:space="preserve"> </w:t>
            </w:r>
            <w:r>
              <w:rPr>
                <w:rFonts w:hint="eastAsia"/>
                <w:color w:val="auto"/>
                <w:highlight w:val="none"/>
              </w:rPr>
              <w:t>纸）</w:t>
            </w:r>
          </w:p>
        </w:tc>
        <w:tc>
          <w:tcPr>
            <w:tcW w:w="1413" w:type="pct"/>
          </w:tcPr>
          <w:p w14:paraId="34A67E23">
            <w:pPr>
              <w:spacing w:line="360" w:lineRule="auto"/>
              <w:jc w:val="left"/>
              <w:rPr>
                <w:color w:val="auto"/>
                <w:highlight w:val="none"/>
              </w:rPr>
            </w:pPr>
          </w:p>
        </w:tc>
        <w:tc>
          <w:tcPr>
            <w:tcW w:w="1002" w:type="pct"/>
          </w:tcPr>
          <w:p w14:paraId="37047814">
            <w:pPr>
              <w:spacing w:line="360" w:lineRule="auto"/>
              <w:jc w:val="left"/>
              <w:rPr>
                <w:color w:val="auto"/>
                <w:highlight w:val="none"/>
              </w:rPr>
            </w:pPr>
          </w:p>
        </w:tc>
        <w:tc>
          <w:tcPr>
            <w:tcW w:w="1460" w:type="pct"/>
          </w:tcPr>
          <w:p w14:paraId="17DFAA55">
            <w:pPr>
              <w:spacing w:line="360" w:lineRule="auto"/>
              <w:jc w:val="left"/>
              <w:rPr>
                <w:color w:val="auto"/>
                <w:highlight w:val="none"/>
              </w:rPr>
            </w:pPr>
            <w:r>
              <w:rPr>
                <w:color w:val="auto"/>
                <w:highlight w:val="none"/>
              </w:rPr>
              <w:t xml:space="preserve">HJ410 </w:t>
            </w:r>
            <w:r>
              <w:rPr>
                <w:rFonts w:hint="eastAsia"/>
                <w:color w:val="auto"/>
                <w:highlight w:val="none"/>
              </w:rPr>
              <w:t>文化用纸</w:t>
            </w:r>
          </w:p>
        </w:tc>
      </w:tr>
      <w:tr w14:paraId="53B9E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14:paraId="15C4657F">
            <w:pPr>
              <w:spacing w:line="360" w:lineRule="auto"/>
              <w:jc w:val="left"/>
              <w:rPr>
                <w:color w:val="auto"/>
                <w:highlight w:val="none"/>
              </w:rPr>
            </w:pPr>
            <w:r>
              <w:rPr>
                <w:color w:val="auto"/>
                <w:highlight w:val="none"/>
              </w:rPr>
              <w:t>31</w:t>
            </w:r>
          </w:p>
        </w:tc>
        <w:tc>
          <w:tcPr>
            <w:tcW w:w="702" w:type="pct"/>
          </w:tcPr>
          <w:p w14:paraId="6400836D">
            <w:pPr>
              <w:spacing w:line="360" w:lineRule="auto"/>
              <w:jc w:val="left"/>
              <w:rPr>
                <w:color w:val="auto"/>
                <w:highlight w:val="none"/>
              </w:rPr>
            </w:pPr>
            <w:r>
              <w:rPr>
                <w:color w:val="auto"/>
                <w:highlight w:val="none"/>
              </w:rPr>
              <w:t xml:space="preserve">A090201 </w:t>
            </w:r>
            <w:r>
              <w:rPr>
                <w:rFonts w:hint="eastAsia"/>
                <w:color w:val="auto"/>
                <w:highlight w:val="none"/>
              </w:rPr>
              <w:t>鼓粉盒</w:t>
            </w:r>
            <w:r>
              <w:rPr>
                <w:color w:val="auto"/>
                <w:highlight w:val="none"/>
              </w:rPr>
              <w:t xml:space="preserve"> </w:t>
            </w:r>
            <w:r>
              <w:rPr>
                <w:rFonts w:hint="eastAsia"/>
                <w:color w:val="auto"/>
                <w:highlight w:val="none"/>
              </w:rPr>
              <w:t>（包括再生鼓粉</w:t>
            </w:r>
            <w:r>
              <w:rPr>
                <w:color w:val="auto"/>
                <w:highlight w:val="none"/>
              </w:rPr>
              <w:t xml:space="preserve"> </w:t>
            </w:r>
            <w:r>
              <w:rPr>
                <w:rFonts w:hint="eastAsia"/>
                <w:color w:val="auto"/>
                <w:highlight w:val="none"/>
              </w:rPr>
              <w:t>盒）</w:t>
            </w:r>
          </w:p>
        </w:tc>
        <w:tc>
          <w:tcPr>
            <w:tcW w:w="1413" w:type="pct"/>
          </w:tcPr>
          <w:p w14:paraId="515520CD">
            <w:pPr>
              <w:spacing w:line="360" w:lineRule="auto"/>
              <w:jc w:val="left"/>
              <w:rPr>
                <w:color w:val="auto"/>
                <w:highlight w:val="none"/>
              </w:rPr>
            </w:pPr>
          </w:p>
        </w:tc>
        <w:tc>
          <w:tcPr>
            <w:tcW w:w="1002" w:type="pct"/>
          </w:tcPr>
          <w:p w14:paraId="500E5088">
            <w:pPr>
              <w:spacing w:line="360" w:lineRule="auto"/>
              <w:jc w:val="left"/>
              <w:rPr>
                <w:color w:val="auto"/>
                <w:highlight w:val="none"/>
              </w:rPr>
            </w:pPr>
          </w:p>
        </w:tc>
        <w:tc>
          <w:tcPr>
            <w:tcW w:w="1460" w:type="pct"/>
          </w:tcPr>
          <w:p w14:paraId="100EEAE8">
            <w:pPr>
              <w:spacing w:line="360" w:lineRule="auto"/>
              <w:jc w:val="left"/>
              <w:rPr>
                <w:color w:val="auto"/>
                <w:highlight w:val="none"/>
              </w:rPr>
            </w:pPr>
            <w:r>
              <w:rPr>
                <w:color w:val="auto"/>
                <w:highlight w:val="none"/>
              </w:rPr>
              <w:t xml:space="preserve">HJ/T413 </w:t>
            </w:r>
            <w:r>
              <w:rPr>
                <w:rFonts w:hint="eastAsia"/>
                <w:color w:val="auto"/>
                <w:highlight w:val="none"/>
              </w:rPr>
              <w:t>再生鼓粉盒</w:t>
            </w:r>
          </w:p>
        </w:tc>
      </w:tr>
      <w:tr w14:paraId="61A8F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1" w:type="pct"/>
            <w:vMerge w:val="restart"/>
            <w:tcBorders>
              <w:bottom w:val="nil"/>
            </w:tcBorders>
          </w:tcPr>
          <w:p w14:paraId="7C0A9F9B">
            <w:pPr>
              <w:spacing w:line="360" w:lineRule="auto"/>
              <w:jc w:val="left"/>
              <w:rPr>
                <w:color w:val="auto"/>
                <w:highlight w:val="none"/>
              </w:rPr>
            </w:pPr>
            <w:r>
              <w:rPr>
                <w:color w:val="auto"/>
                <w:highlight w:val="none"/>
              </w:rPr>
              <w:t>32</w:t>
            </w:r>
          </w:p>
        </w:tc>
        <w:tc>
          <w:tcPr>
            <w:tcW w:w="702" w:type="pct"/>
            <w:vMerge w:val="restart"/>
            <w:tcBorders>
              <w:bottom w:val="nil"/>
            </w:tcBorders>
          </w:tcPr>
          <w:p w14:paraId="2CB9E6A1">
            <w:pPr>
              <w:spacing w:line="360" w:lineRule="auto"/>
              <w:jc w:val="left"/>
              <w:rPr>
                <w:color w:val="auto"/>
                <w:highlight w:val="none"/>
              </w:rPr>
            </w:pPr>
            <w:r>
              <w:rPr>
                <w:color w:val="auto"/>
                <w:highlight w:val="none"/>
              </w:rPr>
              <w:t xml:space="preserve">A100203 </w:t>
            </w:r>
            <w:r>
              <w:rPr>
                <w:rFonts w:hint="eastAsia"/>
                <w:color w:val="auto"/>
                <w:highlight w:val="none"/>
              </w:rPr>
              <w:t>人造板</w:t>
            </w:r>
          </w:p>
        </w:tc>
        <w:tc>
          <w:tcPr>
            <w:tcW w:w="1413" w:type="pct"/>
          </w:tcPr>
          <w:p w14:paraId="3DF1238D">
            <w:pPr>
              <w:spacing w:line="360" w:lineRule="auto"/>
              <w:jc w:val="left"/>
              <w:rPr>
                <w:color w:val="auto"/>
                <w:highlight w:val="none"/>
              </w:rPr>
            </w:pPr>
            <w:r>
              <w:rPr>
                <w:color w:val="auto"/>
                <w:highlight w:val="none"/>
              </w:rPr>
              <w:t xml:space="preserve">A10020301 </w:t>
            </w:r>
            <w:r>
              <w:rPr>
                <w:rFonts w:hint="eastAsia"/>
                <w:color w:val="auto"/>
                <w:highlight w:val="none"/>
              </w:rPr>
              <w:t>胶合板</w:t>
            </w:r>
          </w:p>
        </w:tc>
        <w:tc>
          <w:tcPr>
            <w:tcW w:w="1002" w:type="pct"/>
          </w:tcPr>
          <w:p w14:paraId="36A318D6">
            <w:pPr>
              <w:spacing w:line="360" w:lineRule="auto"/>
              <w:jc w:val="left"/>
              <w:rPr>
                <w:color w:val="auto"/>
                <w:highlight w:val="none"/>
              </w:rPr>
            </w:pPr>
          </w:p>
        </w:tc>
        <w:tc>
          <w:tcPr>
            <w:tcW w:w="1460" w:type="pct"/>
          </w:tcPr>
          <w:p w14:paraId="6BDF2648">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6454F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3249F19E">
            <w:pPr>
              <w:spacing w:line="360" w:lineRule="auto"/>
              <w:jc w:val="left"/>
              <w:rPr>
                <w:color w:val="auto"/>
                <w:highlight w:val="none"/>
              </w:rPr>
            </w:pPr>
          </w:p>
        </w:tc>
        <w:tc>
          <w:tcPr>
            <w:tcW w:w="702" w:type="pct"/>
            <w:vMerge w:val="continue"/>
            <w:tcBorders>
              <w:top w:val="nil"/>
              <w:bottom w:val="nil"/>
            </w:tcBorders>
          </w:tcPr>
          <w:p w14:paraId="0E7CCEE4">
            <w:pPr>
              <w:spacing w:line="360" w:lineRule="auto"/>
              <w:jc w:val="left"/>
              <w:rPr>
                <w:color w:val="auto"/>
                <w:highlight w:val="none"/>
              </w:rPr>
            </w:pPr>
          </w:p>
        </w:tc>
        <w:tc>
          <w:tcPr>
            <w:tcW w:w="1413" w:type="pct"/>
          </w:tcPr>
          <w:p w14:paraId="77E59AEB">
            <w:pPr>
              <w:spacing w:line="360" w:lineRule="auto"/>
              <w:jc w:val="left"/>
              <w:rPr>
                <w:color w:val="auto"/>
                <w:highlight w:val="none"/>
              </w:rPr>
            </w:pPr>
            <w:r>
              <w:rPr>
                <w:color w:val="auto"/>
                <w:highlight w:val="none"/>
              </w:rPr>
              <w:t xml:space="preserve">A10020302 </w:t>
            </w:r>
            <w:r>
              <w:rPr>
                <w:rFonts w:hint="eastAsia"/>
                <w:color w:val="auto"/>
                <w:highlight w:val="none"/>
              </w:rPr>
              <w:t>纤维板</w:t>
            </w:r>
          </w:p>
        </w:tc>
        <w:tc>
          <w:tcPr>
            <w:tcW w:w="1002" w:type="pct"/>
          </w:tcPr>
          <w:p w14:paraId="2ED9F4A8">
            <w:pPr>
              <w:spacing w:line="360" w:lineRule="auto"/>
              <w:jc w:val="left"/>
              <w:rPr>
                <w:color w:val="auto"/>
                <w:highlight w:val="none"/>
              </w:rPr>
            </w:pPr>
          </w:p>
        </w:tc>
        <w:tc>
          <w:tcPr>
            <w:tcW w:w="1460" w:type="pct"/>
          </w:tcPr>
          <w:p w14:paraId="0EFEE4E8">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43D7E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3276B7B2">
            <w:pPr>
              <w:spacing w:line="360" w:lineRule="auto"/>
              <w:jc w:val="left"/>
              <w:rPr>
                <w:color w:val="auto"/>
                <w:highlight w:val="none"/>
              </w:rPr>
            </w:pPr>
          </w:p>
        </w:tc>
        <w:tc>
          <w:tcPr>
            <w:tcW w:w="702" w:type="pct"/>
            <w:vMerge w:val="continue"/>
            <w:tcBorders>
              <w:top w:val="nil"/>
              <w:bottom w:val="nil"/>
            </w:tcBorders>
          </w:tcPr>
          <w:p w14:paraId="12A8DBC6">
            <w:pPr>
              <w:spacing w:line="360" w:lineRule="auto"/>
              <w:jc w:val="left"/>
              <w:rPr>
                <w:color w:val="auto"/>
                <w:highlight w:val="none"/>
              </w:rPr>
            </w:pPr>
          </w:p>
        </w:tc>
        <w:tc>
          <w:tcPr>
            <w:tcW w:w="1413" w:type="pct"/>
          </w:tcPr>
          <w:p w14:paraId="5EE6AA97">
            <w:pPr>
              <w:spacing w:line="360" w:lineRule="auto"/>
              <w:jc w:val="left"/>
              <w:rPr>
                <w:color w:val="auto"/>
                <w:highlight w:val="none"/>
              </w:rPr>
            </w:pPr>
            <w:r>
              <w:rPr>
                <w:color w:val="auto"/>
                <w:highlight w:val="none"/>
              </w:rPr>
              <w:t xml:space="preserve">A10020303 </w:t>
            </w:r>
            <w:r>
              <w:rPr>
                <w:rFonts w:hint="eastAsia"/>
                <w:color w:val="auto"/>
                <w:highlight w:val="none"/>
              </w:rPr>
              <w:t>刨花板</w:t>
            </w:r>
          </w:p>
        </w:tc>
        <w:tc>
          <w:tcPr>
            <w:tcW w:w="1002" w:type="pct"/>
          </w:tcPr>
          <w:p w14:paraId="7F085001">
            <w:pPr>
              <w:spacing w:line="360" w:lineRule="auto"/>
              <w:jc w:val="left"/>
              <w:rPr>
                <w:color w:val="auto"/>
                <w:highlight w:val="none"/>
              </w:rPr>
            </w:pPr>
          </w:p>
        </w:tc>
        <w:tc>
          <w:tcPr>
            <w:tcW w:w="1460" w:type="pct"/>
          </w:tcPr>
          <w:p w14:paraId="31568C56">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08659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68B89EC7">
            <w:pPr>
              <w:spacing w:line="360" w:lineRule="auto"/>
              <w:jc w:val="left"/>
              <w:rPr>
                <w:color w:val="auto"/>
                <w:highlight w:val="none"/>
              </w:rPr>
            </w:pPr>
          </w:p>
        </w:tc>
        <w:tc>
          <w:tcPr>
            <w:tcW w:w="702" w:type="pct"/>
            <w:vMerge w:val="continue"/>
            <w:tcBorders>
              <w:top w:val="nil"/>
              <w:bottom w:val="nil"/>
            </w:tcBorders>
          </w:tcPr>
          <w:p w14:paraId="7C48EF71">
            <w:pPr>
              <w:spacing w:line="360" w:lineRule="auto"/>
              <w:jc w:val="left"/>
              <w:rPr>
                <w:color w:val="auto"/>
                <w:highlight w:val="none"/>
              </w:rPr>
            </w:pPr>
          </w:p>
        </w:tc>
        <w:tc>
          <w:tcPr>
            <w:tcW w:w="1413" w:type="pct"/>
          </w:tcPr>
          <w:p w14:paraId="5B5F5360">
            <w:pPr>
              <w:spacing w:line="360" w:lineRule="auto"/>
              <w:jc w:val="left"/>
              <w:rPr>
                <w:color w:val="auto"/>
                <w:highlight w:val="none"/>
              </w:rPr>
            </w:pPr>
            <w:r>
              <w:rPr>
                <w:color w:val="auto"/>
                <w:highlight w:val="none"/>
              </w:rPr>
              <w:t xml:space="preserve">A10020304 </w:t>
            </w:r>
            <w:r>
              <w:rPr>
                <w:rFonts w:hint="eastAsia"/>
                <w:color w:val="auto"/>
                <w:highlight w:val="none"/>
              </w:rPr>
              <w:t>细木工板</w:t>
            </w:r>
          </w:p>
        </w:tc>
        <w:tc>
          <w:tcPr>
            <w:tcW w:w="1002" w:type="pct"/>
          </w:tcPr>
          <w:p w14:paraId="749DC705">
            <w:pPr>
              <w:spacing w:line="360" w:lineRule="auto"/>
              <w:jc w:val="left"/>
              <w:rPr>
                <w:color w:val="auto"/>
                <w:highlight w:val="none"/>
              </w:rPr>
            </w:pPr>
          </w:p>
        </w:tc>
        <w:tc>
          <w:tcPr>
            <w:tcW w:w="1460" w:type="pct"/>
          </w:tcPr>
          <w:p w14:paraId="6014F659">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62BB2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21" w:type="pct"/>
            <w:vMerge w:val="continue"/>
            <w:tcBorders>
              <w:top w:val="nil"/>
            </w:tcBorders>
          </w:tcPr>
          <w:p w14:paraId="5BB0B748">
            <w:pPr>
              <w:spacing w:line="360" w:lineRule="auto"/>
              <w:jc w:val="left"/>
              <w:rPr>
                <w:color w:val="auto"/>
                <w:highlight w:val="none"/>
              </w:rPr>
            </w:pPr>
          </w:p>
        </w:tc>
        <w:tc>
          <w:tcPr>
            <w:tcW w:w="702" w:type="pct"/>
            <w:vMerge w:val="continue"/>
            <w:tcBorders>
              <w:top w:val="nil"/>
            </w:tcBorders>
          </w:tcPr>
          <w:p w14:paraId="05473DE0">
            <w:pPr>
              <w:spacing w:line="360" w:lineRule="auto"/>
              <w:jc w:val="left"/>
              <w:rPr>
                <w:color w:val="auto"/>
                <w:highlight w:val="none"/>
              </w:rPr>
            </w:pPr>
          </w:p>
        </w:tc>
        <w:tc>
          <w:tcPr>
            <w:tcW w:w="1413" w:type="pct"/>
          </w:tcPr>
          <w:p w14:paraId="21C05117">
            <w:pPr>
              <w:spacing w:line="360" w:lineRule="auto"/>
              <w:jc w:val="left"/>
              <w:rPr>
                <w:color w:val="auto"/>
                <w:highlight w:val="none"/>
              </w:rPr>
            </w:pPr>
            <w:r>
              <w:rPr>
                <w:color w:val="auto"/>
                <w:highlight w:val="none"/>
              </w:rPr>
              <w:t xml:space="preserve">A10020399 </w:t>
            </w:r>
            <w:r>
              <w:rPr>
                <w:rFonts w:hint="eastAsia"/>
                <w:color w:val="auto"/>
                <w:highlight w:val="none"/>
              </w:rPr>
              <w:t>其他人造板</w:t>
            </w:r>
          </w:p>
        </w:tc>
        <w:tc>
          <w:tcPr>
            <w:tcW w:w="1002" w:type="pct"/>
          </w:tcPr>
          <w:p w14:paraId="60F0EF48">
            <w:pPr>
              <w:spacing w:line="360" w:lineRule="auto"/>
              <w:jc w:val="left"/>
              <w:rPr>
                <w:color w:val="auto"/>
                <w:highlight w:val="none"/>
              </w:rPr>
            </w:pPr>
          </w:p>
        </w:tc>
        <w:tc>
          <w:tcPr>
            <w:tcW w:w="1460" w:type="pct"/>
          </w:tcPr>
          <w:p w14:paraId="33FB10FE">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37ECC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1" w:type="pct"/>
            <w:vMerge w:val="restart"/>
            <w:tcBorders>
              <w:bottom w:val="nil"/>
            </w:tcBorders>
          </w:tcPr>
          <w:p w14:paraId="08AEBE88">
            <w:pPr>
              <w:spacing w:line="360" w:lineRule="auto"/>
              <w:jc w:val="left"/>
              <w:rPr>
                <w:color w:val="auto"/>
                <w:highlight w:val="none"/>
              </w:rPr>
            </w:pPr>
            <w:r>
              <w:rPr>
                <w:color w:val="auto"/>
                <w:highlight w:val="none"/>
              </w:rPr>
              <w:t>33</w:t>
            </w:r>
          </w:p>
        </w:tc>
        <w:tc>
          <w:tcPr>
            <w:tcW w:w="702" w:type="pct"/>
            <w:vMerge w:val="restart"/>
            <w:tcBorders>
              <w:bottom w:val="nil"/>
            </w:tcBorders>
          </w:tcPr>
          <w:p w14:paraId="103EC120">
            <w:pPr>
              <w:spacing w:line="360" w:lineRule="auto"/>
              <w:jc w:val="left"/>
              <w:rPr>
                <w:color w:val="auto"/>
                <w:highlight w:val="none"/>
              </w:rPr>
            </w:pPr>
            <w:r>
              <w:rPr>
                <w:color w:val="auto"/>
                <w:highlight w:val="none"/>
              </w:rPr>
              <w:t xml:space="preserve">A100204 </w:t>
            </w:r>
            <w:r>
              <w:rPr>
                <w:rFonts w:hint="eastAsia"/>
                <w:color w:val="auto"/>
                <w:highlight w:val="none"/>
              </w:rPr>
              <w:t>二次加</w:t>
            </w:r>
            <w:r>
              <w:rPr>
                <w:color w:val="auto"/>
                <w:highlight w:val="none"/>
              </w:rPr>
              <w:t xml:space="preserve"> </w:t>
            </w:r>
            <w:r>
              <w:rPr>
                <w:rFonts w:hint="eastAsia"/>
                <w:color w:val="auto"/>
                <w:highlight w:val="none"/>
              </w:rPr>
              <w:t>工材，相关板材</w:t>
            </w:r>
          </w:p>
        </w:tc>
        <w:tc>
          <w:tcPr>
            <w:tcW w:w="1413" w:type="pct"/>
          </w:tcPr>
          <w:p w14:paraId="50765C3A">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p>
        </w:tc>
        <w:tc>
          <w:tcPr>
            <w:tcW w:w="1002" w:type="pct"/>
          </w:tcPr>
          <w:p w14:paraId="29D1D99A">
            <w:pPr>
              <w:spacing w:line="360" w:lineRule="auto"/>
              <w:jc w:val="left"/>
              <w:rPr>
                <w:color w:val="auto"/>
                <w:highlight w:val="none"/>
              </w:rPr>
            </w:pPr>
          </w:p>
        </w:tc>
        <w:tc>
          <w:tcPr>
            <w:tcW w:w="1460" w:type="pct"/>
          </w:tcPr>
          <w:p w14:paraId="4E778B1B">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14:paraId="19ABA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14:paraId="5010D13C">
            <w:pPr>
              <w:spacing w:line="360" w:lineRule="auto"/>
              <w:jc w:val="left"/>
              <w:rPr>
                <w:color w:val="auto"/>
                <w:highlight w:val="none"/>
              </w:rPr>
            </w:pPr>
          </w:p>
        </w:tc>
        <w:tc>
          <w:tcPr>
            <w:tcW w:w="702" w:type="pct"/>
            <w:vMerge w:val="continue"/>
            <w:tcBorders>
              <w:top w:val="nil"/>
            </w:tcBorders>
          </w:tcPr>
          <w:p w14:paraId="3CDDA53C">
            <w:pPr>
              <w:spacing w:line="360" w:lineRule="auto"/>
              <w:jc w:val="left"/>
              <w:rPr>
                <w:color w:val="auto"/>
                <w:highlight w:val="none"/>
              </w:rPr>
            </w:pPr>
          </w:p>
        </w:tc>
        <w:tc>
          <w:tcPr>
            <w:tcW w:w="1413" w:type="pct"/>
          </w:tcPr>
          <w:p w14:paraId="4C6DE9A8">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r>
              <w:rPr>
                <w:color w:val="auto"/>
                <w:highlight w:val="none"/>
              </w:rPr>
              <w:t xml:space="preserve"> </w:t>
            </w:r>
            <w:r>
              <w:rPr>
                <w:rFonts w:hint="eastAsia"/>
                <w:color w:val="auto"/>
                <w:highlight w:val="none"/>
              </w:rPr>
              <w:t>（地板）</w:t>
            </w:r>
          </w:p>
        </w:tc>
        <w:tc>
          <w:tcPr>
            <w:tcW w:w="1002" w:type="pct"/>
          </w:tcPr>
          <w:p w14:paraId="4C8199D7">
            <w:pPr>
              <w:spacing w:line="360" w:lineRule="auto"/>
              <w:jc w:val="left"/>
              <w:rPr>
                <w:color w:val="auto"/>
                <w:highlight w:val="none"/>
              </w:rPr>
            </w:pPr>
          </w:p>
        </w:tc>
        <w:tc>
          <w:tcPr>
            <w:tcW w:w="1460" w:type="pct"/>
          </w:tcPr>
          <w:p w14:paraId="58D3E7F7">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14:paraId="73914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2A12AC05">
            <w:pPr>
              <w:spacing w:line="360" w:lineRule="auto"/>
              <w:jc w:val="left"/>
              <w:rPr>
                <w:color w:val="auto"/>
                <w:highlight w:val="none"/>
              </w:rPr>
            </w:pPr>
            <w:r>
              <w:rPr>
                <w:color w:val="auto"/>
                <w:highlight w:val="none"/>
              </w:rPr>
              <w:t>34</w:t>
            </w:r>
          </w:p>
        </w:tc>
        <w:tc>
          <w:tcPr>
            <w:tcW w:w="702" w:type="pct"/>
          </w:tcPr>
          <w:p w14:paraId="3635F7FF">
            <w:pPr>
              <w:spacing w:line="360" w:lineRule="auto"/>
              <w:jc w:val="left"/>
              <w:rPr>
                <w:color w:val="auto"/>
                <w:highlight w:val="none"/>
              </w:rPr>
            </w:pPr>
            <w:r>
              <w:rPr>
                <w:color w:val="auto"/>
                <w:highlight w:val="none"/>
              </w:rPr>
              <w:t xml:space="preserve">A100301 </w:t>
            </w:r>
            <w:r>
              <w:rPr>
                <w:rFonts w:hint="eastAsia"/>
                <w:color w:val="auto"/>
                <w:highlight w:val="none"/>
              </w:rPr>
              <w:t>水泥熟</w:t>
            </w:r>
            <w:r>
              <w:rPr>
                <w:color w:val="auto"/>
                <w:highlight w:val="none"/>
              </w:rPr>
              <w:t xml:space="preserve"> </w:t>
            </w:r>
            <w:r>
              <w:rPr>
                <w:rFonts w:hint="eastAsia"/>
                <w:color w:val="auto"/>
                <w:highlight w:val="none"/>
              </w:rPr>
              <w:t>料及水泥</w:t>
            </w:r>
          </w:p>
        </w:tc>
        <w:tc>
          <w:tcPr>
            <w:tcW w:w="1413" w:type="pct"/>
          </w:tcPr>
          <w:p w14:paraId="2558D4DF">
            <w:pPr>
              <w:spacing w:line="360" w:lineRule="auto"/>
              <w:jc w:val="left"/>
              <w:rPr>
                <w:color w:val="auto"/>
                <w:highlight w:val="none"/>
              </w:rPr>
            </w:pPr>
            <w:r>
              <w:rPr>
                <w:color w:val="auto"/>
                <w:highlight w:val="none"/>
              </w:rPr>
              <w:t xml:space="preserve">A10030102 </w:t>
            </w:r>
            <w:r>
              <w:rPr>
                <w:rFonts w:hint="eastAsia"/>
                <w:color w:val="auto"/>
                <w:highlight w:val="none"/>
              </w:rPr>
              <w:t>水泥</w:t>
            </w:r>
          </w:p>
        </w:tc>
        <w:tc>
          <w:tcPr>
            <w:tcW w:w="1002" w:type="pct"/>
          </w:tcPr>
          <w:p w14:paraId="4A4E542E">
            <w:pPr>
              <w:spacing w:line="360" w:lineRule="auto"/>
              <w:jc w:val="left"/>
              <w:rPr>
                <w:color w:val="auto"/>
                <w:highlight w:val="none"/>
              </w:rPr>
            </w:pPr>
          </w:p>
        </w:tc>
        <w:tc>
          <w:tcPr>
            <w:tcW w:w="1460" w:type="pct"/>
          </w:tcPr>
          <w:p w14:paraId="4017B56E">
            <w:pPr>
              <w:spacing w:line="360" w:lineRule="auto"/>
              <w:jc w:val="left"/>
              <w:rPr>
                <w:color w:val="auto"/>
                <w:highlight w:val="none"/>
              </w:rPr>
            </w:pPr>
            <w:r>
              <w:rPr>
                <w:color w:val="auto"/>
                <w:highlight w:val="none"/>
              </w:rPr>
              <w:t xml:space="preserve">HJ2519 </w:t>
            </w:r>
            <w:r>
              <w:rPr>
                <w:rFonts w:hint="eastAsia"/>
                <w:color w:val="auto"/>
                <w:highlight w:val="none"/>
              </w:rPr>
              <w:t>水泥</w:t>
            </w:r>
          </w:p>
        </w:tc>
      </w:tr>
      <w:tr w14:paraId="2030C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286E2E44">
            <w:pPr>
              <w:spacing w:line="360" w:lineRule="auto"/>
              <w:jc w:val="left"/>
              <w:rPr>
                <w:color w:val="auto"/>
                <w:highlight w:val="none"/>
              </w:rPr>
            </w:pPr>
            <w:r>
              <w:rPr>
                <w:color w:val="auto"/>
                <w:highlight w:val="none"/>
              </w:rPr>
              <w:t>35</w:t>
            </w:r>
          </w:p>
        </w:tc>
        <w:tc>
          <w:tcPr>
            <w:tcW w:w="702" w:type="pct"/>
          </w:tcPr>
          <w:p w14:paraId="7FC94B14">
            <w:pPr>
              <w:spacing w:line="360" w:lineRule="auto"/>
              <w:jc w:val="left"/>
              <w:rPr>
                <w:color w:val="auto"/>
                <w:highlight w:val="none"/>
              </w:rPr>
            </w:pPr>
            <w:r>
              <w:rPr>
                <w:color w:val="auto"/>
                <w:highlight w:val="none"/>
              </w:rPr>
              <w:t xml:space="preserve">A100303 </w:t>
            </w:r>
            <w:r>
              <w:rPr>
                <w:rFonts w:hint="eastAsia"/>
                <w:color w:val="auto"/>
                <w:highlight w:val="none"/>
              </w:rPr>
              <w:t>水泥混</w:t>
            </w:r>
            <w:r>
              <w:rPr>
                <w:color w:val="auto"/>
                <w:highlight w:val="none"/>
              </w:rPr>
              <w:t xml:space="preserve"> </w:t>
            </w:r>
            <w:r>
              <w:rPr>
                <w:rFonts w:hint="eastAsia"/>
                <w:color w:val="auto"/>
                <w:highlight w:val="none"/>
              </w:rPr>
              <w:t>凝土制品</w:t>
            </w:r>
          </w:p>
        </w:tc>
        <w:tc>
          <w:tcPr>
            <w:tcW w:w="1413" w:type="pct"/>
          </w:tcPr>
          <w:p w14:paraId="35BB8F56">
            <w:pPr>
              <w:spacing w:line="360" w:lineRule="auto"/>
              <w:jc w:val="left"/>
              <w:rPr>
                <w:color w:val="auto"/>
                <w:highlight w:val="none"/>
              </w:rPr>
            </w:pPr>
            <w:r>
              <w:rPr>
                <w:color w:val="auto"/>
                <w:highlight w:val="none"/>
              </w:rPr>
              <w:t xml:space="preserve">A10030301 </w:t>
            </w:r>
            <w:r>
              <w:rPr>
                <w:rFonts w:hint="eastAsia"/>
                <w:color w:val="auto"/>
                <w:highlight w:val="none"/>
              </w:rPr>
              <w:t>商品混凝土</w:t>
            </w:r>
          </w:p>
        </w:tc>
        <w:tc>
          <w:tcPr>
            <w:tcW w:w="1002" w:type="pct"/>
          </w:tcPr>
          <w:p w14:paraId="3CC49E19">
            <w:pPr>
              <w:spacing w:line="360" w:lineRule="auto"/>
              <w:jc w:val="left"/>
              <w:rPr>
                <w:color w:val="auto"/>
                <w:highlight w:val="none"/>
              </w:rPr>
            </w:pPr>
          </w:p>
        </w:tc>
        <w:tc>
          <w:tcPr>
            <w:tcW w:w="1460" w:type="pct"/>
          </w:tcPr>
          <w:p w14:paraId="64941A88">
            <w:pPr>
              <w:spacing w:line="360" w:lineRule="auto"/>
              <w:jc w:val="left"/>
              <w:rPr>
                <w:color w:val="auto"/>
                <w:highlight w:val="none"/>
              </w:rPr>
            </w:pPr>
            <w:r>
              <w:rPr>
                <w:color w:val="auto"/>
                <w:highlight w:val="none"/>
              </w:rPr>
              <w:t xml:space="preserve">HJ/T412 </w:t>
            </w:r>
            <w:r>
              <w:rPr>
                <w:rFonts w:hint="eastAsia"/>
                <w:color w:val="auto"/>
                <w:highlight w:val="none"/>
              </w:rPr>
              <w:t>预拌混凝土</w:t>
            </w:r>
          </w:p>
        </w:tc>
      </w:tr>
      <w:tr w14:paraId="7107E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22311173">
            <w:pPr>
              <w:spacing w:line="360" w:lineRule="auto"/>
              <w:jc w:val="left"/>
              <w:rPr>
                <w:color w:val="auto"/>
                <w:highlight w:val="none"/>
              </w:rPr>
            </w:pPr>
            <w:r>
              <w:rPr>
                <w:color w:val="auto"/>
                <w:highlight w:val="none"/>
              </w:rPr>
              <w:t>36</w:t>
            </w:r>
          </w:p>
        </w:tc>
        <w:tc>
          <w:tcPr>
            <w:tcW w:w="702" w:type="pct"/>
            <w:vMerge w:val="restart"/>
            <w:tcBorders>
              <w:bottom w:val="nil"/>
            </w:tcBorders>
          </w:tcPr>
          <w:p w14:paraId="6FEDB1B9">
            <w:pPr>
              <w:spacing w:line="360" w:lineRule="auto"/>
              <w:jc w:val="left"/>
              <w:rPr>
                <w:color w:val="auto"/>
                <w:highlight w:val="none"/>
              </w:rPr>
            </w:pPr>
            <w:r>
              <w:rPr>
                <w:color w:val="auto"/>
                <w:highlight w:val="none"/>
              </w:rPr>
              <w:t xml:space="preserve">A100304 </w:t>
            </w:r>
            <w:r>
              <w:rPr>
                <w:rFonts w:hint="eastAsia"/>
                <w:color w:val="auto"/>
                <w:highlight w:val="none"/>
              </w:rPr>
              <w:t>纤维增</w:t>
            </w:r>
            <w:r>
              <w:rPr>
                <w:color w:val="auto"/>
                <w:highlight w:val="none"/>
              </w:rPr>
              <w:t xml:space="preserve"> </w:t>
            </w:r>
            <w:r>
              <w:rPr>
                <w:rFonts w:hint="eastAsia"/>
                <w:color w:val="auto"/>
                <w:highlight w:val="none"/>
              </w:rPr>
              <w:t>强水泥制品</w:t>
            </w:r>
          </w:p>
        </w:tc>
        <w:tc>
          <w:tcPr>
            <w:tcW w:w="1413" w:type="pct"/>
          </w:tcPr>
          <w:p w14:paraId="50E72804">
            <w:pPr>
              <w:spacing w:line="360" w:lineRule="auto"/>
              <w:jc w:val="left"/>
              <w:rPr>
                <w:color w:val="auto"/>
                <w:highlight w:val="none"/>
              </w:rPr>
            </w:pPr>
            <w:r>
              <w:rPr>
                <w:color w:val="auto"/>
                <w:highlight w:val="none"/>
              </w:rPr>
              <w:t xml:space="preserve">A10030402 </w:t>
            </w:r>
            <w:r>
              <w:rPr>
                <w:rFonts w:hint="eastAsia"/>
                <w:color w:val="auto"/>
                <w:highlight w:val="none"/>
              </w:rPr>
              <w:t>纤维增强硅酸钙板</w:t>
            </w:r>
          </w:p>
        </w:tc>
        <w:tc>
          <w:tcPr>
            <w:tcW w:w="1002" w:type="pct"/>
          </w:tcPr>
          <w:p w14:paraId="11164DC6">
            <w:pPr>
              <w:spacing w:line="360" w:lineRule="auto"/>
              <w:jc w:val="left"/>
              <w:rPr>
                <w:color w:val="auto"/>
                <w:highlight w:val="none"/>
              </w:rPr>
            </w:pPr>
          </w:p>
        </w:tc>
        <w:tc>
          <w:tcPr>
            <w:tcW w:w="1460" w:type="pct"/>
          </w:tcPr>
          <w:p w14:paraId="4C5FCCBF">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17565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17D41C7B">
            <w:pPr>
              <w:spacing w:line="360" w:lineRule="auto"/>
              <w:jc w:val="left"/>
              <w:rPr>
                <w:color w:val="auto"/>
                <w:highlight w:val="none"/>
              </w:rPr>
            </w:pPr>
          </w:p>
        </w:tc>
        <w:tc>
          <w:tcPr>
            <w:tcW w:w="702" w:type="pct"/>
            <w:vMerge w:val="continue"/>
            <w:tcBorders>
              <w:top w:val="nil"/>
            </w:tcBorders>
          </w:tcPr>
          <w:p w14:paraId="145D9AFD">
            <w:pPr>
              <w:spacing w:line="360" w:lineRule="auto"/>
              <w:jc w:val="left"/>
              <w:rPr>
                <w:color w:val="auto"/>
                <w:highlight w:val="none"/>
              </w:rPr>
            </w:pPr>
          </w:p>
        </w:tc>
        <w:tc>
          <w:tcPr>
            <w:tcW w:w="1413" w:type="pct"/>
          </w:tcPr>
          <w:p w14:paraId="6565913D">
            <w:pPr>
              <w:spacing w:line="360" w:lineRule="auto"/>
              <w:jc w:val="left"/>
              <w:rPr>
                <w:color w:val="auto"/>
                <w:highlight w:val="none"/>
              </w:rPr>
            </w:pPr>
            <w:r>
              <w:rPr>
                <w:color w:val="auto"/>
                <w:highlight w:val="none"/>
              </w:rPr>
              <w:t xml:space="preserve">A10030403 </w:t>
            </w:r>
            <w:r>
              <w:rPr>
                <w:rFonts w:hint="eastAsia"/>
                <w:color w:val="auto"/>
                <w:highlight w:val="none"/>
              </w:rPr>
              <w:t>无石棉纤维水泥制品</w:t>
            </w:r>
          </w:p>
        </w:tc>
        <w:tc>
          <w:tcPr>
            <w:tcW w:w="1002" w:type="pct"/>
          </w:tcPr>
          <w:p w14:paraId="7F93604A">
            <w:pPr>
              <w:spacing w:line="360" w:lineRule="auto"/>
              <w:jc w:val="left"/>
              <w:rPr>
                <w:color w:val="auto"/>
                <w:highlight w:val="none"/>
              </w:rPr>
            </w:pPr>
          </w:p>
        </w:tc>
        <w:tc>
          <w:tcPr>
            <w:tcW w:w="1460" w:type="pct"/>
          </w:tcPr>
          <w:p w14:paraId="4CC12D81">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60A4F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545B313B">
            <w:pPr>
              <w:spacing w:line="360" w:lineRule="auto"/>
              <w:jc w:val="left"/>
              <w:rPr>
                <w:color w:val="auto"/>
                <w:highlight w:val="none"/>
              </w:rPr>
            </w:pPr>
            <w:r>
              <w:rPr>
                <w:color w:val="auto"/>
                <w:highlight w:val="none"/>
              </w:rPr>
              <w:t>37</w:t>
            </w:r>
          </w:p>
        </w:tc>
        <w:tc>
          <w:tcPr>
            <w:tcW w:w="702" w:type="pct"/>
            <w:vMerge w:val="restart"/>
            <w:tcBorders>
              <w:bottom w:val="nil"/>
            </w:tcBorders>
          </w:tcPr>
          <w:p w14:paraId="78091503">
            <w:pPr>
              <w:spacing w:line="360" w:lineRule="auto"/>
              <w:jc w:val="left"/>
              <w:rPr>
                <w:color w:val="auto"/>
                <w:highlight w:val="none"/>
              </w:rPr>
            </w:pPr>
            <w:r>
              <w:rPr>
                <w:color w:val="auto"/>
                <w:highlight w:val="none"/>
              </w:rPr>
              <w:t xml:space="preserve">A100305 </w:t>
            </w:r>
            <w:r>
              <w:rPr>
                <w:rFonts w:hint="eastAsia"/>
                <w:color w:val="auto"/>
                <w:highlight w:val="none"/>
              </w:rPr>
              <w:t>轻质建</w:t>
            </w:r>
            <w:r>
              <w:rPr>
                <w:color w:val="auto"/>
                <w:highlight w:val="none"/>
              </w:rPr>
              <w:t xml:space="preserve"> </w:t>
            </w:r>
            <w:r>
              <w:rPr>
                <w:rFonts w:hint="eastAsia"/>
                <w:color w:val="auto"/>
                <w:highlight w:val="none"/>
              </w:rPr>
              <w:t>筑材料及制品</w:t>
            </w:r>
          </w:p>
        </w:tc>
        <w:tc>
          <w:tcPr>
            <w:tcW w:w="1413" w:type="pct"/>
          </w:tcPr>
          <w:p w14:paraId="10437ECD">
            <w:pPr>
              <w:spacing w:line="360" w:lineRule="auto"/>
              <w:jc w:val="left"/>
              <w:rPr>
                <w:color w:val="auto"/>
                <w:highlight w:val="none"/>
              </w:rPr>
            </w:pPr>
            <w:r>
              <w:rPr>
                <w:color w:val="auto"/>
                <w:highlight w:val="none"/>
              </w:rPr>
              <w:t xml:space="preserve">A10030501 </w:t>
            </w:r>
            <w:r>
              <w:rPr>
                <w:rFonts w:hint="eastAsia"/>
                <w:color w:val="auto"/>
                <w:highlight w:val="none"/>
              </w:rPr>
              <w:t>石膏板</w:t>
            </w:r>
          </w:p>
        </w:tc>
        <w:tc>
          <w:tcPr>
            <w:tcW w:w="1002" w:type="pct"/>
          </w:tcPr>
          <w:p w14:paraId="6C3E2A52">
            <w:pPr>
              <w:spacing w:line="360" w:lineRule="auto"/>
              <w:jc w:val="left"/>
              <w:rPr>
                <w:color w:val="auto"/>
                <w:highlight w:val="none"/>
              </w:rPr>
            </w:pPr>
          </w:p>
        </w:tc>
        <w:tc>
          <w:tcPr>
            <w:tcW w:w="1460" w:type="pct"/>
          </w:tcPr>
          <w:p w14:paraId="6BCCB5C6">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5590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21" w:type="pct"/>
            <w:vMerge w:val="continue"/>
            <w:tcBorders>
              <w:top w:val="nil"/>
            </w:tcBorders>
          </w:tcPr>
          <w:p w14:paraId="2DE3988C">
            <w:pPr>
              <w:spacing w:line="360" w:lineRule="auto"/>
              <w:jc w:val="left"/>
              <w:rPr>
                <w:color w:val="auto"/>
                <w:highlight w:val="none"/>
              </w:rPr>
            </w:pPr>
          </w:p>
        </w:tc>
        <w:tc>
          <w:tcPr>
            <w:tcW w:w="702" w:type="pct"/>
            <w:vMerge w:val="continue"/>
            <w:tcBorders>
              <w:top w:val="nil"/>
            </w:tcBorders>
          </w:tcPr>
          <w:p w14:paraId="39749694">
            <w:pPr>
              <w:spacing w:line="360" w:lineRule="auto"/>
              <w:jc w:val="left"/>
              <w:rPr>
                <w:color w:val="auto"/>
                <w:highlight w:val="none"/>
              </w:rPr>
            </w:pPr>
          </w:p>
        </w:tc>
        <w:tc>
          <w:tcPr>
            <w:tcW w:w="1413" w:type="pct"/>
          </w:tcPr>
          <w:p w14:paraId="7829BE10">
            <w:pPr>
              <w:spacing w:line="360" w:lineRule="auto"/>
              <w:jc w:val="left"/>
              <w:rPr>
                <w:color w:val="auto"/>
                <w:highlight w:val="none"/>
              </w:rPr>
            </w:pPr>
            <w:r>
              <w:rPr>
                <w:color w:val="auto"/>
                <w:highlight w:val="none"/>
              </w:rPr>
              <w:t xml:space="preserve">A10030503 </w:t>
            </w:r>
            <w:r>
              <w:rPr>
                <w:rFonts w:hint="eastAsia"/>
                <w:color w:val="auto"/>
                <w:highlight w:val="none"/>
              </w:rPr>
              <w:t>轻质隔墙条板</w:t>
            </w:r>
          </w:p>
        </w:tc>
        <w:tc>
          <w:tcPr>
            <w:tcW w:w="1002" w:type="pct"/>
          </w:tcPr>
          <w:p w14:paraId="75983947">
            <w:pPr>
              <w:spacing w:line="360" w:lineRule="auto"/>
              <w:jc w:val="left"/>
              <w:rPr>
                <w:color w:val="auto"/>
                <w:highlight w:val="none"/>
              </w:rPr>
            </w:pPr>
          </w:p>
        </w:tc>
        <w:tc>
          <w:tcPr>
            <w:tcW w:w="1460" w:type="pct"/>
          </w:tcPr>
          <w:p w14:paraId="4C474ADA">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0C044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6FF1F0AB">
            <w:pPr>
              <w:spacing w:line="360" w:lineRule="auto"/>
              <w:jc w:val="left"/>
              <w:rPr>
                <w:color w:val="auto"/>
                <w:highlight w:val="none"/>
              </w:rPr>
            </w:pPr>
            <w:r>
              <w:rPr>
                <w:color w:val="auto"/>
                <w:highlight w:val="none"/>
              </w:rPr>
              <w:t>38</w:t>
            </w:r>
          </w:p>
        </w:tc>
        <w:tc>
          <w:tcPr>
            <w:tcW w:w="702" w:type="pct"/>
            <w:vMerge w:val="restart"/>
            <w:tcBorders>
              <w:bottom w:val="nil"/>
            </w:tcBorders>
          </w:tcPr>
          <w:p w14:paraId="5F9470FF">
            <w:pPr>
              <w:spacing w:line="360" w:lineRule="auto"/>
              <w:jc w:val="left"/>
              <w:rPr>
                <w:color w:val="auto"/>
                <w:highlight w:val="none"/>
              </w:rPr>
            </w:pPr>
            <w:r>
              <w:rPr>
                <w:color w:val="auto"/>
                <w:highlight w:val="none"/>
              </w:rPr>
              <w:t xml:space="preserve">A100307 </w:t>
            </w:r>
            <w:r>
              <w:rPr>
                <w:rFonts w:hint="eastAsia"/>
                <w:color w:val="auto"/>
                <w:highlight w:val="none"/>
              </w:rPr>
              <w:t>建筑</w:t>
            </w:r>
            <w:r>
              <w:rPr>
                <w:color w:val="auto"/>
                <w:highlight w:val="none"/>
              </w:rPr>
              <w:t xml:space="preserve"> </w:t>
            </w:r>
            <w:r>
              <w:rPr>
                <w:rFonts w:hint="eastAsia"/>
                <w:color w:val="auto"/>
                <w:highlight w:val="none"/>
              </w:rPr>
              <w:t>陶</w:t>
            </w:r>
            <w:r>
              <w:rPr>
                <w:color w:val="auto"/>
                <w:highlight w:val="none"/>
              </w:rPr>
              <w:t xml:space="preserve"> </w:t>
            </w:r>
            <w:r>
              <w:rPr>
                <w:rFonts w:hint="eastAsia"/>
                <w:color w:val="auto"/>
                <w:highlight w:val="none"/>
              </w:rPr>
              <w:t>瓷制品</w:t>
            </w:r>
          </w:p>
        </w:tc>
        <w:tc>
          <w:tcPr>
            <w:tcW w:w="1413" w:type="pct"/>
          </w:tcPr>
          <w:p w14:paraId="2E7F9716">
            <w:pPr>
              <w:spacing w:line="360" w:lineRule="auto"/>
              <w:jc w:val="left"/>
              <w:rPr>
                <w:color w:val="auto"/>
                <w:highlight w:val="none"/>
              </w:rPr>
            </w:pPr>
            <w:r>
              <w:rPr>
                <w:color w:val="auto"/>
                <w:highlight w:val="none"/>
              </w:rPr>
              <w:t xml:space="preserve">A10030701 </w:t>
            </w:r>
            <w:r>
              <w:rPr>
                <w:rFonts w:hint="eastAsia"/>
                <w:color w:val="auto"/>
                <w:highlight w:val="none"/>
              </w:rPr>
              <w:t>瓷质砖</w:t>
            </w:r>
          </w:p>
        </w:tc>
        <w:tc>
          <w:tcPr>
            <w:tcW w:w="1002" w:type="pct"/>
          </w:tcPr>
          <w:p w14:paraId="33F41D1A">
            <w:pPr>
              <w:spacing w:line="360" w:lineRule="auto"/>
              <w:jc w:val="left"/>
              <w:rPr>
                <w:color w:val="auto"/>
                <w:highlight w:val="none"/>
              </w:rPr>
            </w:pPr>
          </w:p>
        </w:tc>
        <w:tc>
          <w:tcPr>
            <w:tcW w:w="1460" w:type="pct"/>
          </w:tcPr>
          <w:p w14:paraId="61A68846">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29843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0B7D8AE4">
            <w:pPr>
              <w:spacing w:line="360" w:lineRule="auto"/>
              <w:jc w:val="left"/>
              <w:rPr>
                <w:color w:val="auto"/>
                <w:highlight w:val="none"/>
              </w:rPr>
            </w:pPr>
          </w:p>
        </w:tc>
        <w:tc>
          <w:tcPr>
            <w:tcW w:w="702" w:type="pct"/>
            <w:vMerge w:val="continue"/>
            <w:tcBorders>
              <w:top w:val="nil"/>
              <w:bottom w:val="nil"/>
            </w:tcBorders>
          </w:tcPr>
          <w:p w14:paraId="3CA3BE10">
            <w:pPr>
              <w:spacing w:line="360" w:lineRule="auto"/>
              <w:jc w:val="left"/>
              <w:rPr>
                <w:color w:val="auto"/>
                <w:highlight w:val="none"/>
              </w:rPr>
            </w:pPr>
          </w:p>
        </w:tc>
        <w:tc>
          <w:tcPr>
            <w:tcW w:w="1413" w:type="pct"/>
          </w:tcPr>
          <w:p w14:paraId="432802A1">
            <w:pPr>
              <w:spacing w:line="360" w:lineRule="auto"/>
              <w:jc w:val="left"/>
              <w:rPr>
                <w:color w:val="auto"/>
                <w:highlight w:val="none"/>
              </w:rPr>
            </w:pPr>
            <w:r>
              <w:rPr>
                <w:color w:val="auto"/>
                <w:highlight w:val="none"/>
              </w:rPr>
              <w:t xml:space="preserve">A10030704 </w:t>
            </w:r>
            <w:r>
              <w:rPr>
                <w:rFonts w:hint="eastAsia"/>
                <w:color w:val="auto"/>
                <w:highlight w:val="none"/>
              </w:rPr>
              <w:t>炻质砖</w:t>
            </w:r>
          </w:p>
        </w:tc>
        <w:tc>
          <w:tcPr>
            <w:tcW w:w="1002" w:type="pct"/>
          </w:tcPr>
          <w:p w14:paraId="08327243">
            <w:pPr>
              <w:spacing w:line="360" w:lineRule="auto"/>
              <w:jc w:val="left"/>
              <w:rPr>
                <w:color w:val="auto"/>
                <w:highlight w:val="none"/>
              </w:rPr>
            </w:pPr>
          </w:p>
        </w:tc>
        <w:tc>
          <w:tcPr>
            <w:tcW w:w="1460" w:type="pct"/>
          </w:tcPr>
          <w:p w14:paraId="0926B41F">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2C969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7A77CE8F">
            <w:pPr>
              <w:spacing w:line="360" w:lineRule="auto"/>
              <w:jc w:val="left"/>
              <w:rPr>
                <w:color w:val="auto"/>
                <w:highlight w:val="none"/>
              </w:rPr>
            </w:pPr>
          </w:p>
        </w:tc>
        <w:tc>
          <w:tcPr>
            <w:tcW w:w="702" w:type="pct"/>
            <w:vMerge w:val="continue"/>
            <w:tcBorders>
              <w:top w:val="nil"/>
              <w:bottom w:val="nil"/>
            </w:tcBorders>
          </w:tcPr>
          <w:p w14:paraId="36BC4079">
            <w:pPr>
              <w:spacing w:line="360" w:lineRule="auto"/>
              <w:jc w:val="left"/>
              <w:rPr>
                <w:color w:val="auto"/>
                <w:highlight w:val="none"/>
              </w:rPr>
            </w:pPr>
          </w:p>
        </w:tc>
        <w:tc>
          <w:tcPr>
            <w:tcW w:w="1413" w:type="pct"/>
          </w:tcPr>
          <w:p w14:paraId="092FEA32">
            <w:pPr>
              <w:spacing w:line="360" w:lineRule="auto"/>
              <w:jc w:val="left"/>
              <w:rPr>
                <w:color w:val="auto"/>
                <w:highlight w:val="none"/>
              </w:rPr>
            </w:pPr>
            <w:r>
              <w:rPr>
                <w:color w:val="auto"/>
                <w:highlight w:val="none"/>
              </w:rPr>
              <w:t xml:space="preserve">A10030705 </w:t>
            </w:r>
            <w:r>
              <w:rPr>
                <w:rFonts w:hint="eastAsia"/>
                <w:color w:val="auto"/>
                <w:highlight w:val="none"/>
              </w:rPr>
              <w:t>陶质砖</w:t>
            </w:r>
          </w:p>
        </w:tc>
        <w:tc>
          <w:tcPr>
            <w:tcW w:w="1002" w:type="pct"/>
          </w:tcPr>
          <w:p w14:paraId="06B8D930">
            <w:pPr>
              <w:spacing w:line="360" w:lineRule="auto"/>
              <w:jc w:val="left"/>
              <w:rPr>
                <w:color w:val="auto"/>
                <w:highlight w:val="none"/>
              </w:rPr>
            </w:pPr>
          </w:p>
        </w:tc>
        <w:tc>
          <w:tcPr>
            <w:tcW w:w="1460" w:type="pct"/>
          </w:tcPr>
          <w:p w14:paraId="679FCA30">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5E7E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9061210">
            <w:pPr>
              <w:spacing w:line="360" w:lineRule="auto"/>
              <w:jc w:val="left"/>
              <w:rPr>
                <w:color w:val="auto"/>
                <w:highlight w:val="none"/>
              </w:rPr>
            </w:pPr>
          </w:p>
        </w:tc>
        <w:tc>
          <w:tcPr>
            <w:tcW w:w="702" w:type="pct"/>
            <w:vMerge w:val="continue"/>
            <w:tcBorders>
              <w:top w:val="nil"/>
            </w:tcBorders>
          </w:tcPr>
          <w:p w14:paraId="656F3115">
            <w:pPr>
              <w:spacing w:line="360" w:lineRule="auto"/>
              <w:jc w:val="left"/>
              <w:rPr>
                <w:color w:val="auto"/>
                <w:highlight w:val="none"/>
              </w:rPr>
            </w:pPr>
          </w:p>
        </w:tc>
        <w:tc>
          <w:tcPr>
            <w:tcW w:w="1413" w:type="pct"/>
          </w:tcPr>
          <w:p w14:paraId="25662C03">
            <w:pPr>
              <w:spacing w:line="360" w:lineRule="auto"/>
              <w:jc w:val="left"/>
              <w:rPr>
                <w:color w:val="auto"/>
                <w:highlight w:val="none"/>
              </w:rPr>
            </w:pPr>
            <w:r>
              <w:rPr>
                <w:color w:val="auto"/>
                <w:highlight w:val="none"/>
              </w:rPr>
              <w:t xml:space="preserve">A10030799 </w:t>
            </w:r>
            <w:r>
              <w:rPr>
                <w:rFonts w:hint="eastAsia"/>
                <w:color w:val="auto"/>
                <w:highlight w:val="none"/>
              </w:rPr>
              <w:t>其他建筑陶瓷制品</w:t>
            </w:r>
          </w:p>
        </w:tc>
        <w:tc>
          <w:tcPr>
            <w:tcW w:w="1002" w:type="pct"/>
          </w:tcPr>
          <w:p w14:paraId="281366C4">
            <w:pPr>
              <w:spacing w:line="360" w:lineRule="auto"/>
              <w:jc w:val="left"/>
              <w:rPr>
                <w:color w:val="auto"/>
                <w:highlight w:val="none"/>
              </w:rPr>
            </w:pPr>
          </w:p>
        </w:tc>
        <w:tc>
          <w:tcPr>
            <w:tcW w:w="1460" w:type="pct"/>
          </w:tcPr>
          <w:p w14:paraId="4E994402">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0E5D8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14:paraId="6989AAE5">
            <w:pPr>
              <w:spacing w:line="360" w:lineRule="auto"/>
              <w:jc w:val="left"/>
              <w:rPr>
                <w:color w:val="auto"/>
                <w:highlight w:val="none"/>
              </w:rPr>
            </w:pPr>
            <w:r>
              <w:rPr>
                <w:color w:val="auto"/>
                <w:highlight w:val="none"/>
              </w:rPr>
              <w:t>39</w:t>
            </w:r>
          </w:p>
        </w:tc>
        <w:tc>
          <w:tcPr>
            <w:tcW w:w="702" w:type="pct"/>
            <w:vMerge w:val="restart"/>
            <w:tcBorders>
              <w:bottom w:val="nil"/>
            </w:tcBorders>
          </w:tcPr>
          <w:p w14:paraId="367F76F0">
            <w:pPr>
              <w:spacing w:line="360" w:lineRule="auto"/>
              <w:jc w:val="left"/>
              <w:rPr>
                <w:color w:val="auto"/>
                <w:highlight w:val="none"/>
              </w:rPr>
            </w:pPr>
            <w:r>
              <w:rPr>
                <w:color w:val="auto"/>
                <w:highlight w:val="none"/>
              </w:rPr>
              <w:t xml:space="preserve">A100309 </w:t>
            </w:r>
            <w:r>
              <w:rPr>
                <w:rFonts w:hint="eastAsia"/>
                <w:color w:val="auto"/>
                <w:highlight w:val="none"/>
              </w:rPr>
              <w:t>建筑</w:t>
            </w:r>
            <w:r>
              <w:rPr>
                <w:color w:val="auto"/>
                <w:highlight w:val="none"/>
              </w:rPr>
              <w:t xml:space="preserve"> </w:t>
            </w:r>
            <w:r>
              <w:rPr>
                <w:rFonts w:hint="eastAsia"/>
                <w:color w:val="auto"/>
                <w:highlight w:val="none"/>
              </w:rPr>
              <w:t>防</w:t>
            </w:r>
            <w:r>
              <w:rPr>
                <w:color w:val="auto"/>
                <w:highlight w:val="none"/>
              </w:rPr>
              <w:t xml:space="preserve"> </w:t>
            </w:r>
            <w:r>
              <w:rPr>
                <w:rFonts w:hint="eastAsia"/>
                <w:color w:val="auto"/>
                <w:highlight w:val="none"/>
              </w:rPr>
              <w:t>水卷材及制品</w:t>
            </w:r>
          </w:p>
        </w:tc>
        <w:tc>
          <w:tcPr>
            <w:tcW w:w="1413" w:type="pct"/>
          </w:tcPr>
          <w:p w14:paraId="5E2FACB0">
            <w:pPr>
              <w:spacing w:line="360" w:lineRule="auto"/>
              <w:jc w:val="left"/>
              <w:rPr>
                <w:color w:val="auto"/>
                <w:highlight w:val="none"/>
              </w:rPr>
            </w:pPr>
            <w:r>
              <w:rPr>
                <w:color w:val="auto"/>
                <w:highlight w:val="none"/>
              </w:rPr>
              <w:t>A10030901</w:t>
            </w:r>
            <w:r>
              <w:rPr>
                <w:rFonts w:hint="eastAsia"/>
                <w:color w:val="auto"/>
                <w:highlight w:val="none"/>
              </w:rPr>
              <w:t>沥青和改性沥青防水</w:t>
            </w:r>
            <w:r>
              <w:rPr>
                <w:color w:val="auto"/>
                <w:highlight w:val="none"/>
              </w:rPr>
              <w:t xml:space="preserve"> </w:t>
            </w:r>
            <w:r>
              <w:rPr>
                <w:rFonts w:hint="eastAsia"/>
                <w:color w:val="auto"/>
                <w:highlight w:val="none"/>
              </w:rPr>
              <w:t>卷材</w:t>
            </w:r>
          </w:p>
        </w:tc>
        <w:tc>
          <w:tcPr>
            <w:tcW w:w="1002" w:type="pct"/>
          </w:tcPr>
          <w:p w14:paraId="7FFDC01D">
            <w:pPr>
              <w:spacing w:line="360" w:lineRule="auto"/>
              <w:jc w:val="left"/>
              <w:rPr>
                <w:color w:val="auto"/>
                <w:highlight w:val="none"/>
              </w:rPr>
            </w:pPr>
          </w:p>
        </w:tc>
        <w:tc>
          <w:tcPr>
            <w:tcW w:w="1460" w:type="pct"/>
          </w:tcPr>
          <w:p w14:paraId="5AF9C965">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14:paraId="2E376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66F3132F">
            <w:pPr>
              <w:spacing w:line="360" w:lineRule="auto"/>
              <w:jc w:val="left"/>
              <w:rPr>
                <w:color w:val="auto"/>
                <w:highlight w:val="none"/>
              </w:rPr>
            </w:pPr>
          </w:p>
        </w:tc>
        <w:tc>
          <w:tcPr>
            <w:tcW w:w="702" w:type="pct"/>
            <w:vMerge w:val="continue"/>
            <w:tcBorders>
              <w:top w:val="nil"/>
              <w:bottom w:val="nil"/>
            </w:tcBorders>
          </w:tcPr>
          <w:p w14:paraId="6F62008C">
            <w:pPr>
              <w:spacing w:line="360" w:lineRule="auto"/>
              <w:jc w:val="left"/>
              <w:rPr>
                <w:color w:val="auto"/>
                <w:highlight w:val="none"/>
              </w:rPr>
            </w:pPr>
          </w:p>
        </w:tc>
        <w:tc>
          <w:tcPr>
            <w:tcW w:w="1413" w:type="pct"/>
          </w:tcPr>
          <w:p w14:paraId="2CA08F1A">
            <w:pPr>
              <w:spacing w:line="360" w:lineRule="auto"/>
              <w:jc w:val="left"/>
              <w:rPr>
                <w:color w:val="auto"/>
                <w:highlight w:val="none"/>
              </w:rPr>
            </w:pPr>
            <w:r>
              <w:rPr>
                <w:color w:val="auto"/>
                <w:highlight w:val="none"/>
              </w:rPr>
              <w:t xml:space="preserve">A10030903 </w:t>
            </w:r>
            <w:r>
              <w:rPr>
                <w:rFonts w:hint="eastAsia"/>
                <w:color w:val="auto"/>
                <w:highlight w:val="none"/>
              </w:rPr>
              <w:t>自粘防水卷材</w:t>
            </w:r>
          </w:p>
        </w:tc>
        <w:tc>
          <w:tcPr>
            <w:tcW w:w="1002" w:type="pct"/>
          </w:tcPr>
          <w:p w14:paraId="344541B1">
            <w:pPr>
              <w:spacing w:line="360" w:lineRule="auto"/>
              <w:jc w:val="left"/>
              <w:rPr>
                <w:color w:val="auto"/>
                <w:highlight w:val="none"/>
              </w:rPr>
            </w:pPr>
          </w:p>
        </w:tc>
        <w:tc>
          <w:tcPr>
            <w:tcW w:w="1460" w:type="pct"/>
          </w:tcPr>
          <w:p w14:paraId="5DB7F4AB">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14:paraId="5EDF5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continue"/>
            <w:tcBorders>
              <w:top w:val="nil"/>
            </w:tcBorders>
          </w:tcPr>
          <w:p w14:paraId="49AA6C20">
            <w:pPr>
              <w:spacing w:line="360" w:lineRule="auto"/>
              <w:jc w:val="left"/>
              <w:rPr>
                <w:color w:val="auto"/>
                <w:highlight w:val="none"/>
              </w:rPr>
            </w:pPr>
          </w:p>
        </w:tc>
        <w:tc>
          <w:tcPr>
            <w:tcW w:w="702" w:type="pct"/>
            <w:vMerge w:val="continue"/>
            <w:tcBorders>
              <w:top w:val="nil"/>
            </w:tcBorders>
          </w:tcPr>
          <w:p w14:paraId="343E86A1">
            <w:pPr>
              <w:spacing w:line="360" w:lineRule="auto"/>
              <w:jc w:val="left"/>
              <w:rPr>
                <w:color w:val="auto"/>
                <w:highlight w:val="none"/>
              </w:rPr>
            </w:pPr>
          </w:p>
        </w:tc>
        <w:tc>
          <w:tcPr>
            <w:tcW w:w="1413" w:type="pct"/>
          </w:tcPr>
          <w:p w14:paraId="3EC06757">
            <w:pPr>
              <w:spacing w:line="360" w:lineRule="auto"/>
              <w:jc w:val="left"/>
              <w:rPr>
                <w:color w:val="auto"/>
                <w:highlight w:val="none"/>
              </w:rPr>
            </w:pPr>
            <w:r>
              <w:rPr>
                <w:color w:val="auto"/>
                <w:highlight w:val="none"/>
              </w:rPr>
              <w:t xml:space="preserve">A10030906 </w:t>
            </w:r>
            <w:r>
              <w:rPr>
                <w:rFonts w:hint="eastAsia"/>
                <w:color w:val="auto"/>
                <w:highlight w:val="none"/>
              </w:rPr>
              <w:t>高分子防水卷（片）</w:t>
            </w:r>
            <w:r>
              <w:rPr>
                <w:color w:val="auto"/>
                <w:highlight w:val="none"/>
              </w:rPr>
              <w:t xml:space="preserve"> </w:t>
            </w:r>
            <w:r>
              <w:rPr>
                <w:rFonts w:hint="eastAsia"/>
                <w:color w:val="auto"/>
                <w:highlight w:val="none"/>
              </w:rPr>
              <w:t>材</w:t>
            </w:r>
          </w:p>
        </w:tc>
        <w:tc>
          <w:tcPr>
            <w:tcW w:w="1002" w:type="pct"/>
          </w:tcPr>
          <w:p w14:paraId="0043B35C">
            <w:pPr>
              <w:spacing w:line="360" w:lineRule="auto"/>
              <w:jc w:val="left"/>
              <w:rPr>
                <w:color w:val="auto"/>
                <w:highlight w:val="none"/>
              </w:rPr>
            </w:pPr>
          </w:p>
        </w:tc>
        <w:tc>
          <w:tcPr>
            <w:tcW w:w="1460" w:type="pct"/>
          </w:tcPr>
          <w:p w14:paraId="37D6CB9A">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14:paraId="46619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14:paraId="6E1E96AD">
            <w:pPr>
              <w:spacing w:line="360" w:lineRule="auto"/>
              <w:jc w:val="left"/>
              <w:rPr>
                <w:color w:val="auto"/>
                <w:highlight w:val="none"/>
              </w:rPr>
            </w:pPr>
            <w:r>
              <w:rPr>
                <w:color w:val="auto"/>
                <w:highlight w:val="none"/>
              </w:rPr>
              <w:t>40</w:t>
            </w:r>
          </w:p>
        </w:tc>
        <w:tc>
          <w:tcPr>
            <w:tcW w:w="702" w:type="pct"/>
            <w:vMerge w:val="restart"/>
            <w:tcBorders>
              <w:bottom w:val="nil"/>
            </w:tcBorders>
          </w:tcPr>
          <w:p w14:paraId="10097A4F">
            <w:pPr>
              <w:spacing w:line="360" w:lineRule="auto"/>
              <w:jc w:val="left"/>
              <w:rPr>
                <w:color w:val="auto"/>
                <w:highlight w:val="none"/>
              </w:rPr>
            </w:pPr>
            <w:r>
              <w:rPr>
                <w:color w:val="auto"/>
                <w:highlight w:val="none"/>
              </w:rPr>
              <w:t xml:space="preserve">A100310 </w:t>
            </w:r>
            <w:r>
              <w:rPr>
                <w:rFonts w:hint="eastAsia"/>
                <w:color w:val="auto"/>
                <w:highlight w:val="none"/>
              </w:rPr>
              <w:t>隔热、隔</w:t>
            </w:r>
            <w:r>
              <w:rPr>
                <w:color w:val="auto"/>
                <w:highlight w:val="none"/>
              </w:rPr>
              <w:t xml:space="preserve"> </w:t>
            </w:r>
            <w:r>
              <w:rPr>
                <w:rFonts w:hint="eastAsia"/>
                <w:color w:val="auto"/>
                <w:highlight w:val="none"/>
              </w:rPr>
              <w:t>音人造矿物材料</w:t>
            </w:r>
            <w:r>
              <w:rPr>
                <w:color w:val="auto"/>
                <w:highlight w:val="none"/>
              </w:rPr>
              <w:t xml:space="preserve"> </w:t>
            </w:r>
            <w:r>
              <w:rPr>
                <w:rFonts w:hint="eastAsia"/>
                <w:color w:val="auto"/>
                <w:highlight w:val="none"/>
              </w:rPr>
              <w:t>及其制品</w:t>
            </w:r>
          </w:p>
        </w:tc>
        <w:tc>
          <w:tcPr>
            <w:tcW w:w="1413" w:type="pct"/>
          </w:tcPr>
          <w:p w14:paraId="176A9775">
            <w:pPr>
              <w:spacing w:line="360" w:lineRule="auto"/>
              <w:jc w:val="left"/>
              <w:rPr>
                <w:color w:val="auto"/>
                <w:highlight w:val="none"/>
              </w:rPr>
            </w:pPr>
            <w:r>
              <w:rPr>
                <w:color w:val="auto"/>
                <w:highlight w:val="none"/>
              </w:rPr>
              <w:t xml:space="preserve">A10031001 </w:t>
            </w:r>
            <w:r>
              <w:rPr>
                <w:rFonts w:hint="eastAsia"/>
                <w:color w:val="auto"/>
                <w:highlight w:val="none"/>
              </w:rPr>
              <w:t>矿物绝热和吸声材</w:t>
            </w:r>
            <w:r>
              <w:rPr>
                <w:color w:val="auto"/>
                <w:highlight w:val="none"/>
              </w:rPr>
              <w:t xml:space="preserve"> </w:t>
            </w:r>
            <w:r>
              <w:rPr>
                <w:rFonts w:hint="eastAsia"/>
                <w:color w:val="auto"/>
                <w:highlight w:val="none"/>
              </w:rPr>
              <w:t>料</w:t>
            </w:r>
          </w:p>
        </w:tc>
        <w:tc>
          <w:tcPr>
            <w:tcW w:w="1002" w:type="pct"/>
          </w:tcPr>
          <w:p w14:paraId="4CC5FFE1">
            <w:pPr>
              <w:spacing w:line="360" w:lineRule="auto"/>
              <w:jc w:val="left"/>
              <w:rPr>
                <w:color w:val="auto"/>
                <w:highlight w:val="none"/>
              </w:rPr>
            </w:pPr>
          </w:p>
        </w:tc>
        <w:tc>
          <w:tcPr>
            <w:tcW w:w="1460" w:type="pct"/>
          </w:tcPr>
          <w:p w14:paraId="16CDE5D8">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20751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66EF4385">
            <w:pPr>
              <w:spacing w:line="360" w:lineRule="auto"/>
              <w:jc w:val="left"/>
              <w:rPr>
                <w:color w:val="auto"/>
                <w:highlight w:val="none"/>
              </w:rPr>
            </w:pPr>
          </w:p>
        </w:tc>
        <w:tc>
          <w:tcPr>
            <w:tcW w:w="702" w:type="pct"/>
            <w:vMerge w:val="continue"/>
            <w:tcBorders>
              <w:top w:val="nil"/>
            </w:tcBorders>
          </w:tcPr>
          <w:p w14:paraId="23CFC805">
            <w:pPr>
              <w:spacing w:line="360" w:lineRule="auto"/>
              <w:jc w:val="left"/>
              <w:rPr>
                <w:color w:val="auto"/>
                <w:highlight w:val="none"/>
              </w:rPr>
            </w:pPr>
          </w:p>
        </w:tc>
        <w:tc>
          <w:tcPr>
            <w:tcW w:w="1413" w:type="pct"/>
          </w:tcPr>
          <w:p w14:paraId="554C5855">
            <w:pPr>
              <w:spacing w:line="360" w:lineRule="auto"/>
              <w:jc w:val="left"/>
              <w:rPr>
                <w:color w:val="auto"/>
                <w:highlight w:val="none"/>
              </w:rPr>
            </w:pPr>
            <w:r>
              <w:rPr>
                <w:color w:val="auto"/>
                <w:highlight w:val="none"/>
              </w:rPr>
              <w:t xml:space="preserve">A10031002 </w:t>
            </w:r>
            <w:r>
              <w:rPr>
                <w:rFonts w:hint="eastAsia"/>
                <w:color w:val="auto"/>
                <w:highlight w:val="none"/>
              </w:rPr>
              <w:t>矿物材料制品</w:t>
            </w:r>
          </w:p>
        </w:tc>
        <w:tc>
          <w:tcPr>
            <w:tcW w:w="1002" w:type="pct"/>
          </w:tcPr>
          <w:p w14:paraId="0944DC7F">
            <w:pPr>
              <w:spacing w:line="360" w:lineRule="auto"/>
              <w:jc w:val="left"/>
              <w:rPr>
                <w:color w:val="auto"/>
                <w:highlight w:val="none"/>
              </w:rPr>
            </w:pPr>
          </w:p>
        </w:tc>
        <w:tc>
          <w:tcPr>
            <w:tcW w:w="1460" w:type="pct"/>
          </w:tcPr>
          <w:p w14:paraId="7B026EAA">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28D59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3FF82CC2">
            <w:pPr>
              <w:spacing w:line="360" w:lineRule="auto"/>
              <w:jc w:val="left"/>
              <w:rPr>
                <w:color w:val="auto"/>
                <w:highlight w:val="none"/>
              </w:rPr>
            </w:pPr>
            <w:r>
              <w:rPr>
                <w:color w:val="auto"/>
                <w:highlight w:val="none"/>
              </w:rPr>
              <w:t>41</w:t>
            </w:r>
          </w:p>
        </w:tc>
        <w:tc>
          <w:tcPr>
            <w:tcW w:w="702" w:type="pct"/>
          </w:tcPr>
          <w:p w14:paraId="30CC6C0E">
            <w:pPr>
              <w:spacing w:line="360" w:lineRule="auto"/>
              <w:jc w:val="left"/>
              <w:rPr>
                <w:color w:val="auto"/>
                <w:highlight w:val="none"/>
              </w:rPr>
            </w:pPr>
            <w:r>
              <w:rPr>
                <w:color w:val="auto"/>
                <w:highlight w:val="none"/>
              </w:rPr>
              <w:t xml:space="preserve">A100601 </w:t>
            </w:r>
            <w:r>
              <w:rPr>
                <w:rFonts w:hint="eastAsia"/>
                <w:color w:val="auto"/>
                <w:highlight w:val="none"/>
              </w:rPr>
              <w:t>功能性</w:t>
            </w:r>
            <w:r>
              <w:rPr>
                <w:color w:val="auto"/>
                <w:highlight w:val="none"/>
              </w:rPr>
              <w:t xml:space="preserve"> </w:t>
            </w:r>
            <w:r>
              <w:rPr>
                <w:rFonts w:hint="eastAsia"/>
                <w:color w:val="auto"/>
                <w:highlight w:val="none"/>
              </w:rPr>
              <w:t>建筑涂料</w:t>
            </w:r>
          </w:p>
        </w:tc>
        <w:tc>
          <w:tcPr>
            <w:tcW w:w="1413" w:type="pct"/>
          </w:tcPr>
          <w:p w14:paraId="64F8C798">
            <w:pPr>
              <w:spacing w:line="360" w:lineRule="auto"/>
              <w:jc w:val="left"/>
              <w:rPr>
                <w:color w:val="auto"/>
                <w:highlight w:val="none"/>
              </w:rPr>
            </w:pPr>
          </w:p>
        </w:tc>
        <w:tc>
          <w:tcPr>
            <w:tcW w:w="1002" w:type="pct"/>
          </w:tcPr>
          <w:p w14:paraId="3EA840FC">
            <w:pPr>
              <w:spacing w:line="360" w:lineRule="auto"/>
              <w:jc w:val="left"/>
              <w:rPr>
                <w:color w:val="auto"/>
                <w:highlight w:val="none"/>
              </w:rPr>
            </w:pPr>
          </w:p>
        </w:tc>
        <w:tc>
          <w:tcPr>
            <w:tcW w:w="1460" w:type="pct"/>
          </w:tcPr>
          <w:p w14:paraId="1BC58A83">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4FDCA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14:paraId="08B88191">
            <w:pPr>
              <w:spacing w:line="360" w:lineRule="auto"/>
              <w:jc w:val="left"/>
              <w:rPr>
                <w:color w:val="auto"/>
                <w:highlight w:val="none"/>
              </w:rPr>
            </w:pPr>
            <w:r>
              <w:rPr>
                <w:color w:val="auto"/>
                <w:highlight w:val="none"/>
              </w:rPr>
              <w:t>42</w:t>
            </w:r>
          </w:p>
        </w:tc>
        <w:tc>
          <w:tcPr>
            <w:tcW w:w="702" w:type="pct"/>
          </w:tcPr>
          <w:p w14:paraId="64D03E4E">
            <w:pPr>
              <w:spacing w:line="360" w:lineRule="auto"/>
              <w:jc w:val="left"/>
              <w:rPr>
                <w:color w:val="auto"/>
                <w:highlight w:val="none"/>
              </w:rPr>
            </w:pPr>
            <w:r>
              <w:rPr>
                <w:color w:val="auto"/>
                <w:highlight w:val="none"/>
              </w:rPr>
              <w:t xml:space="preserve">A100399 </w:t>
            </w:r>
            <w:r>
              <w:rPr>
                <w:rFonts w:hint="eastAsia"/>
                <w:color w:val="auto"/>
                <w:highlight w:val="none"/>
              </w:rPr>
              <w:t>其他非</w:t>
            </w:r>
            <w:r>
              <w:rPr>
                <w:color w:val="auto"/>
                <w:highlight w:val="none"/>
              </w:rPr>
              <w:t xml:space="preserve"> </w:t>
            </w:r>
            <w:r>
              <w:rPr>
                <w:rFonts w:hint="eastAsia"/>
                <w:color w:val="auto"/>
                <w:highlight w:val="none"/>
              </w:rPr>
              <w:t>金属矿物制品</w:t>
            </w:r>
          </w:p>
        </w:tc>
        <w:tc>
          <w:tcPr>
            <w:tcW w:w="1413" w:type="pct"/>
          </w:tcPr>
          <w:p w14:paraId="260F0167">
            <w:pPr>
              <w:spacing w:line="360" w:lineRule="auto"/>
              <w:jc w:val="left"/>
              <w:rPr>
                <w:color w:val="auto"/>
                <w:highlight w:val="none"/>
              </w:rPr>
            </w:pPr>
            <w:r>
              <w:rPr>
                <w:color w:val="auto"/>
                <w:highlight w:val="none"/>
              </w:rPr>
              <w:t>A10039901</w:t>
            </w:r>
            <w:r>
              <w:rPr>
                <w:rFonts w:hint="eastAsia"/>
                <w:color w:val="auto"/>
                <w:highlight w:val="none"/>
              </w:rPr>
              <w:t>其他非金属建筑材料</w:t>
            </w:r>
          </w:p>
        </w:tc>
        <w:tc>
          <w:tcPr>
            <w:tcW w:w="1002" w:type="pct"/>
          </w:tcPr>
          <w:p w14:paraId="41DE9A7E">
            <w:pPr>
              <w:spacing w:line="360" w:lineRule="auto"/>
              <w:jc w:val="left"/>
              <w:rPr>
                <w:color w:val="auto"/>
                <w:highlight w:val="none"/>
              </w:rPr>
            </w:pPr>
          </w:p>
        </w:tc>
        <w:tc>
          <w:tcPr>
            <w:tcW w:w="1460" w:type="pct"/>
          </w:tcPr>
          <w:p w14:paraId="64ED255B">
            <w:pPr>
              <w:spacing w:line="360" w:lineRule="auto"/>
              <w:jc w:val="left"/>
              <w:rPr>
                <w:color w:val="auto"/>
                <w:highlight w:val="none"/>
              </w:rPr>
            </w:pPr>
            <w:r>
              <w:rPr>
                <w:color w:val="auto"/>
                <w:highlight w:val="none"/>
              </w:rPr>
              <w:t xml:space="preserve">HJ456 </w:t>
            </w:r>
            <w:r>
              <w:rPr>
                <w:rFonts w:hint="eastAsia"/>
                <w:color w:val="auto"/>
                <w:highlight w:val="none"/>
              </w:rPr>
              <w:t>刚性防水材料</w:t>
            </w:r>
          </w:p>
        </w:tc>
      </w:tr>
    </w:tbl>
    <w:p w14:paraId="6CE3338E">
      <w:pPr>
        <w:spacing w:line="360" w:lineRule="auto"/>
        <w:jc w:val="left"/>
        <w:rPr>
          <w:color w:val="auto"/>
          <w:highlight w:val="none"/>
        </w:rPr>
      </w:pPr>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5"/>
        <w:gridCol w:w="1467"/>
        <w:gridCol w:w="2543"/>
        <w:gridCol w:w="1802"/>
        <w:gridCol w:w="1936"/>
      </w:tblGrid>
      <w:tr w14:paraId="4629A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vMerge w:val="restart"/>
            <w:tcBorders>
              <w:bottom w:val="nil"/>
            </w:tcBorders>
          </w:tcPr>
          <w:p w14:paraId="4C422CCD">
            <w:pPr>
              <w:spacing w:line="360" w:lineRule="auto"/>
              <w:jc w:val="left"/>
              <w:rPr>
                <w:color w:val="auto"/>
                <w:highlight w:val="none"/>
              </w:rPr>
            </w:pPr>
            <w:r>
              <w:rPr>
                <w:color w:val="auto"/>
                <w:highlight w:val="none"/>
              </w:rPr>
              <w:t>43</w:t>
            </w:r>
          </w:p>
        </w:tc>
        <w:tc>
          <w:tcPr>
            <w:tcW w:w="883" w:type="pct"/>
            <w:vMerge w:val="restart"/>
            <w:tcBorders>
              <w:bottom w:val="nil"/>
            </w:tcBorders>
          </w:tcPr>
          <w:p w14:paraId="0B1CCD45">
            <w:pPr>
              <w:spacing w:line="360" w:lineRule="auto"/>
              <w:jc w:val="left"/>
              <w:rPr>
                <w:color w:val="auto"/>
                <w:highlight w:val="none"/>
              </w:rPr>
            </w:pPr>
            <w:r>
              <w:rPr>
                <w:color w:val="auto"/>
                <w:highlight w:val="none"/>
              </w:rPr>
              <w:t xml:space="preserve">A100602 </w:t>
            </w:r>
            <w:r>
              <w:rPr>
                <w:rFonts w:hint="eastAsia"/>
                <w:color w:val="auto"/>
                <w:highlight w:val="none"/>
              </w:rPr>
              <w:t>墙面涂</w:t>
            </w:r>
            <w:r>
              <w:rPr>
                <w:color w:val="auto"/>
                <w:highlight w:val="none"/>
              </w:rPr>
              <w:t xml:space="preserve"> </w:t>
            </w:r>
            <w:r>
              <w:rPr>
                <w:rFonts w:hint="eastAsia"/>
                <w:color w:val="auto"/>
                <w:highlight w:val="none"/>
              </w:rPr>
              <w:t>料</w:t>
            </w:r>
          </w:p>
        </w:tc>
        <w:tc>
          <w:tcPr>
            <w:tcW w:w="1531" w:type="pct"/>
          </w:tcPr>
          <w:p w14:paraId="23EFB6AA">
            <w:pPr>
              <w:spacing w:line="360" w:lineRule="auto"/>
              <w:jc w:val="left"/>
              <w:rPr>
                <w:color w:val="auto"/>
                <w:highlight w:val="none"/>
              </w:rPr>
            </w:pPr>
            <w:r>
              <w:rPr>
                <w:color w:val="auto"/>
                <w:highlight w:val="none"/>
              </w:rPr>
              <w:t>A10060202</w:t>
            </w:r>
            <w:r>
              <w:rPr>
                <w:rFonts w:hint="eastAsia"/>
                <w:color w:val="auto"/>
                <w:highlight w:val="none"/>
              </w:rPr>
              <w:t>合成树脂乳液内墙涂</w:t>
            </w:r>
            <w:r>
              <w:rPr>
                <w:color w:val="auto"/>
                <w:highlight w:val="none"/>
              </w:rPr>
              <w:t xml:space="preserve"> </w:t>
            </w:r>
            <w:r>
              <w:rPr>
                <w:rFonts w:hint="eastAsia"/>
                <w:color w:val="auto"/>
                <w:highlight w:val="none"/>
              </w:rPr>
              <w:t>料</w:t>
            </w:r>
          </w:p>
        </w:tc>
        <w:tc>
          <w:tcPr>
            <w:tcW w:w="1085" w:type="pct"/>
          </w:tcPr>
          <w:p w14:paraId="4E228C80">
            <w:pPr>
              <w:spacing w:line="360" w:lineRule="auto"/>
              <w:jc w:val="left"/>
              <w:rPr>
                <w:color w:val="auto"/>
                <w:highlight w:val="none"/>
              </w:rPr>
            </w:pPr>
          </w:p>
        </w:tc>
        <w:tc>
          <w:tcPr>
            <w:tcW w:w="1165" w:type="pct"/>
          </w:tcPr>
          <w:p w14:paraId="17DB0EF9">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3B681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vMerge w:val="continue"/>
            <w:tcBorders>
              <w:top w:val="nil"/>
              <w:bottom w:val="nil"/>
            </w:tcBorders>
          </w:tcPr>
          <w:p w14:paraId="4A3BA7E4">
            <w:pPr>
              <w:spacing w:line="360" w:lineRule="auto"/>
              <w:jc w:val="left"/>
              <w:rPr>
                <w:color w:val="auto"/>
                <w:highlight w:val="none"/>
              </w:rPr>
            </w:pPr>
          </w:p>
        </w:tc>
        <w:tc>
          <w:tcPr>
            <w:tcW w:w="883" w:type="pct"/>
            <w:vMerge w:val="continue"/>
            <w:tcBorders>
              <w:top w:val="nil"/>
              <w:bottom w:val="nil"/>
            </w:tcBorders>
          </w:tcPr>
          <w:p w14:paraId="55D9C362">
            <w:pPr>
              <w:spacing w:line="360" w:lineRule="auto"/>
              <w:jc w:val="left"/>
              <w:rPr>
                <w:color w:val="auto"/>
                <w:highlight w:val="none"/>
              </w:rPr>
            </w:pPr>
          </w:p>
        </w:tc>
        <w:tc>
          <w:tcPr>
            <w:tcW w:w="1531" w:type="pct"/>
          </w:tcPr>
          <w:p w14:paraId="35E1DF38">
            <w:pPr>
              <w:spacing w:line="360" w:lineRule="auto"/>
              <w:jc w:val="left"/>
              <w:rPr>
                <w:color w:val="auto"/>
                <w:highlight w:val="none"/>
              </w:rPr>
            </w:pPr>
            <w:r>
              <w:rPr>
                <w:color w:val="auto"/>
                <w:highlight w:val="none"/>
              </w:rPr>
              <w:t>A10060203</w:t>
            </w:r>
            <w:r>
              <w:rPr>
                <w:rFonts w:hint="eastAsia"/>
                <w:color w:val="auto"/>
                <w:highlight w:val="none"/>
              </w:rPr>
              <w:t>合成树脂乳液外墙涂</w:t>
            </w:r>
            <w:r>
              <w:rPr>
                <w:color w:val="auto"/>
                <w:highlight w:val="none"/>
              </w:rPr>
              <w:t xml:space="preserve"> </w:t>
            </w:r>
            <w:r>
              <w:rPr>
                <w:rFonts w:hint="eastAsia"/>
                <w:color w:val="auto"/>
                <w:highlight w:val="none"/>
              </w:rPr>
              <w:t>料</w:t>
            </w:r>
          </w:p>
        </w:tc>
        <w:tc>
          <w:tcPr>
            <w:tcW w:w="1085" w:type="pct"/>
          </w:tcPr>
          <w:p w14:paraId="53324566">
            <w:pPr>
              <w:spacing w:line="360" w:lineRule="auto"/>
              <w:jc w:val="left"/>
              <w:rPr>
                <w:color w:val="auto"/>
                <w:highlight w:val="none"/>
              </w:rPr>
            </w:pPr>
          </w:p>
        </w:tc>
        <w:tc>
          <w:tcPr>
            <w:tcW w:w="1165" w:type="pct"/>
          </w:tcPr>
          <w:p w14:paraId="5F7B3AD3">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53C8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34" w:type="pct"/>
            <w:vMerge w:val="continue"/>
            <w:tcBorders>
              <w:top w:val="nil"/>
            </w:tcBorders>
          </w:tcPr>
          <w:p w14:paraId="1DF876B9">
            <w:pPr>
              <w:spacing w:line="360" w:lineRule="auto"/>
              <w:jc w:val="left"/>
              <w:rPr>
                <w:color w:val="auto"/>
                <w:highlight w:val="none"/>
              </w:rPr>
            </w:pPr>
          </w:p>
        </w:tc>
        <w:tc>
          <w:tcPr>
            <w:tcW w:w="883" w:type="pct"/>
            <w:vMerge w:val="continue"/>
            <w:tcBorders>
              <w:top w:val="nil"/>
            </w:tcBorders>
          </w:tcPr>
          <w:p w14:paraId="1D305676">
            <w:pPr>
              <w:spacing w:line="360" w:lineRule="auto"/>
              <w:jc w:val="left"/>
              <w:rPr>
                <w:color w:val="auto"/>
                <w:highlight w:val="none"/>
              </w:rPr>
            </w:pPr>
          </w:p>
        </w:tc>
        <w:tc>
          <w:tcPr>
            <w:tcW w:w="1531" w:type="pct"/>
          </w:tcPr>
          <w:p w14:paraId="66166FC8">
            <w:pPr>
              <w:spacing w:line="360" w:lineRule="auto"/>
              <w:jc w:val="left"/>
              <w:rPr>
                <w:color w:val="auto"/>
                <w:highlight w:val="none"/>
              </w:rPr>
            </w:pPr>
            <w:r>
              <w:rPr>
                <w:color w:val="auto"/>
                <w:highlight w:val="none"/>
              </w:rPr>
              <w:t xml:space="preserve">A10060299 </w:t>
            </w:r>
            <w:r>
              <w:rPr>
                <w:rFonts w:hint="eastAsia"/>
                <w:color w:val="auto"/>
                <w:highlight w:val="none"/>
              </w:rPr>
              <w:t>其他墙面涂料</w:t>
            </w:r>
          </w:p>
        </w:tc>
        <w:tc>
          <w:tcPr>
            <w:tcW w:w="1085" w:type="pct"/>
          </w:tcPr>
          <w:p w14:paraId="0470EFC3">
            <w:pPr>
              <w:spacing w:line="360" w:lineRule="auto"/>
              <w:jc w:val="left"/>
              <w:rPr>
                <w:color w:val="auto"/>
                <w:highlight w:val="none"/>
              </w:rPr>
            </w:pPr>
          </w:p>
        </w:tc>
        <w:tc>
          <w:tcPr>
            <w:tcW w:w="1165" w:type="pct"/>
          </w:tcPr>
          <w:p w14:paraId="76455921">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3D8AE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14:paraId="1AF9B61F">
            <w:pPr>
              <w:spacing w:line="360" w:lineRule="auto"/>
              <w:jc w:val="left"/>
              <w:rPr>
                <w:color w:val="auto"/>
                <w:highlight w:val="none"/>
              </w:rPr>
            </w:pPr>
            <w:r>
              <w:rPr>
                <w:color w:val="auto"/>
                <w:highlight w:val="none"/>
              </w:rPr>
              <w:t>44</w:t>
            </w:r>
          </w:p>
        </w:tc>
        <w:tc>
          <w:tcPr>
            <w:tcW w:w="883" w:type="pct"/>
          </w:tcPr>
          <w:p w14:paraId="0778E8BC">
            <w:pPr>
              <w:spacing w:line="360" w:lineRule="auto"/>
              <w:jc w:val="left"/>
              <w:rPr>
                <w:color w:val="auto"/>
                <w:highlight w:val="none"/>
              </w:rPr>
            </w:pPr>
            <w:r>
              <w:rPr>
                <w:color w:val="auto"/>
                <w:highlight w:val="none"/>
              </w:rPr>
              <w:t xml:space="preserve">A100604 </w:t>
            </w:r>
            <w:r>
              <w:rPr>
                <w:rFonts w:hint="eastAsia"/>
                <w:color w:val="auto"/>
                <w:highlight w:val="none"/>
              </w:rPr>
              <w:t>防水涂</w:t>
            </w:r>
            <w:r>
              <w:rPr>
                <w:color w:val="auto"/>
                <w:highlight w:val="none"/>
              </w:rPr>
              <w:t xml:space="preserve"> </w:t>
            </w:r>
            <w:r>
              <w:rPr>
                <w:rFonts w:hint="eastAsia"/>
                <w:color w:val="auto"/>
                <w:highlight w:val="none"/>
              </w:rPr>
              <w:t>料</w:t>
            </w:r>
          </w:p>
        </w:tc>
        <w:tc>
          <w:tcPr>
            <w:tcW w:w="1531" w:type="pct"/>
          </w:tcPr>
          <w:p w14:paraId="73655C88">
            <w:pPr>
              <w:spacing w:line="360" w:lineRule="auto"/>
              <w:jc w:val="left"/>
              <w:rPr>
                <w:color w:val="auto"/>
                <w:highlight w:val="none"/>
              </w:rPr>
            </w:pPr>
            <w:r>
              <w:rPr>
                <w:color w:val="auto"/>
                <w:highlight w:val="none"/>
              </w:rPr>
              <w:t xml:space="preserve">A10060499 </w:t>
            </w:r>
            <w:r>
              <w:rPr>
                <w:rFonts w:hint="eastAsia"/>
                <w:color w:val="auto"/>
                <w:highlight w:val="none"/>
              </w:rPr>
              <w:t>其他防水涂料</w:t>
            </w:r>
          </w:p>
        </w:tc>
        <w:tc>
          <w:tcPr>
            <w:tcW w:w="1085" w:type="pct"/>
          </w:tcPr>
          <w:p w14:paraId="17C3E25E">
            <w:pPr>
              <w:spacing w:line="360" w:lineRule="auto"/>
              <w:jc w:val="left"/>
              <w:rPr>
                <w:color w:val="auto"/>
                <w:highlight w:val="none"/>
              </w:rPr>
            </w:pPr>
          </w:p>
        </w:tc>
        <w:tc>
          <w:tcPr>
            <w:tcW w:w="1165" w:type="pct"/>
          </w:tcPr>
          <w:p w14:paraId="74535231">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37F0F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34" w:type="pct"/>
          </w:tcPr>
          <w:p w14:paraId="3D480000">
            <w:pPr>
              <w:spacing w:line="360" w:lineRule="auto"/>
              <w:jc w:val="left"/>
              <w:rPr>
                <w:color w:val="auto"/>
                <w:highlight w:val="none"/>
              </w:rPr>
            </w:pPr>
            <w:r>
              <w:rPr>
                <w:color w:val="auto"/>
                <w:highlight w:val="none"/>
              </w:rPr>
              <w:t>45</w:t>
            </w:r>
          </w:p>
        </w:tc>
        <w:tc>
          <w:tcPr>
            <w:tcW w:w="883" w:type="pct"/>
          </w:tcPr>
          <w:p w14:paraId="1C301944">
            <w:pPr>
              <w:spacing w:line="360" w:lineRule="auto"/>
              <w:jc w:val="left"/>
              <w:rPr>
                <w:color w:val="auto"/>
                <w:highlight w:val="none"/>
              </w:rPr>
            </w:pPr>
            <w:r>
              <w:rPr>
                <w:color w:val="auto"/>
                <w:highlight w:val="none"/>
              </w:rPr>
              <w:t xml:space="preserve">A100699 </w:t>
            </w:r>
            <w:r>
              <w:rPr>
                <w:rFonts w:hint="eastAsia"/>
                <w:color w:val="auto"/>
                <w:highlight w:val="none"/>
              </w:rPr>
              <w:t>其他建</w:t>
            </w:r>
            <w:r>
              <w:rPr>
                <w:color w:val="auto"/>
                <w:highlight w:val="none"/>
              </w:rPr>
              <w:t xml:space="preserve"> </w:t>
            </w:r>
            <w:r>
              <w:rPr>
                <w:rFonts w:hint="eastAsia"/>
                <w:color w:val="auto"/>
                <w:highlight w:val="none"/>
              </w:rPr>
              <w:t>筑涂料</w:t>
            </w:r>
          </w:p>
        </w:tc>
        <w:tc>
          <w:tcPr>
            <w:tcW w:w="1531" w:type="pct"/>
          </w:tcPr>
          <w:p w14:paraId="02DE862B">
            <w:pPr>
              <w:spacing w:line="360" w:lineRule="auto"/>
              <w:jc w:val="left"/>
              <w:rPr>
                <w:color w:val="auto"/>
                <w:highlight w:val="none"/>
              </w:rPr>
            </w:pPr>
          </w:p>
        </w:tc>
        <w:tc>
          <w:tcPr>
            <w:tcW w:w="1085" w:type="pct"/>
          </w:tcPr>
          <w:p w14:paraId="65ABF4B7">
            <w:pPr>
              <w:spacing w:line="360" w:lineRule="auto"/>
              <w:jc w:val="left"/>
              <w:rPr>
                <w:color w:val="auto"/>
                <w:highlight w:val="none"/>
              </w:rPr>
            </w:pPr>
          </w:p>
        </w:tc>
        <w:tc>
          <w:tcPr>
            <w:tcW w:w="1165" w:type="pct"/>
          </w:tcPr>
          <w:p w14:paraId="14E1CB5E">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67D32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34" w:type="pct"/>
          </w:tcPr>
          <w:p w14:paraId="42C67AEF">
            <w:pPr>
              <w:spacing w:line="360" w:lineRule="auto"/>
              <w:jc w:val="left"/>
              <w:rPr>
                <w:color w:val="auto"/>
                <w:highlight w:val="none"/>
              </w:rPr>
            </w:pPr>
            <w:r>
              <w:rPr>
                <w:color w:val="auto"/>
                <w:highlight w:val="none"/>
              </w:rPr>
              <w:t>46</w:t>
            </w:r>
          </w:p>
        </w:tc>
        <w:tc>
          <w:tcPr>
            <w:tcW w:w="883" w:type="pct"/>
          </w:tcPr>
          <w:p w14:paraId="378600AC">
            <w:pPr>
              <w:spacing w:line="360" w:lineRule="auto"/>
              <w:jc w:val="left"/>
              <w:rPr>
                <w:color w:val="auto"/>
                <w:highlight w:val="none"/>
              </w:rPr>
            </w:pPr>
            <w:r>
              <w:rPr>
                <w:color w:val="auto"/>
                <w:highlight w:val="none"/>
              </w:rPr>
              <w:t xml:space="preserve">A100701 </w:t>
            </w:r>
            <w:r>
              <w:rPr>
                <w:rFonts w:hint="eastAsia"/>
                <w:color w:val="auto"/>
                <w:highlight w:val="none"/>
              </w:rPr>
              <w:t>门、门槛</w:t>
            </w:r>
          </w:p>
        </w:tc>
        <w:tc>
          <w:tcPr>
            <w:tcW w:w="1531" w:type="pct"/>
          </w:tcPr>
          <w:p w14:paraId="5DC6A891">
            <w:pPr>
              <w:spacing w:line="360" w:lineRule="auto"/>
              <w:jc w:val="left"/>
              <w:rPr>
                <w:color w:val="auto"/>
                <w:highlight w:val="none"/>
              </w:rPr>
            </w:pPr>
          </w:p>
        </w:tc>
        <w:tc>
          <w:tcPr>
            <w:tcW w:w="1085" w:type="pct"/>
          </w:tcPr>
          <w:p w14:paraId="351B4D8E">
            <w:pPr>
              <w:spacing w:line="360" w:lineRule="auto"/>
              <w:jc w:val="left"/>
              <w:rPr>
                <w:color w:val="auto"/>
                <w:highlight w:val="none"/>
              </w:rPr>
            </w:pPr>
          </w:p>
        </w:tc>
        <w:tc>
          <w:tcPr>
            <w:tcW w:w="1165" w:type="pct"/>
          </w:tcPr>
          <w:p w14:paraId="7CD8348E">
            <w:pPr>
              <w:spacing w:line="360" w:lineRule="auto"/>
              <w:jc w:val="left"/>
              <w:rPr>
                <w:color w:val="auto"/>
                <w:highlight w:val="none"/>
              </w:rPr>
            </w:pPr>
            <w:r>
              <w:rPr>
                <w:color w:val="auto"/>
                <w:highlight w:val="none"/>
              </w:rPr>
              <w:t xml:space="preserve">HJ/T 237 </w:t>
            </w:r>
            <w:r>
              <w:rPr>
                <w:rFonts w:hint="eastAsia"/>
                <w:color w:val="auto"/>
                <w:highlight w:val="none"/>
              </w:rPr>
              <w:t>塑料门窗</w:t>
            </w:r>
            <w:r>
              <w:rPr>
                <w:color w:val="auto"/>
                <w:highlight w:val="none"/>
              </w:rPr>
              <w:t xml:space="preserve">/HJ459 </w:t>
            </w:r>
            <w:r>
              <w:rPr>
                <w:rFonts w:hint="eastAsia"/>
                <w:color w:val="auto"/>
                <w:highlight w:val="none"/>
              </w:rPr>
              <w:t>木质门和钢质门</w:t>
            </w:r>
          </w:p>
        </w:tc>
      </w:tr>
      <w:tr w14:paraId="7AF75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4" w:type="pct"/>
          </w:tcPr>
          <w:p w14:paraId="65EC8811">
            <w:pPr>
              <w:spacing w:line="360" w:lineRule="auto"/>
              <w:jc w:val="left"/>
              <w:rPr>
                <w:color w:val="auto"/>
                <w:highlight w:val="none"/>
              </w:rPr>
            </w:pPr>
            <w:r>
              <w:rPr>
                <w:color w:val="auto"/>
                <w:highlight w:val="none"/>
              </w:rPr>
              <w:t>47</w:t>
            </w:r>
          </w:p>
        </w:tc>
        <w:tc>
          <w:tcPr>
            <w:tcW w:w="883" w:type="pct"/>
          </w:tcPr>
          <w:p w14:paraId="74797BBE">
            <w:pPr>
              <w:spacing w:line="360" w:lineRule="auto"/>
              <w:jc w:val="left"/>
              <w:rPr>
                <w:color w:val="auto"/>
                <w:highlight w:val="none"/>
              </w:rPr>
            </w:pPr>
            <w:r>
              <w:rPr>
                <w:color w:val="auto"/>
                <w:highlight w:val="none"/>
              </w:rPr>
              <w:t xml:space="preserve">A100702 </w:t>
            </w:r>
            <w:r>
              <w:rPr>
                <w:rFonts w:hint="eastAsia"/>
                <w:color w:val="auto"/>
                <w:highlight w:val="none"/>
              </w:rPr>
              <w:t>窗</w:t>
            </w:r>
          </w:p>
        </w:tc>
        <w:tc>
          <w:tcPr>
            <w:tcW w:w="1531" w:type="pct"/>
          </w:tcPr>
          <w:p w14:paraId="77C2BC68">
            <w:pPr>
              <w:spacing w:line="360" w:lineRule="auto"/>
              <w:jc w:val="left"/>
              <w:rPr>
                <w:color w:val="auto"/>
                <w:highlight w:val="none"/>
              </w:rPr>
            </w:pPr>
          </w:p>
        </w:tc>
        <w:tc>
          <w:tcPr>
            <w:tcW w:w="1085" w:type="pct"/>
          </w:tcPr>
          <w:p w14:paraId="162CADBE">
            <w:pPr>
              <w:spacing w:line="360" w:lineRule="auto"/>
              <w:jc w:val="left"/>
              <w:rPr>
                <w:color w:val="auto"/>
                <w:highlight w:val="none"/>
              </w:rPr>
            </w:pPr>
          </w:p>
        </w:tc>
        <w:tc>
          <w:tcPr>
            <w:tcW w:w="1165" w:type="pct"/>
          </w:tcPr>
          <w:p w14:paraId="22B70CA9">
            <w:pPr>
              <w:spacing w:line="360" w:lineRule="auto"/>
              <w:jc w:val="left"/>
              <w:rPr>
                <w:color w:val="auto"/>
                <w:highlight w:val="none"/>
              </w:rPr>
            </w:pPr>
            <w:r>
              <w:rPr>
                <w:color w:val="auto"/>
                <w:highlight w:val="none"/>
              </w:rPr>
              <w:t xml:space="preserve">HJ/T237 </w:t>
            </w:r>
            <w:r>
              <w:rPr>
                <w:rFonts w:hint="eastAsia"/>
                <w:color w:val="auto"/>
                <w:highlight w:val="none"/>
              </w:rPr>
              <w:t>塑料门窗</w:t>
            </w:r>
          </w:p>
        </w:tc>
      </w:tr>
      <w:tr w14:paraId="4E215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4" w:type="pct"/>
          </w:tcPr>
          <w:p w14:paraId="6AF69B04">
            <w:pPr>
              <w:spacing w:line="360" w:lineRule="auto"/>
              <w:jc w:val="left"/>
              <w:rPr>
                <w:color w:val="auto"/>
                <w:highlight w:val="none"/>
              </w:rPr>
            </w:pPr>
            <w:r>
              <w:rPr>
                <w:color w:val="auto"/>
                <w:highlight w:val="none"/>
              </w:rPr>
              <w:t>48</w:t>
            </w:r>
          </w:p>
        </w:tc>
        <w:tc>
          <w:tcPr>
            <w:tcW w:w="883" w:type="pct"/>
          </w:tcPr>
          <w:p w14:paraId="70D7883A">
            <w:pPr>
              <w:spacing w:line="360" w:lineRule="auto"/>
              <w:jc w:val="left"/>
              <w:rPr>
                <w:color w:val="auto"/>
                <w:highlight w:val="none"/>
              </w:rPr>
            </w:pPr>
            <w:r>
              <w:rPr>
                <w:color w:val="auto"/>
                <w:highlight w:val="none"/>
              </w:rPr>
              <w:t xml:space="preserve">A170108 </w:t>
            </w:r>
            <w:r>
              <w:rPr>
                <w:rFonts w:hint="eastAsia"/>
                <w:color w:val="auto"/>
                <w:highlight w:val="none"/>
              </w:rPr>
              <w:t>涂料（建</w:t>
            </w:r>
            <w:r>
              <w:rPr>
                <w:color w:val="auto"/>
                <w:highlight w:val="none"/>
              </w:rPr>
              <w:t xml:space="preserve"> </w:t>
            </w:r>
            <w:r>
              <w:rPr>
                <w:rFonts w:hint="eastAsia"/>
                <w:color w:val="auto"/>
                <w:highlight w:val="none"/>
              </w:rPr>
              <w:t>筑涂料除外）</w:t>
            </w:r>
          </w:p>
        </w:tc>
        <w:tc>
          <w:tcPr>
            <w:tcW w:w="1531" w:type="pct"/>
          </w:tcPr>
          <w:p w14:paraId="30AF3EE5">
            <w:pPr>
              <w:spacing w:line="360" w:lineRule="auto"/>
              <w:jc w:val="left"/>
              <w:rPr>
                <w:color w:val="auto"/>
                <w:highlight w:val="none"/>
              </w:rPr>
            </w:pPr>
          </w:p>
        </w:tc>
        <w:tc>
          <w:tcPr>
            <w:tcW w:w="1085" w:type="pct"/>
          </w:tcPr>
          <w:p w14:paraId="391F64C5">
            <w:pPr>
              <w:spacing w:line="360" w:lineRule="auto"/>
              <w:jc w:val="left"/>
              <w:rPr>
                <w:color w:val="auto"/>
                <w:highlight w:val="none"/>
              </w:rPr>
            </w:pPr>
          </w:p>
        </w:tc>
        <w:tc>
          <w:tcPr>
            <w:tcW w:w="1165" w:type="pct"/>
          </w:tcPr>
          <w:p w14:paraId="2057F5DE">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6E3D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14:paraId="5F23F344">
            <w:pPr>
              <w:spacing w:line="360" w:lineRule="auto"/>
              <w:jc w:val="left"/>
              <w:rPr>
                <w:color w:val="auto"/>
                <w:highlight w:val="none"/>
              </w:rPr>
            </w:pPr>
            <w:r>
              <w:rPr>
                <w:color w:val="auto"/>
                <w:highlight w:val="none"/>
              </w:rPr>
              <w:t>49</w:t>
            </w:r>
          </w:p>
        </w:tc>
        <w:tc>
          <w:tcPr>
            <w:tcW w:w="883" w:type="pct"/>
          </w:tcPr>
          <w:p w14:paraId="3A14B8D6">
            <w:pPr>
              <w:spacing w:line="360" w:lineRule="auto"/>
              <w:jc w:val="left"/>
              <w:rPr>
                <w:color w:val="auto"/>
                <w:highlight w:val="none"/>
              </w:rPr>
            </w:pPr>
            <w:r>
              <w:rPr>
                <w:color w:val="auto"/>
                <w:highlight w:val="none"/>
              </w:rPr>
              <w:t xml:space="preserve">A170112 </w:t>
            </w:r>
            <w:r>
              <w:rPr>
                <w:rFonts w:hint="eastAsia"/>
                <w:color w:val="auto"/>
                <w:highlight w:val="none"/>
              </w:rPr>
              <w:t>密封用</w:t>
            </w:r>
            <w:r>
              <w:rPr>
                <w:color w:val="auto"/>
                <w:highlight w:val="none"/>
              </w:rPr>
              <w:t xml:space="preserve"> </w:t>
            </w:r>
            <w:r>
              <w:rPr>
                <w:rFonts w:hint="eastAsia"/>
                <w:color w:val="auto"/>
                <w:highlight w:val="none"/>
              </w:rPr>
              <w:t>填料及类似品</w:t>
            </w:r>
          </w:p>
        </w:tc>
        <w:tc>
          <w:tcPr>
            <w:tcW w:w="1531" w:type="pct"/>
          </w:tcPr>
          <w:p w14:paraId="4310C2AE">
            <w:pPr>
              <w:spacing w:line="360" w:lineRule="auto"/>
              <w:jc w:val="left"/>
              <w:rPr>
                <w:color w:val="auto"/>
                <w:highlight w:val="none"/>
              </w:rPr>
            </w:pPr>
          </w:p>
        </w:tc>
        <w:tc>
          <w:tcPr>
            <w:tcW w:w="1085" w:type="pct"/>
          </w:tcPr>
          <w:p w14:paraId="2F237F00">
            <w:pPr>
              <w:spacing w:line="360" w:lineRule="auto"/>
              <w:jc w:val="left"/>
              <w:rPr>
                <w:color w:val="auto"/>
                <w:highlight w:val="none"/>
              </w:rPr>
            </w:pPr>
          </w:p>
        </w:tc>
        <w:tc>
          <w:tcPr>
            <w:tcW w:w="1165" w:type="pct"/>
          </w:tcPr>
          <w:p w14:paraId="59382D9B">
            <w:pPr>
              <w:spacing w:line="360" w:lineRule="auto"/>
              <w:jc w:val="left"/>
              <w:rPr>
                <w:color w:val="auto"/>
                <w:highlight w:val="none"/>
              </w:rPr>
            </w:pPr>
            <w:r>
              <w:rPr>
                <w:color w:val="auto"/>
                <w:highlight w:val="none"/>
              </w:rPr>
              <w:t xml:space="preserve">HJ2541 </w:t>
            </w:r>
            <w:r>
              <w:rPr>
                <w:rFonts w:hint="eastAsia"/>
                <w:color w:val="auto"/>
                <w:highlight w:val="none"/>
              </w:rPr>
              <w:t>胶粘剂</w:t>
            </w:r>
          </w:p>
        </w:tc>
      </w:tr>
      <w:tr w14:paraId="47051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tcPr>
          <w:p w14:paraId="2C1F595F">
            <w:pPr>
              <w:spacing w:line="360" w:lineRule="auto"/>
              <w:jc w:val="left"/>
              <w:rPr>
                <w:color w:val="auto"/>
                <w:highlight w:val="none"/>
              </w:rPr>
            </w:pPr>
            <w:r>
              <w:rPr>
                <w:color w:val="auto"/>
                <w:highlight w:val="none"/>
              </w:rPr>
              <w:t>50</w:t>
            </w:r>
          </w:p>
        </w:tc>
        <w:tc>
          <w:tcPr>
            <w:tcW w:w="883" w:type="pct"/>
          </w:tcPr>
          <w:p w14:paraId="57CCC1E9">
            <w:pPr>
              <w:spacing w:line="360" w:lineRule="auto"/>
              <w:jc w:val="left"/>
              <w:rPr>
                <w:color w:val="auto"/>
                <w:highlight w:val="none"/>
              </w:rPr>
            </w:pPr>
            <w:r>
              <w:rPr>
                <w:color w:val="auto"/>
                <w:highlight w:val="none"/>
              </w:rPr>
              <w:t xml:space="preserve">A180201 </w:t>
            </w:r>
            <w:r>
              <w:rPr>
                <w:rFonts w:hint="eastAsia"/>
                <w:color w:val="auto"/>
                <w:highlight w:val="none"/>
              </w:rPr>
              <w:t>塑料制</w:t>
            </w:r>
            <w:r>
              <w:rPr>
                <w:color w:val="auto"/>
                <w:highlight w:val="none"/>
              </w:rPr>
              <w:t xml:space="preserve"> </w:t>
            </w:r>
            <w:r>
              <w:rPr>
                <w:rFonts w:hint="eastAsia"/>
                <w:color w:val="auto"/>
                <w:highlight w:val="none"/>
              </w:rPr>
              <w:t>品</w:t>
            </w:r>
          </w:p>
        </w:tc>
        <w:tc>
          <w:tcPr>
            <w:tcW w:w="1531" w:type="pct"/>
          </w:tcPr>
          <w:p w14:paraId="7DD92FA0">
            <w:pPr>
              <w:spacing w:line="360" w:lineRule="auto"/>
              <w:jc w:val="left"/>
              <w:rPr>
                <w:color w:val="auto"/>
                <w:highlight w:val="none"/>
              </w:rPr>
            </w:pPr>
          </w:p>
        </w:tc>
        <w:tc>
          <w:tcPr>
            <w:tcW w:w="1085" w:type="pct"/>
          </w:tcPr>
          <w:p w14:paraId="15D82953">
            <w:pPr>
              <w:spacing w:line="360" w:lineRule="auto"/>
              <w:jc w:val="left"/>
              <w:rPr>
                <w:color w:val="auto"/>
                <w:highlight w:val="none"/>
              </w:rPr>
            </w:pPr>
          </w:p>
        </w:tc>
        <w:tc>
          <w:tcPr>
            <w:tcW w:w="1165" w:type="pct"/>
          </w:tcPr>
          <w:p w14:paraId="31C6F7A8">
            <w:pPr>
              <w:spacing w:line="360" w:lineRule="auto"/>
              <w:jc w:val="left"/>
              <w:rPr>
                <w:color w:val="auto"/>
                <w:highlight w:val="none"/>
              </w:rPr>
            </w:pPr>
            <w:r>
              <w:rPr>
                <w:color w:val="auto"/>
                <w:highlight w:val="none"/>
              </w:rPr>
              <w:t xml:space="preserve">HJ/T226 </w:t>
            </w:r>
            <w:r>
              <w:rPr>
                <w:rFonts w:hint="eastAsia"/>
                <w:color w:val="auto"/>
                <w:highlight w:val="none"/>
              </w:rPr>
              <w:t>建筑用塑料管材</w:t>
            </w:r>
            <w:r>
              <w:rPr>
                <w:color w:val="auto"/>
                <w:highlight w:val="none"/>
              </w:rPr>
              <w:t xml:space="preserve">/HJ/T231 </w:t>
            </w:r>
            <w:r>
              <w:rPr>
                <w:rFonts w:hint="eastAsia"/>
                <w:color w:val="auto"/>
                <w:highlight w:val="none"/>
              </w:rPr>
              <w:t>再生塑</w:t>
            </w:r>
            <w:r>
              <w:rPr>
                <w:color w:val="auto"/>
                <w:highlight w:val="none"/>
              </w:rPr>
              <w:t xml:space="preserve"> </w:t>
            </w:r>
            <w:r>
              <w:rPr>
                <w:rFonts w:hint="eastAsia"/>
                <w:color w:val="auto"/>
                <w:highlight w:val="none"/>
              </w:rPr>
              <w:t>料制品</w:t>
            </w:r>
          </w:p>
        </w:tc>
      </w:tr>
    </w:tbl>
    <w:p w14:paraId="6BC924B8">
      <w:pPr>
        <w:spacing w:line="360" w:lineRule="auto"/>
        <w:jc w:val="left"/>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环境标志产品认证应依据相关标准的最新版本</w:t>
      </w:r>
    </w:p>
    <w:p w14:paraId="1884FFAE">
      <w:pPr>
        <w:rPr>
          <w:color w:val="auto"/>
          <w:highlight w:val="none"/>
        </w:rPr>
      </w:pPr>
    </w:p>
    <w:p w14:paraId="100870EC">
      <w:pPr>
        <w:rPr>
          <w:color w:val="auto"/>
          <w:highlight w:val="none"/>
        </w:rPr>
      </w:pPr>
    </w:p>
    <w:sectPr>
      <w:headerReference r:id="rId10" w:type="default"/>
      <w:pgSz w:w="11906" w:h="16838"/>
      <w:pgMar w:top="1440" w:right="1803" w:bottom="1440" w:left="1803" w:header="851" w:footer="964"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9D8A">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1F05">
    <w:pPr>
      <w:pStyle w:val="14"/>
      <w:pBdr>
        <w:top w:val="none" w:color="auto" w:sz="0" w:space="1"/>
        <w:left w:val="none" w:color="auto" w:sz="0" w:space="0"/>
        <w:bottom w:val="none" w:color="auto" w:sz="0" w:space="0"/>
        <w:right w:val="none" w:color="auto" w:sz="0" w:space="0"/>
        <w:between w:val="none" w:color="auto" w:sz="0" w:space="0"/>
      </w:pBdr>
      <w:tabs>
        <w:tab w:val="left" w:pos="2783"/>
        <w:tab w:val="center" w:pos="4191"/>
      </w:tabs>
      <w:ind w:right="359" w:rightChars="171"/>
      <w:jc w:val="left"/>
      <w:rPr>
        <w:rFonts w:hint="default"/>
        <w:sz w:val="21"/>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9EC4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89EC4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B117">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B59A8">
                          <w:pPr>
                            <w:pStyle w:val="1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1B59A8">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B6E1">
    <w:pPr>
      <w:pStyle w:val="14"/>
      <w:pBdr>
        <w:top w:val="none" w:color="auto" w:sz="0" w:space="11"/>
        <w:left w:val="none" w:color="auto" w:sz="0" w:space="0"/>
        <w:bottom w:val="none" w:color="auto" w:sz="0" w:space="0"/>
        <w:right w:val="none" w:color="auto" w:sz="0" w:space="0"/>
        <w:between w:val="none" w:color="auto" w:sz="0" w:space="0"/>
      </w:pBdr>
      <w:ind w:right="359" w:rightChars="171" w:firstLine="270" w:firstLineChars="150"/>
      <w:jc w:val="right"/>
      <w:rPr>
        <w:sz w:val="20"/>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610B4">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2610B4">
                    <w:pPr>
                      <w:pStyle w:val="14"/>
                    </w:pPr>
                    <w:r>
                      <w:fldChar w:fldCharType="begin"/>
                    </w:r>
                    <w:r>
                      <w:instrText xml:space="preserve"> PAGE  \* MERGEFORMAT </w:instrText>
                    </w:r>
                    <w:r>
                      <w:fldChar w:fldCharType="separate"/>
                    </w:r>
                    <w:r>
                      <w:t>68</w:t>
                    </w:r>
                    <w:r>
                      <w:fldChar w:fldCharType="end"/>
                    </w:r>
                  </w:p>
                </w:txbxContent>
              </v:textbox>
            </v:shape>
          </w:pict>
        </mc:Fallback>
      </mc:AlternateConten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7C31C5">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377C31C5">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E58B">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894A">
    <w:pPr>
      <w:pStyle w:val="16"/>
      <w:pBdr>
        <w:bottom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F09C">
    <w:pPr>
      <w:pStyle w:val="16"/>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F8FC">
    <w:pPr>
      <w:pStyle w:val="1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774DC"/>
    <w:multiLevelType w:val="singleLevel"/>
    <w:tmpl w:val="80F774DC"/>
    <w:lvl w:ilvl="0" w:tentative="0">
      <w:start w:val="1"/>
      <w:numFmt w:val="decimal"/>
      <w:suff w:val="nothing"/>
      <w:lvlText w:val="%1、"/>
      <w:lvlJc w:val="left"/>
    </w:lvl>
  </w:abstractNum>
  <w:abstractNum w:abstractNumId="1">
    <w:nsid w:val="85AD1EC8"/>
    <w:multiLevelType w:val="singleLevel"/>
    <w:tmpl w:val="85AD1EC8"/>
    <w:lvl w:ilvl="0" w:tentative="0">
      <w:start w:val="1"/>
      <w:numFmt w:val="decimal"/>
      <w:suff w:val="nothing"/>
      <w:lvlText w:val="%1、"/>
      <w:lvlJc w:val="left"/>
    </w:lvl>
  </w:abstractNum>
  <w:abstractNum w:abstractNumId="2">
    <w:nsid w:val="872BBFAF"/>
    <w:multiLevelType w:val="singleLevel"/>
    <w:tmpl w:val="872BBFAF"/>
    <w:lvl w:ilvl="0" w:tentative="0">
      <w:start w:val="1"/>
      <w:numFmt w:val="decimal"/>
      <w:suff w:val="nothing"/>
      <w:lvlText w:val="%1、"/>
      <w:lvlJc w:val="left"/>
    </w:lvl>
  </w:abstractNum>
  <w:abstractNum w:abstractNumId="3">
    <w:nsid w:val="A0647C4F"/>
    <w:multiLevelType w:val="multilevel"/>
    <w:tmpl w:val="A0647C4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4">
    <w:nsid w:val="A2C959E2"/>
    <w:multiLevelType w:val="multilevel"/>
    <w:tmpl w:val="A2C959E2"/>
    <w:lvl w:ilvl="0" w:tentative="0">
      <w:start w:val="1"/>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5">
    <w:nsid w:val="ADB3A60C"/>
    <w:multiLevelType w:val="singleLevel"/>
    <w:tmpl w:val="ADB3A60C"/>
    <w:lvl w:ilvl="0" w:tentative="0">
      <w:start w:val="2"/>
      <w:numFmt w:val="chineseCounting"/>
      <w:suff w:val="nothing"/>
      <w:lvlText w:val="（%1）"/>
      <w:lvlJc w:val="left"/>
      <w:rPr>
        <w:rFonts w:hint="eastAsia" w:cs="Times New Roman"/>
      </w:rPr>
    </w:lvl>
  </w:abstractNum>
  <w:abstractNum w:abstractNumId="6">
    <w:nsid w:val="D1A0E820"/>
    <w:multiLevelType w:val="singleLevel"/>
    <w:tmpl w:val="D1A0E820"/>
    <w:lvl w:ilvl="0" w:tentative="0">
      <w:start w:val="1"/>
      <w:numFmt w:val="decimal"/>
      <w:suff w:val="nothing"/>
      <w:lvlText w:val="%1、"/>
      <w:lvlJc w:val="left"/>
    </w:lvl>
  </w:abstractNum>
  <w:abstractNum w:abstractNumId="7">
    <w:nsid w:val="DB36F16C"/>
    <w:multiLevelType w:val="singleLevel"/>
    <w:tmpl w:val="DB36F16C"/>
    <w:lvl w:ilvl="0" w:tentative="0">
      <w:start w:val="5"/>
      <w:numFmt w:val="decimal"/>
      <w:suff w:val="nothing"/>
      <w:lvlText w:val="%1、"/>
      <w:lvlJc w:val="left"/>
    </w:lvl>
  </w:abstractNum>
  <w:abstractNum w:abstractNumId="8">
    <w:nsid w:val="FD7C45CA"/>
    <w:multiLevelType w:val="singleLevel"/>
    <w:tmpl w:val="FD7C45CA"/>
    <w:lvl w:ilvl="0" w:tentative="0">
      <w:start w:val="11"/>
      <w:numFmt w:val="decimal"/>
      <w:suff w:val="nothing"/>
      <w:lvlText w:val="%1、"/>
      <w:lvlJc w:val="left"/>
    </w:lvl>
  </w:abstractNum>
  <w:abstractNum w:abstractNumId="9">
    <w:nsid w:val="1068C811"/>
    <w:multiLevelType w:val="singleLevel"/>
    <w:tmpl w:val="1068C811"/>
    <w:lvl w:ilvl="0" w:tentative="0">
      <w:start w:val="1"/>
      <w:numFmt w:val="decimal"/>
      <w:suff w:val="space"/>
      <w:lvlText w:val="%1."/>
      <w:lvlJc w:val="left"/>
      <w:rPr>
        <w:rFonts w:cs="Times New Roman"/>
      </w:rPr>
    </w:lvl>
  </w:abstractNum>
  <w:abstractNum w:abstractNumId="10">
    <w:nsid w:val="2F542411"/>
    <w:multiLevelType w:val="singleLevel"/>
    <w:tmpl w:val="2F542411"/>
    <w:lvl w:ilvl="0" w:tentative="0">
      <w:start w:val="1"/>
      <w:numFmt w:val="upperLetter"/>
      <w:suff w:val="nothing"/>
      <w:lvlText w:val="%1、"/>
      <w:lvlJc w:val="left"/>
    </w:lvl>
  </w:abstractNum>
  <w:abstractNum w:abstractNumId="11">
    <w:nsid w:val="3486C138"/>
    <w:multiLevelType w:val="singleLevel"/>
    <w:tmpl w:val="3486C138"/>
    <w:lvl w:ilvl="0" w:tentative="0">
      <w:start w:val="1"/>
      <w:numFmt w:val="decimal"/>
      <w:suff w:val="nothing"/>
      <w:lvlText w:val="（%1）"/>
      <w:lvlJc w:val="left"/>
      <w:rPr>
        <w:rFonts w:cs="Times New Roman"/>
      </w:rPr>
    </w:lvl>
  </w:abstractNum>
  <w:abstractNum w:abstractNumId="12">
    <w:nsid w:val="53E1A08B"/>
    <w:multiLevelType w:val="singleLevel"/>
    <w:tmpl w:val="53E1A08B"/>
    <w:lvl w:ilvl="0" w:tentative="0">
      <w:start w:val="2"/>
      <w:numFmt w:val="chineseCounting"/>
      <w:suff w:val="space"/>
      <w:lvlText w:val="第%1章"/>
      <w:lvlJc w:val="left"/>
      <w:rPr>
        <w:rFonts w:hint="eastAsia" w:cs="Times New Roman"/>
      </w:rPr>
    </w:lvl>
  </w:abstractNum>
  <w:abstractNum w:abstractNumId="13">
    <w:nsid w:val="5CFE3973"/>
    <w:multiLevelType w:val="multilevel"/>
    <w:tmpl w:val="5CFE3973"/>
    <w:lvl w:ilvl="0" w:tentative="0">
      <w:start w:val="11"/>
      <w:numFmt w:val="decimal"/>
      <w:lvlText w:val="%1"/>
      <w:lvlJc w:val="left"/>
      <w:pPr>
        <w:ind w:left="336" w:hanging="600"/>
      </w:pPr>
      <w:rPr>
        <w:rFonts w:hint="default" w:cs="Times New Roman"/>
      </w:rPr>
    </w:lvl>
    <w:lvl w:ilvl="1" w:tentative="0">
      <w:start w:val="1"/>
      <w:numFmt w:val="decimal"/>
      <w:lvlText w:val="%1.%2"/>
      <w:lvlJc w:val="left"/>
      <w:pPr>
        <w:ind w:left="336" w:hanging="600"/>
      </w:pPr>
      <w:rPr>
        <w:rFonts w:hint="default" w:ascii="宋体" w:hAnsi="宋体" w:eastAsia="宋体" w:cs="宋体"/>
        <w:b w:val="0"/>
        <w:bCs w:val="0"/>
        <w:i w:val="0"/>
        <w:iCs w:val="0"/>
        <w:w w:val="100"/>
        <w:sz w:val="24"/>
        <w:szCs w:val="24"/>
      </w:rPr>
    </w:lvl>
    <w:lvl w:ilvl="2" w:tentative="0">
      <w:start w:val="1"/>
      <w:numFmt w:val="decimal"/>
      <w:lvlText w:val="%3."/>
      <w:lvlJc w:val="left"/>
      <w:pPr>
        <w:ind w:left="816" w:hanging="241"/>
      </w:pPr>
      <w:rPr>
        <w:rFonts w:hint="default" w:ascii="宋体" w:hAnsi="宋体" w:eastAsia="宋体" w:cs="宋体"/>
        <w:b w:val="0"/>
        <w:bCs w:val="0"/>
        <w:i w:val="0"/>
        <w:iCs w:val="0"/>
        <w:w w:val="100"/>
        <w:sz w:val="22"/>
        <w:szCs w:val="22"/>
      </w:rPr>
    </w:lvl>
    <w:lvl w:ilvl="3" w:tentative="0">
      <w:start w:val="0"/>
      <w:numFmt w:val="bullet"/>
      <w:lvlText w:val="•"/>
      <w:lvlJc w:val="left"/>
      <w:pPr>
        <w:ind w:left="2866" w:hanging="241"/>
      </w:pPr>
      <w:rPr>
        <w:rFonts w:hint="default"/>
      </w:rPr>
    </w:lvl>
    <w:lvl w:ilvl="4" w:tentative="0">
      <w:start w:val="0"/>
      <w:numFmt w:val="bullet"/>
      <w:lvlText w:val="•"/>
      <w:lvlJc w:val="left"/>
      <w:pPr>
        <w:ind w:left="3890" w:hanging="241"/>
      </w:pPr>
      <w:rPr>
        <w:rFonts w:hint="default"/>
      </w:rPr>
    </w:lvl>
    <w:lvl w:ilvl="5" w:tentative="0">
      <w:start w:val="0"/>
      <w:numFmt w:val="bullet"/>
      <w:lvlText w:val="•"/>
      <w:lvlJc w:val="left"/>
      <w:pPr>
        <w:ind w:left="4913" w:hanging="241"/>
      </w:pPr>
      <w:rPr>
        <w:rFonts w:hint="default"/>
      </w:rPr>
    </w:lvl>
    <w:lvl w:ilvl="6" w:tentative="0">
      <w:start w:val="0"/>
      <w:numFmt w:val="bullet"/>
      <w:lvlText w:val="•"/>
      <w:lvlJc w:val="left"/>
      <w:pPr>
        <w:ind w:left="5936" w:hanging="241"/>
      </w:pPr>
      <w:rPr>
        <w:rFonts w:hint="default"/>
      </w:rPr>
    </w:lvl>
    <w:lvl w:ilvl="7" w:tentative="0">
      <w:start w:val="0"/>
      <w:numFmt w:val="bullet"/>
      <w:lvlText w:val="•"/>
      <w:lvlJc w:val="left"/>
      <w:pPr>
        <w:ind w:left="6960" w:hanging="241"/>
      </w:pPr>
      <w:rPr>
        <w:rFonts w:hint="default"/>
      </w:rPr>
    </w:lvl>
    <w:lvl w:ilvl="8" w:tentative="0">
      <w:start w:val="0"/>
      <w:numFmt w:val="bullet"/>
      <w:lvlText w:val="•"/>
      <w:lvlJc w:val="left"/>
      <w:pPr>
        <w:ind w:left="7983" w:hanging="241"/>
      </w:pPr>
      <w:rPr>
        <w:rFonts w:hint="default"/>
      </w:rPr>
    </w:lvl>
  </w:abstractNum>
  <w:num w:numId="1">
    <w:abstractNumId w:val="12"/>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
  </w:num>
  <w:num w:numId="9">
    <w:abstractNumId w:val="6"/>
  </w:num>
  <w:num w:numId="10">
    <w:abstractNumId w:val="2"/>
  </w:num>
  <w:num w:numId="11">
    <w:abstractNumId w:val="8"/>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OTI2YzZlY2Y1YzA2M2NiYzQ3NmMyZWVlZWQ0NjUifQ=="/>
  </w:docVars>
  <w:rsids>
    <w:rsidRoot w:val="6CCC1D1B"/>
    <w:rsid w:val="001B223C"/>
    <w:rsid w:val="00237A6E"/>
    <w:rsid w:val="003550AC"/>
    <w:rsid w:val="00417EF4"/>
    <w:rsid w:val="00641FAE"/>
    <w:rsid w:val="0078143C"/>
    <w:rsid w:val="009C337D"/>
    <w:rsid w:val="00AA3CEC"/>
    <w:rsid w:val="00B22BA0"/>
    <w:rsid w:val="00F431B9"/>
    <w:rsid w:val="00F50CDF"/>
    <w:rsid w:val="010D7DD7"/>
    <w:rsid w:val="012375FA"/>
    <w:rsid w:val="015E6884"/>
    <w:rsid w:val="01B71398"/>
    <w:rsid w:val="01C64E69"/>
    <w:rsid w:val="01C761D7"/>
    <w:rsid w:val="01E90844"/>
    <w:rsid w:val="02075396"/>
    <w:rsid w:val="02160F0D"/>
    <w:rsid w:val="022A6766"/>
    <w:rsid w:val="024261A6"/>
    <w:rsid w:val="025103CB"/>
    <w:rsid w:val="02671768"/>
    <w:rsid w:val="02854DA6"/>
    <w:rsid w:val="02C10E79"/>
    <w:rsid w:val="02ED1C6E"/>
    <w:rsid w:val="02EE6F29"/>
    <w:rsid w:val="02F36145"/>
    <w:rsid w:val="02FA12FD"/>
    <w:rsid w:val="02FF7BF3"/>
    <w:rsid w:val="033B6E7D"/>
    <w:rsid w:val="033F6241"/>
    <w:rsid w:val="035F4B09"/>
    <w:rsid w:val="03600D99"/>
    <w:rsid w:val="03A7507A"/>
    <w:rsid w:val="03CA1FAF"/>
    <w:rsid w:val="03ED5FC9"/>
    <w:rsid w:val="0402799B"/>
    <w:rsid w:val="040F20B8"/>
    <w:rsid w:val="041B0A5C"/>
    <w:rsid w:val="041D42E4"/>
    <w:rsid w:val="04223B99"/>
    <w:rsid w:val="043F31AA"/>
    <w:rsid w:val="04657F2A"/>
    <w:rsid w:val="0482288A"/>
    <w:rsid w:val="0488132A"/>
    <w:rsid w:val="0490144A"/>
    <w:rsid w:val="051C2E67"/>
    <w:rsid w:val="052120A3"/>
    <w:rsid w:val="05343A62"/>
    <w:rsid w:val="05544226"/>
    <w:rsid w:val="057846CC"/>
    <w:rsid w:val="057D0931"/>
    <w:rsid w:val="05926AFC"/>
    <w:rsid w:val="060F2843"/>
    <w:rsid w:val="06107CC7"/>
    <w:rsid w:val="062F6A41"/>
    <w:rsid w:val="063A5262"/>
    <w:rsid w:val="063B6813"/>
    <w:rsid w:val="064918B1"/>
    <w:rsid w:val="065B15E4"/>
    <w:rsid w:val="06736DB3"/>
    <w:rsid w:val="06897EFF"/>
    <w:rsid w:val="06913258"/>
    <w:rsid w:val="069841F4"/>
    <w:rsid w:val="069A3EBB"/>
    <w:rsid w:val="069C40D7"/>
    <w:rsid w:val="06B64A6C"/>
    <w:rsid w:val="06CF1455"/>
    <w:rsid w:val="06DF7DA1"/>
    <w:rsid w:val="06E710CA"/>
    <w:rsid w:val="06E90B86"/>
    <w:rsid w:val="06EB6E0C"/>
    <w:rsid w:val="06F537E7"/>
    <w:rsid w:val="06F53E3D"/>
    <w:rsid w:val="07351E35"/>
    <w:rsid w:val="07373DFF"/>
    <w:rsid w:val="074676D6"/>
    <w:rsid w:val="075E591E"/>
    <w:rsid w:val="07666493"/>
    <w:rsid w:val="076A2FDB"/>
    <w:rsid w:val="07750484"/>
    <w:rsid w:val="07761BD8"/>
    <w:rsid w:val="078132CC"/>
    <w:rsid w:val="079254DA"/>
    <w:rsid w:val="07DA01B9"/>
    <w:rsid w:val="07ED2710"/>
    <w:rsid w:val="08275C22"/>
    <w:rsid w:val="0858402D"/>
    <w:rsid w:val="085A0584"/>
    <w:rsid w:val="085A6F61"/>
    <w:rsid w:val="085F360E"/>
    <w:rsid w:val="088D424B"/>
    <w:rsid w:val="089F1C5C"/>
    <w:rsid w:val="08C276F9"/>
    <w:rsid w:val="08D00E36"/>
    <w:rsid w:val="08FF26FB"/>
    <w:rsid w:val="090D50E8"/>
    <w:rsid w:val="0911242E"/>
    <w:rsid w:val="09150394"/>
    <w:rsid w:val="092C1016"/>
    <w:rsid w:val="09322E4D"/>
    <w:rsid w:val="095A5B83"/>
    <w:rsid w:val="096B5FE2"/>
    <w:rsid w:val="099C718D"/>
    <w:rsid w:val="09AC5DD3"/>
    <w:rsid w:val="09C000DC"/>
    <w:rsid w:val="09C15C02"/>
    <w:rsid w:val="0A014251"/>
    <w:rsid w:val="0A0856C6"/>
    <w:rsid w:val="0A2A7C4B"/>
    <w:rsid w:val="0A6F3300"/>
    <w:rsid w:val="0A911A78"/>
    <w:rsid w:val="0A960E3D"/>
    <w:rsid w:val="0A9D666F"/>
    <w:rsid w:val="0AAA2B3A"/>
    <w:rsid w:val="0ACE430C"/>
    <w:rsid w:val="0AF81AF7"/>
    <w:rsid w:val="0AFD0EBC"/>
    <w:rsid w:val="0B16508E"/>
    <w:rsid w:val="0B3B3792"/>
    <w:rsid w:val="0B6121D2"/>
    <w:rsid w:val="0B705B32"/>
    <w:rsid w:val="0B9A44B2"/>
    <w:rsid w:val="0BB91287"/>
    <w:rsid w:val="0BC02051"/>
    <w:rsid w:val="0BC96FF0"/>
    <w:rsid w:val="0BD50F79"/>
    <w:rsid w:val="0BD63AB0"/>
    <w:rsid w:val="0BE36304"/>
    <w:rsid w:val="0C1069CD"/>
    <w:rsid w:val="0C372408"/>
    <w:rsid w:val="0C411576"/>
    <w:rsid w:val="0C607954"/>
    <w:rsid w:val="0CB346D1"/>
    <w:rsid w:val="0CC673BF"/>
    <w:rsid w:val="0CF34325"/>
    <w:rsid w:val="0CFA1B57"/>
    <w:rsid w:val="0D066349"/>
    <w:rsid w:val="0D0C3638"/>
    <w:rsid w:val="0D1D75F3"/>
    <w:rsid w:val="0D3A1F53"/>
    <w:rsid w:val="0D42705A"/>
    <w:rsid w:val="0D725B91"/>
    <w:rsid w:val="0D86163D"/>
    <w:rsid w:val="0D9C676A"/>
    <w:rsid w:val="0D9F5046"/>
    <w:rsid w:val="0DB112E7"/>
    <w:rsid w:val="0DDE4FD5"/>
    <w:rsid w:val="0E03420E"/>
    <w:rsid w:val="0E1E1875"/>
    <w:rsid w:val="0E567261"/>
    <w:rsid w:val="0E5A03D3"/>
    <w:rsid w:val="0E6F20D1"/>
    <w:rsid w:val="0E7E2314"/>
    <w:rsid w:val="0E7F6B23"/>
    <w:rsid w:val="0EA7186A"/>
    <w:rsid w:val="0EAE115F"/>
    <w:rsid w:val="0EBB0830"/>
    <w:rsid w:val="0F0F11BE"/>
    <w:rsid w:val="0F4731AF"/>
    <w:rsid w:val="0F5B4403"/>
    <w:rsid w:val="0F64150A"/>
    <w:rsid w:val="0F7647C4"/>
    <w:rsid w:val="0F9D4A1B"/>
    <w:rsid w:val="100B7BD7"/>
    <w:rsid w:val="10156493"/>
    <w:rsid w:val="103C2A4B"/>
    <w:rsid w:val="10675755"/>
    <w:rsid w:val="108D2CE2"/>
    <w:rsid w:val="10947BCD"/>
    <w:rsid w:val="109B20B7"/>
    <w:rsid w:val="10AB3168"/>
    <w:rsid w:val="10DC1574"/>
    <w:rsid w:val="10EA72E2"/>
    <w:rsid w:val="10F60887"/>
    <w:rsid w:val="111156C1"/>
    <w:rsid w:val="112F0B80"/>
    <w:rsid w:val="115C36A2"/>
    <w:rsid w:val="1178129C"/>
    <w:rsid w:val="119114EB"/>
    <w:rsid w:val="11C23123"/>
    <w:rsid w:val="11CE7EC5"/>
    <w:rsid w:val="11D02E86"/>
    <w:rsid w:val="11DD37F5"/>
    <w:rsid w:val="11F0177A"/>
    <w:rsid w:val="12011292"/>
    <w:rsid w:val="121723F3"/>
    <w:rsid w:val="123E49F3"/>
    <w:rsid w:val="124D2289"/>
    <w:rsid w:val="12635AA8"/>
    <w:rsid w:val="12647A72"/>
    <w:rsid w:val="12665599"/>
    <w:rsid w:val="12696E37"/>
    <w:rsid w:val="126B0E01"/>
    <w:rsid w:val="12955E7E"/>
    <w:rsid w:val="12FB2185"/>
    <w:rsid w:val="130D28F8"/>
    <w:rsid w:val="132A4818"/>
    <w:rsid w:val="132C6C0E"/>
    <w:rsid w:val="137D703E"/>
    <w:rsid w:val="138403CC"/>
    <w:rsid w:val="13BD7286"/>
    <w:rsid w:val="13C00A21"/>
    <w:rsid w:val="13D824C6"/>
    <w:rsid w:val="13DD5D2E"/>
    <w:rsid w:val="13F07810"/>
    <w:rsid w:val="141A7667"/>
    <w:rsid w:val="144B0B25"/>
    <w:rsid w:val="14534676"/>
    <w:rsid w:val="145F4995"/>
    <w:rsid w:val="146B50E8"/>
    <w:rsid w:val="14746827"/>
    <w:rsid w:val="148F527B"/>
    <w:rsid w:val="149E563B"/>
    <w:rsid w:val="14AB7BDB"/>
    <w:rsid w:val="14B7032D"/>
    <w:rsid w:val="14C76DBB"/>
    <w:rsid w:val="14DA34ED"/>
    <w:rsid w:val="14F72E20"/>
    <w:rsid w:val="150E00E1"/>
    <w:rsid w:val="151439D2"/>
    <w:rsid w:val="152715FF"/>
    <w:rsid w:val="153B4ABB"/>
    <w:rsid w:val="15634011"/>
    <w:rsid w:val="15891CCA"/>
    <w:rsid w:val="15962639"/>
    <w:rsid w:val="15B36528"/>
    <w:rsid w:val="15D37529"/>
    <w:rsid w:val="15DD3DC4"/>
    <w:rsid w:val="15F5110D"/>
    <w:rsid w:val="15FF1F8C"/>
    <w:rsid w:val="16007AB2"/>
    <w:rsid w:val="16027CCE"/>
    <w:rsid w:val="16116348"/>
    <w:rsid w:val="16304602"/>
    <w:rsid w:val="16382C98"/>
    <w:rsid w:val="164717FA"/>
    <w:rsid w:val="167669E7"/>
    <w:rsid w:val="167748C5"/>
    <w:rsid w:val="169365A0"/>
    <w:rsid w:val="16BF171B"/>
    <w:rsid w:val="16D52CED"/>
    <w:rsid w:val="16E64EFA"/>
    <w:rsid w:val="16F94C2D"/>
    <w:rsid w:val="17033CFE"/>
    <w:rsid w:val="17084E70"/>
    <w:rsid w:val="172300A2"/>
    <w:rsid w:val="17342109"/>
    <w:rsid w:val="174F0CF1"/>
    <w:rsid w:val="17710C68"/>
    <w:rsid w:val="17A76437"/>
    <w:rsid w:val="17CB4B30"/>
    <w:rsid w:val="17D905BB"/>
    <w:rsid w:val="17E51656"/>
    <w:rsid w:val="17F94E68"/>
    <w:rsid w:val="18814EDA"/>
    <w:rsid w:val="18891FE1"/>
    <w:rsid w:val="1896721E"/>
    <w:rsid w:val="189B47D1"/>
    <w:rsid w:val="18B64865"/>
    <w:rsid w:val="18C82B09"/>
    <w:rsid w:val="18ED3323"/>
    <w:rsid w:val="19131002"/>
    <w:rsid w:val="19306900"/>
    <w:rsid w:val="19547064"/>
    <w:rsid w:val="19575C3B"/>
    <w:rsid w:val="1962557A"/>
    <w:rsid w:val="19635C84"/>
    <w:rsid w:val="196F11D7"/>
    <w:rsid w:val="19744A3F"/>
    <w:rsid w:val="197D694C"/>
    <w:rsid w:val="197E066E"/>
    <w:rsid w:val="198742F4"/>
    <w:rsid w:val="198A7DBF"/>
    <w:rsid w:val="198C600F"/>
    <w:rsid w:val="19960E59"/>
    <w:rsid w:val="199E1ABC"/>
    <w:rsid w:val="19C95FDB"/>
    <w:rsid w:val="19E25E4D"/>
    <w:rsid w:val="19EB628B"/>
    <w:rsid w:val="1A0E09F0"/>
    <w:rsid w:val="1A1400CE"/>
    <w:rsid w:val="1A193636"/>
    <w:rsid w:val="1A6320AD"/>
    <w:rsid w:val="1A646862"/>
    <w:rsid w:val="1A6920CA"/>
    <w:rsid w:val="1A7D2F5A"/>
    <w:rsid w:val="1A815B98"/>
    <w:rsid w:val="1AB217D3"/>
    <w:rsid w:val="1AC13CB4"/>
    <w:rsid w:val="1AD27C6F"/>
    <w:rsid w:val="1AD5150D"/>
    <w:rsid w:val="1AF5570C"/>
    <w:rsid w:val="1AF75928"/>
    <w:rsid w:val="1AFF47DC"/>
    <w:rsid w:val="1B010952"/>
    <w:rsid w:val="1B0E2C71"/>
    <w:rsid w:val="1B122762"/>
    <w:rsid w:val="1B440441"/>
    <w:rsid w:val="1B45234C"/>
    <w:rsid w:val="1B4D72F6"/>
    <w:rsid w:val="1B701236"/>
    <w:rsid w:val="1B740D26"/>
    <w:rsid w:val="1B7900EB"/>
    <w:rsid w:val="1BA333BA"/>
    <w:rsid w:val="1BCC1517"/>
    <w:rsid w:val="1BD512CB"/>
    <w:rsid w:val="1BE147BB"/>
    <w:rsid w:val="1BED0AD9"/>
    <w:rsid w:val="1BF81957"/>
    <w:rsid w:val="1BFE618F"/>
    <w:rsid w:val="1C071B9A"/>
    <w:rsid w:val="1C146065"/>
    <w:rsid w:val="1C177904"/>
    <w:rsid w:val="1C41355E"/>
    <w:rsid w:val="1C5B3C94"/>
    <w:rsid w:val="1C6B037B"/>
    <w:rsid w:val="1CBA6C0D"/>
    <w:rsid w:val="1CBB2985"/>
    <w:rsid w:val="1CBD494F"/>
    <w:rsid w:val="1CC63804"/>
    <w:rsid w:val="1CCE4466"/>
    <w:rsid w:val="1CE17808"/>
    <w:rsid w:val="1CFB015B"/>
    <w:rsid w:val="1D0337E5"/>
    <w:rsid w:val="1D0D31E0"/>
    <w:rsid w:val="1D2B18B9"/>
    <w:rsid w:val="1D3A1AFC"/>
    <w:rsid w:val="1D424635"/>
    <w:rsid w:val="1DB91C7D"/>
    <w:rsid w:val="1DC53ABB"/>
    <w:rsid w:val="1DDB48FA"/>
    <w:rsid w:val="1DE33F41"/>
    <w:rsid w:val="1DF12B02"/>
    <w:rsid w:val="1E036392"/>
    <w:rsid w:val="1E0F36AA"/>
    <w:rsid w:val="1E4470D6"/>
    <w:rsid w:val="1E7159F1"/>
    <w:rsid w:val="1E764DB5"/>
    <w:rsid w:val="1E7933B9"/>
    <w:rsid w:val="1E870D71"/>
    <w:rsid w:val="1EBC3110"/>
    <w:rsid w:val="1EC5130A"/>
    <w:rsid w:val="1EC73863"/>
    <w:rsid w:val="1EE1313C"/>
    <w:rsid w:val="1EF70D44"/>
    <w:rsid w:val="1F152820"/>
    <w:rsid w:val="1F374545"/>
    <w:rsid w:val="1F43738D"/>
    <w:rsid w:val="1F533349"/>
    <w:rsid w:val="1FAC1675"/>
    <w:rsid w:val="1FC20797"/>
    <w:rsid w:val="1FC502B3"/>
    <w:rsid w:val="1FC55FF4"/>
    <w:rsid w:val="1FCF6E73"/>
    <w:rsid w:val="1FF51574"/>
    <w:rsid w:val="1FFC753C"/>
    <w:rsid w:val="20016901"/>
    <w:rsid w:val="20037464"/>
    <w:rsid w:val="203C0598"/>
    <w:rsid w:val="20407429"/>
    <w:rsid w:val="207672EF"/>
    <w:rsid w:val="207E43F5"/>
    <w:rsid w:val="20931C4F"/>
    <w:rsid w:val="20A21E92"/>
    <w:rsid w:val="213A656E"/>
    <w:rsid w:val="21611D4D"/>
    <w:rsid w:val="21621621"/>
    <w:rsid w:val="219A525F"/>
    <w:rsid w:val="21A77AE0"/>
    <w:rsid w:val="21B07443"/>
    <w:rsid w:val="21E5472C"/>
    <w:rsid w:val="22141307"/>
    <w:rsid w:val="225F78FB"/>
    <w:rsid w:val="22765384"/>
    <w:rsid w:val="22BA2C18"/>
    <w:rsid w:val="22C34341"/>
    <w:rsid w:val="22CC31F6"/>
    <w:rsid w:val="22D20CB4"/>
    <w:rsid w:val="22D70080"/>
    <w:rsid w:val="22E5250A"/>
    <w:rsid w:val="23057216"/>
    <w:rsid w:val="23142EF2"/>
    <w:rsid w:val="23360FB7"/>
    <w:rsid w:val="23492A98"/>
    <w:rsid w:val="23503E27"/>
    <w:rsid w:val="23694EE9"/>
    <w:rsid w:val="23922691"/>
    <w:rsid w:val="23C50720"/>
    <w:rsid w:val="23C640E9"/>
    <w:rsid w:val="23EE53EE"/>
    <w:rsid w:val="23F52C20"/>
    <w:rsid w:val="23F85E37"/>
    <w:rsid w:val="24335F37"/>
    <w:rsid w:val="246A716A"/>
    <w:rsid w:val="247509BC"/>
    <w:rsid w:val="248A0C32"/>
    <w:rsid w:val="249917FE"/>
    <w:rsid w:val="24BC729A"/>
    <w:rsid w:val="24BE1264"/>
    <w:rsid w:val="24CA7C09"/>
    <w:rsid w:val="24E707BB"/>
    <w:rsid w:val="24F46A34"/>
    <w:rsid w:val="250F4166"/>
    <w:rsid w:val="254F10C5"/>
    <w:rsid w:val="255676EF"/>
    <w:rsid w:val="259D531E"/>
    <w:rsid w:val="25CD0B0A"/>
    <w:rsid w:val="25E1520A"/>
    <w:rsid w:val="25FD5DBC"/>
    <w:rsid w:val="260F65E4"/>
    <w:rsid w:val="261B2B44"/>
    <w:rsid w:val="2628235B"/>
    <w:rsid w:val="262D68AA"/>
    <w:rsid w:val="265C0D35"/>
    <w:rsid w:val="26667E05"/>
    <w:rsid w:val="267E0CAB"/>
    <w:rsid w:val="26946721"/>
    <w:rsid w:val="26B305BE"/>
    <w:rsid w:val="26D829E9"/>
    <w:rsid w:val="26DE5BEE"/>
    <w:rsid w:val="26E57ABA"/>
    <w:rsid w:val="26FC6074"/>
    <w:rsid w:val="27091470"/>
    <w:rsid w:val="271433BD"/>
    <w:rsid w:val="272950BB"/>
    <w:rsid w:val="273B094A"/>
    <w:rsid w:val="274A5031"/>
    <w:rsid w:val="276E51C4"/>
    <w:rsid w:val="27764F99"/>
    <w:rsid w:val="27816AAD"/>
    <w:rsid w:val="27965F66"/>
    <w:rsid w:val="27A84A9C"/>
    <w:rsid w:val="27B01338"/>
    <w:rsid w:val="27B27801"/>
    <w:rsid w:val="27D24A23"/>
    <w:rsid w:val="27E50C16"/>
    <w:rsid w:val="27FD02F5"/>
    <w:rsid w:val="280678EA"/>
    <w:rsid w:val="28133675"/>
    <w:rsid w:val="282E04AF"/>
    <w:rsid w:val="2835183D"/>
    <w:rsid w:val="28377363"/>
    <w:rsid w:val="285C501C"/>
    <w:rsid w:val="28777F5F"/>
    <w:rsid w:val="289724F8"/>
    <w:rsid w:val="28984501"/>
    <w:rsid w:val="28A013AD"/>
    <w:rsid w:val="28A15125"/>
    <w:rsid w:val="28E84D68"/>
    <w:rsid w:val="28EF7CD3"/>
    <w:rsid w:val="29051210"/>
    <w:rsid w:val="294855A0"/>
    <w:rsid w:val="296315D6"/>
    <w:rsid w:val="29653E68"/>
    <w:rsid w:val="2976035F"/>
    <w:rsid w:val="29826D04"/>
    <w:rsid w:val="299D756B"/>
    <w:rsid w:val="29C349B7"/>
    <w:rsid w:val="29C70BBB"/>
    <w:rsid w:val="29C72969"/>
    <w:rsid w:val="2A000BE0"/>
    <w:rsid w:val="2A24600D"/>
    <w:rsid w:val="2A3B4E26"/>
    <w:rsid w:val="2A4D31D6"/>
    <w:rsid w:val="2A510485"/>
    <w:rsid w:val="2A5F5127"/>
    <w:rsid w:val="2A66495F"/>
    <w:rsid w:val="2A7B76E8"/>
    <w:rsid w:val="2A9C3DF6"/>
    <w:rsid w:val="2AB06457"/>
    <w:rsid w:val="2AE337D3"/>
    <w:rsid w:val="2B067A32"/>
    <w:rsid w:val="2B4E44EE"/>
    <w:rsid w:val="2B551AD6"/>
    <w:rsid w:val="2B634913"/>
    <w:rsid w:val="2B6761B2"/>
    <w:rsid w:val="2BA32F62"/>
    <w:rsid w:val="2BA57BA0"/>
    <w:rsid w:val="2BAA609E"/>
    <w:rsid w:val="2BAF7B59"/>
    <w:rsid w:val="2BC2163A"/>
    <w:rsid w:val="2BD001FB"/>
    <w:rsid w:val="2BD12CFE"/>
    <w:rsid w:val="2BD355F5"/>
    <w:rsid w:val="2C091017"/>
    <w:rsid w:val="2C183950"/>
    <w:rsid w:val="2C1A3224"/>
    <w:rsid w:val="2C2422F5"/>
    <w:rsid w:val="2C2965E5"/>
    <w:rsid w:val="2C385DA0"/>
    <w:rsid w:val="2C4B7881"/>
    <w:rsid w:val="2C6721E1"/>
    <w:rsid w:val="2C956D4E"/>
    <w:rsid w:val="2CC87124"/>
    <w:rsid w:val="2CF77A09"/>
    <w:rsid w:val="2CF81446"/>
    <w:rsid w:val="2D030F68"/>
    <w:rsid w:val="2D122982"/>
    <w:rsid w:val="2D8079FF"/>
    <w:rsid w:val="2DA07759"/>
    <w:rsid w:val="2DAF7176"/>
    <w:rsid w:val="2DD12008"/>
    <w:rsid w:val="2DDB2E87"/>
    <w:rsid w:val="2DDC57AF"/>
    <w:rsid w:val="2DEA30CA"/>
    <w:rsid w:val="2DF06932"/>
    <w:rsid w:val="2E291043"/>
    <w:rsid w:val="2E4A4A48"/>
    <w:rsid w:val="2E5A3DAC"/>
    <w:rsid w:val="2E7A26A0"/>
    <w:rsid w:val="2E976DAE"/>
    <w:rsid w:val="2EA339A5"/>
    <w:rsid w:val="2EC27BA3"/>
    <w:rsid w:val="2EC97183"/>
    <w:rsid w:val="2EEE5640"/>
    <w:rsid w:val="2EFF376B"/>
    <w:rsid w:val="2F166DB0"/>
    <w:rsid w:val="2F324D29"/>
    <w:rsid w:val="2F407445"/>
    <w:rsid w:val="2F540DBC"/>
    <w:rsid w:val="2F8D1F5F"/>
    <w:rsid w:val="2F915C86"/>
    <w:rsid w:val="2FA23C5C"/>
    <w:rsid w:val="2FC35981"/>
    <w:rsid w:val="2FC5794B"/>
    <w:rsid w:val="2FF131D4"/>
    <w:rsid w:val="2FF7387C"/>
    <w:rsid w:val="2FF81704"/>
    <w:rsid w:val="300C557A"/>
    <w:rsid w:val="30393E95"/>
    <w:rsid w:val="304E7940"/>
    <w:rsid w:val="30647164"/>
    <w:rsid w:val="30B11C7D"/>
    <w:rsid w:val="30FA7AC8"/>
    <w:rsid w:val="310149B3"/>
    <w:rsid w:val="31105529"/>
    <w:rsid w:val="311F12DD"/>
    <w:rsid w:val="313308E4"/>
    <w:rsid w:val="315C608D"/>
    <w:rsid w:val="318B6972"/>
    <w:rsid w:val="31BB4B77"/>
    <w:rsid w:val="31C003CA"/>
    <w:rsid w:val="31D2634F"/>
    <w:rsid w:val="31FC33CC"/>
    <w:rsid w:val="321D3A6E"/>
    <w:rsid w:val="321E0D93"/>
    <w:rsid w:val="321E77E6"/>
    <w:rsid w:val="3227669B"/>
    <w:rsid w:val="322A5FA3"/>
    <w:rsid w:val="322F2A2C"/>
    <w:rsid w:val="32335040"/>
    <w:rsid w:val="3239017C"/>
    <w:rsid w:val="32610E20"/>
    <w:rsid w:val="328622EF"/>
    <w:rsid w:val="32917FB8"/>
    <w:rsid w:val="32A74A1C"/>
    <w:rsid w:val="33010C9A"/>
    <w:rsid w:val="330255A7"/>
    <w:rsid w:val="33517D85"/>
    <w:rsid w:val="33525999"/>
    <w:rsid w:val="335D7E9A"/>
    <w:rsid w:val="336F6858"/>
    <w:rsid w:val="337B2837"/>
    <w:rsid w:val="337D5E54"/>
    <w:rsid w:val="338673F1"/>
    <w:rsid w:val="339E5B16"/>
    <w:rsid w:val="33AA1331"/>
    <w:rsid w:val="33B65F28"/>
    <w:rsid w:val="33BB6DF6"/>
    <w:rsid w:val="33F7209D"/>
    <w:rsid w:val="33FF78B0"/>
    <w:rsid w:val="3417273F"/>
    <w:rsid w:val="341B3FDD"/>
    <w:rsid w:val="342F7A89"/>
    <w:rsid w:val="34337579"/>
    <w:rsid w:val="343706EB"/>
    <w:rsid w:val="344A2B14"/>
    <w:rsid w:val="34684A32"/>
    <w:rsid w:val="34B61F58"/>
    <w:rsid w:val="34BE15C4"/>
    <w:rsid w:val="34DD5737"/>
    <w:rsid w:val="34ED71D7"/>
    <w:rsid w:val="34FB5BBD"/>
    <w:rsid w:val="35124730"/>
    <w:rsid w:val="3521598C"/>
    <w:rsid w:val="35303AB8"/>
    <w:rsid w:val="35425726"/>
    <w:rsid w:val="354C1812"/>
    <w:rsid w:val="35582BB7"/>
    <w:rsid w:val="35610116"/>
    <w:rsid w:val="356279EA"/>
    <w:rsid w:val="3579545F"/>
    <w:rsid w:val="359E6F87"/>
    <w:rsid w:val="35C83CF1"/>
    <w:rsid w:val="35CF32D1"/>
    <w:rsid w:val="35D42696"/>
    <w:rsid w:val="35ED19A9"/>
    <w:rsid w:val="36140CE4"/>
    <w:rsid w:val="3618279F"/>
    <w:rsid w:val="36290E3C"/>
    <w:rsid w:val="362F5B1E"/>
    <w:rsid w:val="36483084"/>
    <w:rsid w:val="36590DED"/>
    <w:rsid w:val="36752CC6"/>
    <w:rsid w:val="367B37B8"/>
    <w:rsid w:val="3699568D"/>
    <w:rsid w:val="36DF7544"/>
    <w:rsid w:val="37131FFA"/>
    <w:rsid w:val="371A057C"/>
    <w:rsid w:val="372F06AE"/>
    <w:rsid w:val="37307DA0"/>
    <w:rsid w:val="373158C6"/>
    <w:rsid w:val="377E4CA4"/>
    <w:rsid w:val="378974B0"/>
    <w:rsid w:val="37AB6B28"/>
    <w:rsid w:val="37B02C8E"/>
    <w:rsid w:val="37D42E21"/>
    <w:rsid w:val="37DC1CD5"/>
    <w:rsid w:val="37E62B54"/>
    <w:rsid w:val="37FA215C"/>
    <w:rsid w:val="37FE7E9E"/>
    <w:rsid w:val="383872D8"/>
    <w:rsid w:val="3867746A"/>
    <w:rsid w:val="38A722E3"/>
    <w:rsid w:val="38D96215"/>
    <w:rsid w:val="38F4304F"/>
    <w:rsid w:val="39113C01"/>
    <w:rsid w:val="391601B4"/>
    <w:rsid w:val="39186D3D"/>
    <w:rsid w:val="39730417"/>
    <w:rsid w:val="39812B34"/>
    <w:rsid w:val="398A407C"/>
    <w:rsid w:val="39B4295D"/>
    <w:rsid w:val="39BB2E8F"/>
    <w:rsid w:val="39E11825"/>
    <w:rsid w:val="3A0948D8"/>
    <w:rsid w:val="3A2D368A"/>
    <w:rsid w:val="3A2D6818"/>
    <w:rsid w:val="3A2F2590"/>
    <w:rsid w:val="3A667F7C"/>
    <w:rsid w:val="3A8749E5"/>
    <w:rsid w:val="3A8A5A19"/>
    <w:rsid w:val="3AC10958"/>
    <w:rsid w:val="3ADB6274"/>
    <w:rsid w:val="3AE214AE"/>
    <w:rsid w:val="3B1B2B15"/>
    <w:rsid w:val="3B467CD8"/>
    <w:rsid w:val="3B4D02BA"/>
    <w:rsid w:val="3B6E533A"/>
    <w:rsid w:val="3BB0325D"/>
    <w:rsid w:val="3BB645EB"/>
    <w:rsid w:val="3BD33BCA"/>
    <w:rsid w:val="3C0637C5"/>
    <w:rsid w:val="3C0D6901"/>
    <w:rsid w:val="3C131A3E"/>
    <w:rsid w:val="3C1557B6"/>
    <w:rsid w:val="3C35255E"/>
    <w:rsid w:val="3C4E0CC8"/>
    <w:rsid w:val="3CB90F2D"/>
    <w:rsid w:val="3CD1792F"/>
    <w:rsid w:val="3CD94A35"/>
    <w:rsid w:val="3D2A703F"/>
    <w:rsid w:val="3D6469F5"/>
    <w:rsid w:val="3D9168F3"/>
    <w:rsid w:val="3DBD3EC7"/>
    <w:rsid w:val="3DEC0798"/>
    <w:rsid w:val="3DFA1607"/>
    <w:rsid w:val="3E0C2BE9"/>
    <w:rsid w:val="3E0C4997"/>
    <w:rsid w:val="3E1D4DF6"/>
    <w:rsid w:val="3E1F0B6E"/>
    <w:rsid w:val="3E676AB1"/>
    <w:rsid w:val="3E88226F"/>
    <w:rsid w:val="3E8D3D29"/>
    <w:rsid w:val="3E8D412D"/>
    <w:rsid w:val="3E907DE5"/>
    <w:rsid w:val="3EAC7694"/>
    <w:rsid w:val="3EBE7765"/>
    <w:rsid w:val="3ECB4852"/>
    <w:rsid w:val="3F06588A"/>
    <w:rsid w:val="3F4E1A1F"/>
    <w:rsid w:val="3F512FA9"/>
    <w:rsid w:val="3F606D53"/>
    <w:rsid w:val="3F841B37"/>
    <w:rsid w:val="3F95226A"/>
    <w:rsid w:val="3F9A4C64"/>
    <w:rsid w:val="3F9F4F42"/>
    <w:rsid w:val="3FA94B93"/>
    <w:rsid w:val="3FB654CC"/>
    <w:rsid w:val="3FE21E53"/>
    <w:rsid w:val="3FEE07F8"/>
    <w:rsid w:val="3FF51313"/>
    <w:rsid w:val="40183AC7"/>
    <w:rsid w:val="402B55A8"/>
    <w:rsid w:val="403703F1"/>
    <w:rsid w:val="408353E4"/>
    <w:rsid w:val="40876CB2"/>
    <w:rsid w:val="40923879"/>
    <w:rsid w:val="40A77433"/>
    <w:rsid w:val="40CD665F"/>
    <w:rsid w:val="40D94CFF"/>
    <w:rsid w:val="41032227"/>
    <w:rsid w:val="41344930"/>
    <w:rsid w:val="41432DC5"/>
    <w:rsid w:val="414621B9"/>
    <w:rsid w:val="415E7BFF"/>
    <w:rsid w:val="418F7DB9"/>
    <w:rsid w:val="41950CE5"/>
    <w:rsid w:val="41B15F81"/>
    <w:rsid w:val="41C51A2C"/>
    <w:rsid w:val="41D659E7"/>
    <w:rsid w:val="41E225DE"/>
    <w:rsid w:val="41EF0857"/>
    <w:rsid w:val="420267DC"/>
    <w:rsid w:val="42114C71"/>
    <w:rsid w:val="42381D17"/>
    <w:rsid w:val="42500FB3"/>
    <w:rsid w:val="426254CD"/>
    <w:rsid w:val="426A2D2C"/>
    <w:rsid w:val="426E4935"/>
    <w:rsid w:val="42935147"/>
    <w:rsid w:val="42C13A57"/>
    <w:rsid w:val="42DA493A"/>
    <w:rsid w:val="42FF2D1C"/>
    <w:rsid w:val="43052B25"/>
    <w:rsid w:val="430F51D8"/>
    <w:rsid w:val="4339622E"/>
    <w:rsid w:val="434F77FF"/>
    <w:rsid w:val="43525522"/>
    <w:rsid w:val="43635059"/>
    <w:rsid w:val="436F7EA2"/>
    <w:rsid w:val="43963680"/>
    <w:rsid w:val="43A23DD3"/>
    <w:rsid w:val="43AD1BA4"/>
    <w:rsid w:val="43AF64F0"/>
    <w:rsid w:val="43B35FE0"/>
    <w:rsid w:val="43C57AC2"/>
    <w:rsid w:val="43C95804"/>
    <w:rsid w:val="43CA3BDE"/>
    <w:rsid w:val="43CE2E1A"/>
    <w:rsid w:val="43DB72E5"/>
    <w:rsid w:val="44337121"/>
    <w:rsid w:val="4436451B"/>
    <w:rsid w:val="44476729"/>
    <w:rsid w:val="444E7AB7"/>
    <w:rsid w:val="447C0AC8"/>
    <w:rsid w:val="4482112A"/>
    <w:rsid w:val="44C05764"/>
    <w:rsid w:val="44CC6C2E"/>
    <w:rsid w:val="44D51F86"/>
    <w:rsid w:val="44E74AF7"/>
    <w:rsid w:val="4508410A"/>
    <w:rsid w:val="45552068"/>
    <w:rsid w:val="455E1F7C"/>
    <w:rsid w:val="457E617A"/>
    <w:rsid w:val="45927E77"/>
    <w:rsid w:val="45943BEF"/>
    <w:rsid w:val="45AD4CB1"/>
    <w:rsid w:val="45B61DB8"/>
    <w:rsid w:val="45BA309E"/>
    <w:rsid w:val="45BE6EBE"/>
    <w:rsid w:val="45C85647"/>
    <w:rsid w:val="45CF2E79"/>
    <w:rsid w:val="45D958B6"/>
    <w:rsid w:val="45E32481"/>
    <w:rsid w:val="463B22BD"/>
    <w:rsid w:val="465670F7"/>
    <w:rsid w:val="467D28D5"/>
    <w:rsid w:val="467F03FC"/>
    <w:rsid w:val="46927C50"/>
    <w:rsid w:val="469A3487"/>
    <w:rsid w:val="46AB11F1"/>
    <w:rsid w:val="46C95B1B"/>
    <w:rsid w:val="46CE4EDF"/>
    <w:rsid w:val="46F34946"/>
    <w:rsid w:val="47064679"/>
    <w:rsid w:val="4707219F"/>
    <w:rsid w:val="471636A5"/>
    <w:rsid w:val="47385407"/>
    <w:rsid w:val="4745776D"/>
    <w:rsid w:val="47546662"/>
    <w:rsid w:val="476D294A"/>
    <w:rsid w:val="47775577"/>
    <w:rsid w:val="4783216D"/>
    <w:rsid w:val="47857C94"/>
    <w:rsid w:val="47A3011A"/>
    <w:rsid w:val="47C666DA"/>
    <w:rsid w:val="47E10C42"/>
    <w:rsid w:val="4800556C"/>
    <w:rsid w:val="4812704D"/>
    <w:rsid w:val="48276F9D"/>
    <w:rsid w:val="485B09F4"/>
    <w:rsid w:val="4881663E"/>
    <w:rsid w:val="48867B33"/>
    <w:rsid w:val="48912668"/>
    <w:rsid w:val="489172C2"/>
    <w:rsid w:val="48967C7F"/>
    <w:rsid w:val="48AD4B08"/>
    <w:rsid w:val="48ED455A"/>
    <w:rsid w:val="492E7EB7"/>
    <w:rsid w:val="493B5CD7"/>
    <w:rsid w:val="49663AF5"/>
    <w:rsid w:val="498E6BA8"/>
    <w:rsid w:val="49AF43A5"/>
    <w:rsid w:val="49B2476E"/>
    <w:rsid w:val="49B91E77"/>
    <w:rsid w:val="49BC1967"/>
    <w:rsid w:val="49BE123B"/>
    <w:rsid w:val="49CB1BAA"/>
    <w:rsid w:val="4A0D23DC"/>
    <w:rsid w:val="4A3D2AA8"/>
    <w:rsid w:val="4A413C1A"/>
    <w:rsid w:val="4A6F2535"/>
    <w:rsid w:val="4A954692"/>
    <w:rsid w:val="4A995804"/>
    <w:rsid w:val="4AAC3F14"/>
    <w:rsid w:val="4AB97C54"/>
    <w:rsid w:val="4ABD5996"/>
    <w:rsid w:val="4B0E1D4E"/>
    <w:rsid w:val="4B104882"/>
    <w:rsid w:val="4B2E23F0"/>
    <w:rsid w:val="4B3E33A3"/>
    <w:rsid w:val="4B871B00"/>
    <w:rsid w:val="4BA33C6C"/>
    <w:rsid w:val="4BB02E05"/>
    <w:rsid w:val="4BC170D5"/>
    <w:rsid w:val="4BD51861"/>
    <w:rsid w:val="4BD905AE"/>
    <w:rsid w:val="4BDE5BC4"/>
    <w:rsid w:val="4BE13907"/>
    <w:rsid w:val="4BE34F89"/>
    <w:rsid w:val="4BE807F1"/>
    <w:rsid w:val="4BEB208F"/>
    <w:rsid w:val="4C6A7458"/>
    <w:rsid w:val="4C8C3872"/>
    <w:rsid w:val="4CA344B5"/>
    <w:rsid w:val="4CD80866"/>
    <w:rsid w:val="4CDD7C2A"/>
    <w:rsid w:val="4D445EFB"/>
    <w:rsid w:val="4D61085B"/>
    <w:rsid w:val="4D714FE2"/>
    <w:rsid w:val="4D7A7B6F"/>
    <w:rsid w:val="4D862070"/>
    <w:rsid w:val="4D9B335B"/>
    <w:rsid w:val="4DA64B6C"/>
    <w:rsid w:val="4DAE020B"/>
    <w:rsid w:val="4DB12E65"/>
    <w:rsid w:val="4DD74506"/>
    <w:rsid w:val="4DEC66C1"/>
    <w:rsid w:val="4E075509"/>
    <w:rsid w:val="4E0A0EF3"/>
    <w:rsid w:val="4E1C29D4"/>
    <w:rsid w:val="4E2F6BAB"/>
    <w:rsid w:val="4E345F70"/>
    <w:rsid w:val="4E6C395B"/>
    <w:rsid w:val="4EA57EB3"/>
    <w:rsid w:val="4EA75C5A"/>
    <w:rsid w:val="4ECD1F20"/>
    <w:rsid w:val="4EF676C9"/>
    <w:rsid w:val="4F427B3C"/>
    <w:rsid w:val="4F506DD9"/>
    <w:rsid w:val="4F5543EF"/>
    <w:rsid w:val="4F6A1303"/>
    <w:rsid w:val="4F974A08"/>
    <w:rsid w:val="4FB83EA8"/>
    <w:rsid w:val="4FC568A1"/>
    <w:rsid w:val="4FE03A2B"/>
    <w:rsid w:val="4FF84D7B"/>
    <w:rsid w:val="500F0A42"/>
    <w:rsid w:val="502913D8"/>
    <w:rsid w:val="506348EA"/>
    <w:rsid w:val="50783C60"/>
    <w:rsid w:val="50834F8C"/>
    <w:rsid w:val="50884351"/>
    <w:rsid w:val="508A00C9"/>
    <w:rsid w:val="50942CF5"/>
    <w:rsid w:val="509C1BAA"/>
    <w:rsid w:val="509E3B74"/>
    <w:rsid w:val="50BF452A"/>
    <w:rsid w:val="50CD4459"/>
    <w:rsid w:val="50CF1F80"/>
    <w:rsid w:val="50E6470E"/>
    <w:rsid w:val="50F6575E"/>
    <w:rsid w:val="51061ADC"/>
    <w:rsid w:val="510933B4"/>
    <w:rsid w:val="512322CB"/>
    <w:rsid w:val="51312C3A"/>
    <w:rsid w:val="51624BA2"/>
    <w:rsid w:val="517B2107"/>
    <w:rsid w:val="51957441"/>
    <w:rsid w:val="51A11C58"/>
    <w:rsid w:val="51B56722"/>
    <w:rsid w:val="521560B8"/>
    <w:rsid w:val="52473A04"/>
    <w:rsid w:val="52500E9E"/>
    <w:rsid w:val="52734B8D"/>
    <w:rsid w:val="527E5A0B"/>
    <w:rsid w:val="52BE30EA"/>
    <w:rsid w:val="52CD1A94"/>
    <w:rsid w:val="52D25D57"/>
    <w:rsid w:val="52E33AC0"/>
    <w:rsid w:val="52ED287F"/>
    <w:rsid w:val="535E583D"/>
    <w:rsid w:val="53634C01"/>
    <w:rsid w:val="53654E1D"/>
    <w:rsid w:val="536C1ECE"/>
    <w:rsid w:val="5376752B"/>
    <w:rsid w:val="538708F0"/>
    <w:rsid w:val="539325D1"/>
    <w:rsid w:val="53964FD7"/>
    <w:rsid w:val="53AC0BFD"/>
    <w:rsid w:val="53D770DA"/>
    <w:rsid w:val="53E16F99"/>
    <w:rsid w:val="54260108"/>
    <w:rsid w:val="543A3BB4"/>
    <w:rsid w:val="544100EE"/>
    <w:rsid w:val="54680721"/>
    <w:rsid w:val="546F1A89"/>
    <w:rsid w:val="54745318"/>
    <w:rsid w:val="54A43723"/>
    <w:rsid w:val="54BB581D"/>
    <w:rsid w:val="54C55B73"/>
    <w:rsid w:val="54CF07A0"/>
    <w:rsid w:val="54F87FC7"/>
    <w:rsid w:val="55052414"/>
    <w:rsid w:val="550541C2"/>
    <w:rsid w:val="55287EB0"/>
    <w:rsid w:val="555B2034"/>
    <w:rsid w:val="55674E7D"/>
    <w:rsid w:val="55826B5A"/>
    <w:rsid w:val="55850574"/>
    <w:rsid w:val="558C043F"/>
    <w:rsid w:val="559B2D78"/>
    <w:rsid w:val="559B4B26"/>
    <w:rsid w:val="55AB1085"/>
    <w:rsid w:val="55CB0FAC"/>
    <w:rsid w:val="55D219FA"/>
    <w:rsid w:val="55DC388A"/>
    <w:rsid w:val="560921BB"/>
    <w:rsid w:val="563F3703"/>
    <w:rsid w:val="56521689"/>
    <w:rsid w:val="569C0B56"/>
    <w:rsid w:val="56A9624D"/>
    <w:rsid w:val="56B37C4E"/>
    <w:rsid w:val="56BC4D54"/>
    <w:rsid w:val="56C02A96"/>
    <w:rsid w:val="56E11C93"/>
    <w:rsid w:val="57127095"/>
    <w:rsid w:val="57144B90"/>
    <w:rsid w:val="572A6162"/>
    <w:rsid w:val="57460AC2"/>
    <w:rsid w:val="5778511F"/>
    <w:rsid w:val="57897640"/>
    <w:rsid w:val="57A579F3"/>
    <w:rsid w:val="57CE2EBC"/>
    <w:rsid w:val="57D31D9D"/>
    <w:rsid w:val="57DD0952"/>
    <w:rsid w:val="57E411DB"/>
    <w:rsid w:val="57F222CC"/>
    <w:rsid w:val="58022C3B"/>
    <w:rsid w:val="5805272B"/>
    <w:rsid w:val="580764A3"/>
    <w:rsid w:val="581A4D75"/>
    <w:rsid w:val="5829466B"/>
    <w:rsid w:val="58366D88"/>
    <w:rsid w:val="58392E14"/>
    <w:rsid w:val="584E5E80"/>
    <w:rsid w:val="585F008D"/>
    <w:rsid w:val="58A921CB"/>
    <w:rsid w:val="58CB74D0"/>
    <w:rsid w:val="58D72319"/>
    <w:rsid w:val="58F509F1"/>
    <w:rsid w:val="59017426"/>
    <w:rsid w:val="59050C34"/>
    <w:rsid w:val="59301CEC"/>
    <w:rsid w:val="593C217C"/>
    <w:rsid w:val="59510812"/>
    <w:rsid w:val="596C0FC7"/>
    <w:rsid w:val="59747B68"/>
    <w:rsid w:val="59772113"/>
    <w:rsid w:val="59B32B3D"/>
    <w:rsid w:val="59CA59DA"/>
    <w:rsid w:val="59CC52AE"/>
    <w:rsid w:val="5A132EDD"/>
    <w:rsid w:val="5A184997"/>
    <w:rsid w:val="5A1C52D3"/>
    <w:rsid w:val="5A421A14"/>
    <w:rsid w:val="5A517EA9"/>
    <w:rsid w:val="5A6C62B6"/>
    <w:rsid w:val="5A7A08CE"/>
    <w:rsid w:val="5AA04A12"/>
    <w:rsid w:val="5ABC3575"/>
    <w:rsid w:val="5AD7215D"/>
    <w:rsid w:val="5AF2343A"/>
    <w:rsid w:val="5B1C7B22"/>
    <w:rsid w:val="5B4517BC"/>
    <w:rsid w:val="5B6A7475"/>
    <w:rsid w:val="5BD448EE"/>
    <w:rsid w:val="5BE80399"/>
    <w:rsid w:val="5BE91A17"/>
    <w:rsid w:val="5C313AEE"/>
    <w:rsid w:val="5C62014C"/>
    <w:rsid w:val="5C735EB5"/>
    <w:rsid w:val="5C761E49"/>
    <w:rsid w:val="5C967DF5"/>
    <w:rsid w:val="5CA00C74"/>
    <w:rsid w:val="5CA12E24"/>
    <w:rsid w:val="5CA73DB1"/>
    <w:rsid w:val="5CB07109"/>
    <w:rsid w:val="5CB62246"/>
    <w:rsid w:val="5CD56B70"/>
    <w:rsid w:val="5CE768A3"/>
    <w:rsid w:val="5CF214D0"/>
    <w:rsid w:val="5D05319C"/>
    <w:rsid w:val="5D1C654D"/>
    <w:rsid w:val="5D485594"/>
    <w:rsid w:val="5D6D1C91"/>
    <w:rsid w:val="5D7A5AE4"/>
    <w:rsid w:val="5D891708"/>
    <w:rsid w:val="5D902A97"/>
    <w:rsid w:val="5D944335"/>
    <w:rsid w:val="5DD07337"/>
    <w:rsid w:val="5E203E1A"/>
    <w:rsid w:val="5E3E24F3"/>
    <w:rsid w:val="5E483371"/>
    <w:rsid w:val="5E6463FD"/>
    <w:rsid w:val="5E671A49"/>
    <w:rsid w:val="5E6A153A"/>
    <w:rsid w:val="5E864BBA"/>
    <w:rsid w:val="5EAA0DD3"/>
    <w:rsid w:val="5EAC56AE"/>
    <w:rsid w:val="5EE4309A"/>
    <w:rsid w:val="5F13265F"/>
    <w:rsid w:val="5F1A4D0E"/>
    <w:rsid w:val="5F387044"/>
    <w:rsid w:val="5F6441DB"/>
    <w:rsid w:val="5F702B80"/>
    <w:rsid w:val="5F7268F8"/>
    <w:rsid w:val="5F750196"/>
    <w:rsid w:val="5F955985"/>
    <w:rsid w:val="5F993E84"/>
    <w:rsid w:val="5FAF36A8"/>
    <w:rsid w:val="5FBE38EB"/>
    <w:rsid w:val="5FC37153"/>
    <w:rsid w:val="5FCE4BE3"/>
    <w:rsid w:val="60172FFB"/>
    <w:rsid w:val="60174CA1"/>
    <w:rsid w:val="60201FF3"/>
    <w:rsid w:val="60335542"/>
    <w:rsid w:val="6044017F"/>
    <w:rsid w:val="60485D7E"/>
    <w:rsid w:val="604E2987"/>
    <w:rsid w:val="604F17B0"/>
    <w:rsid w:val="605E0C2A"/>
    <w:rsid w:val="607246D5"/>
    <w:rsid w:val="60830691"/>
    <w:rsid w:val="6098413C"/>
    <w:rsid w:val="609C06B7"/>
    <w:rsid w:val="609E371C"/>
    <w:rsid w:val="60B62814"/>
    <w:rsid w:val="60D158A0"/>
    <w:rsid w:val="6106379C"/>
    <w:rsid w:val="612F62AF"/>
    <w:rsid w:val="613025C6"/>
    <w:rsid w:val="614442C4"/>
    <w:rsid w:val="614E6EF1"/>
    <w:rsid w:val="61554209"/>
    <w:rsid w:val="618966AB"/>
    <w:rsid w:val="619A6C69"/>
    <w:rsid w:val="61A46B11"/>
    <w:rsid w:val="61B76844"/>
    <w:rsid w:val="61E6570C"/>
    <w:rsid w:val="61F061FA"/>
    <w:rsid w:val="6232236E"/>
    <w:rsid w:val="623E0D13"/>
    <w:rsid w:val="62403327"/>
    <w:rsid w:val="62404A8B"/>
    <w:rsid w:val="62522A10"/>
    <w:rsid w:val="628E1C9B"/>
    <w:rsid w:val="63185A08"/>
    <w:rsid w:val="63213671"/>
    <w:rsid w:val="63247F09"/>
    <w:rsid w:val="633914DA"/>
    <w:rsid w:val="633A597E"/>
    <w:rsid w:val="635F401F"/>
    <w:rsid w:val="636218B0"/>
    <w:rsid w:val="63C9479B"/>
    <w:rsid w:val="63CB5574"/>
    <w:rsid w:val="63D92749"/>
    <w:rsid w:val="63E31B72"/>
    <w:rsid w:val="644F12EF"/>
    <w:rsid w:val="64630F05"/>
    <w:rsid w:val="646F486F"/>
    <w:rsid w:val="648352CF"/>
    <w:rsid w:val="64CF0348"/>
    <w:rsid w:val="64D67929"/>
    <w:rsid w:val="64DD4813"/>
    <w:rsid w:val="6525440C"/>
    <w:rsid w:val="6535464F"/>
    <w:rsid w:val="6537335E"/>
    <w:rsid w:val="653F727C"/>
    <w:rsid w:val="65660CAD"/>
    <w:rsid w:val="656D6898"/>
    <w:rsid w:val="65984BDE"/>
    <w:rsid w:val="659A6BA8"/>
    <w:rsid w:val="65A25A5D"/>
    <w:rsid w:val="65AE61B0"/>
    <w:rsid w:val="65B8702E"/>
    <w:rsid w:val="65EE0CA2"/>
    <w:rsid w:val="65FE2944"/>
    <w:rsid w:val="662A2B19"/>
    <w:rsid w:val="66313B11"/>
    <w:rsid w:val="665E7B6C"/>
    <w:rsid w:val="6675770D"/>
    <w:rsid w:val="66937143"/>
    <w:rsid w:val="66C760DE"/>
    <w:rsid w:val="66DE2AC5"/>
    <w:rsid w:val="66EC51E2"/>
    <w:rsid w:val="66F80730"/>
    <w:rsid w:val="67050051"/>
    <w:rsid w:val="67144738"/>
    <w:rsid w:val="67193AFD"/>
    <w:rsid w:val="67226E55"/>
    <w:rsid w:val="677D5E3A"/>
    <w:rsid w:val="67A54D96"/>
    <w:rsid w:val="67D6379C"/>
    <w:rsid w:val="67D87764"/>
    <w:rsid w:val="67E4235D"/>
    <w:rsid w:val="680D74D2"/>
    <w:rsid w:val="682C160E"/>
    <w:rsid w:val="68686AEA"/>
    <w:rsid w:val="686B65DA"/>
    <w:rsid w:val="6881195A"/>
    <w:rsid w:val="68914293"/>
    <w:rsid w:val="689C2C37"/>
    <w:rsid w:val="68A37B22"/>
    <w:rsid w:val="68AD274F"/>
    <w:rsid w:val="68AF57DF"/>
    <w:rsid w:val="68FF427E"/>
    <w:rsid w:val="694A2693"/>
    <w:rsid w:val="695A2928"/>
    <w:rsid w:val="698C6808"/>
    <w:rsid w:val="699D598E"/>
    <w:rsid w:val="69BE3C72"/>
    <w:rsid w:val="69D106BF"/>
    <w:rsid w:val="69D1246D"/>
    <w:rsid w:val="69D52819"/>
    <w:rsid w:val="6A10568B"/>
    <w:rsid w:val="6A15302C"/>
    <w:rsid w:val="6A2904FB"/>
    <w:rsid w:val="6A2C3B47"/>
    <w:rsid w:val="6A585D0E"/>
    <w:rsid w:val="6A6E5F0E"/>
    <w:rsid w:val="6A717020"/>
    <w:rsid w:val="6A9C35C2"/>
    <w:rsid w:val="6ABB660F"/>
    <w:rsid w:val="6ACF10A2"/>
    <w:rsid w:val="6AD00976"/>
    <w:rsid w:val="6AED1528"/>
    <w:rsid w:val="6B080110"/>
    <w:rsid w:val="6B3233DF"/>
    <w:rsid w:val="6B431148"/>
    <w:rsid w:val="6B647ABE"/>
    <w:rsid w:val="6B841E8D"/>
    <w:rsid w:val="6B853A16"/>
    <w:rsid w:val="6B99520C"/>
    <w:rsid w:val="6BBF1117"/>
    <w:rsid w:val="6BE01F8A"/>
    <w:rsid w:val="6BE8387E"/>
    <w:rsid w:val="6BF012D0"/>
    <w:rsid w:val="6C07661A"/>
    <w:rsid w:val="6C117498"/>
    <w:rsid w:val="6C25027B"/>
    <w:rsid w:val="6C47110C"/>
    <w:rsid w:val="6C4C4ACD"/>
    <w:rsid w:val="6C663340"/>
    <w:rsid w:val="6C7C646E"/>
    <w:rsid w:val="6C9D2ADA"/>
    <w:rsid w:val="6CC14A1B"/>
    <w:rsid w:val="6CCC1D1B"/>
    <w:rsid w:val="6CD01102"/>
    <w:rsid w:val="6CE97995"/>
    <w:rsid w:val="6CEA21C3"/>
    <w:rsid w:val="6CF21078"/>
    <w:rsid w:val="6CF46B9E"/>
    <w:rsid w:val="6D464F20"/>
    <w:rsid w:val="6D800432"/>
    <w:rsid w:val="6D852242"/>
    <w:rsid w:val="6D910891"/>
    <w:rsid w:val="6DCC23B7"/>
    <w:rsid w:val="6DD95D94"/>
    <w:rsid w:val="6DE04A04"/>
    <w:rsid w:val="6DE50BDD"/>
    <w:rsid w:val="6E1D46BB"/>
    <w:rsid w:val="6E2A4841"/>
    <w:rsid w:val="6E3C2DF9"/>
    <w:rsid w:val="6E70494A"/>
    <w:rsid w:val="6E8126B3"/>
    <w:rsid w:val="6EA37EDF"/>
    <w:rsid w:val="6EC66318"/>
    <w:rsid w:val="6ED07197"/>
    <w:rsid w:val="6ED6234A"/>
    <w:rsid w:val="6EDC0332"/>
    <w:rsid w:val="6EDC5B3C"/>
    <w:rsid w:val="6EE449F0"/>
    <w:rsid w:val="6EF015E7"/>
    <w:rsid w:val="6F0118FB"/>
    <w:rsid w:val="6F2913D9"/>
    <w:rsid w:val="6F3275E5"/>
    <w:rsid w:val="6F345978"/>
    <w:rsid w:val="6F395FEB"/>
    <w:rsid w:val="6F6124E5"/>
    <w:rsid w:val="6F63000B"/>
    <w:rsid w:val="6F630325"/>
    <w:rsid w:val="6F6F69B0"/>
    <w:rsid w:val="6F7264A0"/>
    <w:rsid w:val="6F881820"/>
    <w:rsid w:val="6FA973ED"/>
    <w:rsid w:val="6FAB550E"/>
    <w:rsid w:val="6FAC7C04"/>
    <w:rsid w:val="6FEA26CB"/>
    <w:rsid w:val="70115CB9"/>
    <w:rsid w:val="7036127C"/>
    <w:rsid w:val="7040659E"/>
    <w:rsid w:val="704A2F79"/>
    <w:rsid w:val="705B5186"/>
    <w:rsid w:val="705D4A5A"/>
    <w:rsid w:val="706E310B"/>
    <w:rsid w:val="7085617A"/>
    <w:rsid w:val="70C525FF"/>
    <w:rsid w:val="70D70CB1"/>
    <w:rsid w:val="70EE5F27"/>
    <w:rsid w:val="70F97E5D"/>
    <w:rsid w:val="710E12C0"/>
    <w:rsid w:val="71175551"/>
    <w:rsid w:val="711772FF"/>
    <w:rsid w:val="711A294B"/>
    <w:rsid w:val="71883D59"/>
    <w:rsid w:val="719E357C"/>
    <w:rsid w:val="71A55100"/>
    <w:rsid w:val="71C70D25"/>
    <w:rsid w:val="71ED62B2"/>
    <w:rsid w:val="71F97227"/>
    <w:rsid w:val="72053532"/>
    <w:rsid w:val="721B4BCD"/>
    <w:rsid w:val="723E79C0"/>
    <w:rsid w:val="727268E0"/>
    <w:rsid w:val="728C7879"/>
    <w:rsid w:val="72974E5B"/>
    <w:rsid w:val="72D1172F"/>
    <w:rsid w:val="72D8486C"/>
    <w:rsid w:val="72EB0713"/>
    <w:rsid w:val="72EC7CF0"/>
    <w:rsid w:val="73041B05"/>
    <w:rsid w:val="731C0BFD"/>
    <w:rsid w:val="73685BF0"/>
    <w:rsid w:val="7374041D"/>
    <w:rsid w:val="73A34E7A"/>
    <w:rsid w:val="73AB1BCC"/>
    <w:rsid w:val="73BF77DA"/>
    <w:rsid w:val="73DE4104"/>
    <w:rsid w:val="73E86D31"/>
    <w:rsid w:val="73F138BD"/>
    <w:rsid w:val="73F13E37"/>
    <w:rsid w:val="74133875"/>
    <w:rsid w:val="741C69DA"/>
    <w:rsid w:val="7428727A"/>
    <w:rsid w:val="74455F31"/>
    <w:rsid w:val="746740F9"/>
    <w:rsid w:val="746F3611"/>
    <w:rsid w:val="749D668F"/>
    <w:rsid w:val="74A215D5"/>
    <w:rsid w:val="74B11819"/>
    <w:rsid w:val="74BD01BD"/>
    <w:rsid w:val="74DD0860"/>
    <w:rsid w:val="7513602F"/>
    <w:rsid w:val="75137DDD"/>
    <w:rsid w:val="752B3379"/>
    <w:rsid w:val="7568637B"/>
    <w:rsid w:val="756B7C19"/>
    <w:rsid w:val="75874327"/>
    <w:rsid w:val="75956A44"/>
    <w:rsid w:val="759A22AD"/>
    <w:rsid w:val="75A153E9"/>
    <w:rsid w:val="75D92DD5"/>
    <w:rsid w:val="75E023B5"/>
    <w:rsid w:val="75F1279F"/>
    <w:rsid w:val="75F61BD9"/>
    <w:rsid w:val="75F776FF"/>
    <w:rsid w:val="76243572"/>
    <w:rsid w:val="762D7933"/>
    <w:rsid w:val="765C6FAE"/>
    <w:rsid w:val="769B62DC"/>
    <w:rsid w:val="76A72ED3"/>
    <w:rsid w:val="76CA730F"/>
    <w:rsid w:val="76F97E6D"/>
    <w:rsid w:val="77444BC6"/>
    <w:rsid w:val="77500F02"/>
    <w:rsid w:val="77505319"/>
    <w:rsid w:val="775546DD"/>
    <w:rsid w:val="77732F67"/>
    <w:rsid w:val="777C7EBC"/>
    <w:rsid w:val="77934D7E"/>
    <w:rsid w:val="779D7E32"/>
    <w:rsid w:val="77B80A62"/>
    <w:rsid w:val="77BC475C"/>
    <w:rsid w:val="77C10E5A"/>
    <w:rsid w:val="77C33D3D"/>
    <w:rsid w:val="77E141C3"/>
    <w:rsid w:val="77FF5285"/>
    <w:rsid w:val="781F7B88"/>
    <w:rsid w:val="783267CC"/>
    <w:rsid w:val="783469E8"/>
    <w:rsid w:val="7840495F"/>
    <w:rsid w:val="785227EC"/>
    <w:rsid w:val="78571D5C"/>
    <w:rsid w:val="787C3EEC"/>
    <w:rsid w:val="78A7404A"/>
    <w:rsid w:val="78F41CD4"/>
    <w:rsid w:val="79074832"/>
    <w:rsid w:val="791660EE"/>
    <w:rsid w:val="7942201C"/>
    <w:rsid w:val="79817D4A"/>
    <w:rsid w:val="79825532"/>
    <w:rsid w:val="7993773F"/>
    <w:rsid w:val="79D51B05"/>
    <w:rsid w:val="7A025FF7"/>
    <w:rsid w:val="7A1749E1"/>
    <w:rsid w:val="7A301431"/>
    <w:rsid w:val="7A6A1F9F"/>
    <w:rsid w:val="7AD46261"/>
    <w:rsid w:val="7B152B01"/>
    <w:rsid w:val="7B195B51"/>
    <w:rsid w:val="7B1E74DC"/>
    <w:rsid w:val="7B476A33"/>
    <w:rsid w:val="7B5F3D7C"/>
    <w:rsid w:val="7B6C6499"/>
    <w:rsid w:val="7B792A7B"/>
    <w:rsid w:val="7B827A6B"/>
    <w:rsid w:val="7BAC2D3A"/>
    <w:rsid w:val="7BCF78A0"/>
    <w:rsid w:val="7BD5403F"/>
    <w:rsid w:val="7BDC53CD"/>
    <w:rsid w:val="7C1E1D84"/>
    <w:rsid w:val="7C2154D6"/>
    <w:rsid w:val="7C702B07"/>
    <w:rsid w:val="7C7F39E8"/>
    <w:rsid w:val="7C87766B"/>
    <w:rsid w:val="7C8D3F62"/>
    <w:rsid w:val="7CBE2D25"/>
    <w:rsid w:val="7CCC14D9"/>
    <w:rsid w:val="7CF27D4C"/>
    <w:rsid w:val="7D3C49C8"/>
    <w:rsid w:val="7D456FA2"/>
    <w:rsid w:val="7D5470E9"/>
    <w:rsid w:val="7D9D0B8C"/>
    <w:rsid w:val="7DF74740"/>
    <w:rsid w:val="7DFF1847"/>
    <w:rsid w:val="7E130E4E"/>
    <w:rsid w:val="7E1D7907"/>
    <w:rsid w:val="7E3468D5"/>
    <w:rsid w:val="7E5F22E5"/>
    <w:rsid w:val="7E691F7C"/>
    <w:rsid w:val="7E924469"/>
    <w:rsid w:val="7EAE4FFB"/>
    <w:rsid w:val="7F111831"/>
    <w:rsid w:val="7F463BFE"/>
    <w:rsid w:val="7F482D79"/>
    <w:rsid w:val="7F4E65E2"/>
    <w:rsid w:val="7F504AFE"/>
    <w:rsid w:val="7FB90128"/>
    <w:rsid w:val="7FBD72C3"/>
    <w:rsid w:val="7FEA3E31"/>
    <w:rsid w:val="7FF6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autoRedefine/>
    <w:qFormat/>
    <w:uiPriority w:val="99"/>
    <w:pPr>
      <w:keepNext/>
      <w:keepLines/>
      <w:spacing w:line="360" w:lineRule="auto"/>
      <w:jc w:val="center"/>
      <w:outlineLvl w:val="0"/>
    </w:pPr>
    <w:rPr>
      <w:b/>
      <w:kern w:val="44"/>
      <w:sz w:val="32"/>
      <w:szCs w:val="20"/>
    </w:rPr>
  </w:style>
  <w:style w:type="paragraph" w:styleId="3">
    <w:name w:val="heading 2"/>
    <w:basedOn w:val="1"/>
    <w:next w:val="1"/>
    <w:link w:val="28"/>
    <w:autoRedefine/>
    <w:qFormat/>
    <w:uiPriority w:val="99"/>
    <w:pPr>
      <w:keepNext/>
      <w:keepLines/>
      <w:spacing w:line="360" w:lineRule="auto"/>
      <w:jc w:val="left"/>
      <w:outlineLvl w:val="1"/>
    </w:pPr>
    <w:rPr>
      <w:rFonts w:ascii="Arial" w:hAnsi="Arial"/>
      <w:b/>
      <w:sz w:val="24"/>
      <w:szCs w:val="20"/>
    </w:rPr>
  </w:style>
  <w:style w:type="paragraph" w:styleId="4">
    <w:name w:val="heading 3"/>
    <w:basedOn w:val="1"/>
    <w:next w:val="1"/>
    <w:autoRedefine/>
    <w:qFormat/>
    <w:uiPriority w:val="99"/>
    <w:pPr>
      <w:keepNext/>
      <w:keepLines/>
      <w:spacing w:line="360" w:lineRule="auto"/>
      <w:jc w:val="left"/>
      <w:outlineLvl w:val="2"/>
    </w:pPr>
    <w:rPr>
      <w:b/>
      <w:szCs w:val="20"/>
    </w:rPr>
  </w:style>
  <w:style w:type="paragraph" w:styleId="5">
    <w:name w:val="heading 4"/>
    <w:basedOn w:val="1"/>
    <w:next w:val="1"/>
    <w:autoRedefine/>
    <w:qFormat/>
    <w:uiPriority w:val="0"/>
    <w:pPr>
      <w:keepNext/>
      <w:keepLines/>
      <w:ind w:firstLine="0" w:firstLineChars="0"/>
      <w:outlineLvl w:val="3"/>
    </w:pPr>
    <w:rPr>
      <w:rFonts w:ascii="Arial" w:hAnsi="Arial"/>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Body Text"/>
    <w:basedOn w:val="1"/>
    <w:autoRedefine/>
    <w:qFormat/>
    <w:uiPriority w:val="99"/>
    <w:pPr>
      <w:spacing w:after="120"/>
    </w:pPr>
    <w:rPr>
      <w:sz w:val="24"/>
      <w:szCs w:val="20"/>
    </w:rPr>
  </w:style>
  <w:style w:type="paragraph" w:styleId="8">
    <w:name w:val="Body Text Indent"/>
    <w:basedOn w:val="1"/>
    <w:autoRedefine/>
    <w:qFormat/>
    <w:uiPriority w:val="99"/>
    <w:pPr>
      <w:spacing w:after="120"/>
      <w:ind w:left="420" w:leftChars="200"/>
    </w:pPr>
    <w:rPr>
      <w:sz w:val="24"/>
      <w:szCs w:val="20"/>
    </w:rPr>
  </w:style>
  <w:style w:type="paragraph" w:styleId="9">
    <w:name w:val="List 2"/>
    <w:basedOn w:val="1"/>
    <w:autoRedefine/>
    <w:qFormat/>
    <w:uiPriority w:val="99"/>
    <w:pPr>
      <w:ind w:left="100" w:leftChars="200" w:hanging="200" w:hangingChars="200"/>
    </w:pPr>
  </w:style>
  <w:style w:type="paragraph" w:styleId="10">
    <w:name w:val="Block Text"/>
    <w:basedOn w:val="1"/>
    <w:autoRedefine/>
    <w:qFormat/>
    <w:uiPriority w:val="99"/>
    <w:pPr>
      <w:spacing w:after="120"/>
      <w:ind w:left="1440" w:leftChars="700" w:right="1440" w:rightChars="700"/>
    </w:pPr>
  </w:style>
  <w:style w:type="paragraph" w:styleId="11">
    <w:name w:val="Plain Text"/>
    <w:basedOn w:val="1"/>
    <w:autoRedefine/>
    <w:qFormat/>
    <w:uiPriority w:val="99"/>
    <w:rPr>
      <w:rFonts w:ascii="宋体" w:hAnsi="Courier New"/>
      <w:szCs w:val="20"/>
    </w:rPr>
  </w:style>
  <w:style w:type="paragraph" w:styleId="12">
    <w:name w:val="Date"/>
    <w:basedOn w:val="1"/>
    <w:next w:val="1"/>
    <w:autoRedefine/>
    <w:unhideWhenUsed/>
    <w:qFormat/>
    <w:uiPriority w:val="99"/>
    <w:pPr>
      <w:tabs>
        <w:tab w:val="left" w:pos="420"/>
      </w:tabs>
      <w:ind w:left="100" w:leftChars="2500"/>
    </w:pPr>
  </w:style>
  <w:style w:type="paragraph" w:styleId="13">
    <w:name w:val="Body Text Indent 2"/>
    <w:basedOn w:val="1"/>
    <w:autoRedefine/>
    <w:qFormat/>
    <w:uiPriority w:val="99"/>
    <w:pPr>
      <w:spacing w:after="120" w:line="480" w:lineRule="auto"/>
      <w:ind w:left="420" w:leftChars="200"/>
    </w:pPr>
    <w:rPr>
      <w:sz w:val="24"/>
      <w:szCs w:val="20"/>
    </w:rPr>
  </w:style>
  <w:style w:type="paragraph" w:styleId="14">
    <w:name w:val="footer"/>
    <w:basedOn w:val="1"/>
    <w:autoRedefine/>
    <w:qFormat/>
    <w:uiPriority w:val="99"/>
    <w:pPr>
      <w:tabs>
        <w:tab w:val="center" w:pos="4153"/>
        <w:tab w:val="right" w:pos="8306"/>
      </w:tabs>
      <w:snapToGrid w:val="0"/>
      <w:jc w:val="left"/>
    </w:pPr>
    <w:rPr>
      <w:sz w:val="18"/>
      <w:szCs w:val="20"/>
    </w:rPr>
  </w:style>
  <w:style w:type="paragraph" w:styleId="15">
    <w:name w:val="envelope return"/>
    <w:basedOn w:val="1"/>
    <w:autoRedefine/>
    <w:qFormat/>
    <w:uiPriority w:val="99"/>
    <w:pPr>
      <w:snapToGrid w:val="0"/>
      <w:jc w:val="left"/>
    </w:pPr>
    <w:rPr>
      <w:rFonts w:ascii="Arial" w:hAnsi="Arial" w:cs="黑体"/>
      <w:kern w:val="0"/>
      <w:sz w:val="22"/>
      <w:szCs w:val="22"/>
      <w:lang w:eastAsia="en-US"/>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99"/>
    <w:pPr>
      <w:spacing w:line="360" w:lineRule="auto"/>
    </w:pPr>
    <w:rPr>
      <w:b/>
      <w:sz w:val="28"/>
    </w:rPr>
  </w:style>
  <w:style w:type="paragraph" w:styleId="18">
    <w:name w:val="List 5"/>
    <w:basedOn w:val="1"/>
    <w:autoRedefine/>
    <w:qFormat/>
    <w:uiPriority w:val="99"/>
    <w:pPr>
      <w:ind w:left="2100" w:hanging="420"/>
    </w:pPr>
    <w:rPr>
      <w:rFonts w:eastAsia="楷体_GB2312"/>
      <w:sz w:val="32"/>
      <w:szCs w:val="20"/>
    </w:rPr>
  </w:style>
  <w:style w:type="paragraph" w:styleId="19">
    <w:name w:val="toc 2"/>
    <w:basedOn w:val="1"/>
    <w:next w:val="1"/>
    <w:autoRedefine/>
    <w:qFormat/>
    <w:uiPriority w:val="99"/>
    <w:pPr>
      <w:spacing w:line="360" w:lineRule="auto"/>
    </w:pPr>
    <w:rPr>
      <w:sz w:val="28"/>
    </w:rPr>
  </w:style>
  <w:style w:type="paragraph" w:styleId="20">
    <w:name w:val="Body Text First Indent"/>
    <w:basedOn w:val="7"/>
    <w:next w:val="1"/>
    <w:autoRedefine/>
    <w:qFormat/>
    <w:uiPriority w:val="99"/>
    <w:pPr>
      <w:ind w:firstLine="420"/>
    </w:pPr>
    <w:rPr>
      <w:rFonts w:eastAsia="楷体_GB2312"/>
      <w:sz w:val="32"/>
    </w:rPr>
  </w:style>
  <w:style w:type="paragraph" w:styleId="21">
    <w:name w:val="Body Text First Indent 2"/>
    <w:basedOn w:val="8"/>
    <w:next w:val="7"/>
    <w:autoRedefine/>
    <w:qFormat/>
    <w:uiPriority w:val="99"/>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6">
    <w:name w:val="Heading 1 Char"/>
    <w:basedOn w:val="24"/>
    <w:link w:val="2"/>
    <w:autoRedefine/>
    <w:qFormat/>
    <w:locked/>
    <w:uiPriority w:val="99"/>
    <w:rPr>
      <w:b/>
      <w:kern w:val="44"/>
      <w:sz w:val="32"/>
      <w:szCs w:val="20"/>
    </w:rPr>
  </w:style>
  <w:style w:type="paragraph" w:customStyle="1" w:styleId="27">
    <w:name w:val="Table Paragraph"/>
    <w:basedOn w:val="1"/>
    <w:autoRedefine/>
    <w:qFormat/>
    <w:uiPriority w:val="99"/>
    <w:rPr>
      <w:sz w:val="24"/>
    </w:rPr>
  </w:style>
  <w:style w:type="character" w:customStyle="1" w:styleId="28">
    <w:name w:val="Heading 2 Char"/>
    <w:basedOn w:val="24"/>
    <w:link w:val="3"/>
    <w:autoRedefine/>
    <w:qFormat/>
    <w:locked/>
    <w:uiPriority w:val="99"/>
    <w:rPr>
      <w:rFonts w:ascii="Arial" w:hAnsi="Arial"/>
      <w:b/>
      <w:sz w:val="24"/>
      <w:szCs w:val="20"/>
    </w:rPr>
  </w:style>
  <w:style w:type="character" w:customStyle="1" w:styleId="29">
    <w:name w:val="Char Char11"/>
    <w:autoRedefine/>
    <w:qFormat/>
    <w:uiPriority w:val="99"/>
    <w:rPr>
      <w:kern w:val="2"/>
      <w:sz w:val="18"/>
    </w:rPr>
  </w:style>
  <w:style w:type="paragraph" w:styleId="30">
    <w:name w:val="List Paragraph"/>
    <w:basedOn w:val="1"/>
    <w:autoRedefine/>
    <w:qFormat/>
    <w:uiPriority w:val="99"/>
    <w:pPr>
      <w:ind w:firstLine="420" w:firstLineChars="200"/>
    </w:pPr>
    <w:rPr>
      <w:rFonts w:ascii="Calibri" w:hAnsi="Calibri"/>
      <w:szCs w:val="22"/>
    </w:rPr>
  </w:style>
  <w:style w:type="character" w:customStyle="1" w:styleId="31">
    <w:name w:val="标题 3 Char1"/>
    <w:autoRedefine/>
    <w:qFormat/>
    <w:locked/>
    <w:uiPriority w:val="99"/>
    <w:rPr>
      <w:rFonts w:ascii="Times New Roman" w:hAnsi="Times New Roman" w:eastAsia="宋体"/>
      <w:b/>
      <w:kern w:val="2"/>
      <w:sz w:val="28"/>
    </w:rPr>
  </w:style>
  <w:style w:type="paragraph" w:customStyle="1" w:styleId="32">
    <w:name w:val="Table Text"/>
    <w:basedOn w:val="1"/>
    <w:autoRedefine/>
    <w:semiHidden/>
    <w:qFormat/>
    <w:uiPriority w:val="0"/>
    <w:rPr>
      <w:rFonts w:ascii="宋体" w:hAnsi="宋体" w:eastAsia="宋体" w:cs="宋体"/>
      <w:sz w:val="24"/>
      <w:szCs w:val="24"/>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font31"/>
    <w:basedOn w:val="24"/>
    <w:qFormat/>
    <w:uiPriority w:val="0"/>
    <w:rPr>
      <w:rFonts w:hint="eastAsia" w:ascii="宋体" w:hAnsi="宋体" w:eastAsia="宋体" w:cs="宋体"/>
      <w:b/>
      <w:bCs/>
      <w:color w:val="000000"/>
      <w:sz w:val="21"/>
      <w:szCs w:val="21"/>
      <w:u w:val="none"/>
    </w:rPr>
  </w:style>
  <w:style w:type="character" w:customStyle="1" w:styleId="35">
    <w:name w:val="font21"/>
    <w:basedOn w:val="2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53119</Words>
  <Characters>58555</Characters>
  <Lines>0</Lines>
  <Paragraphs>0</Paragraphs>
  <TotalTime>17</TotalTime>
  <ScaleCrop>false</ScaleCrop>
  <LinksUpToDate>false</LinksUpToDate>
  <CharactersWithSpaces>61975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暖云</dc:creator>
  <cp:lastModifiedBy>暖云</cp:lastModifiedBy>
  <dcterms:modified xsi:type="dcterms:W3CDTF">2024-08-09T04:33:51Z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F0866AB233AB426CA32849E5E0F3CBAE_13</vt:lpwstr>
  </property>
</Properties>
</file>