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平顶山市消防救援支队河南省消防救援总队“自然灾害应急能力提升工程”平顶山支队装备建设项目（二次）</w:t>
      </w:r>
    </w:p>
    <w:p>
      <w:pPr>
        <w:spacing w:line="360" w:lineRule="auto"/>
        <w:jc w:val="center"/>
        <w:rPr>
          <w:rFonts w:hint="eastAsia" w:ascii="宋体" w:hAnsi="宋体" w:eastAsia="宋体" w:cs="宋体"/>
          <w:b/>
          <w:color w:val="auto"/>
          <w:sz w:val="30"/>
          <w:szCs w:val="30"/>
          <w:highlight w:val="none"/>
          <w:lang w:eastAsia="zh-CN"/>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5、包6、包9</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val="en-US" w:eastAsia="zh-CN"/>
        </w:rPr>
        <w:t xml:space="preserve"> 平采招标-2024-35</w:t>
      </w: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pStyle w:val="10"/>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0"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0"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0" w:h="16840"/>
          <w:pgMar w:top="1440" w:right="1800" w:bottom="1440" w:left="1800" w:header="0" w:footer="992" w:gutter="0"/>
          <w:pgBorders>
            <w:top w:val="none" w:sz="0" w:space="0"/>
            <w:left w:val="none" w:sz="0" w:space="0"/>
            <w:bottom w:val="none" w:sz="0" w:space="0"/>
            <w:right w:val="none" w:sz="0" w:space="0"/>
          </w:pgBorders>
          <w:cols w:space="720" w:num="1"/>
          <w:titlePg/>
          <w:docGrid w:type="linesAndChars" w:linePitch="312" w:charSpace="0"/>
        </w:sectPr>
      </w:pPr>
    </w:p>
    <w:p>
      <w:pPr>
        <w:pStyle w:val="17"/>
        <w:tabs>
          <w:tab w:val="right" w:leader="dot" w:pos="8306"/>
        </w:tabs>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录</w:t>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 招标文件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 投标文件的编写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_Toc14536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 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_Toc14536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 开标、资格审查与评标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_Toc21032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 信用记录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 需要补充的其他内容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资格审查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_Toc4110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评标办法（综合评分法）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招标项目需求及技术要求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_Toc4083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_Toc4083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_Toc26798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一、投标函及投标函附录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_Toc13887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二、法定代表人身份证明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_Toc13887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三、授权委托书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四、投标承诺书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_Toc15713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五、技术部分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_Toc15713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_Toc14810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w w:val="95"/>
          <w:sz w:val="24"/>
          <w:szCs w:val="24"/>
          <w:highlight w:val="none"/>
        </w:rPr>
        <w:t>六、</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_Toc14810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_Toc26288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七、实施方案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_Toc26288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_Toc30429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_Toc18939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八、履约能力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九、售后服务及培训方案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十、资格证明文件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9"/>
        <w:tabs>
          <w:tab w:val="right" w:leader="dot" w:pos="8306"/>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十一、其他资料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
        <w:spacing w:line="360" w:lineRule="auto"/>
        <w:rPr>
          <w:rFonts w:ascii="宋体" w:cs="宋体"/>
          <w:color w:val="auto"/>
          <w:szCs w:val="32"/>
          <w:highlight w:val="none"/>
        </w:rPr>
        <w:sectPr>
          <w:headerReference r:id="rId5" w:type="default"/>
          <w:footerReference r:id="rId6" w:type="default"/>
          <w:pgSz w:w="11906" w:h="16838"/>
          <w:pgMar w:top="1440" w:right="1800" w:bottom="1440" w:left="1800" w:header="850" w:footer="964" w:gutter="0"/>
          <w:pgBorders>
            <w:top w:val="none" w:sz="0" w:space="0"/>
            <w:left w:val="none" w:sz="0" w:space="0"/>
            <w:bottom w:val="none" w:sz="0" w:space="0"/>
            <w:right w:val="none" w:sz="0" w:space="0"/>
          </w:pgBorders>
          <w:pgNumType w:fmt="numberInDash" w:start="1"/>
          <w:cols w:space="720" w:num="1"/>
          <w:docGrid w:type="lines" w:linePitch="315" w:charSpace="0"/>
        </w:sectPr>
      </w:pPr>
      <w:r>
        <w:rPr>
          <w:rFonts w:hint="eastAsia" w:ascii="宋体" w:hAnsi="宋体" w:eastAsia="宋体" w:cs="宋体"/>
          <w:color w:val="auto"/>
          <w:sz w:val="24"/>
          <w:szCs w:val="24"/>
          <w:highlight w:val="none"/>
        </w:rPr>
        <w:fldChar w:fldCharType="end"/>
      </w:r>
      <w:bookmarkStart w:id="1" w:name="_Toc40112127"/>
    </w:p>
    <w:p>
      <w:pPr>
        <w:pStyle w:val="2"/>
        <w:outlineLvl w:val="0"/>
        <w:rPr>
          <w:rStyle w:val="26"/>
          <w:rFonts w:ascii="宋体" w:cs="宋体"/>
          <w:b/>
          <w:color w:val="auto"/>
          <w:highlight w:val="none"/>
        </w:rPr>
      </w:pPr>
      <w:bookmarkStart w:id="2" w:name="_Toc16715"/>
      <w:r>
        <w:rPr>
          <w:rStyle w:val="26"/>
          <w:rFonts w:hint="eastAsia" w:ascii="宋体" w:hAnsi="宋体" w:cs="宋体"/>
          <w:b/>
          <w:color w:val="auto"/>
          <w:highlight w:val="none"/>
        </w:rPr>
        <w:t>第一章</w:t>
      </w:r>
      <w:r>
        <w:rPr>
          <w:rStyle w:val="26"/>
          <w:rFonts w:ascii="宋体" w:hAnsi="宋体" w:cs="宋体"/>
          <w:b/>
          <w:color w:val="auto"/>
          <w:highlight w:val="none"/>
        </w:rPr>
        <w:t xml:space="preserve"> </w:t>
      </w:r>
      <w:r>
        <w:rPr>
          <w:rStyle w:val="26"/>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【平公资采2024573号】平顶山市消防救援支队河南省消防救援总队“自然灾害应急能力提升工程”平顶山支队装备建设项目（包5、包6、包9）二次-</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08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06</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09</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20</w:t>
      </w:r>
      <w:r>
        <w:rPr>
          <w:rFonts w:hint="eastAsia" w:ascii="宋体" w:hAnsi="宋体" w:cs="宋体"/>
          <w:b w:val="0"/>
          <w:bCs w:val="0"/>
          <w:color w:val="auto"/>
          <w:sz w:val="24"/>
          <w:highlight w:val="none"/>
        </w:rPr>
        <w:t>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5262820.00</w:t>
      </w:r>
      <w:r>
        <w:rPr>
          <w:rFonts w:hint="eastAsia" w:ascii="宋体" w:hAnsi="宋体" w:cs="宋体"/>
          <w:b w:val="0"/>
          <w:bCs w:val="0"/>
          <w:color w:val="auto"/>
          <w:sz w:val="24"/>
          <w:highlight w:val="none"/>
        </w:rPr>
        <w:t>元</w:t>
      </w:r>
    </w:p>
    <w:tbl>
      <w:tblPr>
        <w:tblStyle w:val="2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934"/>
        <w:gridCol w:w="986"/>
        <w:gridCol w:w="1215"/>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934"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98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215"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1622340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p>
        </w:tc>
        <w:tc>
          <w:tcPr>
            <w:tcW w:w="986" w:type="dxa"/>
            <w:vAlign w:val="center"/>
          </w:tcPr>
          <w:p>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包6</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1084160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1084160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934"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p>
        </w:tc>
        <w:tc>
          <w:tcPr>
            <w:tcW w:w="986" w:type="dxa"/>
            <w:vAlign w:val="center"/>
          </w:tcPr>
          <w:p>
            <w:pPr>
              <w:adjustRightInd w:val="0"/>
              <w:snapToGrid w:val="0"/>
              <w:spacing w:line="240" w:lineRule="auto"/>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包9</w:t>
            </w:r>
          </w:p>
        </w:tc>
        <w:tc>
          <w:tcPr>
            <w:tcW w:w="1215"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p>
        </w:tc>
        <w:tc>
          <w:tcPr>
            <w:tcW w:w="1019" w:type="dxa"/>
            <w:vAlign w:val="center"/>
          </w:tcPr>
          <w:p>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1556320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1556320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adjustRightInd w:val="0"/>
        <w:snapToGrid w:val="0"/>
        <w:spacing w:line="360" w:lineRule="auto"/>
        <w:ind w:firstLine="480" w:firstLineChars="200"/>
        <w:jc w:val="left"/>
        <w:rPr>
          <w:rFonts w:hint="default" w:ascii="宋体" w:hAnsi="宋体" w:cs="宋体"/>
          <w:b w:val="0"/>
          <w:bCs w:val="0"/>
          <w:color w:val="auto"/>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rPr>
      </w:pPr>
      <w:r>
        <w:rPr>
          <w:rFonts w:ascii="宋体" w:hAnsi="宋体" w:cs="宋体"/>
          <w:b w:val="0"/>
          <w:bCs w:val="0"/>
          <w:color w:val="auto"/>
          <w:sz w:val="24"/>
          <w:highlight w:val="none"/>
        </w:rPr>
        <w:t>5.4</w:t>
      </w: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包5、包6、包9</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包5</w:t>
      </w:r>
      <w:r>
        <w:rPr>
          <w:rFonts w:hint="eastAsia" w:ascii="宋体" w:hAnsi="宋体" w:eastAsia="宋体" w:cs="宋体"/>
          <w:b w:val="0"/>
          <w:bCs w:val="0"/>
          <w:color w:val="auto"/>
          <w:sz w:val="24"/>
          <w:szCs w:val="24"/>
          <w:highlight w:val="none"/>
        </w:rPr>
        <w:t>专门面向中小企业采购</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包6、包9</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7</w:t>
      </w:r>
      <w:r>
        <w:rPr>
          <w:rFonts w:hint="eastAsia" w:ascii="宋体" w:hAnsi="宋体" w:cs="宋体"/>
          <w:b w:val="0"/>
          <w:bCs w:val="0"/>
          <w:color w:val="auto"/>
          <w:kern w:val="0"/>
          <w:sz w:val="24"/>
          <w:szCs w:val="21"/>
          <w:highlight w:val="none"/>
        </w:rPr>
        <w:t>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6"/>
          <w:rFonts w:ascii="宋体" w:cs="宋体"/>
          <w:color w:val="auto"/>
          <w:highlight w:val="none"/>
        </w:rPr>
      </w:pPr>
      <w:bookmarkStart w:id="12" w:name="_Toc40112128"/>
      <w:bookmarkStart w:id="13" w:name="_Toc25086"/>
      <w:r>
        <w:rPr>
          <w:rStyle w:val="26"/>
          <w:rFonts w:ascii="宋体" w:cs="宋体"/>
          <w:color w:val="auto"/>
          <w:highlight w:val="none"/>
        </w:rPr>
        <w:br w:type="page"/>
      </w:r>
      <w:bookmarkStart w:id="14" w:name="_Toc25487"/>
      <w:bookmarkStart w:id="15" w:name="_Toc22667"/>
      <w:bookmarkStart w:id="16" w:name="_Toc4342"/>
      <w:r>
        <w:rPr>
          <w:rStyle w:val="26"/>
          <w:rFonts w:hint="eastAsia" w:ascii="宋体" w:hAnsi="宋体" w:cs="宋体"/>
          <w:color w:val="auto"/>
          <w:highlight w:val="none"/>
          <w:lang w:eastAsia="zh-CN"/>
        </w:rPr>
        <w:t>投标人</w:t>
      </w:r>
      <w:r>
        <w:rPr>
          <w:rStyle w:val="26"/>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6"/>
          <w:rFonts w:ascii="宋体" w:hAnsi="Arial" w:cs="宋体"/>
          <w:b/>
          <w:bCs/>
          <w:color w:val="auto"/>
          <w:szCs w:val="32"/>
          <w:highlight w:val="none"/>
        </w:rPr>
      </w:pPr>
      <w:bookmarkStart w:id="17" w:name="_Toc2805"/>
      <w:bookmarkStart w:id="18" w:name="_Toc9954"/>
      <w:bookmarkStart w:id="19" w:name="_Toc40112129"/>
      <w:bookmarkStart w:id="20" w:name="_Toc29940"/>
      <w:bookmarkStart w:id="21" w:name="_Toc14706"/>
      <w:r>
        <w:rPr>
          <w:rStyle w:val="26"/>
          <w:rFonts w:hint="eastAsia" w:ascii="宋体" w:hAnsi="宋体" w:cs="宋体"/>
          <w:b/>
          <w:bCs/>
          <w:color w:val="auto"/>
          <w:szCs w:val="32"/>
          <w:highlight w:val="none"/>
          <w:lang w:eastAsia="zh-CN"/>
        </w:rPr>
        <w:t>投标人</w:t>
      </w:r>
      <w:r>
        <w:rPr>
          <w:rStyle w:val="26"/>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7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0375-2235025</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29"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70" w:type="pct"/>
            <w:vAlign w:val="center"/>
          </w:tcPr>
          <w:p>
            <w:pPr>
              <w:widowControl/>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b w:val="0"/>
                <w:bCs w:val="0"/>
                <w:color w:val="auto"/>
                <w:sz w:val="24"/>
                <w:highlight w:val="none"/>
              </w:rPr>
              <w:t>平采招标-2024-35</w:t>
            </w:r>
          </w:p>
          <w:p>
            <w:pPr>
              <w:widowControl/>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70"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5262820.00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70"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70"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70" w:type="pct"/>
            <w:vAlign w:val="center"/>
          </w:tcPr>
          <w:p>
            <w:pPr>
              <w:adjustRightInd w:val="0"/>
              <w:snapToGrid w:val="0"/>
              <w:spacing w:line="360" w:lineRule="auto"/>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70"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1、投标人需在投标文件中提供投标产品3张以上图片或有关设计图纸。</w:t>
            </w:r>
          </w:p>
          <w:p>
            <w:pPr>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2、中标后，批量生产前，需提供样品，由验收小组根据招标文件要求和投标文件承诺进行初验，样品验收合格后中标人方可批量生产。</w:t>
            </w:r>
            <w:r>
              <w:rPr>
                <w:rFonts w:hint="eastAsia" w:ascii="宋体" w:hAnsi="宋体" w:eastAsia="宋体" w:cs="宋体"/>
                <w:color w:val="auto"/>
                <w:sz w:val="24"/>
                <w:szCs w:val="24"/>
                <w:highlight w:val="none"/>
                <w:lang w:val="en-US" w:eastAsia="zh-CN"/>
              </w:rPr>
              <w:t>中标人提供样品进行验收的次数不得超过2次</w:t>
            </w:r>
            <w:r>
              <w:rPr>
                <w:rFonts w:hint="eastAsia" w:ascii="宋体" w:hAnsi="宋体" w:cs="宋体"/>
                <w:color w:val="auto"/>
                <w:sz w:val="24"/>
                <w:szCs w:val="24"/>
                <w:highlight w:val="none"/>
                <w:lang w:val="en-US" w:eastAsia="zh-CN"/>
              </w:rPr>
              <w:t>；若第1次样品验收不通过，中标人须在第1次样品验收之日起10日内提交第2次样品验收；</w:t>
            </w:r>
            <w:r>
              <w:rPr>
                <w:rFonts w:hint="eastAsia" w:ascii="宋体" w:hAnsi="宋体" w:eastAsia="宋体" w:cs="宋体"/>
                <w:color w:val="auto"/>
                <w:sz w:val="24"/>
                <w:szCs w:val="24"/>
                <w:highlight w:val="none"/>
                <w:lang w:val="en-US" w:eastAsia="zh-CN"/>
              </w:rPr>
              <w:t>若2次样品验收均不通过的，可视为中标人违约，采购人有权终止合同。</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3、样品需要抽样送检的相关费用由中标人承担。</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应到产品使用单位，开展技术巡检和售后服务。</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5、投标人所投产品需附</w:t>
            </w:r>
            <w:r>
              <w:rPr>
                <w:rFonts w:hint="eastAsia" w:ascii="宋体" w:hAnsi="宋体" w:eastAsia="宋体" w:cs="宋体"/>
                <w:color w:val="auto"/>
                <w:sz w:val="24"/>
                <w:szCs w:val="24"/>
                <w:highlight w:val="none"/>
                <w:lang w:val="en-US" w:eastAsia="zh-CN"/>
              </w:rPr>
              <w:t>具有合法资质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检测机构出具的检测报告</w:t>
            </w:r>
            <w:r>
              <w:rPr>
                <w:rFonts w:hint="eastAsia" w:ascii="宋体" w:hAnsi="宋体" w:cs="宋体"/>
                <w:color w:val="auto"/>
                <w:sz w:val="24"/>
                <w:szCs w:val="24"/>
                <w:highlight w:val="none"/>
                <w:lang w:val="en-US" w:eastAsia="zh-CN"/>
              </w:rPr>
              <w:t>或检验报告</w:t>
            </w:r>
            <w:r>
              <w:rPr>
                <w:rFonts w:hint="eastAsia" w:ascii="宋体" w:hAnsi="宋体" w:eastAsia="宋体" w:cs="宋体"/>
                <w:color w:val="auto"/>
                <w:sz w:val="24"/>
                <w:szCs w:val="24"/>
                <w:highlight w:val="none"/>
              </w:rPr>
              <w:t>或产品合格证书，具体要求详见“第六章招标项目需求及技术要求”。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7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cs="宋体"/>
                <w:color w:val="auto"/>
                <w:sz w:val="24"/>
                <w:szCs w:val="24"/>
                <w:highlight w:val="none"/>
                <w:shd w:val="clear" w:color="auto" w:fill="FFFFFF"/>
                <w:lang w:eastAsia="zh-CN"/>
              </w:rPr>
              <w:t>《全国公共资源交易平台（河南省·平顶山市）》</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70"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70"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70" w:type="pct"/>
            <w:vAlign w:val="center"/>
          </w:tcPr>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0"/>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70"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70" w:type="pct"/>
            <w:vAlign w:val="center"/>
          </w:tcPr>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履约保证金的金额：中标金额的5%</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提交形式：转账及法律法规规定的能切实发挥履约保证作用的其他形式。但如中标人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3）有效期为保函开具之日起至全部货物到货验收合格之日起的第366天为止；（4）担保金额为中标金额的 5%（如中标人提供的保函未载明前述内容的，采购人直接拒收该保函，中标人应以银行转账或其他能切实发挥履约担保作用的方式提供履约保证金）。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履约保证金期限：提交之日起至全部货物到货验收合格之日起的第366天止。 </w:t>
            </w:r>
          </w:p>
          <w:p>
            <w:pPr>
              <w:adjustRightInd w:val="0"/>
              <w:snapToGrid w:val="0"/>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pacing w:val="-3"/>
                <w:sz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有上述第 1 至 5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8.2</w:t>
            </w:r>
          </w:p>
        </w:tc>
        <w:tc>
          <w:tcPr>
            <w:tcW w:w="4470" w:type="pct"/>
            <w:vAlign w:val="center"/>
          </w:tcPr>
          <w:p>
            <w:pPr>
              <w:pStyle w:val="27"/>
              <w:numPr>
                <w:ilvl w:val="0"/>
                <w:numId w:val="2"/>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7"/>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7"/>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7"/>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包5</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企业采购，不再对</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rPr>
              <w:t>企业的价格给予扣除。</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包6、包9</w:t>
            </w:r>
            <w:r>
              <w:rPr>
                <w:rFonts w:hint="eastAsia" w:ascii="宋体" w:hAnsi="宋体" w:eastAsia="宋体" w:cs="宋体"/>
                <w:b/>
                <w:bCs/>
                <w:color w:val="auto"/>
                <w:sz w:val="24"/>
                <w:szCs w:val="24"/>
                <w:highlight w:val="none"/>
              </w:rPr>
              <w:t>为专门面向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企业采购，需提供《中小企业声明函》或《残疾人福利性单位声明函》或《监狱企业的证明文件》</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专门面向</w:t>
            </w:r>
            <w:r>
              <w:rPr>
                <w:rFonts w:hint="eastAsia" w:ascii="宋体" w:hAnsi="宋体" w:cs="宋体"/>
                <w:b/>
                <w:bCs/>
                <w:color w:val="auto"/>
                <w:sz w:val="24"/>
                <w:szCs w:val="24"/>
                <w:highlight w:val="none"/>
                <w:lang w:val="en-US" w:eastAsia="zh-CN"/>
              </w:rPr>
              <w:t>小微</w:t>
            </w:r>
            <w:r>
              <w:rPr>
                <w:rFonts w:hint="eastAsia" w:ascii="宋体" w:hAnsi="宋体" w:eastAsia="宋体" w:cs="宋体"/>
                <w:b/>
                <w:bCs/>
                <w:color w:val="auto"/>
                <w:sz w:val="24"/>
                <w:szCs w:val="24"/>
                <w:highlight w:val="none"/>
              </w:rPr>
              <w:t>企业采购，不再对小微企业的价格给予扣除。</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7"/>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7"/>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8.4</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8.6</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8.7</w:t>
            </w:r>
          </w:p>
        </w:tc>
        <w:tc>
          <w:tcPr>
            <w:tcW w:w="4470" w:type="pct"/>
            <w:vAlign w:val="center"/>
          </w:tcPr>
          <w:p>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8.8</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8.9</w:t>
            </w:r>
          </w:p>
        </w:tc>
        <w:tc>
          <w:tcPr>
            <w:tcW w:w="4470"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可同时参与多个标包投标，但只允许中取一个标包（若同一投标人在多个包中综合得分</w:t>
            </w:r>
            <w:r>
              <w:rPr>
                <w:rFonts w:hint="eastAsia" w:ascii="宋体" w:hAnsi="宋体" w:eastAsia="宋体" w:cs="宋体"/>
                <w:color w:val="auto"/>
                <w:sz w:val="24"/>
                <w:szCs w:val="24"/>
                <w:highlight w:val="none"/>
              </w:rPr>
              <w:t>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8.10</w:t>
            </w:r>
          </w:p>
        </w:tc>
        <w:tc>
          <w:tcPr>
            <w:tcW w:w="4470"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开户行：中国农业银行股份有限公司郑州商都支行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8.11</w:t>
            </w:r>
          </w:p>
        </w:tc>
        <w:tc>
          <w:tcPr>
            <w:tcW w:w="4470"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w:t>
            </w:r>
            <w:r>
              <w:rPr>
                <w:rFonts w:hint="eastAsia" w:ascii="宋体" w:hAnsi="宋体" w:cs="宋体"/>
                <w:b/>
                <w:bCs/>
                <w:color w:val="auto"/>
                <w:sz w:val="24"/>
                <w:szCs w:val="24"/>
                <w:highlight w:val="none"/>
                <w:lang w:val="en-US" w:eastAsia="zh-CN"/>
              </w:rPr>
              <w:t>各标包</w:t>
            </w:r>
            <w:r>
              <w:rPr>
                <w:rFonts w:hint="eastAsia" w:ascii="宋体" w:hAnsi="宋体" w:eastAsia="宋体" w:cs="宋体"/>
                <w:b/>
                <w:bCs/>
                <w:color w:val="auto"/>
                <w:sz w:val="24"/>
                <w:szCs w:val="24"/>
                <w:highlight w:val="none"/>
              </w:rPr>
              <w:t>核心产品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详见第六章招标项目需求及技术要求。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8.12</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8.13</w:t>
            </w:r>
          </w:p>
        </w:tc>
        <w:tc>
          <w:tcPr>
            <w:tcW w:w="4470"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8.14</w:t>
            </w:r>
          </w:p>
        </w:tc>
        <w:tc>
          <w:tcPr>
            <w:tcW w:w="4470" w:type="pct"/>
            <w:vAlign w:val="center"/>
          </w:tcPr>
          <w:p>
            <w:pPr>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投标人在制作电子投标文件时，开标一览表为系统默认设置，供交易系统唱标时使用，若其中内容无法填写或不适用可填写“0”或“/”。本项目以投标人电子投标文件中的投标函及投标函附录中的内容为准。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adjustRightInd w:val="0"/>
              <w:snapToGrid w:val="0"/>
              <w:spacing w:line="360" w:lineRule="auto"/>
              <w:ind w:left="38" w:leftChars="18"/>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8.15</w:t>
            </w:r>
          </w:p>
        </w:tc>
        <w:tc>
          <w:tcPr>
            <w:tcW w:w="4470" w:type="pct"/>
            <w:vAlign w:val="center"/>
          </w:tcPr>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1、对于</w:t>
            </w:r>
            <w:r>
              <w:rPr>
                <w:rFonts w:hint="eastAsia" w:ascii="宋体" w:hAnsi="宋体" w:eastAsia="宋体" w:cs="宋体"/>
                <w:b/>
                <w:bCs/>
                <w:color w:val="auto"/>
                <w:sz w:val="24"/>
                <w:szCs w:val="24"/>
                <w:highlight w:val="none"/>
                <w:lang w:val="en-US" w:eastAsia="zh-CN"/>
              </w:rPr>
              <w:t>第六章招标项目需求及技术要求</w:t>
            </w:r>
            <w:r>
              <w:rPr>
                <w:rFonts w:hint="eastAsia" w:ascii="宋体" w:hAnsi="宋体" w:eastAsia="宋体" w:cs="宋体"/>
                <w:b/>
                <w:bCs/>
                <w:color w:val="auto"/>
                <w:sz w:val="24"/>
                <w:szCs w:val="24"/>
                <w:highlight w:val="none"/>
              </w:rPr>
              <w:t>中的★标注</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参数，用户与中标单位在签订合同前，用户有权要求中标单位现场测试。对于虚假标注参数或参数实际不满足的，将报请财政部门取消其中标资格并按政府采购相关法律法规进行处理。</w:t>
            </w:r>
          </w:p>
          <w:p>
            <w:pPr>
              <w:pStyle w:val="21"/>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ind w:left="38" w:leftChars="18"/>
        <w:jc w:val="center"/>
        <w:rPr>
          <w:rFonts w:hint="eastAsia" w:ascii="宋体" w:hAnsi="宋体" w:eastAsia="宋体" w:cs="宋体"/>
          <w:color w:val="auto"/>
          <w:sz w:val="24"/>
          <w:szCs w:val="24"/>
          <w:highlight w:val="none"/>
        </w:rPr>
        <w:sectPr>
          <w:footerReference r:id="rId7" w:type="default"/>
          <w:pgSz w:w="11906" w:h="16838"/>
          <w:pgMar w:top="1440" w:right="1800" w:bottom="1440" w:left="1800" w:header="850" w:footer="964" w:gutter="0"/>
          <w:pgBorders>
            <w:top w:val="none" w:sz="0" w:space="0"/>
            <w:left w:val="none" w:sz="0" w:space="0"/>
            <w:bottom w:val="none" w:sz="0" w:space="0"/>
            <w:right w:val="none" w:sz="0" w:space="0"/>
          </w:pgBorders>
          <w:pgNumType w:fmt="decimal" w:start="1"/>
          <w:cols w:space="720" w:num="1"/>
          <w:docGrid w:type="lines" w:linePitch="315" w:charSpace="0"/>
        </w:sectPr>
      </w:pPr>
    </w:p>
    <w:p>
      <w:pPr>
        <w:numPr>
          <w:ilvl w:val="0"/>
          <w:numId w:val="0"/>
        </w:numPr>
        <w:spacing w:line="360" w:lineRule="auto"/>
        <w:jc w:val="center"/>
        <w:outlineLvl w:val="1"/>
        <w:rPr>
          <w:rFonts w:hint="eastAsia" w:ascii="宋体" w:hAnsi="宋体" w:eastAsia="宋体" w:cs="宋体"/>
          <w:color w:val="auto"/>
          <w:sz w:val="24"/>
          <w:szCs w:val="24"/>
          <w:highlight w:val="none"/>
        </w:rPr>
      </w:pPr>
      <w:bookmarkStart w:id="22" w:name="_Toc20527"/>
      <w:bookmarkStart w:id="23" w:name="_Toc3925"/>
      <w:bookmarkStart w:id="24" w:name="_Toc40112130"/>
      <w:bookmarkStart w:id="25" w:name="_Toc15365"/>
      <w:bookmarkStart w:id="26" w:name="_Toc17929"/>
      <w:r>
        <w:rPr>
          <w:rStyle w:val="28"/>
          <w:rFonts w:hint="eastAsia" w:ascii="宋体" w:hAnsi="宋体" w:eastAsia="宋体" w:cs="宋体"/>
          <w:color w:val="auto"/>
          <w:sz w:val="24"/>
          <w:szCs w:val="24"/>
          <w:highlight w:val="none"/>
        </w:rPr>
        <w:t>总则</w:t>
      </w:r>
      <w:bookmarkEnd w:id="22"/>
      <w:bookmarkEnd w:id="23"/>
      <w:bookmarkEnd w:id="24"/>
      <w:bookmarkEnd w:id="25"/>
      <w:bookmarkEnd w:id="26"/>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27" w:name="_Toc4828"/>
      <w:bookmarkStart w:id="28" w:name="_Toc5358"/>
      <w:bookmarkStart w:id="29" w:name="_Toc15062"/>
      <w:bookmarkStart w:id="30" w:name="_Toc14496"/>
      <w:bookmarkStart w:id="31" w:name="_Toc30513"/>
      <w:bookmarkStart w:id="32" w:name="_Toc2081"/>
      <w:bookmarkStart w:id="33" w:name="_Toc28377"/>
      <w:bookmarkStart w:id="34" w:name="_Toc30432"/>
      <w:bookmarkStart w:id="35" w:name="_Toc28200"/>
      <w:bookmarkStart w:id="36" w:name="_Toc20743"/>
      <w:bookmarkStart w:id="37" w:name="_Toc2427"/>
      <w:r>
        <w:rPr>
          <w:rFonts w:hint="eastAsia" w:ascii="宋体" w:hAnsi="宋体" w:eastAsia="宋体" w:cs="宋体"/>
          <w:b/>
          <w:bCs/>
          <w:color w:val="auto"/>
          <w:sz w:val="24"/>
          <w:szCs w:val="24"/>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本招标文件仅适用于本次所述的货物及其伴随的服务采购。</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本招标文件的解释权归采购人所有。</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38" w:name="_Toc29424"/>
      <w:bookmarkStart w:id="39" w:name="_Toc18955"/>
      <w:bookmarkStart w:id="40" w:name="_Toc19192"/>
      <w:bookmarkStart w:id="41" w:name="_Toc16716"/>
      <w:r>
        <w:rPr>
          <w:rFonts w:hint="eastAsia" w:ascii="宋体" w:hAnsi="宋体" w:eastAsia="宋体" w:cs="宋体"/>
          <w:b/>
          <w:bCs/>
          <w:color w:val="auto"/>
          <w:sz w:val="24"/>
          <w:szCs w:val="24"/>
          <w:highlight w:val="none"/>
        </w:rPr>
        <w:t>招标项目概况</w:t>
      </w:r>
      <w:bookmarkEnd w:id="38"/>
      <w:bookmarkEnd w:id="39"/>
      <w:bookmarkEnd w:id="40"/>
      <w:bookmarkEnd w:id="41"/>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须知前附表中所述的、依法进行政府采购的国家机关、事业单位、团体组织。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采购代理机构：受采购人委托组织招标活动，在招标过程中负有相应责任的社会中介组织。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项目编号及项目名称：见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本次采购内容：见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资金来源及预算金额：见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质量要求：见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资格要求：详见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不接受联合体投标。</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不得存在下列情形之一：</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为采购人不具有独立法人资格的附属机构（单位）；</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不得以向采购人行贿或者采取其他不正当手段谋取非法利益；</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为本项目提供招标代理服务的；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被责令停业的；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被暂停或取消投标资格的；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财产被接管或冻结的；</w:t>
      </w:r>
    </w:p>
    <w:p>
      <w:pPr>
        <w:numPr>
          <w:ilvl w:val="0"/>
          <w:numId w:val="4"/>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在最近三年内有骗取中标或严重违约或重大质量问题的。</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中标人：接到并接受中标通知，最终被授予合同的供应商。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根据招标文件提交的所有文件。</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2" w:name="_Toc25850"/>
      <w:bookmarkStart w:id="43" w:name="_Toc9501"/>
      <w:bookmarkStart w:id="44" w:name="_Toc8166"/>
      <w:bookmarkStart w:id="45" w:name="_Toc4927"/>
      <w:r>
        <w:rPr>
          <w:rFonts w:hint="eastAsia" w:ascii="宋体" w:hAnsi="宋体" w:eastAsia="宋体" w:cs="宋体"/>
          <w:b/>
          <w:bCs/>
          <w:color w:val="auto"/>
          <w:sz w:val="24"/>
          <w:szCs w:val="24"/>
          <w:highlight w:val="none"/>
        </w:rPr>
        <w:t>投标费用</w:t>
      </w:r>
      <w:bookmarkEnd w:id="42"/>
      <w:bookmarkEnd w:id="43"/>
      <w:bookmarkEnd w:id="44"/>
      <w:bookmarkEnd w:id="45"/>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46" w:name="_Toc22953398"/>
      <w:bookmarkEnd w:id="46"/>
      <w:bookmarkStart w:id="47" w:name="_Toc312133544"/>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准备和参加投标活动发生的费用自理。</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48" w:name="_Toc13660"/>
      <w:bookmarkStart w:id="49" w:name="_Toc28829"/>
      <w:bookmarkStart w:id="50" w:name="_Toc18613"/>
      <w:bookmarkStart w:id="51" w:name="_Toc12301"/>
      <w:bookmarkStart w:id="52" w:name="_Toc23865"/>
      <w:bookmarkStart w:id="53" w:name="_Toc13179"/>
      <w:bookmarkStart w:id="54" w:name="_Toc31440"/>
      <w:bookmarkStart w:id="55" w:name="_Toc30990"/>
      <w:bookmarkStart w:id="56" w:name="_Toc1130"/>
      <w:bookmarkStart w:id="57" w:name="_Toc27047"/>
      <w:bookmarkStart w:id="58" w:name="_Toc28577"/>
      <w:r>
        <w:rPr>
          <w:rFonts w:hint="eastAsia" w:ascii="宋体" w:hAnsi="宋体" w:eastAsia="宋体" w:cs="宋体"/>
          <w:b/>
          <w:bCs/>
          <w:color w:val="auto"/>
          <w:sz w:val="24"/>
          <w:szCs w:val="24"/>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前附表规定组织现场考察的，采购人按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前附表规定的时间、地点组织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考察项目现场。部分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未按时参加现场考察的，不影响现场考察的正常进行。</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现场考察发生的费用自理。</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除采购人的原因外，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自行负责在现场考察中所发生的人员伤亡和财产损失。</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采购人在现场考察中介绍的项目场地和相关的周边环境情况，供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在编制投标文件时参考，采购人不对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据此作出的判断和决策负责。</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59" w:name="_Toc7448"/>
      <w:bookmarkStart w:id="60" w:name="_Toc9110"/>
      <w:bookmarkStart w:id="61" w:name="_Toc27635"/>
      <w:bookmarkStart w:id="62" w:name="_Toc9561"/>
      <w:bookmarkStart w:id="63" w:name="_Toc6051"/>
      <w:bookmarkStart w:id="64" w:name="_Toc10737"/>
      <w:bookmarkStart w:id="65" w:name="_Toc8265"/>
      <w:bookmarkStart w:id="66" w:name="_Toc11040"/>
      <w:bookmarkStart w:id="67" w:name="_Toc20467"/>
      <w:bookmarkStart w:id="68" w:name="_Toc28493"/>
      <w:bookmarkStart w:id="69" w:name="_Toc26711"/>
      <w:r>
        <w:rPr>
          <w:rFonts w:hint="eastAsia" w:ascii="宋体" w:hAnsi="宋体" w:eastAsia="宋体" w:cs="宋体"/>
          <w:b/>
          <w:bCs/>
          <w:color w:val="auto"/>
          <w:sz w:val="24"/>
          <w:szCs w:val="24"/>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70" w:name="_Toc28651"/>
      <w:bookmarkStart w:id="71" w:name="_Toc26753"/>
      <w:bookmarkStart w:id="72" w:name="_Toc11954"/>
      <w:bookmarkStart w:id="73" w:name="_Toc6725"/>
      <w:bookmarkStart w:id="74" w:name="_Toc31207"/>
      <w:bookmarkStart w:id="75" w:name="_Toc6977"/>
      <w:bookmarkStart w:id="76" w:name="_Toc26863"/>
      <w:bookmarkStart w:id="77" w:name="_Toc10914"/>
      <w:bookmarkStart w:id="78" w:name="_Toc18743"/>
      <w:bookmarkStart w:id="79" w:name="_Toc9963"/>
      <w:bookmarkStart w:id="80" w:name="_Toc2167"/>
      <w:bookmarkStart w:id="81" w:name="_Toc20874"/>
      <w:bookmarkStart w:id="82" w:name="_Toc21582"/>
      <w:r>
        <w:rPr>
          <w:rFonts w:hint="eastAsia" w:ascii="宋体" w:hAnsi="宋体" w:eastAsia="宋体" w:cs="宋体"/>
          <w:b/>
          <w:bCs/>
          <w:color w:val="auto"/>
          <w:sz w:val="24"/>
          <w:szCs w:val="24"/>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投标文件应当对招标文件的实质性要求和条件作出响应，实质性要求和条件见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投标文件中应针对实质性要求和条件中列明的技术要求提供技术支持资料。技术支持资料以制造商公开发布的产品说明书，或检测机构</w:t>
      </w:r>
      <w:r>
        <w:rPr>
          <w:rFonts w:hint="eastAsia" w:ascii="宋体" w:hAnsi="宋体" w:eastAsia="宋体" w:cs="宋体"/>
          <w:color w:val="auto"/>
          <w:spacing w:val="-2"/>
          <w:kern w:val="0"/>
          <w:sz w:val="24"/>
          <w:szCs w:val="24"/>
          <w:highlight w:val="none"/>
        </w:rPr>
        <w:t>出具的检测报告或检验报告，</w:t>
      </w:r>
      <w:r>
        <w:rPr>
          <w:rFonts w:hint="eastAsia" w:ascii="宋体" w:hAnsi="宋体" w:eastAsia="宋体" w:cs="宋体"/>
          <w:color w:val="auto"/>
          <w:kern w:val="0"/>
          <w:sz w:val="24"/>
          <w:szCs w:val="24"/>
          <w:highlight w:val="none"/>
        </w:rPr>
        <w:t>或其他相关证明材料为准，不符合前述要求的，视为无技术支持资料。</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前附表允许投标文件偏离招标文件某些要求的，偏差应当符合招标文件规定的偏差范围和幅度。</w:t>
      </w:r>
    </w:p>
    <w:p>
      <w:pPr>
        <w:numPr>
          <w:ilvl w:val="2"/>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件对招标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件的全部偏差，均应在</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标文件</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商务和技术偏</w:t>
      </w:r>
      <w:r>
        <w:rPr>
          <w:rFonts w:hint="eastAsia" w:ascii="宋体" w:hAnsi="宋体" w:eastAsia="宋体" w:cs="宋体"/>
          <w:color w:val="auto"/>
          <w:spacing w:val="-2"/>
          <w:kern w:val="0"/>
          <w:sz w:val="24"/>
          <w:szCs w:val="24"/>
          <w:highlight w:val="none"/>
        </w:rPr>
        <w:t>差</w:t>
      </w:r>
      <w:r>
        <w:rPr>
          <w:rFonts w:hint="eastAsia" w:ascii="宋体" w:hAnsi="宋体" w:eastAsia="宋体" w:cs="宋体"/>
          <w:color w:val="auto"/>
          <w:kern w:val="0"/>
          <w:sz w:val="24"/>
          <w:szCs w:val="24"/>
          <w:highlight w:val="none"/>
        </w:rPr>
        <w:t>表中列明，除列明</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容</w:t>
      </w:r>
      <w:r>
        <w:rPr>
          <w:rFonts w:hint="eastAsia" w:ascii="宋体" w:hAnsi="宋体" w:eastAsia="宋体" w:cs="宋体"/>
          <w:color w:val="auto"/>
          <w:kern w:val="0"/>
          <w:sz w:val="24"/>
          <w:szCs w:val="24"/>
          <w:highlight w:val="none"/>
        </w:rPr>
        <w:t>外</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视</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响</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招</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全</w:t>
      </w:r>
      <w:r>
        <w:rPr>
          <w:rFonts w:hint="eastAsia" w:ascii="宋体" w:hAnsi="宋体" w:eastAsia="宋体" w:cs="宋体"/>
          <w:color w:val="auto"/>
          <w:kern w:val="0"/>
          <w:sz w:val="24"/>
          <w:szCs w:val="24"/>
          <w:highlight w:val="none"/>
        </w:rPr>
        <w:t>部</w:t>
      </w:r>
      <w:r>
        <w:rPr>
          <w:rFonts w:hint="eastAsia" w:ascii="宋体" w:hAnsi="宋体" w:eastAsia="宋体" w:cs="宋体"/>
          <w:color w:val="auto"/>
          <w:spacing w:val="-2"/>
          <w:kern w:val="0"/>
          <w:sz w:val="24"/>
          <w:szCs w:val="24"/>
          <w:highlight w:val="none"/>
        </w:rPr>
        <w:t>要</w:t>
      </w:r>
      <w:r>
        <w:rPr>
          <w:rFonts w:hint="eastAsia" w:ascii="宋体" w:hAnsi="宋体" w:eastAsia="宋体" w:cs="宋体"/>
          <w:color w:val="auto"/>
          <w:kern w:val="0"/>
          <w:sz w:val="24"/>
          <w:szCs w:val="24"/>
          <w:highlight w:val="none"/>
        </w:rPr>
        <w:t>求。</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质量把控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83" w:name="_Toc14740"/>
      <w:bookmarkStart w:id="84" w:name="_Toc29855"/>
      <w:bookmarkStart w:id="85" w:name="_Toc29202"/>
      <w:bookmarkStart w:id="86" w:name="_Toc15630"/>
      <w:bookmarkStart w:id="87" w:name="_Toc16595"/>
      <w:bookmarkStart w:id="88" w:name="_Toc11845"/>
      <w:bookmarkStart w:id="89" w:name="_Toc25924"/>
      <w:bookmarkStart w:id="90" w:name="_Toc9588"/>
      <w:bookmarkStart w:id="91" w:name="_Toc9147"/>
      <w:bookmarkStart w:id="92" w:name="_Toc5477"/>
      <w:bookmarkStart w:id="93" w:name="_Toc12963"/>
      <w:r>
        <w:rPr>
          <w:rFonts w:hint="eastAsia" w:ascii="宋体" w:hAnsi="宋体" w:eastAsia="宋体" w:cs="宋体"/>
          <w:b/>
          <w:bCs/>
          <w:color w:val="auto"/>
          <w:sz w:val="24"/>
          <w:szCs w:val="24"/>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投</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言</w:t>
      </w:r>
      <w:r>
        <w:rPr>
          <w:rFonts w:hint="eastAsia" w:ascii="宋体" w:hAnsi="宋体" w:eastAsia="宋体" w:cs="宋体"/>
          <w:color w:val="auto"/>
          <w:kern w:val="0"/>
          <w:sz w:val="24"/>
          <w:szCs w:val="24"/>
          <w:highlight w:val="none"/>
        </w:rPr>
        <w:t>文字</w:t>
      </w:r>
      <w:r>
        <w:rPr>
          <w:rFonts w:hint="eastAsia" w:ascii="宋体" w:hAnsi="宋体" w:eastAsia="宋体" w:cs="宋体"/>
          <w:color w:val="auto"/>
          <w:spacing w:val="-2"/>
          <w:kern w:val="0"/>
          <w:sz w:val="24"/>
          <w:szCs w:val="24"/>
          <w:highlight w:val="none"/>
        </w:rPr>
        <w:t>为</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w:t>
      </w:r>
      <w:r>
        <w:rPr>
          <w:rFonts w:hint="eastAsia" w:ascii="宋体" w:hAnsi="宋体" w:eastAsia="宋体" w:cs="宋体"/>
          <w:color w:val="auto"/>
          <w:spacing w:val="-2"/>
          <w:kern w:val="0"/>
          <w:sz w:val="24"/>
          <w:szCs w:val="24"/>
          <w:highlight w:val="none"/>
        </w:rPr>
        <w:t>专</w:t>
      </w:r>
      <w:r>
        <w:rPr>
          <w:rFonts w:hint="eastAsia" w:ascii="宋体" w:hAnsi="宋体" w:eastAsia="宋体" w:cs="宋体"/>
          <w:color w:val="auto"/>
          <w:kern w:val="0"/>
          <w:sz w:val="24"/>
          <w:szCs w:val="24"/>
          <w:highlight w:val="none"/>
        </w:rPr>
        <w:t>用</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语</w:t>
      </w:r>
      <w:r>
        <w:rPr>
          <w:rFonts w:hint="eastAsia" w:ascii="宋体" w:hAnsi="宋体" w:eastAsia="宋体" w:cs="宋体"/>
          <w:color w:val="auto"/>
          <w:spacing w:val="-2"/>
          <w:kern w:val="0"/>
          <w:sz w:val="24"/>
          <w:szCs w:val="24"/>
          <w:highlight w:val="none"/>
        </w:rPr>
        <w:t>使</w:t>
      </w:r>
      <w:r>
        <w:rPr>
          <w:rFonts w:hint="eastAsia" w:ascii="宋体" w:hAnsi="宋体" w:eastAsia="宋体" w:cs="宋体"/>
          <w:color w:val="auto"/>
          <w:kern w:val="0"/>
          <w:sz w:val="24"/>
          <w:szCs w:val="24"/>
          <w:highlight w:val="none"/>
        </w:rPr>
        <w:t>用外</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的</w:t>
      </w:r>
      <w:r>
        <w:rPr>
          <w:rFonts w:hint="eastAsia" w:ascii="宋体" w:hAnsi="宋体" w:eastAsia="宋体" w:cs="宋体"/>
          <w:color w:val="auto"/>
          <w:spacing w:val="-2"/>
          <w:kern w:val="0"/>
          <w:sz w:val="24"/>
          <w:szCs w:val="24"/>
          <w:highlight w:val="none"/>
        </w:rPr>
        <w:t>，</w:t>
      </w:r>
      <w:r>
        <w:rPr>
          <w:rFonts w:hint="eastAsia" w:ascii="宋体" w:hAnsi="宋体" w:eastAsia="宋体" w:cs="宋体"/>
          <w:color w:val="auto"/>
          <w:kern w:val="0"/>
          <w:sz w:val="24"/>
          <w:szCs w:val="24"/>
          <w:highlight w:val="none"/>
        </w:rPr>
        <w:t>应</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有</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注</w:t>
      </w:r>
      <w:r>
        <w:rPr>
          <w:rFonts w:hint="eastAsia" w:ascii="宋体" w:hAnsi="宋体" w:eastAsia="宋体" w:cs="宋体"/>
          <w:color w:val="auto"/>
          <w:kern w:val="0"/>
          <w:sz w:val="24"/>
          <w:szCs w:val="24"/>
          <w:highlight w:val="none"/>
        </w:rPr>
        <w:t>释</w:t>
      </w:r>
      <w:r>
        <w:rPr>
          <w:rFonts w:hint="eastAsia" w:ascii="宋体" w:hAnsi="宋体" w:eastAsia="宋体" w:cs="宋体"/>
          <w:color w:val="auto"/>
          <w:sz w:val="24"/>
          <w:szCs w:val="24"/>
          <w:highlight w:val="none"/>
        </w:rPr>
        <w:t>。</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94" w:name="_Toc22605"/>
      <w:bookmarkStart w:id="95" w:name="_Toc19599"/>
      <w:bookmarkStart w:id="96" w:name="_Toc14186"/>
      <w:bookmarkStart w:id="97" w:name="_Toc20418"/>
      <w:bookmarkStart w:id="98" w:name="_Toc7785"/>
      <w:bookmarkStart w:id="99" w:name="_Toc5019"/>
      <w:bookmarkStart w:id="100" w:name="_Toc30395"/>
      <w:bookmarkStart w:id="101" w:name="_Toc14812"/>
      <w:bookmarkStart w:id="102" w:name="_Toc21374"/>
      <w:bookmarkStart w:id="103" w:name="_Toc9167"/>
      <w:bookmarkStart w:id="104" w:name="_Toc22466"/>
      <w:r>
        <w:rPr>
          <w:rFonts w:hint="eastAsia" w:ascii="宋体" w:hAnsi="宋体" w:eastAsia="宋体" w:cs="宋体"/>
          <w:b/>
          <w:bCs/>
          <w:color w:val="auto"/>
          <w:sz w:val="24"/>
          <w:szCs w:val="24"/>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除在招标文件的技术文件中另有规定外，计量单位均使用中华人民共和国法定计量标准单位。</w:t>
      </w:r>
    </w:p>
    <w:p>
      <w:pPr>
        <w:numPr>
          <w:ilvl w:val="1"/>
          <w:numId w:val="3"/>
        </w:numPr>
        <w:spacing w:line="360" w:lineRule="auto"/>
        <w:ind w:firstLine="482" w:firstLineChars="200"/>
        <w:rPr>
          <w:rFonts w:hint="eastAsia" w:ascii="宋体" w:hAnsi="宋体" w:eastAsia="宋体" w:cs="宋体"/>
          <w:color w:val="auto"/>
          <w:sz w:val="24"/>
          <w:szCs w:val="24"/>
          <w:highlight w:val="none"/>
        </w:rPr>
      </w:pPr>
      <w:bookmarkStart w:id="105" w:name="_Toc26769"/>
      <w:bookmarkStart w:id="106" w:name="_Toc23957"/>
      <w:bookmarkStart w:id="107" w:name="_Toc19923"/>
      <w:bookmarkStart w:id="108" w:name="_Toc16602"/>
      <w:bookmarkStart w:id="109" w:name="_Toc24747"/>
      <w:bookmarkStart w:id="110" w:name="_Toc15754"/>
      <w:bookmarkStart w:id="111" w:name="_Toc12071"/>
      <w:bookmarkStart w:id="112" w:name="_Toc4326"/>
      <w:bookmarkStart w:id="113" w:name="_Toc23880"/>
      <w:bookmarkStart w:id="114" w:name="_Toc2806"/>
      <w:bookmarkStart w:id="115" w:name="_Toc10045"/>
      <w:r>
        <w:rPr>
          <w:rFonts w:hint="eastAsia" w:ascii="宋体" w:hAnsi="宋体" w:eastAsia="宋体" w:cs="宋体"/>
          <w:b/>
          <w:bCs/>
          <w:color w:val="auto"/>
          <w:sz w:val="24"/>
          <w:szCs w:val="24"/>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除非另有规定，</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提供的所有服务用人民币报价。</w:t>
      </w:r>
    </w:p>
    <w:p>
      <w:pPr>
        <w:numPr>
          <w:ilvl w:val="1"/>
          <w:numId w:val="3"/>
        </w:numPr>
        <w:spacing w:line="360" w:lineRule="auto"/>
        <w:ind w:firstLine="482" w:firstLineChars="200"/>
        <w:rPr>
          <w:rFonts w:hint="eastAsia" w:ascii="宋体" w:hAnsi="宋体" w:eastAsia="宋体" w:cs="宋体"/>
          <w:b/>
          <w:bCs/>
          <w:color w:val="auto"/>
          <w:sz w:val="24"/>
          <w:szCs w:val="24"/>
          <w:highlight w:val="none"/>
        </w:rPr>
      </w:pPr>
      <w:bookmarkStart w:id="116" w:name="_Toc141"/>
      <w:bookmarkStart w:id="117" w:name="_Toc19335"/>
      <w:bookmarkStart w:id="118" w:name="_Toc26021"/>
      <w:bookmarkStart w:id="119" w:name="_Toc11598"/>
      <w:bookmarkStart w:id="120" w:name="_Toc32032"/>
      <w:bookmarkStart w:id="121" w:name="_Toc29095"/>
      <w:bookmarkStart w:id="122" w:name="_Toc14764"/>
      <w:bookmarkStart w:id="123" w:name="_Toc16853"/>
      <w:bookmarkStart w:id="124" w:name="_Toc31058"/>
      <w:bookmarkStart w:id="125" w:name="_Toc24561"/>
      <w:bookmarkStart w:id="126" w:name="_Toc4030"/>
      <w:bookmarkStart w:id="127" w:name="_Toc28184"/>
      <w:bookmarkStart w:id="128" w:name="_Toc12030"/>
      <w:r>
        <w:rPr>
          <w:rFonts w:hint="eastAsia" w:ascii="宋体" w:hAnsi="宋体" w:eastAsia="宋体" w:cs="宋体"/>
          <w:b/>
          <w:bCs/>
          <w:color w:val="auto"/>
          <w:sz w:val="24"/>
          <w:szCs w:val="24"/>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29" w:name="_Toc20563"/>
      <w:bookmarkStart w:id="130" w:name="_Toc26702"/>
      <w:bookmarkStart w:id="131" w:name="_Toc40112131"/>
      <w:bookmarkStart w:id="132" w:name="_Toc12581"/>
      <w:bookmarkStart w:id="133" w:name="_Toc6378"/>
      <w:r>
        <w:rPr>
          <w:rStyle w:val="28"/>
          <w:rFonts w:hint="eastAsia" w:ascii="宋体" w:hAnsi="宋体" w:eastAsia="宋体" w:cs="宋体"/>
          <w:color w:val="auto"/>
          <w:sz w:val="24"/>
          <w:szCs w:val="24"/>
          <w:highlight w:val="none"/>
        </w:rPr>
        <w:t>招标文件</w:t>
      </w:r>
      <w:bookmarkEnd w:id="47"/>
      <w:bookmarkEnd w:id="129"/>
      <w:bookmarkEnd w:id="130"/>
      <w:bookmarkEnd w:id="131"/>
      <w:bookmarkEnd w:id="132"/>
      <w:bookmarkEnd w:id="133"/>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4" w:name="_Toc20524"/>
      <w:bookmarkStart w:id="135" w:name="_Toc14801"/>
      <w:bookmarkStart w:id="136" w:name="_Toc8008"/>
      <w:bookmarkStart w:id="137" w:name="_Toc3764"/>
      <w:r>
        <w:rPr>
          <w:rFonts w:hint="eastAsia" w:ascii="宋体" w:hAnsi="宋体" w:eastAsia="宋体" w:cs="宋体"/>
          <w:b/>
          <w:bCs/>
          <w:color w:val="auto"/>
          <w:sz w:val="24"/>
          <w:szCs w:val="24"/>
          <w:highlight w:val="none"/>
        </w:rPr>
        <w:t>招标文件的构成</w:t>
      </w:r>
      <w:bookmarkEnd w:id="134"/>
      <w:bookmarkEnd w:id="135"/>
      <w:bookmarkEnd w:id="136"/>
      <w:bookmarkEnd w:id="13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招标文件用以阐明本次招标的货物和服务要求、招标投标程序和合同条件。</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招标文件由下述部分组成： </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招标公告</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投标人须知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资格审查</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评标办法（综合评分法）</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合同</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招标项目需求及技术要求</w:t>
      </w:r>
    </w:p>
    <w:p>
      <w:pPr>
        <w:pStyle w:val="18"/>
        <w:tabs>
          <w:tab w:val="left" w:pos="720"/>
          <w:tab w:val="left" w:pos="1080"/>
        </w:tabs>
        <w:adjustRightInd w:val="0"/>
        <w:snapToGrid w:val="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应仔细阅读招标文件中</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、合同条款的所有事项、格式要求和技术规范，按招标文件的要求提供投标文件，并保证所提供的全部资料的真实性，以使其投标对招标文件做出实质性响应，否则，将承担其</w:t>
      </w:r>
      <w:r>
        <w:rPr>
          <w:rFonts w:hint="eastAsia" w:ascii="宋体" w:hAnsi="宋体" w:eastAsia="宋体" w:cs="宋体"/>
          <w:b/>
          <w:bCs/>
          <w:color w:val="auto"/>
          <w:sz w:val="24"/>
          <w:szCs w:val="24"/>
          <w:highlight w:val="none"/>
        </w:rPr>
        <w:t>投标被拒绝或认定为投标无效</w:t>
      </w:r>
      <w:r>
        <w:rPr>
          <w:rFonts w:hint="eastAsia" w:ascii="宋体" w:hAnsi="宋体" w:eastAsia="宋体" w:cs="宋体"/>
          <w:color w:val="auto"/>
          <w:sz w:val="24"/>
          <w:szCs w:val="24"/>
          <w:highlight w:val="none"/>
        </w:rPr>
        <w:t>的风险。</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制作投标文件时应充分完整理解招标文件的整体要求。</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根据本章第1.4款、第2.2款和第2.3款对招标文件所做的澄清和修改，构成招标文件的组成部分。</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38" w:name="_Toc7923"/>
      <w:bookmarkStart w:id="139" w:name="_Toc3408"/>
      <w:bookmarkStart w:id="140" w:name="_Toc23431"/>
      <w:bookmarkStart w:id="141" w:name="_Toc6978"/>
      <w:r>
        <w:rPr>
          <w:rFonts w:hint="eastAsia" w:ascii="宋体" w:hAnsi="宋体" w:eastAsia="宋体" w:cs="宋体"/>
          <w:b/>
          <w:bCs/>
          <w:color w:val="auto"/>
          <w:sz w:val="24"/>
          <w:szCs w:val="24"/>
          <w:highlight w:val="none"/>
        </w:rPr>
        <w:t>招标文件的澄清</w:t>
      </w:r>
      <w:bookmarkEnd w:id="138"/>
      <w:bookmarkEnd w:id="139"/>
      <w:bookmarkEnd w:id="140"/>
      <w:bookmarkEnd w:id="14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前附表规定的时间和形式将提出的问题送达采购人，要求采购人对招标文件予以澄清。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前附表规定的形式发给所有购买招标文件的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，但不指明澄清问题的来源。澄清发出的时间距本章第4.2.1项规定的投标截止时间不足15日的，并且澄清内容可能影响投标文件编制的，将相应延长投标截止时间。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前附表规定的时间和形式通知采购人，确认已收到该澄清。</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除非采购人认为确有必要答复，否则，采购人有权拒绝回复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在本章第 2.2.1 项规定的时间后的任何澄清要求。在规定的时间内未提出疑问的，将被视为对招标文件完全认可。</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42" w:name="_Toc12162"/>
      <w:bookmarkStart w:id="143" w:name="_Toc25801"/>
      <w:bookmarkStart w:id="144" w:name="_Toc32510"/>
      <w:bookmarkStart w:id="145" w:name="_Toc28742"/>
      <w:r>
        <w:rPr>
          <w:rFonts w:hint="eastAsia" w:ascii="宋体" w:hAnsi="宋体" w:eastAsia="宋体" w:cs="宋体"/>
          <w:b/>
          <w:bCs/>
          <w:color w:val="auto"/>
          <w:sz w:val="24"/>
          <w:szCs w:val="24"/>
          <w:highlight w:val="none"/>
        </w:rPr>
        <w:t>招标文件的修改</w:t>
      </w:r>
      <w:bookmarkEnd w:id="142"/>
      <w:bookmarkEnd w:id="143"/>
      <w:bookmarkEnd w:id="144"/>
      <w:bookmarkEnd w:id="14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采购人或采购代理机构可以对已发出的招标文件进行必要的修改，但不得改变采购标的和资格条件，修改的内容为招标文件的组成部分。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采购人或采购代理机构以</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前附表规定的形式修改招标文件，并通知所有已购买招标文件的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。修改招标文件的时间距本章第4.2.1项规定的投标截止时间不足15日的，并且修改内容可能影响投标文件编制的，将相应延长投标截止时间。</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前附表规定的时间和形式通知采购人，确认已收到该修改。</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46" w:name="_Toc23680"/>
      <w:bookmarkStart w:id="147" w:name="_Toc18538"/>
      <w:bookmarkStart w:id="148" w:name="_Toc40112132"/>
      <w:bookmarkStart w:id="149" w:name="_Toc12525"/>
      <w:bookmarkStart w:id="150" w:name="_Toc26472"/>
      <w:bookmarkStart w:id="151" w:name="_Toc312133545"/>
      <w:r>
        <w:rPr>
          <w:rStyle w:val="28"/>
          <w:rFonts w:hint="eastAsia" w:ascii="宋体" w:hAnsi="宋体" w:eastAsia="宋体" w:cs="宋体"/>
          <w:color w:val="auto"/>
          <w:sz w:val="24"/>
          <w:szCs w:val="24"/>
          <w:highlight w:val="none"/>
        </w:rPr>
        <w:t>投标文件的编写</w:t>
      </w:r>
      <w:bookmarkEnd w:id="146"/>
      <w:bookmarkEnd w:id="147"/>
      <w:bookmarkEnd w:id="148"/>
      <w:bookmarkEnd w:id="149"/>
      <w:bookmarkEnd w:id="150"/>
      <w:bookmarkEnd w:id="151"/>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2" w:name="_Toc21879"/>
      <w:bookmarkStart w:id="153" w:name="_Toc9605"/>
      <w:bookmarkStart w:id="154" w:name="_Toc27498"/>
      <w:bookmarkStart w:id="155" w:name="_Toc17436"/>
      <w:r>
        <w:rPr>
          <w:rFonts w:hint="eastAsia" w:ascii="宋体" w:hAnsi="宋体" w:eastAsia="宋体" w:cs="宋体"/>
          <w:b/>
          <w:bCs/>
          <w:color w:val="auto"/>
          <w:sz w:val="24"/>
          <w:szCs w:val="24"/>
          <w:highlight w:val="none"/>
        </w:rPr>
        <w:t>投标文件的组成</w:t>
      </w:r>
      <w:bookmarkEnd w:id="152"/>
      <w:bookmarkEnd w:id="153"/>
      <w:bookmarkEnd w:id="154"/>
      <w:bookmarkEnd w:id="15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投标文件包括下列部分：详见第七章投标文件格式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投标文件应按招标文件中投标文件格式编写。</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招标文件中的每个分包，是项目招标不可拆分的最小投标单元，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必须按此分包编制投标文件，提交相应的文件资料，拆包投标将视为漏项或非实质性响应予以</w:t>
      </w:r>
      <w:r>
        <w:rPr>
          <w:rFonts w:hint="eastAsia" w:ascii="宋体" w:hAnsi="宋体" w:eastAsia="宋体" w:cs="宋体"/>
          <w:b/>
          <w:bCs/>
          <w:color w:val="auto"/>
          <w:sz w:val="24"/>
          <w:szCs w:val="24"/>
          <w:highlight w:val="none"/>
        </w:rPr>
        <w:t>认定为投标无效</w:t>
      </w:r>
      <w:r>
        <w:rPr>
          <w:rFonts w:hint="eastAsia" w:ascii="宋体" w:hAnsi="宋体" w:eastAsia="宋体" w:cs="宋体"/>
          <w:color w:val="auto"/>
          <w:sz w:val="24"/>
          <w:szCs w:val="24"/>
          <w:highlight w:val="none"/>
        </w:rPr>
        <w:t>。</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56" w:name="_Toc1833"/>
      <w:bookmarkStart w:id="157" w:name="_Toc4941"/>
      <w:bookmarkStart w:id="158" w:name="_Toc32754"/>
      <w:bookmarkStart w:id="159" w:name="_Toc2826"/>
      <w:r>
        <w:rPr>
          <w:rFonts w:hint="eastAsia" w:ascii="宋体" w:hAnsi="宋体" w:eastAsia="宋体" w:cs="宋体"/>
          <w:b/>
          <w:bCs/>
          <w:color w:val="auto"/>
          <w:sz w:val="24"/>
          <w:szCs w:val="24"/>
          <w:highlight w:val="none"/>
        </w:rPr>
        <w:t>投标报价</w:t>
      </w:r>
      <w:bookmarkEnd w:id="156"/>
      <w:bookmarkEnd w:id="157"/>
      <w:bookmarkEnd w:id="158"/>
      <w:bookmarkEnd w:id="15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应按照招标文件提供的报价明细表格式填写提供各项货物及服务的单价、分项总价和总投标价。</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根据上述规定所作分项报价的目的只是为了评标时对投标文件进行比较的方便，但并不限制采购人订立合同的权力。</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投标报价应完全包括招标文件规定的全部货物及其伴随的服务范围，不得任意分割或合并所规定的货物及其伴随的服务分项。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对每种货物只允许有一个报价，采购人和采购代理机构不接受有任何选择报价的投标。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不得以任何理由在</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0" w:name="_Toc28543"/>
      <w:bookmarkStart w:id="161" w:name="_Toc25999"/>
      <w:bookmarkStart w:id="162" w:name="_Toc31023"/>
      <w:bookmarkStart w:id="163" w:name="_Toc26916"/>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资格的证明文件</w:t>
      </w:r>
      <w:bookmarkEnd w:id="160"/>
      <w:bookmarkEnd w:id="161"/>
      <w:bookmarkEnd w:id="162"/>
      <w:bookmarkEnd w:id="16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4" w:name="_Toc28461"/>
      <w:bookmarkStart w:id="165" w:name="_Toc30002"/>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前附表中的要求提交相应的资格证明文件，作为投标文件资格审查的一部分，以证明其有资格进行投标和有能力履行合同。</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66" w:name="_Toc13866"/>
      <w:bookmarkStart w:id="167" w:name="_Toc7564"/>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技术证明文件</w:t>
      </w:r>
      <w:bookmarkEnd w:id="164"/>
      <w:bookmarkEnd w:id="165"/>
      <w:bookmarkEnd w:id="166"/>
      <w:bookmarkEnd w:id="16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68" w:name="_Toc14418"/>
      <w:bookmarkStart w:id="169" w:name="_Toc26473"/>
      <w:bookmarkStart w:id="170" w:name="_Toc26009"/>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应提交证明其拟供货物及伴随服务符合招标文件规定的技术响应文件，作为投标文件的一部分。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在投标文件中应说明各项货物名称、数量、单价、规格型号等。</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证明文件可以是文字资料、图纸和数据。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1" w:name="_Toc20716"/>
      <w:r>
        <w:rPr>
          <w:rFonts w:hint="eastAsia" w:ascii="宋体" w:hAnsi="宋体" w:eastAsia="宋体" w:cs="宋体"/>
          <w:b/>
          <w:bCs/>
          <w:color w:val="auto"/>
          <w:sz w:val="24"/>
          <w:szCs w:val="24"/>
          <w:highlight w:val="none"/>
        </w:rPr>
        <w:t>投标保证金</w:t>
      </w:r>
      <w:bookmarkEnd w:id="168"/>
      <w:bookmarkEnd w:id="169"/>
      <w:bookmarkEnd w:id="170"/>
      <w:bookmarkEnd w:id="17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根据豫财购【2019】4号文要求，不再收取投标保证金。</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2" w:name="_Toc11525"/>
      <w:bookmarkStart w:id="173" w:name="_Toc29010"/>
      <w:bookmarkStart w:id="174" w:name="_Toc11749"/>
      <w:bookmarkStart w:id="175" w:name="_Toc878"/>
      <w:r>
        <w:rPr>
          <w:rFonts w:hint="eastAsia" w:ascii="宋体" w:hAnsi="宋体" w:eastAsia="宋体" w:cs="宋体"/>
          <w:b/>
          <w:bCs/>
          <w:color w:val="auto"/>
          <w:sz w:val="24"/>
          <w:szCs w:val="24"/>
          <w:highlight w:val="none"/>
        </w:rPr>
        <w:t>投标有效期</w:t>
      </w:r>
      <w:bookmarkEnd w:id="172"/>
      <w:bookmarkEnd w:id="173"/>
      <w:bookmarkEnd w:id="174"/>
      <w:bookmarkEnd w:id="17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前附表，从递交投标文件的截止之日起算。投标有效期内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不得要求撤销投标文件。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投标文件应自递交投标文件的截止之日起，在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前附表规定的时间内保持有效。投标有效期不足的将被视为非响应投标而予以拒绝。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在特殊情况下，在原投标有效期截止之前，采购人和采购代理机构可征求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同意延长投标有效期。这种要求与答复均应以书面形式提交。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可以拒绝这种要求。同意延期的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将不会被要求也不允许修改其投标。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76" w:name="_Toc10777"/>
      <w:bookmarkStart w:id="177" w:name="_Toc25251"/>
      <w:bookmarkStart w:id="178" w:name="_Toc9753"/>
      <w:bookmarkStart w:id="179" w:name="_Toc5773"/>
      <w:r>
        <w:rPr>
          <w:rFonts w:hint="eastAsia" w:ascii="宋体" w:hAnsi="宋体" w:eastAsia="宋体" w:cs="宋体"/>
          <w:b/>
          <w:bCs/>
          <w:color w:val="auto"/>
          <w:sz w:val="24"/>
          <w:szCs w:val="24"/>
          <w:highlight w:val="none"/>
        </w:rPr>
        <w:t>投标文件编制</w:t>
      </w:r>
      <w:bookmarkEnd w:id="176"/>
      <w:bookmarkEnd w:id="177"/>
      <w:bookmarkEnd w:id="178"/>
      <w:bookmarkEnd w:id="179"/>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180" w:name="_Toc312133546"/>
      <w:r>
        <w:rPr>
          <w:rFonts w:hint="eastAsia" w:ascii="宋体" w:hAnsi="宋体" w:eastAsia="宋体" w:cs="宋体"/>
          <w:color w:val="auto"/>
          <w:sz w:val="24"/>
          <w:szCs w:val="24"/>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投标文件应当对招标文件有关投标有效期、招标范围等实质性内容作出响应。</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任何行间插字、涂改和增删，必须由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法定代表人或其委托代理人在旁边签字或加盖公章后有效。</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电报、电传和传真投标文件一律不接受。</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181" w:name="_Toc40112133"/>
      <w:bookmarkStart w:id="182" w:name="_Toc14536"/>
      <w:bookmarkStart w:id="183" w:name="_Toc18954"/>
      <w:bookmarkStart w:id="184" w:name="_Toc5919"/>
      <w:bookmarkStart w:id="185" w:name="_Toc25147"/>
      <w:r>
        <w:rPr>
          <w:rStyle w:val="28"/>
          <w:rFonts w:hint="eastAsia" w:ascii="宋体" w:hAnsi="宋体" w:eastAsia="宋体" w:cs="宋体"/>
          <w:color w:val="auto"/>
          <w:sz w:val="24"/>
          <w:szCs w:val="24"/>
          <w:highlight w:val="none"/>
        </w:rPr>
        <w:t>投标</w:t>
      </w:r>
      <w:bookmarkEnd w:id="180"/>
      <w:bookmarkEnd w:id="181"/>
      <w:bookmarkEnd w:id="182"/>
      <w:bookmarkEnd w:id="183"/>
      <w:bookmarkEnd w:id="184"/>
      <w:bookmarkEnd w:id="185"/>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86" w:name="_Toc9486"/>
      <w:bookmarkStart w:id="187" w:name="_Toc15515"/>
      <w:bookmarkStart w:id="188" w:name="_Toc25740"/>
      <w:bookmarkStart w:id="189" w:name="_Toc17190"/>
      <w:bookmarkStart w:id="190" w:name="_Toc2541"/>
      <w:bookmarkStart w:id="191" w:name="_Toc7201"/>
      <w:bookmarkStart w:id="192" w:name="_Toc24770"/>
      <w:bookmarkStart w:id="193" w:name="_Toc22690"/>
      <w:bookmarkStart w:id="194" w:name="_Toc7004"/>
      <w:bookmarkStart w:id="195" w:name="_Toc23777"/>
      <w:bookmarkStart w:id="196" w:name="_Toc24089"/>
      <w:bookmarkStart w:id="197" w:name="_Toc312133547"/>
      <w:r>
        <w:rPr>
          <w:rFonts w:hint="eastAsia" w:ascii="宋体" w:hAnsi="宋体" w:eastAsia="宋体" w:cs="宋体"/>
          <w:b/>
          <w:bCs/>
          <w:color w:val="auto"/>
          <w:sz w:val="24"/>
          <w:szCs w:val="24"/>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按照招标文件中格式的要求签字或盖章。</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198" w:name="_Toc8642"/>
      <w:bookmarkStart w:id="199" w:name="_Toc27859"/>
      <w:bookmarkStart w:id="200" w:name="_Toc2882"/>
      <w:bookmarkStart w:id="201" w:name="_Toc28937"/>
      <w:bookmarkStart w:id="202" w:name="_Toc14647"/>
      <w:bookmarkStart w:id="203" w:name="_Toc20161"/>
      <w:bookmarkStart w:id="204" w:name="_Toc27621"/>
      <w:bookmarkStart w:id="205" w:name="_Toc25206"/>
      <w:bookmarkStart w:id="206" w:name="_Toc17234"/>
      <w:bookmarkStart w:id="207" w:name="_Toc17164"/>
      <w:bookmarkStart w:id="208" w:name="_Toc10849"/>
      <w:r>
        <w:rPr>
          <w:rFonts w:hint="eastAsia" w:ascii="宋体" w:hAnsi="宋体" w:eastAsia="宋体" w:cs="宋体"/>
          <w:b/>
          <w:bCs/>
          <w:color w:val="auto"/>
          <w:sz w:val="24"/>
          <w:szCs w:val="24"/>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pacing w:val="-2"/>
          <w:kern w:val="0"/>
          <w:sz w:val="24"/>
          <w:szCs w:val="24"/>
          <w:highlight w:val="none"/>
        </w:rPr>
        <w:t>应</w:t>
      </w:r>
      <w:r>
        <w:rPr>
          <w:rFonts w:hint="eastAsia" w:ascii="宋体" w:hAnsi="宋体" w:eastAsia="宋体" w:cs="宋体"/>
          <w:color w:val="auto"/>
          <w:kern w:val="0"/>
          <w:sz w:val="24"/>
          <w:szCs w:val="24"/>
          <w:highlight w:val="none"/>
        </w:rPr>
        <w:t>在</w:t>
      </w:r>
      <w:r>
        <w:rPr>
          <w:rFonts w:hint="eastAsia" w:ascii="宋体" w:hAnsi="宋体" w:eastAsia="宋体" w:cs="宋体"/>
          <w:color w:val="auto"/>
          <w:spacing w:val="-2"/>
          <w:kern w:val="0"/>
          <w:sz w:val="24"/>
          <w:szCs w:val="24"/>
          <w:highlight w:val="none"/>
          <w:lang w:eastAsia="zh-CN"/>
        </w:rPr>
        <w:t>投标人须知</w:t>
      </w:r>
      <w:r>
        <w:rPr>
          <w:rFonts w:hint="eastAsia" w:ascii="宋体" w:hAnsi="宋体" w:eastAsia="宋体" w:cs="宋体"/>
          <w:color w:val="auto"/>
          <w:kern w:val="0"/>
          <w:sz w:val="24"/>
          <w:szCs w:val="24"/>
          <w:highlight w:val="none"/>
        </w:rPr>
        <w:t>前</w:t>
      </w:r>
      <w:r>
        <w:rPr>
          <w:rFonts w:hint="eastAsia" w:ascii="宋体" w:hAnsi="宋体" w:eastAsia="宋体" w:cs="宋体"/>
          <w:color w:val="auto"/>
          <w:spacing w:val="-2"/>
          <w:kern w:val="0"/>
          <w:sz w:val="24"/>
          <w:szCs w:val="24"/>
          <w:highlight w:val="none"/>
        </w:rPr>
        <w:t>附</w:t>
      </w:r>
      <w:r>
        <w:rPr>
          <w:rFonts w:hint="eastAsia" w:ascii="宋体" w:hAnsi="宋体" w:eastAsia="宋体" w:cs="宋体"/>
          <w:color w:val="auto"/>
          <w:kern w:val="0"/>
          <w:sz w:val="24"/>
          <w:szCs w:val="24"/>
          <w:highlight w:val="none"/>
        </w:rPr>
        <w:t>表</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w:t>
      </w:r>
      <w:r>
        <w:rPr>
          <w:rFonts w:hint="eastAsia" w:ascii="宋体" w:hAnsi="宋体" w:eastAsia="宋体" w:cs="宋体"/>
          <w:color w:val="auto"/>
          <w:spacing w:val="-2"/>
          <w:kern w:val="0"/>
          <w:sz w:val="24"/>
          <w:szCs w:val="24"/>
          <w:highlight w:val="none"/>
        </w:rPr>
        <w:t>的</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截</w:t>
      </w:r>
      <w:r>
        <w:rPr>
          <w:rFonts w:hint="eastAsia" w:ascii="宋体" w:hAnsi="宋体" w:eastAsia="宋体" w:cs="宋体"/>
          <w:color w:val="auto"/>
          <w:spacing w:val="-2"/>
          <w:kern w:val="0"/>
          <w:sz w:val="24"/>
          <w:szCs w:val="24"/>
          <w:highlight w:val="none"/>
        </w:rPr>
        <w:t>止</w:t>
      </w:r>
      <w:r>
        <w:rPr>
          <w:rFonts w:hint="eastAsia" w:ascii="宋体" w:hAnsi="宋体" w:eastAsia="宋体" w:cs="宋体"/>
          <w:color w:val="auto"/>
          <w:kern w:val="0"/>
          <w:sz w:val="24"/>
          <w:szCs w:val="24"/>
          <w:highlight w:val="none"/>
        </w:rPr>
        <w:t>时间</w:t>
      </w:r>
      <w:r>
        <w:rPr>
          <w:rFonts w:hint="eastAsia" w:ascii="宋体" w:hAnsi="宋体" w:eastAsia="宋体" w:cs="宋体"/>
          <w:color w:val="auto"/>
          <w:spacing w:val="-2"/>
          <w:kern w:val="0"/>
          <w:sz w:val="24"/>
          <w:szCs w:val="24"/>
          <w:highlight w:val="none"/>
        </w:rPr>
        <w:t>前</w:t>
      </w:r>
      <w:r>
        <w:rPr>
          <w:rFonts w:hint="eastAsia" w:ascii="宋体" w:hAnsi="宋体" w:eastAsia="宋体" w:cs="宋体"/>
          <w:color w:val="auto"/>
          <w:kern w:val="0"/>
          <w:sz w:val="24"/>
          <w:szCs w:val="24"/>
          <w:highlight w:val="none"/>
        </w:rPr>
        <w:t>递</w:t>
      </w:r>
      <w:r>
        <w:rPr>
          <w:rFonts w:hint="eastAsia" w:ascii="宋体" w:hAnsi="宋体" w:eastAsia="宋体" w:cs="宋体"/>
          <w:color w:val="auto"/>
          <w:spacing w:val="-2"/>
          <w:kern w:val="0"/>
          <w:sz w:val="24"/>
          <w:szCs w:val="24"/>
          <w:highlight w:val="none"/>
        </w:rPr>
        <w:t>交</w:t>
      </w:r>
      <w:r>
        <w:rPr>
          <w:rFonts w:hint="eastAsia" w:ascii="宋体" w:hAnsi="宋体" w:eastAsia="宋体" w:cs="宋体"/>
          <w:color w:val="auto"/>
          <w:kern w:val="0"/>
          <w:sz w:val="24"/>
          <w:szCs w:val="24"/>
          <w:highlight w:val="none"/>
        </w:rPr>
        <w:t>投</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文</w:t>
      </w:r>
      <w:r>
        <w:rPr>
          <w:rFonts w:hint="eastAsia" w:ascii="宋体" w:hAnsi="宋体" w:eastAsia="宋体" w:cs="宋体"/>
          <w:color w:val="auto"/>
          <w:spacing w:val="-2"/>
          <w:kern w:val="0"/>
          <w:sz w:val="24"/>
          <w:szCs w:val="24"/>
          <w:highlight w:val="none"/>
        </w:rPr>
        <w:t>件</w:t>
      </w:r>
      <w:r>
        <w:rPr>
          <w:rFonts w:hint="eastAsia" w:ascii="宋体" w:hAnsi="宋体" w:eastAsia="宋体" w:cs="宋体"/>
          <w:color w:val="auto"/>
          <w:kern w:val="0"/>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电子投标文件的递交：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应在投标截止时间前上传加密的电子投标文件到电子交易平台系统的指定位置。上传时必须得到电脑“上传成功”的确认。请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在上传时认真检查上传投标文件是否完整、正确。 </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因交易中心投标系统问题无法上传电子投标文件时，请在工作时间与</w:t>
      </w:r>
      <w:r>
        <w:rPr>
          <w:rFonts w:hint="eastAsia" w:ascii="宋体" w:hAnsi="宋体" w:eastAsia="宋体" w:cs="宋体"/>
          <w:color w:val="auto"/>
          <w:sz w:val="24"/>
          <w:szCs w:val="24"/>
          <w:highlight w:val="none"/>
          <w:lang w:eastAsia="zh-CN"/>
        </w:rPr>
        <w:t>《全国公共资源交易平台（河南省·平顶山市）》</w:t>
      </w:r>
      <w:r>
        <w:rPr>
          <w:rFonts w:hint="eastAsia" w:ascii="宋体" w:hAnsi="宋体" w:eastAsia="宋体" w:cs="宋体"/>
          <w:color w:val="auto"/>
          <w:sz w:val="24"/>
          <w:szCs w:val="24"/>
          <w:highlight w:val="none"/>
        </w:rPr>
        <w:t xml:space="preserve">联系。 </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09" w:name="_Toc27900"/>
      <w:bookmarkStart w:id="210" w:name="_Toc7423"/>
      <w:bookmarkStart w:id="211" w:name="_Toc13886"/>
      <w:bookmarkStart w:id="212" w:name="_Toc3471"/>
      <w:bookmarkStart w:id="213" w:name="_Toc31018"/>
      <w:bookmarkStart w:id="214" w:name="_Toc8025"/>
      <w:bookmarkStart w:id="215" w:name="_Toc19554"/>
      <w:bookmarkStart w:id="216" w:name="_Toc32365"/>
      <w:bookmarkStart w:id="217" w:name="_Toc22212"/>
      <w:bookmarkStart w:id="218" w:name="_Toc23125"/>
      <w:bookmarkStart w:id="219" w:name="_Toc27084"/>
      <w:r>
        <w:rPr>
          <w:rFonts w:hint="eastAsia" w:ascii="宋体" w:hAnsi="宋体" w:eastAsia="宋体" w:cs="宋体"/>
          <w:b/>
          <w:bCs/>
          <w:color w:val="auto"/>
          <w:sz w:val="24"/>
          <w:szCs w:val="24"/>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5"/>
        </w:num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在本章第4.2.1项规定的投标截止时间前，</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可以修改或撤回已上传的投标文件。</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在投标截止时间之后，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不得对其投标文件做任何修改。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从投标截止时间至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在投标文件中载明的投标有效期满期间，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不得撤回其投标文件。</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20" w:name="_Toc17439"/>
      <w:bookmarkStart w:id="221" w:name="_Toc40112134"/>
      <w:bookmarkStart w:id="222" w:name="_Toc20910"/>
      <w:bookmarkStart w:id="223" w:name="_Toc32258"/>
      <w:bookmarkStart w:id="224" w:name="_Toc27025"/>
      <w:r>
        <w:rPr>
          <w:rStyle w:val="28"/>
          <w:rFonts w:hint="eastAsia" w:ascii="宋体" w:hAnsi="宋体" w:eastAsia="宋体" w:cs="宋体"/>
          <w:color w:val="auto"/>
          <w:sz w:val="24"/>
          <w:szCs w:val="24"/>
          <w:highlight w:val="none"/>
        </w:rPr>
        <w:t>开标、资格审查与评标</w:t>
      </w:r>
      <w:bookmarkEnd w:id="197"/>
      <w:bookmarkEnd w:id="220"/>
      <w:bookmarkEnd w:id="221"/>
      <w:bookmarkEnd w:id="222"/>
      <w:bookmarkEnd w:id="223"/>
      <w:bookmarkEnd w:id="224"/>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25" w:name="_Toc28821"/>
      <w:bookmarkStart w:id="226" w:name="_Toc30917"/>
      <w:bookmarkStart w:id="227" w:name="_Toc24837"/>
      <w:bookmarkStart w:id="228" w:name="_Toc22058"/>
      <w:bookmarkStart w:id="229" w:name="_Toc21689"/>
      <w:bookmarkStart w:id="230" w:name="_Toc3484"/>
      <w:bookmarkStart w:id="231" w:name="_Toc10066"/>
      <w:bookmarkStart w:id="232" w:name="_Toc18834"/>
      <w:bookmarkStart w:id="233" w:name="_Toc3802"/>
      <w:bookmarkStart w:id="234" w:name="_Toc10372"/>
      <w:bookmarkStart w:id="235" w:name="_Toc1051"/>
      <w:bookmarkStart w:id="236" w:name="_Toc312133548"/>
      <w:r>
        <w:rPr>
          <w:rFonts w:hint="eastAsia" w:ascii="宋体" w:hAnsi="宋体" w:eastAsia="宋体" w:cs="宋体"/>
          <w:b/>
          <w:bCs/>
          <w:color w:val="auto"/>
          <w:sz w:val="24"/>
          <w:szCs w:val="24"/>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采购代理机构在</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前附表中规定的时间和地点组织公开开标。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不足3家的，不得开标。开标由采购代理机构主持，邀请所有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的法定代表人或委托代理人参加远程不见面开标会议。</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37" w:name="_Toc14761"/>
      <w:r>
        <w:rPr>
          <w:rFonts w:hint="eastAsia" w:ascii="宋体" w:hAnsi="宋体" w:eastAsia="宋体" w:cs="宋体"/>
          <w:color w:val="auto"/>
          <w:sz w:val="24"/>
          <w:szCs w:val="24"/>
          <w:highlight w:val="none"/>
        </w:rPr>
        <w:t>公布投标人</w:t>
      </w:r>
      <w:bookmarkEnd w:id="237"/>
      <w:r>
        <w:rPr>
          <w:rFonts w:hint="eastAsia" w:ascii="宋体" w:hAnsi="宋体" w:eastAsia="宋体" w:cs="宋体"/>
          <w:color w:val="auto"/>
          <w:sz w:val="24"/>
          <w:szCs w:val="24"/>
          <w:highlight w:val="none"/>
        </w:rPr>
        <w:t>（供应商）；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238" w:name="_Toc2651"/>
      <w:r>
        <w:rPr>
          <w:rFonts w:hint="eastAsia" w:ascii="宋体" w:hAnsi="宋体" w:eastAsia="宋体" w:cs="宋体"/>
          <w:color w:val="auto"/>
          <w:sz w:val="24"/>
          <w:szCs w:val="24"/>
          <w:highlight w:val="none"/>
        </w:rPr>
        <w:t>投标人（供应商）解密</w:t>
      </w:r>
      <w:bookmarkEnd w:id="238"/>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（3）批量导入完成后，公布开标结果；</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9" w:name="_Toc17366"/>
      <w:r>
        <w:rPr>
          <w:rFonts w:hint="eastAsia" w:ascii="宋体" w:hAnsi="宋体" w:eastAsia="宋体" w:cs="宋体"/>
          <w:color w:val="auto"/>
          <w:sz w:val="24"/>
          <w:szCs w:val="24"/>
          <w:highlight w:val="none"/>
        </w:rPr>
        <w:t>异议答复</w:t>
      </w:r>
      <w:bookmarkEnd w:id="239"/>
      <w:r>
        <w:rPr>
          <w:rFonts w:hint="eastAsia" w:ascii="宋体" w:hAnsi="宋体" w:eastAsia="宋体" w:cs="宋体"/>
          <w:color w:val="auto"/>
          <w:sz w:val="24"/>
          <w:szCs w:val="24"/>
          <w:highlight w:val="none"/>
        </w:rPr>
        <w:t>；</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代表提出的询问或者回避申请应当及时处理，并制作记录。</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40" w:name="_Toc24277"/>
      <w:bookmarkStart w:id="241" w:name="_Toc29588"/>
      <w:bookmarkStart w:id="242" w:name="_Toc22209"/>
      <w:bookmarkStart w:id="243" w:name="_Toc18862"/>
      <w:bookmarkStart w:id="244" w:name="_Toc29315"/>
      <w:bookmarkStart w:id="245" w:name="_Toc13168"/>
      <w:bookmarkStart w:id="246" w:name="_Toc22131"/>
      <w:bookmarkStart w:id="247" w:name="_Toc11192"/>
      <w:bookmarkStart w:id="248" w:name="_Toc3031"/>
      <w:bookmarkStart w:id="249" w:name="_Toc29637"/>
      <w:bookmarkStart w:id="250" w:name="_Toc29955"/>
      <w:r>
        <w:rPr>
          <w:rFonts w:hint="eastAsia" w:ascii="宋体" w:hAnsi="宋体" w:eastAsia="宋体" w:cs="宋体"/>
          <w:b/>
          <w:bCs/>
          <w:color w:val="auto"/>
          <w:sz w:val="24"/>
          <w:szCs w:val="24"/>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开标结束后，采购代理机构应当依法对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的资格进行审查。合格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51" w:name="_Toc22105"/>
      <w:bookmarkStart w:id="252" w:name="_Toc32305"/>
      <w:bookmarkStart w:id="253" w:name="_Toc19513"/>
      <w:bookmarkStart w:id="254" w:name="_Toc24379"/>
      <w:bookmarkStart w:id="255" w:name="_Toc31129"/>
      <w:bookmarkStart w:id="256" w:name="_Toc2042"/>
      <w:bookmarkStart w:id="257" w:name="_Toc31474"/>
      <w:bookmarkStart w:id="258" w:name="_Toc12598"/>
      <w:bookmarkStart w:id="259" w:name="_Toc8092"/>
      <w:bookmarkStart w:id="260" w:name="_Toc26746"/>
      <w:bookmarkStart w:id="261" w:name="_Toc16180"/>
      <w:r>
        <w:rPr>
          <w:rFonts w:hint="eastAsia" w:ascii="宋体" w:hAnsi="宋体" w:eastAsia="宋体" w:cs="宋体"/>
          <w:b/>
          <w:bCs/>
          <w:color w:val="auto"/>
          <w:sz w:val="24"/>
          <w:szCs w:val="24"/>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（1）评标工作由采购人依法组建的评标委员会负责，对符合资格的投标人的投标文件进行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，并按评标办法规定的方式推荐出</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前附表中载明数量的中标候选人。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（2）评标委员会由采购人代表和评标专家组成，见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评标专家对本单位的采购项目只能作为采购人代表参与评标，</w:t>
      </w:r>
      <w:r>
        <w:rPr>
          <w:rFonts w:hint="eastAsia" w:ascii="宋体" w:hAnsi="宋体" w:eastAsia="宋体" w:cs="宋体"/>
          <w:color w:val="auto"/>
          <w:kern w:val="0"/>
          <w:sz w:val="24"/>
          <w:szCs w:val="24"/>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（4）采购代理机构工作人员不得参加由本机构代理的政府采购项目的评标。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（5）评标委员会成员名单在评标结果公告前应当保密。</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（1）确定参与评标至评标结束前私自接触</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（2）接受</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作出必要的澄清、说明或者补正的除外）；</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（3）违反评标纪律发表倾向性意见或者征询采购人的倾向性意见；</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（4）在评标过程中擅离职守，影响评标程序正常进行的；</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（5）记录、复制或者带走任何评标资料；</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（6）其他不遵守评标纪律的行为。</w:t>
      </w:r>
    </w:p>
    <w:p>
      <w:pPr>
        <w:tabs>
          <w:tab w:val="left" w:pos="72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评标委员会成员有本章第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.3.2项第（1）至（6）目行为之一的，其评标意见无效，并不得获取评标劳务报酬和报销异地评标差旅费。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（2）评标委员会完成评标后，评标委员会应当向</w:t>
      </w:r>
      <w:r>
        <w:rPr>
          <w:rFonts w:hint="eastAsia" w:ascii="宋体" w:hAnsi="宋体" w:eastAsia="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评标系统上提交书面评标报告和中标候选人名单。评标委员会推荐中标候选人的人数见</w:t>
      </w:r>
      <w:r>
        <w:rPr>
          <w:rFonts w:hint="eastAsia" w:ascii="宋体" w:hAnsi="宋体" w:eastAsia="宋体" w:cs="宋体"/>
          <w:color w:val="auto"/>
          <w:kern w:val="0"/>
          <w:sz w:val="24"/>
          <w:szCs w:val="24"/>
          <w:highlight w:val="none"/>
          <w:lang w:eastAsia="zh-CN"/>
        </w:rPr>
        <w:t>投标人须知</w:t>
      </w:r>
      <w:r>
        <w:rPr>
          <w:rFonts w:hint="eastAsia" w:ascii="宋体" w:hAnsi="宋体" w:eastAsia="宋体" w:cs="宋体"/>
          <w:color w:val="auto"/>
          <w:kern w:val="0"/>
          <w:sz w:val="24"/>
          <w:szCs w:val="24"/>
          <w:highlight w:val="none"/>
        </w:rPr>
        <w:t>前附表。</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评标委员会成员有下列情形之一的，应当回避：</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(一)参加采购活动前三年内，与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存在劳动关系，或者担任过</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的董事、监事，或者是</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的控股股东或实际控制人；</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的法定代表人或者负责人有夫妻、直系血亲、三代以内旁系血亲或者近姻亲关系；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有其他可能影响政府采购活动公平、公正进行的关系。</w:t>
      </w:r>
    </w:p>
    <w:p>
      <w:pPr>
        <w:autoSpaceDE w:val="0"/>
        <w:autoSpaceDN w:val="0"/>
        <w:adjustRightInd w:val="0"/>
        <w:snapToGrid w:val="0"/>
        <w:spacing w:line="360" w:lineRule="auto"/>
        <w:ind w:right="4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评标专家发现本人与参加采购活动的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有利害关系的，应当主动提出回避。采购代理机构发现评标专家与参加采购活动的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有利害关系的，应当要求其回避。</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62" w:name="_Toc5830"/>
      <w:bookmarkStart w:id="263" w:name="_Toc22420"/>
      <w:bookmarkStart w:id="264" w:name="_Toc12609"/>
      <w:bookmarkStart w:id="265" w:name="_Toc7396"/>
      <w:bookmarkStart w:id="266" w:name="_Toc608"/>
      <w:bookmarkStart w:id="267" w:name="_Toc12131"/>
      <w:bookmarkStart w:id="268" w:name="_Toc25509"/>
      <w:bookmarkStart w:id="269" w:name="_Toc8996"/>
      <w:bookmarkStart w:id="270" w:name="_Toc10927"/>
      <w:bookmarkStart w:id="271" w:name="_Toc25530"/>
      <w:bookmarkStart w:id="272" w:name="_Toc25755"/>
      <w:r>
        <w:rPr>
          <w:rFonts w:hint="eastAsia" w:ascii="宋体" w:hAnsi="宋体" w:eastAsia="宋体" w:cs="宋体"/>
          <w:b/>
          <w:bCs/>
          <w:color w:val="auto"/>
          <w:sz w:val="24"/>
          <w:szCs w:val="24"/>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评标是招标工作的重要环节，评标工作在评标委员会内独立进行。</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评标委员会将遵照规定的评标方法，公正、平等地对待所有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在开标、评标期间，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不得向评委询问评标情况，不得进行旨在影响评标结果的活动。否则其投标可能被拒绝。</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为保证评标的公正性，开标后直至授予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合同，评委不得与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私下交换意见。</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在评标工作结束后，凡与评标情况有接触的任何人不得擅自将评标情况扩散出评标人员之外。</w:t>
      </w:r>
    </w:p>
    <w:p>
      <w:pPr>
        <w:numPr>
          <w:ilvl w:val="2"/>
          <w:numId w:val="5"/>
        </w:numPr>
        <w:adjustRightInd w:val="0"/>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评标结束后，投标文件概不退还。</w:t>
      </w:r>
      <w:bookmarkStart w:id="273" w:name="_Toc30376"/>
      <w:bookmarkStart w:id="274" w:name="_Toc40112135"/>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275" w:name="_Toc21032"/>
      <w:bookmarkStart w:id="276" w:name="_Toc11279"/>
      <w:bookmarkStart w:id="277" w:name="_Toc11701"/>
      <w:r>
        <w:rPr>
          <w:rStyle w:val="28"/>
          <w:rFonts w:hint="eastAsia" w:ascii="宋体" w:hAnsi="宋体" w:eastAsia="宋体" w:cs="宋体"/>
          <w:color w:val="auto"/>
          <w:sz w:val="24"/>
          <w:szCs w:val="24"/>
          <w:highlight w:val="none"/>
        </w:rPr>
        <w:t>授予合同</w:t>
      </w:r>
      <w:bookmarkEnd w:id="236"/>
      <w:bookmarkEnd w:id="273"/>
      <w:bookmarkEnd w:id="274"/>
      <w:bookmarkEnd w:id="275"/>
      <w:bookmarkEnd w:id="276"/>
      <w:bookmarkEnd w:id="277"/>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78" w:name="_Toc22245"/>
      <w:bookmarkStart w:id="279" w:name="_Toc7898"/>
      <w:bookmarkStart w:id="280" w:name="_Toc21756"/>
      <w:bookmarkStart w:id="281" w:name="_Toc13599"/>
      <w:bookmarkStart w:id="282" w:name="_Toc32241"/>
      <w:bookmarkStart w:id="283" w:name="_Toc22971"/>
      <w:bookmarkStart w:id="284" w:name="_Toc27126"/>
      <w:bookmarkStart w:id="285" w:name="_Toc3574"/>
      <w:bookmarkStart w:id="286" w:name="_Toc6320"/>
      <w:bookmarkStart w:id="287" w:name="_Toc16230"/>
      <w:bookmarkStart w:id="288" w:name="_Toc15637"/>
      <w:bookmarkStart w:id="289" w:name="_Toc26604"/>
      <w:bookmarkStart w:id="290" w:name="_Toc22457"/>
      <w:bookmarkStart w:id="291" w:name="_Toc17818"/>
      <w:bookmarkStart w:id="292" w:name="_Toc22088"/>
      <w:bookmarkStart w:id="293" w:name="_Toc30644"/>
      <w:bookmarkStart w:id="294" w:name="_Toc23900"/>
      <w:r>
        <w:rPr>
          <w:rFonts w:hint="eastAsia" w:ascii="宋体" w:hAnsi="宋体" w:eastAsia="宋体" w:cs="宋体"/>
          <w:b/>
          <w:bCs/>
          <w:color w:val="auto"/>
          <w:sz w:val="24"/>
          <w:szCs w:val="24"/>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采购代理机构应当在评标结束后2个工作日内将评标报告送采购人。采购人应自收到评标报告之日起5个工作日内，依法确定中标人。中标候选人并列的，由采购人确定中标人。</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采购代理机构应当自中标人确定之日起2个工作日内，在省级以上财政部门指定的媒体上公告中标结果，招标文件应当随中标结果同时公告。</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1个工作日。</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在公告中标结果的同时，采购代理机构应当向中标人发出中标通知书；对未通过资格审查的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，应当告知其未通过的原因；采用综合评分法评标的，还应当告知未中标人单位的评审得分与排序。</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中标通知书发出后，采购人无正当理由不得改变中标结果，中标人无正当理由不得放弃中标。</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各有关当事人对中标结果有异议的，可以在</w:t>
      </w:r>
      <w:r>
        <w:rPr>
          <w:rFonts w:hint="eastAsia" w:ascii="宋体" w:hAnsi="宋体" w:eastAsia="宋体" w:cs="宋体"/>
          <w:color w:val="auto"/>
          <w:sz w:val="24"/>
          <w:szCs w:val="24"/>
          <w:highlight w:val="none"/>
          <w:lang w:eastAsia="zh-CN"/>
        </w:rPr>
        <w:t>中标结果公告</w:t>
      </w:r>
      <w:r>
        <w:rPr>
          <w:rFonts w:hint="eastAsia" w:ascii="宋体" w:hAnsi="宋体" w:eastAsia="宋体" w:cs="宋体"/>
          <w:color w:val="auto"/>
          <w:sz w:val="24"/>
          <w:szCs w:val="24"/>
          <w:highlight w:val="none"/>
        </w:rPr>
        <w:t>期限届满之日起七个工作日内，按《政府采购质疑和投诉办法》（财政部令第94号）要求以书面形式同时向采购人和采购代理机构提出质疑，逾期提交或未按照要求提交的质疑函将不予受理。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5" w:name="_Toc7497"/>
      <w:r>
        <w:rPr>
          <w:rFonts w:hint="eastAsia" w:ascii="宋体" w:hAnsi="宋体" w:eastAsia="宋体" w:cs="宋体"/>
          <w:b/>
          <w:bCs/>
          <w:color w:val="auto"/>
          <w:sz w:val="24"/>
          <w:szCs w:val="24"/>
          <w:highlight w:val="none"/>
        </w:rPr>
        <w:t>采购任务取消</w:t>
      </w:r>
      <w:bookmarkEnd w:id="295"/>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采购人有权拒绝任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中标，且对受影响的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不承担任何责任。</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296" w:name="_Toc1468"/>
      <w:bookmarkStart w:id="297" w:name="_Toc5799"/>
      <w:bookmarkStart w:id="298" w:name="_Toc24223"/>
      <w:bookmarkStart w:id="299" w:name="_Toc25326"/>
      <w:bookmarkStart w:id="300" w:name="_Toc23214"/>
      <w:bookmarkStart w:id="301" w:name="_Toc29785"/>
      <w:bookmarkStart w:id="302" w:name="_Toc3846"/>
      <w:bookmarkStart w:id="303" w:name="_Toc21282"/>
      <w:bookmarkStart w:id="304" w:name="_Toc12305"/>
      <w:bookmarkStart w:id="305" w:name="_Toc14610"/>
      <w:bookmarkStart w:id="306" w:name="_Toc12174"/>
      <w:r>
        <w:rPr>
          <w:rFonts w:hint="eastAsia" w:ascii="宋体" w:hAnsi="宋体" w:eastAsia="宋体" w:cs="宋体"/>
          <w:b/>
          <w:bCs/>
          <w:color w:val="auto"/>
          <w:sz w:val="24"/>
          <w:szCs w:val="24"/>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在公告中标结果的同时，采购人或采购代理机构应当向中标人发出中标通知书，中标通知书将作为进行签订合同的依据。</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07" w:name="_Toc14397"/>
      <w:bookmarkStart w:id="308" w:name="_Toc25990"/>
      <w:bookmarkStart w:id="309" w:name="_Toc9428"/>
      <w:bookmarkStart w:id="310" w:name="_Toc21924"/>
      <w:bookmarkStart w:id="311" w:name="_Toc26111"/>
      <w:bookmarkStart w:id="312" w:name="_Toc20517"/>
      <w:bookmarkStart w:id="313" w:name="_Toc11448"/>
      <w:bookmarkStart w:id="314" w:name="_Toc25686"/>
      <w:bookmarkStart w:id="315" w:name="_Toc15209"/>
      <w:bookmarkStart w:id="316" w:name="_Toc3979"/>
      <w:bookmarkStart w:id="317" w:name="_Toc9865"/>
      <w:bookmarkStart w:id="318" w:name="_Toc26471"/>
      <w:bookmarkStart w:id="319" w:name="_Toc12530"/>
      <w:bookmarkStart w:id="320" w:name="_Toc3376"/>
      <w:bookmarkStart w:id="321" w:name="_Toc1226"/>
      <w:bookmarkStart w:id="322" w:name="_Toc15061"/>
      <w:bookmarkStart w:id="323" w:name="_Toc11221"/>
      <w:r>
        <w:rPr>
          <w:rFonts w:hint="eastAsia" w:ascii="宋体" w:hAnsi="宋体" w:eastAsia="宋体" w:cs="宋体"/>
          <w:b/>
          <w:bCs/>
          <w:color w:val="auto"/>
          <w:sz w:val="24"/>
          <w:szCs w:val="24"/>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24" w:name="_Toc24299"/>
      <w:bookmarkStart w:id="325" w:name="_Toc13295"/>
      <w:bookmarkStart w:id="326" w:name="_Toc22384"/>
      <w:bookmarkStart w:id="327" w:name="_Toc1508"/>
      <w:r>
        <w:rPr>
          <w:rFonts w:hint="eastAsia" w:ascii="宋体" w:hAnsi="宋体" w:eastAsia="宋体" w:cs="宋体"/>
          <w:color w:val="auto"/>
          <w:sz w:val="24"/>
          <w:szCs w:val="24"/>
          <w:highlight w:val="none"/>
          <w:lang w:val="en-US" w:eastAsia="zh-CN"/>
        </w:rPr>
        <w:t>中标人应按投标人须知前附表规定的形式、金额和招标文件第五章“合同条款及格式”的规定向招标人提交履约保证金</w:t>
      </w:r>
      <w:r>
        <w:rPr>
          <w:rFonts w:hint="eastAsia" w:ascii="宋体" w:hAnsi="宋体" w:eastAsia="宋体" w:cs="宋体"/>
          <w:color w:val="auto"/>
          <w:sz w:val="24"/>
          <w:szCs w:val="24"/>
          <w:highlight w:val="none"/>
        </w:rPr>
        <w:t>。</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中标人不能按</w:t>
      </w:r>
      <w:r>
        <w:rPr>
          <w:rFonts w:hint="eastAsia" w:ascii="宋体" w:hAnsi="宋体" w:cs="宋体"/>
          <w:color w:val="auto"/>
          <w:sz w:val="24"/>
          <w:szCs w:val="24"/>
          <w:highlight w:val="none"/>
          <w:lang w:val="en-US" w:eastAsia="zh-CN"/>
        </w:rPr>
        <w:t>投标须知前附表</w:t>
      </w:r>
      <w:r>
        <w:rPr>
          <w:rFonts w:hint="eastAsia" w:ascii="宋体" w:hAnsi="宋体" w:eastAsia="宋体" w:cs="宋体"/>
          <w:color w:val="auto"/>
          <w:sz w:val="24"/>
          <w:szCs w:val="24"/>
          <w:highlight w:val="none"/>
        </w:rPr>
        <w:t>第6.4.1项要求提交履约保证金的，视为放弃中标。</w:t>
      </w:r>
    </w:p>
    <w:p>
      <w:pPr>
        <w:numPr>
          <w:ilvl w:val="1"/>
          <w:numId w:val="5"/>
        </w:numPr>
        <w:spacing w:line="360" w:lineRule="auto"/>
        <w:ind w:firstLine="482" w:firstLineChars="200"/>
        <w:rPr>
          <w:rFonts w:hint="eastAsia" w:ascii="宋体" w:hAnsi="宋体" w:eastAsia="宋体" w:cs="宋体"/>
          <w:b/>
          <w:bCs/>
          <w:color w:val="auto"/>
          <w:sz w:val="24"/>
          <w:szCs w:val="24"/>
          <w:highlight w:val="none"/>
        </w:rPr>
      </w:pPr>
      <w:bookmarkStart w:id="328" w:name="_Toc20184"/>
      <w:r>
        <w:rPr>
          <w:rFonts w:hint="eastAsia" w:ascii="宋体" w:hAnsi="宋体" w:eastAsia="宋体" w:cs="宋体"/>
          <w:b/>
          <w:bCs/>
          <w:color w:val="auto"/>
          <w:sz w:val="24"/>
          <w:szCs w:val="24"/>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采购人应当自中标通知书发出之日起</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日内，按照招标文件和中标人投标文件的规定，与中标人签订书面合同。所签订的合同不得对招标文件确定的事项和中标人投标文件作实质性修改。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招标文件、中标人的投标文件和澄清文件等，均应作为签约合同文本的基础。</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如中标人拒签合同，则按违约处理。对违约方收取中标金额2%的违约金。</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政府采购合同应当包括采购人与中标人的名称和住所、标的、数量、质量、价款或者报酬、履行期限及地点和方式、验收要求、违约责任、解决争议的方法等内容。</w:t>
      </w:r>
    </w:p>
    <w:p>
      <w:pPr>
        <w:numPr>
          <w:ilvl w:val="2"/>
          <w:numId w:val="5"/>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如中标人不按约定签订合同，采购人将报请取消其中标决定。采购人可重新招标。</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29" w:name="_Toc11106"/>
      <w:bookmarkStart w:id="330" w:name="_Toc31652"/>
      <w:bookmarkStart w:id="331" w:name="_Toc3577"/>
      <w:bookmarkStart w:id="332" w:name="_Toc23358"/>
      <w:bookmarkStart w:id="333" w:name="_Toc40112136"/>
      <w:r>
        <w:rPr>
          <w:rStyle w:val="28"/>
          <w:rFonts w:hint="eastAsia" w:ascii="宋体" w:hAnsi="宋体" w:eastAsia="宋体" w:cs="宋体"/>
          <w:color w:val="auto"/>
          <w:sz w:val="24"/>
          <w:szCs w:val="24"/>
          <w:highlight w:val="none"/>
        </w:rPr>
        <w:t>信用记录</w:t>
      </w:r>
      <w:bookmarkEnd w:id="329"/>
      <w:bookmarkEnd w:id="330"/>
      <w:bookmarkEnd w:id="331"/>
      <w:bookmarkEnd w:id="332"/>
      <w:bookmarkEnd w:id="333"/>
    </w:p>
    <w:p>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34" w:name="_Toc18298"/>
      <w:bookmarkStart w:id="335" w:name="_Toc40112137"/>
      <w:bookmarkStart w:id="336" w:name="_Toc16339"/>
      <w:r>
        <w:rPr>
          <w:rFonts w:hint="eastAsia" w:ascii="宋体" w:hAnsi="宋体" w:eastAsia="宋体" w:cs="宋体"/>
          <w:color w:val="auto"/>
          <w:sz w:val="24"/>
          <w:szCs w:val="24"/>
          <w:highlight w:val="none"/>
        </w:rPr>
        <w:t>根据《关于在政府采购活动中查询及使用信用记录有关问题的通知》(财库[2016]125号)的规定，</w:t>
      </w:r>
      <w:r>
        <w:rPr>
          <w:rFonts w:hint="eastAsia" w:ascii="宋体" w:hAnsi="宋体" w:eastAsia="宋体" w:cs="宋体"/>
          <w:color w:val="auto"/>
          <w:sz w:val="24"/>
          <w:szCs w:val="24"/>
          <w:highlight w:val="none"/>
          <w:lang w:eastAsia="zh-CN"/>
        </w:rPr>
        <w:t>开标结束后至符合性审查前</w:t>
      </w:r>
      <w:r>
        <w:rPr>
          <w:rFonts w:hint="eastAsia" w:ascii="宋体" w:hAnsi="宋体" w:eastAsia="宋体" w:cs="宋体"/>
          <w:color w:val="auto"/>
          <w:sz w:val="24"/>
          <w:szCs w:val="24"/>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，将拒绝参与本次政府采购活动。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在本招标文件规定的查询时间之后，网站信息发生的任何变更均不再作为评标依据。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自行提供的与网站信息不一致的其他证明材料亦不作为资格审查的依据。信用信息查询记录及相关证据与其他采购文件一并保存。</w:t>
      </w:r>
    </w:p>
    <w:p>
      <w:pPr>
        <w:numPr>
          <w:ilvl w:val="0"/>
          <w:numId w:val="5"/>
        </w:numPr>
        <w:spacing w:line="360" w:lineRule="auto"/>
        <w:ind w:firstLine="482" w:firstLineChars="200"/>
        <w:outlineLvl w:val="1"/>
        <w:rPr>
          <w:rStyle w:val="28"/>
          <w:rFonts w:hint="eastAsia" w:ascii="宋体" w:hAnsi="宋体" w:eastAsia="宋体" w:cs="宋体"/>
          <w:color w:val="auto"/>
          <w:sz w:val="24"/>
          <w:szCs w:val="24"/>
          <w:highlight w:val="none"/>
        </w:rPr>
      </w:pPr>
      <w:bookmarkStart w:id="337" w:name="_Toc6419"/>
      <w:bookmarkStart w:id="338" w:name="_Toc7802"/>
      <w:bookmarkStart w:id="339" w:name="_Toc10534"/>
      <w:r>
        <w:rPr>
          <w:rStyle w:val="28"/>
          <w:rFonts w:hint="eastAsia" w:ascii="宋体" w:hAnsi="宋体" w:eastAsia="宋体" w:cs="宋体"/>
          <w:color w:val="auto"/>
          <w:sz w:val="24"/>
          <w:szCs w:val="24"/>
          <w:highlight w:val="none"/>
        </w:rPr>
        <w:t>需要补充的其他内容</w:t>
      </w:r>
      <w:bookmarkEnd w:id="334"/>
      <w:bookmarkEnd w:id="335"/>
      <w:bookmarkEnd w:id="337"/>
      <w:bookmarkEnd w:id="338"/>
      <w:bookmarkEnd w:id="339"/>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bookmarkEnd w:id="336"/>
    </w:p>
    <w:p>
      <w:pPr>
        <w:rPr>
          <w:color w:val="auto"/>
          <w:highlight w:val="none"/>
        </w:rPr>
      </w:pPr>
      <w:r>
        <w:rPr>
          <w:color w:val="auto"/>
          <w:highlight w:val="none"/>
        </w:rPr>
        <w:br w:type="page"/>
      </w:r>
    </w:p>
    <w:p>
      <w:pPr>
        <w:pStyle w:val="2"/>
        <w:adjustRightInd w:val="0"/>
        <w:snapToGrid w:val="0"/>
        <w:rPr>
          <w:rFonts w:ascii="宋体" w:cs="宋体"/>
          <w:color w:val="auto"/>
          <w:szCs w:val="32"/>
          <w:highlight w:val="none"/>
        </w:rPr>
      </w:pPr>
      <w:bookmarkStart w:id="340" w:name="_Toc28292"/>
      <w:bookmarkStart w:id="341" w:name="_Toc19667"/>
      <w:bookmarkStart w:id="342" w:name="_Toc4110"/>
      <w:bookmarkStart w:id="343" w:name="_Toc40112138"/>
      <w:bookmarkStart w:id="344" w:name="_Toc11970"/>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16729"/>
      <w:bookmarkStart w:id="346" w:name="_Toc21173"/>
      <w:bookmarkStart w:id="347" w:name="_Toc27033"/>
      <w:bookmarkStart w:id="348" w:name="_Toc28519"/>
      <w:bookmarkStart w:id="349" w:name="_Toc27205"/>
      <w:bookmarkStart w:id="350" w:name="_Toc30398"/>
      <w:bookmarkStart w:id="351" w:name="_Toc6735"/>
      <w:bookmarkStart w:id="352" w:name="_Toc11714"/>
      <w:bookmarkStart w:id="353" w:name="_Toc13197"/>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2"/>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(须提供承诺函，承诺函</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w:t>
            </w:r>
            <w:r>
              <w:rPr>
                <w:rFonts w:hint="eastAsia" w:ascii="宋体" w:hAnsi="宋体" w:cs="宋体"/>
                <w:b/>
                <w:bCs/>
                <w:color w:val="auto"/>
                <w:kern w:val="0"/>
                <w:sz w:val="24"/>
                <w:highlight w:val="none"/>
                <w:lang w:val="en-US" w:eastAsia="zh-CN"/>
              </w:rPr>
              <w:t>中</w:t>
            </w:r>
            <w:r>
              <w:rPr>
                <w:rFonts w:hint="eastAsia" w:ascii="宋体" w:hAnsi="宋体" w:eastAsia="宋体" w:cs="宋体"/>
                <w:b/>
                <w:bCs/>
                <w:color w:val="auto"/>
                <w:kern w:val="0"/>
                <w:sz w:val="24"/>
                <w:highlight w:val="none"/>
              </w:rPr>
              <w:t>小</w:t>
            </w:r>
            <w:bookmarkStart w:id="590" w:name="_GoBack"/>
            <w:bookmarkEnd w:id="590"/>
            <w:r>
              <w:rPr>
                <w:rFonts w:hint="eastAsia" w:ascii="宋体" w:hAnsi="宋体" w:eastAsia="宋体" w:cs="宋体"/>
                <w:b/>
                <w:bCs/>
                <w:color w:val="auto"/>
                <w:kern w:val="0"/>
                <w:sz w:val="24"/>
                <w:highlight w:val="none"/>
              </w:rPr>
              <w:t>企业采购</w:t>
            </w: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lang w:eastAsia="zh-CN"/>
              </w:rPr>
              <w:t>）</w:t>
            </w:r>
          </w:p>
        </w:tc>
        <w:tc>
          <w:tcPr>
            <w:tcW w:w="5153" w:type="dxa"/>
            <w:vAlign w:val="center"/>
          </w:tcPr>
          <w:p>
            <w:pPr>
              <w:widowControl/>
              <w:adjustRightInd w:val="0"/>
              <w:snapToGrid w:val="0"/>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专门面向小微企业采购</w:t>
            </w:r>
          </w:p>
          <w:p>
            <w:pPr>
              <w:widowControl/>
              <w:adjustRightInd w:val="0"/>
              <w:snapToGrid w:val="0"/>
              <w:spacing w:line="360" w:lineRule="auto"/>
              <w:jc w:val="center"/>
              <w:rPr>
                <w:rFonts w:hint="eastAsia" w:ascii="宋体" w:eastAsia="宋体" w:cs="宋体"/>
                <w:color w:val="auto"/>
                <w:kern w:val="0"/>
                <w:sz w:val="24"/>
                <w:highlight w:val="none"/>
                <w:lang w:eastAsia="zh-CN"/>
              </w:rPr>
            </w:pPr>
            <w:r>
              <w:rPr>
                <w:rFonts w:hint="eastAsia" w:ascii="宋体" w:hAnsi="宋体" w:cs="宋体"/>
                <w:b/>
                <w:bCs/>
                <w:color w:val="auto"/>
                <w:kern w:val="0"/>
                <w:sz w:val="24"/>
                <w:highlight w:val="none"/>
                <w:lang w:eastAsia="zh-CN"/>
              </w:rPr>
              <w:t>（包</w:t>
            </w:r>
            <w:r>
              <w:rPr>
                <w:rFonts w:hint="eastAsia" w:ascii="宋体" w:hAnsi="宋体" w:cs="宋体"/>
                <w:b/>
                <w:bCs/>
                <w:color w:val="auto"/>
                <w:kern w:val="0"/>
                <w:sz w:val="24"/>
                <w:highlight w:val="none"/>
                <w:lang w:val="en-US" w:eastAsia="zh-CN"/>
              </w:rPr>
              <w:t>6、包9</w:t>
            </w:r>
            <w:r>
              <w:rPr>
                <w:rFonts w:hint="eastAsia" w:ascii="宋体" w:hAnsi="宋体" w:cs="宋体"/>
                <w:b/>
                <w:bCs/>
                <w:color w:val="auto"/>
                <w:kern w:val="0"/>
                <w:sz w:val="24"/>
                <w:highlight w:val="none"/>
                <w:lang w:eastAsia="zh-CN"/>
              </w:rPr>
              <w:t>）</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eastAsia="宋体" w:cs="宋体"/>
                <w:b/>
                <w:bCs/>
                <w:color w:val="auto"/>
                <w:kern w:val="0"/>
                <w:sz w:val="24"/>
                <w:highlight w:val="none"/>
              </w:rPr>
              <w:t>需提供《中小企业声明函》或《残疾人福利性单位声明函》或《监狱企业的证明文件》</w:t>
            </w:r>
            <w:r>
              <w:rPr>
                <w:rFonts w:hint="eastAsia" w:ascii="宋体" w:hAnsi="宋体" w:cs="宋体"/>
                <w:b/>
                <w:bCs/>
                <w:color w:val="auto"/>
                <w:kern w:val="0"/>
                <w:sz w:val="24"/>
                <w:highlight w:val="none"/>
                <w:lang w:eastAsia="zh-CN"/>
              </w:rPr>
              <w:t>。</w:t>
            </w:r>
          </w:p>
        </w:tc>
      </w:tr>
    </w:tbl>
    <w:p>
      <w:pPr>
        <w:pStyle w:val="4"/>
        <w:numPr>
          <w:ilvl w:val="0"/>
          <w:numId w:val="6"/>
        </w:numPr>
        <w:adjustRightInd w:val="0"/>
        <w:snapToGrid w:val="0"/>
        <w:rPr>
          <w:rFonts w:ascii="宋体" w:cs="宋体"/>
          <w:color w:val="auto"/>
          <w:sz w:val="24"/>
          <w:szCs w:val="24"/>
          <w:highlight w:val="none"/>
        </w:rPr>
      </w:pPr>
      <w:bookmarkStart w:id="354" w:name="_Toc23399"/>
      <w:bookmarkStart w:id="355" w:name="_Toc2378"/>
      <w:bookmarkStart w:id="356" w:name="_Toc16266"/>
      <w:bookmarkStart w:id="357" w:name="_Toc1301"/>
      <w:bookmarkStart w:id="358" w:name="_Toc16607"/>
      <w:bookmarkStart w:id="359" w:name="_Toc25514"/>
      <w:bookmarkStart w:id="360" w:name="_Toc465"/>
      <w:bookmarkStart w:id="361" w:name="_Toc21337"/>
      <w:bookmarkStart w:id="362" w:name="_Toc16293"/>
      <w:bookmarkStart w:id="363" w:name="_Toc19241"/>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6"/>
        </w:numPr>
        <w:adjustRightInd w:val="0"/>
        <w:snapToGrid w:val="0"/>
        <w:rPr>
          <w:rFonts w:ascii="宋体" w:cs="宋体"/>
          <w:color w:val="auto"/>
          <w:sz w:val="24"/>
          <w:szCs w:val="24"/>
          <w:highlight w:val="none"/>
        </w:rPr>
      </w:pPr>
      <w:bookmarkStart w:id="364" w:name="_Toc29893"/>
      <w:bookmarkStart w:id="365" w:name="_Toc11542"/>
      <w:bookmarkStart w:id="366" w:name="_Toc21593"/>
      <w:bookmarkStart w:id="367" w:name="_Toc3310"/>
      <w:bookmarkStart w:id="368" w:name="_Toc12137"/>
      <w:bookmarkStart w:id="369" w:name="_Toc2610"/>
      <w:bookmarkStart w:id="370" w:name="_Toc8631"/>
      <w:bookmarkStart w:id="371" w:name="_Toc18033"/>
      <w:bookmarkStart w:id="372" w:name="_Toc8280"/>
      <w:bookmarkStart w:id="373" w:name="_Toc23230"/>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6"/>
        </w:numPr>
        <w:adjustRightInd w:val="0"/>
        <w:snapToGrid w:val="0"/>
        <w:rPr>
          <w:rFonts w:ascii="宋体" w:cs="宋体"/>
          <w:color w:val="auto"/>
          <w:sz w:val="24"/>
          <w:szCs w:val="24"/>
          <w:highlight w:val="none"/>
        </w:rPr>
      </w:pPr>
      <w:bookmarkStart w:id="374" w:name="_Toc19383"/>
      <w:bookmarkStart w:id="375" w:name="_Toc14072"/>
      <w:bookmarkStart w:id="376" w:name="_Toc5940"/>
      <w:bookmarkStart w:id="377" w:name="_Toc16031"/>
      <w:bookmarkStart w:id="378" w:name="_Toc32375"/>
      <w:bookmarkStart w:id="379" w:name="_Toc2259"/>
      <w:bookmarkStart w:id="380" w:name="_Toc10180"/>
      <w:bookmarkStart w:id="381" w:name="_Toc920"/>
      <w:bookmarkStart w:id="382" w:name="_Toc13549"/>
      <w:bookmarkStart w:id="383" w:name="_Toc2029"/>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9844"/>
      <w:bookmarkStart w:id="385" w:name="_Toc31076"/>
      <w:bookmarkStart w:id="386" w:name="_Toc40112139"/>
      <w:bookmarkStart w:id="387" w:name="_Toc2792"/>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1534"/>
      <w:bookmarkStart w:id="389" w:name="_Toc16535"/>
      <w:bookmarkStart w:id="390" w:name="_Toc12415"/>
      <w:bookmarkStart w:id="391" w:name="_Toc16950"/>
      <w:bookmarkStart w:id="392" w:name="_Toc14114"/>
      <w:bookmarkStart w:id="393" w:name="_Toc4734"/>
      <w:bookmarkStart w:id="394" w:name="_Toc22753"/>
      <w:bookmarkStart w:id="395" w:name="_Toc22649"/>
      <w:bookmarkStart w:id="396" w:name="_Toc6633"/>
      <w:bookmarkStart w:id="397" w:name="_Toc23659"/>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形式</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投标文件格式</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总报价唯一</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47" w:type="pct"/>
            <w:gridSpan w:val="2"/>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符合性审查</w:t>
            </w:r>
            <w:r>
              <w:rPr>
                <w:rFonts w:hint="eastAsia" w:ascii="宋体" w:hAnsi="宋体" w:eastAsia="宋体" w:cs="宋体"/>
                <w:color w:val="auto"/>
                <w:kern w:val="0"/>
                <w:sz w:val="21"/>
                <w:szCs w:val="21"/>
                <w:highlight w:val="none"/>
              </w:rPr>
              <w:t>标准</w:t>
            </w: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交货地点</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投标人须知</w:t>
            </w:r>
            <w:r>
              <w:rPr>
                <w:rFonts w:hint="eastAsia" w:ascii="宋体" w:hAnsi="宋体" w:eastAsia="宋体" w:cs="宋体"/>
                <w:color w:val="auto"/>
                <w:kern w:val="0"/>
                <w:sz w:val="21"/>
                <w:szCs w:val="21"/>
                <w:highlight w:val="none"/>
              </w:rPr>
              <w:t>前附表”第1.2.7项规定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前附表”第1.2.9项规定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前附表”第3.6.1项规定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具有合法资质的</w:t>
            </w:r>
            <w:r>
              <w:rPr>
                <w:rFonts w:hint="eastAsia" w:ascii="宋体" w:hAnsi="宋体" w:eastAsia="宋体" w:cs="宋体"/>
                <w:color w:val="auto"/>
                <w:sz w:val="21"/>
                <w:szCs w:val="21"/>
                <w:highlight w:val="none"/>
              </w:rPr>
              <w:t>检测机构出具的检测报告或</w:t>
            </w:r>
            <w:r>
              <w:rPr>
                <w:rFonts w:hint="eastAsia" w:ascii="宋体" w:hAnsi="宋体" w:eastAsia="宋体" w:cs="宋体"/>
                <w:color w:val="auto"/>
                <w:sz w:val="21"/>
                <w:szCs w:val="21"/>
                <w:highlight w:val="none"/>
                <w:lang w:val="en-US" w:eastAsia="zh-CN"/>
              </w:rPr>
              <w:t>检验报告或</w:t>
            </w:r>
            <w:r>
              <w:rPr>
                <w:rFonts w:hint="eastAsia" w:ascii="宋体" w:hAnsi="宋体" w:eastAsia="宋体" w:cs="宋体"/>
                <w:color w:val="auto"/>
                <w:sz w:val="21"/>
                <w:szCs w:val="21"/>
                <w:highlight w:val="none"/>
              </w:rPr>
              <w:t>产品合格证书</w:t>
            </w:r>
          </w:p>
        </w:tc>
        <w:tc>
          <w:tcPr>
            <w:tcW w:w="3042" w:type="pct"/>
            <w:gridSpan w:val="2"/>
            <w:vAlign w:val="center"/>
          </w:tcPr>
          <w:p>
            <w:pPr>
              <w:widowControl/>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投标人须知</w:t>
            </w:r>
            <w:r>
              <w:rPr>
                <w:rFonts w:hint="eastAsia" w:ascii="宋体" w:hAnsi="宋体" w:eastAsia="宋体" w:cs="宋体"/>
                <w:color w:val="auto"/>
                <w:sz w:val="21"/>
                <w:szCs w:val="21"/>
                <w:highlight w:val="none"/>
              </w:rPr>
              <w:t>前附表”第1.7项第5条规定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547"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3042" w:type="pct"/>
            <w:gridSpan w:val="2"/>
            <w:vAlign w:val="center"/>
          </w:tcPr>
          <w:p>
            <w:pPr>
              <w:widowControl/>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(总分100分)</w:t>
            </w:r>
          </w:p>
        </w:tc>
        <w:tc>
          <w:tcPr>
            <w:tcW w:w="3042" w:type="pct"/>
            <w:gridSpan w:val="2"/>
            <w:vAlign w:val="center"/>
          </w:tcPr>
          <w:p>
            <w:pPr>
              <w:autoSpaceDE w:val="0"/>
              <w:autoSpaceDN w:val="0"/>
              <w:adjustRightInd w:val="0"/>
              <w:snapToGrid w:val="0"/>
              <w:spacing w:line="360" w:lineRule="auto"/>
              <w:ind w:left="38" w:leftChars="18"/>
              <w:jc w:val="left"/>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投标报价</w:t>
            </w: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 xml:space="preserve">分   </w:t>
            </w:r>
          </w:p>
          <w:p>
            <w:pPr>
              <w:autoSpaceDE w:val="0"/>
              <w:autoSpaceDN w:val="0"/>
              <w:adjustRightInd w:val="0"/>
              <w:snapToGrid w:val="0"/>
              <w:spacing w:line="360" w:lineRule="auto"/>
              <w:ind w:left="38" w:leftChars="18"/>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eastAsia="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ind w:firstLine="0" w:firstLineChars="0"/>
              <w:jc w:val="lef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（3）</w:t>
            </w:r>
            <w:r>
              <w:rPr>
                <w:rFonts w:hint="eastAsia" w:ascii="宋体" w:hAnsi="宋体" w:eastAsia="宋体" w:cs="宋体"/>
                <w:b/>
                <w:bCs/>
                <w:color w:val="auto"/>
                <w:kern w:val="0"/>
                <w:sz w:val="21"/>
                <w:szCs w:val="21"/>
                <w:highlight w:val="none"/>
                <w:lang w:eastAsia="zh-CN"/>
              </w:rPr>
              <w:t>专门面向</w:t>
            </w:r>
            <w:r>
              <w:rPr>
                <w:rFonts w:hint="eastAsia" w:ascii="宋体" w:hAnsi="宋体" w:cs="宋体"/>
                <w:b/>
                <w:bCs/>
                <w:color w:val="auto"/>
                <w:kern w:val="0"/>
                <w:sz w:val="21"/>
                <w:szCs w:val="21"/>
                <w:highlight w:val="none"/>
                <w:lang w:val="en-US" w:eastAsia="zh-CN"/>
              </w:rPr>
              <w:t>中小</w:t>
            </w:r>
            <w:r>
              <w:rPr>
                <w:rFonts w:hint="eastAsia" w:ascii="宋体" w:hAnsi="宋体" w:eastAsia="宋体" w:cs="宋体"/>
                <w:b/>
                <w:bCs/>
                <w:color w:val="auto"/>
                <w:kern w:val="0"/>
                <w:sz w:val="21"/>
                <w:szCs w:val="21"/>
                <w:highlight w:val="none"/>
                <w:lang w:eastAsia="zh-CN"/>
              </w:rPr>
              <w:t>企业采购</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专门面向</w:t>
            </w:r>
            <w:r>
              <w:rPr>
                <w:rFonts w:hint="eastAsia" w:ascii="宋体" w:hAnsi="宋体" w:cs="宋体"/>
                <w:b/>
                <w:bCs/>
                <w:color w:val="auto"/>
                <w:kern w:val="0"/>
                <w:sz w:val="21"/>
                <w:szCs w:val="21"/>
                <w:highlight w:val="none"/>
                <w:lang w:val="en-US" w:eastAsia="zh-CN"/>
              </w:rPr>
              <w:t>小微企业</w:t>
            </w:r>
            <w:r>
              <w:rPr>
                <w:rFonts w:hint="eastAsia" w:ascii="宋体" w:hAnsi="宋体" w:eastAsia="宋体" w:cs="宋体"/>
                <w:b/>
                <w:bCs/>
                <w:color w:val="auto"/>
                <w:kern w:val="0"/>
                <w:sz w:val="21"/>
                <w:szCs w:val="21"/>
                <w:highlight w:val="none"/>
              </w:rPr>
              <w:t>采购的标包不再进行价格扣除。</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43"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货物响应招标文件参数情况</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（0-</w:t>
            </w: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投标货物完全满足招标文件参数要求的；得满分35分；投标技术参数与招标文件参数要求有负偏离的在35分的基础上，非“★”项每项扣2分，带“★”项每项扣6分，扣完为止。</w:t>
            </w:r>
          </w:p>
          <w:p>
            <w:pPr>
              <w:adjustRightInd w:val="0"/>
              <w:snapToGrid w:val="0"/>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注：投标人所投产品需附具有合法资质的检测机构出具的检测报告或检验报告或产品合格证书。带“★”项以检测报告或检验报告中的相应指标为准，检测报告或检验报告中应体现技术参数中要求的带“★”参数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jc w:val="left"/>
              <w:rPr>
                <w:rFonts w:hint="eastAsia" w:ascii="宋体" w:hAnsi="宋体" w:eastAsia="宋体" w:cs="宋体"/>
                <w:color w:val="auto"/>
                <w:kern w:val="0"/>
                <w:sz w:val="21"/>
                <w:szCs w:val="21"/>
                <w:highlight w:val="none"/>
              </w:rPr>
            </w:pPr>
          </w:p>
          <w:p>
            <w:pPr>
              <w:adjustRightInd w:val="0"/>
              <w:snapToGrid w:val="0"/>
              <w:spacing w:line="360" w:lineRule="auto"/>
              <w:ind w:firstLine="207" w:firstLineChars="98"/>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产品选型</w:t>
            </w:r>
          </w:p>
          <w:p>
            <w:pPr>
              <w:adjustRightInd w:val="0"/>
              <w:snapToGrid w:val="0"/>
              <w:spacing w:line="360" w:lineRule="auto"/>
              <w:ind w:left="31680" w:hanging="310" w:hangingChars="147"/>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（整体设计）</w:t>
            </w:r>
          </w:p>
          <w:p>
            <w:pPr>
              <w:adjustRightInd w:val="0"/>
              <w:snapToGrid w:val="0"/>
              <w:spacing w:line="360" w:lineRule="auto"/>
              <w:ind w:left="31680" w:hanging="310" w:hangingChars="147"/>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0-</w:t>
            </w:r>
            <w:r>
              <w:rPr>
                <w:rFonts w:hint="eastAsia" w:ascii="宋体" w:hAnsi="宋体" w:eastAsia="宋体" w:cs="宋体"/>
                <w:b/>
                <w:bCs/>
                <w:color w:val="auto"/>
                <w:kern w:val="0"/>
                <w:sz w:val="21"/>
                <w:szCs w:val="21"/>
                <w:highlight w:val="none"/>
              </w:rPr>
              <w:t>5分）</w:t>
            </w:r>
          </w:p>
        </w:tc>
        <w:tc>
          <w:tcPr>
            <w:tcW w:w="3040" w:type="pct"/>
            <w:gridSpan w:val="2"/>
            <w:vAlign w:val="center"/>
          </w:tcPr>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合本项目采购需求及实际应用场景环境等要求提出产品整体选型、各部件的结构设计、产品功能设计，各部件间适配性、系统配置、产品工艺等内容（须提供设计说明、整体设计图、结构设计图、功能设计图等）。</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选型先进、设计完善合理、功能全面、适配性强、操作简单易用、耐用实用、对本项目具有针对性、可行性强的得5分，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选型先进、设计合理、功能全面、具有适配性、操作简单易用、耐用实用、对本项目具有针对性、可行性得3分。</w:t>
            </w:r>
          </w:p>
          <w:p>
            <w:pPr>
              <w:pStyle w:val="11"/>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选型基本合理、功能基本完善、具有适配性及针对性的得1分，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各部件设计不合理、功能不足，无法满足本项目需求的得0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专业技术生产能力（0-</w:t>
            </w: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r>
              <w:rPr>
                <w:rFonts w:hint="eastAsia" w:ascii="宋体" w:hAnsi="宋体" w:eastAsia="宋体" w:cs="宋体"/>
                <w:color w:val="auto"/>
                <w:kern w:val="0"/>
                <w:sz w:val="21"/>
                <w:szCs w:val="21"/>
                <w:highlight w:val="none"/>
              </w:rPr>
              <w:t>）</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根据所投产品制造商专业技术生产能力（包括但不限于自主研发能力、生产工艺、生产步骤、产品检验等）进行评审：</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核心产品及所投其他产品制造商具备自主研发能力（提供研发团队名单、研发成果名称）、具拥有完整工艺流程图并配有详细的图片和文字说明，能够提供各环节完整的生产车间环境及详细的实际生产实景照片，具有完整的产品检验流程，各检验流程均配备有检验设备、检验步骤严密，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 xml:space="preserve">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未对是否有自主研发能力作出说明，提供的工艺流程图配有图片和文字说明，能够提供大部分生产环节生产车间环境及实际生产实景照片，提供有产品检验主要流程，重要检验节点配备有检验设备，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所投产品制造商生产工艺简单粗糙，生产步骤说明不完整，未能提供生产车间环境及实际生产照片，产品检验流程及具体检验步骤前后不连贯，各检验步骤未明确检验设备配置，得1分；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具备质量管理体系认证、职业健康安全管理体系认证、环境管理体系认证，提供证书扫描件。每提供1种证书得1分，最多3分。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注：投标文件中须附证书扫描件，清晰可辨。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产品业绩</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产品业绩：指投标人所投标包项目同产品的业绩，产品业绩项目时间要求：2021年1月1日至今（以合同签订时间为准）：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产品业绩项目证明材料：须提供中标（成交）通知书、合同协议书（含首页、关键页、签章页），应清晰可辨，合同签订主体为投标人，以上内容缺一不得分。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一个标包含有多种产品的，须提供核心产品的业绩方可认定加分。代理商投标的，不得将其他代理商或厂家自身的业绩作为投标人业绩加分。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每提供一份业绩加1分，最多加3分。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1"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restart"/>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w:t>
            </w: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（0-1分）</w:t>
            </w: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所投产品如为节能产品政府采购品目清单内非强制节能产品的，加0.5分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 xml:space="preserve">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6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Merge w:val="continue"/>
            <w:vAlign w:val="center"/>
          </w:tcPr>
          <w:p>
            <w:pPr>
              <w:widowControl/>
              <w:adjustRightInd w:val="0"/>
              <w:snapToGrid w:val="0"/>
              <w:spacing w:line="360" w:lineRule="auto"/>
              <w:jc w:val="left"/>
              <w:rPr>
                <w:rFonts w:hint="eastAsia" w:ascii="宋体" w:hAnsi="宋体" w:eastAsia="宋体" w:cs="宋体"/>
                <w:b/>
                <w:color w:val="auto"/>
                <w:kern w:val="0"/>
                <w:sz w:val="21"/>
                <w:szCs w:val="21"/>
                <w:highlight w:val="none"/>
              </w:rPr>
            </w:pPr>
          </w:p>
        </w:tc>
        <w:tc>
          <w:tcPr>
            <w:tcW w:w="3040" w:type="pct"/>
            <w:gridSpan w:val="2"/>
            <w:vAlign w:val="center"/>
          </w:tcPr>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所投产品如为环境标志产品政府采购品目清单内的产品，加0.5分。</w:t>
            </w:r>
          </w:p>
          <w:p>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9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质保期</w:t>
            </w:r>
          </w:p>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（0-3分）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在招标文件要求的质保期基础上，每承诺延长一年质保期得1.5分，最多得3分，未承诺的不得分。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实施方案（0-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1、项目具体实施进度方案：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体实施进度方案详实、全面可行，生产进度规划科学、原材料采购及生产计划响应迅速，供货周期优于项目要求，进度保障措施规划详细、响应周全、切实可行，项目组人员配备科学、分工明确、团队力量强得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（2）整体实施进度方案详细，生产进度规划合理、原材料采购及生产计划响应较快，供货周期优于项目要求，进度保障措施规划详细，项目组人员分工明确、团队力量较强得1分；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（3）整体实施进度方案简单，原材料采购及生产计划响应缓慢，进度保障措施规划简单，项目组人员配置较少、分工不够明确得0.5分；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2、质量保障措施：</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（1）质量保障方案制定详实、周全，质量保障制度制定完善、科学合理、可操作性强，质量保障人员配备科学、分工明确、团队力量强，有专门的的质量保障经费规划，质量保障设施设备配备齐全得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（2）质量保障方案制定详细，质量保障制度制定完善，质量保障人员配备充足、分工明确，有专门的的质量保障经费规划，质量保障设施设备配备较全得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（3）质量保障方案、质量保障制度制定简单，质量保障人员配备较少，分工不够明确，质量保障设施设备配备较少得 0.5分；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（4）未提供或其他得0分。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（1）方案提供的测试、验收依据和相关的技术标准准确完整，方案制定的测试、验收的组织形式、程序、注意事项周全详实，测试、验收环节和内容设置合理、全面得 2分；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（2）方案提供的测试、验收依据和相关的技术标准准确，方案制定的测试、验收的组织形式、程序、注意事项较完整，测试、验收环节和内容设置简单得 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（3）方案提供的测试、验收依据和相关的技术标准未提供，方案制定的测试、验收的组织形式、程序、注意事项简单，测试、验收环节和内容设置简单得0.5分；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（4）未提供或其他得0分。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履约能力（0-</w:t>
            </w:r>
            <w:r>
              <w:rPr>
                <w:rFonts w:hint="eastAsia" w:ascii="宋体" w:hAnsi="宋体" w:eastAsia="宋体" w:cs="宋体"/>
                <w:b/>
                <w:color w:val="auto"/>
                <w:kern w:val="0"/>
                <w:sz w:val="21"/>
                <w:szCs w:val="21"/>
                <w:highlight w:val="none"/>
                <w:lang w:val="en-US" w:eastAsia="zh-CN"/>
              </w:rPr>
              <w:t>3</w:t>
            </w:r>
            <w:r>
              <w:rPr>
                <w:rFonts w:hint="eastAsia" w:ascii="宋体" w:hAnsi="宋体" w:eastAsia="宋体" w:cs="宋体"/>
                <w:b/>
                <w:color w:val="auto"/>
                <w:kern w:val="0"/>
                <w:sz w:val="21"/>
                <w:szCs w:val="21"/>
                <w:highlight w:val="none"/>
              </w:rPr>
              <w:t>分）</w:t>
            </w:r>
          </w:p>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1.各阶段资金使用计划规划科学、各环节资金投入明确且保障有力得1分，不科学、不明确、没有保障或未提供该项内容得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2.生产过程有落实节能环保相关措施且科学可行得1分，措施不可行或未提供该项内容得 0 分。 </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3.与各用户单位沟通和协调管理制度完善可行得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restart"/>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售后服务及培训方案（0-</w:t>
            </w:r>
            <w:r>
              <w:rPr>
                <w:rFonts w:hint="eastAsia" w:ascii="宋体" w:hAnsi="宋体" w:eastAsia="宋体" w:cs="宋体"/>
                <w:b/>
                <w:color w:val="auto"/>
                <w:kern w:val="0"/>
                <w:sz w:val="21"/>
                <w:szCs w:val="21"/>
                <w:highlight w:val="none"/>
                <w:lang w:val="en-US" w:eastAsia="zh-CN"/>
              </w:rPr>
              <w:t>6</w:t>
            </w:r>
            <w:r>
              <w:rPr>
                <w:rFonts w:hint="eastAsia" w:ascii="宋体" w:hAnsi="宋体" w:eastAsia="宋体" w:cs="宋体"/>
                <w:b/>
                <w:color w:val="auto"/>
                <w:kern w:val="0"/>
                <w:sz w:val="21"/>
                <w:szCs w:val="21"/>
                <w:highlight w:val="none"/>
              </w:rPr>
              <w:t>分）</w:t>
            </w:r>
          </w:p>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（1）根据投标人</w:t>
            </w:r>
            <w:r>
              <w:rPr>
                <w:rFonts w:hint="eastAsia" w:ascii="宋体" w:hAnsi="宋体" w:eastAsia="宋体" w:cs="宋体"/>
                <w:color w:val="auto"/>
                <w:sz w:val="21"/>
                <w:szCs w:val="21"/>
                <w:highlight w:val="none"/>
                <w:lang w:val="en-US" w:eastAsia="zh-CN"/>
              </w:rPr>
              <w:t>售后</w:t>
            </w:r>
            <w:r>
              <w:rPr>
                <w:rFonts w:hint="eastAsia" w:ascii="宋体" w:hAnsi="宋体" w:eastAsia="宋体" w:cs="宋体"/>
                <w:color w:val="auto"/>
                <w:sz w:val="21"/>
                <w:szCs w:val="21"/>
                <w:highlight w:val="none"/>
              </w:rPr>
              <w:t>服务计划（内容包括但不限于</w:t>
            </w:r>
            <w:r>
              <w:rPr>
                <w:rFonts w:hint="eastAsia" w:ascii="宋体" w:hAnsi="宋体" w:eastAsia="宋体" w:cs="宋体"/>
                <w:color w:val="auto"/>
                <w:sz w:val="21"/>
                <w:szCs w:val="21"/>
                <w:highlight w:val="none"/>
                <w:lang w:val="en-US" w:eastAsia="zh-CN"/>
              </w:rPr>
              <w:t>质保期内及质保期外</w:t>
            </w:r>
            <w:r>
              <w:rPr>
                <w:rFonts w:hint="eastAsia" w:ascii="宋体" w:hAnsi="宋体" w:eastAsia="宋体" w:cs="宋体"/>
                <w:color w:val="auto"/>
                <w:sz w:val="21"/>
                <w:szCs w:val="21"/>
                <w:highlight w:val="none"/>
              </w:rPr>
              <w:t>服务内容、售后服务体系、故障响应、备品备件保障供应、巡检服务等）</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应急维修保障措施（内容包括但不限应急维修程序、应急维修预案、应急维修人员配备等）进行综合评分：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维修保障措施完整（涵盖上述全部内容，根据项目实际情况有新增加）、详尽，完全满足项目要求的，得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维修保障措施（涵盖上述全部内容，但是内容不够详尽或者其中某项描述欠缺的），基本满足项目要求的，得1分；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服务计划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维修保障措施（内容缺少一项或多项的）的，或者服务计划无法满足采购需求的得0.5分；</w:t>
            </w:r>
          </w:p>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无服务计划的不得分。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投标人提供本地化服务承诺（</w:t>
            </w:r>
            <w:r>
              <w:rPr>
                <w:rFonts w:hint="eastAsia" w:ascii="宋体" w:hAnsi="宋体" w:eastAsia="宋体" w:cs="宋体"/>
                <w:color w:val="auto"/>
                <w:sz w:val="21"/>
                <w:szCs w:val="21"/>
                <w:highlight w:val="none"/>
                <w:lang w:val="en-US" w:eastAsia="zh-CN"/>
              </w:rPr>
              <w:t>承诺书中需明确</w:t>
            </w:r>
            <w:r>
              <w:rPr>
                <w:rFonts w:hint="eastAsia" w:ascii="宋体" w:hAnsi="宋体" w:eastAsia="宋体" w:cs="宋体"/>
                <w:color w:val="auto"/>
                <w:sz w:val="21"/>
                <w:szCs w:val="21"/>
                <w:highlight w:val="none"/>
                <w:lang w:eastAsia="zh-CN"/>
              </w:rPr>
              <w:t>具体实施方式在合同中约定）的得</w:t>
            </w:r>
            <w:r>
              <w:rPr>
                <w:rFonts w:hint="eastAsia" w:ascii="宋体" w:hAnsi="宋体" w:eastAsia="宋体" w:cs="宋体"/>
                <w:color w:val="auto"/>
                <w:sz w:val="21"/>
                <w:szCs w:val="21"/>
                <w:highlight w:val="none"/>
                <w:lang w:val="en-US" w:eastAsia="zh-CN"/>
              </w:rPr>
              <w:t>1分，未提供的得0份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852" w:type="pct"/>
            <w:gridSpan w:val="2"/>
            <w:vMerge w:val="continue"/>
            <w:vAlign w:val="center"/>
          </w:tcPr>
          <w:p>
            <w:pPr>
              <w:adjustRightInd w:val="0"/>
              <w:snapToGrid w:val="0"/>
              <w:spacing w:line="360" w:lineRule="auto"/>
              <w:jc w:val="center"/>
              <w:rPr>
                <w:rFonts w:hint="eastAsia" w:ascii="宋体" w:hAnsi="宋体" w:eastAsia="宋体" w:cs="宋体"/>
                <w:b/>
                <w:color w:val="auto"/>
                <w:kern w:val="0"/>
                <w:sz w:val="21"/>
                <w:szCs w:val="21"/>
                <w:highlight w:val="none"/>
              </w:rPr>
            </w:pP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2.培训方案（</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等）进行综合评分，培训方案全面（涵盖上述全部内容，根据项目实际情况有新增加）、详尽，符合项目特点，针对性强，确保满足培训效果的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分；培训方案（内容缺少其中至少一项）、针对性不强，得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30234"/>
      <w:bookmarkStart w:id="399" w:name="_Toc3406"/>
      <w:bookmarkStart w:id="400" w:name="_Toc5920"/>
      <w:bookmarkStart w:id="401" w:name="_Toc26533"/>
      <w:bookmarkStart w:id="402" w:name="_Toc30895"/>
      <w:bookmarkStart w:id="403" w:name="_Toc17219"/>
      <w:bookmarkStart w:id="404" w:name="_Toc13454"/>
      <w:bookmarkStart w:id="405" w:name="_Toc4003"/>
      <w:bookmarkStart w:id="406" w:name="_Toc613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10856"/>
      <w:bookmarkStart w:id="408" w:name="_Toc28336"/>
      <w:bookmarkStart w:id="409" w:name="_Toc6724"/>
      <w:bookmarkStart w:id="410" w:name="_Toc17735"/>
      <w:bookmarkStart w:id="411" w:name="_Toc7259"/>
      <w:bookmarkStart w:id="412" w:name="_Toc31651"/>
      <w:bookmarkStart w:id="413" w:name="_Toc29139"/>
      <w:bookmarkStart w:id="414" w:name="_Toc27094"/>
      <w:bookmarkStart w:id="415" w:name="_Toc5467"/>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4338"/>
      <w:bookmarkStart w:id="417" w:name="_Toc5149"/>
      <w:bookmarkStart w:id="418" w:name="_Toc5605"/>
      <w:bookmarkStart w:id="419" w:name="_Toc21732"/>
      <w:bookmarkStart w:id="420" w:name="_Toc22175"/>
      <w:bookmarkStart w:id="421" w:name="_Toc1740"/>
      <w:bookmarkStart w:id="422" w:name="_Toc28724"/>
      <w:bookmarkStart w:id="423" w:name="_Toc16356"/>
      <w:bookmarkStart w:id="424" w:name="_Toc26726"/>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17957"/>
      <w:bookmarkStart w:id="426" w:name="_Toc18983"/>
      <w:bookmarkStart w:id="427" w:name="_Toc9613"/>
      <w:bookmarkStart w:id="428" w:name="_Toc10682"/>
      <w:bookmarkStart w:id="429" w:name="_Toc32083"/>
      <w:bookmarkStart w:id="430" w:name="_Toc1654"/>
      <w:bookmarkStart w:id="431" w:name="_Toc7036"/>
      <w:bookmarkStart w:id="432" w:name="_Toc5708"/>
      <w:bookmarkStart w:id="433" w:name="_Toc9443"/>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w:t>
      </w:r>
      <w:r>
        <w:rPr>
          <w:rFonts w:hint="eastAsia" w:ascii="宋体" w:hAnsi="宋体" w:cs="宋体"/>
          <w:b/>
          <w:bCs/>
          <w:color w:val="auto"/>
          <w:kern w:val="0"/>
          <w:sz w:val="24"/>
          <w:highlight w:val="none"/>
        </w:rPr>
        <w:t>认定其投标无效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30428"/>
      <w:bookmarkStart w:id="435" w:name="_Toc1221"/>
      <w:bookmarkStart w:id="436" w:name="_Toc12089"/>
      <w:bookmarkStart w:id="437" w:name="_Toc10132"/>
      <w:bookmarkStart w:id="438" w:name="_Toc26213"/>
      <w:bookmarkStart w:id="439" w:name="_Toc22449"/>
      <w:bookmarkStart w:id="440" w:name="_Toc24391"/>
      <w:bookmarkStart w:id="441" w:name="_Toc13336"/>
      <w:bookmarkStart w:id="442" w:name="_Toc18705"/>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5640"/>
      <w:bookmarkStart w:id="444" w:name="_Toc6048"/>
      <w:bookmarkStart w:id="445" w:name="_Toc9150"/>
      <w:bookmarkStart w:id="446" w:name="_Toc18083"/>
      <w:bookmarkStart w:id="447" w:name="_Toc11785"/>
      <w:bookmarkStart w:id="448" w:name="_Toc2162"/>
      <w:bookmarkStart w:id="449" w:name="_Toc11722"/>
      <w:bookmarkStart w:id="450" w:name="_Toc7845"/>
      <w:bookmarkStart w:id="451" w:name="_Toc18381"/>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27845"/>
      <w:bookmarkStart w:id="453" w:name="_Toc25857"/>
      <w:bookmarkStart w:id="454" w:name="_Toc19426"/>
      <w:bookmarkStart w:id="455" w:name="_Toc10336"/>
      <w:bookmarkStart w:id="456" w:name="_Toc12108"/>
      <w:bookmarkStart w:id="457" w:name="_Toc12060"/>
      <w:bookmarkStart w:id="458" w:name="_Toc7956"/>
      <w:bookmarkStart w:id="459" w:name="_Toc28041"/>
      <w:bookmarkStart w:id="460" w:name="_Toc19756"/>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16056"/>
      <w:bookmarkStart w:id="465" w:name="_Toc30127"/>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 w:val="28"/>
          <w:szCs w:val="28"/>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 w:val="28"/>
          <w:szCs w:val="28"/>
          <w:highlight w:val="none"/>
        </w:rPr>
      </w:pPr>
    </w:p>
    <w:p>
      <w:pPr>
        <w:bidi w:val="0"/>
        <w:rPr>
          <w:color w:val="auto"/>
          <w:sz w:val="28"/>
          <w:szCs w:val="28"/>
          <w:highlight w:val="none"/>
        </w:rPr>
      </w:pPr>
      <w:r>
        <w:rPr>
          <w:rFonts w:hint="eastAsia"/>
          <w:color w:val="auto"/>
          <w:sz w:val="28"/>
          <w:szCs w:val="28"/>
          <w:highlight w:val="none"/>
        </w:rPr>
        <w:t>项目名称：</w:t>
      </w:r>
      <w:r>
        <w:rPr>
          <w:rFonts w:hint="eastAsia"/>
          <w:color w:val="auto"/>
          <w:sz w:val="28"/>
          <w:szCs w:val="28"/>
          <w:highlight w:val="none"/>
          <w:lang w:eastAsia="zh-CN"/>
        </w:rPr>
        <w:t>平顶山市消防救援支队河南省消防救援总队“自然灾害应急能力提升工程”平顶山支队装备建设项目</w:t>
      </w: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pStyle w:val="10"/>
        <w:spacing w:line="360" w:lineRule="auto"/>
        <w:ind w:left="0" w:leftChars="0" w:right="1470"/>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甲方（需方）：</w:t>
      </w:r>
    </w:p>
    <w:p>
      <w:pPr>
        <w:widowControl/>
        <w:spacing w:line="360" w:lineRule="auto"/>
        <w:rPr>
          <w:rFonts w:ascii="宋体" w:cs="宋体"/>
          <w:color w:val="auto"/>
          <w:sz w:val="28"/>
          <w:szCs w:val="28"/>
          <w:highlight w:val="none"/>
        </w:rPr>
      </w:pPr>
    </w:p>
    <w:p>
      <w:pPr>
        <w:widowControl/>
        <w:spacing w:line="360" w:lineRule="auto"/>
        <w:rPr>
          <w:rFonts w:ascii="宋体" w:cs="宋体"/>
          <w:color w:val="auto"/>
          <w:sz w:val="28"/>
          <w:szCs w:val="28"/>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 xml:space="preserve">乙方（供方）： </w:t>
      </w:r>
    </w:p>
    <w:p>
      <w:pPr>
        <w:widowControl/>
        <w:spacing w:line="360" w:lineRule="auto"/>
        <w:jc w:val="right"/>
        <w:rPr>
          <w:rFonts w:ascii="宋体" w:cs="宋体"/>
          <w:color w:val="auto"/>
          <w:sz w:val="28"/>
          <w:szCs w:val="28"/>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合同签订日期：二〇二</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ascii="宋体" w:hAnsi="宋体" w:cs="宋体"/>
          <w:color w:val="auto"/>
          <w:sz w:val="32"/>
          <w:szCs w:val="32"/>
          <w:highlight w:val="none"/>
        </w:rPr>
        <w:t xml:space="preserve"> </w:t>
      </w:r>
    </w:p>
    <w:p>
      <w:pPr>
        <w:snapToGrid w:val="0"/>
        <w:spacing w:before="119" w:line="360" w:lineRule="auto"/>
        <w:textAlignment w:val="baseline"/>
        <w:rPr>
          <w:rFonts w:hint="eastAsia" w:ascii="宋体" w:cs="宋体"/>
          <w:color w:val="auto"/>
          <w:kern w:val="0"/>
          <w:szCs w:val="21"/>
          <w:highlight w:val="none"/>
        </w:rPr>
      </w:pPr>
    </w:p>
    <w:p>
      <w:pPr>
        <w:pStyle w:val="21"/>
        <w:rPr>
          <w:rFonts w:hint="eastAsia"/>
          <w:color w:val="auto"/>
          <w:highlight w:val="none"/>
        </w:rPr>
      </w:pPr>
    </w:p>
    <w:p>
      <w:pPr>
        <w:pStyle w:val="6"/>
        <w:rPr>
          <w:rFonts w:hint="eastAsia"/>
          <w:color w:val="auto"/>
          <w:highlight w:val="none"/>
        </w:rPr>
      </w:pPr>
    </w:p>
    <w:p>
      <w:pPr>
        <w:widowControl/>
        <w:snapToGrid w:val="0"/>
        <w:spacing w:line="360" w:lineRule="auto"/>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u w:val="single"/>
        </w:rPr>
        <w:t xml:space="preserve">                            </w:t>
      </w:r>
    </w:p>
    <w:p>
      <w:pPr>
        <w:widowControl/>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 xml:space="preserve">               </w:t>
      </w:r>
    </w:p>
    <w:p>
      <w:pPr>
        <w:widowControl/>
        <w:snapToGrid w:val="0"/>
        <w:spacing w:line="360"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为了保护供需各方的合法权益，甲乙双方依照《中华人民共和国民法典》有关条款，就</w:t>
      </w:r>
      <w:r>
        <w:rPr>
          <w:rFonts w:hint="eastAsia" w:ascii="宋体" w:hAnsi="宋体" w:eastAsia="宋体" w:cs="宋体"/>
          <w:bCs/>
          <w:color w:val="auto"/>
          <w:kern w:val="0"/>
          <w:sz w:val="24"/>
          <w:szCs w:val="24"/>
          <w:highlight w:val="none"/>
          <w:u w:val="single"/>
          <w:lang w:eastAsia="zh-CN"/>
        </w:rPr>
        <w:t>平顶山市消防救援支队河南省消防救援总队“自然灾害应急能力提升工程”平顶山支队装备建设项目</w:t>
      </w:r>
      <w:r>
        <w:rPr>
          <w:rFonts w:hint="eastAsia" w:ascii="宋体" w:hAnsi="宋体" w:eastAsia="宋体" w:cs="宋体"/>
          <w:bCs/>
          <w:color w:val="auto"/>
          <w:kern w:val="0"/>
          <w:sz w:val="24"/>
          <w:szCs w:val="24"/>
          <w:highlight w:val="none"/>
        </w:rPr>
        <w:t>（项目编号：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）第</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包中，乙方向甲方提供的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的供货及相关服务，经甲乙双方协商一致，签订本合同，共同遵守执行。</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1、合同文件</w:t>
      </w:r>
    </w:p>
    <w:p>
      <w:pPr>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下列文件构成本合同的组成部分，应该认为是一个整体，彼此相互解释，相互补充。组成合同的多个文件的优先支配地位的次序如下：</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a.本合同书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b.中标通知书</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c.协议</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d.投标文件</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e.招标文件(含招标文件补充通知)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f.会议纪要、协议等</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7" w:name="_Toc19189"/>
      <w:r>
        <w:rPr>
          <w:rFonts w:hint="eastAsia" w:ascii="宋体" w:hAnsi="宋体" w:eastAsia="宋体" w:cs="宋体"/>
          <w:b/>
          <w:color w:val="auto"/>
          <w:kern w:val="0"/>
          <w:sz w:val="24"/>
          <w:szCs w:val="24"/>
          <w:highlight w:val="none"/>
        </w:rPr>
        <w:t>2、货物和数量</w:t>
      </w:r>
      <w:bookmarkEnd w:id="467"/>
    </w:p>
    <w:p>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币种单位：人民币(元)</w:t>
      </w:r>
    </w:p>
    <w:tbl>
      <w:tblPr>
        <w:tblStyle w:val="22"/>
        <w:tblW w:w="4997"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510"/>
        <w:gridCol w:w="1378"/>
        <w:gridCol w:w="855"/>
        <w:gridCol w:w="1428"/>
        <w:gridCol w:w="1240"/>
        <w:gridCol w:w="730"/>
        <w:gridCol w:w="1057"/>
        <w:gridCol w:w="113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restar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vMerge w:val="continue"/>
            <w:tcBorders>
              <w:top w:val="outset" w:color="000000" w:sz="6" w:space="0"/>
              <w:bottom w:val="outset" w:color="000000" w:sz="6" w:space="0"/>
              <w:right w:val="outset" w:color="000000"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货物名称</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生产厂家</w:t>
            </w: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单价</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数量/单位</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小计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306" w:type="pct"/>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2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513"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857"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74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c>
          <w:tcPr>
            <w:tcW w:w="438"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34" w:type="pct"/>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本合同总金额</w:t>
            </w:r>
          </w:p>
        </w:tc>
        <w:tc>
          <w:tcPr>
            <w:tcW w:w="3186" w:type="pct"/>
            <w:gridSpan w:val="5"/>
            <w:tcBorders>
              <w:top w:val="outset" w:color="000000" w:sz="6" w:space="0"/>
              <w:left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679" w:type="pct"/>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1133" w:type="pct"/>
            <w:gridSpan w:val="2"/>
            <w:tcBorders>
              <w:top w:val="outset" w:color="000000" w:sz="6" w:space="0"/>
              <w:bottom w:val="outset" w:color="000000" w:sz="6" w:space="0"/>
              <w:right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3866" w:type="pct"/>
            <w:gridSpan w:val="6"/>
            <w:tcBorders>
              <w:top w:val="outset" w:color="000000" w:sz="6" w:space="0"/>
              <w:left w:val="outset" w:color="000000" w:sz="6" w:space="0"/>
              <w:bottom w:val="outset" w:color="000000"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p>
        </w:tc>
      </w:tr>
    </w:tbl>
    <w:p>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kern w:val="0"/>
          <w:sz w:val="24"/>
          <w:szCs w:val="24"/>
          <w:highlight w:val="none"/>
        </w:rPr>
        <w:t>合同总价：</w:t>
      </w: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合同总金额为乙方完成本合同项下全部义务（包括但不限于货物及配置产品的设计、采购、制造、检测、试验、包装、运输、保险、装卸、货款、安装调试、培训、保修维护、技术支持、质保期服务、税费和服务内容的检验、验收、技术服务（包括技术资料、图纸的提供）、质保期保障等）的费用和报酬，除本合同另有约定外，甲方无须支付其他任何费用和款项</w:t>
      </w:r>
      <w:r>
        <w:rPr>
          <w:rFonts w:hint="eastAsia" w:ascii="宋体" w:hAnsi="宋体" w:eastAsia="宋体" w:cs="宋体"/>
          <w:color w:val="auto"/>
          <w:sz w:val="24"/>
          <w:szCs w:val="24"/>
          <w:highlight w:val="none"/>
        </w:rPr>
        <w:t>。</w:t>
      </w:r>
    </w:p>
    <w:p>
      <w:pPr>
        <w:snapToGrid w:val="0"/>
        <w:spacing w:line="360" w:lineRule="auto"/>
        <w:ind w:firstLine="482" w:firstLineChars="200"/>
        <w:textAlignment w:val="baseline"/>
        <w:rPr>
          <w:rFonts w:hint="eastAsia" w:ascii="宋体" w:hAnsi="宋体" w:eastAsia="宋体" w:cs="宋体"/>
          <w:b/>
          <w:color w:val="auto"/>
          <w:kern w:val="0"/>
          <w:sz w:val="24"/>
          <w:szCs w:val="24"/>
          <w:highlight w:val="none"/>
        </w:rPr>
      </w:pPr>
      <w:bookmarkStart w:id="468" w:name="_Toc478555529"/>
      <w:bookmarkStart w:id="469" w:name="_Toc10153"/>
      <w:r>
        <w:rPr>
          <w:rFonts w:hint="eastAsia" w:ascii="宋体" w:hAnsi="宋体" w:eastAsia="宋体" w:cs="宋体"/>
          <w:b/>
          <w:color w:val="auto"/>
          <w:kern w:val="0"/>
          <w:sz w:val="24"/>
          <w:szCs w:val="24"/>
          <w:highlight w:val="none"/>
        </w:rPr>
        <w:t>3</w:t>
      </w:r>
      <w:bookmarkEnd w:id="468"/>
      <w:r>
        <w:rPr>
          <w:rFonts w:hint="eastAsia" w:ascii="宋体" w:hAnsi="宋体" w:eastAsia="宋体" w:cs="宋体"/>
          <w:b/>
          <w:color w:val="auto"/>
          <w:kern w:val="0"/>
          <w:sz w:val="24"/>
          <w:szCs w:val="24"/>
          <w:highlight w:val="none"/>
        </w:rPr>
        <w:t>、货物包装、运输</w:t>
      </w:r>
      <w:bookmarkEnd w:id="469"/>
    </w:p>
    <w:p>
      <w:pPr>
        <w:snapToGrid w:val="0"/>
        <w:spacing w:line="360" w:lineRule="auto"/>
        <w:ind w:firstLine="480" w:firstLineChars="200"/>
        <w:textAlignment w:val="baseline"/>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3.1</w:t>
      </w:r>
      <w:r>
        <w:rPr>
          <w:rFonts w:hint="eastAsia" w:ascii="宋体" w:hAnsi="宋体" w:eastAsia="宋体" w:cs="宋体"/>
          <w:color w:val="auto"/>
          <w:sz w:val="24"/>
          <w:szCs w:val="24"/>
          <w:highlight w:val="none"/>
        </w:rPr>
        <w:t>合同货物的包装：货物的包装均应有良好的防湿、防锈、防潮、防雨、防腐及防碰撞的措施，同时每类器材应分类包装，禁止混包。凡由于包装不良造成的损失和由此产生的费用均由乙方承担</w:t>
      </w:r>
      <w:r>
        <w:rPr>
          <w:rFonts w:hint="eastAsia" w:ascii="宋体" w:hAnsi="宋体" w:eastAsia="宋体" w:cs="宋体"/>
          <w:color w:val="auto"/>
          <w:kern w:val="0"/>
          <w:sz w:val="24"/>
          <w:szCs w:val="24"/>
          <w:highlight w:val="none"/>
        </w:rPr>
        <w:t>，乙方负责办理运输和保险，将货物运抵现场。有关运输和保险的一切费用由乙方承担。</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3.1.2本合同项下交货时间：自样品验收合格之日起至货物运抵现场并验收合格之日止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日历天内为交货时间。合格样品须于合同签订之日起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日内提供。</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3.1.3本合同项下交货地点：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widowControl/>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sz w:val="24"/>
          <w:szCs w:val="24"/>
          <w:highlight w:val="none"/>
        </w:rPr>
        <w:t>联系人：         联系电话：</w:t>
      </w:r>
    </w:p>
    <w:p>
      <w:pPr>
        <w:wordWrap w:val="0"/>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3.2乙方应在送达甲方指定地点前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日以书面形式通知甲方送货时间、合同号、货物名称、数量，确保甲方做好相关接收准备工作。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乙方联系人：         联系电话： </w:t>
      </w:r>
    </w:p>
    <w:p>
      <w:pPr>
        <w:tabs>
          <w:tab w:val="left" w:pos="719"/>
        </w:tabs>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bookmarkStart w:id="470" w:name="_Toc478555530"/>
      <w:r>
        <w:rPr>
          <w:rFonts w:hint="eastAsia" w:ascii="宋体" w:hAnsi="宋体" w:eastAsia="宋体" w:cs="宋体"/>
          <w:color w:val="auto"/>
          <w:kern w:val="0"/>
          <w:sz w:val="24"/>
          <w:szCs w:val="24"/>
          <w:highlight w:val="none"/>
        </w:rPr>
        <w:t>.3货物的装卸：货物到达甲方指定地点后，由乙方负责货物装卸及发生的一切费用。</w:t>
      </w:r>
    </w:p>
    <w:bookmarkEnd w:id="470"/>
    <w:p>
      <w:pPr>
        <w:snapToGrid w:val="0"/>
        <w:spacing w:line="360" w:lineRule="auto"/>
        <w:ind w:firstLine="241" w:firstLineChars="100"/>
        <w:rPr>
          <w:rFonts w:hint="eastAsia" w:ascii="宋体" w:hAnsi="宋体" w:eastAsia="宋体" w:cs="宋体"/>
          <w:b/>
          <w:bCs/>
          <w:color w:val="auto"/>
          <w:sz w:val="24"/>
          <w:szCs w:val="24"/>
          <w:highlight w:val="none"/>
        </w:rPr>
      </w:pPr>
      <w:bookmarkStart w:id="471" w:name="_Toc22486"/>
      <w:r>
        <w:rPr>
          <w:rFonts w:hint="eastAsia" w:ascii="宋体" w:hAnsi="宋体" w:eastAsia="宋体" w:cs="宋体"/>
          <w:b/>
          <w:bCs/>
          <w:color w:val="auto"/>
          <w:sz w:val="24"/>
          <w:szCs w:val="24"/>
          <w:highlight w:val="none"/>
        </w:rPr>
        <w:t>4、付款方式</w:t>
      </w:r>
      <w:bookmarkEnd w:id="47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4.1合同签订之日起 14 个工作日内，乙方向甲方提供合同总金额5%的履约保证金（履约保证金期限届满后60日内甲方向乙方退还）。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60日历天内，甲方向乙方支付全部货款。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4.2履约保证金的提交形式：转账及法律法规规定的其他形式。</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如乙方采用保函形式缴纳履约保证金的，则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履约保证金（履约保函等）期限：提交之日起至全部货物到货验收合格之日起的第366天止。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无论履约保金、独立保函是否退还，采购人或采购人用户随时都有权对由中标人生产的尚未使用且在质量保证期内的装备发生的质量问题向乙方主张索赔。</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2" w:name="_Toc14628"/>
      <w:r>
        <w:rPr>
          <w:rFonts w:hint="eastAsia" w:ascii="宋体" w:hAnsi="宋体" w:eastAsia="宋体" w:cs="宋体"/>
          <w:b/>
          <w:bCs/>
          <w:color w:val="auto"/>
          <w:sz w:val="24"/>
          <w:szCs w:val="24"/>
          <w:highlight w:val="none"/>
        </w:rPr>
        <w:t>5、质量保证</w:t>
      </w:r>
      <w:bookmarkEnd w:id="472"/>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5.1乙方提供的全部产品须符合国家消防产品技术规范和相关产品标准，且都属于厂家原装正品产品，并为合法渠道进货的全新产品，其质量、规格及技术特征符合招标和投标文件要求。</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因货物质量问题发生争议的，由国家消防装备质量检验中心质量鉴定，该鉴定结论是终局的，甲乙双方均应当接受，发生的相关费用由货物质量责任方承担。国家消防装备质量监督检验中心无法鉴定的，经甲乙双方同意，可委托有相关资质的第三方机构进行质量鉴定。鉴定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在批量生产前，需提供样品，由验收小组根据招标文件要求和投标文件承诺进行初验，样品验收合格后乙方方可批量生产。中标人提供样品进行验收的次数不得超过2次；若第1次样品验收不通过，中标人须在第1次样品验收之日起10日内提交第2次样品验收；若2次样品验收均不通过的，可视为中标人违约，采购人有权终止合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5.4样品需要抽样送检的相关费用由乙方承担。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5.5质保期内乙方应到产品使用单位开展技术巡检和售后服务。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5.6乙方所投产品需附具有合法资质的检测机构出具的检测报告或产品合格证书。</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3" w:name="_Toc478555533"/>
      <w:bookmarkStart w:id="474" w:name="_Toc12718"/>
      <w:r>
        <w:rPr>
          <w:rFonts w:hint="eastAsia" w:ascii="宋体" w:hAnsi="宋体" w:eastAsia="宋体" w:cs="宋体"/>
          <w:b/>
          <w:bCs/>
          <w:color w:val="auto"/>
          <w:sz w:val="24"/>
          <w:szCs w:val="24"/>
          <w:highlight w:val="none"/>
        </w:rPr>
        <w:t>6</w:t>
      </w:r>
      <w:bookmarkEnd w:id="473"/>
      <w:r>
        <w:rPr>
          <w:rFonts w:hint="eastAsia" w:ascii="宋体" w:hAnsi="宋体" w:eastAsia="宋体" w:cs="宋体"/>
          <w:b/>
          <w:bCs/>
          <w:color w:val="auto"/>
          <w:sz w:val="24"/>
          <w:szCs w:val="24"/>
          <w:highlight w:val="none"/>
        </w:rPr>
        <w:t>、售后服务</w:t>
      </w:r>
      <w:bookmarkEnd w:id="474"/>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6.1合同项下货物的质量保证期为：     年的质保服务，自甲乙双方代表在货物交付后的验收合格报告书上签字之日起计算（如果乙方投标承诺或生产制造厂家提供的质保期超过本款要求，按乙方投标承诺或生产制造厂家的质保期执行）。</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质保期内非甲方的人为原因而出现货物质量及安装问题，由乙方负责包修、包换或包退，并承担因此而产生的一切费用。质保期后，由乙方提供免工时费服务，只收取材料费。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6.2质保期内，乙方负责对其提供货物进行维修，不再向甲方收取费用，但自然因素（如火灾、雷击等）造成的故障除外。</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6.3乙方开通     小时服务热线，提供     小时技术服务。产品出现问题，故障响应时间为     ，到达现场时间不超过     小时，     小时无法排除故障，乙方应     小时内提供同款设备供用户使用，直至送修设备修好后换回为止。</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6.4乙方应按照招标文件、投标文件及本合同的要求，对出售给甲方的货物进行有效跟踪服务，定期巡检，每年不少于     次。</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6.5质保期满后，乙方未提供货物使用所有单位巡检记录的，乙方应向甲方支付合同金额的5%作为违约金。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6.6在发出信息、通知     日内没有收到回复，视为对方收到信息、通知。</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5" w:name="_Toc23776"/>
      <w:r>
        <w:rPr>
          <w:rFonts w:hint="eastAsia" w:ascii="宋体" w:hAnsi="宋体" w:eastAsia="宋体" w:cs="宋体"/>
          <w:b/>
          <w:bCs/>
          <w:color w:val="auto"/>
          <w:sz w:val="24"/>
          <w:szCs w:val="24"/>
          <w:highlight w:val="none"/>
        </w:rPr>
        <w:t>7、检验和验收</w:t>
      </w:r>
      <w:bookmarkEnd w:id="475"/>
    </w:p>
    <w:p>
      <w:pPr>
        <w:snapToGrid w:val="0"/>
        <w:spacing w:line="360" w:lineRule="auto"/>
        <w:ind w:firstLine="240" w:firstLineChars="100"/>
        <w:rPr>
          <w:rFonts w:hint="eastAsia" w:ascii="宋体" w:hAnsi="宋体" w:eastAsia="宋体" w:cs="宋体"/>
          <w:color w:val="auto"/>
          <w:sz w:val="24"/>
          <w:szCs w:val="24"/>
          <w:highlight w:val="none"/>
        </w:rPr>
      </w:pPr>
      <w:bookmarkStart w:id="476" w:name="_Toc478555534"/>
      <w:r>
        <w:rPr>
          <w:rFonts w:hint="eastAsia" w:ascii="宋体" w:hAnsi="宋体" w:eastAsia="宋体" w:cs="宋体"/>
          <w:color w:val="auto"/>
          <w:sz w:val="24"/>
          <w:szCs w:val="24"/>
          <w:highlight w:val="none"/>
        </w:rPr>
        <w:t>7.1在交货前，中标人应对货物的质量、规格、性能、数量和重量等进行详细而全面的检验，并出具证明货物符合合同规定的文件。该文件将作为申请付款单据的一部分。</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验收前应提供所有中文使用说明书等资料文档后进行验收，每件货品须有产品出厂合格证、产品使用说明书、电子文档产品使用说明书、具有合法资质的检测机构出具有效期内的检测报告（招标文件采购需求中约定不需要提供的除外）和货物有关配件等。验收时如发现所交付的货物有短装、次品、损坏、不符合招标文件的技术要求或其它不符合本合同规定之情形者，甲方应做出详尽的现场记录，或由甲乙双方签署备忘录，甲方有权终止合同，甲方有权要求乙方赔偿由此产生的所有费用。此现场记录或备忘录是本合同的有效组成部分，可用作补充、缺失和更换损坏部件的有效证据，由此产生的有关费用由乙方承担，验收期限相应后延。如果合同货物运输和安装调试过程中因事故造成货物短缺、损坏，乙方应及时安排调换，以保证合同货物安装调试的及时完成，换货的相关费用由乙方承担。</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7.3甲乙双方应当在货物验收完成后，10个工作日内共同签署验收报告，且此验收报告应当作为乙方申请付款的凭证之一。 </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7" w:name="_Toc7749"/>
      <w:r>
        <w:rPr>
          <w:rFonts w:hint="eastAsia" w:ascii="宋体" w:hAnsi="宋体" w:eastAsia="宋体" w:cs="宋体"/>
          <w:b/>
          <w:bCs/>
          <w:color w:val="auto"/>
          <w:sz w:val="24"/>
          <w:szCs w:val="24"/>
          <w:highlight w:val="none"/>
        </w:rPr>
        <w:t>8、索赔</w:t>
      </w:r>
      <w:bookmarkEnd w:id="476"/>
      <w:bookmarkEnd w:id="47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8.1消防装备器材经两次验收仍不合格的，甲方有权根据验收结果立即解除与乙方签订的合同，并向乙方提出索赔。</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8.2在合同执行期间，如果乙方对甲方提出的索赔有异议，乙方需经甲方同意按照下列一种或多种方式解决索赔事宜：</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（1）乙方同意退货，并按合同规定的同种货币将货款退还给甲方，并承担由此发生的一切损失和费用。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8.3如果在甲方发出索赔通知后3日内，乙方未作答复，上述索赔应视为已被乙方接受。如乙方未能在甲方提出索赔通知后 7 日内或甲方同意的更长时间内进行赔偿，甲方将有权从合同款或从乙方的履约保证金中优先扣除索赔金额。若不足以赔偿索赔金额的，不足部分由乙方另行赔偿。</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78" w:name="_Toc19670"/>
      <w:bookmarkStart w:id="479" w:name="_Toc478555535"/>
      <w:r>
        <w:rPr>
          <w:rFonts w:hint="eastAsia" w:ascii="宋体" w:hAnsi="宋体" w:eastAsia="宋体" w:cs="宋体"/>
          <w:b/>
          <w:bCs/>
          <w:color w:val="auto"/>
          <w:sz w:val="24"/>
          <w:szCs w:val="24"/>
          <w:highlight w:val="none"/>
        </w:rPr>
        <w:t>9、违约与处罚</w:t>
      </w:r>
      <w:bookmarkEnd w:id="478"/>
    </w:p>
    <w:bookmarkEnd w:id="479"/>
    <w:p>
      <w:pPr>
        <w:snapToGrid w:val="0"/>
        <w:spacing w:line="360" w:lineRule="auto"/>
        <w:ind w:firstLine="240" w:firstLineChars="100"/>
        <w:rPr>
          <w:rFonts w:hint="eastAsia" w:ascii="宋体" w:hAnsi="宋体" w:eastAsia="宋体" w:cs="宋体"/>
          <w:color w:val="auto"/>
          <w:sz w:val="24"/>
          <w:szCs w:val="24"/>
          <w:highlight w:val="none"/>
        </w:rPr>
      </w:pPr>
      <w:bookmarkStart w:id="480" w:name="_Toc478555537"/>
      <w:bookmarkStart w:id="481" w:name="_Toc30166"/>
      <w:r>
        <w:rPr>
          <w:rFonts w:hint="eastAsia" w:ascii="宋体" w:hAnsi="宋体" w:eastAsia="宋体" w:cs="宋体"/>
          <w:color w:val="auto"/>
          <w:sz w:val="24"/>
          <w:szCs w:val="24"/>
          <w:highlight w:val="none"/>
        </w:rPr>
        <w:t>9.1甲方应依合同规定时间内，向乙方支付货款，每拖延一天乙方可向甲方加收合同金额的1‰的违约金，但不超过合同金额的2%。</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乙双方协商后，选择继续履行本合同的，甲方将从本合同货款总额内一次性扣除10%作为乙方的违约金。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乙方交付货物不符合合同规定的或性能参数达不到招标文件要求、投标文件承诺的，甲方有权拒收或单方面解除本合同，并要求乙方赔付合同价款的10%作为违约金，同时甲方向采购监管部门申请将乙方列入“黑名单”，禁止乙方在三年内参与甲方及甲方下属机构的任何招投标采购活动。</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9.4因验收不合格需要更换同规格的货物时，货物更换完成时间晚于交货时间的视为逾期交货。</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9.5甲方无正当理由拒收乙方按照合同约定提供合格货物的，甲方应向乙方支付合同金额的10%作为违约金。</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9.6乙方未能按照故障响应时间履行售后维修、培训等服务的，甲方根据使用单位书面反馈情况，经核实属实的，每次乙方应支付合同金额的1%作为违约金，但不超过合同金额的5%。</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9.7质保期满后，乙方未提供货物使用所有单位每半年巡检记录的，乙方应向甲方支付合同金额的5%作为违约金。</w:t>
      </w:r>
    </w:p>
    <w:p>
      <w:pPr>
        <w:snapToGrid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10、不可抗力</w:t>
      </w:r>
      <w:bookmarkEnd w:id="480"/>
      <w:bookmarkEnd w:id="481"/>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10.1如果双方中任何一方遭遇法律规定的不可抗力，致使合同履行受阻时，履行合同的期限应予延长，延长的期限应相当于不可抗力所影响的时间。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10.2受事故影响的一方应在不可抗力的事故发生后尽快书面形式通知另一方，并在事故发生后     日内，将有关部门出具的证明文件送达另一方。</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10.3不可抗力使合同的某些内容有变更必要的，双方应通过协商在3日内达成进一步履行合同的协议，因不可抗力致使合同不能履行的，合同终止。</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2" w:name="_Toc30186"/>
      <w:bookmarkStart w:id="483" w:name="_Toc478555539"/>
      <w:r>
        <w:rPr>
          <w:rFonts w:hint="eastAsia" w:ascii="宋体" w:hAnsi="宋体" w:eastAsia="宋体" w:cs="宋体"/>
          <w:b/>
          <w:bCs/>
          <w:color w:val="auto"/>
          <w:sz w:val="24"/>
          <w:szCs w:val="24"/>
          <w:highlight w:val="none"/>
        </w:rPr>
        <w:t>11、合同争议的解决</w:t>
      </w:r>
      <w:bookmarkEnd w:id="482"/>
      <w:bookmarkEnd w:id="483"/>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11.1因合同履行中发生的争议，可通过合同当事人双方友好协商解决。如自协商开始之起15日内得不到解决，可向甲方所在地人民法院提起诉讼。</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4" w:name="_Toc30951"/>
      <w:bookmarkStart w:id="485" w:name="_Toc478555540"/>
      <w:r>
        <w:rPr>
          <w:rFonts w:hint="eastAsia" w:ascii="宋体" w:hAnsi="宋体" w:eastAsia="宋体" w:cs="宋体"/>
          <w:b/>
          <w:bCs/>
          <w:color w:val="auto"/>
          <w:sz w:val="24"/>
          <w:szCs w:val="24"/>
          <w:highlight w:val="none"/>
        </w:rPr>
        <w:t>12、违约解除合同</w:t>
      </w:r>
      <w:bookmarkEnd w:id="484"/>
      <w:bookmarkEnd w:id="485"/>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12.1在乙方违约的情况下，可向乙方发出书面通知，部分或全部终止合同。同时保留向乙方追诉的权利。</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12.1.1乙方未能在合同规定的限期或甲方同意延长的限期内，提供全部或部分货物的； </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12.1.2乙方未能履行合同规定的其它主要义务的；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12.1.3甲方认为乙方在本合同履行过程中有腐败和欺诈行为的。</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12.1.3.1“腐败行为”和“欺诈行为”定义如下：</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12.1.3.1.1“腐败行为”是指提供/给予/接受或索取任何有价值的东西来影响甲方在合同签定、履行过程中的行为。</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12.1.3.1.2“欺诈行为”是指为了影响合同签定、履行过程，以谎报事实的方法，损害甲方的利益的行为。</w:t>
      </w:r>
    </w:p>
    <w:p>
      <w:pPr>
        <w:snapToGrid w:val="0"/>
        <w:spacing w:line="360" w:lineRule="auto"/>
        <w:ind w:firstLine="241" w:firstLineChars="100"/>
        <w:rPr>
          <w:rFonts w:hint="eastAsia" w:ascii="宋体" w:hAnsi="宋体" w:eastAsia="宋体" w:cs="宋体"/>
          <w:b/>
          <w:bCs/>
          <w:color w:val="auto"/>
          <w:sz w:val="24"/>
          <w:szCs w:val="24"/>
          <w:highlight w:val="none"/>
        </w:rPr>
      </w:pPr>
      <w:bookmarkStart w:id="486" w:name="_Toc478555548"/>
      <w:bookmarkStart w:id="487" w:name="_Toc18676"/>
      <w:r>
        <w:rPr>
          <w:rFonts w:hint="eastAsia" w:ascii="宋体" w:hAnsi="宋体" w:eastAsia="宋体" w:cs="宋体"/>
          <w:b/>
          <w:bCs/>
          <w:color w:val="auto"/>
          <w:sz w:val="24"/>
          <w:szCs w:val="24"/>
          <w:highlight w:val="none"/>
        </w:rPr>
        <w:t>13、合同生效</w:t>
      </w:r>
      <w:bookmarkEnd w:id="486"/>
      <w:r>
        <w:rPr>
          <w:rFonts w:hint="eastAsia" w:ascii="宋体" w:hAnsi="宋体" w:eastAsia="宋体" w:cs="宋体"/>
          <w:b/>
          <w:bCs/>
          <w:color w:val="auto"/>
          <w:sz w:val="24"/>
          <w:szCs w:val="24"/>
          <w:highlight w:val="none"/>
        </w:rPr>
        <w:t>及其他</w:t>
      </w:r>
      <w:bookmarkEnd w:id="487"/>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13.1政府采购项目的采购合同内容的确定应以招标文件和投标文件为基础，不得违背其实质性内容。本合同经双方全权代表签署、加盖单位印章并由乙方递交履约保证金后开始生效。</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13.2签约双方在履约中发生争执和分歧，双方应通过友好协商解决。若经协商不能达成协议时，可依法提起诉讼。受理期间，双方应继续执行合同中没有争议的有关约定。</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13.3甲乙双方共同确认，本合同中所列明的联系地址及电话，视为双方在履行本合同中及发生争议时，各类文书（包括法律文书）的送达地址。</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13.4本合同一式  肆 份，具同等法律效力。甲方叁份，乙方壹份。</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附件一：投标一览表</w:t>
      </w:r>
    </w:p>
    <w:p>
      <w:pPr>
        <w:snapToGrid w:val="0"/>
        <w:spacing w:line="360" w:lineRule="auto"/>
        <w:ind w:firstLine="240" w:firstLineChars="100"/>
        <w:rPr>
          <w:rFonts w:hint="eastAsia" w:ascii="宋体" w:hAnsi="宋体" w:eastAsia="宋体" w:cs="宋体"/>
          <w:color w:val="auto"/>
          <w:sz w:val="24"/>
          <w:szCs w:val="24"/>
          <w:highlight w:val="none"/>
        </w:rPr>
      </w:pPr>
      <w:bookmarkStart w:id="488" w:name="_Toc478555549"/>
      <w:r>
        <w:rPr>
          <w:rFonts w:hint="eastAsia" w:ascii="宋体" w:hAnsi="宋体" w:eastAsia="宋体" w:cs="宋体"/>
          <w:color w:val="auto"/>
          <w:sz w:val="24"/>
          <w:szCs w:val="24"/>
          <w:highlight w:val="none"/>
        </w:rPr>
        <w:t>附件二：投标分项报价</w:t>
      </w:r>
      <w:bookmarkEnd w:id="488"/>
    </w:p>
    <w:p>
      <w:pPr>
        <w:snapToGrid w:val="0"/>
        <w:spacing w:line="360" w:lineRule="auto"/>
        <w:ind w:firstLine="240" w:firstLineChars="100"/>
        <w:rPr>
          <w:rFonts w:hint="eastAsia" w:ascii="宋体" w:hAnsi="宋体" w:eastAsia="宋体" w:cs="宋体"/>
          <w:color w:val="auto"/>
          <w:sz w:val="24"/>
          <w:szCs w:val="24"/>
          <w:highlight w:val="none"/>
        </w:rPr>
      </w:pPr>
      <w:bookmarkStart w:id="489" w:name="_Toc163010072"/>
      <w:bookmarkStart w:id="490" w:name="_Toc478555550"/>
      <w:r>
        <w:rPr>
          <w:rFonts w:hint="eastAsia" w:ascii="宋体" w:hAnsi="宋体" w:eastAsia="宋体" w:cs="宋体"/>
          <w:color w:val="auto"/>
          <w:sz w:val="24"/>
          <w:szCs w:val="24"/>
          <w:highlight w:val="none"/>
        </w:rPr>
        <w:t>附件三</w:t>
      </w:r>
      <w:bookmarkEnd w:id="489"/>
      <w:r>
        <w:rPr>
          <w:rFonts w:hint="eastAsia" w:ascii="宋体" w:hAnsi="宋体" w:eastAsia="宋体" w:cs="宋体"/>
          <w:color w:val="auto"/>
          <w:sz w:val="24"/>
          <w:szCs w:val="24"/>
          <w:highlight w:val="none"/>
        </w:rPr>
        <w:t>：技术规格偏离表</w:t>
      </w:r>
      <w:bookmarkEnd w:id="490"/>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附件四：售后服务条款（同投标文件内容一致）</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附件五：合同最后一页请附中标通知书复印件。</w:t>
      </w:r>
    </w:p>
    <w:p>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（本页为签署页）</w:t>
      </w:r>
    </w:p>
    <w:tbl>
      <w:tblPr>
        <w:tblStyle w:val="22"/>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  方（盖章）：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  方（盖章）：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甲方授权代表（签字）：</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邮政编码：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电话：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传真：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tc>
      </w:tr>
      <w:tr>
        <w:tblPrEx>
          <w:tblCellMar>
            <w:top w:w="0" w:type="dxa"/>
            <w:left w:w="108" w:type="dxa"/>
            <w:bottom w:w="0" w:type="dxa"/>
            <w:right w:w="108" w:type="dxa"/>
          </w:tblCellMar>
        </w:tblPrEx>
        <w:trPr>
          <w:trHeight w:val="996" w:hRule="atLeast"/>
        </w:trPr>
        <w:tc>
          <w:tcPr>
            <w:tcW w:w="4001"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开户账号： </w:t>
            </w:r>
          </w:p>
        </w:tc>
        <w:tc>
          <w:tcPr>
            <w:tcW w:w="4658" w:type="dxa"/>
          </w:tcPr>
          <w:p>
            <w:pPr>
              <w:snapToGrid w:val="0"/>
              <w:spacing w:before="238"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c>
          <w:tcPr>
            <w:tcW w:w="4658" w:type="dxa"/>
            <w:vAlign w:val="center"/>
          </w:tcPr>
          <w:p>
            <w:pPr>
              <w:snapToGrid w:val="0"/>
              <w:spacing w:before="238" w:line="360" w:lineRule="auto"/>
              <w:ind w:firstLine="720" w:firstLineChars="3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年    月    日　                       </w:t>
            </w:r>
          </w:p>
        </w:tc>
      </w:tr>
    </w:tbl>
    <w:p>
      <w:pPr>
        <w:widowControl/>
        <w:spacing w:line="360" w:lineRule="auto"/>
        <w:jc w:val="center"/>
        <w:rPr>
          <w:rFonts w:hint="eastAsia" w:ascii="宋体" w:hAnsi="宋体" w:eastAsia="宋体" w:cs="宋体"/>
          <w:color w:val="auto"/>
          <w:sz w:val="24"/>
          <w:szCs w:val="24"/>
          <w:highlight w:val="none"/>
        </w:rPr>
      </w:pPr>
    </w:p>
    <w:bookmarkEnd w:id="466"/>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甲方（供货方）： </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乙方（购货方）： </w:t>
      </w:r>
      <w:r>
        <w:rPr>
          <w:rFonts w:hint="eastAsia" w:ascii="宋体" w:hAnsi="宋体" w:eastAsia="宋体" w:cs="宋体"/>
          <w:color w:val="auto"/>
          <w:kern w:val="0"/>
          <w:sz w:val="24"/>
          <w:szCs w:val="24"/>
          <w:highlight w:val="none"/>
        </w:rPr>
        <w:tab/>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为促进甲乙双方廉洁高效合作，促使甲乙双方工作人员廉洁从业，不断推动党风廉政建设工作，按照《中华人民共和国民法典》和国家其他有关法律法规、廉政规定，经甲乙双方协商一致， 自愿签订以下廉政合同。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第一条：甲乙双方的权利和义务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（一）严格遵守党和国家有关法律法规及党风廉政建设各项规定。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（四）甲方不准为乙方工作人员在住房装修、婚丧嫁娶、配偶、子女、亲友出国（境）</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（三）乙方及其工作人员不得在甲方报销应由乙方或个人支付的任何费用。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第四条：违约责任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（一）甲方违反本《廉政合同》规定义务的，须向乙方承担经济合同总额 3%的经济违约责任。</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（二）甲方发生多次违反廉政合同约定内容，乙方有权将甲方列入黑名单，禁止 3-5 年内进入乙方作业市场；给乙方造成经济损失、社会影响较大的，乙方有权终止履行合同。</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第五条：检查方式</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第六条：本合同有效期同经济合同期限。</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第八条：本合同一式</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份，甲、乙双方</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份、采购办</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份。</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甲方单位：（盖章）</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乙方单位：（盖章）</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法定代表人：</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（或委托代理人）签字：</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（或委托代理人）签字：</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单位地址：</w:t>
      </w:r>
    </w:p>
    <w:p>
      <w:pPr>
        <w:snapToGrid w:val="0"/>
        <w:spacing w:line="360" w:lineRule="auto"/>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 xml:space="preserve">                           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b/>
          <w:bCs/>
          <w:color w:val="auto"/>
          <w:sz w:val="28"/>
          <w:szCs w:val="28"/>
          <w:highlight w:val="none"/>
        </w:rPr>
      </w:pPr>
      <w:r>
        <w:rPr>
          <w:rFonts w:hint="eastAsia" w:ascii="宋体" w:hAnsi="宋体" w:cs="宋体"/>
          <w:b/>
          <w:bCs/>
          <w:color w:val="auto"/>
          <w:sz w:val="28"/>
          <w:szCs w:val="28"/>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bookmarkStart w:id="491" w:name="bookmark23"/>
      <w:bookmarkStart w:id="492" w:name="bookmark24"/>
      <w:bookmarkStart w:id="493" w:name="bookmark22"/>
    </w:p>
    <w:p>
      <w:pPr>
        <w:pStyle w:val="7"/>
        <w:rPr>
          <w:color w:val="auto"/>
          <w:highlight w:val="none"/>
        </w:rPr>
      </w:pPr>
    </w:p>
    <w:p>
      <w:pPr>
        <w:pStyle w:val="20"/>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28"/>
          <w:szCs w:val="28"/>
          <w:highlight w:val="none"/>
        </w:rPr>
      </w:pPr>
      <w:r>
        <w:rPr>
          <w:rFonts w:ascii="宋体" w:cs="宋体"/>
          <w:b/>
          <w:bCs/>
          <w:color w:val="auto"/>
          <w:sz w:val="36"/>
          <w:szCs w:val="36"/>
          <w:highlight w:val="none"/>
        </w:rPr>
        <w:br w:type="page"/>
      </w:r>
      <w:r>
        <w:rPr>
          <w:rFonts w:hint="eastAsia" w:ascii="宋体" w:hAnsi="宋体" w:cs="宋体"/>
          <w:b/>
          <w:bCs/>
          <w:color w:val="auto"/>
          <w:sz w:val="28"/>
          <w:szCs w:val="28"/>
          <w:highlight w:val="none"/>
        </w:rPr>
        <w:t>河南省政府采购合同融资政策告知函</w:t>
      </w:r>
      <w:bookmarkEnd w:id="491"/>
      <w:bookmarkEnd w:id="492"/>
      <w:bookmarkEnd w:id="493"/>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pPr>
    </w:p>
    <w:p>
      <w:pPr>
        <w:pStyle w:val="10"/>
        <w:spacing w:line="360" w:lineRule="auto"/>
        <w:ind w:left="31680" w:right="31680"/>
        <w:rPr>
          <w:rFonts w:ascii="宋体" w:cs="宋体"/>
          <w:bCs/>
          <w:color w:val="auto"/>
          <w:kern w:val="0"/>
          <w:sz w:val="32"/>
          <w:szCs w:val="32"/>
          <w:highlight w:val="none"/>
        </w:rPr>
        <w:sectPr>
          <w:footerReference r:id="rId8" w:type="default"/>
          <w:pgSz w:w="11906" w:h="16838"/>
          <w:pgMar w:top="1440" w:right="1800" w:bottom="1440" w:left="1800" w:header="850" w:footer="964" w:gutter="0"/>
          <w:pgBorders>
            <w:top w:val="none" w:sz="0" w:space="0"/>
            <w:left w:val="none" w:sz="0" w:space="0"/>
            <w:bottom w:val="none" w:sz="0" w:space="0"/>
            <w:right w:val="none" w:sz="0" w:space="0"/>
          </w:pgBorders>
          <w:pgNumType w:fmt="decimal"/>
          <w:cols w:space="720" w:num="1"/>
          <w:docGrid w:type="lines" w:linePitch="315" w:charSpace="0"/>
        </w:sectPr>
      </w:pPr>
    </w:p>
    <w:p>
      <w:pPr>
        <w:pStyle w:val="2"/>
        <w:rPr>
          <w:rFonts w:hint="eastAsia" w:ascii="宋体" w:hAnsi="宋体" w:cs="宋体"/>
          <w:color w:val="auto"/>
          <w:szCs w:val="32"/>
          <w:highlight w:val="none"/>
        </w:rPr>
      </w:pPr>
      <w:bookmarkStart w:id="494" w:name="_Toc871"/>
      <w:bookmarkStart w:id="495" w:name="_Toc23795"/>
      <w:bookmarkStart w:id="496" w:name="_Toc22008"/>
      <w:bookmarkStart w:id="497" w:name="_Toc40112141"/>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94"/>
      <w:bookmarkEnd w:id="495"/>
      <w:bookmarkEnd w:id="496"/>
      <w:bookmarkEnd w:id="497"/>
    </w:p>
    <w:p>
      <w:pPr>
        <w:spacing w:line="360" w:lineRule="auto"/>
        <w:jc w:val="center"/>
        <w:outlineLvl w:val="1"/>
        <w:rPr>
          <w:rFonts w:ascii="宋体" w:cs="宋体"/>
          <w:b/>
          <w:color w:val="auto"/>
          <w:sz w:val="32"/>
          <w:szCs w:val="32"/>
          <w:highlight w:val="none"/>
        </w:rPr>
      </w:pPr>
      <w:bookmarkStart w:id="498" w:name="_Toc4083"/>
      <w:bookmarkStart w:id="499" w:name="_Toc612"/>
      <w:bookmarkStart w:id="500" w:name="_Toc24050"/>
      <w:bookmarkStart w:id="501" w:name="_Toc2376"/>
      <w:r>
        <w:rPr>
          <w:rFonts w:hint="eastAsia" w:ascii="宋体" w:hAnsi="宋体" w:cs="宋体"/>
          <w:b/>
          <w:color w:val="auto"/>
          <w:sz w:val="32"/>
          <w:szCs w:val="32"/>
          <w:highlight w:val="none"/>
        </w:rPr>
        <w:t>一、项目需求</w:t>
      </w:r>
      <w:bookmarkEnd w:id="498"/>
      <w:bookmarkEnd w:id="499"/>
      <w:bookmarkEnd w:id="500"/>
      <w:bookmarkEnd w:id="501"/>
    </w:p>
    <w:p>
      <w:pPr>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 xml:space="preserve">1.1 </w:t>
      </w:r>
      <w:r>
        <w:rPr>
          <w:rFonts w:hint="eastAsia" w:hAnsi="宋体"/>
          <w:bCs/>
          <w:color w:val="auto"/>
          <w:sz w:val="21"/>
          <w:szCs w:val="21"/>
          <w:highlight w:val="none"/>
        </w:rPr>
        <w:t>项目名称：</w:t>
      </w:r>
      <w:r>
        <w:rPr>
          <w:rFonts w:hint="eastAsia" w:hAnsi="宋体"/>
          <w:bCs/>
          <w:color w:val="auto"/>
          <w:sz w:val="21"/>
          <w:szCs w:val="21"/>
          <w:highlight w:val="none"/>
          <w:lang w:eastAsia="zh-CN"/>
        </w:rPr>
        <w:t>平顶山市消防救援支队河南省消防救援总队“自然灾害应急能力提升工程”平顶山支队装备建设项目（二次）</w:t>
      </w:r>
    </w:p>
    <w:p>
      <w:pPr>
        <w:adjustRightInd w:val="0"/>
        <w:snapToGrid w:val="0"/>
        <w:spacing w:line="360" w:lineRule="auto"/>
        <w:ind w:firstLine="420" w:firstLineChars="200"/>
        <w:jc w:val="left"/>
        <w:rPr>
          <w:rFonts w:hint="eastAsia" w:ascii="宋体" w:hAnsi="宋体" w:cs="宋体"/>
          <w:bCs/>
          <w:color w:val="auto"/>
          <w:kern w:val="0"/>
          <w:sz w:val="21"/>
          <w:szCs w:val="21"/>
          <w:highlight w:val="none"/>
        </w:rPr>
      </w:pPr>
      <w:r>
        <w:rPr>
          <w:rFonts w:ascii="宋体" w:hAnsi="宋体" w:cs="宋体"/>
          <w:bCs/>
          <w:color w:val="auto"/>
          <w:kern w:val="0"/>
          <w:sz w:val="21"/>
          <w:szCs w:val="21"/>
          <w:highlight w:val="none"/>
        </w:rPr>
        <w:t xml:space="preserve">1.2 </w:t>
      </w:r>
      <w:r>
        <w:rPr>
          <w:rFonts w:hint="eastAsia" w:ascii="宋体" w:hAnsi="宋体" w:cs="宋体"/>
          <w:bCs/>
          <w:color w:val="auto"/>
          <w:kern w:val="0"/>
          <w:sz w:val="21"/>
          <w:szCs w:val="21"/>
          <w:highlight w:val="none"/>
        </w:rPr>
        <w:t>采购内容：</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号：平公资采2024573号-2</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5G单兵图传5、北斗有源终端2、单人洗消帐篷1、堵漏工具组11、防水定位对讲机30、红外生命探测仪2、激光测距仪1、简易洗消喷淋器1、救生照明线10、可燃气体探测仪2、气柱灯2、水深探测仪1、卫星电话5、狭小空间排烟机5、小型移动照明灯组10、移动照明灯10、移动照明灯组2、音视频布控球5、有毒气体探测仪2；</w:t>
      </w:r>
    </w:p>
    <w:p>
      <w:pPr>
        <w:spacing w:line="360" w:lineRule="auto"/>
        <w:ind w:firstLine="420" w:firstLineChars="200"/>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号：平公资采2024573号-3</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AED除颤仪5、便携式推车10、充气帐篷（40m2）5、充气帐篷（60m2）5、大功率发电机1、单兵携行包（箱）30、浮艇泵3、航空运输箱30、静音发电机5、空气呼吸器瓶30、千斤顶5、手抬机动泵3、婴儿呼吸袋5；</w:t>
      </w:r>
    </w:p>
    <w:p>
      <w:pPr>
        <w:spacing w:line="360" w:lineRule="auto"/>
        <w:ind w:firstLine="420" w:firstLineChars="200"/>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包</w:t>
      </w:r>
      <w:r>
        <w:rPr>
          <w:rFonts w:hint="eastAsia" w:ascii="宋体" w:hAnsi="宋体" w:cs="宋体"/>
          <w:bCs/>
          <w:color w:val="auto"/>
          <w:kern w:val="0"/>
          <w:sz w:val="21"/>
          <w:szCs w:val="21"/>
          <w:highlight w:val="none"/>
          <w:lang w:val="en-US" w:eastAsia="zh-CN"/>
        </w:rPr>
        <w:t>号：平公资采2024573号-4</w:t>
      </w:r>
      <w:r>
        <w:rPr>
          <w:rFonts w:hint="eastAsia" w:ascii="宋体" w:hAnsi="宋体" w:cs="宋体"/>
          <w:bCs/>
          <w:color w:val="auto"/>
          <w:kern w:val="0"/>
          <w:sz w:val="21"/>
          <w:szCs w:val="21"/>
          <w:highlight w:val="none"/>
          <w:lang w:eastAsia="zh-CN"/>
        </w:rPr>
        <w:t>，包内容及数量（辆/件/套/台）：</w:t>
      </w:r>
      <w:r>
        <w:rPr>
          <w:rFonts w:hint="eastAsia" w:ascii="宋体" w:hAnsi="宋体" w:cs="宋体"/>
          <w:bCs/>
          <w:color w:val="auto"/>
          <w:kern w:val="0"/>
          <w:sz w:val="21"/>
          <w:szCs w:val="21"/>
          <w:highlight w:val="none"/>
          <w:lang w:val="en-US" w:eastAsia="zh-CN"/>
        </w:rPr>
        <w:t>冰面救援滑板4、充气救援艇（橡皮艇）1、船型担架5、多功能担架15、多功能省力系统50、多功能水枪44、救生抛投器5、救援三角架6、卷扬机5、可漂浮救生担架5、气动起重气垫2、躯体固定气囊5、水面漂浮救生绳（200米）1、通用安全绳（200米）30、舷外机（含油箱防护罩）2、橡皮艇1、移动供气源6、移动式消防炮5、肢体固定气囊5、重型支撑套具2。</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 xml:space="preserve">1.3 </w:t>
      </w:r>
      <w:r>
        <w:rPr>
          <w:rFonts w:hint="eastAsia" w:ascii="宋体" w:hAnsi="宋体" w:cs="宋体"/>
          <w:bCs/>
          <w:color w:val="auto"/>
          <w:kern w:val="0"/>
          <w:sz w:val="21"/>
          <w:szCs w:val="21"/>
          <w:highlight w:val="none"/>
        </w:rPr>
        <w:t>质量要求：合格（符合现行国家、行业、地方相关规范要求）。</w:t>
      </w:r>
    </w:p>
    <w:p>
      <w:pPr>
        <w:spacing w:line="360" w:lineRule="auto"/>
        <w:ind w:firstLine="420" w:firstLineChars="200"/>
        <w:rPr>
          <w:rFonts w:ascii="宋体" w:cs="宋体"/>
          <w:bCs/>
          <w:color w:val="auto"/>
          <w:kern w:val="0"/>
          <w:sz w:val="21"/>
          <w:szCs w:val="21"/>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4</w:t>
      </w:r>
      <w:r>
        <w:rPr>
          <w:rFonts w:hint="eastAsia" w:ascii="宋体" w:hAnsi="宋体" w:cs="宋体"/>
          <w:bCs/>
          <w:color w:val="auto"/>
          <w:kern w:val="0"/>
          <w:sz w:val="21"/>
          <w:szCs w:val="21"/>
          <w:highlight w:val="none"/>
        </w:rPr>
        <w:t>交货地点：采购人指定地点。</w:t>
      </w:r>
    </w:p>
    <w:p>
      <w:pPr>
        <w:pStyle w:val="25"/>
        <w:spacing w:line="360" w:lineRule="auto"/>
        <w:ind w:firstLine="420" w:firstLineChars="200"/>
        <w:rPr>
          <w:rFonts w:hint="eastAsia" w:hAnsi="宋体"/>
          <w:bCs/>
          <w:color w:val="auto"/>
          <w:sz w:val="21"/>
          <w:szCs w:val="21"/>
          <w:highlight w:val="none"/>
          <w:lang w:eastAsia="zh-CN"/>
        </w:rPr>
      </w:pPr>
      <w:r>
        <w:rPr>
          <w:rFonts w:hAnsi="宋体"/>
          <w:bCs/>
          <w:color w:val="auto"/>
          <w:sz w:val="21"/>
          <w:szCs w:val="21"/>
          <w:highlight w:val="none"/>
        </w:rPr>
        <w:t>1.</w:t>
      </w:r>
      <w:r>
        <w:rPr>
          <w:rFonts w:hint="eastAsia" w:hAnsi="宋体"/>
          <w:bCs/>
          <w:color w:val="auto"/>
          <w:sz w:val="21"/>
          <w:szCs w:val="21"/>
          <w:highlight w:val="none"/>
          <w:lang w:val="en-US" w:eastAsia="zh-CN"/>
        </w:rPr>
        <w:t>5</w:t>
      </w:r>
      <w:r>
        <w:rPr>
          <w:rFonts w:hAnsi="宋体"/>
          <w:bCs/>
          <w:color w:val="auto"/>
          <w:sz w:val="21"/>
          <w:szCs w:val="21"/>
          <w:highlight w:val="none"/>
        </w:rPr>
        <w:t xml:space="preserve"> </w:t>
      </w:r>
      <w:r>
        <w:rPr>
          <w:rFonts w:hint="eastAsia" w:hAnsi="宋体"/>
          <w:bCs/>
          <w:color w:val="auto"/>
          <w:sz w:val="21"/>
          <w:szCs w:val="21"/>
          <w:highlight w:val="none"/>
        </w:rPr>
        <w:t>项目分包情况</w:t>
      </w:r>
      <w:r>
        <w:rPr>
          <w:rFonts w:hint="eastAsia" w:hAnsi="宋体"/>
          <w:bCs/>
          <w:color w:val="auto"/>
          <w:sz w:val="21"/>
          <w:szCs w:val="21"/>
          <w:highlight w:val="none"/>
          <w:lang w:eastAsia="zh-CN"/>
        </w:rPr>
        <w:t>（包</w:t>
      </w:r>
      <w:r>
        <w:rPr>
          <w:rFonts w:hint="eastAsia" w:hAnsi="宋体"/>
          <w:bCs/>
          <w:color w:val="auto"/>
          <w:sz w:val="21"/>
          <w:szCs w:val="21"/>
          <w:highlight w:val="none"/>
          <w:lang w:val="en-US" w:eastAsia="zh-CN"/>
        </w:rPr>
        <w:t>5、包6、包9</w:t>
      </w:r>
      <w:r>
        <w:rPr>
          <w:rFonts w:hint="eastAsia" w:hAnsi="宋体"/>
          <w:bCs/>
          <w:color w:val="auto"/>
          <w:sz w:val="21"/>
          <w:szCs w:val="21"/>
          <w:highlight w:val="none"/>
          <w:lang w:eastAsia="zh-CN"/>
        </w:rPr>
        <w:t>）：</w:t>
      </w:r>
    </w:p>
    <w:tbl>
      <w:tblPr>
        <w:tblStyle w:val="22"/>
        <w:tblW w:w="94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540"/>
        <w:gridCol w:w="1586"/>
        <w:gridCol w:w="431"/>
        <w:gridCol w:w="633"/>
        <w:gridCol w:w="908"/>
        <w:gridCol w:w="969"/>
        <w:gridCol w:w="935"/>
        <w:gridCol w:w="815"/>
        <w:gridCol w:w="756"/>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w:t>
            </w:r>
            <w:r>
              <w:rPr>
                <w:rFonts w:hint="eastAsia" w:ascii="宋体" w:hAnsi="宋体" w:cs="宋体"/>
                <w:b/>
                <w:bCs/>
                <w:i w:val="0"/>
                <w:iCs w:val="0"/>
                <w:color w:val="auto"/>
                <w:kern w:val="0"/>
                <w:sz w:val="18"/>
                <w:szCs w:val="18"/>
                <w:highlight w:val="none"/>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核心产品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预算单价（单品最高限价）（万元）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单品合计金额（万元）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包最高限价（万元）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质保期（年，自验收合格之日算起）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交货期</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包5</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5G单兵图传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自样品验收合格之日起30日历天，合格样品须于合同签订之日起10日内提供，交货的货物必须是发布中标公告后生产日期（验收时，提供证明或原材料进货证明）；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北斗有源终端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单人洗消帐篷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堵漏工具组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防水定位对讲机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红外生命探测仪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激光测距仪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简易洗消喷淋器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救生照明线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可燃气体探测仪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气柱灯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水深探测仪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卫星电话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狭小空间排烟机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小型移动照明灯组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音视频布控球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有毒气体探测仪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包6</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AED除颤仪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便携式推车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充气帐篷（60m2）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大功率发电机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单兵携行包（箱）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浮艇泵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航空运输箱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静音发电机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空气呼吸器瓶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千斤顶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手抬机动泵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婴儿呼吸袋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包9</w:t>
            </w: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冰面救援滑板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充气救援艇（橡皮艇）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船型担架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多功能省力系统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多功能水枪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救生抛投器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救援三角架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卷扬机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可漂浮救生担架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气动起重气垫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躯体固定气囊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水面漂浮救生绳（200米）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通用安全绳（200米）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舷外机（含油箱防护罩）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移动供气源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移动式消防炮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肢体固定气囊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提供盖有 CMA 章或带有 CNAS 标志的第三方检测报告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重型支撑套具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bl>
    <w:p>
      <w:pPr>
        <w:rPr>
          <w:rFonts w:hint="eastAsia"/>
          <w:color w:val="auto"/>
          <w:highlight w:val="none"/>
          <w:lang w:eastAsia="zh-CN"/>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jc w:val="center"/>
        <w:rPr>
          <w:rFonts w:hint="eastAsia" w:ascii="宋体" w:hAnsi="宋体" w:eastAsia="宋体" w:cs="宋体"/>
          <w:b/>
          <w:bCs/>
          <w:i w:val="0"/>
          <w:iCs w:val="0"/>
          <w:color w:val="auto"/>
          <w:kern w:val="0"/>
          <w:sz w:val="20"/>
          <w:szCs w:val="20"/>
          <w:highlight w:val="none"/>
          <w:u w:val="none"/>
          <w:lang w:val="en-US" w:eastAsia="zh-CN" w:bidi="ar"/>
        </w:rPr>
      </w:pPr>
    </w:p>
    <w:p>
      <w:pPr>
        <w:spacing w:line="360" w:lineRule="auto"/>
        <w:jc w:val="center"/>
        <w:outlineLvl w:val="1"/>
        <w:rPr>
          <w:rFonts w:hint="eastAsia" w:ascii="宋体" w:hAnsi="宋体" w:eastAsia="宋体" w:cs="宋体"/>
          <w:color w:val="auto"/>
          <w:sz w:val="48"/>
          <w:szCs w:val="48"/>
          <w:highlight w:val="none"/>
        </w:rPr>
      </w:pPr>
      <w:bookmarkStart w:id="502" w:name="_Toc28402"/>
      <w:bookmarkStart w:id="503" w:name="_Toc4452"/>
      <w:bookmarkStart w:id="504" w:name="_Toc28115"/>
      <w:bookmarkStart w:id="505" w:name="_Toc16997"/>
      <w:r>
        <w:rPr>
          <w:rFonts w:hint="eastAsia" w:ascii="宋体" w:hAnsi="宋体" w:eastAsia="宋体" w:cs="宋体"/>
          <w:b/>
          <w:color w:val="auto"/>
          <w:sz w:val="32"/>
          <w:szCs w:val="32"/>
          <w:highlight w:val="none"/>
        </w:rPr>
        <w:t>二、技术要求</w:t>
      </w:r>
      <w:bookmarkEnd w:id="502"/>
      <w:bookmarkEnd w:id="503"/>
      <w:bookmarkEnd w:id="504"/>
      <w:bookmarkEnd w:id="505"/>
    </w:p>
    <w:p>
      <w:pPr>
        <w:shd w:val="clea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技术通用部分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1、投标产品符合国家、行业标准。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2、交付时须附着由“消防装备物资信息采集系统”统一发行的装备物资二维码（或RFID）。</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3、统型要求：所有装备技术、规格、性能、款式等要素，应等同或优于应急管理部消防救援局最近有关装备统型技术要求（若有）。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4、生产日期：发布中标公告后生产日期（验收时，提供证明或原材料进货证明）；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5、配套资料：产品合格证、质量检验报告、中文版使用说明书（1份/件套），视频和PPT电子档（包括技术性能介绍、操作使用规程，注意事项、维护保养规程及方法；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6、产品标识：打印或永久性粘贴厂家信息标签，标签耐水、耐磨、不易掉色；标签内容包括售后服务电话、生产日期、厂家名称、产品名称及型号。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7、所有投标单位均应自愿接受按照采购方装备外观统型要求，免费设计配送标识、包装及外观。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8、提供所投产品备品备件清单（若有），内附单价，采购人可按照此价格采购。</w:t>
      </w:r>
    </w:p>
    <w:p>
      <w:pPr>
        <w:pStyle w:val="2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技术需求专用部分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i w:val="0"/>
          <w:iCs w:val="0"/>
          <w:color w:val="auto"/>
          <w:kern w:val="0"/>
          <w:sz w:val="28"/>
          <w:szCs w:val="28"/>
          <w:highlight w:val="none"/>
          <w:u w:val="none"/>
          <w:lang w:val="en-US" w:eastAsia="zh-CN" w:bidi="ar"/>
        </w:rPr>
      </w:pPr>
      <w:r>
        <w:rPr>
          <w:rFonts w:hint="eastAsia" w:ascii="宋体" w:hAnsi="宋体" w:cs="宋体"/>
          <w:b/>
          <w:bCs/>
          <w:i w:val="0"/>
          <w:iCs w:val="0"/>
          <w:color w:val="auto"/>
          <w:kern w:val="0"/>
          <w:sz w:val="28"/>
          <w:szCs w:val="28"/>
          <w:highlight w:val="none"/>
          <w:u w:val="none"/>
          <w:lang w:val="en-US" w:eastAsia="zh-CN" w:bidi="ar"/>
        </w:rPr>
        <w:t>（包5）</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1、5G单兵图传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1、头戴式，融合微光夜视和红外热成像，可快速确定火点位置，回传灾害现场信息；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超星光级夜视全彩镜头：采用数字CMOS图像传感器，像素≥1920*1080，像素尺寸≥4.0μmx4.0μm，近红外增强；支持≥54倍模拟增益，≥32倍数字增益。支持2D/3D降噪、数字宽动态、多种图像增强和矫正算法，支持低照度下可看清≥7米处人物面部特征，≥15米处人体轮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3、红外热成像镜头：采用非制冷红外焦平面探测器类型，分辨率≥256×192，支持探测距离≥320米，识别距离≥80米，辨认距离≥40米；测温范围≥-10℃～550℃，支持中心点测温和多点测温；</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4、视频模式：支持可见光、红外热成像、可见光与热成像双光融合三种视频图传模式；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5、图像防抖：支持EIS视频防抖图像补偿技术，适应各种复杂运动场景；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7、网络：支持5G全网通；WiFi支持2.4GHz+5.8GHz；具有AP热点模式；支持蓝牙，与腕戴视显终端自动匹配长连接；支持接入自组网设备网络；支持同时接入消防指挥网和公网，无缝自由切换；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bidi="ar"/>
        </w:rPr>
        <w:t>10</w:t>
      </w:r>
      <w:r>
        <w:rPr>
          <w:rFonts w:hint="eastAsia" w:ascii="宋体" w:hAnsi="宋体" w:eastAsia="宋体" w:cs="宋体"/>
          <w:color w:val="auto"/>
          <w:sz w:val="24"/>
          <w:szCs w:val="24"/>
          <w:highlight w:val="none"/>
          <w:lang w:bidi="ar"/>
        </w:rPr>
        <w:t>、防护等级：≥IP68防水防尘；支持承受≥2米任意面跌落主要部件与数据安全；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、盔装支架：支持现有各种统型带滑轨，支持快装快拆支架、视角角度可调节：垂直≥60度；支持定制专用支架；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、机身重量：≤300g，重量轻，佩戴无负重感；</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、机身尺寸：≤120mmx70mmx40mm；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对接接口：支持设备在国家消防救援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腕戴视显终端</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1、屏幕：≥3.5英寸彩色电容屏；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2、高清摄像头：≥500万像素；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3、存储：≥64G存储；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4、视频模式：支持查看可见光、红外热成像、可见光与热成像双光融合画面，支持物理功能按键快捷切换；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5、录像：支持音视频通信本地录像；支持服务器端远程录像；支持远程拉取录像文件；采用防水式数据采集接口，支持数据线和远程方式采集录像文件；</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6、网络：支持5G全网通；WiFi支持2.4GHz+5.8GHz；具有AP热点模式；支持蓝牙，与盔装视传自动匹配长连接；支持接入自组网设备网络；支持同时接入消防指挥网和公网，无缝自由切换；</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7、协议：支持TCP/IP、UDP、RTP、HTTP、DHCP、GB/T28181、SIP协议；</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8、编码：支持H.264视频编码，支持G.711、G.729、OPUS语音编码；</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9、物理按键：提供≥2个物理功能按键，便于消防员佩戴手套操作；</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10、NFC功能：支持快速管理、自动触碰配对设备；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11、续航：可充电高温电池，续航时间≥3.5小时，支持USB线和座充两种充电方式；</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12、防护等级：≥IP68防水防尘；支持承受≥1.5米任意面跌落主要部件与数据安全；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13、防爆功能：本安型；</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14、机身及腕带：支持主机与腕带分离，实现快装快拆；采用V0级别耐高温阻燃材料；</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15、机身重量：≤250g；</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16、机身尺寸：≤110mmx65mmx25mm；</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17、对接接口：支持设备在消防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2、北斗有源终端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技术参数：主要用于应急通信，具备北斗短报文通信、位置上报等功能。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1、操作系统Android 11.0或更优；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2、支持北斗定位、导航功能。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3、重量≤600g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4、工业级三防标准，≥IP67,防水、防尘、防震，高抗损伤性和高耐久性，轻松应对恶劣极端环境，机身坚固设计，并配有背包，方便携带；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5、须提供具备CNAS资质的第三方检测机构出具的盖有CNAS章的检测报告复印件，可实现定位获取、位置上报；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6、定位精度≤5米；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7、支持重力感应、光感应器和距离感应；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8、配备专业的北斗短报文通信软件；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9、电池容量≥4500mAh；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10、电池续航时间：待机时常不低于8小时；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11、网络制式：全网通，支持4G通讯模块，蓝牙 4.0（BLE）；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12、工作温度： -20℃~+</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 xml:space="preserve">0℃；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13、操作系统和CPU：Android 八核处理器，主频≥2.3GHz，机身内存≥128GB  ，运行内存≥6GB ，支持TF存储卡扩展</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14、</w:t>
      </w:r>
      <w:r>
        <w:rPr>
          <w:rFonts w:hint="eastAsia" w:ascii="宋体" w:hAnsi="宋体" w:eastAsia="宋体" w:cs="宋体"/>
          <w:color w:val="auto"/>
          <w:sz w:val="24"/>
          <w:szCs w:val="24"/>
          <w:highlight w:val="none"/>
          <w:lang w:bidi="ar"/>
        </w:rPr>
        <w:t>增加装备器材型号对应的说明书和视频讲解用法，具备防干扰性能要求</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15、</w:t>
      </w:r>
      <w:r>
        <w:rPr>
          <w:rFonts w:hint="eastAsia" w:ascii="宋体" w:hAnsi="宋体" w:eastAsia="宋体" w:cs="宋体"/>
          <w:color w:val="auto"/>
          <w:sz w:val="24"/>
          <w:szCs w:val="24"/>
          <w:highlight w:val="none"/>
          <w:lang w:bidi="ar"/>
        </w:rPr>
        <w:t>产品质量检验报告应与产品本身功能相符</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eastAsia="zh" w:bidi="ar"/>
        </w:rPr>
        <w:t>16、</w:t>
      </w:r>
      <w:r>
        <w:rPr>
          <w:rFonts w:hint="eastAsia" w:ascii="宋体" w:hAnsi="宋体" w:eastAsia="宋体" w:cs="宋体"/>
          <w:color w:val="auto"/>
          <w:sz w:val="24"/>
          <w:szCs w:val="24"/>
          <w:highlight w:val="none"/>
          <w:lang w:bidi="ar"/>
        </w:rPr>
        <w:t>支持上报位置数据至消防综合定位服务平台</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、单人洗消帐篷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1、用途：单人洗消帐篷可供消防人员进行完全洗消及快速洗消。</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2、洗消淋浴间及洗消池：整体为充气框架结构（PVC涂层气密布），产品尺寸：≥2.0m*2.0m*2.5m，内挂PVC复合布防水篷帘，设计2扇门。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结构及充气方式：帐篷可折叠，配备电动充气泵、喷淋、照明等系统，充气孔在帐篷门的充气框架柱上，充气框架气囊装有过压保护阀门，以确保过量充气不遭损害。</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4、</w:t>
      </w:r>
      <w:r>
        <w:rPr>
          <w:rFonts w:hint="eastAsia" w:ascii="宋体" w:hAnsi="宋体" w:eastAsia="宋体" w:cs="宋体"/>
          <w:color w:val="auto"/>
          <w:sz w:val="24"/>
          <w:szCs w:val="24"/>
          <w:highlight w:val="none"/>
          <w:lang w:bidi="ar"/>
        </w:rPr>
        <w:t>喷淋系统可连接消防车使用。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、额定容积：≥500L，需气量≤700L，平均流量：≥30L/min。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、充气时间：≤50s。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、配有电动充吸气机和脚踏泵，配置快速充气装置，用碳纤维气瓶快速充气，提高救援效率。</w:t>
      </w:r>
    </w:p>
    <w:p>
      <w:pPr>
        <w:numPr>
          <w:ilvl w:val="0"/>
          <w:numId w:val="0"/>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配置含：充气框架、淋浴池、喷淋管含喷淋头（喷淋头为铜质）、淋浴罩工具袋（固定钉和修补材料）、手提包装袋、1个可以替换的衬垫、2个排水口、1扇门、1个热空气进口、1个储水袋、1个修理包、1个携带包。</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4、堵漏工具组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技术参数：适用于各种罐体和管道表面点状、线状泄漏以及法兰的堵漏作业。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磁压式堵漏工具1套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1.1磁压式堵漏工具用于罐体和管道表面点状、线状泄漏的作业。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1.3适用温度：≤80℃。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1.4磁压式堵漏工具吸附力≥300kg，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1.5修复后可承受压力≥0.8MPa。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1.6具体配置：磁压堵漏主体1只、磁压式堵漏器极靴4块、专用胶带1卷、快速堵漏胶2盒、铝合金箱1个。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注入式堵漏工具 1套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1.1注入式堵漏工具适用于化工、化肥、炼油、煤气、发电、冶金等行业装置管道上的各种静密封点堵漏密封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1.2适用介质温度≥-200℃、≤230℃。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1.3压力≥30MPa。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1.4具体配置如下：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1.4.1注胶枪 1 把，材质：合金钢；</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bidi="ar"/>
        </w:rPr>
        <w:t>堵漏胶≥4盒（每盒包括白胶2支、蓝胶3支）。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1.4.3手动高压油泵 1 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1.4.4专用高压油泵（附快速接头）1 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1.4.5旋塞阀（M12）2 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1.4.6注胶螺母：（M12、M14、M16、M18、M20、M22各一只），材质合金钢；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1.4.7注胶螺杆：（M12、M14、M16、M18、M20、M22 各一只），材质不锈钢材质；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1.4.8便携式铝合金工具箱 1 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5、防水定位对讲机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1、主要功能：主要用于火灾现场的指挥、协调、沟通工作。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2、具有有效期内的工信部颁发的无线电通信设备型号核准证；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3、符合《警用数字集群（PDT）通信系统射频设备技术要求和测试方法》（GA/T 1255-2015）技术规范；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4、频率范围：350-400MHz，支持模拟常规、MPT集群、PDT数字常规和PDT集群等多种工作模式，同时在对讲机切换工作模式时，无须重启对讲机；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内置北斗定位模块，支持北斗定位功能；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6、信道容量≥1024个，电池容量≥2400mAH，</w:t>
      </w:r>
      <w:r>
        <w:rPr>
          <w:rFonts w:hint="eastAsia" w:ascii="宋体" w:hAnsi="宋体" w:eastAsia="宋体" w:cs="宋体"/>
          <w:color w:val="auto"/>
          <w:sz w:val="24"/>
          <w:szCs w:val="24"/>
          <w:highlight w:val="none"/>
          <w:lang w:bidi="ar"/>
        </w:rPr>
        <w:t>电池运行时间≥6小时</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内置北斗和蓝牙功能；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7、防护性能：具备不低于IP68等级的防尘防水性能。（提供国家认可检测机构出具的检测报告复印件）</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8、对讲机须支持智能降噪功能，不限于噪音源的方向，能保证对讲机在嘈杂环境下能提供清晰的语音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9、显示屏可显示信道，中文界面，强光下清晰可见。</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出厂自带写频配件。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6、红外生命探测仪（核心产品）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技术参数：红外生命探测仪是一种利用红外也是技术，结合视频显示等向搜救人员提供废墟下的受害者物体影像的搜救工具。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符合《消防用红外热像仪》（XF/T635-2023），提供具备CNAS和CMA认证标识的检测机构出具的检测报告。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1、测温范围至少为-20摄氏度至550℃，工作环境温度-10℃-260℃。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 ≥3.5英寸显示屏，支持屏幕亮度调节，采集帧速率：25帧/s；工作波段：8um～14um。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3、配备大容量锂电池，续航时间≥4h/块。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4、具备显示功能，成像屏幕在红外方式下，至少具有白热、黑热、伪彩色三种显示模式。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5、测温精度：≤2℃。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6、具备拍照、录像等功能，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7、整机重量≤1.5 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8、防尘防水等级≥IP67；</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、激光测距仪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技术参数：用于远距离测距使用。采用数字电路技术、可以透过大部分的玻璃进行测量；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1、具备目镜显示功能，同时外置显示屏，数据可同步显示；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2、测距范围:≥1000米；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△3、（300m以内）≤±0.2、（300m以上）≤±1m；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4、放大倍率:≥8</w:t>
      </w:r>
      <w:r>
        <w:rPr>
          <w:rFonts w:hint="eastAsia" w:ascii="宋体" w:hAnsi="宋体" w:eastAsia="宋体" w:cs="宋体"/>
          <w:color w:val="auto"/>
          <w:sz w:val="24"/>
          <w:szCs w:val="24"/>
          <w:highlight w:val="none"/>
          <w:lang w:eastAsia="zh"/>
        </w:rPr>
        <w:t>倍</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5、物镜直径:≥26mm；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6、倾角精度：≤±1°；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7、出瞳直径≥:3.2mm；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8、出瞳距离:≥17mm；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9、工作温度：≥-10至＋50℃；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10、测量角范围：±90°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、简易洗消喷淋器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技术参数：为污染人员或物体进行全方位洗消，四面喷射，配有救援专用软管支脚，遇压呈刚性，可根据被洗消对象高度调整洗消高度，方便拆卸，携带方便。</w:t>
      </w:r>
      <w:r>
        <w:rPr>
          <w:rFonts w:hint="eastAsia" w:ascii="宋体" w:hAnsi="宋体" w:eastAsia="宋体" w:cs="宋体"/>
          <w:color w:val="auto"/>
          <w:sz w:val="24"/>
          <w:szCs w:val="24"/>
          <w:highlight w:val="none"/>
          <w:lang w:bidi="ar"/>
        </w:rPr>
        <w:t>供水接口可以与消防车连接使用；</w:t>
      </w:r>
      <w:r>
        <w:rPr>
          <w:rFonts w:hint="eastAsia" w:ascii="宋体" w:hAnsi="宋体" w:eastAsia="宋体" w:cs="宋体"/>
          <w:color w:val="auto"/>
          <w:sz w:val="24"/>
          <w:szCs w:val="24"/>
          <w:highlight w:val="none"/>
        </w:rPr>
        <w:t>脚踏箱与支撑杆全不锈钢结构，</w:t>
      </w:r>
      <w:r>
        <w:rPr>
          <w:rFonts w:hint="eastAsia" w:ascii="宋体" w:hAnsi="宋体" w:eastAsia="宋体" w:cs="宋体"/>
          <w:color w:val="auto"/>
          <w:sz w:val="24"/>
          <w:szCs w:val="24"/>
          <w:highlight w:val="none"/>
          <w:lang w:bidi="ar"/>
        </w:rPr>
        <w:t>支撑强度≥100公斤</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在脚踏处安有防滑垫。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1、喷嘴≥16 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△2、驱动压力：≥2~7 bar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3、水流量：≥20L/min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4、高度：1.8-2.5 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9、救生照明线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技术参数：能见度较低情况下的照明及疏散导向。防止参加救援的人员和灭火进攻人员在黑暗的火场迷失方向。由供电系统，发光线体，绕线转盘等组成。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1、长度：≥200米，重量≤10KG。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2、导向装置：线体按照国标5.5要求每隔（2±0.1）m 应有清晰可见的夜光方向标志。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3、线盘外置红色方位灯，以显示设备烟雾状态下的具体位置。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4、发光不小于10cd/m²。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5、工作电压：12V，工作电流≤4.5A。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6、直流电供电符合国标5.13要求常亮型连续工作时间不小于8h，闪亮型连续工作时间不小于16h。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7、照明线线体表面温度符合国标要求不大于30℃。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8、线体负载拉力：＞300N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9、配有方便运输的包装箱。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10、防爆：出具省级以上检测机构检测报告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11、工作温度：-25℃+60℃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12、具有国家消防装备质量监督检验中心出具的型式检验报告，通过消防合格评定中心3C认证。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10、可燃气体探测仪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1、配置1个LEL传感器，可检测20种以上可燃性气体。≥2.3英寸全彩显示屏，可实时显示各项技术指标和气体浓度值；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2、检测气体范围：包括可燃、O2、CO；</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3、采样方式：泵吸式；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4、可充电锂电池，电池容量不小于3500mA；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5、工作时间：可燃不小于8小时、有毒不小于200小时；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6、具备声、光、振动三级报警，可自由调整设置时间及警报功能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w:t>
      </w:r>
      <w:r>
        <w:rPr>
          <w:rFonts w:hint="eastAsia" w:ascii="宋体" w:hAnsi="宋体" w:eastAsia="宋体" w:cs="宋体"/>
          <w:color w:val="auto"/>
          <w:sz w:val="24"/>
          <w:szCs w:val="24"/>
          <w:highlight w:val="none"/>
          <w:lang w:eastAsia="zh"/>
        </w:rPr>
        <w:t>600</w:t>
      </w:r>
      <w:r>
        <w:rPr>
          <w:rFonts w:hint="eastAsia" w:ascii="宋体" w:hAnsi="宋体" w:eastAsia="宋体" w:cs="宋体"/>
          <w:color w:val="auto"/>
          <w:sz w:val="24"/>
          <w:szCs w:val="24"/>
          <w:highlight w:val="none"/>
        </w:rPr>
        <w:t>g，尺寸（mm）≤</w:t>
      </w:r>
      <w:r>
        <w:rPr>
          <w:rFonts w:hint="eastAsia" w:ascii="宋体" w:hAnsi="宋体" w:eastAsia="宋体" w:cs="宋体"/>
          <w:color w:val="auto"/>
          <w:sz w:val="24"/>
          <w:szCs w:val="24"/>
          <w:highlight w:val="none"/>
          <w:lang w:eastAsia="zh"/>
        </w:rPr>
        <w:t>210</w:t>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lang w:eastAsia="zh"/>
        </w:rPr>
        <w:t>60</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8、其他要求：防爆，提供防爆等级证书。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、气柱灯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技术参数：适用于夜间施工、工程抢修、灾情抢险、消防照明、警案现场、交通拯救等。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1、额定功率：≥1kW。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2、光通量：≥110000lm。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3、升高高度：≥5m。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△4、光源寿命：≥10000h。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5、发电机类型：汽油发电机或优于。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6、油箱容积：≥4L。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△7、连续工作时间：发电机组一次注满燃油，连续工作时间大于6小时；在有市电的场所，可接通220V市电实现长时间照明。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8、整体重量：≤50kg。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9、防护等级：IP65。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配备支撑杆≥2套</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市电专用插座≥1套。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12、水深探测仪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技术参数：用于测量水位深度和溫度，测量介质。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1、符合国家或行业标准：《水深测量仪器　第3部分：超声波测深仪》（GB/T 27992.3-2016）满足SL_T 185-1997标准；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2、主要用于探测水深深度，具有彩色显示屏，可显示实时温度和深度；</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3、可测量液体深度，测量范围：0.5m ~80m（或优于）；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4、可测量温度，测量范围：-10℃≤温度测量范围≤70℃（或优于）；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5、防水等级不低于IPX8；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6、规格：频率≥ 200khz，波束角≥14°。</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7、仪器使用时间大于10h；（检测报告、7、6小时）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8、工作温度：-17~70°C；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9、测量精度： 0.1mm。  </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10、</w:t>
      </w:r>
      <w:r>
        <w:rPr>
          <w:rFonts w:hint="eastAsia" w:ascii="宋体" w:hAnsi="宋体" w:eastAsia="宋体" w:cs="宋体"/>
          <w:color w:val="auto"/>
          <w:sz w:val="24"/>
          <w:szCs w:val="24"/>
          <w:highlight w:val="none"/>
          <w:lang w:bidi="ar"/>
        </w:rPr>
        <w:t>配备电池≥2块；</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配备专用收纳箱。</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13、卫星电话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技术参数：用于现有通信（有线通信、无线通信）终端无法覆盖的区域，为消防救援人员提供通信联络服务。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1、支持中国自主研发的“天通一号”卫星移动通信系统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2、使用中国全自主研发的“天通一号”卫星基带和射频芯片，技术成熟，国内领先，保密性强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3、支持双卡双待全网通，并且优先接入地面运用商网络</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4、使用北斗独立定位模块，实现实时定位及位置跟踪，定位模块不得含其它定位功能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5、常规状态下，终端平均搜星入网时间≤90秒钟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6、IP68防护等级，可防侵水一米、防灰尘侵入，抗1.5米硬面跌落，并且有检测报告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7、通话过程中，声音响度大，噪声抑制强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8、≥5000mAh超大电池，入网状态下待机时长不低于72小时，通话时长不低于6小时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9、一键SOS紧急求救功能，可向指定号码拨打卫星电话，并发送位置信息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10、摄像头： 前摄≥800万像素；后摄 ≥800万像素 自动对焦，带闪光灯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11、支持Android 智能操作系统，用户体验流畅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12、包含但不少于重力、距离、光线感应、电子罗盘、加速度传感器、地磁传感器、气压传感器、温度传感器、陀螺仪等内置传感器；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13、天线采用折叠式设计方案，天线状态自动监测；同时支持天线拆卸</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14、配备车载全向天线和鹅颈式手持全向天线，走路通话更稳定</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增配防寒套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耳机（有线和无线</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15、耳机接口：Type-c防水接口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16、支持WiFi、蓝牙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17、SIM卡：双卡nano SIM卡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18、运行内存：≥</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19、机身内存：≥</w:t>
      </w:r>
      <w:r>
        <w:rPr>
          <w:rFonts w:hint="eastAsia" w:ascii="宋体" w:hAnsi="宋体" w:eastAsia="宋体" w:cs="宋体"/>
          <w:color w:val="auto"/>
          <w:sz w:val="24"/>
          <w:szCs w:val="24"/>
          <w:highlight w:val="none"/>
          <w:lang w:eastAsia="zh"/>
        </w:rPr>
        <w:t>256</w:t>
      </w:r>
      <w:r>
        <w:rPr>
          <w:rFonts w:hint="eastAsia" w:ascii="宋体" w:hAnsi="宋体" w:eastAsia="宋体" w:cs="宋体"/>
          <w:color w:val="auto"/>
          <w:sz w:val="24"/>
          <w:szCs w:val="24"/>
          <w:highlight w:val="none"/>
        </w:rPr>
        <w:t xml:space="preserve">GB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20、显示屏≥</w:t>
      </w:r>
      <w:r>
        <w:rPr>
          <w:rFonts w:hint="eastAsia" w:ascii="宋体" w:hAnsi="宋体" w:eastAsia="宋体" w:cs="宋体"/>
          <w:color w:val="auto"/>
          <w:sz w:val="24"/>
          <w:szCs w:val="24"/>
          <w:highlight w:val="none"/>
          <w:lang w:eastAsia="zh"/>
        </w:rPr>
        <w:t>6</w:t>
      </w:r>
      <w:r>
        <w:rPr>
          <w:rFonts w:hint="eastAsia" w:ascii="宋体" w:hAnsi="宋体" w:eastAsia="宋体" w:cs="宋体"/>
          <w:color w:val="auto"/>
          <w:sz w:val="24"/>
          <w:szCs w:val="24"/>
          <w:highlight w:val="none"/>
        </w:rPr>
        <w:t>寸</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21、电容触摸屏，多点触控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22、屏幕分辨率：不低于480*640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23、支持快速拆卸更换电池，可支持座充，座充具有Type-C和MicroUSB双充电口，可对整机和电池进行同时充电，同时座充抗2.0米跌落，工作温度范围≥-30℃-+60℃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24、支持背夹，配合设备型号使用，可以拓展在户外或单兵应用时的固定方式，方便操作和携带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25、重量：≤320g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26、支持北斗/GPS、具有显示屏，配备相应收纳箱。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27、支持强光手电筒;支持SOS物理按键一键求援/一键报警</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rPr>
        <w:t>28、</w:t>
      </w:r>
      <w:r>
        <w:rPr>
          <w:rFonts w:hint="eastAsia" w:ascii="宋体" w:hAnsi="宋体" w:eastAsia="宋体" w:cs="宋体"/>
          <w:color w:val="auto"/>
          <w:sz w:val="24"/>
          <w:szCs w:val="24"/>
          <w:highlight w:val="none"/>
          <w:lang w:bidi="ar"/>
        </w:rPr>
        <w:t>支持上报位置数据至消防综合定位服务平台</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lang w:val="en-US" w:eastAsia="zh-CN"/>
        </w:rPr>
        <w:t>、狭小空间排烟机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所投产品符合 GB27901-2011《移动式消防排烟机》标准中全部性能要求，提供由国家权威检测机构出具与所投产品型号一致、完整有效的型式检验报告；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1.2提供与所投产品型号（认证单元）一致的、有效期内的（以证书标注为准）消防产品认证证书。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主要功能：用于坑道、管道、地下井的救援通风使用。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额定电压：AC220V/50HZ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额定功率：≥450W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 排风量：≥2200m³/h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每根送风管长度: ≥5m，管道不少于4根。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噪声：≤90db</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净重：≤18kg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15、小型移动照明灯组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autoSpaceDE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6、移动照明灯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技术参数：符合GB26755-2011《消防移动照明装置》标准要求。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1、额定电压≥25.4V；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2、额定容量≥2.6Ah；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3、额定功率≥17W；</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4、工作时间：书写光≥3h，工作光≥8h，节能光≥24h，警示光≥10h；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5、充电时间：≤3h；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6、外形尺寸：折叠状态230*110*80mm(±10mm)，拉起状态230*110*420mm(±10mm)；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7、重量≤3Kg；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△8、灯具采用全光谱LED，光源使用寿命不低于10万小时，显色指数95Ra以上；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9、灯具底座采用强力吸附设计，解放双手，防脱落；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10、灯具采用四轴旋转结构，可折叠，满足不同角度的照射要求；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11、整灯防护等级不低于IP65，可在雨雪天气等恶劣环境中正常使用；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12、灯具配备5段电量显示，便于查看剩余电量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13、灯具自带5V2A的USB输出口，可为手机及小手电充电使用；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14、配备专用收纳箱。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17、移动照明灯组</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技术参数：用于灾害现场的作业照明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1.1所投产品需提供国家、省级或具有CMA章或带有CNAS标志的第三方检验报告。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1.2用于灾害现场的作业照明。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1.3器材为蓄电池式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2.1光源：额定功率≥100W；10m处中心照度强光照度值≥700lx，工作光≥350lx；</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2.2防爆设计，满足一二区易燃易爆气体环境安全使用；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2.3警示灯颜色：黄色警示灯、频闪。可以根据引导需要，指示灯左右方向箭头单独使用；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2.4连续照明时间强光≥4h、中光≥8h、工作光≥12h，充电时间≤6h；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2.5体积小，重量轻，重量≤12kg，形状规则，便于携带及运输。</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2.6在高温、低温、恒定湿热、雨淋、振动实验后，产品均能正常工作。</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2.7对讲机抗干扰功能：用对讲机最大功率不同档位距离样品 1.5米进行不同方向干扰，常温下分别开启强、中光、工作光模式+警示灯工作，光线无抖动闪烁，无熄灭，电量无改变，干扰后无损坏；用手机APP 连接灯具，分别在监控及操控状态，连接无中断， 显示信息无发生改变；放电后连接配套充电器，市电输入充电状态，充电无异常，电量显 示无异常。</w:t>
      </w:r>
    </w:p>
    <w:p>
      <w:pPr>
        <w:spacing w:line="360" w:lineRule="auto"/>
        <w:rPr>
          <w:rFonts w:hint="eastAsia" w:ascii="宋体" w:hAnsi="宋体" w:eastAsia="宋体" w:cs="宋体"/>
          <w:color w:val="auto"/>
          <w:sz w:val="24"/>
          <w:szCs w:val="24"/>
          <w:highlight w:val="none"/>
          <w:lang w:eastAsia="zh"/>
        </w:rPr>
      </w:pP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18、音视频布控球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1、对接要求：能无缝接入应急管理部消防救援局、省消防总队图像综合平台，通过国标 GB/T 28181 标准和 SDK 接口可获取国家消防救援局图像综合管理平台视频资源目录、设备状态信息、设备地理信息，并可实现视频调阅、云台操作和双向对讲等功能: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2、整体结构：一体化结构设计，带有设备提手，携带方便，集成高清云台摄像机、无线编码器、大容量电池、红外灯组等模块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3、机芯：高清机芯CMOS≥1/2.8″；光学变倍≥30倍，数字变倍≥16倍，最大分辨率1920*1080P 25帧/秒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4、编码协议：支持H.264、H.265，支持G711A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5、最低照度：彩色≤ 0.001Lux（F1.2 AGC ON），黑白≤ 0.0001Lux(F1.2 AGC ON)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6、镜头角度：60°~2°（远望-广角）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7、协议：支持GB/T28181/RTSP协议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8、红外夜视：自动、手动红外灯光模式，红外夜视距离≥100米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9、去雾功能：支持去雾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10、存储：双TF卡存储，单TF卡最大支持256G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11、音频输入：内置拾音器，手咪或蓝牙（三选择一，单声道），支持双向语音对讲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12、手咪接口：支持1×3.5mm接口（由航空插头转出）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13、云台：水平旋转范围360°，垂直旋转范围-15°~90°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14、网络：支持不少于1×4G全网通，1×5G全网通，支持APN和VPDN，内置1×WIFI，1×10/100M以太网口（由航空插头转出），内置蓝牙4.0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15、定位：内置北斗定位模块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16、状态显示：内置OLED屏，显示5G信号强弱，电池容量，服务器地址；OSD可调取显示设备名称、时间、定位、电量字符叠加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17、防护等级：防护等级≥IP66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18、部署方式：支持磁力吸附、固定支架、三脚架等安装方式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19、电源：底部内置10AH锂电池,工作续航时间≥8小时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20、尺寸：≤Φ160*220mm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21、重量：≤3KG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22</w:t>
      </w:r>
      <w:r>
        <w:rPr>
          <w:rFonts w:hint="eastAsia" w:ascii="宋体" w:hAnsi="宋体" w:eastAsia="宋体" w:cs="宋体"/>
          <w:color w:val="auto"/>
          <w:sz w:val="24"/>
          <w:szCs w:val="24"/>
          <w:highlight w:val="none"/>
          <w:lang w:bidi="ar"/>
        </w:rPr>
        <w:t>增设外接音响带蓝牙功能</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、配件要求：航空头连接线×1、电源适配器×1、三脚架固定圆盘×1、手提防护箱×1、手咪×1、蓝牙耳机×1、车载充电器×1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防寒保暖套</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手咪</w:t>
      </w:r>
      <w:r>
        <w:rPr>
          <w:rFonts w:hint="eastAsia" w:ascii="宋体" w:hAnsi="宋体" w:eastAsia="宋体" w:cs="宋体"/>
          <w:color w:val="auto"/>
          <w:sz w:val="24"/>
          <w:szCs w:val="24"/>
          <w:highlight w:val="none"/>
        </w:rPr>
        <w:t>×1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、200万超星光级高清机芯，分辨率高达1080P</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支持上报位置至消防综合服务平台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19、有毒气体探测仪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1、符合GB3836.4-2010标准，提供省或国家级检测机构的检测报告或具有CNAS/CMA资质认证的第三方检测机构出具的产品检测报告；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2、可同时检测（一氧化碳，氧气，硫化氢）等气体，液晶显示屏显示；</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3、具备自检、警报震动功能；警报音量≥90dB；</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4、防护等级≥IP67；</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5、氧气：</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5.1测量范围：0%~30%；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5.2分辨率（dpi）≤0.1%；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6、一氧化碳：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6.1测量范围0ppm~500ppm；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6.2分辨率（dpi）≤1ppm；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7、硫化氢：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7.1测量范围0ppm~100ppm，</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7.2分辨率（dpi）≤1ppm；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8、连续工作时间≥4h；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9、具有中文说明书和校准证书；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10、具有永久性标志及产品数据标识；</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11、整机具有第三方出具的防爆合格证，防爆等级≥Ex ib IICT4。</w:t>
      </w:r>
      <w:r>
        <w:rPr>
          <w:rFonts w:hint="eastAsia" w:ascii="宋体" w:hAnsi="宋体" w:eastAsia="宋体" w:cs="宋体"/>
          <w:color w:val="auto"/>
          <w:sz w:val="24"/>
          <w:szCs w:val="24"/>
          <w:highlight w:val="none"/>
          <w:lang w:eastAsia="zh"/>
        </w:rPr>
        <w:t>12、</w:t>
      </w:r>
      <w:r>
        <w:rPr>
          <w:rFonts w:hint="eastAsia" w:ascii="宋体" w:hAnsi="宋体" w:eastAsia="宋体" w:cs="宋体"/>
          <w:color w:val="auto"/>
          <w:sz w:val="24"/>
          <w:szCs w:val="24"/>
          <w:highlight w:val="none"/>
          <w:lang w:bidi="ar"/>
        </w:rPr>
        <w:t>质保期内免费标定；</w:t>
      </w:r>
    </w:p>
    <w:p>
      <w:pPr>
        <w:spacing w:line="360" w:lineRule="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 w:bidi="ar"/>
        </w:rPr>
        <w:t>13、</w:t>
      </w:r>
      <w:r>
        <w:rPr>
          <w:rFonts w:hint="eastAsia" w:ascii="宋体" w:hAnsi="宋体" w:eastAsia="宋体" w:cs="宋体"/>
          <w:color w:val="auto"/>
          <w:sz w:val="24"/>
          <w:szCs w:val="24"/>
          <w:highlight w:val="none"/>
          <w:lang w:bidi="ar"/>
        </w:rPr>
        <w:t>配备专用收纳袋。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6</w:t>
      </w:r>
      <w:r>
        <w:rPr>
          <w:rFonts w:hint="eastAsia" w:ascii="宋体" w:hAnsi="宋体" w:cs="宋体"/>
          <w:color w:val="auto"/>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1、AED除颤仪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技术参数：用于体外除颤。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1、除颤波形为双相指数截断波形，除颤能量可根据阻抗动态调整，支持成人及儿童除颤模式，可一键相互切换；</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2、设备防水防尘级别≥IP55，设备抗跌落高度不小于 1.2 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3、输出的最大成人除颤能量≧150J，输出的最大儿童除颤能量≧ 50J；</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4、开机到放电准备就绪时间≤6s秒；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5、电极片有效期≥36个月；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6、电池寿命≥5年；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7、提示低电量后还可实施电击次数≥5次及以上；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8、具有可电击心律分析识别功能；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9、支持显示操作动作指导；</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10、设备默认自动调节音量，音量将适应环境噪声；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11、设备具有用户自检和设备自检功能；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12、数据传输：可通过USB和无线传输多方式导出数据；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13、可储存抢救现场录音数据；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14、配置携行箱，材质应耐压耐腐蚀并具备防晒防水等功能；携行箱外观应比例协调，美观大方，并应根据采购方需求印制指定标识。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2、便携式推车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技术参数：消防员运送物资。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1、材质：平板整体为钢结构。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2、平板尺寸≥120*70（cm）。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3、配有电动行走、升降系统。</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4、电机功率≥650W，适合在多种地面行驶。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续航时间≥20 小时。</w:t>
      </w:r>
    </w:p>
    <w:p>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轮胎</w:t>
      </w:r>
      <w:r>
        <w:rPr>
          <w:rFonts w:hint="eastAsia" w:ascii="宋体" w:hAnsi="宋体" w:eastAsia="宋体" w:cs="宋体"/>
          <w:color w:val="auto"/>
          <w:sz w:val="24"/>
          <w:szCs w:val="24"/>
          <w:highlight w:val="none"/>
        </w:rPr>
        <w:t>尺寸≥35cm</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、行驶距离≥15km。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、爬坡角度≥30°。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、升降高度≥105cm。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、升降载重≥300kg。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、平地载重≥500kg。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12、</w:t>
      </w:r>
      <w:r>
        <w:rPr>
          <w:rFonts w:hint="eastAsia" w:ascii="宋体" w:hAnsi="宋体" w:eastAsia="宋体" w:cs="宋体"/>
          <w:color w:val="auto"/>
          <w:sz w:val="24"/>
          <w:szCs w:val="24"/>
          <w:highlight w:val="none"/>
          <w:lang w:bidi="ar"/>
        </w:rPr>
        <w:t>配备安全绳和绷带≥3根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备胎、轮胎充气装置≥1套</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、充气帐篷（40m2）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8"/>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1.2结构组成：气柱框架、外披、内衬、底布4部分组成。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2.1帐篷尺寸：长：8-10米，宽：4-8米，高：3-4米，使用面积≥40平方米；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2.6窗户尺寸：宽0.4-1米，高0.4-1米，加设防雨帘和纱网。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2.7气阀两组：安全阀≥1个、快速充气阀≥2个、多功能充气阀≥1个。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△2.13抗风等级：≥8级。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2.14整体重量：小于200公斤。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2.15气柱保压时间≥48小时，一次充气自行竖立时间≥7天，具备自动补气功能。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3.1配备专用储物袋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3.2</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3</w:t>
      </w:r>
      <w:r>
        <w:rPr>
          <w:rFonts w:hint="eastAsia" w:ascii="宋体" w:hAnsi="宋体" w:eastAsia="宋体" w:cs="宋体"/>
          <w:color w:val="auto"/>
          <w:sz w:val="24"/>
          <w:szCs w:val="24"/>
          <w:highlight w:val="none"/>
        </w:rPr>
        <w:t>工具配置：电动充、排一体气泵1台、手锤1把，风绳地钉、修补包各一套</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3.4</w:t>
      </w:r>
      <w:r>
        <w:rPr>
          <w:rFonts w:hint="eastAsia" w:ascii="宋体" w:hAnsi="宋体" w:eastAsia="宋体" w:cs="宋体"/>
          <w:color w:val="auto"/>
          <w:sz w:val="24"/>
          <w:szCs w:val="24"/>
          <w:highlight w:val="none"/>
          <w:lang w:bidi="ar"/>
        </w:rPr>
        <w:t>配备不少于6个节能灯具、挂点及配套相关线材、插头等，能够在帐篷内迅速搭建一套照明系统。</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5</w:t>
      </w:r>
      <w:r>
        <w:rPr>
          <w:rFonts w:hint="eastAsia" w:ascii="宋体" w:hAnsi="宋体" w:eastAsia="宋体" w:cs="宋体"/>
          <w:color w:val="auto"/>
          <w:sz w:val="24"/>
          <w:szCs w:val="24"/>
          <w:highlight w:val="none"/>
        </w:rPr>
        <w:t>外观具体字样、颜色及标识待后期定制。</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、充气帐篷（60m2）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1.1主要功能：用于野外施工作业、露营训练、临时会所、临时指挥所、野外医疗、抢险救灾等情况下的雨雪、风沙、阳光遮挡防护                               </w:t>
      </w:r>
    </w:p>
    <w:p>
      <w:pPr>
        <w:numPr>
          <w:ilvl w:val="0"/>
          <w:numId w:val="9"/>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性能要求：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2.1结构组成：气柱框架、外披、内衬、底布4部分组成。</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2.2帐篷尺寸：长：10-12米，宽：5-6米，高：3-4米。使用面积≥60m²，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2.3外篷布：颜色红色，单面涂覆pvc外篷布。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△2.4气柱：双面涂覆PVC刀刮灰色气密布，厚度大于0.5mm。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2.5底布：灰色色双面涂覆PVC双轴向阻燃布，厚度大于0.5mm。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2.6前后门尺寸：宽1-1.5米，高2-2.5米（2扇），门帘分四层：外层防水门帘、防蚊虫纱网、内衬层、防蚊虫纱网。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2.7窗户尺寸：宽0.5-1米，高0.5-1米，加设防雨帘和纱网。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2.8气阀两组：安全阀1个、快速充气阀3个、多功能充气阀1个。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2.9帐篷固定拉纤拉环防水处理，全部缝合处使用防雨条做防水处理。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2.10气压：正常使用：15-25kpa。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2.11适应温度：-30℃+70℃。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2.12充气搭建时间：10-20min。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2.13帐篷配通风口2个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△2.14抗风等级：≥8级。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 xml:space="preserve">2.15整体重量：小于300公斤。气柱保压时间≥48小时，一次充气自行竖立时间≥7天，具备自动补气功能                  </w:t>
      </w:r>
      <w:r>
        <w:rPr>
          <w:rFonts w:hint="eastAsia" w:ascii="宋体" w:hAnsi="宋体" w:eastAsia="宋体" w:cs="宋体"/>
          <w:color w:val="auto"/>
          <w:sz w:val="24"/>
          <w:szCs w:val="24"/>
          <w:highlight w:val="none"/>
          <w:lang w:eastAsia="zh"/>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3、其他要求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3.1工具配置：电动充、排一体气泵1台、手锤1把，风绳地钉、修补包一套。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3.2配置专用耐磨外包装布。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3.3</w:t>
      </w:r>
      <w:r>
        <w:rPr>
          <w:rFonts w:hint="eastAsia" w:ascii="宋体" w:hAnsi="宋体" w:eastAsia="宋体" w:cs="宋体"/>
          <w:color w:val="auto"/>
          <w:sz w:val="24"/>
          <w:szCs w:val="24"/>
          <w:highlight w:val="none"/>
          <w:lang w:bidi="ar"/>
        </w:rPr>
        <w:t>配备帐篷收纳箱，底部安装移动轮，其中最少2个万向轮；</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外观具体字样、颜色及标识待后期定制。</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3.5</w:t>
      </w:r>
      <w:r>
        <w:rPr>
          <w:rFonts w:hint="eastAsia" w:ascii="宋体" w:hAnsi="宋体" w:eastAsia="宋体" w:cs="宋体"/>
          <w:color w:val="auto"/>
          <w:sz w:val="24"/>
          <w:szCs w:val="24"/>
          <w:highlight w:val="none"/>
          <w:lang w:bidi="ar"/>
        </w:rPr>
        <w:t>配备不少于10个节能灯具、挂点及配套相关线材、插头等，能够在帐篷内迅速搭建一套照明系统。</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、大功率发电机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1、额定输出电压：220V/380V</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2、额定频率：50HZ</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3、输出功率：≥10kW，自动调节电压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4、燃油箱容积：≥20L</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△5、启动系统：电启动、手拉反冲启动等</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6、发动机形式：风冷、单缸、四冲程</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7、净重：≤80kg</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8、移动方式：满足皮卡车、中小型货车货箱作为载具进行移动运输，并且适应以上车辆自动装卸功能</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bidi="ar"/>
        </w:rPr>
        <w:t>9、结构：</w:t>
      </w:r>
      <w:r>
        <w:rPr>
          <w:rFonts w:hint="eastAsia" w:ascii="宋体" w:hAnsi="宋体" w:eastAsia="宋体" w:cs="宋体"/>
          <w:color w:val="auto"/>
          <w:sz w:val="24"/>
          <w:szCs w:val="24"/>
          <w:highlight w:val="none"/>
          <w:lang w:bidi="ar"/>
        </w:rPr>
        <w:t>发电机底部配备滑轮，其中万向轮不低于2个</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、安全配备：发动机过温，机油欠压、发电机超压、过流等保护功能</w:t>
      </w:r>
      <w:r>
        <w:rPr>
          <w:rFonts w:hint="eastAsia" w:ascii="宋体" w:hAnsi="宋体" w:eastAsia="宋体" w:cs="宋体"/>
          <w:color w:val="auto"/>
          <w:sz w:val="24"/>
          <w:szCs w:val="24"/>
          <w:highlight w:val="none"/>
          <w:lang w:eastAsia="zh"/>
        </w:rPr>
        <w:t>；</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bidi="ar"/>
        </w:rPr>
        <w:t>11、配件：</w:t>
      </w:r>
      <w:r>
        <w:rPr>
          <w:rFonts w:hint="eastAsia" w:ascii="宋体" w:hAnsi="宋体" w:eastAsia="宋体" w:cs="宋体"/>
          <w:color w:val="auto"/>
          <w:sz w:val="24"/>
          <w:szCs w:val="24"/>
          <w:highlight w:val="none"/>
          <w:lang w:bidi="ar"/>
        </w:rPr>
        <w:t>配备380V/220V带轮子移动线盘各一盘，长度≥50米，具有漏电保护功能。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、单兵携行包（箱）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numPr>
          <w:ilvl w:val="0"/>
          <w:numId w:val="1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整体要求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1.1、72小时应急救援携行装备是参加应急救援时随身携带的个人生活用品、食物、救援和防护装备以及医疗急救包、通讯器材等物资的单兵遂行作战携行装具。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2.1容积≥70L；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2.2背囊正面可根据要求印反光字及相关标识，背面有个人信息卡及卡槽；配备有防雨罩。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2.3主要存储单元可单独开启并可分为若干个区域。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2.4主料为不低于1050D加密防水尼龙牛津布，透明PV涂层，具有强度高、耐磨、防水、防撕裂等性能。面料撕破力经、纬向≥250N。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2.5封口布面料为不低于300D尼龙布，PV涂层；里料为不低于210D加密尼龙布。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2.6背包后背、腰垫、肩垫均使用高透气网布。</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2.7</w:t>
      </w:r>
      <w:r>
        <w:rPr>
          <w:rFonts w:hint="eastAsia" w:ascii="宋体" w:hAnsi="宋体" w:eastAsia="宋体" w:cs="宋体"/>
          <w:color w:val="auto"/>
          <w:sz w:val="24"/>
          <w:szCs w:val="24"/>
          <w:highlight w:val="none"/>
          <w:lang w:bidi="ar"/>
        </w:rPr>
        <w:t>背包后背配备腰部支撑系统。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背包正面设置多个挂点，可挂置各类便携常用的小型装备。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△3.1包内配物品清单：</w:t>
      </w:r>
      <w:r>
        <w:rPr>
          <w:rFonts w:hint="eastAsia" w:ascii="宋体" w:hAnsi="宋体" w:eastAsia="宋体" w:cs="宋体"/>
          <w:color w:val="auto"/>
          <w:sz w:val="24"/>
          <w:szCs w:val="24"/>
          <w:highlight w:val="none"/>
          <w:lang w:bidi="ar"/>
        </w:rPr>
        <w:t>军用指南针，防潮垫、睡袋、单兵帐篷、急救包（不少于20种常用医疗物品）、军用水壶、饭盒（含刀叉勺）、简易洗漱用品：含牙刷、牙膏、梳子、洗发水、洗浴液、哨子、LED帐篷灯、放大镜、反光镜、温度计、口哨、指南针、密封舱，高频口哨、防水强光手电、雨衣、水质净化片1瓶、高能量自热即食食品、饮用水、蚊虫药、防静电内衣裤、袜子、折叠拖鞋、多功能刀具、多功能工兵铲（带有打火功能）、登山杖、聚脂薄膜保温毯等。</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7、浮艇泵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技术参数：消防队可利用室外天然水源补充消防车水箱。它也可以用来从洪水地区和房间抽水。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产品符合浮艇泵检验大纲，提供应急管理部上海消防研究所出具的检验报告。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1.水泵类型：轻型铝合金单级离心泵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2.吸水口≥80mm  出水口≥65mm（内扣式）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3.额定压力≥0.4Mpa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4.额定流量≥1000L/min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5.扬程≥65米，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6.最大流量≥1500L/min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7.重量≤90kg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8.发动机型式：单缸强制风冷四冲程 ，启动系统：手拉启动、电力启动、遥控启动（遥控距离≥150m）（任意启动模式下都可以单独调节转速高低）；机器设计应急油门机构，在遥控器故障情况下，也能实现机器的启停和加减油门。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9.泵吸入口处设置抗腐蚀性滤网，滤网的过流面积不影响泵的性能。滤网孔只能通过≤8mm的颗粒。</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、航空运输箱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技术参数：1、外观颜色要求：绿色，或按照采购人制定要求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2、组成：把手、密封圈、卡扣、排气阀、海绵隔层；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3、主要性能：抗强冲击、耐高低温、缓冲减震、密封防水、防尘抗腐、漂浮救生、展收迅速、携行轻便、持久耐用；容量≥100 升；净重≤12 千克；</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4、承重≥150kg;</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温度范围：≥-40~90℃；外部尺寸≥800*550*355，内部尺寸≥700*480*300。</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、静音发电机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技术参数：为满足安静环境下特殊供电需求。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1、额定功率≥1.8KW，手动或电动，净重≤25Kg。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2、电压≥220v。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3、油箱容量≧ 4L，</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4、直流输出：12V；输出电流：≥5.0A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△5、持续运行时间(额定输出下)(hr) ：≥2.5。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6、7米处噪音≦65dB（A）。</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配备线盘≥50米。</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、空气呼吸器瓶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1、气瓶容积：6.8L，以无缝铝合金为内胆，在其外表全缠绕浸渍树脂基体的炭纤维加强层，并经加温固化。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2、气瓶工作压力30Mpa，水压试验压力≥50MPa，气瓶顶端和底部都配有橡胶保护套。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△3、气瓶瓶阀安全膜片爆破压力≥40～45Mpa。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4、</w:t>
      </w:r>
      <w:r>
        <w:rPr>
          <w:rFonts w:hint="eastAsia" w:ascii="宋体" w:hAnsi="宋体" w:eastAsia="宋体" w:cs="宋体"/>
          <w:color w:val="auto"/>
          <w:sz w:val="24"/>
          <w:szCs w:val="24"/>
          <w:highlight w:val="none"/>
        </w:rPr>
        <w:t>气瓶瓶阀带有自锁装置，具有防误操作功能。</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5、</w:t>
      </w:r>
      <w:r>
        <w:rPr>
          <w:rFonts w:hint="eastAsia" w:ascii="宋体" w:hAnsi="宋体" w:eastAsia="宋体" w:cs="宋体"/>
          <w:color w:val="auto"/>
          <w:sz w:val="24"/>
          <w:szCs w:val="24"/>
          <w:highlight w:val="none"/>
          <w:lang w:bidi="ar"/>
        </w:rPr>
        <w:t>气瓶增加保护套（阻燃带标识）。</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、千斤顶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技术参数：交通事故、建筑倒塌现场的重载荷撑顶救援。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具有防止超载的安全阀，开启负荷在1Gn至1.5Gn范围内，具备可靠的限位装置，使用手柄起升额定重量时，手柄操作力≤400N。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起重重量≥20 吨。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12、手抬机动泵（核心产品）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技术参数：用于灾害事故现场排涝、供水、灭火等。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 6245-2006、CCCF-CPRZ-26：2019标准；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2、启动方式：电启动和手动启动；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3、发动机功率：四冲程发动机，＞13HP；</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4、额定压力≥0.5MPa，额定流量≥15L/s（3米吸深）；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5、最大出口压力：≥0.8MPa；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6、进水口：≥80mm；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7、出水口：≥65mm*2；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8、引水装置性能：无油润滑真空泵；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9、△引水时间：≤10秒；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10、水泵型式：单泵单程离心泵；</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11、重量：≤70 kg；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12、提供国家级质量监督检验中心检测报告</w:t>
      </w: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13、配件：</w:t>
      </w:r>
      <w:r>
        <w:rPr>
          <w:rFonts w:hint="eastAsia" w:ascii="宋体" w:hAnsi="宋体" w:eastAsia="宋体" w:cs="宋体"/>
          <w:color w:val="auto"/>
          <w:sz w:val="24"/>
          <w:szCs w:val="24"/>
          <w:highlight w:val="none"/>
          <w:lang w:bidi="ar"/>
        </w:rPr>
        <w:t>配备滤网≥2个、各类转换接口≥1套、火花塞≥2个</w:t>
      </w:r>
      <w:r>
        <w:rPr>
          <w:rFonts w:hint="eastAsia" w:ascii="宋体" w:hAnsi="宋体" w:eastAsia="宋体" w:cs="宋体"/>
          <w:color w:val="auto"/>
          <w:sz w:val="24"/>
          <w:szCs w:val="24"/>
          <w:highlight w:val="none"/>
          <w:lang w:eastAsia="zh" w:bidi="ar"/>
        </w:rPr>
        <w:t>；</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14、</w:t>
      </w:r>
      <w:r>
        <w:rPr>
          <w:rFonts w:hint="eastAsia" w:ascii="宋体" w:hAnsi="宋体" w:eastAsia="宋体" w:cs="宋体"/>
          <w:color w:val="auto"/>
          <w:sz w:val="24"/>
          <w:szCs w:val="24"/>
          <w:highlight w:val="none"/>
          <w:lang w:bidi="ar"/>
        </w:rPr>
        <w:t>设备底部加装可拆卸移动轮</w:t>
      </w:r>
      <w:r>
        <w:rPr>
          <w:rFonts w:hint="eastAsia" w:ascii="宋体" w:hAnsi="宋体" w:eastAsia="宋体" w:cs="宋体"/>
          <w:color w:val="auto"/>
          <w:sz w:val="24"/>
          <w:szCs w:val="24"/>
          <w:highlight w:val="none"/>
          <w:lang w:eastAsia="zh"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、婴儿呼吸袋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技术参数：用于保护（3-8 岁）儿童免受有毒化学或者其他有毒气体侵害。</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1、主要部件：头罩、滤毒罐、送风机等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2、电源：充电锂电池</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3、额定电压≥9VDC</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4、使用时间≥4h</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5、送 风 量≥90L/min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6、重量：≤1kg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7、尺寸大小≤35cm×70cm。</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highlight w:val="none"/>
          <w:lang w:eastAsia="zh-CN" w:bidi="ar"/>
        </w:rPr>
      </w:pPr>
      <w:r>
        <w:rPr>
          <w:rFonts w:hint="eastAsia" w:ascii="宋体" w:hAnsi="宋体" w:cs="宋体"/>
          <w:color w:val="auto"/>
          <w:sz w:val="32"/>
          <w:szCs w:val="32"/>
          <w:highlight w:val="none"/>
          <w:lang w:eastAsia="zh-CN" w:bidi="ar"/>
        </w:rPr>
        <w:t>（包</w:t>
      </w:r>
      <w:r>
        <w:rPr>
          <w:rFonts w:hint="eastAsia" w:ascii="宋体" w:hAnsi="宋体" w:cs="宋体"/>
          <w:color w:val="auto"/>
          <w:sz w:val="32"/>
          <w:szCs w:val="32"/>
          <w:highlight w:val="none"/>
          <w:lang w:val="en-US" w:eastAsia="zh-CN" w:bidi="ar"/>
        </w:rPr>
        <w:t>9</w:t>
      </w:r>
      <w:r>
        <w:rPr>
          <w:rFonts w:hint="eastAsia" w:ascii="宋体" w:hAnsi="宋体" w:cs="宋体"/>
          <w:color w:val="auto"/>
          <w:sz w:val="32"/>
          <w:szCs w:val="32"/>
          <w:highlight w:val="none"/>
          <w:lang w:eastAsia="zh-CN" w:bidi="ar"/>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1、冰面救援滑板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技术参数：主要用于消防员冬季冰面救援使用。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1、应一体成型设计，非多层压制，不易分解。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2、材质应完全不吸水，可长时间浮出水面。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3、应使用高亮颜色，增强可视性。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4、展开尺寸：长度≥1.5米，宽度：≥0.9米，厚度≥10cm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5、重量≤20kg。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6、静态均衡承载浮力≥</w:t>
      </w:r>
      <w:r>
        <w:rPr>
          <w:rFonts w:hint="eastAsia" w:ascii="宋体" w:hAnsi="宋体" w:eastAsia="宋体" w:cs="宋体"/>
          <w:color w:val="auto"/>
          <w:sz w:val="24"/>
          <w:szCs w:val="24"/>
          <w:highlight w:val="none"/>
          <w:lang w:eastAsia="zh"/>
        </w:rPr>
        <w:t>23</w:t>
      </w:r>
      <w:r>
        <w:rPr>
          <w:rFonts w:hint="eastAsia" w:ascii="宋体" w:hAnsi="宋体" w:eastAsia="宋体" w:cs="宋体"/>
          <w:color w:val="auto"/>
          <w:sz w:val="24"/>
          <w:szCs w:val="24"/>
          <w:highlight w:val="none"/>
        </w:rPr>
        <w:t>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7、充气时间≤4min；</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8、救援板四周有≥4个拉手</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滑板前后增加救援挂绳孔</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9、便携袋设计合理，方便有序使用救生器材；主体滑板袋，浮力圈口袋、浮水绳（30米）口袋、冰锥和冰锥辅助爬行器工具口袋，频闪灯或对讲机口袋，多口袋规范设计使用方便。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10、频闪灯1个续航时间≥30h</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配备电动、手动充气泵、气瓶转换接口各≥1套</w:t>
      </w:r>
      <w:r>
        <w:rPr>
          <w:rFonts w:hint="eastAsia" w:ascii="宋体" w:hAnsi="宋体" w:eastAsia="宋体" w:cs="宋体"/>
          <w:color w:val="auto"/>
          <w:sz w:val="24"/>
          <w:szCs w:val="24"/>
          <w:highlight w:val="none"/>
          <w:lang w:eastAsia="zh" w:bidi="ar"/>
        </w:rPr>
        <w:t>。</w:t>
      </w:r>
    </w:p>
    <w:p>
      <w:pPr>
        <w:numPr>
          <w:ilvl w:val="0"/>
          <w:numId w:val="11"/>
        </w:numPr>
        <w:spacing w:line="360" w:lineRule="auto"/>
        <w:rPr>
          <w:rFonts w:hint="eastAsia" w:ascii="宋体" w:hAnsi="宋体" w:eastAsia="宋体" w:cs="宋体"/>
          <w:color w:val="auto"/>
          <w:sz w:val="24"/>
          <w:szCs w:val="24"/>
          <w:highlight w:val="none"/>
          <w:lang w:eastAsia="zh" w:bidi="ar"/>
        </w:rPr>
      </w:pPr>
      <w:r>
        <w:rPr>
          <w:rFonts w:hint="eastAsia" w:ascii="宋体" w:hAnsi="宋体" w:eastAsia="宋体" w:cs="宋体"/>
          <w:color w:val="auto"/>
          <w:sz w:val="24"/>
          <w:szCs w:val="24"/>
          <w:highlight w:val="none"/>
          <w:lang w:bidi="ar"/>
        </w:rPr>
        <w:t>配备专用收纳箱</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cs="宋体"/>
          <w:color w:val="auto"/>
          <w:sz w:val="32"/>
          <w:szCs w:val="32"/>
          <w:highlight w:val="none"/>
          <w:lang w:eastAsia="zh" w:bidi="ar"/>
        </w:rPr>
      </w:pPr>
      <w:r>
        <w:rPr>
          <w:rFonts w:hint="eastAsia" w:ascii="宋体" w:hAnsi="宋体" w:eastAsia="宋体" w:cs="宋体"/>
          <w:color w:val="auto"/>
          <w:sz w:val="24"/>
          <w:szCs w:val="24"/>
          <w:highlight w:val="none"/>
          <w:lang w:eastAsia="zh"/>
        </w:rPr>
        <w:t>13、</w:t>
      </w:r>
      <w:r>
        <w:rPr>
          <w:rFonts w:hint="eastAsia" w:ascii="宋体" w:hAnsi="宋体" w:eastAsia="宋体" w:cs="宋体"/>
          <w:color w:val="auto"/>
          <w:sz w:val="24"/>
          <w:szCs w:val="24"/>
          <w:highlight w:val="none"/>
        </w:rPr>
        <w:t>提供省级以上检测机构出具的检验证书。</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2、充气救援艇（橡皮艇）</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技术参数：</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1.1用于水域救援。舟体为充气式，配马达。采用双尾椎充气船体结构，船底部有充气舷梁，具有排水阀门。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2、技术要求：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2.1额定乘员：≥8人。</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2.2尺寸：长度≥4200mm、外宽≥1900mm、直径≥500 mm </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2.3结构:船底充气拉丝底板，M型艇底，底部加装耐磨条。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2.4独立安全密封气室：≥4个</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2.5舟底接触地面位置覆加厚橡胶层。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2.6浮筒外侧安装安全绳索，艇身加装安全把手用于固定抓握。</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2.7艉板与气囊连接处采用双向金属片夹固处理。</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2.8尾板处设置安装队旗装置；船头设置可拆卸式充电照明灯灯架</w:t>
      </w:r>
    </w:p>
    <w:p>
      <w:pPr>
        <w:spacing w:line="360" w:lineRule="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2.9材料：采用PVC或优于此材料（厚度≥ 0.9mm）并提供检测报告</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2.10耐磨性能：在12KPa压力下，面料经1000次循环摩擦后无变化；</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2.11船身抗穿刺性：≥166N；</w:t>
      </w:r>
    </w:p>
    <w:p>
      <w:pPr>
        <w:spacing w:line="360" w:lineRule="auto"/>
        <w:rPr>
          <w:rFonts w:hint="eastAsia" w:ascii="宋体" w:hAnsi="宋体" w:eastAsia="宋体" w:cs="宋体"/>
          <w:b w:val="0"/>
          <w:bCs w:val="0"/>
          <w:color w:val="auto"/>
          <w:sz w:val="24"/>
          <w:szCs w:val="24"/>
          <w:highlight w:val="none"/>
          <w:lang w:eastAsia="zh"/>
        </w:rPr>
      </w:pPr>
      <w:r>
        <w:rPr>
          <w:rFonts w:hint="eastAsia" w:ascii="宋体" w:hAnsi="宋体" w:eastAsia="宋体" w:cs="宋体"/>
          <w:b w:val="0"/>
          <w:bCs w:val="0"/>
          <w:color w:val="auto"/>
          <w:sz w:val="24"/>
          <w:szCs w:val="24"/>
          <w:highlight w:val="none"/>
        </w:rPr>
        <w:t>2.12舷外机马力：≥30马力</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舷外机具备手动和电动两种启动方式</w:t>
      </w:r>
      <w:r>
        <w:rPr>
          <w:rFonts w:hint="eastAsia" w:ascii="宋体" w:hAnsi="宋体" w:eastAsia="宋体" w:cs="宋体"/>
          <w:b w:val="0"/>
          <w:bCs w:val="0"/>
          <w:color w:val="auto"/>
          <w:sz w:val="24"/>
          <w:szCs w:val="24"/>
          <w:highlight w:val="none"/>
          <w:lang w:eastAsia="zh" w:bidi="ar"/>
        </w:rPr>
        <w:t>；</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2.13油箱≥20L</w:t>
      </w:r>
      <w:r>
        <w:rPr>
          <w:rFonts w:hint="eastAsia" w:ascii="宋体" w:hAnsi="宋体" w:eastAsia="宋体" w:cs="宋体"/>
          <w:b w:val="0"/>
          <w:bCs w:val="0"/>
          <w:color w:val="auto"/>
          <w:sz w:val="24"/>
          <w:szCs w:val="24"/>
          <w:highlight w:val="none"/>
          <w:lang w:eastAsia="zh"/>
        </w:rPr>
        <w:t>，</w:t>
      </w:r>
      <w:r>
        <w:rPr>
          <w:rFonts w:hint="eastAsia" w:ascii="宋体" w:hAnsi="宋体" w:eastAsia="宋体" w:cs="宋体"/>
          <w:b w:val="0"/>
          <w:bCs w:val="0"/>
          <w:color w:val="auto"/>
          <w:sz w:val="24"/>
          <w:szCs w:val="24"/>
          <w:highlight w:val="none"/>
          <w:lang w:bidi="ar"/>
        </w:rPr>
        <w:t>船上固定油箱位置</w:t>
      </w:r>
      <w:r>
        <w:rPr>
          <w:rFonts w:hint="eastAsia" w:ascii="宋体" w:hAnsi="宋体" w:eastAsia="宋体" w:cs="宋体"/>
          <w:b w:val="0"/>
          <w:bCs w:val="0"/>
          <w:color w:val="auto"/>
          <w:sz w:val="24"/>
          <w:szCs w:val="24"/>
          <w:highlight w:val="none"/>
          <w:lang w:eastAsia="zh" w:bidi="ar"/>
        </w:rPr>
        <w:t>；</w:t>
      </w:r>
      <w:r>
        <w:rPr>
          <w:rFonts w:hint="eastAsia" w:ascii="宋体" w:hAnsi="宋体" w:eastAsia="宋体" w:cs="宋体"/>
          <w:b w:val="0"/>
          <w:bCs w:val="0"/>
          <w:color w:val="auto"/>
          <w:sz w:val="24"/>
          <w:szCs w:val="24"/>
          <w:highlight w:val="none"/>
        </w:rPr>
        <w:t xml:space="preserve">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3、其他要求</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3.1随艇配备螺旋桨保护罩、</w:t>
      </w:r>
      <w:r>
        <w:rPr>
          <w:rFonts w:hint="eastAsia" w:ascii="宋体" w:hAnsi="宋体" w:eastAsia="宋体" w:cs="宋体"/>
          <w:b w:val="0"/>
          <w:bCs w:val="0"/>
          <w:color w:val="auto"/>
          <w:sz w:val="24"/>
          <w:szCs w:val="24"/>
          <w:highlight w:val="none"/>
          <w:lang w:bidi="ar"/>
        </w:rPr>
        <w:t>带锁止功能的舷外机拖车</w:t>
      </w:r>
      <w:r>
        <w:rPr>
          <w:rFonts w:hint="eastAsia" w:ascii="宋体" w:hAnsi="宋体" w:eastAsia="宋体" w:cs="宋体"/>
          <w:b w:val="0"/>
          <w:bCs w:val="0"/>
          <w:color w:val="auto"/>
          <w:sz w:val="24"/>
          <w:szCs w:val="24"/>
          <w:highlight w:val="none"/>
        </w:rPr>
        <w:t>、救援艇围板折叠轮，便于单人搬运。</w:t>
      </w:r>
    </w:p>
    <w:p>
      <w:pPr>
        <w:spacing w:line="360" w:lineRule="auto"/>
        <w:rPr>
          <w:rFonts w:hint="eastAsia" w:ascii="方正仿宋_GBK" w:hAnsi="方正仿宋_GBK" w:eastAsia="方正仿宋_GBK" w:cs="方正仿宋_GBK"/>
          <w:color w:val="auto"/>
          <w:sz w:val="24"/>
          <w:szCs w:val="24"/>
          <w:highlight w:val="none"/>
        </w:rPr>
      </w:pPr>
      <w:r>
        <w:rPr>
          <w:rFonts w:hint="eastAsia" w:ascii="宋体" w:hAnsi="宋体" w:eastAsia="宋体" w:cs="宋体"/>
          <w:b w:val="0"/>
          <w:bCs w:val="0"/>
          <w:color w:val="auto"/>
          <w:sz w:val="24"/>
          <w:szCs w:val="24"/>
          <w:highlight w:val="none"/>
        </w:rPr>
        <w:t>3.2每舟配备缆绳和修补工具，修补工具至少包含专用胶水1支，气阀扳手1个，维修材料3张、铝合金划桨</w:t>
      </w:r>
      <w:r>
        <w:rPr>
          <w:rFonts w:hint="eastAsia" w:ascii="宋体" w:hAnsi="宋体" w:eastAsia="宋体" w:cs="宋体"/>
          <w:b w:val="0"/>
          <w:bCs w:val="0"/>
          <w:color w:val="auto"/>
          <w:sz w:val="24"/>
          <w:szCs w:val="24"/>
          <w:highlight w:val="none"/>
          <w:lang w:eastAsia="zh"/>
        </w:rPr>
        <w:t>4</w:t>
      </w:r>
      <w:r>
        <w:rPr>
          <w:rFonts w:hint="eastAsia" w:ascii="宋体" w:hAnsi="宋体" w:eastAsia="宋体" w:cs="宋体"/>
          <w:b w:val="0"/>
          <w:bCs w:val="0"/>
          <w:color w:val="auto"/>
          <w:sz w:val="24"/>
          <w:szCs w:val="24"/>
          <w:highlight w:val="none"/>
        </w:rPr>
        <w:t>副、电动气泵1个，</w:t>
      </w:r>
      <w:r>
        <w:rPr>
          <w:rFonts w:hint="eastAsia" w:ascii="宋体" w:hAnsi="宋体" w:eastAsia="宋体" w:cs="宋体"/>
          <w:b w:val="0"/>
          <w:bCs w:val="0"/>
          <w:color w:val="auto"/>
          <w:sz w:val="24"/>
          <w:szCs w:val="24"/>
          <w:highlight w:val="none"/>
          <w:lang w:bidi="ar"/>
        </w:rPr>
        <w:t>气瓶充气转换接头</w:t>
      </w:r>
      <w:r>
        <w:rPr>
          <w:rFonts w:hint="eastAsia" w:ascii="宋体" w:hAnsi="宋体" w:eastAsia="宋体" w:cs="宋体"/>
          <w:b w:val="0"/>
          <w:bCs w:val="0"/>
          <w:color w:val="auto"/>
          <w:sz w:val="24"/>
          <w:szCs w:val="24"/>
          <w:highlight w:val="none"/>
          <w:lang w:eastAsia="zh" w:bidi="ar"/>
        </w:rPr>
        <w:t>1个，</w:t>
      </w:r>
      <w:r>
        <w:rPr>
          <w:rFonts w:hint="eastAsia" w:ascii="宋体" w:hAnsi="宋体" w:eastAsia="宋体" w:cs="宋体"/>
          <w:b w:val="0"/>
          <w:bCs w:val="0"/>
          <w:color w:val="auto"/>
          <w:sz w:val="24"/>
          <w:szCs w:val="24"/>
          <w:highlight w:val="none"/>
        </w:rPr>
        <w:t xml:space="preserve">油桶2个。 </w:t>
      </w:r>
      <w:r>
        <w:rPr>
          <w:rFonts w:hint="eastAsia" w:ascii="方正仿宋_GBK" w:hAnsi="方正仿宋_GBK" w:eastAsia="方正仿宋_GBK" w:cs="方正仿宋_GBK"/>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、船型担架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1.1用于在崎岖的山区，空中或海上救援。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△1.2整体结构为不锈钢外框，工程塑料或其它轻质材料底；担架底部配置伤员隔离减震垫；担架上宽下窄，易于搬运；吊篮内配置固定带和快速提升带。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2.1材质采用无毒无污染释放的材料，具有防火和耐磨损和防腐蚀的功能。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2.2担架配有可调节的脚部安全机械装置，安全带等。</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2.4固定点≥5个。</w:t>
      </w:r>
    </w:p>
    <w:p>
      <w:pPr>
        <w:pStyle w:val="7"/>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eastAsia="zh"/>
        </w:rPr>
        <w:t>2.5</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4、多功能担架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2、采用特殊复合塑料制成，可在－20℃～45℃温度下工作不发生硬化或软化，可以弯曲变形使用，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3、载重≥150kg。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4、垂直断裂强度≥2.5kN，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5、平行断裂强度≥4kN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6、耐温：高温≥45℃  低温≤-20℃。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7、自重：≤9kg</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、多功能省力系统</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bidi="ar"/>
        </w:rPr>
        <w:t>滑轮拖拽省力系</w:t>
      </w:r>
      <w:r>
        <w:rPr>
          <w:rFonts w:hint="eastAsia" w:ascii="宋体" w:hAnsi="宋体" w:eastAsia="宋体" w:cs="宋体"/>
          <w:color w:val="auto"/>
          <w:sz w:val="24"/>
          <w:szCs w:val="24"/>
          <w:highlight w:val="none"/>
        </w:rPr>
        <w:t>统，4比1或5比1滑轮</w:t>
      </w:r>
      <w:r>
        <w:rPr>
          <w:rFonts w:hint="eastAsia" w:ascii="宋体" w:hAnsi="宋体" w:eastAsia="宋体" w:cs="宋体"/>
          <w:color w:val="auto"/>
          <w:sz w:val="24"/>
          <w:szCs w:val="24"/>
          <w:highlight w:val="none"/>
          <w:lang w:bidi="ar"/>
        </w:rPr>
        <w:t>提拉套装。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适合绳索系统，高塔作业、消防救援。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1、符合XF 494-2023《消防用防坠落装备》标准，倍力系数≥4：1。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2、提拉端可通过颜色识别。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3、绳索直径≥8mm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△4、重量≤1500g，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5、工作长度≥2米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△6.基本配置：万向滑轮*1对，16米8MM绳*1 ，缝合抓结*2 （双色），左右两侧拉链腿包*1 ，快拆插销*2安全盖+螺丝 *1</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6、多功能水枪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技术参数：用于扑救火灾的喷射水器具，由开关、流态调节器、流量调节器、转轴式方向套组成。可实现直流、开花水流等多种喷射方式。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1、喷雾流量（L/s）Ⅰ档≥2.5、Ⅱ档≥4.5、Ⅲ档≥6、Ⅳ档≥8；</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2、直流（L/s）≥7.6，射程≥32m；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3、喷射压力：0.6Mpa（±0.01）；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4、喷射角度≥120度；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5、水枪操作力矩≤7.8N•m；</w:t>
      </w:r>
    </w:p>
    <w:p>
      <w:pPr>
        <w:autoSpaceDE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6、</w:t>
      </w:r>
      <w:r>
        <w:rPr>
          <w:rFonts w:hint="eastAsia" w:ascii="宋体" w:hAnsi="宋体" w:eastAsia="宋体" w:cs="宋体"/>
          <w:color w:val="auto"/>
          <w:sz w:val="24"/>
          <w:szCs w:val="24"/>
          <w:highlight w:val="none"/>
          <w:lang w:bidi="ar"/>
        </w:rPr>
        <w:t>配备零配件原装开关手柄≥2套/把；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rPr>
        <w:t xml:space="preserve">、提供国家消防装备质量监督检验中心出具的检验报告及消防产品认证证书。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7、救生抛投器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技术参数：以压缩空气为动力，向目标抛投救绳索及救生圈的一种救援装备，主要用于海难遇险、高层空难及特殊场合的救援。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1、采用内置压缩空气作为动力，工作压力≥ 7.0Mpa，配有压力表便于观察抛投器压力。使用时无明火，带安全按钮联锁，安全可靠，操作简捷方便。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2、产品净重≤8kg。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3、具备陆地、水上远距离抛射救生功能， 陆用时抛射距离≥230m ，水用时抛射距离≥210m。抛绳抗拉力≥ 2KN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4、采用二氧化碳压缩气体或高压空气为发射动力，没有明火。产品带有保险开关，安全系数更高。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5、配备发射角度指示器，通过指示器调整发射角度，达到调整发射距离。</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6、内置1.5升碳纤维气瓶的发射枪体1个、陆用抛绳救援弹2个水用、救援弹2个、训练弹1个、训练绳包1个、吹绳枪1个、二氧化碳压缩气瓶4个、触发剂4个、水用保护套2个、空绳包2个、多功能底座1个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气瓶与发射枪连接口≥2个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气瓶快速充气装置≥1个</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吹绳枪配备可以连接气瓶的专用气管≥1套</w:t>
      </w:r>
      <w:r>
        <w:rPr>
          <w:rFonts w:hint="eastAsia" w:ascii="宋体" w:hAnsi="宋体" w:eastAsia="宋体" w:cs="宋体"/>
          <w:color w:val="auto"/>
          <w:sz w:val="24"/>
          <w:szCs w:val="24"/>
          <w:highlight w:val="none"/>
          <w:lang w:eastAsia="zh" w:bidi="ar"/>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7、提供国家认可的认证或检测机构出具的认证证书或检测报告复印件加盖投标单位公章，认证证书或检测报告在有效期内。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、救援三角架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采用优质铝合金框架，在高处、悬崖垂直面上可设置伸出崖面的工作支点，满足高处、悬崖及井下救援作业。备有手摇式绞盘，可作临时移动的三角架支点，能个人独立操作，可呈现合适的救援角度，支撑脚两节可分解式，可组合三角型、A 型支架，斜 A 型支架或起重支架。顶部有直接安装的滑轮，配有多种基座;具备适应沙地、岩石、水泥地等多种环境的架设能力。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1、采用优质铝合金框架，三角架顶端装有环形挂钩，最大有效垂直空间≥195cmm；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2、牵引绞盘：阻断力≥2200N，钢丝绳长度≥20米；最大载重≥300kg；齿轮比例：8：1；绞盘带自制刹车装置。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3、三角架整体自重（含牵引绞盘自重）≤30kg；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4、完全展开：≥200cm；完全收缩：≤150cm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5、额定载荷：≥180kg；  </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由三角架连接头、支腿、支脚、收紧扁带(含收紧器)、绳包、器材包等组成，配置≥45 件套；</w:t>
      </w:r>
    </w:p>
    <w:p>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
        </w:rPr>
        <w:t>配备专用收纳箱；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rPr>
        <w:t xml:space="preserve">、提供检测报告。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、卷扬机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1.1质量：≤20kg （含电池）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1.2电池：≥5OOOMAH</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1.3电压： ≤36V</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1.4拥有LED电池电量显示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2、性能要求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2.1功率 ：≥1000W，</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△2.2安全负载 ：≥150KG 最大工作负荷≥250KG，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2.3运行距离（单电池）： 往返400M (120KG负载）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3.1需配备有无电释放下降功能，保证没电情况下人员安全落地。</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3.2设有紧急停止按钮</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悬停功能、误操作保护功能。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eastAsia="zh"/>
        </w:rPr>
        <w:t>配件：</w:t>
      </w:r>
      <w:r>
        <w:rPr>
          <w:rFonts w:hint="eastAsia" w:ascii="宋体" w:hAnsi="宋体" w:eastAsia="宋体" w:cs="宋体"/>
          <w:color w:val="auto"/>
          <w:sz w:val="24"/>
          <w:szCs w:val="24"/>
          <w:highlight w:val="none"/>
        </w:rPr>
        <w:t>设备1台、电池≥2块、说明书1份、合格证1张、充电器≥2个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安全扣≥1个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消防员全身吊带1套</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通用型安全绳50米100米各1根</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10、可漂浮救生担架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技术参数：适用于海、陆、空等不同的救援场所；也可做为水中救生垫及其它漂浮品使用。</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1、采用双层高强拉丝PVC材料或优于。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2、充气压力≥0.1Mpa，内部高压强的情况下救援板不会变形。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3、救援板长度≥1.85m，宽度≥0.7m，厚度≥0.1m。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4、正面中部为高强EVA材质或优于，正面和背面均设有防滑板，救援板四周有挂点和抓手绳。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5、配备划桨≥1支，</w:t>
      </w:r>
      <w:r>
        <w:rPr>
          <w:rFonts w:hint="eastAsia" w:ascii="宋体" w:hAnsi="宋体" w:eastAsia="宋体" w:cs="宋体"/>
          <w:color w:val="auto"/>
          <w:sz w:val="24"/>
          <w:szCs w:val="24"/>
          <w:highlight w:val="none"/>
          <w:lang w:eastAsia="zh"/>
        </w:rPr>
        <w:t>50米</w:t>
      </w:r>
      <w:r>
        <w:rPr>
          <w:rFonts w:hint="eastAsia" w:ascii="宋体" w:hAnsi="宋体" w:eastAsia="宋体" w:cs="宋体"/>
          <w:color w:val="auto"/>
          <w:sz w:val="24"/>
          <w:szCs w:val="24"/>
          <w:highlight w:val="none"/>
        </w:rPr>
        <w:t>水域漂浮救援绳≥1条，装备包≥1个，修补材料≥1份，打气筒/泵≥1个。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6、整体重量≤8kg。</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7、水上漂浮载重≥100KG；</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8、</w:t>
      </w:r>
      <w:r>
        <w:rPr>
          <w:rFonts w:hint="eastAsia" w:ascii="宋体" w:hAnsi="宋体" w:eastAsia="宋体" w:cs="宋体"/>
          <w:color w:val="auto"/>
          <w:sz w:val="24"/>
          <w:szCs w:val="24"/>
          <w:highlight w:val="none"/>
          <w:lang w:bidi="ar"/>
        </w:rPr>
        <w:t>可漂浮救生担架设置挂点，可于救生艇配合使用；</w:t>
      </w:r>
    </w:p>
    <w:p>
      <w:pPr>
        <w:spacing w:line="360" w:lineRule="auto"/>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lang w:eastAsia="zh"/>
        </w:rPr>
        <w:t>9</w:t>
      </w:r>
      <w:r>
        <w:rPr>
          <w:rFonts w:hint="eastAsia" w:ascii="宋体" w:hAnsi="宋体" w:eastAsia="宋体" w:cs="宋体"/>
          <w:color w:val="auto"/>
          <w:sz w:val="24"/>
          <w:szCs w:val="24"/>
          <w:highlight w:val="none"/>
        </w:rPr>
        <w:t>、板身主体颜色应为消防红；四周具有夜光反光标识</w:t>
      </w:r>
      <w:r>
        <w:rPr>
          <w:rFonts w:hint="eastAsia" w:ascii="宋体" w:hAnsi="宋体" w:eastAsia="宋体" w:cs="宋体"/>
          <w:color w:val="auto"/>
          <w:sz w:val="24"/>
          <w:szCs w:val="24"/>
          <w:highlight w:val="none"/>
          <w:lang w:eastAsia="zh"/>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rPr>
        <w:t>、应可用压缩气瓶或专用气筒/泵充气；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
        </w:rPr>
        <w:t>1</w:t>
      </w:r>
      <w:r>
        <w:rPr>
          <w:rFonts w:hint="eastAsia" w:ascii="宋体" w:hAnsi="宋体" w:eastAsia="宋体" w:cs="宋体"/>
          <w:color w:val="auto"/>
          <w:sz w:val="24"/>
          <w:szCs w:val="24"/>
          <w:highlight w:val="none"/>
        </w:rPr>
        <w:t>、提供省级或省级以上质量监督检验中心的检测报告。</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、气动起重气垫</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性能要求:主要用于交通事故、建筑倒塌等现场救援。防滑设计，防酸碱，抗尖状硬物挤压；具备抗静电、抗裂、耐磨、抗油、抗老化性能</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1、不少于4种规格：球形气垫1、≥5T、2、≥15T、3、≥25T 、4、≥35T；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△2、气垫爆破压力≥2.4Mpa；额定工作高度≥100mm；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3、气垫之间可重叠使用，可将2个或3个气垫固定连接成为一个整体。</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△4、需配备有6.8L-9L碳纤维高压气瓶≥1个；充气管≥5米不少于2根。带安全阀截流管长度：≥1m，不低于2根；配备连接器、连接工具；承重板≥2块；地垫≥1块；</w:t>
      </w:r>
      <w:r>
        <w:rPr>
          <w:rFonts w:hint="eastAsia" w:ascii="宋体" w:hAnsi="宋体" w:eastAsia="宋体" w:cs="宋体"/>
          <w:color w:val="auto"/>
          <w:sz w:val="24"/>
          <w:szCs w:val="24"/>
          <w:highlight w:val="none"/>
          <w:lang w:bidi="ar"/>
        </w:rPr>
        <w:t>与</w:t>
      </w:r>
      <w:r>
        <w:rPr>
          <w:rFonts w:hint="eastAsia" w:ascii="宋体" w:hAnsi="宋体" w:cs="宋体"/>
          <w:color w:val="auto"/>
          <w:sz w:val="24"/>
          <w:szCs w:val="24"/>
          <w:highlight w:val="none"/>
          <w:lang w:eastAsia="zh-CN" w:bidi="ar"/>
        </w:rPr>
        <w:t>空气呼吸器瓶</w:t>
      </w:r>
      <w:r>
        <w:rPr>
          <w:rFonts w:hint="eastAsia" w:ascii="宋体" w:hAnsi="宋体" w:eastAsia="宋体" w:cs="宋体"/>
          <w:color w:val="auto"/>
          <w:sz w:val="24"/>
          <w:szCs w:val="24"/>
          <w:highlight w:val="none"/>
          <w:lang w:bidi="ar"/>
        </w:rPr>
        <w:t>匹配的快速接头和高压软管</w:t>
      </w:r>
      <w:r>
        <w:rPr>
          <w:rFonts w:hint="eastAsia" w:ascii="宋体" w:hAnsi="宋体" w:eastAsia="宋体" w:cs="宋体"/>
          <w:color w:val="auto"/>
          <w:sz w:val="24"/>
          <w:szCs w:val="24"/>
          <w:highlight w:val="none"/>
          <w:lang w:eastAsia="zh" w:bidi="ar"/>
        </w:rPr>
        <w:t>1套、</w:t>
      </w:r>
      <w:r>
        <w:rPr>
          <w:rFonts w:hint="eastAsia" w:ascii="宋体" w:hAnsi="宋体" w:eastAsia="宋体" w:cs="宋体"/>
          <w:color w:val="auto"/>
          <w:sz w:val="24"/>
          <w:szCs w:val="24"/>
          <w:highlight w:val="none"/>
        </w:rPr>
        <w:t>配件箱1只。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整套含高压气瓶、气瓶阀、减压器、压力表、充气管、安全阀 、控制阀、快速接头、充气泵、不同规格气垫。  </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、躯体固定气囊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技术参数：用于突发事故现场、躯体骨伤骨折，能有效防止因现场处理不当及送医过程造成二次损失。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1、功能：用于固定、搬运、转运受伤人员。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2、材质：PVC 材料，表面不易损坏，可洗涤。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3、结构：包括躯体气囊、手泵、手提包。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（1）要有手动负压装置，快速成型，牢固、轻便；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△（2）真空状态应保持70个小时以上；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（3）能配合直升机使用，可根据采购方需要定做；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（4）不影响 X 光、CT、MRI 检查，四季能用；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（5）躯体固定器可按伤员的各种形态而变化；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5、承重≥150kg；</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6、适应-30℃-80℃环境温度。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7、</w:t>
      </w:r>
      <w:r>
        <w:rPr>
          <w:rFonts w:hint="eastAsia" w:ascii="宋体" w:hAnsi="宋体" w:eastAsia="宋体" w:cs="宋体"/>
          <w:color w:val="auto"/>
          <w:sz w:val="24"/>
          <w:szCs w:val="24"/>
          <w:highlight w:val="none"/>
          <w:lang w:bidi="ar"/>
        </w:rPr>
        <w:t>配备收纳包，具有防水、防磨功能。</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3、水面漂浮救生绳（200米）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技术参数：适用于水域救援、船舶救生、水上作业、户外攀登等救生圈和救生用的绳索，可配在小船上、救生浮上、救生筏上， 同时可作为矿难搜救﹑夜间搜救。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1、符合GB/T8834--2016绳索有关物理和机械性能的测定,救生绳线密度测试按GB/T8834-2016规定的方法进行测量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2、具有可漂浮性，带有反光功能，夜间标明显</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3、长度≥200m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△4、直径≥12mm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5、其内线为PP绳（等同或优于），外线为荧光线制成，强度高、延伸率小、抗击性能好，具有不吸水、拉力强、可漂浮、抗老化、防腐蚀等优点。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△6、最小破断强度不小于35kN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7、重量：不大于8kg/100m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8、延伸率：承重达到最小破断强度的10%时救生绳延伸率不大于3%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9、经48小时的漂浮性能试验，绳漂浮在水面上。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rPr>
        <w:t>10、</w:t>
      </w:r>
      <w:r>
        <w:rPr>
          <w:rFonts w:hint="eastAsia" w:ascii="宋体" w:hAnsi="宋体" w:eastAsia="宋体" w:cs="宋体"/>
          <w:color w:val="auto"/>
          <w:sz w:val="24"/>
          <w:szCs w:val="24"/>
          <w:highlight w:val="none"/>
          <w:lang w:bidi="ar"/>
        </w:rPr>
        <w:t>配备专用收纳包</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14、通用安全绳（200米）（核心产品）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1、符合XF 494-2023《消防用防坠落装备》标准，提供国家消防装备质量监督检验中心出具的检测报告或EN、CE认证；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2、安全绳应由原纤维制成；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3、安全绳应为连续结构，主承重部分应由连续纤维制成；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4、安全绳应采用夹心绳结构；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5、安全绳表面应无任何机械损伤现象，整绳粗细均匀、结构一致；</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6、安全绳的长度为≥200m每根安全绳的两端应妥善收尾，宜采用绳环结构，并用同种材料的细绳扎缝不少于50mm，在扎缝处热封，扎缝处包以裹紧的橡胶或塑料套管；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7、安全绳的最小破断强度：应不小于40kN；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8、安全绳的延伸率：当承重达到最小破断强度的10%时，安全绳的延伸率应不小于1%且不大于10%；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9、安全绳的直径12.5-16mm；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10、安全绳的耐高温性能：经204℃±5℃的耐高温性能试验后，安全绳不应出现融熔，焦化现象。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 w:bidi="ar"/>
        </w:rPr>
        <w:t>11、</w:t>
      </w:r>
      <w:r>
        <w:rPr>
          <w:rFonts w:hint="eastAsia" w:ascii="宋体" w:hAnsi="宋体" w:eastAsia="宋体" w:cs="宋体"/>
          <w:color w:val="auto"/>
          <w:sz w:val="24"/>
          <w:szCs w:val="24"/>
          <w:highlight w:val="none"/>
          <w:lang w:bidi="ar"/>
        </w:rPr>
        <w:t>配备绳包、安全挂钩≥2个。</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5、舷外机（含油箱防护罩）</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技术参数：用于水域救援，冲锋舟及橡皮艇舷外机；</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1、发动机最大输出功率：≥29kW；马力≥40匹；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2、发动机类型：两缸两冲程水冷发动机，铝合金螺旋桨；</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3、转速(转/分)：≥5000r/min；</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4、排量：≥700cc；</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5、启动系统：采用手动和电启动，后操控系统；</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6、润滑系统：预混机油和汽油；</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7、倾斜系统：手动倾斜；</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8、净重重量：≤85kg；</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9、油箱L：≥20；</w:t>
      </w:r>
    </w:p>
    <w:p>
      <w:pPr>
        <w:pStyle w:val="7"/>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配备：油箱+油管2个，保险钥匙≥3个，叶轮防罩2个，具有锁止功能专用推车1个，船外机固定绳1根，原装叶轮2个，化油器2个，进气滤芯2个，走动拉盘1个，火花塞10个，限位杆3个，发动机维修工具箱1套（火花塞套筒、钳子、十字起、一字起）。</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16、橡皮艇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产品主要适用于江河、水库、湖泊、近海等水域防汛抢险、水域救援、防汛救灾、运输物资以及城市内涝救援、转移受灾群众等作业。船底部做防磨耐刮处理，浮筒设计有间隔膜，完全独立设计，不仅能保护各个气室安全，完全的密封，并且也可以灵活的调节各个气室部分的压力平衡，提高艇体安全系数。船艇至少配备船桨4付，座板2块，电动高压气泵1个，维修工具包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rPr>
        <w:t>（至少包含船艇修补工具、气瓶充气转换接头、充气压力显示表等），修理桶1个</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具有锁止功能舷外机手推车</w:t>
      </w:r>
      <w:r>
        <w:rPr>
          <w:rFonts w:hint="eastAsia" w:ascii="宋体" w:hAnsi="宋体" w:eastAsia="宋体" w:cs="宋体"/>
          <w:color w:val="auto"/>
          <w:sz w:val="24"/>
          <w:szCs w:val="24"/>
          <w:highlight w:val="none"/>
          <w:lang w:eastAsia="zh" w:bidi="ar"/>
        </w:rPr>
        <w:t>，</w:t>
      </w:r>
      <w:r>
        <w:rPr>
          <w:rFonts w:hint="eastAsia" w:ascii="宋体" w:hAnsi="宋体" w:eastAsia="宋体" w:cs="宋体"/>
          <w:color w:val="auto"/>
          <w:sz w:val="24"/>
          <w:szCs w:val="24"/>
          <w:highlight w:val="none"/>
          <w:lang w:bidi="ar"/>
        </w:rPr>
        <w:t>手动充气泵</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1.2、艇身材质： PVC 夹网材质，厚度≥ 0.9mm；配件粘接采用进口 PVC 专用聚氨酯胶，高持久力并耐热、耐寒、耐盐水的性能，配件周边并做加固处理。</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1.3、在气囊与挂机艉板结合处做加固，并用专用螺栓加强；全包围的橡胶条加固龙骨有靠岸防擦板。</w:t>
      </w:r>
    </w:p>
    <w:p>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1.4、浮筒外侧需安装安全绳索，艇身加装安全把手用于固定抓握，保障人员安全，艇身安装 3M 防水反光条不少于 8 处，船底M型，充气底板可快速拆装，必要时作为救生浮板使用。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1.5、船艇静态稳定性应≤20°，船艇干舷高度≥340mm，船艇空载航速应≥30km/h。         </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1.6、配备2冲程知名品牌螺旋桨式舷外机，加装舷外机保护罩，马力应≥30匹,配备2个以上油箱</w:t>
      </w:r>
      <w:r>
        <w:rPr>
          <w:rFonts w:hint="eastAsia" w:ascii="宋体" w:hAnsi="宋体" w:eastAsia="宋体" w:cs="宋体"/>
          <w:color w:val="auto"/>
          <w:sz w:val="24"/>
          <w:szCs w:val="24"/>
          <w:highlight w:val="none"/>
          <w:lang w:eastAsia="zh"/>
        </w:rPr>
        <w:t>，</w:t>
      </w:r>
      <w:r>
        <w:rPr>
          <w:rFonts w:hint="eastAsia" w:ascii="宋体" w:hAnsi="宋体" w:eastAsia="宋体" w:cs="宋体"/>
          <w:color w:val="auto"/>
          <w:sz w:val="24"/>
          <w:szCs w:val="24"/>
          <w:highlight w:val="none"/>
          <w:lang w:bidi="ar"/>
        </w:rPr>
        <w:t>船身油箱固定带</w:t>
      </w:r>
      <w:r>
        <w:rPr>
          <w:rFonts w:hint="eastAsia" w:ascii="宋体" w:hAnsi="宋体" w:eastAsia="宋体" w:cs="宋体"/>
          <w:color w:val="auto"/>
          <w:sz w:val="24"/>
          <w:szCs w:val="24"/>
          <w:highlight w:val="none"/>
        </w:rPr>
        <w:t>。舟艇维修工具包1个，内含胶水、气嘴扳手以及舟艇材料等；</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1.7、气室≥3个，成员数≥6人，气囊数：3+3+2；承载重量≥800KGM 型艇底，船底增项，底部及船头附带夹网布装甲， 增加船体的耐磨性与防穿刺强度。</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1.8、具有相关部门出具的检测报告、具有国家消防检测中心检测报告</w:t>
      </w:r>
      <w:r>
        <w:rPr>
          <w:rFonts w:hint="eastAsia" w:ascii="宋体" w:hAnsi="宋体" w:eastAsia="宋体" w:cs="宋体"/>
          <w:b/>
          <w:bCs/>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17、移动供气源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技术参数：符合GA124-2013《正压式消防空气呼吸器》及XF1261-2015《长管空气呼吸器》的标准，用于人员在有烟雾、毒气、粉尘或缺氧等特殊环境中的呼吸保护。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1、符合XF124-2013《消防员正压式空气呼吸器》标准及XF1261-2015《长管空气呼吸器》标准。</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2、配备：9.0L 气瓶≥4 具，减压供气系统、供气管（≥40 米 2 根、≥10 米 2 根）、≥2 个呼吸面罩，≥1 个移动车架、≥1个三通阀门、自动供压阀等。导气长管卷筒及携带箱、气源分配器、减压器、高压压力表、中压表、压力报警器、供气阀、全面罩2个及腰带2根、Y型转换接口2个。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3、可单人背负也可置于地面推行。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4、中压导管的总长≥50米（可根据需要调节长度）。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5、面罩需防雾及硬化处理。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6、供气阀可与面罩360°快速插接。</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7、具备高压报警功能。报警压力5.5±0.5MPa；连续声响≥15s 发声声级≥92dB。间歇声响警报不应少于 60s，其声强峰值不应小于 90dB(A)，声响频率范围应在 2000-4000Hz 之间。之后，警报器应继续报警，直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至气瓶压力降至 1MPa 为止。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8、可同时供两人使用；更换气瓶时互相不干扰。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9、额定工作压力≥30MPa，报警压力4-6MPa。</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10、采用9L双瓶设计，碳纤维复合气瓶。</w:t>
      </w:r>
    </w:p>
    <w:p>
      <w:pPr>
        <w:pStyle w:val="7"/>
        <w:spacing w:line="360" w:lineRule="auto"/>
        <w:rPr>
          <w:rFonts w:hint="eastAsia" w:ascii="宋体" w:hAnsi="宋体" w:cs="宋体"/>
          <w:b/>
          <w:bCs/>
          <w:color w:val="auto"/>
          <w:sz w:val="24"/>
          <w:szCs w:val="24"/>
          <w:highlight w:val="none"/>
          <w:lang w:val="en-US" w:eastAsia="zh-CN"/>
        </w:rPr>
      </w:pPr>
      <w:r>
        <w:rPr>
          <w:rFonts w:hint="eastAsia" w:ascii="宋体" w:hAnsi="宋体" w:eastAsia="宋体" w:cs="宋体"/>
          <w:color w:val="auto"/>
          <w:sz w:val="24"/>
          <w:szCs w:val="24"/>
          <w:highlight w:val="none"/>
        </w:rPr>
        <w:t>11、气密性：在气密性能试验后，压力指示值在1 min内的下降不应大于2 MPa。</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18、移动式消防炮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技术参数：GB19156-2019《消防炮》标准要求。采用球阀式流道设计，快递翻转折叠式支撑角，单人即可操作，具有射程远，射流集中，操作便捷，快速移动的特点。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（1）遥控器启动至消防炮动作的响应时间≤1s；</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（2）无线遥控距离：大于200 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（3）额定喷射压力≤0.8MPa；</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（4）流量≥60L/s；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（5）射程：直流水≥80m；泡沫≥70m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（6）最小仰角范围：≥30°至85°；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（7）水平回转角≥90°；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（8）最大喷雾角≥120°；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（9）炮体上有警示标志，设有保险带，有≥2个进水口，水炮可配80接口；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（10）重量≤35KG，可以水泡沫两用；</w:t>
      </w:r>
    </w:p>
    <w:p>
      <w:pPr>
        <w:autoSpaceDE w:val="0"/>
        <w:spacing w:line="360" w:lineRule="auto"/>
        <w:jc w:val="left"/>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（11）配置泡沫炮头</w:t>
      </w:r>
      <w:r>
        <w:rPr>
          <w:rFonts w:hint="eastAsia" w:ascii="宋体" w:hAnsi="宋体" w:eastAsia="宋体" w:cs="宋体"/>
          <w:color w:val="auto"/>
          <w:sz w:val="24"/>
          <w:szCs w:val="24"/>
          <w:highlight w:val="none"/>
          <w:lang w:eastAsia="zh"/>
        </w:rPr>
        <w:t>1个、</w:t>
      </w:r>
      <w:r>
        <w:rPr>
          <w:rFonts w:hint="eastAsia" w:ascii="宋体" w:hAnsi="宋体" w:eastAsia="宋体" w:cs="宋体"/>
          <w:color w:val="auto"/>
          <w:sz w:val="24"/>
          <w:szCs w:val="24"/>
          <w:highlight w:val="none"/>
          <w:lang w:bidi="ar"/>
        </w:rPr>
        <w:t>水炮拖车</w:t>
      </w:r>
      <w:r>
        <w:rPr>
          <w:rFonts w:hint="eastAsia" w:ascii="宋体" w:hAnsi="宋体" w:eastAsia="宋体" w:cs="宋体"/>
          <w:color w:val="auto"/>
          <w:sz w:val="24"/>
          <w:szCs w:val="24"/>
          <w:highlight w:val="none"/>
          <w:lang w:eastAsia="zh" w:bidi="ar"/>
        </w:rPr>
        <w:t>1台</w:t>
      </w:r>
      <w:r>
        <w:rPr>
          <w:rFonts w:hint="eastAsia" w:ascii="宋体" w:hAnsi="宋体" w:eastAsia="宋体" w:cs="宋体"/>
          <w:color w:val="auto"/>
          <w:sz w:val="24"/>
          <w:szCs w:val="24"/>
          <w:highlight w:val="none"/>
          <w:lang w:bidi="ar"/>
        </w:rPr>
        <w:t>,各类转换接口≥2套。</w:t>
      </w:r>
    </w:p>
    <w:p>
      <w:pPr>
        <w:pStyle w:val="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2、其他性能和要求满足GB19156-2019《消防炮》标准要求。</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19、肢体固定气囊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技术参数：用于突发事故现场、固定头、颈、胸、脊、臀、盆骨及上下肢骨伤骨折，能有效防止因现场处理不当及送医过程造成二次损失。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1、总体性能符合市场准入标准要求，提供国家专业机构检测报告；</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2、肢体固定气囊用真空成型原理，将夹板内空气抽出，真空夹板快速形成硬性固定成型体分躯体、肢干、颈椎固定；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3、表面织物由耐磨材料无缝熔接制成，内充物为无毒，无味聚苯乙烯高分子颗粒；</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4、躯干脊椎尺寸（mm，长*宽）≥970*600；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5、上肢尺寸（mm，长*宽）≥400*350；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6、下肢尺寸（mm，长*宽）≥700*510；</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7、可用X光，四季都能使用，表面不容易损坏，可洗涤，躯体固定器可按伤员各种形态而变化。可用X光、CT、MRI检查；气密性：大气压维持48小时以上，压力下降≥1%；使用环境温度 0℃～80℃。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8、配置包括肢体固定气囊，上肢夹板、下肢夹板、躯干夹板、正负压气泵、存储包，备 2 个充气接口</w:t>
      </w:r>
    </w:p>
    <w:p>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20、重型支撑套具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技术参数：符合重型支撑套具试验大纲</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GB/T 2423.3-2016 环境试验 第2部分:试验方法 试验Cab:恒定湿热试验，用于交通事故、地震、塌方、建筑物坍塌的支撑作业，可对危险建筑物进行固定支撑，也可用于车辆事故救援中车辆的支撑固定，还可用于沟渠和坑道塌方等灾害现场的 </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支撑作业。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一、整体要求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1.1符合重型支撑套具试验大纲GB/T 2423.3-2016</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1.2材质：高强度轻型航空铝合金（或优于），所有部件经阳极涂层处理；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2.1安全系数≥4:1；</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2.2可手动/气动两种方式，可在行程内任何位置锁止。可实现垂直、水平和斜角支撑。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2.3单根轴向承载能力≥20T。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2.4配备有三脚基座，可以将三个套筒组合起来组成横梁支撑或危墙斜支撑；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2.整套配置包括：</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2.1快速支撑杆≥3种规格；不低于9根。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2.2延长杆≥4种规格不低于≥12根；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2.3各类底座：≥ 12个；横梁支撑配件≥ 6个；牵引器≥ 3个；各类配件≥10个；扳手≥ 2个；电动绞盘≥ 1个；脚踏泵≥ 2个；滑轮≥ 1个。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2.4另外需配备满足功能配件并留有备份。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3.1提供相关检验部门出具的检验合格材料，及提供省级以上检测机构出具的检测报告。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3.2使用说明书，生产厂家详细地址、联络方式及代理商的详细地址和售后服务联络方式。</w:t>
      </w:r>
    </w:p>
    <w:p>
      <w:pPr>
        <w:spacing w:line="360" w:lineRule="auto"/>
        <w:rPr>
          <w:rFonts w:hint="eastAsia" w:ascii="宋体" w:hAnsi="宋体" w:eastAsia="宋体" w:cs="宋体"/>
          <w:color w:val="auto"/>
          <w:sz w:val="24"/>
          <w:szCs w:val="24"/>
          <w:highlight w:val="none"/>
        </w:rPr>
      </w:pPr>
    </w:p>
    <w:p>
      <w:pPr>
        <w:pStyle w:val="7"/>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pStyle w:val="12"/>
        <w:rPr>
          <w:rFonts w:hint="eastAsia" w:ascii="宋体" w:hAnsi="宋体" w:cs="宋体"/>
          <w:b/>
          <w:bCs/>
          <w:color w:val="auto"/>
          <w:sz w:val="24"/>
          <w:szCs w:val="24"/>
          <w:highlight w:val="none"/>
          <w:lang w:val="en-US" w:eastAsia="zh-CN"/>
        </w:rPr>
      </w:pPr>
    </w:p>
    <w:p>
      <w:pPr>
        <w:rPr>
          <w:rFonts w:hint="eastAsia"/>
          <w:color w:val="auto"/>
          <w:highlight w:val="none"/>
          <w:lang w:val="en-US" w:eastAsia="zh-CN"/>
        </w:rPr>
      </w:pPr>
    </w:p>
    <w:p>
      <w:pPr>
        <w:rPr>
          <w:rFonts w:hint="eastAsia" w:ascii="宋体" w:hAnsi="宋体" w:cs="宋体"/>
          <w:b/>
          <w:bCs/>
          <w:color w:val="auto"/>
          <w:sz w:val="24"/>
          <w:szCs w:val="24"/>
          <w:highlight w:val="none"/>
          <w:lang w:val="en-US" w:eastAsia="zh-CN"/>
        </w:rPr>
      </w:pPr>
    </w:p>
    <w:p>
      <w:pPr>
        <w:pStyle w:val="7"/>
        <w:rPr>
          <w:rFonts w:hint="eastAsia" w:ascii="宋体" w:hAnsi="宋体" w:cs="宋体"/>
          <w:b/>
          <w:bCs/>
          <w:color w:val="auto"/>
          <w:sz w:val="24"/>
          <w:szCs w:val="24"/>
          <w:highlight w:val="none"/>
          <w:lang w:val="en-US" w:eastAsia="zh-CN"/>
        </w:rPr>
      </w:pPr>
    </w:p>
    <w:p>
      <w:pPr>
        <w:numPr>
          <w:ilvl w:val="0"/>
          <w:numId w:val="12"/>
        </w:num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highlight w:val="none"/>
        </w:rPr>
      </w:pPr>
    </w:p>
    <w:p>
      <w:pPr>
        <w:pStyle w:val="2"/>
        <w:rPr>
          <w:rFonts w:ascii="宋体" w:cs="宋体"/>
          <w:color w:val="auto"/>
          <w:szCs w:val="32"/>
          <w:highlight w:val="none"/>
        </w:rPr>
      </w:pPr>
      <w:bookmarkStart w:id="506" w:name="_Toc40112142"/>
      <w:bookmarkStart w:id="507" w:name="_Toc11783"/>
      <w:bookmarkStart w:id="508" w:name="_Toc32581"/>
      <w:bookmarkStart w:id="509" w:name="_Toc214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506"/>
      <w:bookmarkEnd w:id="507"/>
      <w:bookmarkEnd w:id="508"/>
      <w:bookmarkEnd w:id="509"/>
    </w:p>
    <w:p>
      <w:pPr>
        <w:spacing w:line="360" w:lineRule="auto"/>
        <w:ind w:left="720"/>
        <w:rPr>
          <w:color w:val="auto"/>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平顶山市消防救援支队河南省消防救援总队“自然灾害应急能力提升工程”平顶山支队装备建设项目（二次）</w:t>
      </w:r>
    </w:p>
    <w:p>
      <w:pPr>
        <w:pStyle w:val="11"/>
        <w:spacing w:beforeLines="100" w:afterLines="100" w:line="360" w:lineRule="auto"/>
        <w:jc w:val="center"/>
        <w:rPr>
          <w:rFonts w:hAnsi="宋体" w:cs="宋体"/>
          <w:b/>
          <w:color w:val="auto"/>
          <w:sz w:val="36"/>
          <w:szCs w:val="36"/>
          <w:highlight w:val="none"/>
        </w:rPr>
      </w:pPr>
    </w:p>
    <w:p>
      <w:pPr>
        <w:pStyle w:val="11"/>
        <w:spacing w:beforeLines="100" w:afterLines="100" w:line="360" w:lineRule="auto"/>
        <w:jc w:val="center"/>
        <w:rPr>
          <w:rFonts w:hint="eastAsia" w:hAnsi="宋体" w:eastAsia="宋体" w:cs="宋体"/>
          <w:b/>
          <w:color w:val="auto"/>
          <w:sz w:val="36"/>
          <w:szCs w:val="36"/>
          <w:highlight w:val="none"/>
          <w:lang w:eastAsia="zh-CN"/>
        </w:rPr>
      </w:pPr>
      <w:r>
        <w:rPr>
          <w:rFonts w:hint="eastAsia" w:hAnsi="宋体" w:cs="宋体"/>
          <w:b/>
          <w:color w:val="auto"/>
          <w:sz w:val="36"/>
          <w:szCs w:val="36"/>
          <w:highlight w:val="none"/>
          <w:lang w:eastAsia="zh-CN"/>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pPr>
        <w:pStyle w:val="11"/>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1"/>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1"/>
        <w:spacing w:beforeLines="100" w:afterLines="100" w:line="360" w:lineRule="auto"/>
        <w:rPr>
          <w:rFonts w:hAnsi="宋体" w:cs="宋体"/>
          <w:b/>
          <w:bCs/>
          <w:color w:val="auto"/>
          <w:sz w:val="32"/>
          <w:highlight w:val="none"/>
          <w:u w:val="single"/>
        </w:rPr>
      </w:pPr>
    </w:p>
    <w:p>
      <w:pPr>
        <w:pStyle w:val="11"/>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9"/>
        <w:spacing w:line="360" w:lineRule="auto"/>
        <w:ind w:left="0" w:leftChars="0" w:firstLine="2129" w:firstLineChars="707"/>
        <w:rPr>
          <w:rFonts w:ascii="宋体" w:cs="宋体"/>
          <w:b/>
          <w:bCs/>
          <w:color w:val="auto"/>
          <w:sz w:val="30"/>
          <w:szCs w:val="30"/>
          <w:highlight w:val="none"/>
        </w:rPr>
      </w:pPr>
    </w:p>
    <w:p>
      <w:pPr>
        <w:pStyle w:val="10"/>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0"/>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510" w:name="_Toc5119"/>
      <w:bookmarkStart w:id="511" w:name="_Toc13982"/>
      <w:bookmarkStart w:id="512" w:name="_Toc26798"/>
      <w:r>
        <w:rPr>
          <w:rFonts w:hint="eastAsia" w:ascii="宋体" w:hAnsi="宋体" w:cs="宋体"/>
          <w:b/>
          <w:color w:val="auto"/>
          <w:sz w:val="32"/>
          <w:highlight w:val="none"/>
        </w:rPr>
        <w:t>一、投标函及投标函附录</w:t>
      </w:r>
      <w:bookmarkEnd w:id="510"/>
      <w:bookmarkEnd w:id="511"/>
      <w:bookmarkEnd w:id="512"/>
    </w:p>
    <w:p>
      <w:pPr>
        <w:spacing w:before="212" w:line="360" w:lineRule="auto"/>
        <w:ind w:left="1"/>
        <w:jc w:val="center"/>
        <w:rPr>
          <w:b/>
          <w:color w:val="auto"/>
          <w:sz w:val="32"/>
          <w:highlight w:val="none"/>
        </w:rPr>
      </w:pPr>
      <w:bookmarkStart w:id="513" w:name="（一）投标函"/>
      <w:bookmarkEnd w:id="513"/>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720" w:firstLineChars="3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w:t>
      </w:r>
      <w:r>
        <w:rPr>
          <w:rFonts w:hint="eastAsia" w:ascii="宋体" w:hAnsi="宋体" w:cs="宋体"/>
          <w:color w:val="auto"/>
          <w:kern w:val="0"/>
          <w:sz w:val="24"/>
          <w:highlight w:val="none"/>
          <w:u w:val="single"/>
          <w:lang w:val="en-US" w:eastAsia="zh-CN"/>
        </w:rPr>
        <w:t xml:space="preserve">包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1200" w:firstLineChars="5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29"/>
          <w:color w:val="auto"/>
          <w:szCs w:val="18"/>
          <w:highlight w:val="none"/>
        </w:rPr>
      </w:pPr>
    </w:p>
    <w:p>
      <w:pPr>
        <w:spacing w:line="360" w:lineRule="auto"/>
        <w:jc w:val="right"/>
        <w:rPr>
          <w:rStyle w:val="29"/>
          <w:color w:val="auto"/>
          <w:szCs w:val="18"/>
          <w:highlight w:val="none"/>
        </w:rPr>
      </w:pPr>
    </w:p>
    <w:p>
      <w:pPr>
        <w:numPr>
          <w:ilvl w:val="0"/>
          <w:numId w:val="14"/>
        </w:numPr>
        <w:spacing w:before="217" w:line="360" w:lineRule="auto"/>
        <w:ind w:left="3"/>
        <w:jc w:val="center"/>
        <w:rPr>
          <w:b/>
          <w:color w:val="auto"/>
          <w:sz w:val="32"/>
          <w:highlight w:val="none"/>
        </w:rPr>
      </w:pPr>
      <w:bookmarkStart w:id="514" w:name="（二）投标函附录1"/>
      <w:bookmarkEnd w:id="514"/>
      <w:r>
        <w:rPr>
          <w:rFonts w:hint="eastAsia"/>
          <w:b/>
          <w:color w:val="auto"/>
          <w:sz w:val="32"/>
          <w:highlight w:val="none"/>
        </w:rPr>
        <w:t>投标函附录</w:t>
      </w:r>
      <w:r>
        <w:rPr>
          <w:b/>
          <w:color w:val="auto"/>
          <w:sz w:val="32"/>
          <w:highlight w:val="none"/>
        </w:rPr>
        <w:t xml:space="preserve"> </w:t>
      </w:r>
    </w:p>
    <w:p>
      <w:pPr>
        <w:pStyle w:val="10"/>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2"/>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7"/>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7"/>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7"/>
              <w:spacing w:before="43" w:line="360" w:lineRule="auto"/>
              <w:ind w:left="106" w:leftChars="0"/>
              <w:jc w:val="center"/>
              <w:rPr>
                <w:rFonts w:hint="eastAsia"/>
                <w:color w:val="auto"/>
                <w:highlight w:val="none"/>
              </w:rPr>
            </w:pPr>
            <w:r>
              <w:rPr>
                <w:rFonts w:hint="eastAsia"/>
                <w:color w:val="auto"/>
                <w:highlight w:val="none"/>
                <w:lang w:eastAsia="zh-CN"/>
              </w:rPr>
              <w:t>包名称</w:t>
            </w:r>
          </w:p>
        </w:tc>
        <w:tc>
          <w:tcPr>
            <w:tcW w:w="6976" w:type="dxa"/>
            <w:vAlign w:val="center"/>
          </w:tcPr>
          <w:p>
            <w:pPr>
              <w:pStyle w:val="27"/>
              <w:spacing w:before="43" w:line="360" w:lineRule="auto"/>
              <w:jc w:val="both"/>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7"/>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7"/>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7"/>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7"/>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7"/>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7"/>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7"/>
              <w:spacing w:before="43" w:line="360" w:lineRule="auto"/>
              <w:jc w:val="center"/>
              <w:rPr>
                <w:color w:val="auto"/>
                <w:highlight w:val="none"/>
              </w:rPr>
            </w:pPr>
            <w:r>
              <w:rPr>
                <w:rFonts w:hint="eastAsia" w:ascii="宋体" w:hAnsi="宋体" w:eastAsia="宋体" w:cs="宋体"/>
                <w:color w:val="auto"/>
                <w:sz w:val="24"/>
                <w:szCs w:val="24"/>
                <w:highlight w:val="none"/>
              </w:rPr>
              <w:t>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18" w:line="360" w:lineRule="auto"/>
              <w:ind w:left="106"/>
              <w:jc w:val="center"/>
              <w:rPr>
                <w:color w:val="auto"/>
                <w:highlight w:val="none"/>
              </w:rPr>
            </w:pPr>
            <w:r>
              <w:rPr>
                <w:rFonts w:hint="eastAsia"/>
                <w:color w:val="auto"/>
                <w:highlight w:val="none"/>
              </w:rPr>
              <w:t>质量要求</w:t>
            </w:r>
          </w:p>
        </w:tc>
        <w:tc>
          <w:tcPr>
            <w:tcW w:w="6976" w:type="dxa"/>
          </w:tcPr>
          <w:p>
            <w:pPr>
              <w:pStyle w:val="27"/>
              <w:spacing w:before="43" w:line="360" w:lineRule="auto"/>
              <w:jc w:val="center"/>
              <w:rPr>
                <w:rFonts w:hint="eastAsia" w:eastAsia="宋体"/>
                <w:color w:val="auto"/>
                <w:sz w:val="2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交货地点</w:t>
            </w:r>
          </w:p>
        </w:tc>
        <w:tc>
          <w:tcPr>
            <w:tcW w:w="6976" w:type="dxa"/>
          </w:tcPr>
          <w:p>
            <w:pPr>
              <w:pStyle w:val="27"/>
              <w:spacing w:before="43" w:line="360" w:lineRule="auto"/>
              <w:jc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vAlign w:val="center"/>
          </w:tcPr>
          <w:p>
            <w:pPr>
              <w:pStyle w:val="27"/>
              <w:spacing w:before="12" w:line="360" w:lineRule="auto"/>
              <w:ind w:left="106"/>
              <w:jc w:val="center"/>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pStyle w:val="27"/>
              <w:spacing w:before="12" w:line="360" w:lineRule="auto"/>
              <w:ind w:left="107"/>
              <w:jc w:val="both"/>
              <w:rPr>
                <w:rFonts w:hint="eastAsia"/>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7"/>
              <w:spacing w:before="12" w:line="360" w:lineRule="auto"/>
              <w:ind w:left="106"/>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其他声明</w:t>
            </w:r>
          </w:p>
        </w:tc>
        <w:tc>
          <w:tcPr>
            <w:tcW w:w="6976" w:type="dxa"/>
          </w:tcPr>
          <w:p>
            <w:pPr>
              <w:pStyle w:val="27"/>
              <w:spacing w:before="12" w:line="360" w:lineRule="auto"/>
              <w:ind w:left="107"/>
              <w:jc w:val="both"/>
              <w:rPr>
                <w:rFonts w:hint="eastAsia" w:ascii="Times New Roman" w:hAnsi="Times New Roman" w:eastAsia="宋体" w:cs="Times New Roman"/>
                <w:color w:val="auto"/>
                <w:kern w:val="2"/>
                <w:sz w:val="24"/>
                <w:szCs w:val="24"/>
                <w:highlight w:val="none"/>
                <w:lang w:val="en-US" w:eastAsia="zh-CN" w:bidi="ar-SA"/>
              </w:rPr>
            </w:pPr>
          </w:p>
        </w:tc>
      </w:tr>
    </w:tbl>
    <w:p>
      <w:pPr>
        <w:pStyle w:val="7"/>
        <w:spacing w:line="360" w:lineRule="auto"/>
        <w:rPr>
          <w:b/>
          <w:color w:val="auto"/>
          <w:sz w:val="20"/>
          <w:highlight w:val="none"/>
        </w:rPr>
      </w:pPr>
    </w:p>
    <w:p>
      <w:pPr>
        <w:pStyle w:val="25"/>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7"/>
        <w:spacing w:line="360" w:lineRule="auto"/>
        <w:rPr>
          <w:b/>
          <w:color w:val="auto"/>
          <w:sz w:val="32"/>
          <w:highlight w:val="none"/>
        </w:rPr>
      </w:pPr>
    </w:p>
    <w:p>
      <w:pPr>
        <w:rPr>
          <w:b/>
          <w:color w:val="auto"/>
          <w:sz w:val="32"/>
          <w:highlight w:val="none"/>
        </w:rPr>
      </w:pPr>
    </w:p>
    <w:p>
      <w:pPr>
        <w:spacing w:before="216" w:line="360" w:lineRule="auto"/>
        <w:jc w:val="center"/>
        <w:rPr>
          <w:b/>
          <w:color w:val="auto"/>
          <w:sz w:val="28"/>
          <w:highlight w:val="none"/>
        </w:rPr>
      </w:pPr>
      <w:bookmarkStart w:id="515" w:name="报价明细表"/>
      <w:bookmarkEnd w:id="515"/>
      <w:r>
        <w:rPr>
          <w:b/>
          <w:color w:val="auto"/>
          <w:sz w:val="28"/>
          <w:highlight w:val="none"/>
        </w:rPr>
        <w:t>2.</w:t>
      </w:r>
      <w:r>
        <w:rPr>
          <w:rFonts w:hint="eastAsia"/>
          <w:b/>
          <w:color w:val="auto"/>
          <w:sz w:val="28"/>
          <w:highlight w:val="none"/>
        </w:rPr>
        <w:t>报价明细表</w:t>
      </w:r>
    </w:p>
    <w:p>
      <w:pPr>
        <w:pStyle w:val="7"/>
        <w:spacing w:before="4" w:line="360" w:lineRule="auto"/>
        <w:rPr>
          <w:b/>
          <w:color w:val="auto"/>
          <w:sz w:val="9"/>
          <w:highlight w:val="none"/>
        </w:rPr>
      </w:pPr>
    </w:p>
    <w:p>
      <w:pPr>
        <w:pStyle w:val="7"/>
        <w:spacing w:before="66" w:line="360" w:lineRule="auto"/>
        <w:ind w:right="333"/>
        <w:jc w:val="right"/>
        <w:rPr>
          <w:color w:val="auto"/>
          <w:highlight w:val="none"/>
        </w:rPr>
      </w:pPr>
      <w:r>
        <w:rPr>
          <w:rFonts w:hint="eastAsia"/>
          <w:color w:val="auto"/>
          <w:highlight w:val="none"/>
        </w:rPr>
        <w:t>金额单位：元</w:t>
      </w:r>
    </w:p>
    <w:tbl>
      <w:tblPr>
        <w:tblStyle w:val="22"/>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3"/>
        <w:gridCol w:w="750"/>
        <w:gridCol w:w="712"/>
        <w:gridCol w:w="1016"/>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7" w:hRule="atLeast"/>
          <w:jc w:val="center"/>
        </w:trPr>
        <w:tc>
          <w:tcPr>
            <w:tcW w:w="599" w:type="dxa"/>
            <w:vAlign w:val="center"/>
          </w:tcPr>
          <w:p>
            <w:pPr>
              <w:pStyle w:val="27"/>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7"/>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7"/>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7"/>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7"/>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7"/>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7"/>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7"/>
              <w:spacing w:line="240" w:lineRule="auto"/>
              <w:ind w:left="186"/>
              <w:jc w:val="both"/>
              <w:rPr>
                <w:b w:val="0"/>
                <w:bCs w:val="0"/>
                <w:color w:val="auto"/>
                <w:highlight w:val="none"/>
              </w:rPr>
            </w:pPr>
            <w:r>
              <w:rPr>
                <w:rFonts w:hint="eastAsia"/>
                <w:b w:val="0"/>
                <w:bCs w:val="0"/>
                <w:color w:val="auto"/>
                <w:highlight w:val="none"/>
              </w:rPr>
              <w:t>单位</w:t>
            </w:r>
          </w:p>
        </w:tc>
        <w:tc>
          <w:tcPr>
            <w:tcW w:w="713" w:type="dxa"/>
            <w:vAlign w:val="center"/>
          </w:tcPr>
          <w:p>
            <w:pPr>
              <w:pStyle w:val="27"/>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单价</w:t>
            </w:r>
          </w:p>
        </w:tc>
        <w:tc>
          <w:tcPr>
            <w:tcW w:w="712" w:type="dxa"/>
            <w:vAlign w:val="center"/>
          </w:tcPr>
          <w:p>
            <w:pPr>
              <w:pStyle w:val="27"/>
              <w:spacing w:line="240" w:lineRule="auto"/>
              <w:ind w:left="171"/>
              <w:jc w:val="center"/>
              <w:rPr>
                <w:b w:val="0"/>
                <w:bCs w:val="0"/>
                <w:color w:val="auto"/>
                <w:highlight w:val="none"/>
              </w:rPr>
            </w:pPr>
            <w:r>
              <w:rPr>
                <w:rFonts w:hint="eastAsia"/>
                <w:b w:val="0"/>
                <w:bCs w:val="0"/>
                <w:color w:val="auto"/>
                <w:highlight w:val="none"/>
              </w:rPr>
              <w:t>总价</w:t>
            </w:r>
          </w:p>
        </w:tc>
        <w:tc>
          <w:tcPr>
            <w:tcW w:w="1016" w:type="dxa"/>
            <w:vAlign w:val="center"/>
          </w:tcPr>
          <w:p>
            <w:pPr>
              <w:pStyle w:val="27"/>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7"/>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767" w:type="dxa"/>
            <w:vAlign w:val="center"/>
          </w:tcPr>
          <w:p>
            <w:pPr>
              <w:pStyle w:val="27"/>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599" w:type="dxa"/>
          </w:tcPr>
          <w:p>
            <w:pPr>
              <w:pStyle w:val="27"/>
              <w:spacing w:before="6" w:line="360" w:lineRule="auto"/>
              <w:rPr>
                <w:b w:val="0"/>
                <w:bCs w:val="0"/>
                <w:color w:val="auto"/>
                <w:sz w:val="26"/>
                <w:highlight w:val="none"/>
              </w:rPr>
            </w:pPr>
          </w:p>
          <w:p>
            <w:pPr>
              <w:pStyle w:val="27"/>
              <w:spacing w:line="360" w:lineRule="auto"/>
              <w:ind w:left="9"/>
              <w:jc w:val="center"/>
              <w:rPr>
                <w:b w:val="0"/>
                <w:bCs w:val="0"/>
                <w:color w:val="auto"/>
                <w:highlight w:val="none"/>
              </w:rPr>
            </w:pPr>
            <w:r>
              <w:rPr>
                <w:b w:val="0"/>
                <w:bCs w:val="0"/>
                <w:color w:val="auto"/>
                <w:highlight w:val="none"/>
              </w:rPr>
              <w:t>1</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599" w:type="dxa"/>
          </w:tcPr>
          <w:p>
            <w:pPr>
              <w:pStyle w:val="27"/>
              <w:spacing w:before="3" w:line="360" w:lineRule="auto"/>
              <w:rPr>
                <w:b w:val="0"/>
                <w:bCs w:val="0"/>
                <w:color w:val="auto"/>
                <w:sz w:val="21"/>
                <w:highlight w:val="none"/>
              </w:rPr>
            </w:pPr>
          </w:p>
          <w:p>
            <w:pPr>
              <w:pStyle w:val="27"/>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7"/>
              <w:spacing w:line="360" w:lineRule="auto"/>
              <w:rPr>
                <w:b w:val="0"/>
                <w:bCs w:val="0"/>
                <w:color w:val="auto"/>
                <w:sz w:val="22"/>
                <w:highlight w:val="none"/>
              </w:rPr>
            </w:pPr>
          </w:p>
        </w:tc>
        <w:tc>
          <w:tcPr>
            <w:tcW w:w="1117" w:type="dxa"/>
            <w:gridSpan w:val="2"/>
          </w:tcPr>
          <w:p>
            <w:pPr>
              <w:pStyle w:val="27"/>
              <w:spacing w:line="360" w:lineRule="auto"/>
              <w:rPr>
                <w:b w:val="0"/>
                <w:bCs w:val="0"/>
                <w:color w:val="auto"/>
                <w:sz w:val="22"/>
                <w:highlight w:val="none"/>
              </w:rPr>
            </w:pPr>
          </w:p>
        </w:tc>
        <w:tc>
          <w:tcPr>
            <w:tcW w:w="63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662" w:type="dxa"/>
          </w:tcPr>
          <w:p>
            <w:pPr>
              <w:pStyle w:val="27"/>
              <w:spacing w:line="360" w:lineRule="auto"/>
              <w:rPr>
                <w:b w:val="0"/>
                <w:bCs w:val="0"/>
                <w:color w:val="auto"/>
                <w:sz w:val="22"/>
                <w:highlight w:val="none"/>
              </w:rPr>
            </w:pPr>
          </w:p>
        </w:tc>
        <w:tc>
          <w:tcPr>
            <w:tcW w:w="950" w:type="dxa"/>
          </w:tcPr>
          <w:p>
            <w:pPr>
              <w:pStyle w:val="27"/>
              <w:spacing w:line="360" w:lineRule="auto"/>
              <w:rPr>
                <w:b w:val="0"/>
                <w:bCs w:val="0"/>
                <w:color w:val="auto"/>
                <w:sz w:val="22"/>
                <w:highlight w:val="none"/>
              </w:rPr>
            </w:pPr>
          </w:p>
        </w:tc>
        <w:tc>
          <w:tcPr>
            <w:tcW w:w="775" w:type="dxa"/>
          </w:tcPr>
          <w:p>
            <w:pPr>
              <w:pStyle w:val="27"/>
              <w:spacing w:line="360" w:lineRule="auto"/>
              <w:rPr>
                <w:b w:val="0"/>
                <w:bCs w:val="0"/>
                <w:color w:val="auto"/>
                <w:sz w:val="22"/>
                <w:highlight w:val="none"/>
              </w:rPr>
            </w:pPr>
          </w:p>
        </w:tc>
        <w:tc>
          <w:tcPr>
            <w:tcW w:w="713" w:type="dxa"/>
          </w:tcPr>
          <w:p>
            <w:pPr>
              <w:pStyle w:val="27"/>
              <w:spacing w:line="360" w:lineRule="auto"/>
              <w:rPr>
                <w:b w:val="0"/>
                <w:bCs w:val="0"/>
                <w:color w:val="auto"/>
                <w:sz w:val="22"/>
                <w:highlight w:val="none"/>
              </w:rPr>
            </w:pPr>
          </w:p>
        </w:tc>
        <w:tc>
          <w:tcPr>
            <w:tcW w:w="750" w:type="dxa"/>
          </w:tcPr>
          <w:p>
            <w:pPr>
              <w:pStyle w:val="27"/>
              <w:spacing w:line="360" w:lineRule="auto"/>
              <w:rPr>
                <w:b w:val="0"/>
                <w:bCs w:val="0"/>
                <w:color w:val="auto"/>
                <w:sz w:val="22"/>
                <w:highlight w:val="none"/>
              </w:rPr>
            </w:pPr>
          </w:p>
        </w:tc>
        <w:tc>
          <w:tcPr>
            <w:tcW w:w="712" w:type="dxa"/>
          </w:tcPr>
          <w:p>
            <w:pPr>
              <w:pStyle w:val="27"/>
              <w:spacing w:line="360" w:lineRule="auto"/>
              <w:rPr>
                <w:b w:val="0"/>
                <w:bCs w:val="0"/>
                <w:color w:val="auto"/>
                <w:sz w:val="22"/>
                <w:highlight w:val="none"/>
              </w:rPr>
            </w:pPr>
          </w:p>
        </w:tc>
        <w:tc>
          <w:tcPr>
            <w:tcW w:w="1016" w:type="dxa"/>
          </w:tcPr>
          <w:p>
            <w:pPr>
              <w:pStyle w:val="27"/>
              <w:spacing w:line="360" w:lineRule="auto"/>
              <w:rPr>
                <w:b w:val="0"/>
                <w:bCs w:val="0"/>
                <w:color w:val="auto"/>
                <w:sz w:val="22"/>
                <w:highlight w:val="none"/>
              </w:rPr>
            </w:pPr>
          </w:p>
        </w:tc>
        <w:tc>
          <w:tcPr>
            <w:tcW w:w="767" w:type="dxa"/>
          </w:tcPr>
          <w:p>
            <w:pPr>
              <w:pStyle w:val="27"/>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99" w:type="dxa"/>
          </w:tcPr>
          <w:p>
            <w:pPr>
              <w:pStyle w:val="27"/>
              <w:spacing w:before="1" w:line="360" w:lineRule="auto"/>
              <w:ind w:left="179"/>
              <w:rPr>
                <w:b w:val="0"/>
                <w:bCs w:val="0"/>
                <w:color w:val="auto"/>
                <w:highlight w:val="none"/>
              </w:rPr>
            </w:pPr>
            <w:r>
              <w:rPr>
                <w:rFonts w:hint="eastAsia"/>
                <w:b w:val="0"/>
                <w:bCs w:val="0"/>
                <w:color w:val="auto"/>
                <w:highlight w:val="none"/>
              </w:rPr>
              <w:t>合</w:t>
            </w:r>
          </w:p>
          <w:p>
            <w:pPr>
              <w:pStyle w:val="27"/>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7"/>
              <w:spacing w:line="360" w:lineRule="auto"/>
              <w:rPr>
                <w:b w:val="0"/>
                <w:bCs w:val="0"/>
                <w:color w:val="auto"/>
                <w:sz w:val="22"/>
                <w:highlight w:val="none"/>
              </w:rPr>
            </w:pPr>
          </w:p>
        </w:tc>
        <w:tc>
          <w:tcPr>
            <w:tcW w:w="8755" w:type="dxa"/>
            <w:gridSpan w:val="11"/>
          </w:tcPr>
          <w:p>
            <w:pPr>
              <w:pStyle w:val="27"/>
              <w:spacing w:line="360" w:lineRule="auto"/>
              <w:rPr>
                <w:b w:val="0"/>
                <w:bCs w:val="0"/>
                <w:color w:val="auto"/>
                <w:sz w:val="22"/>
                <w:highlight w:val="none"/>
              </w:rPr>
            </w:pPr>
          </w:p>
        </w:tc>
      </w:tr>
    </w:tbl>
    <w:p>
      <w:pPr>
        <w:pStyle w:val="7"/>
        <w:spacing w:line="360" w:lineRule="auto"/>
        <w:rPr>
          <w:color w:val="auto"/>
          <w:highlight w:val="none"/>
        </w:rPr>
      </w:pPr>
    </w:p>
    <w:p>
      <w:pPr>
        <w:pStyle w:val="7"/>
        <w:spacing w:before="162" w:line="360" w:lineRule="auto"/>
        <w:rPr>
          <w:rFonts w:ascii="宋体"/>
          <w:color w:val="auto"/>
          <w:szCs w:val="22"/>
          <w:highlight w:val="none"/>
        </w:rPr>
      </w:pPr>
      <w:r>
        <w:rPr>
          <w:rFonts w:hint="eastAsia" w:ascii="宋体" w:hAnsi="宋体"/>
          <w:color w:val="auto"/>
          <w:szCs w:val="22"/>
          <w:highlight w:val="none"/>
        </w:rPr>
        <w:t>注：</w:t>
      </w:r>
      <w:r>
        <w:rPr>
          <w:rFonts w:ascii="宋体" w:hAnsi="宋体"/>
          <w:color w:val="auto"/>
          <w:szCs w:val="22"/>
          <w:highlight w:val="none"/>
        </w:rPr>
        <w:t>1</w:t>
      </w:r>
      <w:r>
        <w:rPr>
          <w:rFonts w:hint="eastAsia" w:ascii="宋体" w:hAnsi="宋体"/>
          <w:color w:val="auto"/>
          <w:szCs w:val="22"/>
          <w:highlight w:val="none"/>
        </w:rPr>
        <w:t>、</w:t>
      </w:r>
      <w:r>
        <w:rPr>
          <w:rFonts w:hint="eastAsia" w:ascii="宋体" w:hAnsi="宋体"/>
          <w:color w:val="auto"/>
          <w:szCs w:val="22"/>
          <w:highlight w:val="none"/>
          <w:lang w:eastAsia="zh-CN"/>
        </w:rPr>
        <w:t>投标人</w:t>
      </w:r>
      <w:r>
        <w:rPr>
          <w:rFonts w:hint="eastAsia" w:ascii="宋体" w:hAnsi="宋体"/>
          <w:color w:val="auto"/>
          <w:szCs w:val="22"/>
          <w:highlight w:val="none"/>
        </w:rPr>
        <w:t>根据所投标包的设备或产品填报（表格自行添减）。</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2</w:t>
      </w:r>
      <w:r>
        <w:rPr>
          <w:rFonts w:hint="eastAsia" w:ascii="宋体" w:hAnsi="宋体"/>
          <w:color w:val="auto"/>
          <w:szCs w:val="22"/>
          <w:highlight w:val="none"/>
        </w:rPr>
        <w:t>、</w:t>
      </w:r>
      <w:r>
        <w:rPr>
          <w:rFonts w:hint="eastAsia" w:ascii="宋体" w:hAnsi="宋体"/>
          <w:color w:val="auto"/>
          <w:szCs w:val="22"/>
          <w:highlight w:val="none"/>
          <w:lang w:val="en-US" w:eastAsia="zh-CN"/>
        </w:rPr>
        <w:t>所有货物的价格应包含货物及配置产品的设计、采购、制造、检测、试验、包装、运输、保险、装卸、货款、安装调试、培训、保修维护、技术支持、质保期服务、税费和服务内容的检验、验收、技术服务（包括技术资料、图纸的提供）、质保期保障等的全部费用”</w:t>
      </w:r>
    </w:p>
    <w:p>
      <w:pPr>
        <w:pStyle w:val="7"/>
        <w:spacing w:before="162" w:line="360" w:lineRule="auto"/>
        <w:ind w:firstLine="480" w:firstLineChars="200"/>
        <w:rPr>
          <w:rFonts w:ascii="宋体"/>
          <w:color w:val="auto"/>
          <w:szCs w:val="22"/>
          <w:highlight w:val="none"/>
        </w:rPr>
      </w:pPr>
      <w:r>
        <w:rPr>
          <w:rFonts w:ascii="宋体" w:hAnsi="宋体"/>
          <w:color w:val="auto"/>
          <w:szCs w:val="22"/>
          <w:highlight w:val="none"/>
        </w:rPr>
        <w:t>3</w:t>
      </w:r>
      <w:r>
        <w:rPr>
          <w:rFonts w:hint="eastAsia" w:ascii="宋体" w:hAnsi="宋体"/>
          <w:color w:val="auto"/>
          <w:szCs w:val="22"/>
          <w:highlight w:val="none"/>
        </w:rPr>
        <w:t>、投标人在编写投标文件时，如果遇到技术参数内的产品名称</w:t>
      </w:r>
      <w:r>
        <w:rPr>
          <w:rFonts w:ascii="宋体" w:hAnsi="宋体"/>
          <w:color w:val="auto"/>
          <w:szCs w:val="22"/>
          <w:highlight w:val="none"/>
        </w:rPr>
        <w:t>/</w:t>
      </w:r>
      <w:r>
        <w:rPr>
          <w:rFonts w:hint="eastAsia" w:ascii="宋体" w:hAnsi="宋体"/>
          <w:color w:val="auto"/>
          <w:szCs w:val="22"/>
          <w:highlight w:val="none"/>
        </w:rPr>
        <w:t>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160" w:firstLineChars="9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color w:val="auto"/>
          <w:highlight w:val="none"/>
        </w:rPr>
      </w:pPr>
      <w:bookmarkStart w:id="516" w:name="_Toc75"/>
    </w:p>
    <w:p>
      <w:pPr>
        <w:spacing w:before="54" w:line="360" w:lineRule="auto"/>
        <w:ind w:left="6"/>
        <w:jc w:val="center"/>
        <w:outlineLvl w:val="1"/>
        <w:rPr>
          <w:b/>
          <w:color w:val="auto"/>
          <w:w w:val="95"/>
          <w:sz w:val="32"/>
          <w:highlight w:val="none"/>
        </w:rPr>
      </w:pPr>
      <w:bookmarkStart w:id="517" w:name="_Toc13887"/>
      <w:bookmarkStart w:id="518" w:name="_Toc9250"/>
      <w:r>
        <w:rPr>
          <w:rFonts w:hint="eastAsia"/>
          <w:b/>
          <w:color w:val="auto"/>
          <w:w w:val="95"/>
          <w:sz w:val="32"/>
          <w:highlight w:val="none"/>
        </w:rPr>
        <w:t>二、法定代表人身份证明</w:t>
      </w:r>
      <w:bookmarkEnd w:id="516"/>
      <w:bookmarkEnd w:id="517"/>
      <w:bookmarkEnd w:id="518"/>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spacing w:before="54" w:line="360" w:lineRule="auto"/>
        <w:ind w:left="6"/>
        <w:jc w:val="center"/>
        <w:outlineLvl w:val="1"/>
        <w:rPr>
          <w:b/>
          <w:color w:val="auto"/>
          <w:w w:val="95"/>
          <w:sz w:val="32"/>
          <w:highlight w:val="none"/>
        </w:rPr>
      </w:pPr>
      <w:bookmarkStart w:id="519" w:name="_Toc27272"/>
      <w:bookmarkStart w:id="520" w:name="_Toc30731"/>
      <w:bookmarkStart w:id="521" w:name="_Toc1881"/>
      <w:r>
        <w:rPr>
          <w:rFonts w:hint="eastAsia"/>
          <w:b/>
          <w:color w:val="auto"/>
          <w:w w:val="95"/>
          <w:sz w:val="32"/>
          <w:highlight w:val="none"/>
        </w:rPr>
        <w:t>三、授权委托书</w:t>
      </w:r>
      <w:bookmarkEnd w:id="519"/>
      <w:bookmarkEnd w:id="520"/>
      <w:bookmarkEnd w:id="521"/>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（项目名称）（项目编号）（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0"/>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spacing w:before="54" w:line="360" w:lineRule="auto"/>
        <w:ind w:left="1"/>
        <w:jc w:val="center"/>
        <w:rPr>
          <w:b/>
          <w:color w:val="auto"/>
          <w:w w:val="95"/>
          <w:sz w:val="32"/>
          <w:highlight w:val="none"/>
        </w:rPr>
      </w:pPr>
    </w:p>
    <w:p>
      <w:pPr>
        <w:pStyle w:val="10"/>
        <w:spacing w:line="360" w:lineRule="auto"/>
        <w:ind w:left="31680" w:right="31680"/>
        <w:rPr>
          <w:b/>
          <w:color w:val="auto"/>
          <w:w w:val="95"/>
          <w:sz w:val="32"/>
          <w:highlight w:val="none"/>
        </w:rPr>
      </w:pPr>
    </w:p>
    <w:p>
      <w:pPr>
        <w:rPr>
          <w:color w:val="auto"/>
          <w:highlight w:val="none"/>
        </w:rPr>
      </w:pPr>
    </w:p>
    <w:p>
      <w:pPr>
        <w:spacing w:before="54" w:line="360" w:lineRule="auto"/>
        <w:ind w:left="6"/>
        <w:jc w:val="center"/>
        <w:outlineLvl w:val="1"/>
        <w:rPr>
          <w:b/>
          <w:color w:val="auto"/>
          <w:w w:val="95"/>
          <w:sz w:val="32"/>
          <w:highlight w:val="none"/>
        </w:rPr>
      </w:pPr>
      <w:bookmarkStart w:id="522" w:name="_Toc15380"/>
      <w:bookmarkStart w:id="523" w:name="_Toc8474"/>
      <w:bookmarkStart w:id="524" w:name="_Toc15621"/>
      <w:r>
        <w:rPr>
          <w:rFonts w:hint="eastAsia"/>
          <w:b/>
          <w:color w:val="auto"/>
          <w:w w:val="95"/>
          <w:sz w:val="32"/>
          <w:highlight w:val="none"/>
        </w:rPr>
        <w:t>四、投标承诺书</w:t>
      </w:r>
      <w:bookmarkEnd w:id="522"/>
      <w:bookmarkEnd w:id="523"/>
      <w:bookmarkEnd w:id="524"/>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25" w:name="_Toc4122"/>
      <w:bookmarkStart w:id="526" w:name="_Toc32164"/>
      <w:bookmarkStart w:id="527" w:name="_Toc15713"/>
      <w:r>
        <w:rPr>
          <w:rFonts w:hint="eastAsia"/>
          <w:b/>
          <w:color w:val="auto"/>
          <w:w w:val="95"/>
          <w:sz w:val="32"/>
          <w:highlight w:val="none"/>
        </w:rPr>
        <w:t>五、技术部分</w:t>
      </w:r>
      <w:bookmarkEnd w:id="525"/>
      <w:bookmarkEnd w:id="526"/>
      <w:bookmarkEnd w:id="527"/>
    </w:p>
    <w:p>
      <w:pPr>
        <w:keepNext w:val="0"/>
        <w:keepLines w:val="0"/>
        <w:pageBreakBefore w:val="0"/>
        <w:widowControl w:val="0"/>
        <w:kinsoku/>
        <w:wordWrap/>
        <w:overflowPunct/>
        <w:topLinePunct w:val="0"/>
        <w:autoSpaceDE/>
        <w:autoSpaceDN/>
        <w:bidi w:val="0"/>
        <w:adjustRightInd/>
        <w:snapToGrid/>
        <w:spacing w:before="212" w:line="360" w:lineRule="auto"/>
        <w:ind w:left="0"/>
        <w:jc w:val="center"/>
        <w:textAlignment w:val="auto"/>
        <w:outlineLvl w:val="2"/>
        <w:rPr>
          <w:b/>
          <w:color w:val="auto"/>
          <w:sz w:val="32"/>
          <w:highlight w:val="none"/>
        </w:rPr>
      </w:pPr>
      <w:bookmarkStart w:id="528" w:name="（一）技术参数偏差表"/>
      <w:bookmarkEnd w:id="528"/>
      <w:r>
        <w:rPr>
          <w:rFonts w:hint="eastAsia"/>
          <w:b/>
          <w:color w:val="auto"/>
          <w:w w:val="95"/>
          <w:sz w:val="32"/>
          <w:highlight w:val="none"/>
        </w:rPr>
        <w:t>（一）技术参数偏差表</w:t>
      </w:r>
    </w:p>
    <w:p>
      <w:pPr>
        <w:pStyle w:val="30"/>
        <w:numPr>
          <w:ilvl w:val="0"/>
          <w:numId w:val="0"/>
        </w:numPr>
        <w:tabs>
          <w:tab w:val="left" w:pos="580"/>
        </w:tabs>
        <w:spacing w:line="360" w:lineRule="auto"/>
        <w:ind w:leftChars="200"/>
        <w:jc w:val="center"/>
        <w:rPr>
          <w:b/>
          <w:color w:val="auto"/>
          <w:sz w:val="12"/>
          <w:highlight w:val="none"/>
        </w:rPr>
      </w:pPr>
      <w:r>
        <w:rPr>
          <w:rFonts w:hint="eastAsia"/>
          <w:b/>
          <w:color w:val="auto"/>
          <w:sz w:val="24"/>
          <w:highlight w:val="none"/>
          <w:lang w:val="en-US" w:eastAsia="zh-CN"/>
        </w:rPr>
        <w:t>1.</w:t>
      </w:r>
      <w:r>
        <w:rPr>
          <w:rFonts w:hint="eastAsia"/>
          <w:b/>
          <w:color w:val="auto"/>
          <w:sz w:val="24"/>
          <w:highlight w:val="none"/>
        </w:rPr>
        <w:t>标注</w:t>
      </w:r>
      <w:r>
        <w:rPr>
          <w:b/>
          <w:color w:val="auto"/>
          <w:sz w:val="24"/>
          <w:highlight w:val="none"/>
        </w:rPr>
        <w:t>“</w:t>
      </w:r>
      <w:r>
        <w:rPr>
          <w:rFonts w:hint="eastAsia" w:ascii="宋体" w:hAnsi="宋体" w:cs="宋体"/>
          <w:color w:val="auto"/>
          <w:sz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2"/>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7"/>
              <w:spacing w:before="4" w:line="360" w:lineRule="auto"/>
              <w:jc w:val="center"/>
              <w:rPr>
                <w:b/>
                <w:color w:val="auto"/>
                <w:sz w:val="18"/>
                <w:highlight w:val="none"/>
              </w:rPr>
            </w:pPr>
          </w:p>
          <w:p>
            <w:pPr>
              <w:pStyle w:val="27"/>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7"/>
              <w:spacing w:before="2" w:line="360" w:lineRule="auto"/>
              <w:ind w:left="22"/>
              <w:jc w:val="center"/>
              <w:rPr>
                <w:b/>
                <w:color w:val="auto"/>
                <w:highlight w:val="none"/>
              </w:rPr>
            </w:pPr>
            <w:r>
              <w:rPr>
                <w:rFonts w:hint="eastAsia"/>
                <w:b/>
                <w:color w:val="auto"/>
                <w:w w:val="99"/>
                <w:highlight w:val="none"/>
              </w:rPr>
              <w:t>名</w:t>
            </w:r>
          </w:p>
          <w:p>
            <w:pPr>
              <w:pStyle w:val="27"/>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7"/>
              <w:spacing w:before="2" w:line="360" w:lineRule="auto"/>
              <w:ind w:left="219" w:right="192"/>
              <w:jc w:val="center"/>
              <w:rPr>
                <w:b/>
                <w:color w:val="auto"/>
                <w:highlight w:val="none"/>
              </w:rPr>
            </w:pPr>
            <w:r>
              <w:rPr>
                <w:rFonts w:hint="eastAsia"/>
                <w:b/>
                <w:color w:val="auto"/>
                <w:highlight w:val="none"/>
              </w:rPr>
              <w:t>招标文件要求的</w:t>
            </w:r>
          </w:p>
          <w:p>
            <w:pPr>
              <w:pStyle w:val="27"/>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7"/>
              <w:spacing w:before="2" w:line="360" w:lineRule="auto"/>
              <w:ind w:left="14"/>
              <w:jc w:val="center"/>
              <w:rPr>
                <w:b/>
                <w:color w:val="auto"/>
                <w:highlight w:val="none"/>
              </w:rPr>
            </w:pPr>
            <w:r>
              <w:rPr>
                <w:rFonts w:hint="eastAsia"/>
                <w:b/>
                <w:color w:val="auto"/>
                <w:highlight w:val="none"/>
              </w:rPr>
              <w:t>投标文件所附</w:t>
            </w:r>
          </w:p>
          <w:p>
            <w:pPr>
              <w:pStyle w:val="27"/>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15"/>
              <w:jc w:val="center"/>
              <w:rPr>
                <w:color w:val="auto"/>
                <w:highlight w:val="none"/>
              </w:rPr>
            </w:pPr>
            <w:r>
              <w:rPr>
                <w:color w:val="auto"/>
                <w:highlight w:val="none"/>
              </w:rPr>
              <w:t>1</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0" w:line="360" w:lineRule="auto"/>
              <w:ind w:left="15"/>
              <w:jc w:val="center"/>
              <w:rPr>
                <w:color w:val="auto"/>
                <w:highlight w:val="none"/>
              </w:rPr>
            </w:pPr>
            <w:r>
              <w:rPr>
                <w:color w:val="auto"/>
                <w:highlight w:val="none"/>
              </w:rPr>
              <w:t>2</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1" w:line="360" w:lineRule="auto"/>
              <w:ind w:left="15"/>
              <w:jc w:val="center"/>
              <w:rPr>
                <w:color w:val="auto"/>
                <w:highlight w:val="none"/>
              </w:rPr>
            </w:pPr>
            <w:r>
              <w:rPr>
                <w:color w:val="auto"/>
                <w:highlight w:val="none"/>
              </w:rPr>
              <w:t>3</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7"/>
              <w:spacing w:before="161" w:line="360" w:lineRule="auto"/>
              <w:ind w:left="15"/>
              <w:jc w:val="center"/>
              <w:rPr>
                <w:color w:val="auto"/>
                <w:highlight w:val="none"/>
              </w:rPr>
            </w:pPr>
            <w:r>
              <w:rPr>
                <w:color w:val="auto"/>
                <w:highlight w:val="none"/>
              </w:rPr>
              <w:t>4</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7"/>
              <w:spacing w:before="162" w:line="360" w:lineRule="auto"/>
              <w:ind w:left="15"/>
              <w:jc w:val="center"/>
              <w:rPr>
                <w:color w:val="auto"/>
                <w:highlight w:val="none"/>
              </w:rPr>
            </w:pPr>
            <w:r>
              <w:rPr>
                <w:color w:val="auto"/>
                <w:highlight w:val="none"/>
              </w:rPr>
              <w:t>5</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7"/>
              <w:spacing w:before="162" w:line="360" w:lineRule="auto"/>
              <w:ind w:left="241" w:right="226"/>
              <w:jc w:val="center"/>
              <w:rPr>
                <w:color w:val="auto"/>
                <w:highlight w:val="none"/>
              </w:rPr>
            </w:pPr>
            <w:r>
              <w:rPr>
                <w:color w:val="auto"/>
                <w:highlight w:val="none"/>
              </w:rPr>
              <w:t>...</w:t>
            </w:r>
          </w:p>
        </w:tc>
        <w:tc>
          <w:tcPr>
            <w:tcW w:w="852" w:type="dxa"/>
          </w:tcPr>
          <w:p>
            <w:pPr>
              <w:pStyle w:val="27"/>
              <w:spacing w:line="360" w:lineRule="auto"/>
              <w:rPr>
                <w:color w:val="auto"/>
                <w:sz w:val="22"/>
                <w:highlight w:val="none"/>
              </w:rPr>
            </w:pPr>
          </w:p>
        </w:tc>
        <w:tc>
          <w:tcPr>
            <w:tcW w:w="2148" w:type="dxa"/>
          </w:tcPr>
          <w:p>
            <w:pPr>
              <w:pStyle w:val="27"/>
              <w:spacing w:line="360" w:lineRule="auto"/>
              <w:rPr>
                <w:color w:val="auto"/>
                <w:sz w:val="22"/>
                <w:highlight w:val="none"/>
              </w:rPr>
            </w:pPr>
          </w:p>
        </w:tc>
        <w:tc>
          <w:tcPr>
            <w:tcW w:w="1635" w:type="dxa"/>
          </w:tcPr>
          <w:p>
            <w:pPr>
              <w:pStyle w:val="27"/>
              <w:spacing w:line="360" w:lineRule="auto"/>
              <w:rPr>
                <w:color w:val="auto"/>
                <w:sz w:val="22"/>
                <w:highlight w:val="none"/>
              </w:rPr>
            </w:pPr>
          </w:p>
        </w:tc>
        <w:tc>
          <w:tcPr>
            <w:tcW w:w="2320" w:type="dxa"/>
          </w:tcPr>
          <w:p>
            <w:pPr>
              <w:pStyle w:val="27"/>
              <w:spacing w:line="360" w:lineRule="auto"/>
              <w:rPr>
                <w:color w:val="auto"/>
                <w:sz w:val="22"/>
                <w:highlight w:val="none"/>
              </w:rPr>
            </w:pPr>
          </w:p>
        </w:tc>
        <w:tc>
          <w:tcPr>
            <w:tcW w:w="1500" w:type="dxa"/>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25"/>
        <w:spacing w:line="360" w:lineRule="auto"/>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rPr>
          <w:color w:val="auto"/>
          <w:sz w:val="20"/>
          <w:highlight w:val="none"/>
        </w:rPr>
      </w:pPr>
    </w:p>
    <w:p>
      <w:pPr>
        <w:spacing w:line="360" w:lineRule="auto"/>
        <w:rPr>
          <w:color w:val="auto"/>
          <w:sz w:val="20"/>
          <w:highlight w:val="none"/>
        </w:rPr>
      </w:pPr>
    </w:p>
    <w:p>
      <w:pPr>
        <w:pStyle w:val="20"/>
        <w:spacing w:line="360" w:lineRule="auto"/>
        <w:ind w:firstLine="0"/>
        <w:rPr>
          <w:color w:val="auto"/>
          <w:sz w:val="20"/>
          <w:highlight w:val="none"/>
        </w:rPr>
      </w:pPr>
    </w:p>
    <w:p>
      <w:pPr>
        <w:pStyle w:val="30"/>
        <w:numPr>
          <w:ilvl w:val="0"/>
          <w:numId w:val="0"/>
        </w:numPr>
        <w:tabs>
          <w:tab w:val="left" w:pos="580"/>
        </w:tabs>
        <w:spacing w:before="215" w:line="360" w:lineRule="auto"/>
        <w:ind w:left="335" w:leftChars="0"/>
        <w:jc w:val="center"/>
        <w:rPr>
          <w:b/>
          <w:color w:val="auto"/>
          <w:sz w:val="24"/>
          <w:highlight w:val="none"/>
        </w:rPr>
      </w:pPr>
      <w:r>
        <w:rPr>
          <w:rFonts w:hint="eastAsia"/>
          <w:b/>
          <w:color w:val="auto"/>
          <w:sz w:val="24"/>
          <w:highlight w:val="none"/>
          <w:lang w:val="en-US" w:eastAsia="zh-CN"/>
        </w:rPr>
        <w:t>2.</w:t>
      </w: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0"/>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7"/>
              <w:spacing w:before="4" w:line="360" w:lineRule="auto"/>
              <w:jc w:val="center"/>
              <w:rPr>
                <w:b/>
                <w:color w:val="auto"/>
                <w:sz w:val="18"/>
                <w:highlight w:val="none"/>
              </w:rPr>
            </w:pPr>
          </w:p>
          <w:p>
            <w:pPr>
              <w:pStyle w:val="27"/>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7"/>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7"/>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7"/>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7"/>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7"/>
              <w:spacing w:before="4" w:line="360" w:lineRule="auto"/>
              <w:jc w:val="center"/>
              <w:rPr>
                <w:b/>
                <w:color w:val="auto"/>
                <w:sz w:val="18"/>
                <w:highlight w:val="none"/>
              </w:rPr>
            </w:pPr>
          </w:p>
          <w:p>
            <w:pPr>
              <w:pStyle w:val="27"/>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7"/>
              <w:spacing w:before="162" w:line="360" w:lineRule="auto"/>
              <w:ind w:left="15"/>
              <w:jc w:val="center"/>
              <w:rPr>
                <w:color w:val="auto"/>
                <w:highlight w:val="none"/>
              </w:rPr>
            </w:pPr>
            <w:r>
              <w:rPr>
                <w:color w:val="auto"/>
                <w:highlight w:val="none"/>
              </w:rPr>
              <w:t>1</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7"/>
              <w:spacing w:before="162" w:line="360" w:lineRule="auto"/>
              <w:ind w:left="15"/>
              <w:jc w:val="center"/>
              <w:rPr>
                <w:color w:val="auto"/>
                <w:highlight w:val="none"/>
              </w:rPr>
            </w:pPr>
            <w:r>
              <w:rPr>
                <w:color w:val="auto"/>
                <w:highlight w:val="none"/>
              </w:rPr>
              <w:t>2</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3</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1" w:line="360" w:lineRule="auto"/>
              <w:ind w:left="15"/>
              <w:jc w:val="center"/>
              <w:rPr>
                <w:color w:val="auto"/>
                <w:highlight w:val="none"/>
              </w:rPr>
            </w:pPr>
            <w:r>
              <w:rPr>
                <w:color w:val="auto"/>
                <w:highlight w:val="none"/>
              </w:rPr>
              <w:t>4</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15"/>
              <w:jc w:val="center"/>
              <w:rPr>
                <w:color w:val="auto"/>
                <w:highlight w:val="none"/>
              </w:rPr>
            </w:pPr>
            <w:r>
              <w:rPr>
                <w:color w:val="auto"/>
                <w:highlight w:val="none"/>
              </w:rPr>
              <w:t>5</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7"/>
              <w:spacing w:before="162" w:line="360" w:lineRule="auto"/>
              <w:ind w:left="241" w:right="226"/>
              <w:jc w:val="center"/>
              <w:rPr>
                <w:color w:val="auto"/>
                <w:highlight w:val="none"/>
              </w:rPr>
            </w:pPr>
            <w:r>
              <w:rPr>
                <w:color w:val="auto"/>
                <w:highlight w:val="none"/>
              </w:rPr>
              <w:t>...</w:t>
            </w:r>
          </w:p>
        </w:tc>
        <w:tc>
          <w:tcPr>
            <w:tcW w:w="596" w:type="pct"/>
          </w:tcPr>
          <w:p>
            <w:pPr>
              <w:pStyle w:val="27"/>
              <w:spacing w:line="360" w:lineRule="auto"/>
              <w:rPr>
                <w:color w:val="auto"/>
                <w:sz w:val="22"/>
                <w:highlight w:val="none"/>
              </w:rPr>
            </w:pPr>
          </w:p>
        </w:tc>
        <w:tc>
          <w:tcPr>
            <w:tcW w:w="1490" w:type="pct"/>
          </w:tcPr>
          <w:p>
            <w:pPr>
              <w:pStyle w:val="27"/>
              <w:spacing w:line="360" w:lineRule="auto"/>
              <w:rPr>
                <w:color w:val="auto"/>
                <w:sz w:val="22"/>
                <w:highlight w:val="none"/>
              </w:rPr>
            </w:pPr>
          </w:p>
        </w:tc>
        <w:tc>
          <w:tcPr>
            <w:tcW w:w="1341" w:type="pct"/>
          </w:tcPr>
          <w:p>
            <w:pPr>
              <w:pStyle w:val="27"/>
              <w:spacing w:line="360" w:lineRule="auto"/>
              <w:rPr>
                <w:color w:val="auto"/>
                <w:sz w:val="22"/>
                <w:highlight w:val="none"/>
              </w:rPr>
            </w:pPr>
          </w:p>
        </w:tc>
        <w:tc>
          <w:tcPr>
            <w:tcW w:w="546" w:type="pct"/>
          </w:tcPr>
          <w:p>
            <w:pPr>
              <w:pStyle w:val="27"/>
              <w:spacing w:line="360" w:lineRule="auto"/>
              <w:rPr>
                <w:color w:val="auto"/>
                <w:sz w:val="22"/>
                <w:highlight w:val="none"/>
              </w:rPr>
            </w:pPr>
          </w:p>
        </w:tc>
        <w:tc>
          <w:tcPr>
            <w:tcW w:w="578" w:type="pct"/>
          </w:tcPr>
          <w:p>
            <w:pPr>
              <w:pStyle w:val="27"/>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10"/>
        <w:spacing w:line="360" w:lineRule="auto"/>
        <w:ind w:left="31680" w:right="31680"/>
        <w:rPr>
          <w:color w:val="auto"/>
          <w:highlight w:val="none"/>
        </w:rPr>
      </w:pPr>
    </w:p>
    <w:p>
      <w:pPr>
        <w:pStyle w:val="4"/>
        <w:jc w:val="center"/>
        <w:rPr>
          <w:color w:val="auto"/>
          <w:sz w:val="24"/>
          <w:szCs w:val="24"/>
          <w:highlight w:val="none"/>
        </w:rPr>
      </w:pPr>
      <w:r>
        <w:rPr>
          <w:rFonts w:hint="eastAsia"/>
          <w:color w:val="auto"/>
          <w:sz w:val="24"/>
          <w:szCs w:val="24"/>
          <w:highlight w:val="none"/>
        </w:rPr>
        <w:t>（二）技术参数证明材料</w:t>
      </w:r>
    </w:p>
    <w:p>
      <w:pPr>
        <w:keepNext/>
        <w:keepLines/>
        <w:spacing w:line="360" w:lineRule="auto"/>
        <w:jc w:val="center"/>
        <w:rPr>
          <w:rFonts w:ascii="宋体" w:cs="宋体"/>
          <w:b/>
          <w:bCs/>
          <w:color w:val="auto"/>
          <w:kern w:val="0"/>
          <w:sz w:val="24"/>
          <w:highlight w:val="none"/>
        </w:rPr>
      </w:pPr>
    </w:p>
    <w:p>
      <w:pPr>
        <w:pStyle w:val="10"/>
        <w:spacing w:line="360" w:lineRule="auto"/>
        <w:ind w:left="31680" w:right="31680"/>
        <w:rPr>
          <w:color w:val="auto"/>
          <w:highlight w:val="none"/>
        </w:rPr>
        <w:sectPr>
          <w:footerReference r:id="rId9" w:type="default"/>
          <w:pgSz w:w="11910" w:h="16840"/>
          <w:pgMar w:top="1440" w:right="1803" w:bottom="1440" w:left="1803" w:header="882" w:footer="964" w:gutter="0"/>
          <w:pgBorders>
            <w:top w:val="none" w:sz="0" w:space="0"/>
            <w:left w:val="none" w:sz="0" w:space="0"/>
            <w:bottom w:val="none" w:sz="0" w:space="0"/>
            <w:right w:val="none" w:sz="0" w:space="0"/>
          </w:pgBorders>
          <w:pgNumType w:fmt="decimal"/>
          <w:cols w:space="720" w:num="1"/>
        </w:sectPr>
      </w:pPr>
    </w:p>
    <w:p>
      <w:pPr>
        <w:keepNext/>
        <w:keepLines/>
        <w:spacing w:line="360" w:lineRule="auto"/>
        <w:jc w:val="center"/>
        <w:outlineLvl w:val="2"/>
        <w:rPr>
          <w:rFonts w:ascii="宋体" w:cs="宋体"/>
          <w:b/>
          <w:bCs/>
          <w:color w:val="auto"/>
          <w:kern w:val="0"/>
          <w:sz w:val="32"/>
          <w:szCs w:val="32"/>
          <w:highlight w:val="none"/>
        </w:rPr>
      </w:pPr>
      <w:bookmarkStart w:id="529" w:name="_Toc22795"/>
      <w:bookmarkStart w:id="530" w:name="_Toc22480"/>
      <w:bookmarkStart w:id="531" w:name="_Toc4947"/>
      <w:r>
        <w:rPr>
          <w:rStyle w:val="31"/>
          <w:rFonts w:hint="eastAsia"/>
          <w:color w:val="auto"/>
          <w:highlight w:val="none"/>
        </w:rPr>
        <w:t>（三）备品备件清单报价表</w:t>
      </w:r>
      <w:bookmarkEnd w:id="529"/>
      <w:bookmarkEnd w:id="530"/>
      <w:bookmarkEnd w:id="531"/>
    </w:p>
    <w:p>
      <w:pPr>
        <w:spacing w:line="360" w:lineRule="auto"/>
        <w:jc w:val="center"/>
        <w:rPr>
          <w:rFonts w:ascii="宋体" w:cs="宋体"/>
          <w:color w:val="auto"/>
          <w:sz w:val="32"/>
          <w:szCs w:val="32"/>
          <w:highlight w:val="none"/>
        </w:rPr>
      </w:pPr>
    </w:p>
    <w:p>
      <w:pPr>
        <w:adjustRightInd w:val="0"/>
        <w:snapToGrid w:val="0"/>
        <w:spacing w:line="360" w:lineRule="auto"/>
        <w:ind w:right="-82" w:rightChars="-39"/>
        <w:jc w:val="right"/>
        <w:rPr>
          <w:rFonts w:ascii="宋体" w:cs="宋体"/>
          <w:color w:val="auto"/>
          <w:sz w:val="24"/>
          <w:highlight w:val="none"/>
        </w:rPr>
      </w:pPr>
      <w:r>
        <w:rPr>
          <w:rFonts w:hint="eastAsia" w:ascii="宋体" w:hAnsi="宋体" w:cs="宋体"/>
          <w:color w:val="auto"/>
          <w:sz w:val="24"/>
          <w:highlight w:val="none"/>
        </w:rPr>
        <w:t>金额单位：元</w:t>
      </w:r>
    </w:p>
    <w:tbl>
      <w:tblPr>
        <w:tblStyle w:val="22"/>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590"/>
        <w:gridCol w:w="1021"/>
        <w:gridCol w:w="1021"/>
        <w:gridCol w:w="1349"/>
        <w:gridCol w:w="1510"/>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3" w:type="dxa"/>
            <w:vAlign w:val="center"/>
          </w:tcPr>
          <w:p>
            <w:pPr>
              <w:spacing w:line="360" w:lineRule="auto"/>
              <w:ind w:left="113" w:right="107"/>
              <w:jc w:val="center"/>
              <w:rPr>
                <w:rFonts w:ascii="宋体" w:cs="宋体"/>
                <w:color w:val="auto"/>
                <w:sz w:val="24"/>
                <w:highlight w:val="none"/>
                <w:lang w:val="zh-CN"/>
              </w:rPr>
            </w:pPr>
            <w:r>
              <w:rPr>
                <w:rFonts w:hint="eastAsia" w:ascii="宋体" w:hAnsi="宋体" w:cs="宋体"/>
                <w:color w:val="auto"/>
                <w:sz w:val="24"/>
                <w:highlight w:val="none"/>
                <w:lang w:val="zh-CN"/>
              </w:rPr>
              <w:t>序号</w:t>
            </w:r>
          </w:p>
        </w:tc>
        <w:tc>
          <w:tcPr>
            <w:tcW w:w="2590" w:type="dxa"/>
            <w:vAlign w:val="center"/>
          </w:tcPr>
          <w:p>
            <w:pPr>
              <w:tabs>
                <w:tab w:val="left" w:pos="430"/>
              </w:tabs>
              <w:spacing w:line="360" w:lineRule="auto"/>
              <w:ind w:left="10"/>
              <w:jc w:val="center"/>
              <w:rPr>
                <w:rFonts w:ascii="宋体" w:cs="宋体"/>
                <w:color w:val="auto"/>
                <w:sz w:val="24"/>
                <w:highlight w:val="none"/>
                <w:lang w:val="zh-CN"/>
              </w:rPr>
            </w:pPr>
            <w:r>
              <w:rPr>
                <w:rFonts w:hint="eastAsia" w:ascii="宋体" w:hAnsi="宋体" w:cs="宋体"/>
                <w:color w:val="auto"/>
                <w:sz w:val="24"/>
                <w:highlight w:val="none"/>
                <w:lang w:val="zh-CN"/>
              </w:rPr>
              <w:t>名称</w:t>
            </w:r>
          </w:p>
        </w:tc>
        <w:tc>
          <w:tcPr>
            <w:tcW w:w="1021" w:type="dxa"/>
            <w:vAlign w:val="center"/>
          </w:tcPr>
          <w:p>
            <w:pPr>
              <w:spacing w:line="360" w:lineRule="auto"/>
              <w:ind w:left="212"/>
              <w:rPr>
                <w:rFonts w:ascii="宋体" w:cs="宋体"/>
                <w:color w:val="auto"/>
                <w:sz w:val="24"/>
                <w:highlight w:val="none"/>
                <w:lang w:val="zh-CN"/>
              </w:rPr>
            </w:pPr>
            <w:r>
              <w:rPr>
                <w:rFonts w:hint="eastAsia" w:ascii="宋体" w:hAnsi="宋体" w:cs="宋体"/>
                <w:color w:val="auto"/>
                <w:sz w:val="24"/>
                <w:highlight w:val="none"/>
                <w:lang w:val="zh-CN"/>
              </w:rPr>
              <w:t>制造商</w:t>
            </w:r>
          </w:p>
        </w:tc>
        <w:tc>
          <w:tcPr>
            <w:tcW w:w="1021" w:type="dxa"/>
            <w:vAlign w:val="center"/>
          </w:tcPr>
          <w:p>
            <w:pPr>
              <w:spacing w:line="360" w:lineRule="auto"/>
              <w:ind w:left="316"/>
              <w:rPr>
                <w:rFonts w:ascii="宋体" w:cs="宋体"/>
                <w:color w:val="auto"/>
                <w:sz w:val="24"/>
                <w:highlight w:val="none"/>
                <w:lang w:val="zh-CN"/>
              </w:rPr>
            </w:pPr>
            <w:r>
              <w:rPr>
                <w:rFonts w:hint="eastAsia" w:ascii="宋体" w:hAnsi="宋体" w:cs="宋体"/>
                <w:color w:val="auto"/>
                <w:sz w:val="24"/>
                <w:highlight w:val="none"/>
                <w:lang w:val="zh-CN"/>
              </w:rPr>
              <w:t>品牌</w:t>
            </w:r>
          </w:p>
        </w:tc>
        <w:tc>
          <w:tcPr>
            <w:tcW w:w="1349" w:type="dxa"/>
            <w:vAlign w:val="center"/>
          </w:tcPr>
          <w:p>
            <w:pPr>
              <w:spacing w:line="360" w:lineRule="auto"/>
              <w:ind w:left="152"/>
              <w:rPr>
                <w:rFonts w:ascii="宋体" w:cs="宋体"/>
                <w:color w:val="auto"/>
                <w:sz w:val="24"/>
                <w:highlight w:val="none"/>
                <w:lang w:val="zh-CN"/>
              </w:rPr>
            </w:pPr>
            <w:r>
              <w:rPr>
                <w:rFonts w:hint="eastAsia" w:ascii="宋体" w:hAnsi="宋体" w:cs="宋体"/>
                <w:color w:val="auto"/>
                <w:sz w:val="24"/>
                <w:highlight w:val="none"/>
                <w:lang w:val="zh-CN"/>
              </w:rPr>
              <w:t>规格型号</w:t>
            </w:r>
          </w:p>
        </w:tc>
        <w:tc>
          <w:tcPr>
            <w:tcW w:w="1510" w:type="dxa"/>
            <w:vAlign w:val="center"/>
          </w:tcPr>
          <w:p>
            <w:pPr>
              <w:spacing w:line="360" w:lineRule="auto"/>
              <w:ind w:left="106" w:right="-15"/>
              <w:jc w:val="center"/>
              <w:rPr>
                <w:rFonts w:ascii="宋体" w:cs="宋体"/>
                <w:color w:val="auto"/>
                <w:sz w:val="24"/>
                <w:highlight w:val="none"/>
                <w:lang w:val="zh-CN"/>
              </w:rPr>
            </w:pPr>
            <w:r>
              <w:rPr>
                <w:rFonts w:hint="eastAsia" w:ascii="宋体" w:hAnsi="宋体" w:cs="宋体"/>
                <w:color w:val="auto"/>
                <w:spacing w:val="-11"/>
                <w:sz w:val="24"/>
                <w:highlight w:val="none"/>
                <w:lang w:val="zh-CN"/>
              </w:rPr>
              <w:t>单价</w:t>
            </w:r>
          </w:p>
        </w:tc>
        <w:tc>
          <w:tcPr>
            <w:tcW w:w="772" w:type="dxa"/>
            <w:vAlign w:val="center"/>
          </w:tcPr>
          <w:p>
            <w:pPr>
              <w:spacing w:line="360" w:lineRule="auto"/>
              <w:jc w:val="center"/>
              <w:rPr>
                <w:rFonts w:ascii="宋体" w:cs="宋体"/>
                <w:color w:val="auto"/>
                <w:sz w:val="24"/>
                <w:highlight w:val="none"/>
                <w:lang w:val="zh-CN"/>
              </w:rPr>
            </w:pPr>
            <w:r>
              <w:rPr>
                <w:rFonts w:hint="eastAsia" w:ascii="宋体" w:hAnsi="宋体" w:cs="宋体"/>
                <w:color w:val="auto"/>
                <w:sz w:val="24"/>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1</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2</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3</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4</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833" w:type="dxa"/>
            <w:vAlign w:val="center"/>
          </w:tcPr>
          <w:p>
            <w:pPr>
              <w:spacing w:line="360" w:lineRule="auto"/>
              <w:ind w:left="9"/>
              <w:jc w:val="center"/>
              <w:rPr>
                <w:rFonts w:ascii="宋体" w:cs="宋体"/>
                <w:color w:val="auto"/>
                <w:sz w:val="24"/>
                <w:highlight w:val="none"/>
                <w:lang w:val="zh-CN"/>
              </w:rPr>
            </w:pPr>
            <w:r>
              <w:rPr>
                <w:rFonts w:ascii="宋体" w:hAnsi="宋体" w:cs="宋体"/>
                <w:color w:val="auto"/>
                <w:w w:val="99"/>
                <w:sz w:val="24"/>
                <w:highlight w:val="none"/>
                <w:lang w:val="zh-CN"/>
              </w:rPr>
              <w:t>5</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833" w:type="dxa"/>
            <w:vAlign w:val="center"/>
          </w:tcPr>
          <w:p>
            <w:pPr>
              <w:spacing w:line="360" w:lineRule="auto"/>
              <w:ind w:left="113" w:right="104"/>
              <w:jc w:val="center"/>
              <w:rPr>
                <w:rFonts w:ascii="宋体" w:cs="宋体"/>
                <w:color w:val="auto"/>
                <w:sz w:val="24"/>
                <w:highlight w:val="none"/>
              </w:rPr>
            </w:pPr>
            <w:r>
              <w:rPr>
                <w:rFonts w:hint="eastAsia" w:ascii="宋体" w:hAnsi="宋体" w:cs="宋体"/>
                <w:color w:val="auto"/>
                <w:w w:val="99"/>
                <w:sz w:val="24"/>
                <w:highlight w:val="none"/>
                <w:lang w:val="zh-CN"/>
              </w:rPr>
              <w:t>…</w:t>
            </w:r>
          </w:p>
        </w:tc>
        <w:tc>
          <w:tcPr>
            <w:tcW w:w="2590" w:type="dxa"/>
            <w:vAlign w:val="center"/>
          </w:tcPr>
          <w:p>
            <w:pPr>
              <w:spacing w:line="360" w:lineRule="auto"/>
              <w:ind w:left="106"/>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021" w:type="dxa"/>
            <w:vAlign w:val="center"/>
          </w:tcPr>
          <w:p>
            <w:pPr>
              <w:spacing w:line="360" w:lineRule="auto"/>
              <w:jc w:val="center"/>
              <w:rPr>
                <w:rFonts w:ascii="宋体" w:cs="宋体"/>
                <w:color w:val="auto"/>
                <w:sz w:val="24"/>
                <w:highlight w:val="none"/>
                <w:lang w:val="zh-CN"/>
              </w:rPr>
            </w:pPr>
          </w:p>
        </w:tc>
        <w:tc>
          <w:tcPr>
            <w:tcW w:w="1349" w:type="dxa"/>
            <w:vAlign w:val="center"/>
          </w:tcPr>
          <w:p>
            <w:pPr>
              <w:spacing w:line="360" w:lineRule="auto"/>
              <w:jc w:val="center"/>
              <w:rPr>
                <w:rFonts w:ascii="宋体" w:cs="宋体"/>
                <w:color w:val="auto"/>
                <w:sz w:val="24"/>
                <w:highlight w:val="none"/>
                <w:lang w:val="zh-CN"/>
              </w:rPr>
            </w:pPr>
          </w:p>
        </w:tc>
        <w:tc>
          <w:tcPr>
            <w:tcW w:w="1510" w:type="dxa"/>
            <w:vAlign w:val="center"/>
          </w:tcPr>
          <w:p>
            <w:pPr>
              <w:spacing w:line="360" w:lineRule="auto"/>
              <w:jc w:val="center"/>
              <w:rPr>
                <w:rFonts w:ascii="宋体" w:cs="宋体"/>
                <w:color w:val="auto"/>
                <w:sz w:val="24"/>
                <w:highlight w:val="none"/>
                <w:lang w:val="zh-CN"/>
              </w:rPr>
            </w:pPr>
          </w:p>
        </w:tc>
        <w:tc>
          <w:tcPr>
            <w:tcW w:w="772" w:type="dxa"/>
            <w:vAlign w:val="center"/>
          </w:tcPr>
          <w:p>
            <w:pPr>
              <w:spacing w:line="360" w:lineRule="auto"/>
              <w:jc w:val="center"/>
              <w:rPr>
                <w:rFonts w:ascii="宋体" w:cs="宋体"/>
                <w:color w:val="auto"/>
                <w:sz w:val="24"/>
                <w:highlight w:val="none"/>
                <w:lang w:val="zh-CN"/>
              </w:rPr>
            </w:pPr>
          </w:p>
        </w:tc>
      </w:tr>
    </w:tbl>
    <w:p>
      <w:pPr>
        <w:spacing w:line="360" w:lineRule="auto"/>
        <w:ind w:left="107"/>
        <w:jc w:val="left"/>
        <w:rPr>
          <w:rFonts w:ascii="宋体" w:cs="宋体"/>
          <w:bCs/>
          <w:color w:val="auto"/>
          <w:sz w:val="24"/>
          <w:highlight w:val="none"/>
          <w:lang w:val="zh-CN"/>
        </w:rPr>
      </w:pPr>
    </w:p>
    <w:p>
      <w:pPr>
        <w:spacing w:line="360" w:lineRule="auto"/>
        <w:ind w:left="107"/>
        <w:jc w:val="left"/>
        <w:rPr>
          <w:rFonts w:ascii="宋体" w:cs="宋体"/>
          <w:bCs/>
          <w:color w:val="auto"/>
          <w:sz w:val="24"/>
          <w:highlight w:val="none"/>
          <w:lang w:val="zh-CN"/>
        </w:rPr>
      </w:pPr>
      <w:r>
        <w:rPr>
          <w:rFonts w:hint="eastAsia" w:ascii="宋体" w:hAnsi="宋体" w:cs="宋体"/>
          <w:bCs/>
          <w:color w:val="auto"/>
          <w:sz w:val="24"/>
          <w:highlight w:val="none"/>
          <w:lang w:val="zh-CN"/>
        </w:rPr>
        <w:t>备注：</w:t>
      </w:r>
    </w:p>
    <w:p>
      <w:pPr>
        <w:spacing w:line="360" w:lineRule="auto"/>
        <w:ind w:firstLine="480" w:firstLineChars="200"/>
        <w:jc w:val="left"/>
        <w:rPr>
          <w:rFonts w:ascii="宋体" w:cs="宋体"/>
          <w:bCs/>
          <w:color w:val="auto"/>
          <w:sz w:val="24"/>
          <w:highlight w:val="none"/>
          <w:lang w:val="zh-CN"/>
        </w:rPr>
      </w:pPr>
      <w:r>
        <w:rPr>
          <w:rFonts w:ascii="宋体" w:hAnsi="宋体" w:cs="宋体"/>
          <w:bCs/>
          <w:color w:val="auto"/>
          <w:sz w:val="24"/>
          <w:highlight w:val="none"/>
        </w:rPr>
        <w:t>1.</w:t>
      </w:r>
      <w:r>
        <w:rPr>
          <w:rFonts w:hint="eastAsia" w:ascii="宋体" w:hAnsi="宋体" w:cs="宋体"/>
          <w:bCs/>
          <w:color w:val="auto"/>
          <w:sz w:val="24"/>
          <w:highlight w:val="none"/>
          <w:lang w:val="zh-CN"/>
        </w:rPr>
        <w:t>“规格型号”为必填项，如有空白、填写不全或未被查实的视为未报。</w:t>
      </w:r>
    </w:p>
    <w:p>
      <w:pPr>
        <w:spacing w:line="360" w:lineRule="auto"/>
        <w:ind w:firstLine="480" w:firstLineChars="200"/>
        <w:jc w:val="left"/>
        <w:rPr>
          <w:rFonts w:ascii="宋体" w:cs="宋体"/>
          <w:color w:val="auto"/>
          <w:sz w:val="24"/>
          <w:highlight w:val="none"/>
          <w:lang w:val="zh-CN"/>
        </w:rPr>
      </w:pPr>
      <w:r>
        <w:rPr>
          <w:rFonts w:ascii="宋体" w:hAnsi="宋体" w:cs="宋体"/>
          <w:bCs/>
          <w:color w:val="auto"/>
          <w:sz w:val="24"/>
          <w:highlight w:val="none"/>
        </w:rPr>
        <w:t>2.</w:t>
      </w:r>
      <w:r>
        <w:rPr>
          <w:rFonts w:hint="eastAsia" w:ascii="宋体" w:hAnsi="宋体" w:cs="宋体"/>
          <w:bCs/>
          <w:color w:val="auto"/>
          <w:sz w:val="24"/>
          <w:highlight w:val="none"/>
          <w:lang w:val="zh-CN"/>
        </w:rPr>
        <w:t>备品备件价格据实填</w:t>
      </w:r>
      <w:r>
        <w:rPr>
          <w:rFonts w:hint="eastAsia" w:ascii="宋体" w:hAnsi="宋体" w:cs="宋体"/>
          <w:color w:val="auto"/>
          <w:sz w:val="24"/>
          <w:highlight w:val="none"/>
          <w:lang w:val="zh-CN"/>
        </w:rPr>
        <w:t>写，采购人将根据所报价格，向中标供应商零星采购备品备件清单。</w:t>
      </w:r>
    </w:p>
    <w:p>
      <w:pPr>
        <w:spacing w:line="360" w:lineRule="auto"/>
        <w:ind w:firstLine="480" w:firstLineChars="200"/>
        <w:jc w:val="left"/>
        <w:rPr>
          <w:color w:val="auto"/>
          <w:sz w:val="24"/>
          <w:highlight w:val="none"/>
        </w:rPr>
      </w:pPr>
      <w:r>
        <w:rPr>
          <w:rFonts w:ascii="宋体" w:hAnsi="宋体" w:cs="宋体"/>
          <w:color w:val="auto"/>
          <w:sz w:val="24"/>
          <w:highlight w:val="none"/>
        </w:rPr>
        <w:t>3.</w:t>
      </w:r>
      <w:r>
        <w:rPr>
          <w:rFonts w:hint="eastAsia"/>
          <w:color w:val="auto"/>
          <w:sz w:val="24"/>
          <w:highlight w:val="none"/>
        </w:rPr>
        <w:t>所采购货物本身随同配备的备品备件及器材的价格已包含于合同总价，不再额外收取费用。</w:t>
      </w:r>
    </w:p>
    <w:p>
      <w:pPr>
        <w:spacing w:line="360" w:lineRule="auto"/>
        <w:ind w:firstLine="480" w:firstLineChars="200"/>
        <w:jc w:val="left"/>
        <w:rPr>
          <w:color w:val="auto"/>
          <w:highlight w:val="none"/>
          <w:lang w:val="zh-CN"/>
        </w:rPr>
      </w:pPr>
      <w:r>
        <w:rPr>
          <w:rFonts w:ascii="宋体" w:hAnsi="宋体" w:cs="宋体"/>
          <w:color w:val="auto"/>
          <w:sz w:val="24"/>
          <w:highlight w:val="none"/>
        </w:rPr>
        <w:t>4.</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需保证所能够提供使用的备品备件属于经过合法授权的，不存在侵权问题。</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根据所投标包实际情况，据实填写，可自行增加或删减。</w:t>
      </w:r>
    </w:p>
    <w:p>
      <w:pPr>
        <w:spacing w:before="54" w:line="360" w:lineRule="auto"/>
        <w:jc w:val="center"/>
        <w:outlineLvl w:val="1"/>
        <w:rPr>
          <w:b/>
          <w:color w:val="auto"/>
          <w:sz w:val="32"/>
          <w:highlight w:val="none"/>
        </w:rPr>
      </w:pPr>
      <w:r>
        <w:rPr>
          <w:b/>
          <w:color w:val="auto"/>
          <w:w w:val="95"/>
          <w:sz w:val="32"/>
          <w:highlight w:val="none"/>
        </w:rPr>
        <w:br w:type="page"/>
      </w:r>
      <w:bookmarkStart w:id="532" w:name="_Toc14810"/>
      <w:bookmarkStart w:id="533" w:name="_Toc26886"/>
      <w:bookmarkStart w:id="534" w:name="_Toc31940"/>
      <w:r>
        <w:rPr>
          <w:rFonts w:hint="eastAsia"/>
          <w:b/>
          <w:color w:val="auto"/>
          <w:w w:val="95"/>
          <w:sz w:val="32"/>
          <w:highlight w:val="none"/>
        </w:rPr>
        <w:t>六、</w:t>
      </w:r>
      <w:r>
        <w:rPr>
          <w:rFonts w:hint="eastAsia"/>
          <w:b/>
          <w:color w:val="auto"/>
          <w:sz w:val="32"/>
          <w:highlight w:val="none"/>
        </w:rPr>
        <w:t>业绩</w:t>
      </w:r>
      <w:bookmarkEnd w:id="532"/>
      <w:bookmarkEnd w:id="533"/>
      <w:bookmarkEnd w:id="534"/>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1209"/>
        <w:gridCol w:w="765"/>
        <w:gridCol w:w="1069"/>
        <w:gridCol w:w="1153"/>
        <w:gridCol w:w="988"/>
        <w:gridCol w:w="657"/>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95" w:type="pct"/>
          </w:tcPr>
          <w:p>
            <w:pPr>
              <w:pStyle w:val="27"/>
              <w:spacing w:line="360" w:lineRule="auto"/>
              <w:jc w:val="center"/>
              <w:rPr>
                <w:color w:val="auto"/>
                <w:highlight w:val="none"/>
              </w:rPr>
            </w:pPr>
          </w:p>
          <w:p>
            <w:pPr>
              <w:pStyle w:val="27"/>
              <w:spacing w:before="161" w:line="360" w:lineRule="auto"/>
              <w:ind w:right="132"/>
              <w:jc w:val="center"/>
              <w:rPr>
                <w:color w:val="auto"/>
                <w:highlight w:val="none"/>
              </w:rPr>
            </w:pPr>
            <w:r>
              <w:rPr>
                <w:rFonts w:hint="eastAsia"/>
                <w:color w:val="auto"/>
                <w:highlight w:val="none"/>
              </w:rPr>
              <w:t>序号</w:t>
            </w:r>
          </w:p>
        </w:tc>
        <w:tc>
          <w:tcPr>
            <w:tcW w:w="727" w:type="pct"/>
          </w:tcPr>
          <w:p>
            <w:pPr>
              <w:pStyle w:val="27"/>
              <w:spacing w:before="3" w:line="360" w:lineRule="auto"/>
              <w:jc w:val="center"/>
              <w:rPr>
                <w:color w:val="auto"/>
                <w:sz w:val="18"/>
                <w:highlight w:val="none"/>
              </w:rPr>
            </w:pPr>
          </w:p>
          <w:p>
            <w:pPr>
              <w:pStyle w:val="27"/>
              <w:spacing w:line="360" w:lineRule="auto"/>
              <w:ind w:left="138" w:right="128"/>
              <w:jc w:val="center"/>
              <w:rPr>
                <w:color w:val="auto"/>
                <w:spacing w:val="-2"/>
                <w:highlight w:val="none"/>
              </w:rPr>
            </w:pPr>
            <w:r>
              <w:rPr>
                <w:rFonts w:hint="eastAsia"/>
                <w:color w:val="auto"/>
                <w:spacing w:val="-2"/>
                <w:highlight w:val="none"/>
              </w:rPr>
              <w:t>用户单位</w:t>
            </w:r>
          </w:p>
          <w:p>
            <w:pPr>
              <w:pStyle w:val="27"/>
              <w:spacing w:line="360" w:lineRule="auto"/>
              <w:ind w:left="138" w:right="128"/>
              <w:jc w:val="center"/>
              <w:rPr>
                <w:color w:val="auto"/>
                <w:highlight w:val="none"/>
              </w:rPr>
            </w:pPr>
            <w:r>
              <w:rPr>
                <w:rFonts w:hint="eastAsia"/>
                <w:color w:val="auto"/>
                <w:spacing w:val="-2"/>
                <w:highlight w:val="none"/>
              </w:rPr>
              <w:t>名称</w:t>
            </w:r>
          </w:p>
        </w:tc>
        <w:tc>
          <w:tcPr>
            <w:tcW w:w="460" w:type="pct"/>
          </w:tcPr>
          <w:p>
            <w:pPr>
              <w:pStyle w:val="27"/>
              <w:spacing w:before="3" w:line="360" w:lineRule="auto"/>
              <w:jc w:val="center"/>
              <w:rPr>
                <w:color w:val="auto"/>
                <w:sz w:val="18"/>
                <w:highlight w:val="none"/>
              </w:rPr>
            </w:pPr>
          </w:p>
          <w:p>
            <w:pPr>
              <w:pStyle w:val="27"/>
              <w:spacing w:line="360" w:lineRule="auto"/>
              <w:ind w:left="152" w:right="140"/>
              <w:jc w:val="center"/>
              <w:rPr>
                <w:color w:val="auto"/>
                <w:highlight w:val="none"/>
              </w:rPr>
            </w:pPr>
            <w:r>
              <w:rPr>
                <w:rFonts w:hint="eastAsia"/>
                <w:color w:val="auto"/>
                <w:spacing w:val="-2"/>
                <w:highlight w:val="none"/>
              </w:rPr>
              <w:t>项目内容</w:t>
            </w:r>
          </w:p>
        </w:tc>
        <w:tc>
          <w:tcPr>
            <w:tcW w:w="643" w:type="pct"/>
          </w:tcPr>
          <w:p>
            <w:pPr>
              <w:pStyle w:val="27"/>
              <w:spacing w:line="360" w:lineRule="auto"/>
              <w:jc w:val="center"/>
              <w:rPr>
                <w:color w:val="auto"/>
                <w:highlight w:val="none"/>
              </w:rPr>
            </w:pPr>
          </w:p>
          <w:p>
            <w:pPr>
              <w:pStyle w:val="27"/>
              <w:spacing w:before="161" w:line="360" w:lineRule="auto"/>
              <w:ind w:left="147"/>
              <w:jc w:val="center"/>
              <w:rPr>
                <w:color w:val="auto"/>
                <w:highlight w:val="none"/>
              </w:rPr>
            </w:pPr>
            <w:r>
              <w:rPr>
                <w:rFonts w:hint="eastAsia"/>
                <w:color w:val="auto"/>
                <w:highlight w:val="none"/>
              </w:rPr>
              <w:t>实施地点</w:t>
            </w:r>
          </w:p>
        </w:tc>
        <w:tc>
          <w:tcPr>
            <w:tcW w:w="693" w:type="pct"/>
          </w:tcPr>
          <w:p>
            <w:pPr>
              <w:pStyle w:val="27"/>
              <w:spacing w:before="3" w:line="360" w:lineRule="auto"/>
              <w:jc w:val="center"/>
              <w:rPr>
                <w:color w:val="auto"/>
                <w:sz w:val="18"/>
                <w:highlight w:val="none"/>
              </w:rPr>
            </w:pPr>
          </w:p>
          <w:p>
            <w:pPr>
              <w:pStyle w:val="27"/>
              <w:spacing w:line="360" w:lineRule="auto"/>
              <w:ind w:left="136" w:right="128"/>
              <w:jc w:val="center"/>
              <w:rPr>
                <w:color w:val="auto"/>
                <w:spacing w:val="-1"/>
                <w:highlight w:val="none"/>
              </w:rPr>
            </w:pPr>
            <w:r>
              <w:rPr>
                <w:rFonts w:hint="eastAsia"/>
                <w:color w:val="auto"/>
                <w:spacing w:val="-1"/>
                <w:highlight w:val="none"/>
              </w:rPr>
              <w:t>用户联系人</w:t>
            </w:r>
          </w:p>
          <w:p>
            <w:pPr>
              <w:pStyle w:val="27"/>
              <w:spacing w:line="360" w:lineRule="auto"/>
              <w:ind w:left="136" w:right="128"/>
              <w:jc w:val="center"/>
              <w:rPr>
                <w:color w:val="auto"/>
                <w:highlight w:val="none"/>
              </w:rPr>
            </w:pPr>
            <w:r>
              <w:rPr>
                <w:rFonts w:hint="eastAsia"/>
                <w:color w:val="auto"/>
                <w:spacing w:val="-1"/>
                <w:highlight w:val="none"/>
              </w:rPr>
              <w:t>及联系方式</w:t>
            </w:r>
          </w:p>
        </w:tc>
        <w:tc>
          <w:tcPr>
            <w:tcW w:w="594" w:type="pct"/>
          </w:tcPr>
          <w:p>
            <w:pPr>
              <w:pStyle w:val="27"/>
              <w:spacing w:before="3" w:line="360" w:lineRule="auto"/>
              <w:jc w:val="center"/>
              <w:rPr>
                <w:color w:val="auto"/>
                <w:sz w:val="18"/>
                <w:highlight w:val="none"/>
              </w:rPr>
            </w:pPr>
          </w:p>
          <w:p>
            <w:pPr>
              <w:pStyle w:val="27"/>
              <w:spacing w:line="360" w:lineRule="auto"/>
              <w:ind w:left="214" w:right="204"/>
              <w:jc w:val="center"/>
              <w:rPr>
                <w:color w:val="auto"/>
                <w:highlight w:val="none"/>
              </w:rPr>
            </w:pPr>
            <w:r>
              <w:rPr>
                <w:rFonts w:hint="eastAsia"/>
                <w:color w:val="auto"/>
                <w:spacing w:val="-2"/>
                <w:highlight w:val="none"/>
              </w:rPr>
              <w:t>项目起止时间</w:t>
            </w:r>
          </w:p>
        </w:tc>
        <w:tc>
          <w:tcPr>
            <w:tcW w:w="395" w:type="pct"/>
          </w:tcPr>
          <w:p>
            <w:pPr>
              <w:pStyle w:val="27"/>
              <w:spacing w:before="3" w:line="360" w:lineRule="auto"/>
              <w:jc w:val="center"/>
              <w:rPr>
                <w:color w:val="auto"/>
                <w:sz w:val="18"/>
                <w:highlight w:val="none"/>
              </w:rPr>
            </w:pPr>
          </w:p>
          <w:p>
            <w:pPr>
              <w:pStyle w:val="27"/>
              <w:spacing w:line="360" w:lineRule="auto"/>
              <w:ind w:left="148" w:right="140"/>
              <w:jc w:val="center"/>
              <w:rPr>
                <w:color w:val="auto"/>
                <w:spacing w:val="-2"/>
                <w:highlight w:val="none"/>
              </w:rPr>
            </w:pPr>
            <w:r>
              <w:rPr>
                <w:rFonts w:hint="eastAsia"/>
                <w:color w:val="auto"/>
                <w:spacing w:val="-2"/>
                <w:highlight w:val="none"/>
              </w:rPr>
              <w:t>合同</w:t>
            </w:r>
          </w:p>
          <w:p>
            <w:pPr>
              <w:pStyle w:val="27"/>
              <w:spacing w:line="360" w:lineRule="auto"/>
              <w:ind w:left="148" w:right="140"/>
              <w:jc w:val="center"/>
              <w:rPr>
                <w:color w:val="auto"/>
                <w:highlight w:val="none"/>
              </w:rPr>
            </w:pPr>
            <w:r>
              <w:rPr>
                <w:rFonts w:hint="eastAsia"/>
                <w:color w:val="auto"/>
                <w:spacing w:val="-2"/>
                <w:highlight w:val="none"/>
              </w:rPr>
              <w:t>金额</w:t>
            </w:r>
          </w:p>
        </w:tc>
        <w:tc>
          <w:tcPr>
            <w:tcW w:w="1089" w:type="pct"/>
          </w:tcPr>
          <w:p>
            <w:pPr>
              <w:pStyle w:val="27"/>
              <w:spacing w:before="8" w:line="360" w:lineRule="auto"/>
              <w:ind w:left="838" w:right="110" w:hanging="720"/>
              <w:jc w:val="center"/>
              <w:rPr>
                <w:rFonts w:ascii="宋体" w:cs="宋体"/>
                <w:color w:val="auto"/>
                <w:highlight w:val="none"/>
              </w:rPr>
            </w:pPr>
          </w:p>
          <w:p>
            <w:pPr>
              <w:pStyle w:val="27"/>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1</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95" w:type="pct"/>
          </w:tcPr>
          <w:p>
            <w:pPr>
              <w:pStyle w:val="27"/>
              <w:spacing w:before="2" w:line="360" w:lineRule="auto"/>
              <w:ind w:left="9"/>
              <w:jc w:val="center"/>
              <w:rPr>
                <w:color w:val="auto"/>
                <w:highlight w:val="none"/>
              </w:rPr>
            </w:pPr>
            <w:r>
              <w:rPr>
                <w:color w:val="auto"/>
                <w:highlight w:val="none"/>
              </w:rPr>
              <w:t>2</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95" w:type="pct"/>
          </w:tcPr>
          <w:p>
            <w:pPr>
              <w:pStyle w:val="27"/>
              <w:spacing w:line="360" w:lineRule="auto"/>
              <w:ind w:left="9"/>
              <w:jc w:val="center"/>
              <w:rPr>
                <w:color w:val="auto"/>
                <w:highlight w:val="none"/>
              </w:rPr>
            </w:pPr>
            <w:r>
              <w:rPr>
                <w:color w:val="auto"/>
                <w:highlight w:val="none"/>
              </w:rPr>
              <w:t>3</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line="360" w:lineRule="auto"/>
              <w:ind w:left="9"/>
              <w:jc w:val="center"/>
              <w:rPr>
                <w:color w:val="auto"/>
                <w:highlight w:val="none"/>
              </w:rPr>
            </w:pPr>
            <w:r>
              <w:rPr>
                <w:color w:val="auto"/>
                <w:highlight w:val="none"/>
              </w:rPr>
              <w:t>4</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95" w:type="pct"/>
          </w:tcPr>
          <w:p>
            <w:pPr>
              <w:pStyle w:val="27"/>
              <w:spacing w:before="1" w:line="360" w:lineRule="auto"/>
              <w:ind w:left="9"/>
              <w:jc w:val="center"/>
              <w:rPr>
                <w:color w:val="auto"/>
                <w:highlight w:val="none"/>
              </w:rPr>
            </w:pPr>
            <w:r>
              <w:rPr>
                <w:color w:val="auto"/>
                <w:highlight w:val="none"/>
              </w:rPr>
              <w:t>5</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95" w:type="pct"/>
          </w:tcPr>
          <w:p>
            <w:pPr>
              <w:pStyle w:val="27"/>
              <w:spacing w:before="3" w:line="360" w:lineRule="auto"/>
              <w:ind w:right="192"/>
              <w:jc w:val="right"/>
              <w:rPr>
                <w:color w:val="auto"/>
                <w:highlight w:val="none"/>
              </w:rPr>
            </w:pPr>
            <w:r>
              <w:rPr>
                <w:color w:val="auto"/>
                <w:highlight w:val="none"/>
              </w:rPr>
              <w:t>...</w:t>
            </w:r>
          </w:p>
        </w:tc>
        <w:tc>
          <w:tcPr>
            <w:tcW w:w="727" w:type="pct"/>
          </w:tcPr>
          <w:p>
            <w:pPr>
              <w:pStyle w:val="27"/>
              <w:spacing w:line="360" w:lineRule="auto"/>
              <w:rPr>
                <w:color w:val="auto"/>
                <w:sz w:val="22"/>
                <w:highlight w:val="none"/>
              </w:rPr>
            </w:pPr>
          </w:p>
        </w:tc>
        <w:tc>
          <w:tcPr>
            <w:tcW w:w="460" w:type="pct"/>
          </w:tcPr>
          <w:p>
            <w:pPr>
              <w:pStyle w:val="27"/>
              <w:spacing w:line="360" w:lineRule="auto"/>
              <w:rPr>
                <w:color w:val="auto"/>
                <w:sz w:val="22"/>
                <w:highlight w:val="none"/>
              </w:rPr>
            </w:pPr>
          </w:p>
        </w:tc>
        <w:tc>
          <w:tcPr>
            <w:tcW w:w="643" w:type="pct"/>
          </w:tcPr>
          <w:p>
            <w:pPr>
              <w:pStyle w:val="27"/>
              <w:spacing w:line="360" w:lineRule="auto"/>
              <w:rPr>
                <w:color w:val="auto"/>
                <w:sz w:val="22"/>
                <w:highlight w:val="none"/>
              </w:rPr>
            </w:pPr>
          </w:p>
        </w:tc>
        <w:tc>
          <w:tcPr>
            <w:tcW w:w="693" w:type="pct"/>
          </w:tcPr>
          <w:p>
            <w:pPr>
              <w:pStyle w:val="27"/>
              <w:spacing w:line="360" w:lineRule="auto"/>
              <w:rPr>
                <w:color w:val="auto"/>
                <w:sz w:val="22"/>
                <w:highlight w:val="none"/>
              </w:rPr>
            </w:pPr>
          </w:p>
        </w:tc>
        <w:tc>
          <w:tcPr>
            <w:tcW w:w="594" w:type="pct"/>
          </w:tcPr>
          <w:p>
            <w:pPr>
              <w:pStyle w:val="27"/>
              <w:spacing w:line="360" w:lineRule="auto"/>
              <w:rPr>
                <w:color w:val="auto"/>
                <w:sz w:val="22"/>
                <w:highlight w:val="none"/>
              </w:rPr>
            </w:pPr>
          </w:p>
        </w:tc>
        <w:tc>
          <w:tcPr>
            <w:tcW w:w="395" w:type="pct"/>
          </w:tcPr>
          <w:p>
            <w:pPr>
              <w:pStyle w:val="27"/>
              <w:spacing w:line="360" w:lineRule="auto"/>
              <w:rPr>
                <w:color w:val="auto"/>
                <w:sz w:val="22"/>
                <w:highlight w:val="none"/>
              </w:rPr>
            </w:pPr>
          </w:p>
        </w:tc>
        <w:tc>
          <w:tcPr>
            <w:tcW w:w="1089" w:type="pct"/>
          </w:tcPr>
          <w:p>
            <w:pPr>
              <w:pStyle w:val="27"/>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jc w:val="center"/>
        <w:outlineLvl w:val="1"/>
        <w:rPr>
          <w:b/>
          <w:color w:val="auto"/>
          <w:sz w:val="32"/>
          <w:highlight w:val="none"/>
        </w:rPr>
      </w:pPr>
      <w:bookmarkStart w:id="535" w:name="七、售后服务及优惠条件"/>
      <w:bookmarkEnd w:id="535"/>
      <w:bookmarkStart w:id="536" w:name="_Toc26288"/>
      <w:bookmarkStart w:id="537" w:name="_Toc8374"/>
      <w:bookmarkStart w:id="538" w:name="_Toc24889"/>
      <w:bookmarkStart w:id="539" w:name="_Toc24222"/>
      <w:r>
        <w:rPr>
          <w:rFonts w:hint="eastAsia"/>
          <w:b/>
          <w:color w:val="auto"/>
          <w:sz w:val="32"/>
          <w:highlight w:val="none"/>
        </w:rPr>
        <w:t>七、实施方案</w:t>
      </w:r>
      <w:bookmarkEnd w:id="536"/>
      <w:bookmarkEnd w:id="537"/>
      <w:bookmarkEnd w:id="538"/>
      <w:bookmarkEnd w:id="539"/>
    </w:p>
    <w:p>
      <w:pPr>
        <w:jc w:val="center"/>
        <w:rPr>
          <w:color w:val="auto"/>
          <w:highlight w:val="none"/>
        </w:rPr>
      </w:pPr>
      <w:bookmarkStart w:id="540" w:name="_Toc24813"/>
      <w:bookmarkStart w:id="541" w:name="_Toc24558"/>
      <w:bookmarkStart w:id="542" w:name="_Toc16080"/>
      <w:bookmarkStart w:id="543" w:name="_Toc30429"/>
      <w:r>
        <w:rPr>
          <w:rFonts w:hint="eastAsia"/>
          <w:color w:val="auto"/>
          <w:highlight w:val="none"/>
        </w:rPr>
        <w:t>（格式自拟）</w:t>
      </w:r>
      <w:bookmarkEnd w:id="540"/>
      <w:bookmarkEnd w:id="541"/>
      <w:bookmarkEnd w:id="542"/>
      <w:bookmarkEnd w:id="543"/>
    </w:p>
    <w:p>
      <w:pPr>
        <w:pStyle w:val="20"/>
        <w:spacing w:line="360" w:lineRule="auto"/>
        <w:ind w:left="420" w:leftChars="200" w:firstLine="0"/>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pStyle w:val="20"/>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44" w:name="_Toc7491"/>
      <w:bookmarkStart w:id="545" w:name="_Toc25273"/>
      <w:bookmarkStart w:id="546" w:name="_Toc18939"/>
      <w:r>
        <w:rPr>
          <w:rFonts w:hint="eastAsia"/>
          <w:b/>
          <w:color w:val="auto"/>
          <w:sz w:val="32"/>
          <w:highlight w:val="none"/>
        </w:rPr>
        <w:t>八、履约能力</w:t>
      </w:r>
      <w:bookmarkEnd w:id="544"/>
      <w:bookmarkEnd w:id="545"/>
      <w:bookmarkEnd w:id="546"/>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47" w:name="_Toc21298"/>
      <w:bookmarkStart w:id="548" w:name="_Toc16342"/>
      <w:bookmarkStart w:id="549" w:name="_Toc11938"/>
      <w:r>
        <w:rPr>
          <w:rFonts w:hint="eastAsia"/>
          <w:b/>
          <w:color w:val="auto"/>
          <w:sz w:val="32"/>
          <w:highlight w:val="none"/>
        </w:rPr>
        <w:t>九、售后服务及培训方案</w:t>
      </w:r>
      <w:bookmarkEnd w:id="547"/>
      <w:bookmarkEnd w:id="548"/>
      <w:bookmarkEnd w:id="549"/>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0"/>
        <w:spacing w:line="360" w:lineRule="auto"/>
        <w:ind w:left="31680" w:right="31680"/>
        <w:rPr>
          <w:color w:val="auto"/>
          <w:highlight w:val="none"/>
        </w:rPr>
        <w:sectPr>
          <w:pgSz w:w="11910" w:h="16840"/>
          <w:pgMar w:top="1440" w:right="1803" w:bottom="1440" w:left="1803" w:header="882" w:footer="567" w:gutter="0"/>
          <w:pgBorders>
            <w:top w:val="none" w:sz="0" w:space="0"/>
            <w:left w:val="none" w:sz="0" w:space="0"/>
            <w:bottom w:val="none" w:sz="0" w:space="0"/>
            <w:right w:val="none" w:sz="0" w:space="0"/>
          </w:pgBorders>
          <w:pgNumType w:fmt="decimal"/>
          <w:cols w:space="720" w:num="1"/>
        </w:sectPr>
      </w:pPr>
    </w:p>
    <w:p>
      <w:pPr>
        <w:spacing w:before="54" w:line="360" w:lineRule="auto"/>
        <w:ind w:left="6"/>
        <w:jc w:val="center"/>
        <w:outlineLvl w:val="1"/>
        <w:rPr>
          <w:b/>
          <w:color w:val="auto"/>
          <w:sz w:val="32"/>
          <w:highlight w:val="none"/>
        </w:rPr>
      </w:pPr>
      <w:bookmarkStart w:id="550" w:name="_Toc27614"/>
      <w:bookmarkStart w:id="551" w:name="_Toc12316"/>
      <w:bookmarkStart w:id="552" w:name="_Toc29592"/>
      <w:r>
        <w:rPr>
          <w:rFonts w:hint="eastAsia"/>
          <w:b/>
          <w:color w:val="auto"/>
          <w:sz w:val="32"/>
          <w:highlight w:val="none"/>
        </w:rPr>
        <w:t>十、资格证明文件</w:t>
      </w:r>
      <w:bookmarkEnd w:id="550"/>
      <w:bookmarkEnd w:id="551"/>
      <w:bookmarkEnd w:id="552"/>
    </w:p>
    <w:p>
      <w:pPr>
        <w:spacing w:before="212" w:line="360" w:lineRule="auto"/>
        <w:ind w:left="628" w:right="408"/>
        <w:jc w:val="center"/>
        <w:rPr>
          <w:b/>
          <w:color w:val="auto"/>
          <w:w w:val="95"/>
          <w:sz w:val="32"/>
          <w:highlight w:val="none"/>
        </w:rPr>
      </w:pPr>
      <w:bookmarkStart w:id="553" w:name="（一）资格审查资料"/>
      <w:bookmarkEnd w:id="553"/>
      <w:bookmarkStart w:id="554" w:name="_Toc16240"/>
      <w:bookmarkStart w:id="555" w:name="_Toc12520"/>
      <w:bookmarkStart w:id="556" w:name="_Toc100065839"/>
      <w:bookmarkStart w:id="557" w:name="_Toc25140"/>
      <w:bookmarkStart w:id="558" w:name="_Toc3208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54"/>
      <w:bookmarkEnd w:id="555"/>
      <w:bookmarkEnd w:id="556"/>
      <w:bookmarkEnd w:id="557"/>
      <w:bookmarkEnd w:id="558"/>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873"/>
        <w:gridCol w:w="708"/>
        <w:gridCol w:w="818"/>
        <w:gridCol w:w="234"/>
        <w:gridCol w:w="166"/>
        <w:gridCol w:w="1027"/>
        <w:gridCol w:w="209"/>
        <w:gridCol w:w="583"/>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559" w:name="（二）供应商基本情况表"/>
      <w:bookmarkEnd w:id="5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p>
    <w:p>
      <w:pPr>
        <w:rPr>
          <w:rFonts w:hint="eastAsia" w:ascii="宋体" w:hAnsi="宋体" w:eastAsia="宋体" w:cs="宋体"/>
          <w:b/>
          <w:bCs/>
          <w:color w:val="auto"/>
          <w:sz w:val="28"/>
          <w:szCs w:val="28"/>
          <w:highlight w:val="none"/>
          <w:shd w:val="clear" w:color="FFFFFF" w:fill="auto"/>
          <w:lang w:eastAsia="zh-CN"/>
        </w:rPr>
      </w:pPr>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（投标人名称）</w:t>
      </w:r>
      <w:r>
        <w:rPr>
          <w:rFonts w:hint="eastAsia" w:ascii="宋体" w:hAnsi="宋体" w:eastAsia="宋体" w:cs="宋体"/>
          <w:color w:val="auto"/>
          <w:sz w:val="24"/>
          <w:szCs w:val="24"/>
          <w:highlight w:val="none"/>
          <w:lang w:eastAsia="zh-CN"/>
        </w:rPr>
        <w:t>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包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采购活动，现郑重承诺：</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szCs w:val="24"/>
          <w:highlight w:val="none"/>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2、参加本次政府采购活动前三年内在经营活动中没有重大违法记录。 </w:t>
      </w:r>
    </w:p>
    <w:p>
      <w:pPr>
        <w:pStyle w:val="20"/>
        <w:keepNext w:val="0"/>
        <w:keepLines w:val="0"/>
        <w:pageBreakBefore w:val="0"/>
        <w:widowControl w:val="0"/>
        <w:kinsoku/>
        <w:wordWrap/>
        <w:overflowPunct/>
        <w:topLinePunct w:val="0"/>
        <w:autoSpaceDE w:val="0"/>
        <w:autoSpaceDN w:val="0"/>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不存在“</w:t>
      </w:r>
      <w:r>
        <w:rPr>
          <w:rFonts w:hint="eastAsia" w:ascii="宋体" w:hAnsi="宋体" w:eastAsia="宋体" w:cs="宋体"/>
          <w:color w:val="auto"/>
          <w:sz w:val="24"/>
          <w:szCs w:val="24"/>
          <w:highlight w:val="none"/>
          <w:lang w:eastAsia="zh-CN"/>
        </w:rPr>
        <w:t>单位负责人为同一人或者存在直接控股、管理关系的不同供应商，</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eastAsia="zh-CN"/>
        </w:rPr>
        <w:t>参加同一合同项下的政府采购</w:t>
      </w:r>
      <w:r>
        <w:rPr>
          <w:rFonts w:hint="eastAsia" w:ascii="宋体" w:hAnsi="宋体" w:eastAsia="宋体" w:cs="宋体"/>
          <w:color w:val="auto"/>
          <w:sz w:val="24"/>
          <w:szCs w:val="24"/>
          <w:highlight w:val="none"/>
          <w:lang w:val="en-US" w:eastAsia="zh-CN"/>
        </w:rPr>
        <w:t>活动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的情形</w:t>
      </w:r>
      <w:r>
        <w:rPr>
          <w:rFonts w:hint="eastAsia" w:ascii="宋体" w:hAnsi="宋体" w:eastAsia="宋体" w:cs="宋体"/>
          <w:color w:val="auto"/>
          <w:sz w:val="24"/>
          <w:szCs w:val="24"/>
          <w:highlight w:val="none"/>
          <w:lang w:eastAsia="zh-CN"/>
        </w:rPr>
        <w:t xml:space="preserve">。 </w:t>
      </w:r>
    </w:p>
    <w:p>
      <w:pPr>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特此承诺。</w:t>
      </w:r>
    </w:p>
    <w:p>
      <w:pPr>
        <w:pStyle w:val="20"/>
        <w:spacing w:line="360" w:lineRule="auto"/>
        <w:rPr>
          <w:rFonts w:hint="eastAsia" w:hAnsi="宋体" w:eastAsia="宋体" w:cs="宋体"/>
          <w:color w:val="auto"/>
          <w:szCs w:val="22"/>
          <w:highlight w:val="none"/>
          <w:lang w:eastAsia="zh-CN"/>
        </w:rPr>
      </w:pPr>
    </w:p>
    <w:p>
      <w:pPr>
        <w:spacing w:line="360" w:lineRule="auto"/>
        <w:ind w:left="810" w:leftChars="386" w:right="598" w:rightChars="285" w:firstLine="960"/>
        <w:rPr>
          <w:color w:val="auto"/>
          <w:sz w:val="24"/>
          <w:szCs w:val="24"/>
          <w:highlight w:val="none"/>
          <w:lang w:eastAsia="zh-CN"/>
        </w:rPr>
      </w:pPr>
      <w:r>
        <w:rPr>
          <w:color w:val="auto"/>
          <w:sz w:val="24"/>
          <w:szCs w:val="24"/>
          <w:highlight w:val="none"/>
          <w:lang w:eastAsia="zh-CN"/>
        </w:rPr>
        <w:t>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rFonts w:hint="eastAsia" w:hAnsi="宋体" w:cs="宋体"/>
          <w:color w:val="auto"/>
          <w:highlight w:val="none"/>
          <w:lang w:eastAsia="zh-CN"/>
        </w:rPr>
      </w:pPr>
      <w:r>
        <w:rPr>
          <w:rFonts w:hint="eastAsia" w:hAnsi="宋体" w:cs="宋体"/>
          <w:color w:val="auto"/>
          <w:highlight w:val="none"/>
          <w:lang w:eastAsia="zh-CN"/>
        </w:rPr>
        <w:t xml:space="preserve">        </w:t>
      </w:r>
    </w:p>
    <w:p>
      <w:pPr>
        <w:pStyle w:val="7"/>
        <w:keepNext w:val="0"/>
        <w:keepLines w:val="0"/>
        <w:pageBreakBefore w:val="0"/>
        <w:widowControl w:val="0"/>
        <w:tabs>
          <w:tab w:val="left" w:pos="4715"/>
        </w:tabs>
        <w:kinsoku/>
        <w:wordWrap/>
        <w:overflowPunct/>
        <w:topLinePunct w:val="0"/>
        <w:autoSpaceDE w:val="0"/>
        <w:autoSpaceDN w:val="0"/>
        <w:bidi w:val="0"/>
        <w:adjustRightInd/>
        <w:spacing w:line="360" w:lineRule="auto"/>
        <w:ind w:left="635" w:right="464" w:rightChars="221"/>
        <w:jc w:val="right"/>
        <w:textAlignment w:val="auto"/>
        <w:rPr>
          <w:color w:val="auto"/>
          <w:highlight w:val="none"/>
          <w:lang w:eastAsia="zh-CN"/>
        </w:rPr>
      </w:pPr>
      <w:r>
        <w:rPr>
          <w:rFonts w:hint="eastAsia" w:hAnsi="宋体" w:cs="宋体"/>
          <w:color w:val="auto"/>
          <w:highlight w:val="none"/>
          <w:lang w:eastAsia="zh-CN"/>
        </w:rPr>
        <w:t xml:space="preserve"> 投标人：</w:t>
      </w:r>
      <w:r>
        <w:rPr>
          <w:rFonts w:hint="eastAsia" w:hAnsi="宋体" w:cs="宋体"/>
          <w:color w:val="auto"/>
          <w:highlight w:val="none"/>
          <w:u w:val="single"/>
          <w:lang w:eastAsia="zh-CN"/>
        </w:rPr>
        <w:t xml:space="preserve">                                </w:t>
      </w:r>
      <w:r>
        <w:rPr>
          <w:rFonts w:hint="eastAsia" w:hAnsi="宋体" w:cs="宋体"/>
          <w:color w:val="auto"/>
          <w:highlight w:val="none"/>
          <w:lang w:eastAsia="zh-CN"/>
        </w:rPr>
        <w:t>（电子签章）</w:t>
      </w:r>
    </w:p>
    <w:p>
      <w:pPr>
        <w:keepNext w:val="0"/>
        <w:keepLines w:val="0"/>
        <w:pageBreakBefore w:val="0"/>
        <w:widowControl w:val="0"/>
        <w:shd w:val="clear" w:color="FFFFFF" w:fill="auto"/>
        <w:kinsoku/>
        <w:wordWrap/>
        <w:overflowPunct/>
        <w:topLinePunct w:val="0"/>
        <w:autoSpaceDE w:val="0"/>
        <w:autoSpaceDN w:val="0"/>
        <w:bidi w:val="0"/>
        <w:adjustRightInd/>
        <w:snapToGrid w:val="0"/>
        <w:spacing w:line="360" w:lineRule="auto"/>
        <w:ind w:right="598" w:rightChars="285" w:firstLine="1440" w:firstLineChars="600"/>
        <w:jc w:val="both"/>
        <w:textAlignment w:val="auto"/>
        <w:rPr>
          <w:color w:val="auto"/>
          <w:sz w:val="24"/>
          <w:szCs w:val="24"/>
          <w:highlight w:val="none"/>
          <w:lang w:eastAsia="zh-CN"/>
        </w:rPr>
      </w:pPr>
      <w:r>
        <w:rPr>
          <w:rFonts w:hint="eastAsia"/>
          <w:color w:val="auto"/>
          <w:sz w:val="24"/>
          <w:szCs w:val="24"/>
          <w:highlight w:val="none"/>
          <w:lang w:eastAsia="zh-CN"/>
        </w:rPr>
        <w:t>法定代表人或委托代理人：</w:t>
      </w:r>
      <w:r>
        <w:rPr>
          <w:rFonts w:hint="eastAsia" w:hAnsi="宋体" w:cs="宋体"/>
          <w:color w:val="auto"/>
          <w:highlight w:val="none"/>
          <w:u w:val="single"/>
          <w:lang w:eastAsia="zh-CN"/>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lang w:eastAsia="zh-CN"/>
        </w:rPr>
        <w:t xml:space="preserve">   </w:t>
      </w:r>
      <w:r>
        <w:rPr>
          <w:rFonts w:hint="eastAsia"/>
          <w:color w:val="auto"/>
          <w:spacing w:val="-1"/>
          <w:sz w:val="24"/>
          <w:szCs w:val="24"/>
          <w:highlight w:val="none"/>
          <w:lang w:eastAsia="zh-CN"/>
        </w:rPr>
        <w:t>（电</w:t>
      </w:r>
      <w:r>
        <w:rPr>
          <w:rFonts w:hint="eastAsia"/>
          <w:color w:val="auto"/>
          <w:sz w:val="24"/>
          <w:szCs w:val="24"/>
          <w:highlight w:val="none"/>
          <w:lang w:eastAsia="zh-CN"/>
        </w:rPr>
        <w:t>子签章或签字）</w:t>
      </w:r>
    </w:p>
    <w:p>
      <w:pPr>
        <w:rPr>
          <w:color w:val="auto"/>
          <w:highlight w:val="none"/>
        </w:rPr>
      </w:pPr>
      <w:r>
        <w:rPr>
          <w:rFonts w:hint="eastAsia"/>
          <w:color w:val="auto"/>
          <w:sz w:val="24"/>
          <w:szCs w:val="24"/>
          <w:highlight w:val="none"/>
          <w:lang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lang w:eastAsia="zh-CN"/>
        </w:rPr>
        <w:t>日</w:t>
      </w:r>
      <w:r>
        <w:rPr>
          <w:color w:val="auto"/>
          <w:sz w:val="24"/>
          <w:szCs w:val="24"/>
          <w:highlight w:val="none"/>
          <w:lang w:eastAsia="zh-CN"/>
        </w:rPr>
        <w:tab/>
      </w:r>
      <w:r>
        <w:rPr>
          <w:rFonts w:hint="eastAsia"/>
          <w:color w:val="auto"/>
          <w:sz w:val="24"/>
          <w:szCs w:val="24"/>
          <w:highlight w:val="none"/>
          <w:lang w:eastAsia="zh-CN"/>
        </w:rPr>
        <w:t>期：</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年</w:t>
      </w:r>
      <w:r>
        <w:rPr>
          <w:color w:val="auto"/>
          <w:sz w:val="24"/>
          <w:szCs w:val="24"/>
          <w:highlight w:val="none"/>
          <w:lang w:eastAsia="zh-CN"/>
        </w:rPr>
        <w:tab/>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月</w:t>
      </w:r>
      <w:r>
        <w:rPr>
          <w:color w:val="auto"/>
          <w:sz w:val="24"/>
          <w:szCs w:val="24"/>
          <w:highlight w:val="none"/>
          <w:u w:val="single"/>
          <w:lang w:eastAsia="zh-CN"/>
        </w:rPr>
        <w:tab/>
      </w:r>
      <w:r>
        <w:rPr>
          <w:color w:val="auto"/>
          <w:sz w:val="24"/>
          <w:szCs w:val="24"/>
          <w:highlight w:val="none"/>
          <w:u w:val="single"/>
          <w:lang w:eastAsia="zh-CN"/>
        </w:rPr>
        <w:tab/>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0"/>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60" w:name="_Toc13247"/>
      <w:bookmarkStart w:id="561" w:name="_Toc16445"/>
      <w:bookmarkStart w:id="562" w:name="_Toc29503"/>
      <w:bookmarkStart w:id="563" w:name="_Toc1425"/>
      <w:bookmarkStart w:id="564" w:name="_Toc30714"/>
      <w:bookmarkStart w:id="565" w:name="_Toc9291"/>
      <w:bookmarkStart w:id="566" w:name="_Toc8965"/>
      <w:bookmarkStart w:id="567" w:name="_Toc17484"/>
      <w:r>
        <w:rPr>
          <w:rFonts w:hint="eastAsia"/>
          <w:b/>
          <w:color w:val="auto"/>
          <w:sz w:val="32"/>
          <w:highlight w:val="none"/>
        </w:rPr>
        <w:t>十一、</w:t>
      </w:r>
      <w:bookmarkEnd w:id="560"/>
      <w:bookmarkEnd w:id="561"/>
      <w:bookmarkEnd w:id="562"/>
      <w:r>
        <w:rPr>
          <w:rFonts w:hint="eastAsia"/>
          <w:b/>
          <w:color w:val="auto"/>
          <w:sz w:val="32"/>
          <w:highlight w:val="none"/>
        </w:rPr>
        <w:t>其他资料</w:t>
      </w:r>
      <w:bookmarkEnd w:id="563"/>
      <w:bookmarkEnd w:id="564"/>
      <w:bookmarkEnd w:id="565"/>
      <w:bookmarkEnd w:id="566"/>
      <w:bookmarkEnd w:id="567"/>
    </w:p>
    <w:p>
      <w:pPr>
        <w:pStyle w:val="4"/>
        <w:jc w:val="center"/>
        <w:rPr>
          <w:color w:val="auto"/>
          <w:highlight w:val="none"/>
        </w:rPr>
      </w:pPr>
      <w:bookmarkStart w:id="568" w:name="_Toc31476"/>
      <w:bookmarkStart w:id="569" w:name="_Toc20383"/>
      <w:bookmarkStart w:id="570" w:name="_Toc14926"/>
      <w:bookmarkStart w:id="571" w:name="_Toc4468"/>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68"/>
      <w:bookmarkEnd w:id="569"/>
      <w:bookmarkEnd w:id="570"/>
      <w:bookmarkEnd w:id="571"/>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ind w:firstLine="2640" w:firstLineChars="11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1920" w:firstLineChars="8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2400" w:firstLineChars="10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72" w:name="_Toc10731"/>
      <w:bookmarkStart w:id="573" w:name="_Toc13340"/>
      <w:bookmarkStart w:id="574" w:name="_Toc10490"/>
      <w:r>
        <w:rPr>
          <w:color w:val="auto"/>
          <w:highlight w:val="none"/>
        </w:rPr>
        <w:br w:type="page"/>
      </w:r>
      <w:bookmarkStart w:id="575" w:name="_Toc28969"/>
      <w:r>
        <w:rPr>
          <w:rFonts w:hint="eastAsia"/>
          <w:color w:val="auto"/>
          <w:highlight w:val="none"/>
        </w:rPr>
        <w:t>（二）反商业贿赂承诺书</w:t>
      </w:r>
      <w:bookmarkEnd w:id="572"/>
      <w:bookmarkEnd w:id="573"/>
      <w:bookmarkEnd w:id="574"/>
      <w:bookmarkEnd w:id="575"/>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1"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pStyle w:val="4"/>
        <w:numPr>
          <w:ilvl w:val="0"/>
          <w:numId w:val="14"/>
        </w:numPr>
        <w:ind w:left="3"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bookmarkStart w:id="576" w:name="_Toc7741"/>
      <w:bookmarkStart w:id="577" w:name="_Toc1453"/>
      <w:bookmarkStart w:id="578" w:name="_Toc6109"/>
      <w:r>
        <w:rPr>
          <w:rFonts w:ascii="宋体" w:cs="宋体"/>
          <w:color w:val="auto"/>
          <w:sz w:val="24"/>
          <w:highlight w:val="none"/>
        </w:rPr>
        <w:br w:type="page"/>
      </w:r>
      <w:r>
        <w:rPr>
          <w:rFonts w:hint="eastAsia" w:eastAsia="宋体"/>
          <w:color w:val="auto"/>
          <w:highlight w:val="none"/>
        </w:rPr>
        <w:t>合同主要条款内容</w:t>
      </w:r>
    </w:p>
    <w:p>
      <w:pPr>
        <w:rPr>
          <w:rFonts w:hint="eastAsia"/>
          <w:color w:val="auto"/>
          <w:highlight w:val="none"/>
          <w:lang w:eastAsia="zh-CN"/>
        </w:rPr>
      </w:pPr>
    </w:p>
    <w:p>
      <w:pPr>
        <w:rPr>
          <w:rFonts w:hint="eastAsia"/>
          <w:color w:val="auto"/>
          <w:highlight w:val="none"/>
          <w:lang w:eastAsia="zh-CN"/>
        </w:rPr>
      </w:pP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合同主要条款内容</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乙方开通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小时服务热线，提供</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小时技术服务。产品出现问题，故障响应时间为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，到达现场时间不超过</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小时无法排除故障，乙方应</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小时内提供同款设备供用户使用，直至送修设备修好后换回为止。</w:t>
      </w:r>
    </w:p>
    <w:p>
      <w:pPr>
        <w:pStyle w:val="18"/>
        <w:keepNext w:val="0"/>
        <w:keepLines w:val="0"/>
        <w:pageBreakBefore w:val="0"/>
        <w:widowControl w:val="0"/>
        <w:tabs>
          <w:tab w:val="left" w:pos="720"/>
        </w:tabs>
        <w:kinsoku/>
        <w:wordWrap w:val="0"/>
        <w:overflowPunct/>
        <w:topLinePunct w:val="0"/>
        <w:autoSpaceDE w:val="0"/>
        <w:autoSpaceDN w:val="0"/>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乙方应按照招标文件、投标文件及本合同的要求，对出售给甲方的货物进行有效跟踪服务，定期巡检，每年不少于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次。</w:t>
      </w:r>
    </w:p>
    <w:p>
      <w:pPr>
        <w:rPr>
          <w:rFonts w:hint="eastAsia"/>
          <w:color w:val="auto"/>
          <w:highlight w:val="none"/>
        </w:rPr>
      </w:pPr>
    </w:p>
    <w:p>
      <w:pPr>
        <w:spacing w:line="360" w:lineRule="auto"/>
        <w:jc w:val="righ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righ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jc w:val="right"/>
        <w:rPr>
          <w:color w:val="auto"/>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pPr>
        <w:rPr>
          <w:rFonts w:hint="eastAsia" w:eastAsia="宋体"/>
          <w:color w:val="auto"/>
          <w:highlight w:val="none"/>
        </w:rPr>
      </w:pPr>
    </w:p>
    <w:p>
      <w:pPr>
        <w:rPr>
          <w:rFonts w:hint="eastAsia" w:eastAsia="宋体"/>
          <w:color w:val="auto"/>
          <w:highlight w:val="none"/>
        </w:rPr>
      </w:pPr>
      <w:r>
        <w:rPr>
          <w:rFonts w:hint="eastAsia" w:eastAsia="宋体"/>
          <w:color w:val="auto"/>
          <w:highlight w:val="none"/>
        </w:rPr>
        <w:br w:type="page"/>
      </w:r>
    </w:p>
    <w:p>
      <w:pPr>
        <w:pStyle w:val="4"/>
        <w:jc w:val="center"/>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四</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认为需提供的其他材料</w:t>
      </w:r>
      <w:bookmarkEnd w:id="576"/>
      <w:bookmarkEnd w:id="577"/>
      <w:bookmarkEnd w:id="578"/>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lang w:val="en-US" w:eastAsia="zh-CN"/>
        </w:rPr>
        <w:t>1.</w:t>
      </w:r>
      <w:r>
        <w:rPr>
          <w:rFonts w:hint="eastAsia" w:ascii="宋体" w:cs="宋体"/>
          <w:color w:val="auto"/>
          <w:sz w:val="24"/>
          <w:szCs w:val="24"/>
          <w:highlight w:val="none"/>
        </w:rPr>
        <w:t>产品选型(整体设计)</w:t>
      </w: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p>
    <w:p>
      <w:pPr>
        <w:spacing w:line="360" w:lineRule="auto"/>
        <w:rPr>
          <w:rFonts w:hint="eastAsia" w:ascii="宋体" w:cs="宋体"/>
          <w:color w:val="auto"/>
          <w:sz w:val="24"/>
          <w:szCs w:val="24"/>
          <w:highlight w:val="none"/>
        </w:rPr>
      </w:pPr>
      <w:r>
        <w:rPr>
          <w:rFonts w:hint="eastAsia" w:ascii="宋体" w:cs="宋体"/>
          <w:color w:val="auto"/>
          <w:sz w:val="24"/>
          <w:szCs w:val="24"/>
          <w:highlight w:val="none"/>
        </w:rPr>
        <w:t>2.专业技术生产能力</w:t>
      </w: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ascii="宋体" w:cs="宋体"/>
          <w:b/>
          <w:color w:val="auto"/>
          <w:sz w:val="28"/>
          <w:szCs w:val="28"/>
          <w:highlight w:val="none"/>
        </w:rPr>
      </w:pPr>
      <w:r>
        <w:rPr>
          <w:rFonts w:hint="eastAsia" w:ascii="宋体" w:cs="宋体"/>
          <w:color w:val="auto"/>
          <w:sz w:val="24"/>
          <w:szCs w:val="24"/>
          <w:highlight w:val="none"/>
          <w:lang w:val="en-US" w:eastAsia="zh-CN"/>
        </w:rPr>
        <w:t>3.</w:t>
      </w:r>
      <w:r>
        <w:rPr>
          <w:rFonts w:hint="eastAsia" w:ascii="宋体" w:cs="宋体"/>
          <w:color w:val="auto"/>
          <w:sz w:val="24"/>
          <w:szCs w:val="24"/>
          <w:highlight w:val="none"/>
        </w:rPr>
        <w:t>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79" w:name="_Toc15503"/>
      <w:bookmarkStart w:id="580" w:name="_Toc26116"/>
      <w:bookmarkStart w:id="581" w:name="_Toc131"/>
      <w:r>
        <w:rPr>
          <w:rFonts w:hint="eastAsia" w:ascii="宋体" w:hAnsi="宋体" w:cs="宋体"/>
          <w:b/>
          <w:bCs/>
          <w:color w:val="auto"/>
          <w:kern w:val="0"/>
          <w:sz w:val="32"/>
          <w:szCs w:val="32"/>
          <w:highlight w:val="none"/>
        </w:rPr>
        <w:t>中小企业声明函（货物）</w:t>
      </w:r>
      <w:bookmarkEnd w:id="579"/>
      <w:bookmarkEnd w:id="580"/>
      <w:bookmarkEnd w:id="581"/>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1"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0"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spacing w:line="360" w:lineRule="auto"/>
        <w:ind w:firstLine="640" w:firstLineChars="200"/>
        <w:jc w:val="left"/>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pStyle w:val="13"/>
        <w:rPr>
          <w:rFonts w:ascii="宋体" w:cs="宋体"/>
          <w:color w:val="auto"/>
          <w:sz w:val="32"/>
          <w:szCs w:val="32"/>
          <w:highlight w:val="none"/>
        </w:rPr>
      </w:pPr>
    </w:p>
    <w:p>
      <w:pPr>
        <w:keepNext/>
        <w:keepLines/>
        <w:spacing w:line="360" w:lineRule="auto"/>
        <w:jc w:val="center"/>
        <w:outlineLvl w:val="2"/>
        <w:rPr>
          <w:rFonts w:ascii="宋体" w:cs="宋体"/>
          <w:b/>
          <w:bCs/>
          <w:color w:val="auto"/>
          <w:kern w:val="0"/>
          <w:sz w:val="32"/>
          <w:szCs w:val="32"/>
          <w:highlight w:val="none"/>
        </w:rPr>
      </w:pPr>
      <w:bookmarkStart w:id="582" w:name="_Toc27929"/>
      <w:bookmarkStart w:id="583" w:name="_Toc16860"/>
      <w:r>
        <w:rPr>
          <w:rFonts w:hint="eastAsia" w:ascii="宋体" w:hAnsi="宋体" w:cs="宋体"/>
          <w:b/>
          <w:bCs/>
          <w:color w:val="auto"/>
          <w:kern w:val="0"/>
          <w:sz w:val="32"/>
          <w:szCs w:val="32"/>
          <w:highlight w:val="none"/>
        </w:rPr>
        <w:t>监狱企业的证明文件</w:t>
      </w:r>
      <w:bookmarkEnd w:id="582"/>
      <w:bookmarkEnd w:id="583"/>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84" w:name="_Toc5950"/>
      <w:bookmarkStart w:id="585" w:name="_Toc5146"/>
      <w:r>
        <w:rPr>
          <w:rFonts w:hint="eastAsia" w:ascii="宋体" w:hAnsi="宋体" w:cs="宋体"/>
          <w:b/>
          <w:bCs/>
          <w:color w:val="auto"/>
          <w:kern w:val="0"/>
          <w:sz w:val="32"/>
          <w:szCs w:val="32"/>
          <w:highlight w:val="none"/>
        </w:rPr>
        <w:t>残疾人福利性单位声明函</w:t>
      </w:r>
      <w:bookmarkEnd w:id="584"/>
      <w:bookmarkEnd w:id="585"/>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0"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86" w:name="_Toc5378"/>
      <w:r>
        <w:rPr>
          <w:rFonts w:hint="eastAsia" w:ascii="宋体" w:hAnsi="宋体" w:cs="宋体"/>
          <w:b/>
          <w:bCs/>
          <w:color w:val="auto"/>
          <w:sz w:val="24"/>
          <w:szCs w:val="21"/>
          <w:highlight w:val="none"/>
        </w:rPr>
        <w:t>关于印发节能产品政府采购品目清单的通知</w:t>
      </w:r>
      <w:bookmarkEnd w:id="586"/>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0"/>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87" w:name="_Toc873"/>
      <w:r>
        <w:rPr>
          <w:rFonts w:hint="eastAsia" w:ascii="宋体" w:hAnsi="宋体" w:cs="宋体"/>
          <w:b/>
          <w:bCs/>
          <w:color w:val="auto"/>
          <w:sz w:val="24"/>
          <w:szCs w:val="21"/>
          <w:highlight w:val="none"/>
        </w:rPr>
        <w:t>节能产品政府采购品目清单</w:t>
      </w:r>
      <w:bookmarkEnd w:id="587"/>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5"/>
        <w:gridCol w:w="1824"/>
        <w:gridCol w:w="159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eastAsia="宋体" w:cs="宋体"/>
                <w:color w:val="auto"/>
                <w:kern w:val="0"/>
                <w:sz w:val="21"/>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w:t>
      </w:r>
      <w:r>
        <w:rPr>
          <w:rFonts w:hint="eastAsia" w:ascii="宋体" w:hAnsi="宋体" w:eastAsia="宋体" w:cs="宋体"/>
          <w:color w:val="auto"/>
          <w:kern w:val="0"/>
          <w:sz w:val="21"/>
          <w:szCs w:val="21"/>
          <w:highlight w:val="none"/>
        </w:rPr>
        <w:t>★</w:t>
      </w:r>
      <w:r>
        <w:rPr>
          <w:rFonts w:hint="eastAsia" w:ascii="宋体" w:hAnsi="宋体" w:cs="宋体"/>
          <w:color w:val="auto"/>
          <w:szCs w:val="21"/>
          <w:highlight w:val="none"/>
        </w:rPr>
        <w:t>”标注的为政府强制采购产品。</w:t>
      </w:r>
    </w:p>
    <w:p>
      <w:pPr>
        <w:pStyle w:val="13"/>
        <w:spacing w:line="360" w:lineRule="auto"/>
        <w:ind w:left="0" w:leftChars="0"/>
        <w:jc w:val="center"/>
        <w:outlineLvl w:val="2"/>
        <w:rPr>
          <w:color w:val="auto"/>
          <w:highlight w:val="none"/>
        </w:rPr>
      </w:pPr>
      <w:r>
        <w:rPr>
          <w:color w:val="auto"/>
          <w:highlight w:val="none"/>
        </w:rPr>
        <w:br w:type="page"/>
      </w:r>
      <w:bookmarkStart w:id="588" w:name="_Toc7371"/>
      <w:r>
        <w:rPr>
          <w:rStyle w:val="31"/>
          <w:rFonts w:hint="eastAsia"/>
          <w:color w:val="auto"/>
          <w:highlight w:val="none"/>
        </w:rPr>
        <w:t>关于印发环境标志产品政府采购品目清单的通知</w:t>
      </w:r>
      <w:bookmarkEnd w:id="588"/>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89" w:name="_Toc4050"/>
      <w:r>
        <w:rPr>
          <w:rFonts w:hint="eastAsia"/>
          <w:color w:val="auto"/>
          <w:highlight w:val="none"/>
        </w:rPr>
        <w:t>环境标志产品政府采购品目清单</w:t>
      </w:r>
      <w:bookmarkEnd w:id="589"/>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6"/>
        <w:gridCol w:w="2347"/>
        <w:gridCol w:w="1666"/>
        <w:gridCol w:w="2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7"/>
        <w:gridCol w:w="2543"/>
        <w:gridCol w:w="1802"/>
        <w:gridCol w:w="1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color w:val="auto"/>
          <w:highlight w:val="none"/>
        </w:rPr>
      </w:pPr>
    </w:p>
    <w:sectPr>
      <w:headerReference r:id="rId10" w:type="default"/>
      <w:pgSz w:w="11906" w:h="16838"/>
      <w:pgMar w:top="1440" w:right="1803" w:bottom="1440" w:left="1803" w:header="851" w:footer="964"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11"/>
        <w:left w:val="none" w:color="auto" w:sz="0" w:space="0"/>
        <w:bottom w:val="none" w:color="auto" w:sz="0" w:space="0"/>
        <w:right w:val="none" w:color="auto" w:sz="0" w:space="0"/>
        <w:between w:val="none" w:color="auto" w:sz="0" w:space="0"/>
      </w:pBdr>
      <w:ind w:right="359" w:rightChars="171" w:firstLine="270" w:firstLineChars="150"/>
      <w:jc w:val="right"/>
      <w:rPr>
        <w:sz w:val="2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68</w:t>
                    </w:r>
                    <w:r>
                      <w:fldChar w:fldCharType="end"/>
                    </w:r>
                  </w:p>
                </w:txbxContent>
              </v:textbox>
            </v:shape>
          </w:pict>
        </mc:Fallback>
      </mc:AlternateConten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74DC"/>
    <w:multiLevelType w:val="singleLevel"/>
    <w:tmpl w:val="80F774DC"/>
    <w:lvl w:ilvl="0" w:tentative="0">
      <w:start w:val="1"/>
      <w:numFmt w:val="decimal"/>
      <w:suff w:val="nothing"/>
      <w:lvlText w:val="%1、"/>
      <w:lvlJc w:val="left"/>
    </w:lvl>
  </w:abstractNum>
  <w:abstractNum w:abstractNumId="1">
    <w:nsid w:val="85AD1EC8"/>
    <w:multiLevelType w:val="singleLevel"/>
    <w:tmpl w:val="85AD1EC8"/>
    <w:lvl w:ilvl="0" w:tentative="0">
      <w:start w:val="1"/>
      <w:numFmt w:val="decimal"/>
      <w:suff w:val="nothing"/>
      <w:lvlText w:val="%1、"/>
      <w:lvlJc w:val="left"/>
    </w:lvl>
  </w:abstractNum>
  <w:abstractNum w:abstractNumId="2">
    <w:nsid w:val="872BBFAF"/>
    <w:multiLevelType w:val="singleLevel"/>
    <w:tmpl w:val="872BBFAF"/>
    <w:lvl w:ilvl="0" w:tentative="0">
      <w:start w:val="1"/>
      <w:numFmt w:val="decimal"/>
      <w:suff w:val="nothing"/>
      <w:lvlText w:val="%1、"/>
      <w:lvlJc w:val="left"/>
    </w:lvl>
  </w:abstractNum>
  <w:abstractNum w:abstractNumId="3">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4">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5">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6">
    <w:nsid w:val="D1A0E820"/>
    <w:multiLevelType w:val="singleLevel"/>
    <w:tmpl w:val="D1A0E820"/>
    <w:lvl w:ilvl="0" w:tentative="0">
      <w:start w:val="1"/>
      <w:numFmt w:val="decimal"/>
      <w:suff w:val="nothing"/>
      <w:lvlText w:val="%1、"/>
      <w:lvlJc w:val="left"/>
    </w:lvl>
  </w:abstractNum>
  <w:abstractNum w:abstractNumId="7">
    <w:nsid w:val="DB36F16C"/>
    <w:multiLevelType w:val="singleLevel"/>
    <w:tmpl w:val="DB36F16C"/>
    <w:lvl w:ilvl="0" w:tentative="0">
      <w:start w:val="5"/>
      <w:numFmt w:val="decimal"/>
      <w:suff w:val="nothing"/>
      <w:lvlText w:val="%1、"/>
      <w:lvlJc w:val="left"/>
    </w:lvl>
  </w:abstractNum>
  <w:abstractNum w:abstractNumId="8">
    <w:nsid w:val="FD7C45CA"/>
    <w:multiLevelType w:val="singleLevel"/>
    <w:tmpl w:val="FD7C45CA"/>
    <w:lvl w:ilvl="0" w:tentative="0">
      <w:start w:val="11"/>
      <w:numFmt w:val="decimal"/>
      <w:suff w:val="nothing"/>
      <w:lvlText w:val="%1、"/>
      <w:lvlJc w:val="left"/>
    </w:lvl>
  </w:abstractNum>
  <w:abstractNum w:abstractNumId="9">
    <w:nsid w:val="1068C811"/>
    <w:multiLevelType w:val="singleLevel"/>
    <w:tmpl w:val="1068C811"/>
    <w:lvl w:ilvl="0" w:tentative="0">
      <w:start w:val="1"/>
      <w:numFmt w:val="decimal"/>
      <w:suff w:val="space"/>
      <w:lvlText w:val="%1."/>
      <w:lvlJc w:val="left"/>
      <w:rPr>
        <w:rFonts w:cs="Times New Roman"/>
      </w:rPr>
    </w:lvl>
  </w:abstractNum>
  <w:abstractNum w:abstractNumId="10">
    <w:nsid w:val="2F542411"/>
    <w:multiLevelType w:val="singleLevel"/>
    <w:tmpl w:val="2F542411"/>
    <w:lvl w:ilvl="0" w:tentative="0">
      <w:start w:val="1"/>
      <w:numFmt w:val="upperLetter"/>
      <w:suff w:val="nothing"/>
      <w:lvlText w:val="%1、"/>
      <w:lvlJc w:val="left"/>
    </w:lvl>
  </w:abstractNum>
  <w:abstractNum w:abstractNumId="11">
    <w:nsid w:val="3486C138"/>
    <w:multiLevelType w:val="singleLevel"/>
    <w:tmpl w:val="3486C138"/>
    <w:lvl w:ilvl="0" w:tentative="0">
      <w:start w:val="1"/>
      <w:numFmt w:val="decimal"/>
      <w:suff w:val="nothing"/>
      <w:lvlText w:val="（%1）"/>
      <w:lvlJc w:val="left"/>
      <w:rPr>
        <w:rFonts w:cs="Times New Roman"/>
      </w:r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6"/>
  </w:num>
  <w:num w:numId="10">
    <w:abstractNumId w:val="2"/>
  </w:num>
  <w:num w:numId="11">
    <w:abstractNumId w:val="8"/>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1B223C"/>
    <w:rsid w:val="00237A6E"/>
    <w:rsid w:val="003550AC"/>
    <w:rsid w:val="00417EF4"/>
    <w:rsid w:val="00641FAE"/>
    <w:rsid w:val="0078143C"/>
    <w:rsid w:val="009C337D"/>
    <w:rsid w:val="00AA3CEC"/>
    <w:rsid w:val="00B22BA0"/>
    <w:rsid w:val="00F431B9"/>
    <w:rsid w:val="00F50CDF"/>
    <w:rsid w:val="010D7DD7"/>
    <w:rsid w:val="012375FA"/>
    <w:rsid w:val="015E6884"/>
    <w:rsid w:val="01B71398"/>
    <w:rsid w:val="01C64E69"/>
    <w:rsid w:val="01C761D7"/>
    <w:rsid w:val="01E90844"/>
    <w:rsid w:val="02075396"/>
    <w:rsid w:val="02160F0D"/>
    <w:rsid w:val="022A6766"/>
    <w:rsid w:val="024261A6"/>
    <w:rsid w:val="025103CB"/>
    <w:rsid w:val="02671768"/>
    <w:rsid w:val="02854DA6"/>
    <w:rsid w:val="02C10E79"/>
    <w:rsid w:val="02EE6F29"/>
    <w:rsid w:val="02F36145"/>
    <w:rsid w:val="02FA12FD"/>
    <w:rsid w:val="033B6E7D"/>
    <w:rsid w:val="033F6241"/>
    <w:rsid w:val="035F4B09"/>
    <w:rsid w:val="03600D99"/>
    <w:rsid w:val="03A7507A"/>
    <w:rsid w:val="03CA1FAF"/>
    <w:rsid w:val="03ED5FC9"/>
    <w:rsid w:val="0402799B"/>
    <w:rsid w:val="040F20B8"/>
    <w:rsid w:val="041B0A5C"/>
    <w:rsid w:val="041D42E4"/>
    <w:rsid w:val="04223B99"/>
    <w:rsid w:val="043F31AA"/>
    <w:rsid w:val="04657F2A"/>
    <w:rsid w:val="0482288A"/>
    <w:rsid w:val="0488132A"/>
    <w:rsid w:val="0490144A"/>
    <w:rsid w:val="051C2E67"/>
    <w:rsid w:val="05343A62"/>
    <w:rsid w:val="05544226"/>
    <w:rsid w:val="057846CC"/>
    <w:rsid w:val="057D0931"/>
    <w:rsid w:val="060F2843"/>
    <w:rsid w:val="06107CC7"/>
    <w:rsid w:val="063A5262"/>
    <w:rsid w:val="063B6813"/>
    <w:rsid w:val="064918B1"/>
    <w:rsid w:val="065B15E4"/>
    <w:rsid w:val="06736DB3"/>
    <w:rsid w:val="06897EFF"/>
    <w:rsid w:val="06913258"/>
    <w:rsid w:val="069841F4"/>
    <w:rsid w:val="069A3EBB"/>
    <w:rsid w:val="069C40D7"/>
    <w:rsid w:val="06B64A6C"/>
    <w:rsid w:val="06CF1455"/>
    <w:rsid w:val="06DF7DA1"/>
    <w:rsid w:val="06E710CA"/>
    <w:rsid w:val="06E90B86"/>
    <w:rsid w:val="06EB6E0C"/>
    <w:rsid w:val="06F537E7"/>
    <w:rsid w:val="06F53E3D"/>
    <w:rsid w:val="07351E35"/>
    <w:rsid w:val="07373DFF"/>
    <w:rsid w:val="074676D6"/>
    <w:rsid w:val="075E591E"/>
    <w:rsid w:val="07666493"/>
    <w:rsid w:val="076A2FDB"/>
    <w:rsid w:val="07750484"/>
    <w:rsid w:val="07761BD8"/>
    <w:rsid w:val="078132CC"/>
    <w:rsid w:val="079254DA"/>
    <w:rsid w:val="07DA01B9"/>
    <w:rsid w:val="07ED2710"/>
    <w:rsid w:val="08275C22"/>
    <w:rsid w:val="0858402D"/>
    <w:rsid w:val="085A0584"/>
    <w:rsid w:val="085F360E"/>
    <w:rsid w:val="088D424B"/>
    <w:rsid w:val="089F1C5C"/>
    <w:rsid w:val="08C276F9"/>
    <w:rsid w:val="08D00E36"/>
    <w:rsid w:val="090D50E8"/>
    <w:rsid w:val="0911242E"/>
    <w:rsid w:val="092C1016"/>
    <w:rsid w:val="09322E4D"/>
    <w:rsid w:val="095A5B83"/>
    <w:rsid w:val="099C718D"/>
    <w:rsid w:val="09AC5DD3"/>
    <w:rsid w:val="09C000DC"/>
    <w:rsid w:val="09C15C02"/>
    <w:rsid w:val="0A014251"/>
    <w:rsid w:val="0A0856C6"/>
    <w:rsid w:val="0A2A7C4B"/>
    <w:rsid w:val="0A6F3300"/>
    <w:rsid w:val="0A911A78"/>
    <w:rsid w:val="0A960E3D"/>
    <w:rsid w:val="0A9D666F"/>
    <w:rsid w:val="0AAA2B3A"/>
    <w:rsid w:val="0ACE430C"/>
    <w:rsid w:val="0AF81AF7"/>
    <w:rsid w:val="0AFD0EBC"/>
    <w:rsid w:val="0B16508E"/>
    <w:rsid w:val="0B3B3792"/>
    <w:rsid w:val="0B6121D2"/>
    <w:rsid w:val="0B705B32"/>
    <w:rsid w:val="0B9A44B2"/>
    <w:rsid w:val="0BB91287"/>
    <w:rsid w:val="0BC02051"/>
    <w:rsid w:val="0BC96FF0"/>
    <w:rsid w:val="0BD50F79"/>
    <w:rsid w:val="0BD63AB0"/>
    <w:rsid w:val="0BE36304"/>
    <w:rsid w:val="0C1069CD"/>
    <w:rsid w:val="0C372408"/>
    <w:rsid w:val="0C411576"/>
    <w:rsid w:val="0C607954"/>
    <w:rsid w:val="0CB346D1"/>
    <w:rsid w:val="0CC673BF"/>
    <w:rsid w:val="0CF34325"/>
    <w:rsid w:val="0CFA1B57"/>
    <w:rsid w:val="0D066349"/>
    <w:rsid w:val="0D0C3638"/>
    <w:rsid w:val="0D1D75F3"/>
    <w:rsid w:val="0D42705A"/>
    <w:rsid w:val="0D725B91"/>
    <w:rsid w:val="0D86163D"/>
    <w:rsid w:val="0D9C676A"/>
    <w:rsid w:val="0D9F5046"/>
    <w:rsid w:val="0DB112E7"/>
    <w:rsid w:val="0DDE4FD5"/>
    <w:rsid w:val="0E03420E"/>
    <w:rsid w:val="0E1E1875"/>
    <w:rsid w:val="0E567261"/>
    <w:rsid w:val="0E5A03D3"/>
    <w:rsid w:val="0E6F20D1"/>
    <w:rsid w:val="0E7E2314"/>
    <w:rsid w:val="0E7F6B23"/>
    <w:rsid w:val="0EA7186A"/>
    <w:rsid w:val="0EAE115F"/>
    <w:rsid w:val="0EBB0830"/>
    <w:rsid w:val="0F0F11BE"/>
    <w:rsid w:val="0F4731AF"/>
    <w:rsid w:val="0F5B4403"/>
    <w:rsid w:val="0F64150A"/>
    <w:rsid w:val="0F7647C4"/>
    <w:rsid w:val="0F9D4A1B"/>
    <w:rsid w:val="100B7BD7"/>
    <w:rsid w:val="10156493"/>
    <w:rsid w:val="103C2A4B"/>
    <w:rsid w:val="10675755"/>
    <w:rsid w:val="108D2CE2"/>
    <w:rsid w:val="10947BCD"/>
    <w:rsid w:val="109B20B7"/>
    <w:rsid w:val="10AB3168"/>
    <w:rsid w:val="10DC1574"/>
    <w:rsid w:val="10EA72E2"/>
    <w:rsid w:val="10F60887"/>
    <w:rsid w:val="111156C1"/>
    <w:rsid w:val="112F0B80"/>
    <w:rsid w:val="115C36A2"/>
    <w:rsid w:val="1178129C"/>
    <w:rsid w:val="119114EB"/>
    <w:rsid w:val="11C23123"/>
    <w:rsid w:val="11CE7EC5"/>
    <w:rsid w:val="11D02E86"/>
    <w:rsid w:val="11DD37F5"/>
    <w:rsid w:val="11F0177A"/>
    <w:rsid w:val="12011292"/>
    <w:rsid w:val="121723F3"/>
    <w:rsid w:val="123E49F3"/>
    <w:rsid w:val="124D2289"/>
    <w:rsid w:val="12635AA8"/>
    <w:rsid w:val="12647A72"/>
    <w:rsid w:val="12665599"/>
    <w:rsid w:val="12696E37"/>
    <w:rsid w:val="126B0E01"/>
    <w:rsid w:val="12955E7E"/>
    <w:rsid w:val="12FB2185"/>
    <w:rsid w:val="130D28F8"/>
    <w:rsid w:val="132A4818"/>
    <w:rsid w:val="132C6C0E"/>
    <w:rsid w:val="137D703E"/>
    <w:rsid w:val="138403CC"/>
    <w:rsid w:val="13BD7286"/>
    <w:rsid w:val="13C00A21"/>
    <w:rsid w:val="13D824C6"/>
    <w:rsid w:val="13DD5D2E"/>
    <w:rsid w:val="13F07810"/>
    <w:rsid w:val="141A7667"/>
    <w:rsid w:val="144B0B25"/>
    <w:rsid w:val="14534676"/>
    <w:rsid w:val="145F4995"/>
    <w:rsid w:val="146B50E8"/>
    <w:rsid w:val="14746827"/>
    <w:rsid w:val="148F527B"/>
    <w:rsid w:val="149E563B"/>
    <w:rsid w:val="14AB7BDB"/>
    <w:rsid w:val="14B7032D"/>
    <w:rsid w:val="14C76DBB"/>
    <w:rsid w:val="14DA34ED"/>
    <w:rsid w:val="14F72E20"/>
    <w:rsid w:val="150E00E1"/>
    <w:rsid w:val="151439D2"/>
    <w:rsid w:val="152715FF"/>
    <w:rsid w:val="153B4ABB"/>
    <w:rsid w:val="15634011"/>
    <w:rsid w:val="15891CCA"/>
    <w:rsid w:val="15962639"/>
    <w:rsid w:val="15B36528"/>
    <w:rsid w:val="15D37529"/>
    <w:rsid w:val="15DD3DC4"/>
    <w:rsid w:val="15F5110D"/>
    <w:rsid w:val="15FF1F8C"/>
    <w:rsid w:val="16007AB2"/>
    <w:rsid w:val="16027CCE"/>
    <w:rsid w:val="16116348"/>
    <w:rsid w:val="16304602"/>
    <w:rsid w:val="16382C98"/>
    <w:rsid w:val="164717FA"/>
    <w:rsid w:val="167669E7"/>
    <w:rsid w:val="167748C5"/>
    <w:rsid w:val="169365A0"/>
    <w:rsid w:val="16BF171B"/>
    <w:rsid w:val="16D52CED"/>
    <w:rsid w:val="16E64EFA"/>
    <w:rsid w:val="16F94C2D"/>
    <w:rsid w:val="17033CFE"/>
    <w:rsid w:val="17084E70"/>
    <w:rsid w:val="172300A2"/>
    <w:rsid w:val="17342109"/>
    <w:rsid w:val="174F0CF1"/>
    <w:rsid w:val="17710C68"/>
    <w:rsid w:val="17A76437"/>
    <w:rsid w:val="17CB4B30"/>
    <w:rsid w:val="17D905BB"/>
    <w:rsid w:val="17E51656"/>
    <w:rsid w:val="17F94E68"/>
    <w:rsid w:val="18814EDA"/>
    <w:rsid w:val="18891FE1"/>
    <w:rsid w:val="1896721E"/>
    <w:rsid w:val="189B47D1"/>
    <w:rsid w:val="18B64865"/>
    <w:rsid w:val="18C82B09"/>
    <w:rsid w:val="18ED3323"/>
    <w:rsid w:val="19131002"/>
    <w:rsid w:val="19306900"/>
    <w:rsid w:val="19547064"/>
    <w:rsid w:val="19575C3B"/>
    <w:rsid w:val="1962557A"/>
    <w:rsid w:val="19635C84"/>
    <w:rsid w:val="196F11D7"/>
    <w:rsid w:val="19744A3F"/>
    <w:rsid w:val="197D694C"/>
    <w:rsid w:val="197E066E"/>
    <w:rsid w:val="198742F4"/>
    <w:rsid w:val="198A7DBF"/>
    <w:rsid w:val="198C600F"/>
    <w:rsid w:val="19960E59"/>
    <w:rsid w:val="199E1ABC"/>
    <w:rsid w:val="19C95FDB"/>
    <w:rsid w:val="19E25E4D"/>
    <w:rsid w:val="19EB628B"/>
    <w:rsid w:val="1A0E09F0"/>
    <w:rsid w:val="1A1400CE"/>
    <w:rsid w:val="1A193636"/>
    <w:rsid w:val="1A590423"/>
    <w:rsid w:val="1A6320AD"/>
    <w:rsid w:val="1A6920CA"/>
    <w:rsid w:val="1A7D2F5A"/>
    <w:rsid w:val="1A815B98"/>
    <w:rsid w:val="1AB217D3"/>
    <w:rsid w:val="1AC13CB4"/>
    <w:rsid w:val="1AD27C6F"/>
    <w:rsid w:val="1AD5150D"/>
    <w:rsid w:val="1AF5570C"/>
    <w:rsid w:val="1AF75928"/>
    <w:rsid w:val="1AFF47DC"/>
    <w:rsid w:val="1B010952"/>
    <w:rsid w:val="1B0E2C71"/>
    <w:rsid w:val="1B122762"/>
    <w:rsid w:val="1B440441"/>
    <w:rsid w:val="1B45234C"/>
    <w:rsid w:val="1B701236"/>
    <w:rsid w:val="1B740D26"/>
    <w:rsid w:val="1B7900EB"/>
    <w:rsid w:val="1BA333BA"/>
    <w:rsid w:val="1BCC1517"/>
    <w:rsid w:val="1BD512CB"/>
    <w:rsid w:val="1BE147BB"/>
    <w:rsid w:val="1BED0AD9"/>
    <w:rsid w:val="1BF81957"/>
    <w:rsid w:val="1BFE618F"/>
    <w:rsid w:val="1C071B9A"/>
    <w:rsid w:val="1C146065"/>
    <w:rsid w:val="1C177904"/>
    <w:rsid w:val="1C41355E"/>
    <w:rsid w:val="1C5B3C94"/>
    <w:rsid w:val="1C6B037B"/>
    <w:rsid w:val="1CBA6C0D"/>
    <w:rsid w:val="1CBB2985"/>
    <w:rsid w:val="1CBD494F"/>
    <w:rsid w:val="1CC63804"/>
    <w:rsid w:val="1CCE4466"/>
    <w:rsid w:val="1CE17808"/>
    <w:rsid w:val="1CFB015B"/>
    <w:rsid w:val="1D0337E5"/>
    <w:rsid w:val="1D0D31E0"/>
    <w:rsid w:val="1D3A1AFC"/>
    <w:rsid w:val="1D424635"/>
    <w:rsid w:val="1DB91C7D"/>
    <w:rsid w:val="1DC53ABB"/>
    <w:rsid w:val="1DDB48FA"/>
    <w:rsid w:val="1DE33F41"/>
    <w:rsid w:val="1DF12B02"/>
    <w:rsid w:val="1E036392"/>
    <w:rsid w:val="1E0F36AA"/>
    <w:rsid w:val="1E4470D6"/>
    <w:rsid w:val="1E7159F1"/>
    <w:rsid w:val="1E764DB5"/>
    <w:rsid w:val="1E7933B9"/>
    <w:rsid w:val="1E870D71"/>
    <w:rsid w:val="1EBC3110"/>
    <w:rsid w:val="1EC5130A"/>
    <w:rsid w:val="1EC73863"/>
    <w:rsid w:val="1EE1313C"/>
    <w:rsid w:val="1EF70D44"/>
    <w:rsid w:val="1F152820"/>
    <w:rsid w:val="1F374545"/>
    <w:rsid w:val="1F43738D"/>
    <w:rsid w:val="1F533349"/>
    <w:rsid w:val="1FAC1675"/>
    <w:rsid w:val="1FC20797"/>
    <w:rsid w:val="1FC55FF4"/>
    <w:rsid w:val="1FCF6E73"/>
    <w:rsid w:val="1FF51574"/>
    <w:rsid w:val="1FFC753C"/>
    <w:rsid w:val="20016901"/>
    <w:rsid w:val="20037464"/>
    <w:rsid w:val="203C0598"/>
    <w:rsid w:val="20407429"/>
    <w:rsid w:val="207672EF"/>
    <w:rsid w:val="207E43F5"/>
    <w:rsid w:val="20931C4F"/>
    <w:rsid w:val="21611D4D"/>
    <w:rsid w:val="21621621"/>
    <w:rsid w:val="219A525F"/>
    <w:rsid w:val="21A77AE0"/>
    <w:rsid w:val="21B07443"/>
    <w:rsid w:val="22141307"/>
    <w:rsid w:val="225F78FB"/>
    <w:rsid w:val="22765384"/>
    <w:rsid w:val="22BA2C18"/>
    <w:rsid w:val="22D20CB4"/>
    <w:rsid w:val="22D70080"/>
    <w:rsid w:val="22E5250A"/>
    <w:rsid w:val="23057216"/>
    <w:rsid w:val="23142EF2"/>
    <w:rsid w:val="23360FB7"/>
    <w:rsid w:val="23492A98"/>
    <w:rsid w:val="23503E27"/>
    <w:rsid w:val="23694EE9"/>
    <w:rsid w:val="23922691"/>
    <w:rsid w:val="23C50720"/>
    <w:rsid w:val="23C640E9"/>
    <w:rsid w:val="23EE53EE"/>
    <w:rsid w:val="23F52C20"/>
    <w:rsid w:val="23F85E37"/>
    <w:rsid w:val="24335F37"/>
    <w:rsid w:val="246A716A"/>
    <w:rsid w:val="247509BC"/>
    <w:rsid w:val="248A0C32"/>
    <w:rsid w:val="249917FE"/>
    <w:rsid w:val="24BC729A"/>
    <w:rsid w:val="24BE1264"/>
    <w:rsid w:val="24CA7C09"/>
    <w:rsid w:val="24E707BB"/>
    <w:rsid w:val="24F46A34"/>
    <w:rsid w:val="250F4166"/>
    <w:rsid w:val="254F10C5"/>
    <w:rsid w:val="255676EF"/>
    <w:rsid w:val="259D531E"/>
    <w:rsid w:val="25CD0B0A"/>
    <w:rsid w:val="25E1520A"/>
    <w:rsid w:val="25FD5DBC"/>
    <w:rsid w:val="260F65E4"/>
    <w:rsid w:val="2628235B"/>
    <w:rsid w:val="262D68AA"/>
    <w:rsid w:val="265C0D35"/>
    <w:rsid w:val="26667E05"/>
    <w:rsid w:val="26946721"/>
    <w:rsid w:val="26B305BE"/>
    <w:rsid w:val="26D829E9"/>
    <w:rsid w:val="26DE5BEE"/>
    <w:rsid w:val="26E57ABA"/>
    <w:rsid w:val="26FC6074"/>
    <w:rsid w:val="27091470"/>
    <w:rsid w:val="272950BB"/>
    <w:rsid w:val="273B094A"/>
    <w:rsid w:val="274A5031"/>
    <w:rsid w:val="276E51C4"/>
    <w:rsid w:val="27764F99"/>
    <w:rsid w:val="27816AAD"/>
    <w:rsid w:val="27965F66"/>
    <w:rsid w:val="27A84A9C"/>
    <w:rsid w:val="27B01338"/>
    <w:rsid w:val="27B27801"/>
    <w:rsid w:val="27D24A23"/>
    <w:rsid w:val="27E50C16"/>
    <w:rsid w:val="27FD02F5"/>
    <w:rsid w:val="280678EA"/>
    <w:rsid w:val="28133675"/>
    <w:rsid w:val="282E04AF"/>
    <w:rsid w:val="2835183D"/>
    <w:rsid w:val="28377363"/>
    <w:rsid w:val="285C501C"/>
    <w:rsid w:val="289724F8"/>
    <w:rsid w:val="28984501"/>
    <w:rsid w:val="28A013AD"/>
    <w:rsid w:val="28A15125"/>
    <w:rsid w:val="28E84D68"/>
    <w:rsid w:val="28EF7CD3"/>
    <w:rsid w:val="29051210"/>
    <w:rsid w:val="294855A0"/>
    <w:rsid w:val="296315D6"/>
    <w:rsid w:val="29653E68"/>
    <w:rsid w:val="2976035F"/>
    <w:rsid w:val="29826D04"/>
    <w:rsid w:val="299D756B"/>
    <w:rsid w:val="29C349B7"/>
    <w:rsid w:val="29C70BBB"/>
    <w:rsid w:val="29C72969"/>
    <w:rsid w:val="2A000BE0"/>
    <w:rsid w:val="2A24600D"/>
    <w:rsid w:val="2A3B4E26"/>
    <w:rsid w:val="2A4D31D6"/>
    <w:rsid w:val="2A510485"/>
    <w:rsid w:val="2A5F5127"/>
    <w:rsid w:val="2A66495F"/>
    <w:rsid w:val="2A7B76E8"/>
    <w:rsid w:val="2A9C3DF6"/>
    <w:rsid w:val="2AB06457"/>
    <w:rsid w:val="2AE337D3"/>
    <w:rsid w:val="2B067A32"/>
    <w:rsid w:val="2B4E44EE"/>
    <w:rsid w:val="2B551AD6"/>
    <w:rsid w:val="2B634913"/>
    <w:rsid w:val="2B6761B2"/>
    <w:rsid w:val="2BA32F62"/>
    <w:rsid w:val="2BA57BA0"/>
    <w:rsid w:val="2BAA609E"/>
    <w:rsid w:val="2BAF7B59"/>
    <w:rsid w:val="2BC2163A"/>
    <w:rsid w:val="2BD001FB"/>
    <w:rsid w:val="2BD12CFE"/>
    <w:rsid w:val="2BD355F5"/>
    <w:rsid w:val="2C091017"/>
    <w:rsid w:val="2C183950"/>
    <w:rsid w:val="2C2422F5"/>
    <w:rsid w:val="2C2965E5"/>
    <w:rsid w:val="2C385DA0"/>
    <w:rsid w:val="2C394CE1"/>
    <w:rsid w:val="2C4B7881"/>
    <w:rsid w:val="2C6721E1"/>
    <w:rsid w:val="2C956D4E"/>
    <w:rsid w:val="2CC87124"/>
    <w:rsid w:val="2CF77A09"/>
    <w:rsid w:val="2CF81446"/>
    <w:rsid w:val="2D030F68"/>
    <w:rsid w:val="2D122982"/>
    <w:rsid w:val="2D8079FF"/>
    <w:rsid w:val="2DA07759"/>
    <w:rsid w:val="2DAF7176"/>
    <w:rsid w:val="2DD12008"/>
    <w:rsid w:val="2DDB2E87"/>
    <w:rsid w:val="2DDC57AF"/>
    <w:rsid w:val="2DF06932"/>
    <w:rsid w:val="2E291043"/>
    <w:rsid w:val="2E4A4A48"/>
    <w:rsid w:val="2E7A26A0"/>
    <w:rsid w:val="2E976DAE"/>
    <w:rsid w:val="2EA339A5"/>
    <w:rsid w:val="2EC27BA3"/>
    <w:rsid w:val="2EC97183"/>
    <w:rsid w:val="2EEE5640"/>
    <w:rsid w:val="2EFF376B"/>
    <w:rsid w:val="2F166DB0"/>
    <w:rsid w:val="2F324D29"/>
    <w:rsid w:val="2F407445"/>
    <w:rsid w:val="2F540DBC"/>
    <w:rsid w:val="2F8D1F5F"/>
    <w:rsid w:val="2F915C86"/>
    <w:rsid w:val="2FC35981"/>
    <w:rsid w:val="2FC5794B"/>
    <w:rsid w:val="2FF131D4"/>
    <w:rsid w:val="2FF7387C"/>
    <w:rsid w:val="2FF81704"/>
    <w:rsid w:val="300C557A"/>
    <w:rsid w:val="30393E95"/>
    <w:rsid w:val="304E7940"/>
    <w:rsid w:val="30B11C7D"/>
    <w:rsid w:val="30FA7AC8"/>
    <w:rsid w:val="310149B3"/>
    <w:rsid w:val="31105529"/>
    <w:rsid w:val="311F12DD"/>
    <w:rsid w:val="313308E4"/>
    <w:rsid w:val="315C608D"/>
    <w:rsid w:val="318B6972"/>
    <w:rsid w:val="31BB4B77"/>
    <w:rsid w:val="31C003CA"/>
    <w:rsid w:val="31D2634F"/>
    <w:rsid w:val="31FC33CC"/>
    <w:rsid w:val="321D3A6E"/>
    <w:rsid w:val="321E0D93"/>
    <w:rsid w:val="321E77E6"/>
    <w:rsid w:val="3227669B"/>
    <w:rsid w:val="322A5FA3"/>
    <w:rsid w:val="322F2A2C"/>
    <w:rsid w:val="32335040"/>
    <w:rsid w:val="3239017C"/>
    <w:rsid w:val="32610E20"/>
    <w:rsid w:val="328622EF"/>
    <w:rsid w:val="329A481E"/>
    <w:rsid w:val="32A74A1C"/>
    <w:rsid w:val="33010C9A"/>
    <w:rsid w:val="330255A7"/>
    <w:rsid w:val="33517D85"/>
    <w:rsid w:val="33525999"/>
    <w:rsid w:val="335D7E9A"/>
    <w:rsid w:val="336F6858"/>
    <w:rsid w:val="337B2837"/>
    <w:rsid w:val="337D5E54"/>
    <w:rsid w:val="339E5B16"/>
    <w:rsid w:val="33AA1331"/>
    <w:rsid w:val="33B65F28"/>
    <w:rsid w:val="33BB6DF6"/>
    <w:rsid w:val="33F7209D"/>
    <w:rsid w:val="33FF78B0"/>
    <w:rsid w:val="3417273F"/>
    <w:rsid w:val="341B3FDD"/>
    <w:rsid w:val="342F7A89"/>
    <w:rsid w:val="34337579"/>
    <w:rsid w:val="343706EB"/>
    <w:rsid w:val="344A2B14"/>
    <w:rsid w:val="34684A32"/>
    <w:rsid w:val="34B61F58"/>
    <w:rsid w:val="34BE15C4"/>
    <w:rsid w:val="34DD5737"/>
    <w:rsid w:val="34ED71D7"/>
    <w:rsid w:val="34FB5BBD"/>
    <w:rsid w:val="35124730"/>
    <w:rsid w:val="3521598C"/>
    <w:rsid w:val="35303AB8"/>
    <w:rsid w:val="35425726"/>
    <w:rsid w:val="354C1812"/>
    <w:rsid w:val="35582BB7"/>
    <w:rsid w:val="35610116"/>
    <w:rsid w:val="356279EA"/>
    <w:rsid w:val="3579545F"/>
    <w:rsid w:val="359E6F87"/>
    <w:rsid w:val="35C83CF1"/>
    <w:rsid w:val="35CF32D1"/>
    <w:rsid w:val="35ED19A9"/>
    <w:rsid w:val="36140CE4"/>
    <w:rsid w:val="3618279F"/>
    <w:rsid w:val="36290E3C"/>
    <w:rsid w:val="362F5B1E"/>
    <w:rsid w:val="36483084"/>
    <w:rsid w:val="36590DED"/>
    <w:rsid w:val="36752CC6"/>
    <w:rsid w:val="367B37B8"/>
    <w:rsid w:val="3699568D"/>
    <w:rsid w:val="36DF7544"/>
    <w:rsid w:val="37131FFA"/>
    <w:rsid w:val="371A057C"/>
    <w:rsid w:val="372F06AE"/>
    <w:rsid w:val="37307DA0"/>
    <w:rsid w:val="373158C6"/>
    <w:rsid w:val="377E4CA4"/>
    <w:rsid w:val="378974B0"/>
    <w:rsid w:val="37AB6B28"/>
    <w:rsid w:val="37B02C8E"/>
    <w:rsid w:val="37D42E21"/>
    <w:rsid w:val="37DC1CD5"/>
    <w:rsid w:val="37E62B54"/>
    <w:rsid w:val="37FA215C"/>
    <w:rsid w:val="37FE7E9E"/>
    <w:rsid w:val="383872D8"/>
    <w:rsid w:val="3867746A"/>
    <w:rsid w:val="38A722E3"/>
    <w:rsid w:val="38D96215"/>
    <w:rsid w:val="38F4304F"/>
    <w:rsid w:val="39113C01"/>
    <w:rsid w:val="391601B4"/>
    <w:rsid w:val="39186D3D"/>
    <w:rsid w:val="39730417"/>
    <w:rsid w:val="39812B34"/>
    <w:rsid w:val="398A407C"/>
    <w:rsid w:val="39B4295D"/>
    <w:rsid w:val="39BB2E8F"/>
    <w:rsid w:val="3A0948D8"/>
    <w:rsid w:val="3A2D368A"/>
    <w:rsid w:val="3A2D6818"/>
    <w:rsid w:val="3A2F2590"/>
    <w:rsid w:val="3A667F7C"/>
    <w:rsid w:val="3A8749E5"/>
    <w:rsid w:val="3A8A5A19"/>
    <w:rsid w:val="3AC10958"/>
    <w:rsid w:val="3ADB6274"/>
    <w:rsid w:val="3AE214AE"/>
    <w:rsid w:val="3B1B2B15"/>
    <w:rsid w:val="3B467CD8"/>
    <w:rsid w:val="3B4D02BA"/>
    <w:rsid w:val="3B6E533A"/>
    <w:rsid w:val="3BB0325D"/>
    <w:rsid w:val="3BB645EB"/>
    <w:rsid w:val="3BD33BCA"/>
    <w:rsid w:val="3C0637C5"/>
    <w:rsid w:val="3C0D6901"/>
    <w:rsid w:val="3C131A3E"/>
    <w:rsid w:val="3C1557B6"/>
    <w:rsid w:val="3C35255E"/>
    <w:rsid w:val="3C4E0CC8"/>
    <w:rsid w:val="3CB90F2D"/>
    <w:rsid w:val="3CD1792F"/>
    <w:rsid w:val="3CD94A35"/>
    <w:rsid w:val="3D2A703F"/>
    <w:rsid w:val="3D6469F5"/>
    <w:rsid w:val="3D9168F3"/>
    <w:rsid w:val="3DBD3EC7"/>
    <w:rsid w:val="3DEC0798"/>
    <w:rsid w:val="3DFA1607"/>
    <w:rsid w:val="3E0C2BE9"/>
    <w:rsid w:val="3E0C4997"/>
    <w:rsid w:val="3E1D4DF6"/>
    <w:rsid w:val="3E1F0B6E"/>
    <w:rsid w:val="3E676AB1"/>
    <w:rsid w:val="3E88226F"/>
    <w:rsid w:val="3E8D3D29"/>
    <w:rsid w:val="3E8D412D"/>
    <w:rsid w:val="3E907DE5"/>
    <w:rsid w:val="3EAC7694"/>
    <w:rsid w:val="3EBE7765"/>
    <w:rsid w:val="3F06588A"/>
    <w:rsid w:val="3F4E1A1F"/>
    <w:rsid w:val="3F512FA9"/>
    <w:rsid w:val="3F606D53"/>
    <w:rsid w:val="3F841B37"/>
    <w:rsid w:val="3F95226A"/>
    <w:rsid w:val="3F9A4C64"/>
    <w:rsid w:val="3F9F4F42"/>
    <w:rsid w:val="3FA94B93"/>
    <w:rsid w:val="3FB654CC"/>
    <w:rsid w:val="3FE21E53"/>
    <w:rsid w:val="3FEE07F8"/>
    <w:rsid w:val="3FF51313"/>
    <w:rsid w:val="40183AC7"/>
    <w:rsid w:val="402B55A8"/>
    <w:rsid w:val="403703F1"/>
    <w:rsid w:val="40876CB2"/>
    <w:rsid w:val="40923879"/>
    <w:rsid w:val="40A77433"/>
    <w:rsid w:val="40CD665F"/>
    <w:rsid w:val="40D94CFF"/>
    <w:rsid w:val="41032227"/>
    <w:rsid w:val="41344930"/>
    <w:rsid w:val="41432DC5"/>
    <w:rsid w:val="414621B9"/>
    <w:rsid w:val="415E7BFF"/>
    <w:rsid w:val="418F7DB9"/>
    <w:rsid w:val="41950CE5"/>
    <w:rsid w:val="41B15F81"/>
    <w:rsid w:val="41C51A2C"/>
    <w:rsid w:val="41E225DE"/>
    <w:rsid w:val="41EF0857"/>
    <w:rsid w:val="420267DC"/>
    <w:rsid w:val="42114C71"/>
    <w:rsid w:val="42381D17"/>
    <w:rsid w:val="42500FB3"/>
    <w:rsid w:val="426254CD"/>
    <w:rsid w:val="426A2D2C"/>
    <w:rsid w:val="426E4935"/>
    <w:rsid w:val="42935147"/>
    <w:rsid w:val="42C13A57"/>
    <w:rsid w:val="42DA493A"/>
    <w:rsid w:val="42FF2D1C"/>
    <w:rsid w:val="43052B25"/>
    <w:rsid w:val="430F51D8"/>
    <w:rsid w:val="4339622E"/>
    <w:rsid w:val="434F77FF"/>
    <w:rsid w:val="43525522"/>
    <w:rsid w:val="43635059"/>
    <w:rsid w:val="436F7EA2"/>
    <w:rsid w:val="43963680"/>
    <w:rsid w:val="43A23DD3"/>
    <w:rsid w:val="43AD1BA4"/>
    <w:rsid w:val="43AF64F0"/>
    <w:rsid w:val="43B35FE0"/>
    <w:rsid w:val="43C57AC2"/>
    <w:rsid w:val="43C95804"/>
    <w:rsid w:val="43CA3BDE"/>
    <w:rsid w:val="43CE2E1A"/>
    <w:rsid w:val="43DB72E5"/>
    <w:rsid w:val="44337121"/>
    <w:rsid w:val="4436451B"/>
    <w:rsid w:val="44476729"/>
    <w:rsid w:val="444E7AB7"/>
    <w:rsid w:val="447C0AC8"/>
    <w:rsid w:val="4482112A"/>
    <w:rsid w:val="44C05764"/>
    <w:rsid w:val="44CC6C2E"/>
    <w:rsid w:val="44D51F86"/>
    <w:rsid w:val="44E74AF7"/>
    <w:rsid w:val="4508410A"/>
    <w:rsid w:val="45552068"/>
    <w:rsid w:val="455E1F7C"/>
    <w:rsid w:val="457E617A"/>
    <w:rsid w:val="45927E77"/>
    <w:rsid w:val="45943BEF"/>
    <w:rsid w:val="45AD4CB1"/>
    <w:rsid w:val="45B61DB8"/>
    <w:rsid w:val="45BA309E"/>
    <w:rsid w:val="45BE6EBE"/>
    <w:rsid w:val="45C85647"/>
    <w:rsid w:val="45CF2E79"/>
    <w:rsid w:val="45D958B6"/>
    <w:rsid w:val="45E32481"/>
    <w:rsid w:val="463B22BD"/>
    <w:rsid w:val="465670F7"/>
    <w:rsid w:val="467D28D5"/>
    <w:rsid w:val="467F03FC"/>
    <w:rsid w:val="46927C50"/>
    <w:rsid w:val="469A3487"/>
    <w:rsid w:val="46AB11F1"/>
    <w:rsid w:val="46CE4EDF"/>
    <w:rsid w:val="46F34946"/>
    <w:rsid w:val="47064679"/>
    <w:rsid w:val="4707219F"/>
    <w:rsid w:val="471636A5"/>
    <w:rsid w:val="47385407"/>
    <w:rsid w:val="4745776D"/>
    <w:rsid w:val="47546662"/>
    <w:rsid w:val="476D294A"/>
    <w:rsid w:val="47775577"/>
    <w:rsid w:val="4783216D"/>
    <w:rsid w:val="47857C94"/>
    <w:rsid w:val="47C666DA"/>
    <w:rsid w:val="47E10C42"/>
    <w:rsid w:val="4800556C"/>
    <w:rsid w:val="4812704D"/>
    <w:rsid w:val="48276F9D"/>
    <w:rsid w:val="485B09F4"/>
    <w:rsid w:val="4881663E"/>
    <w:rsid w:val="48867B33"/>
    <w:rsid w:val="48912668"/>
    <w:rsid w:val="489172C2"/>
    <w:rsid w:val="48967C7F"/>
    <w:rsid w:val="48ED455A"/>
    <w:rsid w:val="493B5CD7"/>
    <w:rsid w:val="49663AF5"/>
    <w:rsid w:val="498E6BA8"/>
    <w:rsid w:val="49AF43A5"/>
    <w:rsid w:val="49B2476E"/>
    <w:rsid w:val="49B91E77"/>
    <w:rsid w:val="49BC1967"/>
    <w:rsid w:val="49BE123B"/>
    <w:rsid w:val="49CB1BAA"/>
    <w:rsid w:val="4A0D23DC"/>
    <w:rsid w:val="4A3D2AA8"/>
    <w:rsid w:val="4A413C1A"/>
    <w:rsid w:val="4A6F2535"/>
    <w:rsid w:val="4A954692"/>
    <w:rsid w:val="4A995804"/>
    <w:rsid w:val="4AAC3F14"/>
    <w:rsid w:val="4AB97C54"/>
    <w:rsid w:val="4ABD5996"/>
    <w:rsid w:val="4B0E1D4E"/>
    <w:rsid w:val="4B104882"/>
    <w:rsid w:val="4B2E23F0"/>
    <w:rsid w:val="4B3E33A3"/>
    <w:rsid w:val="4B871B00"/>
    <w:rsid w:val="4BA33C6C"/>
    <w:rsid w:val="4BB02E05"/>
    <w:rsid w:val="4BC170D5"/>
    <w:rsid w:val="4BD51861"/>
    <w:rsid w:val="4BD905AE"/>
    <w:rsid w:val="4BDE5BC4"/>
    <w:rsid w:val="4BE13907"/>
    <w:rsid w:val="4BE34F89"/>
    <w:rsid w:val="4BE807F1"/>
    <w:rsid w:val="4C6A7458"/>
    <w:rsid w:val="4C8C3872"/>
    <w:rsid w:val="4CA344B5"/>
    <w:rsid w:val="4CD80866"/>
    <w:rsid w:val="4CDD7C2A"/>
    <w:rsid w:val="4D445EFB"/>
    <w:rsid w:val="4D61085B"/>
    <w:rsid w:val="4D714FE2"/>
    <w:rsid w:val="4D7A7B6F"/>
    <w:rsid w:val="4D862070"/>
    <w:rsid w:val="4D9B335B"/>
    <w:rsid w:val="4DA64B6C"/>
    <w:rsid w:val="4DAE020B"/>
    <w:rsid w:val="4DB12E65"/>
    <w:rsid w:val="4DD74506"/>
    <w:rsid w:val="4DEC66C1"/>
    <w:rsid w:val="4E075509"/>
    <w:rsid w:val="4E0A0EF3"/>
    <w:rsid w:val="4E1C29D4"/>
    <w:rsid w:val="4E2F6BAB"/>
    <w:rsid w:val="4E345F70"/>
    <w:rsid w:val="4E6C395B"/>
    <w:rsid w:val="4EA57EB3"/>
    <w:rsid w:val="4EA75C5A"/>
    <w:rsid w:val="4ECD1F20"/>
    <w:rsid w:val="4EF676C9"/>
    <w:rsid w:val="4F427B3C"/>
    <w:rsid w:val="4F506DD9"/>
    <w:rsid w:val="4F5543EF"/>
    <w:rsid w:val="4F6A1303"/>
    <w:rsid w:val="4F974A08"/>
    <w:rsid w:val="4FB83EA8"/>
    <w:rsid w:val="4FC568A1"/>
    <w:rsid w:val="4FE03A2B"/>
    <w:rsid w:val="4FF84D7B"/>
    <w:rsid w:val="502913D8"/>
    <w:rsid w:val="506348EA"/>
    <w:rsid w:val="50783C60"/>
    <w:rsid w:val="50834F8C"/>
    <w:rsid w:val="50884351"/>
    <w:rsid w:val="508A00C9"/>
    <w:rsid w:val="509C1BAA"/>
    <w:rsid w:val="509E3B74"/>
    <w:rsid w:val="50BF452A"/>
    <w:rsid w:val="50CD4459"/>
    <w:rsid w:val="50CF1F80"/>
    <w:rsid w:val="50E6470E"/>
    <w:rsid w:val="50F6575E"/>
    <w:rsid w:val="51061ADC"/>
    <w:rsid w:val="510933B4"/>
    <w:rsid w:val="512322CB"/>
    <w:rsid w:val="51312C3A"/>
    <w:rsid w:val="51624BA2"/>
    <w:rsid w:val="517B2107"/>
    <w:rsid w:val="51957441"/>
    <w:rsid w:val="51A11C58"/>
    <w:rsid w:val="51B56722"/>
    <w:rsid w:val="521560B8"/>
    <w:rsid w:val="52473A04"/>
    <w:rsid w:val="52500E9E"/>
    <w:rsid w:val="52734B8D"/>
    <w:rsid w:val="527E5A0B"/>
    <w:rsid w:val="52BE30EA"/>
    <w:rsid w:val="52CD1A94"/>
    <w:rsid w:val="52D25D57"/>
    <w:rsid w:val="52E33AC0"/>
    <w:rsid w:val="52ED287F"/>
    <w:rsid w:val="535E583D"/>
    <w:rsid w:val="53634C01"/>
    <w:rsid w:val="53654E1D"/>
    <w:rsid w:val="536C1ECE"/>
    <w:rsid w:val="5376752B"/>
    <w:rsid w:val="538708F0"/>
    <w:rsid w:val="539325D1"/>
    <w:rsid w:val="53964FD7"/>
    <w:rsid w:val="53AC0BFD"/>
    <w:rsid w:val="53D770DA"/>
    <w:rsid w:val="53E16F99"/>
    <w:rsid w:val="54260108"/>
    <w:rsid w:val="543A3BB4"/>
    <w:rsid w:val="544100EE"/>
    <w:rsid w:val="54680721"/>
    <w:rsid w:val="546F1A89"/>
    <w:rsid w:val="54745318"/>
    <w:rsid w:val="54A43723"/>
    <w:rsid w:val="54BB581D"/>
    <w:rsid w:val="54C55B73"/>
    <w:rsid w:val="54CF07A0"/>
    <w:rsid w:val="54F87FC7"/>
    <w:rsid w:val="550541C2"/>
    <w:rsid w:val="55287EB0"/>
    <w:rsid w:val="55674E7D"/>
    <w:rsid w:val="55826B5A"/>
    <w:rsid w:val="55850574"/>
    <w:rsid w:val="558C043F"/>
    <w:rsid w:val="559B2D78"/>
    <w:rsid w:val="559B4B26"/>
    <w:rsid w:val="55AB1085"/>
    <w:rsid w:val="55CB0FAC"/>
    <w:rsid w:val="55D219FA"/>
    <w:rsid w:val="55DC388A"/>
    <w:rsid w:val="560921BB"/>
    <w:rsid w:val="563F3703"/>
    <w:rsid w:val="56521689"/>
    <w:rsid w:val="569C0B56"/>
    <w:rsid w:val="56A9624D"/>
    <w:rsid w:val="56B37C4E"/>
    <w:rsid w:val="56BC4D54"/>
    <w:rsid w:val="56C02A96"/>
    <w:rsid w:val="56E11C93"/>
    <w:rsid w:val="57127095"/>
    <w:rsid w:val="57144B90"/>
    <w:rsid w:val="572A6162"/>
    <w:rsid w:val="57460AC2"/>
    <w:rsid w:val="5778511F"/>
    <w:rsid w:val="57897640"/>
    <w:rsid w:val="57A579F3"/>
    <w:rsid w:val="57CE2EBC"/>
    <w:rsid w:val="57D31D9D"/>
    <w:rsid w:val="57DD0952"/>
    <w:rsid w:val="57E411DB"/>
    <w:rsid w:val="57F222CC"/>
    <w:rsid w:val="58022C3B"/>
    <w:rsid w:val="5805272B"/>
    <w:rsid w:val="581A4D75"/>
    <w:rsid w:val="58366D88"/>
    <w:rsid w:val="58392E14"/>
    <w:rsid w:val="585F008D"/>
    <w:rsid w:val="58A921CB"/>
    <w:rsid w:val="58CB74D0"/>
    <w:rsid w:val="58D72319"/>
    <w:rsid w:val="58F509F1"/>
    <w:rsid w:val="59017426"/>
    <w:rsid w:val="59050C34"/>
    <w:rsid w:val="59301CEC"/>
    <w:rsid w:val="593C217C"/>
    <w:rsid w:val="59510812"/>
    <w:rsid w:val="596C0FC7"/>
    <w:rsid w:val="59747B68"/>
    <w:rsid w:val="59772113"/>
    <w:rsid w:val="59B32B3D"/>
    <w:rsid w:val="59CA59DA"/>
    <w:rsid w:val="59CC52AE"/>
    <w:rsid w:val="5A132EDD"/>
    <w:rsid w:val="5A184997"/>
    <w:rsid w:val="5A1C52D3"/>
    <w:rsid w:val="5A421A14"/>
    <w:rsid w:val="5A517EA9"/>
    <w:rsid w:val="5A6C62B6"/>
    <w:rsid w:val="5A7A08CE"/>
    <w:rsid w:val="5AA04A12"/>
    <w:rsid w:val="5ABC3575"/>
    <w:rsid w:val="5AD7215D"/>
    <w:rsid w:val="5AF2343A"/>
    <w:rsid w:val="5B1C7B22"/>
    <w:rsid w:val="5B4517BC"/>
    <w:rsid w:val="5B6A7475"/>
    <w:rsid w:val="5BD448EE"/>
    <w:rsid w:val="5BE80399"/>
    <w:rsid w:val="5BE91A17"/>
    <w:rsid w:val="5C313AEE"/>
    <w:rsid w:val="5C62014C"/>
    <w:rsid w:val="5C735EB5"/>
    <w:rsid w:val="5C761E49"/>
    <w:rsid w:val="5C967DF5"/>
    <w:rsid w:val="5CA00C74"/>
    <w:rsid w:val="5CA12E24"/>
    <w:rsid w:val="5CA73DB1"/>
    <w:rsid w:val="5CB62246"/>
    <w:rsid w:val="5CD56B70"/>
    <w:rsid w:val="5CE768A3"/>
    <w:rsid w:val="5CF214D0"/>
    <w:rsid w:val="5D05319C"/>
    <w:rsid w:val="5D1C654D"/>
    <w:rsid w:val="5D485594"/>
    <w:rsid w:val="5D6D1C91"/>
    <w:rsid w:val="5D7A5AE4"/>
    <w:rsid w:val="5D891708"/>
    <w:rsid w:val="5D902A97"/>
    <w:rsid w:val="5D944335"/>
    <w:rsid w:val="5DD07337"/>
    <w:rsid w:val="5E203E1A"/>
    <w:rsid w:val="5E3E24F3"/>
    <w:rsid w:val="5E483371"/>
    <w:rsid w:val="5E6463FD"/>
    <w:rsid w:val="5E671A49"/>
    <w:rsid w:val="5E6A153A"/>
    <w:rsid w:val="5E864BBA"/>
    <w:rsid w:val="5EAA0DD3"/>
    <w:rsid w:val="5EAC56AE"/>
    <w:rsid w:val="5EE4309A"/>
    <w:rsid w:val="5F13265F"/>
    <w:rsid w:val="5F1A4D0E"/>
    <w:rsid w:val="5F387044"/>
    <w:rsid w:val="5F6441DB"/>
    <w:rsid w:val="5F702B80"/>
    <w:rsid w:val="5F7268F8"/>
    <w:rsid w:val="5F750196"/>
    <w:rsid w:val="5F955985"/>
    <w:rsid w:val="5FAF36A8"/>
    <w:rsid w:val="5FC37153"/>
    <w:rsid w:val="5FCE4BE3"/>
    <w:rsid w:val="60172FFB"/>
    <w:rsid w:val="60174CA1"/>
    <w:rsid w:val="60201FF3"/>
    <w:rsid w:val="60335542"/>
    <w:rsid w:val="6044017F"/>
    <w:rsid w:val="60485D7E"/>
    <w:rsid w:val="604E2987"/>
    <w:rsid w:val="604F17B0"/>
    <w:rsid w:val="605E0C2A"/>
    <w:rsid w:val="607246D5"/>
    <w:rsid w:val="60830691"/>
    <w:rsid w:val="6098413C"/>
    <w:rsid w:val="609C06B7"/>
    <w:rsid w:val="609E371C"/>
    <w:rsid w:val="60B62814"/>
    <w:rsid w:val="60D158A0"/>
    <w:rsid w:val="6106379C"/>
    <w:rsid w:val="612F62AF"/>
    <w:rsid w:val="613025C6"/>
    <w:rsid w:val="614442C4"/>
    <w:rsid w:val="614E6EF1"/>
    <w:rsid w:val="61554209"/>
    <w:rsid w:val="618966AB"/>
    <w:rsid w:val="61A46B11"/>
    <w:rsid w:val="61B76844"/>
    <w:rsid w:val="61E6570C"/>
    <w:rsid w:val="61F061FA"/>
    <w:rsid w:val="6232236E"/>
    <w:rsid w:val="623E0D13"/>
    <w:rsid w:val="62403327"/>
    <w:rsid w:val="62404A8B"/>
    <w:rsid w:val="63185A08"/>
    <w:rsid w:val="63213671"/>
    <w:rsid w:val="63247F09"/>
    <w:rsid w:val="633914DA"/>
    <w:rsid w:val="633A597E"/>
    <w:rsid w:val="635F401F"/>
    <w:rsid w:val="636218B0"/>
    <w:rsid w:val="63C9479B"/>
    <w:rsid w:val="63CB5574"/>
    <w:rsid w:val="63D92749"/>
    <w:rsid w:val="63E31B72"/>
    <w:rsid w:val="644F12EF"/>
    <w:rsid w:val="64630F05"/>
    <w:rsid w:val="646F486F"/>
    <w:rsid w:val="648352CF"/>
    <w:rsid w:val="64CF0348"/>
    <w:rsid w:val="64D67929"/>
    <w:rsid w:val="64DD4813"/>
    <w:rsid w:val="6525440C"/>
    <w:rsid w:val="6535464F"/>
    <w:rsid w:val="6537335E"/>
    <w:rsid w:val="653F727C"/>
    <w:rsid w:val="6553748E"/>
    <w:rsid w:val="65660CAD"/>
    <w:rsid w:val="656D6898"/>
    <w:rsid w:val="65984BDE"/>
    <w:rsid w:val="659A6BA8"/>
    <w:rsid w:val="65A25A5D"/>
    <w:rsid w:val="65AE61B0"/>
    <w:rsid w:val="65B8702E"/>
    <w:rsid w:val="65EE0CA2"/>
    <w:rsid w:val="65FE2944"/>
    <w:rsid w:val="662A2B19"/>
    <w:rsid w:val="665E7B6C"/>
    <w:rsid w:val="6675770D"/>
    <w:rsid w:val="66C760DE"/>
    <w:rsid w:val="66DE2AC5"/>
    <w:rsid w:val="66EC51E2"/>
    <w:rsid w:val="66F80730"/>
    <w:rsid w:val="67050051"/>
    <w:rsid w:val="67144738"/>
    <w:rsid w:val="67193AFD"/>
    <w:rsid w:val="67226E55"/>
    <w:rsid w:val="677D5E3A"/>
    <w:rsid w:val="67A54D96"/>
    <w:rsid w:val="67D6379C"/>
    <w:rsid w:val="67D87764"/>
    <w:rsid w:val="67E4235D"/>
    <w:rsid w:val="680D74D2"/>
    <w:rsid w:val="682C160E"/>
    <w:rsid w:val="68686AEA"/>
    <w:rsid w:val="686B65DA"/>
    <w:rsid w:val="6881195A"/>
    <w:rsid w:val="68914293"/>
    <w:rsid w:val="689C2C37"/>
    <w:rsid w:val="68A37B22"/>
    <w:rsid w:val="68AD274F"/>
    <w:rsid w:val="68AF57DF"/>
    <w:rsid w:val="68FF427E"/>
    <w:rsid w:val="694A2693"/>
    <w:rsid w:val="695A2928"/>
    <w:rsid w:val="698C6808"/>
    <w:rsid w:val="699D598E"/>
    <w:rsid w:val="69BE3C72"/>
    <w:rsid w:val="69D106BF"/>
    <w:rsid w:val="69D1246D"/>
    <w:rsid w:val="69D52819"/>
    <w:rsid w:val="6A10568B"/>
    <w:rsid w:val="6A15302C"/>
    <w:rsid w:val="6A2C3B47"/>
    <w:rsid w:val="6A585D0E"/>
    <w:rsid w:val="6A6E5F0E"/>
    <w:rsid w:val="6A717020"/>
    <w:rsid w:val="6A9C35C2"/>
    <w:rsid w:val="6ABB660F"/>
    <w:rsid w:val="6ACF10A2"/>
    <w:rsid w:val="6AD00976"/>
    <w:rsid w:val="6AED1528"/>
    <w:rsid w:val="6B080110"/>
    <w:rsid w:val="6B3233DF"/>
    <w:rsid w:val="6B431148"/>
    <w:rsid w:val="6B647ABE"/>
    <w:rsid w:val="6B841E8D"/>
    <w:rsid w:val="6B853A16"/>
    <w:rsid w:val="6B99520C"/>
    <w:rsid w:val="6BBF1117"/>
    <w:rsid w:val="6BE01F8A"/>
    <w:rsid w:val="6BE8387E"/>
    <w:rsid w:val="6BF012D0"/>
    <w:rsid w:val="6C07661A"/>
    <w:rsid w:val="6C117498"/>
    <w:rsid w:val="6C25027B"/>
    <w:rsid w:val="6C47110C"/>
    <w:rsid w:val="6C4C4ACD"/>
    <w:rsid w:val="6C663340"/>
    <w:rsid w:val="6C7C646E"/>
    <w:rsid w:val="6C9D2ADA"/>
    <w:rsid w:val="6CC14A1B"/>
    <w:rsid w:val="6CCC1D1B"/>
    <w:rsid w:val="6CD01102"/>
    <w:rsid w:val="6CE97995"/>
    <w:rsid w:val="6CEA21C3"/>
    <w:rsid w:val="6CF46B9E"/>
    <w:rsid w:val="6D464F20"/>
    <w:rsid w:val="6D800432"/>
    <w:rsid w:val="6D852242"/>
    <w:rsid w:val="6DCC23B7"/>
    <w:rsid w:val="6DD95D94"/>
    <w:rsid w:val="6DE04A04"/>
    <w:rsid w:val="6DE50BDD"/>
    <w:rsid w:val="6E1D46BB"/>
    <w:rsid w:val="6E2A4841"/>
    <w:rsid w:val="6E3C2DF9"/>
    <w:rsid w:val="6E70494A"/>
    <w:rsid w:val="6E8126B3"/>
    <w:rsid w:val="6EA37EDF"/>
    <w:rsid w:val="6EC66318"/>
    <w:rsid w:val="6ED07197"/>
    <w:rsid w:val="6ED6234A"/>
    <w:rsid w:val="6EDC0332"/>
    <w:rsid w:val="6EE449F0"/>
    <w:rsid w:val="6EF015E7"/>
    <w:rsid w:val="6F0118FB"/>
    <w:rsid w:val="6F2913D9"/>
    <w:rsid w:val="6F345978"/>
    <w:rsid w:val="6F395FEB"/>
    <w:rsid w:val="6F6124E5"/>
    <w:rsid w:val="6F63000B"/>
    <w:rsid w:val="6F630325"/>
    <w:rsid w:val="6F6F69B0"/>
    <w:rsid w:val="6F7264A0"/>
    <w:rsid w:val="6F881820"/>
    <w:rsid w:val="6FA973ED"/>
    <w:rsid w:val="6FAB550E"/>
    <w:rsid w:val="6FAC7C04"/>
    <w:rsid w:val="6FEA26CB"/>
    <w:rsid w:val="70115CB9"/>
    <w:rsid w:val="7036127C"/>
    <w:rsid w:val="7040659E"/>
    <w:rsid w:val="704A2F79"/>
    <w:rsid w:val="705B5186"/>
    <w:rsid w:val="705D4A5A"/>
    <w:rsid w:val="706E310B"/>
    <w:rsid w:val="7085617A"/>
    <w:rsid w:val="70C525FF"/>
    <w:rsid w:val="70D70CB1"/>
    <w:rsid w:val="70EE5F27"/>
    <w:rsid w:val="70F97E5D"/>
    <w:rsid w:val="710E12C0"/>
    <w:rsid w:val="71175551"/>
    <w:rsid w:val="711A294B"/>
    <w:rsid w:val="71883D59"/>
    <w:rsid w:val="719E357C"/>
    <w:rsid w:val="71A55100"/>
    <w:rsid w:val="71C70D25"/>
    <w:rsid w:val="71ED62B2"/>
    <w:rsid w:val="71F97227"/>
    <w:rsid w:val="72053532"/>
    <w:rsid w:val="721B4BCD"/>
    <w:rsid w:val="723E79C0"/>
    <w:rsid w:val="727268E0"/>
    <w:rsid w:val="728C7879"/>
    <w:rsid w:val="72D1172F"/>
    <w:rsid w:val="72D8486C"/>
    <w:rsid w:val="72EB0713"/>
    <w:rsid w:val="72EC7CF0"/>
    <w:rsid w:val="73041B05"/>
    <w:rsid w:val="731C0BFD"/>
    <w:rsid w:val="73685BF0"/>
    <w:rsid w:val="7374041D"/>
    <w:rsid w:val="73A34E7A"/>
    <w:rsid w:val="73AB1BCC"/>
    <w:rsid w:val="73BF77DA"/>
    <w:rsid w:val="73DE4104"/>
    <w:rsid w:val="73E86D31"/>
    <w:rsid w:val="73F138BD"/>
    <w:rsid w:val="73F13E37"/>
    <w:rsid w:val="74133875"/>
    <w:rsid w:val="741C69DA"/>
    <w:rsid w:val="7428727A"/>
    <w:rsid w:val="74455F31"/>
    <w:rsid w:val="746740F9"/>
    <w:rsid w:val="746F3611"/>
    <w:rsid w:val="749D668F"/>
    <w:rsid w:val="74B11819"/>
    <w:rsid w:val="74BD01BD"/>
    <w:rsid w:val="74DD0860"/>
    <w:rsid w:val="7513602F"/>
    <w:rsid w:val="75137DDD"/>
    <w:rsid w:val="752B3379"/>
    <w:rsid w:val="7568637B"/>
    <w:rsid w:val="756B7C19"/>
    <w:rsid w:val="75874327"/>
    <w:rsid w:val="75956A44"/>
    <w:rsid w:val="759A22AD"/>
    <w:rsid w:val="75A153E9"/>
    <w:rsid w:val="75D92DD5"/>
    <w:rsid w:val="75E023B5"/>
    <w:rsid w:val="75F1279F"/>
    <w:rsid w:val="75F61BD9"/>
    <w:rsid w:val="75F776FF"/>
    <w:rsid w:val="76243572"/>
    <w:rsid w:val="762D7933"/>
    <w:rsid w:val="765C6FAE"/>
    <w:rsid w:val="769B62DC"/>
    <w:rsid w:val="76A72ED3"/>
    <w:rsid w:val="76CA730F"/>
    <w:rsid w:val="76F97E6D"/>
    <w:rsid w:val="77444BC6"/>
    <w:rsid w:val="77500F02"/>
    <w:rsid w:val="77505319"/>
    <w:rsid w:val="775546DD"/>
    <w:rsid w:val="77732F67"/>
    <w:rsid w:val="777C7EBC"/>
    <w:rsid w:val="77934D7E"/>
    <w:rsid w:val="779D7E32"/>
    <w:rsid w:val="77B80A62"/>
    <w:rsid w:val="77BC475C"/>
    <w:rsid w:val="77C10E5A"/>
    <w:rsid w:val="77C33D3D"/>
    <w:rsid w:val="77E141C3"/>
    <w:rsid w:val="781F7B88"/>
    <w:rsid w:val="783267CC"/>
    <w:rsid w:val="783469E8"/>
    <w:rsid w:val="7840495F"/>
    <w:rsid w:val="785227EC"/>
    <w:rsid w:val="78571D5C"/>
    <w:rsid w:val="787C3EEC"/>
    <w:rsid w:val="78A7404A"/>
    <w:rsid w:val="78F41CD4"/>
    <w:rsid w:val="79074832"/>
    <w:rsid w:val="791660EE"/>
    <w:rsid w:val="7942201C"/>
    <w:rsid w:val="79817D4A"/>
    <w:rsid w:val="7993773F"/>
    <w:rsid w:val="79D51B05"/>
    <w:rsid w:val="7A025FF7"/>
    <w:rsid w:val="7A1749E1"/>
    <w:rsid w:val="7A6A1F9F"/>
    <w:rsid w:val="7AD46261"/>
    <w:rsid w:val="7B152B01"/>
    <w:rsid w:val="7B195B51"/>
    <w:rsid w:val="7B1E74DC"/>
    <w:rsid w:val="7B476A33"/>
    <w:rsid w:val="7B5F3D7C"/>
    <w:rsid w:val="7B6C6499"/>
    <w:rsid w:val="7B792A7B"/>
    <w:rsid w:val="7B827A6B"/>
    <w:rsid w:val="7BAC2D3A"/>
    <w:rsid w:val="7BCF78A0"/>
    <w:rsid w:val="7BD5403F"/>
    <w:rsid w:val="7BDC53CD"/>
    <w:rsid w:val="7C1E1D84"/>
    <w:rsid w:val="7C2154D6"/>
    <w:rsid w:val="7C702B07"/>
    <w:rsid w:val="7C7F39E8"/>
    <w:rsid w:val="7C87766B"/>
    <w:rsid w:val="7C8D3F62"/>
    <w:rsid w:val="7CBE2D25"/>
    <w:rsid w:val="7CCC14D9"/>
    <w:rsid w:val="7CF27D4C"/>
    <w:rsid w:val="7D3C49C8"/>
    <w:rsid w:val="7D456FA2"/>
    <w:rsid w:val="7D5470E9"/>
    <w:rsid w:val="7D9D0B8C"/>
    <w:rsid w:val="7DF74740"/>
    <w:rsid w:val="7DFF1847"/>
    <w:rsid w:val="7E130E4E"/>
    <w:rsid w:val="7E3468D5"/>
    <w:rsid w:val="7E5F22E5"/>
    <w:rsid w:val="7E691F7C"/>
    <w:rsid w:val="7E924469"/>
    <w:rsid w:val="7F111831"/>
    <w:rsid w:val="7F463BFE"/>
    <w:rsid w:val="7F482D79"/>
    <w:rsid w:val="7F4E65E2"/>
    <w:rsid w:val="7F504AFE"/>
    <w:rsid w:val="7FB90128"/>
    <w:rsid w:val="7FBD72C3"/>
    <w:rsid w:val="7FEA3E31"/>
    <w:rsid w:val="7FF6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99"/>
    <w:pPr>
      <w:keepNext/>
      <w:keepLines/>
      <w:spacing w:line="360" w:lineRule="auto"/>
      <w:jc w:val="center"/>
      <w:outlineLvl w:val="0"/>
    </w:pPr>
    <w:rPr>
      <w:b/>
      <w:kern w:val="44"/>
      <w:sz w:val="32"/>
      <w:szCs w:val="20"/>
    </w:rPr>
  </w:style>
  <w:style w:type="paragraph" w:styleId="3">
    <w:name w:val="heading 2"/>
    <w:basedOn w:val="1"/>
    <w:next w:val="1"/>
    <w:link w:val="28"/>
    <w:autoRedefine/>
    <w:qFormat/>
    <w:uiPriority w:val="99"/>
    <w:pPr>
      <w:keepNext/>
      <w:keepLines/>
      <w:spacing w:line="360" w:lineRule="auto"/>
      <w:jc w:val="left"/>
      <w:outlineLvl w:val="1"/>
    </w:pPr>
    <w:rPr>
      <w:rFonts w:ascii="Arial" w:hAnsi="Arial"/>
      <w:b/>
      <w:sz w:val="24"/>
      <w:szCs w:val="20"/>
    </w:rPr>
  </w:style>
  <w:style w:type="paragraph" w:styleId="4">
    <w:name w:val="heading 3"/>
    <w:basedOn w:val="1"/>
    <w:next w:val="1"/>
    <w:autoRedefine/>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autoRedefine/>
    <w:qFormat/>
    <w:uiPriority w:val="99"/>
    <w:pPr>
      <w:spacing w:after="120"/>
    </w:pPr>
    <w:rPr>
      <w:sz w:val="24"/>
      <w:szCs w:val="20"/>
    </w:rPr>
  </w:style>
  <w:style w:type="paragraph" w:styleId="8">
    <w:name w:val="Body Text Indent"/>
    <w:basedOn w:val="1"/>
    <w:autoRedefine/>
    <w:qFormat/>
    <w:uiPriority w:val="99"/>
    <w:pPr>
      <w:spacing w:after="120"/>
      <w:ind w:left="420" w:leftChars="200"/>
    </w:pPr>
    <w:rPr>
      <w:sz w:val="24"/>
      <w:szCs w:val="20"/>
    </w:rPr>
  </w:style>
  <w:style w:type="paragraph" w:styleId="9">
    <w:name w:val="List 2"/>
    <w:basedOn w:val="1"/>
    <w:autoRedefine/>
    <w:qFormat/>
    <w:uiPriority w:val="99"/>
    <w:pPr>
      <w:ind w:left="100" w:leftChars="200" w:hanging="200" w:hangingChars="200"/>
    </w:pPr>
  </w:style>
  <w:style w:type="paragraph" w:styleId="10">
    <w:name w:val="Block Text"/>
    <w:basedOn w:val="1"/>
    <w:autoRedefine/>
    <w:qFormat/>
    <w:uiPriority w:val="99"/>
    <w:pPr>
      <w:spacing w:after="120"/>
      <w:ind w:left="1440" w:leftChars="700" w:right="1440" w:rightChars="700"/>
    </w:pPr>
  </w:style>
  <w:style w:type="paragraph" w:styleId="11">
    <w:name w:val="Plain Text"/>
    <w:basedOn w:val="1"/>
    <w:autoRedefine/>
    <w:qFormat/>
    <w:uiPriority w:val="99"/>
    <w:rPr>
      <w:rFonts w:ascii="宋体" w:hAnsi="Courier New"/>
      <w:szCs w:val="20"/>
    </w:rPr>
  </w:style>
  <w:style w:type="paragraph" w:styleId="12">
    <w:name w:val="Date"/>
    <w:basedOn w:val="1"/>
    <w:next w:val="1"/>
    <w:autoRedefine/>
    <w:unhideWhenUsed/>
    <w:qFormat/>
    <w:uiPriority w:val="99"/>
    <w:pPr>
      <w:tabs>
        <w:tab w:val="left" w:pos="420"/>
      </w:tabs>
      <w:ind w:left="100" w:leftChars="2500"/>
    </w:pPr>
  </w:style>
  <w:style w:type="paragraph" w:styleId="13">
    <w:name w:val="Body Text Indent 2"/>
    <w:basedOn w:val="1"/>
    <w:autoRedefine/>
    <w:qFormat/>
    <w:uiPriority w:val="99"/>
    <w:pPr>
      <w:spacing w:after="120" w:line="480" w:lineRule="auto"/>
      <w:ind w:left="420" w:leftChars="200"/>
    </w:pPr>
    <w:rPr>
      <w:sz w:val="24"/>
      <w:szCs w:val="20"/>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envelope return"/>
    <w:basedOn w:val="1"/>
    <w:autoRedefine/>
    <w:qFormat/>
    <w:uiPriority w:val="99"/>
    <w:pPr>
      <w:snapToGrid w:val="0"/>
      <w:jc w:val="left"/>
    </w:pPr>
    <w:rPr>
      <w:rFonts w:ascii="Arial" w:hAnsi="Arial" w:cs="黑体"/>
      <w:kern w:val="0"/>
      <w:sz w:val="22"/>
      <w:szCs w:val="22"/>
      <w:lang w:eastAsia="en-US"/>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99"/>
    <w:pPr>
      <w:spacing w:line="360" w:lineRule="auto"/>
    </w:pPr>
    <w:rPr>
      <w:b/>
      <w:sz w:val="28"/>
    </w:rPr>
  </w:style>
  <w:style w:type="paragraph" w:styleId="18">
    <w:name w:val="List 5"/>
    <w:basedOn w:val="1"/>
    <w:autoRedefine/>
    <w:qFormat/>
    <w:uiPriority w:val="99"/>
    <w:pPr>
      <w:ind w:left="2100" w:hanging="420"/>
    </w:pPr>
    <w:rPr>
      <w:rFonts w:eastAsia="楷体_GB2312"/>
      <w:sz w:val="32"/>
      <w:szCs w:val="20"/>
    </w:rPr>
  </w:style>
  <w:style w:type="paragraph" w:styleId="19">
    <w:name w:val="toc 2"/>
    <w:basedOn w:val="1"/>
    <w:next w:val="1"/>
    <w:autoRedefine/>
    <w:qFormat/>
    <w:uiPriority w:val="99"/>
    <w:pPr>
      <w:spacing w:line="360" w:lineRule="auto"/>
    </w:pPr>
    <w:rPr>
      <w:sz w:val="28"/>
    </w:rPr>
  </w:style>
  <w:style w:type="paragraph" w:styleId="20">
    <w:name w:val="Body Text First Indent"/>
    <w:basedOn w:val="7"/>
    <w:next w:val="1"/>
    <w:autoRedefine/>
    <w:qFormat/>
    <w:uiPriority w:val="99"/>
    <w:pPr>
      <w:ind w:firstLine="420"/>
    </w:pPr>
    <w:rPr>
      <w:rFonts w:eastAsia="楷体_GB2312"/>
      <w:sz w:val="32"/>
    </w:rPr>
  </w:style>
  <w:style w:type="paragraph" w:styleId="21">
    <w:name w:val="Body Text First Indent 2"/>
    <w:basedOn w:val="8"/>
    <w:next w:val="7"/>
    <w:autoRedefine/>
    <w:qFormat/>
    <w:uiPriority w:val="99"/>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6">
    <w:name w:val="Heading 1 Char"/>
    <w:basedOn w:val="24"/>
    <w:link w:val="2"/>
    <w:autoRedefine/>
    <w:qFormat/>
    <w:locked/>
    <w:uiPriority w:val="99"/>
    <w:rPr>
      <w:b/>
      <w:kern w:val="44"/>
      <w:sz w:val="32"/>
      <w:szCs w:val="20"/>
    </w:rPr>
  </w:style>
  <w:style w:type="paragraph" w:customStyle="1" w:styleId="27">
    <w:name w:val="Table Paragraph"/>
    <w:basedOn w:val="1"/>
    <w:autoRedefine/>
    <w:qFormat/>
    <w:uiPriority w:val="99"/>
    <w:rPr>
      <w:sz w:val="24"/>
    </w:rPr>
  </w:style>
  <w:style w:type="character" w:customStyle="1" w:styleId="28">
    <w:name w:val="Heading 2 Char"/>
    <w:basedOn w:val="24"/>
    <w:link w:val="3"/>
    <w:autoRedefine/>
    <w:qFormat/>
    <w:locked/>
    <w:uiPriority w:val="99"/>
    <w:rPr>
      <w:rFonts w:ascii="Arial" w:hAnsi="Arial"/>
      <w:b/>
      <w:sz w:val="24"/>
      <w:szCs w:val="20"/>
    </w:rPr>
  </w:style>
  <w:style w:type="character" w:customStyle="1" w:styleId="29">
    <w:name w:val="Char Char11"/>
    <w:autoRedefine/>
    <w:qFormat/>
    <w:uiPriority w:val="99"/>
    <w:rPr>
      <w:kern w:val="2"/>
      <w:sz w:val="18"/>
    </w:rPr>
  </w:style>
  <w:style w:type="paragraph" w:styleId="30">
    <w:name w:val="List Paragraph"/>
    <w:basedOn w:val="1"/>
    <w:autoRedefine/>
    <w:qFormat/>
    <w:uiPriority w:val="99"/>
    <w:pPr>
      <w:ind w:firstLine="420" w:firstLineChars="200"/>
    </w:pPr>
    <w:rPr>
      <w:rFonts w:ascii="Calibri" w:hAnsi="Calibri"/>
      <w:szCs w:val="22"/>
    </w:rPr>
  </w:style>
  <w:style w:type="character" w:customStyle="1" w:styleId="31">
    <w:name w:val="标题 3 Char1"/>
    <w:autoRedefine/>
    <w:qFormat/>
    <w:locked/>
    <w:uiPriority w:val="99"/>
    <w:rPr>
      <w:rFonts w:ascii="Times New Roman" w:hAnsi="Times New Roman" w:eastAsia="宋体"/>
      <w:b/>
      <w:kern w:val="2"/>
      <w:sz w:val="2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31"/>
    <w:basedOn w:val="24"/>
    <w:qFormat/>
    <w:uiPriority w:val="0"/>
    <w:rPr>
      <w:rFonts w:hint="eastAsia" w:ascii="宋体" w:hAnsi="宋体" w:eastAsia="宋体" w:cs="宋体"/>
      <w:b/>
      <w:bCs/>
      <w:color w:val="000000"/>
      <w:sz w:val="21"/>
      <w:szCs w:val="21"/>
      <w:u w:val="none"/>
    </w:rPr>
  </w:style>
  <w:style w:type="character" w:customStyle="1" w:styleId="35">
    <w:name w:val="font21"/>
    <w:basedOn w:val="2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137</Pages>
  <Words>61793</Words>
  <Characters>68726</Characters>
  <Lines>0</Lines>
  <Paragraphs>0</Paragraphs>
  <TotalTime>0</TotalTime>
  <ScaleCrop>false</ScaleCrop>
  <LinksUpToDate>false</LinksUpToDate>
  <CharactersWithSpaces>72535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dcterms:modified xsi:type="dcterms:W3CDTF">2024-07-15T04:30:14Z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10D20C464CFE45ADAB27A6730BB6CBAB_13</vt:lpwstr>
  </property>
</Properties>
</file>