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FD5D9">
      <w:pPr>
        <w:pStyle w:val="6"/>
        <w:spacing w:line="360" w:lineRule="auto"/>
        <w:jc w:val="center"/>
        <w:rPr>
          <w:rFonts w:asciiTheme="minorEastAsia" w:hAnsiTheme="minorEastAsia" w:eastAsiaTheme="minorEastAsia" w:cstheme="minorEastAsia"/>
          <w:b/>
          <w:bCs/>
          <w:spacing w:val="-14"/>
          <w:sz w:val="50"/>
          <w:szCs w:val="50"/>
          <w:lang w:eastAsia="zh-CN"/>
        </w:rPr>
      </w:pPr>
      <w:r>
        <w:rPr>
          <w:rFonts w:hint="eastAsia" w:ascii="宋体" w:hAnsi="宋体" w:eastAsia="宋体" w:cs="宋体"/>
          <w:b/>
          <w:sz w:val="44"/>
          <w:szCs w:val="44"/>
        </w:rPr>
        <w:drawing>
          <wp:anchor distT="0" distB="0" distL="114300" distR="114300" simplePos="0" relativeHeight="251660288" behindDoc="0" locked="0" layoutInCell="1" allowOverlap="1">
            <wp:simplePos x="0" y="0"/>
            <wp:positionH relativeFrom="column">
              <wp:posOffset>-915670</wp:posOffset>
            </wp:positionH>
            <wp:positionV relativeFrom="paragraph">
              <wp:posOffset>-550545</wp:posOffset>
            </wp:positionV>
            <wp:extent cx="7393940" cy="10177780"/>
            <wp:effectExtent l="0" t="0" r="16510" b="13970"/>
            <wp:wrapNone/>
            <wp:docPr id="1" name="图片 1" descr="招标文件封面盖章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盖章版"/>
                    <pic:cNvPicPr>
                      <a:picLocks noChangeAspect="1"/>
                    </pic:cNvPicPr>
                  </pic:nvPicPr>
                  <pic:blipFill>
                    <a:blip r:embed="rId12"/>
                    <a:stretch>
                      <a:fillRect/>
                    </a:stretch>
                  </pic:blipFill>
                  <pic:spPr>
                    <a:xfrm>
                      <a:off x="0" y="0"/>
                      <a:ext cx="7393940" cy="10177780"/>
                    </a:xfrm>
                    <a:prstGeom prst="rect">
                      <a:avLst/>
                    </a:prstGeom>
                  </pic:spPr>
                </pic:pic>
              </a:graphicData>
            </a:graphic>
          </wp:anchor>
        </w:drawing>
      </w:r>
    </w:p>
    <w:p w14:paraId="746ABBAC">
      <w:pPr>
        <w:spacing w:line="276" w:lineRule="auto"/>
        <w:jc w:val="center"/>
        <w:rPr>
          <w:rFonts w:hint="eastAsia" w:ascii="宋体" w:hAnsi="宋体" w:eastAsia="宋体" w:cs="宋体"/>
          <w:b/>
          <w:sz w:val="44"/>
          <w:szCs w:val="44"/>
        </w:rPr>
      </w:pPr>
    </w:p>
    <w:p w14:paraId="12B0B223">
      <w:pPr>
        <w:spacing w:line="276" w:lineRule="auto"/>
        <w:jc w:val="center"/>
        <w:rPr>
          <w:rFonts w:hint="eastAsia" w:ascii="宋体" w:hAnsi="宋体" w:eastAsia="宋体" w:cs="宋体"/>
          <w:b/>
          <w:sz w:val="44"/>
          <w:szCs w:val="44"/>
        </w:rPr>
      </w:pPr>
    </w:p>
    <w:p w14:paraId="414FFA99">
      <w:pPr>
        <w:spacing w:line="276" w:lineRule="auto"/>
        <w:jc w:val="center"/>
        <w:rPr>
          <w:rFonts w:hint="eastAsia" w:ascii="宋体" w:hAnsi="宋体" w:eastAsia="宋体" w:cs="宋体"/>
          <w:b/>
          <w:sz w:val="44"/>
          <w:szCs w:val="44"/>
        </w:rPr>
      </w:pPr>
    </w:p>
    <w:p w14:paraId="3394DF42">
      <w:pPr>
        <w:spacing w:line="276" w:lineRule="auto"/>
        <w:jc w:val="center"/>
        <w:rPr>
          <w:rFonts w:hint="eastAsia" w:ascii="宋体" w:hAnsi="宋体" w:eastAsia="宋体" w:cs="宋体"/>
          <w:b/>
          <w:sz w:val="44"/>
          <w:szCs w:val="44"/>
        </w:rPr>
      </w:pPr>
    </w:p>
    <w:p w14:paraId="178BD78A">
      <w:pPr>
        <w:spacing w:line="276" w:lineRule="auto"/>
        <w:jc w:val="center"/>
        <w:rPr>
          <w:rFonts w:hint="eastAsia" w:ascii="宋体" w:hAnsi="宋体" w:eastAsia="宋体" w:cs="宋体"/>
          <w:b/>
          <w:sz w:val="44"/>
          <w:szCs w:val="44"/>
        </w:rPr>
      </w:pPr>
    </w:p>
    <w:p w14:paraId="4634745D">
      <w:pPr>
        <w:spacing w:line="276" w:lineRule="auto"/>
        <w:jc w:val="center"/>
        <w:rPr>
          <w:rFonts w:hint="eastAsia" w:ascii="宋体" w:hAnsi="宋体" w:eastAsia="宋体" w:cs="宋体"/>
          <w:b/>
          <w:sz w:val="44"/>
          <w:szCs w:val="44"/>
        </w:rPr>
      </w:pPr>
    </w:p>
    <w:p w14:paraId="54B19F63">
      <w:pPr>
        <w:spacing w:line="276" w:lineRule="auto"/>
        <w:jc w:val="center"/>
        <w:rPr>
          <w:rFonts w:hint="eastAsia" w:ascii="宋体" w:hAnsi="宋体" w:eastAsia="宋体" w:cs="宋体"/>
          <w:b/>
          <w:sz w:val="44"/>
          <w:szCs w:val="44"/>
        </w:rPr>
      </w:pPr>
    </w:p>
    <w:p w14:paraId="3DD4552C">
      <w:pPr>
        <w:spacing w:line="276" w:lineRule="auto"/>
        <w:jc w:val="center"/>
        <w:rPr>
          <w:rFonts w:hint="eastAsia" w:ascii="宋体" w:hAnsi="宋体" w:eastAsia="宋体" w:cs="宋体"/>
          <w:b/>
          <w:sz w:val="44"/>
          <w:szCs w:val="44"/>
        </w:rPr>
      </w:pPr>
    </w:p>
    <w:p w14:paraId="7AC0BB19">
      <w:pPr>
        <w:spacing w:line="276" w:lineRule="auto"/>
        <w:jc w:val="center"/>
        <w:rPr>
          <w:rFonts w:hint="eastAsia" w:ascii="宋体" w:hAnsi="宋体" w:eastAsia="宋体" w:cs="宋体"/>
          <w:b/>
          <w:sz w:val="44"/>
          <w:szCs w:val="44"/>
        </w:rPr>
      </w:pPr>
    </w:p>
    <w:p w14:paraId="5B06F9C7">
      <w:pPr>
        <w:spacing w:line="276" w:lineRule="auto"/>
        <w:jc w:val="center"/>
        <w:rPr>
          <w:rFonts w:hint="eastAsia" w:ascii="宋体" w:hAnsi="宋体" w:eastAsia="宋体" w:cs="宋体"/>
          <w:b/>
          <w:sz w:val="44"/>
          <w:szCs w:val="44"/>
        </w:rPr>
      </w:pPr>
    </w:p>
    <w:p w14:paraId="4DD1A52C">
      <w:pPr>
        <w:spacing w:line="276" w:lineRule="auto"/>
        <w:jc w:val="center"/>
        <w:rPr>
          <w:rFonts w:hint="eastAsia" w:ascii="宋体" w:hAnsi="宋体" w:eastAsia="宋体" w:cs="宋体"/>
          <w:b/>
          <w:sz w:val="44"/>
          <w:szCs w:val="44"/>
        </w:rPr>
      </w:pPr>
    </w:p>
    <w:p w14:paraId="3FBE4FE4">
      <w:pPr>
        <w:spacing w:line="276" w:lineRule="auto"/>
        <w:jc w:val="center"/>
        <w:rPr>
          <w:rFonts w:hint="eastAsia" w:ascii="宋体" w:hAnsi="宋体" w:eastAsia="宋体" w:cs="宋体"/>
          <w:b/>
          <w:sz w:val="44"/>
          <w:szCs w:val="44"/>
        </w:rPr>
      </w:pPr>
    </w:p>
    <w:p w14:paraId="2D4B79C3">
      <w:pPr>
        <w:spacing w:line="276" w:lineRule="auto"/>
        <w:jc w:val="center"/>
        <w:rPr>
          <w:rFonts w:hint="eastAsia" w:ascii="宋体" w:hAnsi="宋体" w:eastAsia="宋体" w:cs="宋体"/>
          <w:b/>
          <w:sz w:val="44"/>
          <w:szCs w:val="44"/>
        </w:rPr>
      </w:pPr>
    </w:p>
    <w:p w14:paraId="0E6377C3">
      <w:pPr>
        <w:spacing w:line="276" w:lineRule="auto"/>
        <w:jc w:val="center"/>
        <w:rPr>
          <w:rFonts w:hint="eastAsia" w:ascii="宋体" w:hAnsi="宋体" w:eastAsia="宋体" w:cs="宋体"/>
          <w:b/>
          <w:sz w:val="44"/>
          <w:szCs w:val="44"/>
        </w:rPr>
      </w:pPr>
    </w:p>
    <w:p w14:paraId="2D9810C1">
      <w:pPr>
        <w:spacing w:line="276" w:lineRule="auto"/>
        <w:jc w:val="center"/>
        <w:rPr>
          <w:rFonts w:hint="eastAsia" w:ascii="宋体" w:hAnsi="宋体" w:eastAsia="宋体" w:cs="宋体"/>
          <w:b/>
          <w:sz w:val="44"/>
          <w:szCs w:val="44"/>
        </w:rPr>
      </w:pPr>
    </w:p>
    <w:p w14:paraId="6443CF93">
      <w:pPr>
        <w:spacing w:line="276" w:lineRule="auto"/>
        <w:jc w:val="center"/>
        <w:rPr>
          <w:rFonts w:hint="eastAsia" w:ascii="宋体" w:hAnsi="宋体" w:eastAsia="宋体" w:cs="宋体"/>
          <w:b/>
          <w:sz w:val="44"/>
          <w:szCs w:val="44"/>
        </w:rPr>
      </w:pPr>
    </w:p>
    <w:p w14:paraId="699F1A61">
      <w:pPr>
        <w:spacing w:line="276" w:lineRule="auto"/>
        <w:jc w:val="center"/>
        <w:rPr>
          <w:rFonts w:hint="eastAsia" w:ascii="宋体" w:hAnsi="宋体" w:eastAsia="宋体" w:cs="宋体"/>
          <w:b/>
          <w:sz w:val="44"/>
          <w:szCs w:val="44"/>
        </w:rPr>
      </w:pPr>
    </w:p>
    <w:p w14:paraId="089F92CF">
      <w:pPr>
        <w:spacing w:line="276" w:lineRule="auto"/>
        <w:jc w:val="center"/>
        <w:rPr>
          <w:rFonts w:hint="eastAsia" w:ascii="宋体" w:hAnsi="宋体" w:eastAsia="宋体" w:cs="宋体"/>
          <w:b/>
          <w:sz w:val="44"/>
          <w:szCs w:val="44"/>
        </w:rPr>
      </w:pPr>
    </w:p>
    <w:p w14:paraId="44432137">
      <w:pPr>
        <w:spacing w:line="276" w:lineRule="auto"/>
        <w:jc w:val="center"/>
        <w:rPr>
          <w:rFonts w:hint="eastAsia" w:ascii="宋体" w:hAnsi="宋体" w:eastAsia="宋体" w:cs="宋体"/>
          <w:b/>
          <w:sz w:val="44"/>
          <w:szCs w:val="44"/>
        </w:rPr>
      </w:pPr>
    </w:p>
    <w:p w14:paraId="1047FB6A">
      <w:pPr>
        <w:spacing w:line="276" w:lineRule="auto"/>
        <w:jc w:val="center"/>
        <w:rPr>
          <w:b/>
          <w:sz w:val="44"/>
          <w:szCs w:val="44"/>
        </w:rPr>
      </w:pPr>
      <w:r>
        <w:rPr>
          <w:rFonts w:hint="eastAsia" w:ascii="宋体" w:hAnsi="宋体" w:eastAsia="宋体" w:cs="宋体"/>
          <w:b/>
          <w:sz w:val="44"/>
          <w:szCs w:val="44"/>
        </w:rPr>
        <w:t>鲁山县教育体育局鲁山县农村义务教育学校营养改善计划食材采购项目</w:t>
      </w:r>
    </w:p>
    <w:p w14:paraId="4DFEAC2A">
      <w:pPr>
        <w:pStyle w:val="6"/>
        <w:spacing w:before="267" w:line="220" w:lineRule="auto"/>
        <w:ind w:left="2957"/>
        <w:rPr>
          <w:rFonts w:asciiTheme="minorEastAsia" w:hAnsiTheme="minorEastAsia" w:eastAsiaTheme="minorEastAsia" w:cstheme="minorEastAsia"/>
          <w:b/>
          <w:bCs/>
          <w:spacing w:val="-14"/>
          <w:sz w:val="82"/>
          <w:szCs w:val="82"/>
          <w:lang w:eastAsia="zh-CN"/>
        </w:rPr>
      </w:pPr>
      <w:bookmarkStart w:id="0" w:name="_Toc16135"/>
    </w:p>
    <w:p w14:paraId="791B3949">
      <w:pPr>
        <w:pStyle w:val="6"/>
        <w:spacing w:before="267" w:line="220" w:lineRule="auto"/>
        <w:ind w:left="2957"/>
        <w:rPr>
          <w:rFonts w:asciiTheme="minorEastAsia" w:hAnsiTheme="minorEastAsia" w:eastAsiaTheme="minorEastAsia" w:cstheme="minorEastAsia"/>
          <w:sz w:val="82"/>
          <w:szCs w:val="82"/>
          <w:lang w:eastAsia="zh-CN"/>
        </w:rPr>
      </w:pPr>
      <w:r>
        <w:rPr>
          <w:rFonts w:hint="eastAsia" w:asciiTheme="minorEastAsia" w:hAnsiTheme="minorEastAsia" w:eastAsiaTheme="minorEastAsia" w:cstheme="minorEastAsia"/>
          <w:b/>
          <w:bCs/>
          <w:spacing w:val="-14"/>
          <w:sz w:val="82"/>
          <w:szCs w:val="82"/>
          <w:lang w:eastAsia="zh-CN"/>
        </w:rPr>
        <w:t>招标文件</w:t>
      </w:r>
      <w:bookmarkEnd w:id="0"/>
    </w:p>
    <w:p w14:paraId="42B53ADB">
      <w:pPr>
        <w:spacing w:line="271" w:lineRule="auto"/>
        <w:rPr>
          <w:rFonts w:asciiTheme="minorEastAsia" w:hAnsiTheme="minorEastAsia" w:eastAsiaTheme="minorEastAsia" w:cstheme="minorEastAsia"/>
          <w:lang w:eastAsia="zh-CN"/>
        </w:rPr>
      </w:pPr>
    </w:p>
    <w:p w14:paraId="43409B48">
      <w:pPr>
        <w:spacing w:line="271" w:lineRule="auto"/>
        <w:rPr>
          <w:rFonts w:asciiTheme="minorEastAsia" w:hAnsiTheme="minorEastAsia" w:eastAsiaTheme="minorEastAsia" w:cstheme="minorEastAsia"/>
          <w:lang w:eastAsia="zh-CN"/>
        </w:rPr>
      </w:pPr>
    </w:p>
    <w:p w14:paraId="408E2492">
      <w:pPr>
        <w:spacing w:line="271" w:lineRule="auto"/>
        <w:rPr>
          <w:rFonts w:asciiTheme="minorEastAsia" w:hAnsiTheme="minorEastAsia" w:eastAsiaTheme="minorEastAsia" w:cstheme="minorEastAsia"/>
          <w:lang w:eastAsia="zh-CN"/>
        </w:rPr>
      </w:pPr>
    </w:p>
    <w:p w14:paraId="4E0664E4">
      <w:pPr>
        <w:spacing w:line="360" w:lineRule="auto"/>
        <w:jc w:val="center"/>
        <w:rPr>
          <w:rFonts w:asciiTheme="minorEastAsia" w:hAnsiTheme="minorEastAsia" w:eastAsiaTheme="minorEastAsia" w:cstheme="minorEastAsia"/>
          <w:b/>
          <w:bCs/>
          <w:sz w:val="28"/>
          <w:szCs w:val="26"/>
          <w:highlight w:val="none"/>
          <w:lang w:eastAsia="zh-CN"/>
        </w:rPr>
      </w:pPr>
      <w:r>
        <w:rPr>
          <w:rFonts w:hint="eastAsia" w:asciiTheme="minorEastAsia" w:hAnsiTheme="minorEastAsia" w:eastAsiaTheme="minorEastAsia" w:cstheme="minorEastAsia"/>
          <w:b/>
          <w:bCs/>
          <w:sz w:val="28"/>
          <w:szCs w:val="26"/>
          <w:highlight w:val="none"/>
          <w:lang w:eastAsia="zh-CN"/>
        </w:rPr>
        <w:t>项目编号：鲁采招标-202</w:t>
      </w:r>
      <w:r>
        <w:rPr>
          <w:rFonts w:hint="eastAsia" w:asciiTheme="minorEastAsia" w:hAnsiTheme="minorEastAsia" w:eastAsiaTheme="minorEastAsia" w:cstheme="minorEastAsia"/>
          <w:b/>
          <w:bCs/>
          <w:sz w:val="28"/>
          <w:szCs w:val="26"/>
          <w:highlight w:val="none"/>
          <w:lang w:val="en-US" w:eastAsia="zh-CN"/>
        </w:rPr>
        <w:t>5</w:t>
      </w:r>
      <w:r>
        <w:rPr>
          <w:rFonts w:hint="eastAsia" w:asciiTheme="minorEastAsia" w:hAnsiTheme="minorEastAsia" w:eastAsiaTheme="minorEastAsia" w:cstheme="minorEastAsia"/>
          <w:b/>
          <w:bCs/>
          <w:sz w:val="28"/>
          <w:szCs w:val="26"/>
          <w:highlight w:val="none"/>
          <w:lang w:eastAsia="zh-CN"/>
        </w:rPr>
        <w:t>-6</w:t>
      </w:r>
      <w:r>
        <w:rPr>
          <w:rFonts w:hint="eastAsia" w:asciiTheme="minorEastAsia" w:hAnsiTheme="minorEastAsia" w:eastAsiaTheme="minorEastAsia" w:cstheme="minorEastAsia"/>
          <w:b/>
          <w:bCs/>
          <w:sz w:val="28"/>
          <w:szCs w:val="26"/>
          <w:highlight w:val="none"/>
          <w:lang w:val="en-US" w:eastAsia="zh-CN"/>
        </w:rPr>
        <w:t>6</w:t>
      </w:r>
    </w:p>
    <w:p w14:paraId="428CFDAA">
      <w:pPr>
        <w:spacing w:line="360" w:lineRule="auto"/>
        <w:jc w:val="center"/>
        <w:rPr>
          <w:rFonts w:asciiTheme="minorEastAsia" w:hAnsiTheme="minorEastAsia" w:eastAsiaTheme="minorEastAsia" w:cstheme="minorEastAsia"/>
          <w:b/>
          <w:bCs/>
          <w:sz w:val="44"/>
          <w:szCs w:val="44"/>
          <w:lang w:eastAsia="zh-CN"/>
        </w:rPr>
      </w:pPr>
      <w:r>
        <w:rPr>
          <w:color w:val="000000"/>
          <w:szCs w:val="32"/>
        </w:rPr>
        <w:drawing>
          <wp:anchor distT="0" distB="0" distL="114300" distR="114300" simplePos="0" relativeHeight="251659264" behindDoc="1" locked="0" layoutInCell="1" allowOverlap="1">
            <wp:simplePos x="0" y="0"/>
            <wp:positionH relativeFrom="column">
              <wp:posOffset>1633855</wp:posOffset>
            </wp:positionH>
            <wp:positionV relativeFrom="paragraph">
              <wp:posOffset>-36830</wp:posOffset>
            </wp:positionV>
            <wp:extent cx="2609850" cy="2990850"/>
            <wp:effectExtent l="0" t="0" r="0" b="0"/>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a:stretch>
                      <a:fillRect/>
                    </a:stretch>
                  </pic:blipFill>
                  <pic:spPr>
                    <a:xfrm>
                      <a:off x="0" y="0"/>
                      <a:ext cx="2609850" cy="2990850"/>
                    </a:xfrm>
                    <a:prstGeom prst="rect">
                      <a:avLst/>
                    </a:prstGeom>
                    <a:noFill/>
                    <a:ln>
                      <a:noFill/>
                    </a:ln>
                  </pic:spPr>
                </pic:pic>
              </a:graphicData>
            </a:graphic>
          </wp:anchor>
        </w:drawing>
      </w:r>
    </w:p>
    <w:p w14:paraId="05B352BF">
      <w:pPr>
        <w:spacing w:line="360" w:lineRule="auto"/>
        <w:rPr>
          <w:rFonts w:asciiTheme="minorEastAsia" w:hAnsiTheme="minorEastAsia" w:eastAsiaTheme="minorEastAsia" w:cstheme="minorEastAsia"/>
          <w:b/>
          <w:bCs/>
          <w:sz w:val="44"/>
          <w:szCs w:val="44"/>
          <w:lang w:eastAsia="zh-CN"/>
        </w:rPr>
      </w:pPr>
    </w:p>
    <w:p w14:paraId="01736EE1">
      <w:pPr>
        <w:spacing w:line="360" w:lineRule="auto"/>
        <w:rPr>
          <w:rFonts w:asciiTheme="minorEastAsia" w:hAnsiTheme="minorEastAsia" w:eastAsiaTheme="minorEastAsia" w:cstheme="minorEastAsia"/>
          <w:b/>
          <w:bCs/>
          <w:sz w:val="44"/>
          <w:szCs w:val="44"/>
          <w:lang w:eastAsia="zh-CN"/>
        </w:rPr>
      </w:pPr>
    </w:p>
    <w:p w14:paraId="520D3EC6">
      <w:pPr>
        <w:spacing w:line="360" w:lineRule="auto"/>
        <w:rPr>
          <w:rFonts w:asciiTheme="minorEastAsia" w:hAnsiTheme="minorEastAsia" w:eastAsiaTheme="minorEastAsia" w:cstheme="minorEastAsia"/>
          <w:b/>
          <w:bCs/>
          <w:sz w:val="30"/>
          <w:szCs w:val="30"/>
          <w:lang w:eastAsia="zh-CN"/>
        </w:rPr>
      </w:pPr>
    </w:p>
    <w:p w14:paraId="71F91894">
      <w:pPr>
        <w:spacing w:line="480" w:lineRule="auto"/>
        <w:rPr>
          <w:rFonts w:asciiTheme="minorEastAsia" w:hAnsiTheme="minorEastAsia" w:eastAsiaTheme="minorEastAsia" w:cstheme="minorEastAsia"/>
          <w:b/>
          <w:bCs/>
          <w:sz w:val="32"/>
          <w:szCs w:val="32"/>
          <w:lang w:eastAsia="zh-CN"/>
        </w:rPr>
      </w:pPr>
    </w:p>
    <w:p w14:paraId="703DF014">
      <w:pPr>
        <w:spacing w:line="480" w:lineRule="auto"/>
        <w:ind w:firstLine="1263" w:firstLineChars="393"/>
        <w:rPr>
          <w:rFonts w:asciiTheme="minorEastAsia" w:hAnsiTheme="minorEastAsia" w:eastAsiaTheme="minorEastAsia" w:cstheme="minorEastAsia"/>
          <w:b/>
          <w:bCs/>
          <w:sz w:val="32"/>
          <w:szCs w:val="32"/>
          <w:lang w:eastAsia="zh-CN"/>
        </w:rPr>
      </w:pPr>
    </w:p>
    <w:p w14:paraId="4CBFF66B">
      <w:pPr>
        <w:spacing w:line="480" w:lineRule="auto"/>
        <w:ind w:firstLine="1263" w:firstLineChars="393"/>
        <w:rPr>
          <w:rFonts w:asciiTheme="minorEastAsia" w:hAnsiTheme="minorEastAsia" w:eastAsiaTheme="minorEastAsia" w:cstheme="minorEastAsia"/>
          <w:b/>
          <w:bCs/>
          <w:sz w:val="32"/>
          <w:szCs w:val="32"/>
          <w:lang w:eastAsia="zh-CN"/>
        </w:rPr>
      </w:pPr>
      <w:bookmarkStart w:id="1" w:name="_Toc16241"/>
      <w:r>
        <w:rPr>
          <w:rFonts w:hint="eastAsia" w:asciiTheme="minorEastAsia" w:hAnsiTheme="minorEastAsia" w:eastAsiaTheme="minorEastAsia" w:cstheme="minorEastAsia"/>
          <w:b/>
          <w:bCs/>
          <w:sz w:val="32"/>
          <w:szCs w:val="32"/>
          <w:lang w:eastAsia="zh-CN"/>
        </w:rPr>
        <w:t>采   购   人：鲁山县教育体育局</w:t>
      </w:r>
      <w:bookmarkEnd w:id="1"/>
    </w:p>
    <w:p w14:paraId="6AD32775">
      <w:pPr>
        <w:spacing w:line="480" w:lineRule="auto"/>
        <w:ind w:firstLine="1263" w:firstLineChars="393"/>
        <w:rPr>
          <w:rFonts w:hint="default" w:asciiTheme="minorEastAsia" w:hAnsiTheme="minorEastAsia" w:eastAsiaTheme="minorEastAsia" w:cstheme="minorEastAsia"/>
          <w:b/>
          <w:bCs/>
          <w:sz w:val="32"/>
          <w:szCs w:val="32"/>
          <w:lang w:val="en-US" w:eastAsia="zh-CN"/>
        </w:rPr>
      </w:pPr>
      <w:bookmarkStart w:id="2" w:name="_Toc3379"/>
      <w:r>
        <w:rPr>
          <w:rFonts w:hint="eastAsia" w:asciiTheme="minorEastAsia" w:hAnsiTheme="minorEastAsia" w:eastAsiaTheme="minorEastAsia" w:cstheme="minorEastAsia"/>
          <w:b/>
          <w:bCs/>
          <w:sz w:val="32"/>
          <w:szCs w:val="32"/>
          <w:lang w:eastAsia="zh-CN"/>
        </w:rPr>
        <w:t>采购代理机构：</w:t>
      </w:r>
      <w:bookmarkEnd w:id="2"/>
      <w:r>
        <w:rPr>
          <w:rFonts w:hint="eastAsia" w:asciiTheme="minorEastAsia" w:hAnsiTheme="minorEastAsia" w:eastAsiaTheme="minorEastAsia" w:cstheme="minorEastAsia"/>
          <w:b/>
          <w:bCs/>
          <w:sz w:val="32"/>
          <w:szCs w:val="32"/>
          <w:lang w:val="en-US" w:eastAsia="zh-CN"/>
        </w:rPr>
        <w:t>河南润豫工程管理有限公司</w:t>
      </w:r>
    </w:p>
    <w:p w14:paraId="35A4E4B8">
      <w:pPr>
        <w:spacing w:line="480" w:lineRule="auto"/>
        <w:ind w:firstLine="1263" w:firstLineChars="393"/>
        <w:rPr>
          <w:rFonts w:asciiTheme="minorEastAsia" w:hAnsiTheme="minorEastAsia" w:eastAsiaTheme="minorEastAsia" w:cstheme="minorEastAsia"/>
          <w:b/>
          <w:bCs/>
          <w:sz w:val="32"/>
          <w:szCs w:val="32"/>
        </w:rPr>
      </w:pPr>
      <w:bookmarkStart w:id="3" w:name="_Toc22750"/>
      <w:r>
        <w:rPr>
          <w:rFonts w:hint="eastAsia" w:asciiTheme="minorEastAsia" w:hAnsiTheme="minorEastAsia" w:eastAsiaTheme="minorEastAsia" w:cstheme="minorEastAsia"/>
          <w:b/>
          <w:bCs/>
          <w:sz w:val="32"/>
          <w:szCs w:val="32"/>
        </w:rPr>
        <w:t>日        期：二〇二</w:t>
      </w:r>
      <w:r>
        <w:rPr>
          <w:rFonts w:hint="eastAsia" w:asciiTheme="minorEastAsia" w:hAnsiTheme="minorEastAsia" w:eastAsiaTheme="minorEastAsia" w:cstheme="minorEastAsia"/>
          <w:b/>
          <w:bCs/>
          <w:sz w:val="32"/>
          <w:szCs w:val="32"/>
          <w:lang w:val="en-US" w:eastAsia="zh-CN"/>
        </w:rPr>
        <w:t>五</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eastAsia="zh-CN"/>
        </w:rPr>
        <w:t>七</w:t>
      </w:r>
      <w:r>
        <w:rPr>
          <w:rFonts w:hint="eastAsia" w:asciiTheme="minorEastAsia" w:hAnsiTheme="minorEastAsia" w:eastAsiaTheme="minorEastAsia" w:cstheme="minorEastAsia"/>
          <w:b/>
          <w:bCs/>
          <w:sz w:val="32"/>
          <w:szCs w:val="32"/>
        </w:rPr>
        <w:t>月</w:t>
      </w:r>
      <w:bookmarkEnd w:id="3"/>
    </w:p>
    <w:p w14:paraId="6B6FBE13">
      <w:pPr>
        <w:jc w:val="center"/>
        <w:rPr>
          <w:rFonts w:asciiTheme="minorEastAsia" w:hAnsiTheme="minorEastAsia" w:eastAsiaTheme="minorEastAsia"/>
        </w:rPr>
        <w:sectPr>
          <w:headerReference r:id="rId4" w:type="first"/>
          <w:headerReference r:id="rId3" w:type="default"/>
          <w:pgSz w:w="11907" w:h="16841"/>
          <w:pgMar w:top="1417" w:right="1417" w:bottom="1417" w:left="1417" w:header="863" w:footer="998" w:gutter="0"/>
          <w:pgBorders>
            <w:top w:val="none" w:sz="0" w:space="0"/>
            <w:left w:val="none" w:sz="0" w:space="0"/>
            <w:bottom w:val="none" w:sz="0" w:space="0"/>
            <w:right w:val="none" w:sz="0" w:space="0"/>
          </w:pgBorders>
          <w:pgNumType w:fmt="numberInDash"/>
          <w:cols w:space="0" w:num="1"/>
          <w:titlePg/>
        </w:sectPr>
      </w:pPr>
    </w:p>
    <w:sdt>
      <w:sdtPr>
        <w:rPr>
          <w:rFonts w:asciiTheme="minorEastAsia" w:hAnsiTheme="minorEastAsia" w:eastAsiaTheme="minorEastAsia"/>
        </w:rPr>
        <w:id w:val="147458357"/>
        <w:docPartObj>
          <w:docPartGallery w:val="Table of Contents"/>
          <w:docPartUnique/>
        </w:docPartObj>
      </w:sdtPr>
      <w:sdtEndPr>
        <w:rPr>
          <w:rFonts w:hint="eastAsia" w:ascii="宋体" w:hAnsi="宋体" w:eastAsia="宋体" w:cs="宋体"/>
          <w:sz w:val="24"/>
          <w:szCs w:val="24"/>
        </w:rPr>
      </w:sdtEndPr>
      <w:sdtContent>
        <w:p w14:paraId="1C783413">
          <w:pPr>
            <w:jc w:val="center"/>
            <w:rPr>
              <w:rFonts w:asciiTheme="minorEastAsia" w:hAnsiTheme="minorEastAsia" w:eastAsiaTheme="minorEastAsia"/>
            </w:rPr>
          </w:pPr>
        </w:p>
        <w:p w14:paraId="00EDAED6">
          <w:pPr>
            <w:rPr>
              <w:rFonts w:asciiTheme="minorEastAsia" w:hAnsiTheme="minorEastAsia" w:eastAsiaTheme="minorEastAsia"/>
            </w:rPr>
          </w:pPr>
        </w:p>
        <w:p w14:paraId="3B3F6896">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目</w:t>
          </w:r>
          <w:r>
            <w:rPr>
              <w:rFonts w:hint="eastAsia" w:asciiTheme="minorEastAsia" w:hAnsiTheme="minorEastAsia" w:eastAsiaTheme="minorEastAsia"/>
              <w:b/>
              <w:bCs/>
              <w:sz w:val="32"/>
              <w:szCs w:val="32"/>
              <w:lang w:val="en-US" w:eastAsia="zh-CN"/>
            </w:rPr>
            <w:t xml:space="preserve">  </w:t>
          </w:r>
          <w:r>
            <w:rPr>
              <w:rFonts w:asciiTheme="minorEastAsia" w:hAnsiTheme="minorEastAsia" w:eastAsiaTheme="minorEastAsia"/>
              <w:b/>
              <w:bCs/>
              <w:sz w:val="32"/>
              <w:szCs w:val="32"/>
            </w:rPr>
            <w:t>录</w:t>
          </w:r>
        </w:p>
        <w:p w14:paraId="51A42D71">
          <w:pPr>
            <w:pStyle w:val="14"/>
            <w:tabs>
              <w:tab w:val="right" w:leader="dot" w:pos="9073"/>
            </w:tabs>
            <w:rPr>
              <w:rFonts w:asciiTheme="minorEastAsia" w:hAnsiTheme="minorEastAsia" w:eastAsiaTheme="minorEastAsia"/>
            </w:rPr>
          </w:pPr>
        </w:p>
        <w:p w14:paraId="7A2245ED">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_Toc19681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第一部分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_Toc19681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47CDB1">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第二部分</w:t>
          </w:r>
          <w:r>
            <w:rPr>
              <w:rFonts w:hint="eastAsia" w:ascii="宋体" w:hAnsi="宋体" w:eastAsia="宋体" w:cs="宋体"/>
              <w:spacing w:val="-5"/>
              <w:sz w:val="24"/>
              <w:szCs w:val="24"/>
              <w:lang w:eastAsia="zh-CN"/>
            </w:rPr>
            <w:t xml:space="preserve"> </w:t>
          </w:r>
          <w:r>
            <w:rPr>
              <w:rFonts w:hint="eastAsia" w:ascii="宋体" w:hAnsi="宋体" w:eastAsia="宋体" w:cs="宋体"/>
              <w:bCs/>
              <w:spacing w:val="-5"/>
              <w:sz w:val="24"/>
              <w:szCs w:val="24"/>
              <w:lang w:eastAsia="zh-CN"/>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_Toc809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73F103">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_Toc12011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_Toc12011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364315">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_Toc20230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第三部分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_Toc20230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6A5FE5">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_Toc5888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第四部分 技术标准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_Toc5888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A2353A">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_Toc20195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第五部分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_Toc20195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206DE2">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_Toc7608 </w:instrText>
          </w:r>
          <w:r>
            <w:rPr>
              <w:rFonts w:hint="eastAsia" w:ascii="宋体" w:hAnsi="宋体" w:eastAsia="宋体" w:cs="宋体"/>
              <w:sz w:val="24"/>
              <w:szCs w:val="24"/>
            </w:rPr>
            <w:fldChar w:fldCharType="separate"/>
          </w:r>
          <w:r>
            <w:rPr>
              <w:rFonts w:hint="eastAsia" w:ascii="宋体" w:hAnsi="宋体" w:eastAsia="宋体" w:cs="宋体"/>
              <w:bCs/>
              <w:spacing w:val="-8"/>
              <w:sz w:val="24"/>
              <w:szCs w:val="24"/>
            </w:rPr>
            <w:t>1.开标一览表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_Toc7608 \h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9999C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_Toc7152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lang w:eastAsia="zh-CN"/>
            </w:rPr>
            <w:t>2.投标函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_Toc7152 \h </w:instrText>
          </w:r>
          <w:r>
            <w:rPr>
              <w:rFonts w:hint="eastAsia" w:ascii="宋体" w:hAnsi="宋体" w:eastAsia="宋体" w:cs="宋体"/>
              <w:sz w:val="24"/>
              <w:szCs w:val="24"/>
            </w:rPr>
            <w:fldChar w:fldCharType="separate"/>
          </w:r>
          <w:r>
            <w:rPr>
              <w:rFonts w:hint="eastAsia" w:ascii="宋体" w:hAnsi="宋体" w:eastAsia="宋体" w:cs="宋体"/>
              <w:sz w:val="24"/>
              <w:szCs w:val="24"/>
            </w:rPr>
            <w:t>- 38 -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A8FFBA">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_Toc13970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lang w:eastAsia="zh-CN"/>
            </w:rPr>
            <w:t>3.授权委托书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_Toc13970 \h </w:instrText>
          </w:r>
          <w:r>
            <w:rPr>
              <w:rFonts w:hint="eastAsia" w:ascii="宋体" w:hAnsi="宋体" w:eastAsia="宋体" w:cs="宋体"/>
              <w:sz w:val="24"/>
              <w:szCs w:val="24"/>
            </w:rPr>
            <w:fldChar w:fldCharType="separate"/>
          </w:r>
          <w:r>
            <w:rPr>
              <w:rFonts w:hint="eastAsia" w:ascii="宋体" w:hAnsi="宋体" w:eastAsia="宋体" w:cs="宋体"/>
              <w:sz w:val="24"/>
              <w:szCs w:val="24"/>
            </w:rPr>
            <w:t>- 39 -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0CFA9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_Toc26231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lang w:eastAsia="zh-CN"/>
            </w:rPr>
            <w:t>4.招标实质性要求和条件承诺书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_Toc26231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F6118A">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_Toc22614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lang w:eastAsia="zh-CN"/>
            </w:rPr>
            <w:t>5.近三年来完成的类似项目情况表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_Toc22614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9C8E00">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_Toc15170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lang w:eastAsia="zh-CN"/>
            </w:rPr>
            <w:t>6</w:t>
          </w:r>
          <w:r>
            <w:rPr>
              <w:rFonts w:hint="eastAsia" w:ascii="宋体" w:hAnsi="宋体" w:eastAsia="宋体" w:cs="宋体"/>
              <w:bCs/>
              <w:spacing w:val="-4"/>
              <w:sz w:val="24"/>
              <w:szCs w:val="24"/>
            </w:rPr>
            <w:t>.投标人资格证明文件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_Toc15170 \h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AD160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_Toc29015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lang w:eastAsia="zh-CN"/>
            </w:rPr>
            <w:t>7</w:t>
          </w:r>
          <w:r>
            <w:rPr>
              <w:rFonts w:hint="eastAsia" w:ascii="宋体" w:hAnsi="宋体" w:eastAsia="宋体" w:cs="宋体"/>
              <w:bCs/>
              <w:spacing w:val="3"/>
              <w:sz w:val="24"/>
              <w:szCs w:val="24"/>
            </w:rPr>
            <w:t>.技术标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_Toc29015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F6656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_Toc22842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lang w:eastAsia="zh-CN"/>
            </w:rPr>
            <w:t>8</w:t>
          </w:r>
          <w:r>
            <w:rPr>
              <w:rFonts w:hint="eastAsia" w:ascii="宋体" w:hAnsi="宋体" w:eastAsia="宋体" w:cs="宋体"/>
              <w:spacing w:val="2"/>
              <w:sz w:val="24"/>
              <w:szCs w:val="24"/>
            </w:rPr>
            <w:t>.</w:t>
          </w:r>
          <w:r>
            <w:rPr>
              <w:rFonts w:hint="eastAsia" w:ascii="宋体" w:hAnsi="宋体" w:eastAsia="宋体" w:cs="宋体"/>
              <w:bCs/>
              <w:spacing w:val="2"/>
              <w:sz w:val="24"/>
              <w:szCs w:val="24"/>
            </w:rPr>
            <w:t>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_Toc22842 \h </w:instrText>
          </w:r>
          <w:r>
            <w:rPr>
              <w:rFonts w:hint="eastAsia" w:ascii="宋体" w:hAnsi="宋体" w:eastAsia="宋体" w:cs="宋体"/>
              <w:sz w:val="24"/>
              <w:szCs w:val="24"/>
            </w:rPr>
            <w:fldChar w:fldCharType="separate"/>
          </w:r>
          <w:r>
            <w:rPr>
              <w:rFonts w:hint="eastAsia" w:ascii="宋体" w:hAnsi="宋体" w:eastAsia="宋体" w:cs="宋体"/>
              <w:sz w:val="24"/>
              <w:szCs w:val="24"/>
            </w:rPr>
            <w:t>- 44 -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1874C64">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_Toc20252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_Toc20252 \h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D359EA">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_Toc16649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_Toc16649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89FE22">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_Toc7157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监狱企业证明函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_Toc7157 \h </w:instrText>
          </w:r>
          <w:r>
            <w:rPr>
              <w:rFonts w:hint="eastAsia" w:ascii="宋体" w:hAnsi="宋体" w:eastAsia="宋体" w:cs="宋体"/>
              <w:sz w:val="24"/>
              <w:szCs w:val="24"/>
            </w:rPr>
            <w:fldChar w:fldCharType="separate"/>
          </w:r>
          <w:r>
            <w:rPr>
              <w:rFonts w:hint="eastAsia" w:ascii="宋体" w:hAnsi="宋体" w:eastAsia="宋体" w:cs="宋体"/>
              <w:sz w:val="24"/>
              <w:szCs w:val="24"/>
            </w:rPr>
            <w:t>- 47 -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12CA91">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_Toc14023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政</w:t>
          </w:r>
          <w:r>
            <w:rPr>
              <w:rFonts w:hint="eastAsia" w:ascii="宋体" w:hAnsi="宋体" w:eastAsia="宋体" w:cs="宋体"/>
              <w:bCs/>
              <w:spacing w:val="-4"/>
              <w:sz w:val="24"/>
              <w:szCs w:val="24"/>
              <w:lang w:val="en-US" w:eastAsia="en-US"/>
            </w:rPr>
            <w:t>府采购投标人信用承诺函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_Toc14023 \h </w:instrText>
          </w:r>
          <w:r>
            <w:rPr>
              <w:rFonts w:hint="eastAsia" w:ascii="宋体" w:hAnsi="宋体" w:eastAsia="宋体" w:cs="宋体"/>
              <w:sz w:val="24"/>
              <w:szCs w:val="24"/>
            </w:rPr>
            <w:fldChar w:fldCharType="separate"/>
          </w:r>
          <w:r>
            <w:rPr>
              <w:rFonts w:hint="eastAsia" w:ascii="宋体" w:hAnsi="宋体" w:eastAsia="宋体" w:cs="宋体"/>
              <w:sz w:val="24"/>
              <w:szCs w:val="24"/>
            </w:rPr>
            <w:t>- 48 -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9AA282">
          <w:pPr>
            <w:pStyle w:val="14"/>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_Toc27265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第六部分 评分标准和方法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_Toc27265 \h </w:instrText>
          </w:r>
          <w:r>
            <w:rPr>
              <w:rFonts w:hint="eastAsia" w:ascii="宋体" w:hAnsi="宋体" w:eastAsia="宋体" w:cs="宋体"/>
              <w:sz w:val="24"/>
              <w:szCs w:val="24"/>
            </w:rPr>
            <w:fldChar w:fldCharType="separate"/>
          </w:r>
          <w:r>
            <w:rPr>
              <w:rFonts w:hint="eastAsia" w:ascii="宋体" w:hAnsi="宋体" w:eastAsia="宋体" w:cs="宋体"/>
              <w:sz w:val="24"/>
              <w:szCs w:val="24"/>
            </w:rPr>
            <w:t>- 49 -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6D7E5C">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_Toc28144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评标办法前附表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_Toc28144 \h </w:instrText>
          </w:r>
          <w:r>
            <w:rPr>
              <w:rFonts w:hint="eastAsia" w:ascii="宋体" w:hAnsi="宋体" w:eastAsia="宋体" w:cs="宋体"/>
              <w:sz w:val="24"/>
              <w:szCs w:val="24"/>
            </w:rPr>
            <w:fldChar w:fldCharType="separate"/>
          </w:r>
          <w:r>
            <w:rPr>
              <w:rFonts w:hint="eastAsia" w:ascii="宋体" w:hAnsi="宋体" w:eastAsia="宋体" w:cs="宋体"/>
              <w:sz w:val="24"/>
              <w:szCs w:val="24"/>
            </w:rPr>
            <w:t>- 49 -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F0445B">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_Toc17980 </w:instrText>
          </w:r>
          <w:r>
            <w:rPr>
              <w:rFonts w:hint="eastAsia" w:ascii="宋体" w:hAnsi="宋体" w:eastAsia="宋体" w:cs="宋体"/>
              <w:sz w:val="24"/>
              <w:szCs w:val="24"/>
            </w:rPr>
            <w:fldChar w:fldCharType="separate"/>
          </w:r>
          <w:r>
            <w:rPr>
              <w:rFonts w:hint="eastAsia" w:ascii="宋体" w:hAnsi="宋体" w:eastAsia="宋体" w:cs="宋体"/>
              <w:bCs/>
              <w:spacing w:val="-1"/>
              <w:sz w:val="24"/>
              <w:szCs w:val="24"/>
              <w:lang w:eastAsia="zh-CN"/>
            </w:rPr>
            <w:t>1.评标方法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_Toc17980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E01720">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_Toc6716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lang w:eastAsia="zh-CN"/>
            </w:rPr>
            <w:t>2.评审标准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_Toc6716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B16DE8">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_Toc14722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lang w:eastAsia="zh-CN"/>
            </w:rPr>
            <w:t>2.1</w:t>
          </w:r>
          <w:r>
            <w:rPr>
              <w:rFonts w:hint="eastAsia" w:ascii="宋体" w:hAnsi="宋体" w:eastAsia="宋体" w:cs="宋体"/>
              <w:spacing w:val="4"/>
              <w:sz w:val="24"/>
              <w:szCs w:val="24"/>
              <w:lang w:eastAsia="zh-CN"/>
            </w:rPr>
            <w:t xml:space="preserve"> </w:t>
          </w:r>
          <w:r>
            <w:rPr>
              <w:rFonts w:hint="eastAsia" w:ascii="宋体" w:hAnsi="宋体" w:eastAsia="宋体" w:cs="宋体"/>
              <w:bCs/>
              <w:spacing w:val="4"/>
              <w:sz w:val="24"/>
              <w:szCs w:val="24"/>
              <w:lang w:eastAsia="zh-CN"/>
            </w:rPr>
            <w:t>初步评审标准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_Toc14722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58CDCC">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_Toc13329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2.2</w:t>
          </w:r>
          <w:r>
            <w:rPr>
              <w:rFonts w:hint="eastAsia" w:ascii="宋体" w:hAnsi="宋体" w:eastAsia="宋体" w:cs="宋体"/>
              <w:spacing w:val="5"/>
              <w:sz w:val="24"/>
              <w:szCs w:val="24"/>
              <w:lang w:eastAsia="zh-CN"/>
            </w:rPr>
            <w:t xml:space="preserve"> </w:t>
          </w:r>
          <w:r>
            <w:rPr>
              <w:rFonts w:hint="eastAsia" w:ascii="宋体" w:hAnsi="宋体" w:eastAsia="宋体" w:cs="宋体"/>
              <w:bCs/>
              <w:spacing w:val="5"/>
              <w:sz w:val="24"/>
              <w:szCs w:val="24"/>
              <w:lang w:eastAsia="zh-CN"/>
            </w:rPr>
            <w:t>分值构成与评分标准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_Toc13329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1A075E">
          <w:pPr>
            <w:pStyle w:val="16"/>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_Toc31918 </w:instrText>
          </w:r>
          <w:r>
            <w:rPr>
              <w:rFonts w:hint="eastAsia" w:ascii="宋体" w:hAnsi="宋体" w:eastAsia="宋体" w:cs="宋体"/>
              <w:sz w:val="24"/>
              <w:szCs w:val="24"/>
            </w:rPr>
            <w:fldChar w:fldCharType="separate"/>
          </w:r>
          <w:r>
            <w:rPr>
              <w:rFonts w:hint="eastAsia" w:ascii="宋体" w:hAnsi="宋体" w:eastAsia="宋体" w:cs="宋体"/>
              <w:bCs/>
              <w:spacing w:val="1"/>
              <w:sz w:val="24"/>
              <w:szCs w:val="24"/>
              <w:lang w:eastAsia="zh-CN"/>
            </w:rPr>
            <w:t>3.评标程序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_Toc31918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C93526">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_Toc30118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lang w:eastAsia="zh-CN"/>
            </w:rPr>
            <w:t>3.1</w:t>
          </w:r>
          <w:r>
            <w:rPr>
              <w:rFonts w:hint="eastAsia" w:ascii="宋体" w:hAnsi="宋体" w:eastAsia="宋体" w:cs="宋体"/>
              <w:spacing w:val="3"/>
              <w:sz w:val="24"/>
              <w:szCs w:val="24"/>
              <w:lang w:eastAsia="zh-CN"/>
            </w:rPr>
            <w:t xml:space="preserve"> </w:t>
          </w:r>
          <w:r>
            <w:rPr>
              <w:rFonts w:hint="eastAsia" w:ascii="宋体" w:hAnsi="宋体" w:eastAsia="宋体" w:cs="宋体"/>
              <w:bCs/>
              <w:spacing w:val="3"/>
              <w:sz w:val="24"/>
              <w:szCs w:val="24"/>
              <w:lang w:eastAsia="zh-CN"/>
            </w:rPr>
            <w:t>初步评审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_Toc30118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5A3F8D">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_Toc24388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3.2</w:t>
          </w:r>
          <w:r>
            <w:rPr>
              <w:rFonts w:hint="eastAsia" w:ascii="宋体" w:hAnsi="宋体" w:eastAsia="宋体" w:cs="宋体"/>
              <w:spacing w:val="26"/>
              <w:sz w:val="24"/>
              <w:szCs w:val="24"/>
              <w:lang w:eastAsia="zh-CN"/>
            </w:rPr>
            <w:t xml:space="preserve"> </w:t>
          </w:r>
          <w:r>
            <w:rPr>
              <w:rFonts w:hint="eastAsia" w:ascii="宋体" w:hAnsi="宋体" w:eastAsia="宋体" w:cs="宋体"/>
              <w:bCs/>
              <w:sz w:val="24"/>
              <w:szCs w:val="24"/>
              <w:lang w:eastAsia="zh-CN"/>
            </w:rPr>
            <w:t>详细评审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_Toc24388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F86EB2">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_Toc32267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eastAsia="zh-CN"/>
            </w:rPr>
            <w:t>3.3</w:t>
          </w:r>
          <w:r>
            <w:rPr>
              <w:rFonts w:hint="eastAsia" w:ascii="宋体" w:hAnsi="宋体" w:eastAsia="宋体" w:cs="宋体"/>
              <w:spacing w:val="5"/>
              <w:sz w:val="24"/>
              <w:szCs w:val="24"/>
              <w:lang w:eastAsia="zh-CN"/>
            </w:rPr>
            <w:t xml:space="preserve"> </w:t>
          </w:r>
          <w:r>
            <w:rPr>
              <w:rFonts w:hint="eastAsia" w:ascii="宋体" w:hAnsi="宋体" w:eastAsia="宋体" w:cs="宋体"/>
              <w:bCs/>
              <w:spacing w:val="5"/>
              <w:sz w:val="24"/>
              <w:szCs w:val="24"/>
              <w:lang w:eastAsia="zh-CN"/>
            </w:rPr>
            <w:t>投标文件的澄清和补正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_Toc32267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12FBA1">
          <w:pPr>
            <w:pStyle w:val="8"/>
            <w:tabs>
              <w:tab w:val="right" w:leader="dot" w:pos="9073"/>
            </w:tabs>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_Toc17215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lang w:eastAsia="zh-CN"/>
            </w:rPr>
            <w:t>3.4</w:t>
          </w:r>
          <w:r>
            <w:rPr>
              <w:rFonts w:hint="eastAsia" w:ascii="宋体" w:hAnsi="宋体" w:eastAsia="宋体" w:cs="宋体"/>
              <w:spacing w:val="3"/>
              <w:sz w:val="24"/>
              <w:szCs w:val="24"/>
              <w:lang w:eastAsia="zh-CN"/>
            </w:rPr>
            <w:t xml:space="preserve"> </w:t>
          </w:r>
          <w:r>
            <w:rPr>
              <w:rFonts w:hint="eastAsia" w:ascii="宋体" w:hAnsi="宋体" w:eastAsia="宋体" w:cs="宋体"/>
              <w:bCs/>
              <w:spacing w:val="3"/>
              <w:sz w:val="24"/>
              <w:szCs w:val="24"/>
              <w:lang w:eastAsia="zh-CN"/>
            </w:rPr>
            <w:t>评标结果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_Toc17215 \h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247C2F">
          <w:r>
            <w:rPr>
              <w:rFonts w:hint="eastAsia" w:ascii="宋体" w:hAnsi="宋体" w:eastAsia="宋体" w:cs="宋体"/>
              <w:sz w:val="24"/>
              <w:szCs w:val="24"/>
            </w:rPr>
            <w:fldChar w:fldCharType="end"/>
          </w:r>
          <w:bookmarkStart w:id="4" w:name="bookmark1"/>
          <w:bookmarkEnd w:id="4"/>
        </w:p>
      </w:sdtContent>
    </w:sdt>
    <w:sdt>
      <w:sdtPr>
        <w:rPr>
          <w:rFonts w:hint="eastAsia" w:asciiTheme="minorEastAsia" w:hAnsiTheme="minorEastAsia" w:eastAsiaTheme="minorEastAsia" w:cstheme="minorEastAsia"/>
          <w:sz w:val="24"/>
          <w:szCs w:val="24"/>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p w14:paraId="57BD6439">
          <w:pPr>
            <w:spacing w:line="240" w:lineRule="auto"/>
            <w:rPr>
              <w:rFonts w:hint="eastAsia" w:asciiTheme="minorEastAsia" w:hAnsiTheme="minorEastAsia" w:eastAsiaTheme="minorEastAsia" w:cstheme="minorEastAsia"/>
              <w:sz w:val="28"/>
              <w:szCs w:val="28"/>
            </w:rPr>
            <w:sectPr>
              <w:footerReference r:id="rId6" w:type="first"/>
              <w:footerReference r:id="rId5" w:type="default"/>
              <w:pgSz w:w="11907" w:h="16841"/>
              <w:pgMar w:top="1417" w:right="1417" w:bottom="1417" w:left="1417" w:header="863" w:footer="998" w:gutter="0"/>
              <w:pgBorders>
                <w:top w:val="none" w:sz="0" w:space="0"/>
                <w:left w:val="none" w:sz="0" w:space="0"/>
                <w:bottom w:val="none" w:sz="0" w:space="0"/>
                <w:right w:val="none" w:sz="0" w:space="0"/>
              </w:pgBorders>
              <w:pgNumType w:fmt="numberInDash" w:start="1"/>
              <w:cols w:space="0" w:num="1"/>
              <w:titlePg/>
            </w:sectPr>
          </w:pPr>
        </w:p>
        <w:p w14:paraId="60F731C8">
          <w:pPr>
            <w:pStyle w:val="6"/>
            <w:keepNext w:val="0"/>
            <w:keepLines w:val="0"/>
            <w:pageBreakBefore w:val="0"/>
            <w:widowControl/>
            <w:kinsoku w:val="0"/>
            <w:wordWrap/>
            <w:overflowPunct/>
            <w:topLinePunct w:val="0"/>
            <w:autoSpaceDE w:val="0"/>
            <w:autoSpaceDN w:val="0"/>
            <w:bidi w:val="0"/>
            <w:adjustRightInd w:val="0"/>
            <w:snapToGrid w:val="0"/>
            <w:spacing w:before="117" w:line="221" w:lineRule="auto"/>
            <w:textAlignment w:val="baseline"/>
            <w:outlineLvl w:val="9"/>
          </w:pPr>
          <w:bookmarkStart w:id="5" w:name="_Toc19681"/>
        </w:p>
      </w:sdtContent>
    </w:sdt>
    <w:p w14:paraId="4FE3CD4C">
      <w:pPr>
        <w:pStyle w:val="6"/>
        <w:spacing w:before="117" w:line="220" w:lineRule="auto"/>
        <w:jc w:val="center"/>
        <w:outlineLvl w:val="0"/>
        <w:rPr>
          <w:rFonts w:hint="eastAsia" w:asciiTheme="minorEastAsia" w:hAnsiTheme="minorEastAsia" w:eastAsiaTheme="minorEastAsia" w:cstheme="minorEastAsia"/>
          <w:b/>
          <w:bCs/>
          <w:spacing w:val="-5"/>
          <w:sz w:val="36"/>
          <w:szCs w:val="36"/>
          <w:lang w:eastAsia="zh-CN"/>
        </w:rPr>
      </w:pPr>
      <w:r>
        <w:rPr>
          <w:rFonts w:hint="eastAsia" w:asciiTheme="minorEastAsia" w:hAnsiTheme="minorEastAsia" w:eastAsiaTheme="minorEastAsia" w:cstheme="minorEastAsia"/>
          <w:b/>
          <w:bCs/>
          <w:spacing w:val="-5"/>
          <w:sz w:val="36"/>
          <w:szCs w:val="36"/>
          <w:lang w:eastAsia="zh-CN"/>
        </w:rPr>
        <w:t>第一部分 招标公告</w:t>
      </w:r>
      <w:bookmarkEnd w:id="5"/>
    </w:p>
    <w:p w14:paraId="116D5C53">
      <w:pPr>
        <w:rPr>
          <w:rFonts w:asciiTheme="minorEastAsia" w:hAnsiTheme="minorEastAsia" w:eastAsiaTheme="minorEastAsia" w:cstheme="minorEastAsia"/>
          <w:lang w:eastAsia="zh-CN"/>
        </w:rPr>
      </w:pPr>
    </w:p>
    <w:p w14:paraId="6299B77A">
      <w:pPr>
        <w:pStyle w:val="19"/>
        <w:spacing w:line="360" w:lineRule="auto"/>
        <w:ind w:firstLine="0" w:firstLineChars="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项目概况</w:t>
      </w:r>
    </w:p>
    <w:p w14:paraId="01725C20">
      <w:pPr>
        <w:pStyle w:val="19"/>
        <w:spacing w:line="360"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eastAsia="zh-CN"/>
        </w:rPr>
        <w:t>鲁山县教育体育局鲁山县农村义务教育学校营养改善计划食材采购项目招标项目的潜在投标人应在平顶山市公共资源交易中心网获取招标文件，并于</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年0</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日09时00分（北京时间）前递交投标文件。</w:t>
      </w:r>
    </w:p>
    <w:p w14:paraId="1ABA8B11">
      <w:pPr>
        <w:pStyle w:val="19"/>
        <w:spacing w:line="360" w:lineRule="auto"/>
        <w:ind w:firstLine="480" w:firstLineChars="200"/>
        <w:rPr>
          <w:rFonts w:asciiTheme="minorEastAsia" w:hAnsiTheme="minorEastAsia" w:eastAsiaTheme="minorEastAsia" w:cstheme="minorEastAsia"/>
          <w:sz w:val="24"/>
          <w:szCs w:val="24"/>
          <w:lang w:eastAsia="zh-CN"/>
        </w:rPr>
      </w:pPr>
      <w:bookmarkStart w:id="6" w:name="_Toc10105"/>
      <w:r>
        <w:rPr>
          <w:rFonts w:hint="eastAsia" w:asciiTheme="minorEastAsia" w:hAnsiTheme="minorEastAsia" w:eastAsiaTheme="minorEastAsia" w:cstheme="minorEastAsia"/>
          <w:sz w:val="24"/>
          <w:szCs w:val="24"/>
          <w:lang w:eastAsia="zh-CN"/>
        </w:rPr>
        <w:t>一、项目基本情况</w:t>
      </w:r>
      <w:bookmarkEnd w:id="6"/>
    </w:p>
    <w:p w14:paraId="1A8FDC5A">
      <w:pPr>
        <w:pStyle w:val="19"/>
        <w:spacing w:line="360" w:lineRule="auto"/>
        <w:ind w:firstLine="480" w:firstLineChars="200"/>
        <w:rPr>
          <w:rFonts w:asciiTheme="minorEastAsia" w:hAnsiTheme="minorEastAsia" w:eastAsiaTheme="minorEastAsia" w:cstheme="minorEastAsia"/>
          <w:sz w:val="24"/>
          <w:szCs w:val="24"/>
          <w:highlight w:val="yellow"/>
          <w:lang w:eastAsia="zh-CN"/>
        </w:rPr>
      </w:pPr>
      <w:bookmarkStart w:id="7" w:name="_Toc29290"/>
      <w:r>
        <w:rPr>
          <w:rFonts w:hint="eastAsia" w:asciiTheme="minorEastAsia" w:hAnsiTheme="minorEastAsia" w:eastAsiaTheme="minorEastAsia" w:cstheme="minorEastAsia"/>
          <w:sz w:val="24"/>
          <w:szCs w:val="24"/>
          <w:lang w:eastAsia="zh-CN"/>
        </w:rPr>
        <w:t>1、项目编号：</w:t>
      </w:r>
      <w:bookmarkEnd w:id="7"/>
      <w:r>
        <w:rPr>
          <w:rFonts w:hint="eastAsia" w:asciiTheme="minorEastAsia" w:hAnsiTheme="minorEastAsia" w:eastAsiaTheme="minorEastAsia" w:cstheme="minorEastAsia"/>
          <w:sz w:val="24"/>
          <w:szCs w:val="24"/>
          <w:highlight w:val="none"/>
          <w:lang w:eastAsia="zh-CN"/>
        </w:rPr>
        <w:t>鲁采招标-202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-6</w:t>
      </w:r>
      <w:r>
        <w:rPr>
          <w:rFonts w:hint="eastAsia" w:asciiTheme="minorEastAsia" w:hAnsiTheme="minorEastAsia" w:eastAsiaTheme="minorEastAsia" w:cstheme="minorEastAsia"/>
          <w:sz w:val="24"/>
          <w:szCs w:val="24"/>
          <w:highlight w:val="none"/>
          <w:lang w:val="en-US" w:eastAsia="zh-CN"/>
        </w:rPr>
        <w:t>6</w:t>
      </w:r>
    </w:p>
    <w:p w14:paraId="69E4621B">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2、项目名称：鲁山县教育体育局鲁山县农村义务教育学校营养改善计划食材采购项目</w:t>
      </w:r>
    </w:p>
    <w:p w14:paraId="16D844D0">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3、采购方式：公开招标 </w:t>
      </w:r>
    </w:p>
    <w:p w14:paraId="586F2549">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4、预算金额：</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00000000元</w:t>
      </w:r>
    </w:p>
    <w:p w14:paraId="269115CA">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最高限价：</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00000000元</w:t>
      </w:r>
    </w:p>
    <w:tbl>
      <w:tblPr>
        <w:tblStyle w:val="21"/>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60"/>
        <w:gridCol w:w="1276"/>
        <w:gridCol w:w="1275"/>
        <w:gridCol w:w="1276"/>
        <w:gridCol w:w="1441"/>
        <w:gridCol w:w="2645"/>
      </w:tblGrid>
      <w:tr w14:paraId="6022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0" w:type="dxa"/>
            <w:vAlign w:val="center"/>
          </w:tcPr>
          <w:p w14:paraId="10D1EFBC">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60" w:type="dxa"/>
            <w:vAlign w:val="center"/>
          </w:tcPr>
          <w:p w14:paraId="5A7D8C58">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包号</w:t>
            </w:r>
          </w:p>
        </w:tc>
        <w:tc>
          <w:tcPr>
            <w:tcW w:w="1276" w:type="dxa"/>
            <w:vAlign w:val="center"/>
          </w:tcPr>
          <w:p w14:paraId="46F6942B">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包名称</w:t>
            </w:r>
          </w:p>
        </w:tc>
        <w:tc>
          <w:tcPr>
            <w:tcW w:w="1275" w:type="dxa"/>
            <w:vAlign w:val="center"/>
          </w:tcPr>
          <w:p w14:paraId="79901BC3">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包预算</w:t>
            </w:r>
          </w:p>
          <w:p w14:paraId="42DB2B80">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c>
          <w:tcPr>
            <w:tcW w:w="1276" w:type="dxa"/>
            <w:vAlign w:val="center"/>
          </w:tcPr>
          <w:p w14:paraId="67819219">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包最高限价（元）</w:t>
            </w:r>
          </w:p>
        </w:tc>
        <w:tc>
          <w:tcPr>
            <w:tcW w:w="1441" w:type="dxa"/>
          </w:tcPr>
          <w:p w14:paraId="5C57A27A">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是否专门面向中小企业</w:t>
            </w:r>
          </w:p>
        </w:tc>
        <w:tc>
          <w:tcPr>
            <w:tcW w:w="2645" w:type="dxa"/>
            <w:vAlign w:val="center"/>
          </w:tcPr>
          <w:p w14:paraId="247746E4">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采购预留金额（元）</w:t>
            </w:r>
          </w:p>
        </w:tc>
      </w:tr>
      <w:tr w14:paraId="499B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38305F09">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1560" w:type="dxa"/>
            <w:vAlign w:val="center"/>
          </w:tcPr>
          <w:p w14:paraId="51714838">
            <w:pPr>
              <w:pStyle w:val="19"/>
              <w:spacing w:line="360" w:lineRule="auto"/>
              <w:ind w:firstLine="0" w:firstLineChars="0"/>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平公资采2025701号-1</w:t>
            </w:r>
          </w:p>
        </w:tc>
        <w:tc>
          <w:tcPr>
            <w:tcW w:w="1276" w:type="dxa"/>
            <w:vAlign w:val="center"/>
          </w:tcPr>
          <w:p w14:paraId="1D1F45AC">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第一标段</w:t>
            </w:r>
          </w:p>
        </w:tc>
        <w:tc>
          <w:tcPr>
            <w:tcW w:w="1275" w:type="dxa"/>
            <w:vAlign w:val="center"/>
          </w:tcPr>
          <w:p w14:paraId="17D0920C">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6F10FFF6">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7E2B45EF">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是</w:t>
            </w:r>
          </w:p>
        </w:tc>
        <w:tc>
          <w:tcPr>
            <w:tcW w:w="2645" w:type="dxa"/>
          </w:tcPr>
          <w:p w14:paraId="0AAEA00C">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r w14:paraId="7810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0DAAAAD0">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p>
        </w:tc>
        <w:tc>
          <w:tcPr>
            <w:tcW w:w="1560" w:type="dxa"/>
            <w:vAlign w:val="center"/>
          </w:tcPr>
          <w:p w14:paraId="3FE89E5D">
            <w:pPr>
              <w:pStyle w:val="19"/>
              <w:spacing w:line="360" w:lineRule="auto"/>
              <w:ind w:firstLine="0" w:firstLineChars="0"/>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平公资采2025701号-2</w:t>
            </w:r>
          </w:p>
        </w:tc>
        <w:tc>
          <w:tcPr>
            <w:tcW w:w="1276" w:type="dxa"/>
            <w:vAlign w:val="center"/>
          </w:tcPr>
          <w:p w14:paraId="3A950020">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标段</w:t>
            </w:r>
          </w:p>
        </w:tc>
        <w:tc>
          <w:tcPr>
            <w:tcW w:w="1275" w:type="dxa"/>
            <w:vAlign w:val="center"/>
          </w:tcPr>
          <w:p w14:paraId="73B88CC1">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773A3BED">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5756314C">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是</w:t>
            </w:r>
          </w:p>
        </w:tc>
        <w:tc>
          <w:tcPr>
            <w:tcW w:w="2645" w:type="dxa"/>
          </w:tcPr>
          <w:p w14:paraId="02123A6F">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r w14:paraId="30C4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7CB36D95">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p>
        </w:tc>
        <w:tc>
          <w:tcPr>
            <w:tcW w:w="1560" w:type="dxa"/>
            <w:vAlign w:val="center"/>
          </w:tcPr>
          <w:p w14:paraId="49E80111">
            <w:pPr>
              <w:pStyle w:val="19"/>
              <w:spacing w:line="360" w:lineRule="auto"/>
              <w:ind w:firstLine="0" w:firstLineChars="0"/>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平公资采2025701号-3</w:t>
            </w:r>
          </w:p>
        </w:tc>
        <w:tc>
          <w:tcPr>
            <w:tcW w:w="1276" w:type="dxa"/>
            <w:vAlign w:val="center"/>
          </w:tcPr>
          <w:p w14:paraId="10D64306">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标段</w:t>
            </w:r>
          </w:p>
        </w:tc>
        <w:tc>
          <w:tcPr>
            <w:tcW w:w="1275" w:type="dxa"/>
            <w:vAlign w:val="center"/>
          </w:tcPr>
          <w:p w14:paraId="44AC724D">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3E832E87">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4D4FC745">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是</w:t>
            </w:r>
          </w:p>
        </w:tc>
        <w:tc>
          <w:tcPr>
            <w:tcW w:w="2645" w:type="dxa"/>
          </w:tcPr>
          <w:p w14:paraId="42CE4A08">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r w14:paraId="728D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7429771C">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w:t>
            </w:r>
          </w:p>
        </w:tc>
        <w:tc>
          <w:tcPr>
            <w:tcW w:w="1560" w:type="dxa"/>
            <w:vAlign w:val="center"/>
          </w:tcPr>
          <w:p w14:paraId="3934BC20">
            <w:pPr>
              <w:pStyle w:val="19"/>
              <w:spacing w:line="360" w:lineRule="auto"/>
              <w:ind w:firstLine="0" w:firstLineChars="0"/>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平公资采2025701号-4</w:t>
            </w:r>
          </w:p>
        </w:tc>
        <w:tc>
          <w:tcPr>
            <w:tcW w:w="1276" w:type="dxa"/>
            <w:vAlign w:val="center"/>
          </w:tcPr>
          <w:p w14:paraId="337C0C14">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标段</w:t>
            </w:r>
          </w:p>
        </w:tc>
        <w:tc>
          <w:tcPr>
            <w:tcW w:w="1275" w:type="dxa"/>
            <w:vAlign w:val="center"/>
          </w:tcPr>
          <w:p w14:paraId="0CC4B7E7">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39075672">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1CD4546E">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是</w:t>
            </w:r>
          </w:p>
        </w:tc>
        <w:tc>
          <w:tcPr>
            <w:tcW w:w="2645" w:type="dxa"/>
          </w:tcPr>
          <w:p w14:paraId="4E5E927E">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r w14:paraId="629D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0" w:type="dxa"/>
            <w:vAlign w:val="center"/>
          </w:tcPr>
          <w:p w14:paraId="6B16DA8C">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w:t>
            </w:r>
          </w:p>
        </w:tc>
        <w:tc>
          <w:tcPr>
            <w:tcW w:w="1560" w:type="dxa"/>
            <w:vAlign w:val="center"/>
          </w:tcPr>
          <w:p w14:paraId="232D7DC8">
            <w:pPr>
              <w:pStyle w:val="19"/>
              <w:spacing w:line="360" w:lineRule="auto"/>
              <w:ind w:firstLine="0" w:firstLineChars="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平公资采2025701号-5</w:t>
            </w:r>
          </w:p>
        </w:tc>
        <w:tc>
          <w:tcPr>
            <w:tcW w:w="1276" w:type="dxa"/>
            <w:vAlign w:val="center"/>
          </w:tcPr>
          <w:p w14:paraId="2BE8791A">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标段</w:t>
            </w:r>
          </w:p>
        </w:tc>
        <w:tc>
          <w:tcPr>
            <w:tcW w:w="1275" w:type="dxa"/>
            <w:vAlign w:val="center"/>
          </w:tcPr>
          <w:p w14:paraId="2EEBC7A1">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276" w:type="dxa"/>
            <w:vAlign w:val="center"/>
          </w:tcPr>
          <w:p w14:paraId="52026DE4">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c>
          <w:tcPr>
            <w:tcW w:w="1441" w:type="dxa"/>
            <w:vAlign w:val="center"/>
          </w:tcPr>
          <w:p w14:paraId="508CB629">
            <w:pPr>
              <w:pStyle w:val="19"/>
              <w:spacing w:line="360" w:lineRule="auto"/>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是</w:t>
            </w:r>
          </w:p>
        </w:tc>
        <w:tc>
          <w:tcPr>
            <w:tcW w:w="2645" w:type="dxa"/>
          </w:tcPr>
          <w:p w14:paraId="791479C8">
            <w:pPr>
              <w:pStyle w:val="19"/>
              <w:spacing w:line="360" w:lineRule="auto"/>
              <w:ind w:firstLine="0" w:firstLineChars="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0000000，其中小微企业采购金额：</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0000000</w:t>
            </w:r>
          </w:p>
        </w:tc>
      </w:tr>
    </w:tbl>
    <w:p w14:paraId="49E4ECA2">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5、采购需求（包括但不限于标的的名称、数量、简要技术需求或服务要求等）</w:t>
      </w:r>
    </w:p>
    <w:p w14:paraId="623D76B3">
      <w:pPr>
        <w:pStyle w:val="19"/>
        <w:spacing w:line="360" w:lineRule="auto"/>
        <w:ind w:left="480" w:firstLine="0" w:firstLineChars="0"/>
        <w:rPr>
          <w:rFonts w:asciiTheme="minorEastAsia" w:hAnsiTheme="minorEastAsia" w:eastAsiaTheme="minorEastAsia"/>
          <w:lang w:eastAsia="zh-CN"/>
        </w:rPr>
      </w:pPr>
      <w:r>
        <w:rPr>
          <w:rFonts w:hint="eastAsia" w:asciiTheme="minorEastAsia" w:hAnsiTheme="minorEastAsia" w:eastAsiaTheme="minorEastAsia" w:cstheme="minorEastAsia"/>
          <w:sz w:val="24"/>
          <w:szCs w:val="24"/>
          <w:lang w:eastAsia="zh-CN"/>
        </w:rPr>
        <w:t>5.1标段划分：</w:t>
      </w:r>
    </w:p>
    <w:p w14:paraId="55ADFEF8">
      <w:pPr>
        <w:pStyle w:val="20"/>
        <w:keepNext w:val="0"/>
        <w:keepLines w:val="0"/>
        <w:pageBreakBefore w:val="0"/>
        <w:widowControl w:val="0"/>
        <w:kinsoku w:val="0"/>
        <w:wordWrap/>
        <w:overflowPunct/>
        <w:topLinePunct w:val="0"/>
        <w:autoSpaceDE w:val="0"/>
        <w:autoSpaceDN w:val="0"/>
        <w:bidi w:val="0"/>
        <w:adjustRightInd w:val="0"/>
        <w:snapToGrid w:val="0"/>
        <w:ind w:firstLine="480"/>
        <w:textAlignment w:val="baseline"/>
        <w:rPr>
          <w:rFonts w:asciiTheme="minorEastAsia" w:hAnsiTheme="minorEastAsia" w:eastAsiaTheme="minorEastAsia"/>
          <w:highlight w:val="none"/>
          <w:lang w:eastAsia="zh-CN"/>
        </w:rPr>
      </w:pPr>
      <w:r>
        <w:rPr>
          <w:rFonts w:hint="eastAsia" w:asciiTheme="minorEastAsia" w:hAnsiTheme="minorEastAsia" w:eastAsiaTheme="minorEastAsia"/>
          <w:lang w:eastAsia="zh-CN"/>
        </w:rPr>
        <w:t>第一标段：</w:t>
      </w:r>
      <w:r>
        <w:rPr>
          <w:rFonts w:hint="eastAsia" w:asciiTheme="minorEastAsia" w:hAnsiTheme="minorEastAsia" w:eastAsiaTheme="minorEastAsia"/>
          <w:highlight w:val="none"/>
          <w:lang w:eastAsia="zh-CN"/>
        </w:rPr>
        <w:t>张官营中心校、磙子营中心校、张良中心校、河滨小学、鲁阳中学；</w:t>
      </w:r>
    </w:p>
    <w:p w14:paraId="5EE79AF0">
      <w:pPr>
        <w:pStyle w:val="20"/>
        <w:keepNext w:val="0"/>
        <w:keepLines w:val="0"/>
        <w:pageBreakBefore w:val="0"/>
        <w:widowControl w:val="0"/>
        <w:kinsoku w:val="0"/>
        <w:wordWrap/>
        <w:overflowPunct/>
        <w:topLinePunct w:val="0"/>
        <w:autoSpaceDE w:val="0"/>
        <w:autoSpaceDN w:val="0"/>
        <w:bidi w:val="0"/>
        <w:adjustRightInd w:val="0"/>
        <w:snapToGrid w:val="0"/>
        <w:ind w:firstLine="480"/>
        <w:textAlignment w:val="baseline"/>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第二标段：马楼中心校、辛集中心校、梁洼中心校、</w:t>
      </w:r>
      <w:r>
        <w:rPr>
          <w:rFonts w:hint="eastAsia" w:asciiTheme="minorEastAsia" w:hAnsiTheme="minorEastAsia" w:eastAsiaTheme="minorEastAsia"/>
          <w:highlight w:val="none"/>
          <w:lang w:val="en-US" w:eastAsia="zh-CN"/>
        </w:rPr>
        <w:t>特殊教育学校</w:t>
      </w:r>
      <w:r>
        <w:rPr>
          <w:rFonts w:hint="eastAsia" w:asciiTheme="minorEastAsia" w:hAnsiTheme="minorEastAsia" w:eastAsiaTheme="minorEastAsia"/>
          <w:highlight w:val="none"/>
          <w:lang w:eastAsia="zh-CN"/>
        </w:rPr>
        <w:t>、汇源中心校、琴台中心校；</w:t>
      </w:r>
    </w:p>
    <w:p w14:paraId="2D24AF01">
      <w:pPr>
        <w:pStyle w:val="20"/>
        <w:keepNext w:val="0"/>
        <w:keepLines w:val="0"/>
        <w:pageBreakBefore w:val="0"/>
        <w:widowControl w:val="0"/>
        <w:kinsoku w:val="0"/>
        <w:wordWrap/>
        <w:overflowPunct/>
        <w:topLinePunct w:val="0"/>
        <w:autoSpaceDE w:val="0"/>
        <w:autoSpaceDN w:val="0"/>
        <w:bidi w:val="0"/>
        <w:adjustRightInd w:val="0"/>
        <w:snapToGrid w:val="0"/>
        <w:ind w:firstLine="480"/>
        <w:textAlignment w:val="baseline"/>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第三标段：让河中心校、熊背中心校、团城中心校、董周中心校、张店中心校、仓头中心校、</w:t>
      </w:r>
      <w:r>
        <w:rPr>
          <w:rFonts w:hint="eastAsia" w:asciiTheme="minorEastAsia" w:hAnsiTheme="minorEastAsia" w:eastAsiaTheme="minorEastAsia"/>
          <w:highlight w:val="none"/>
          <w:lang w:val="en-US" w:eastAsia="zh-CN"/>
        </w:rPr>
        <w:t>花园路小学、</w:t>
      </w:r>
      <w:r>
        <w:rPr>
          <w:rFonts w:hint="eastAsia" w:asciiTheme="minorEastAsia" w:hAnsiTheme="minorEastAsia" w:eastAsiaTheme="minorEastAsia"/>
          <w:highlight w:val="none"/>
          <w:lang w:eastAsia="zh-CN"/>
        </w:rPr>
        <w:t>汇源中学；</w:t>
      </w:r>
    </w:p>
    <w:p w14:paraId="3EEB82F5">
      <w:pPr>
        <w:pStyle w:val="20"/>
        <w:ind w:firstLine="480"/>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第四标段：鲁阳中心校、库区中心校、下汤中心校、四棵树中心校、赵村中心校、尧山中心校、江河小学、实验中学；</w:t>
      </w:r>
    </w:p>
    <w:p w14:paraId="35DB2F55">
      <w:pPr>
        <w:pStyle w:val="20"/>
        <w:ind w:firstLine="480"/>
        <w:rPr>
          <w:rFonts w:asciiTheme="minorEastAsia" w:hAnsiTheme="minorEastAsia" w:eastAsiaTheme="minorEastAsia"/>
          <w:lang w:eastAsia="zh-CN"/>
        </w:rPr>
      </w:pPr>
      <w:r>
        <w:rPr>
          <w:rFonts w:hint="eastAsia" w:asciiTheme="minorEastAsia" w:hAnsiTheme="minorEastAsia" w:eastAsiaTheme="minorEastAsia"/>
          <w:lang w:eastAsia="zh-CN"/>
        </w:rPr>
        <w:t>第五标段：土门中心校、背孜中心校、瓦屋中心校、观音寺中心校、露峰中心校。</w:t>
      </w:r>
    </w:p>
    <w:p w14:paraId="66291634">
      <w:pPr>
        <w:pStyle w:val="19"/>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5.2服务内容：负责鲁山县202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至202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学年度农村义务教育阶段的学校营养餐食材采购和配送</w:t>
      </w:r>
      <w:r>
        <w:rPr>
          <w:rFonts w:hint="eastAsia" w:asciiTheme="minorEastAsia" w:hAnsiTheme="minorEastAsia" w:eastAsiaTheme="minorEastAsia" w:cstheme="minorEastAsia"/>
          <w:sz w:val="24"/>
          <w:szCs w:val="24"/>
          <w:lang w:val="en-US" w:eastAsia="zh-CN"/>
        </w:rPr>
        <w:t>。</w:t>
      </w:r>
    </w:p>
    <w:p w14:paraId="3E65EC11">
      <w:pPr>
        <w:pStyle w:val="20"/>
        <w:ind w:firstLine="48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5.3配送模式：使用净菜配送模式</w:t>
      </w:r>
    </w:p>
    <w:p w14:paraId="0D3EC08D">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5.4结算方式：据实结算</w:t>
      </w:r>
    </w:p>
    <w:p w14:paraId="4135E684">
      <w:pPr>
        <w:pStyle w:val="19"/>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5.5供应对象：鲁山县202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至202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学年度农村义务教育阶段享受营养改善计划的学生</w:t>
      </w:r>
      <w:r>
        <w:rPr>
          <w:rFonts w:hint="eastAsia" w:asciiTheme="minorEastAsia" w:hAnsiTheme="minorEastAsia" w:eastAsiaTheme="minorEastAsia" w:cstheme="minorEastAsia"/>
          <w:sz w:val="24"/>
          <w:szCs w:val="24"/>
          <w:lang w:val="en-US" w:eastAsia="zh-CN"/>
        </w:rPr>
        <w:t>。</w:t>
      </w:r>
    </w:p>
    <w:p w14:paraId="02E6B4CF">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5.6配送地点：鲁山县农村义务教育阶段享受营养改善计划的学校</w:t>
      </w:r>
    </w:p>
    <w:p w14:paraId="7ECB9611">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5.7服务要求：满足采购人的实际需求</w:t>
      </w:r>
    </w:p>
    <w:p w14:paraId="3E6E29BF">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5.8食材质量要求：符合国家相关标准和强制性规定要求</w:t>
      </w:r>
    </w:p>
    <w:p w14:paraId="58C905BE">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6、合同履行期限：详见招标文件</w:t>
      </w:r>
    </w:p>
    <w:p w14:paraId="57C22B3C">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7、本项目是否接受联合体投标：否</w:t>
      </w:r>
    </w:p>
    <w:p w14:paraId="2302B72B">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8、是否接受进口产品：否</w:t>
      </w:r>
    </w:p>
    <w:p w14:paraId="3B5A9A71">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9、是否专门面向中小企业：是</w:t>
      </w:r>
    </w:p>
    <w:p w14:paraId="614A35A7">
      <w:pPr>
        <w:pStyle w:val="19"/>
        <w:spacing w:line="360" w:lineRule="auto"/>
        <w:ind w:left="0" w:leftChars="0" w:firstLine="480" w:firstLineChars="200"/>
        <w:rPr>
          <w:rFonts w:asciiTheme="minorEastAsia" w:hAnsiTheme="minorEastAsia" w:eastAsiaTheme="minorEastAsia" w:cstheme="minorEastAsia"/>
          <w:sz w:val="24"/>
          <w:szCs w:val="24"/>
          <w:lang w:eastAsia="zh-CN"/>
        </w:rPr>
      </w:pPr>
      <w:bookmarkStart w:id="8" w:name="_Toc17801"/>
      <w:r>
        <w:rPr>
          <w:rFonts w:hint="eastAsia" w:asciiTheme="minorEastAsia" w:hAnsiTheme="minorEastAsia" w:eastAsiaTheme="minorEastAsia" w:cstheme="minorEastAsia"/>
          <w:sz w:val="24"/>
          <w:szCs w:val="24"/>
          <w:lang w:eastAsia="zh-CN"/>
        </w:rPr>
        <w:t>二、申请人资格要求：</w:t>
      </w:r>
      <w:bookmarkEnd w:id="8"/>
      <w:r>
        <w:rPr>
          <w:rFonts w:hint="eastAsia" w:asciiTheme="minorEastAsia" w:hAnsiTheme="minorEastAsia" w:eastAsiaTheme="minorEastAsia" w:cstheme="minorEastAsia"/>
          <w:sz w:val="24"/>
          <w:szCs w:val="24"/>
          <w:lang w:eastAsia="zh-CN"/>
        </w:rPr>
        <w:t xml:space="preserve"> </w:t>
      </w:r>
    </w:p>
    <w:p w14:paraId="4F39D04A">
      <w:pPr>
        <w:pStyle w:val="19"/>
        <w:spacing w:line="360" w:lineRule="auto"/>
        <w:ind w:firstLine="480" w:firstLineChars="200"/>
        <w:rPr>
          <w:rFonts w:asciiTheme="minorEastAsia" w:hAnsiTheme="minorEastAsia" w:eastAsiaTheme="minorEastAsia" w:cstheme="minorEastAsia"/>
          <w:sz w:val="24"/>
          <w:szCs w:val="24"/>
          <w:lang w:eastAsia="zh-CN"/>
        </w:rPr>
      </w:pPr>
      <w:bookmarkStart w:id="9" w:name="_Toc14729"/>
      <w:r>
        <w:rPr>
          <w:rFonts w:hint="eastAsia" w:asciiTheme="minorEastAsia" w:hAnsiTheme="minorEastAsia" w:eastAsiaTheme="minorEastAsia" w:cstheme="minorEastAsia"/>
          <w:sz w:val="24"/>
          <w:szCs w:val="24"/>
          <w:lang w:eastAsia="zh-CN"/>
        </w:rPr>
        <w:t>1、满足《中华人民共和国政府采购法》第二十二条规定；</w:t>
      </w:r>
      <w:bookmarkEnd w:id="9"/>
      <w:r>
        <w:rPr>
          <w:rFonts w:hint="eastAsia" w:asciiTheme="minorEastAsia" w:hAnsiTheme="minorEastAsia" w:eastAsiaTheme="minorEastAsia" w:cstheme="minorEastAsia"/>
          <w:sz w:val="24"/>
          <w:szCs w:val="24"/>
          <w:lang w:eastAsia="zh-CN"/>
        </w:rPr>
        <w:t xml:space="preserve"> </w:t>
      </w:r>
    </w:p>
    <w:p w14:paraId="7CD60D02">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2、落实政府采购政策满足的资格要求：本项目专门面向中小企业采购。供应商若为中小微企业、监狱企业、残疾人福利性单位的，落实中小企业价格评审优惠政策；</w:t>
      </w:r>
    </w:p>
    <w:p w14:paraId="486B19CA">
      <w:pPr>
        <w:tabs>
          <w:tab w:val="left" w:pos="7050"/>
        </w:tabs>
        <w:spacing w:line="360" w:lineRule="auto"/>
        <w:ind w:firstLine="480" w:firstLineChars="200"/>
        <w:rPr>
          <w:rFonts w:asciiTheme="minorEastAsia" w:hAnsiTheme="minorEastAsia" w:eastAsiaTheme="minorEastAsia" w:cstheme="minorEastAsia"/>
          <w:sz w:val="24"/>
          <w:szCs w:val="24"/>
          <w:lang w:eastAsia="zh-CN"/>
        </w:rPr>
      </w:pPr>
      <w:bookmarkStart w:id="10" w:name="_Toc14816"/>
      <w:r>
        <w:rPr>
          <w:rFonts w:hint="eastAsia" w:asciiTheme="minorEastAsia" w:hAnsiTheme="minorEastAsia" w:eastAsiaTheme="minorEastAsia" w:cstheme="minorEastAsia"/>
          <w:sz w:val="24"/>
          <w:szCs w:val="24"/>
          <w:lang w:eastAsia="zh-CN"/>
        </w:rPr>
        <w:t>3、本项目的特定资格要求</w:t>
      </w:r>
      <w:bookmarkEnd w:id="10"/>
      <w:r>
        <w:rPr>
          <w:rFonts w:hint="eastAsia" w:asciiTheme="minorEastAsia" w:hAnsiTheme="minorEastAsia" w:eastAsiaTheme="minorEastAsia" w:cstheme="minorEastAsia"/>
          <w:sz w:val="24"/>
          <w:szCs w:val="24"/>
          <w:lang w:eastAsia="zh-CN"/>
        </w:rPr>
        <w:tab/>
      </w:r>
    </w:p>
    <w:p w14:paraId="13881D10">
      <w:pPr>
        <w:tabs>
          <w:tab w:val="left" w:pos="7050"/>
        </w:tabs>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3.1供应商具有独立承担民事责任的能力（须提供有效的营业执照）；</w:t>
      </w:r>
    </w:p>
    <w:p w14:paraId="737988F0">
      <w:pPr>
        <w:tabs>
          <w:tab w:val="left" w:pos="7050"/>
        </w:tabs>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3.2供应商具有有效的《食品经营许可证》；</w:t>
      </w:r>
    </w:p>
    <w:p w14:paraId="55E68C70">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lang w:eastAsia="zh-CN"/>
        </w:rPr>
        <w:t>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在本次招标活动中，供应商只需在资格审查满足相应条件的书面承诺书（格式详见招标文件格式中、政府采购信用承诺书），不再需要提供以下证明材料：</w:t>
      </w:r>
    </w:p>
    <w:p w14:paraId="33688DDB">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（1）具有良好的商业信誉的证明材料；</w:t>
      </w:r>
    </w:p>
    <w:p w14:paraId="429D8F93">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（2）符合国家相关规定的财务状况报告；</w:t>
      </w:r>
    </w:p>
    <w:p w14:paraId="6B71AC54">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（3）具备履行政府采购合同所必需的设备和专业技术能力的证明材料；</w:t>
      </w:r>
    </w:p>
    <w:p w14:paraId="036938D2">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（4）依法缴纳税收和社会保障资金的证明材料；</w:t>
      </w:r>
    </w:p>
    <w:p w14:paraId="25D4F9BD">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（5）参加政府采购活动前三年内在经营活动中没有重大违法记录的证明材料；</w:t>
      </w:r>
    </w:p>
    <w:p w14:paraId="7EFDC5E2">
      <w:pPr>
        <w:keepNext w:val="0"/>
        <w:keepLines w:val="0"/>
        <w:pageBreakBefore w:val="0"/>
        <w:widowControl/>
        <w:tabs>
          <w:tab w:val="left" w:pos="705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（6）未被列入失信被执行人、重大税收违法失信主体、政府采购严重违法失信行为记录名单；</w:t>
      </w:r>
    </w:p>
    <w:p w14:paraId="0C8254D1">
      <w:pPr>
        <w:tabs>
          <w:tab w:val="left" w:pos="7050"/>
        </w:tabs>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en-US" w:eastAsia="zh-CN"/>
        </w:rPr>
        <w:t>4本项目</w:t>
      </w:r>
      <w:r>
        <w:rPr>
          <w:rFonts w:hint="eastAsia" w:asciiTheme="minorEastAsia" w:hAnsiTheme="minorEastAsia" w:eastAsiaTheme="minorEastAsia" w:cstheme="minorEastAsia"/>
          <w:sz w:val="24"/>
          <w:szCs w:val="24"/>
          <w:lang w:eastAsia="zh-CN"/>
        </w:rPr>
        <w:t>不接受联合体投标。</w:t>
      </w:r>
    </w:p>
    <w:p w14:paraId="459D0A52">
      <w:pPr>
        <w:tabs>
          <w:tab w:val="left" w:pos="7050"/>
        </w:tabs>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同一供应商只可投一个标段。</w:t>
      </w:r>
    </w:p>
    <w:p w14:paraId="2407E272">
      <w:pPr>
        <w:pStyle w:val="19"/>
        <w:spacing w:line="360" w:lineRule="auto"/>
        <w:ind w:left="0" w:leftChars="0" w:firstLine="480" w:firstLineChars="200"/>
        <w:rPr>
          <w:rFonts w:asciiTheme="minorEastAsia" w:hAnsiTheme="minorEastAsia" w:eastAsiaTheme="minorEastAsia" w:cstheme="minorEastAsia"/>
          <w:sz w:val="24"/>
          <w:szCs w:val="24"/>
          <w:lang w:eastAsia="zh-CN"/>
        </w:rPr>
      </w:pPr>
      <w:bookmarkStart w:id="11" w:name="_Toc30348"/>
      <w:r>
        <w:rPr>
          <w:rFonts w:hint="eastAsia" w:asciiTheme="minorEastAsia" w:hAnsiTheme="minorEastAsia" w:eastAsiaTheme="minorEastAsia" w:cstheme="minorEastAsia"/>
          <w:sz w:val="24"/>
          <w:szCs w:val="24"/>
          <w:lang w:eastAsia="zh-CN"/>
        </w:rPr>
        <w:t>三、获取招标文件</w:t>
      </w:r>
      <w:bookmarkEnd w:id="11"/>
    </w:p>
    <w:p w14:paraId="559C9D3F">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1.时间：</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lang w:eastAsia="zh-CN"/>
        </w:rPr>
        <w:t>日至202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08</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eastAsia="zh-CN"/>
        </w:rPr>
        <w:t>日</w:t>
      </w:r>
      <w:r>
        <w:rPr>
          <w:rFonts w:hint="eastAsia" w:asciiTheme="minorEastAsia" w:hAnsiTheme="minorEastAsia" w:eastAsiaTheme="minorEastAsia" w:cstheme="minorEastAsia"/>
          <w:sz w:val="24"/>
          <w:szCs w:val="24"/>
          <w:lang w:eastAsia="zh-CN"/>
        </w:rPr>
        <w:t>，每天上午00:00至12:00，下午12:00至23:59（北京时间，法定节假日除外。）</w:t>
      </w:r>
    </w:p>
    <w:p w14:paraId="140B63A3">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2.地点：</w:t>
      </w:r>
      <w:r>
        <w:rPr>
          <w:rFonts w:hint="eastAsia" w:asciiTheme="minorEastAsia" w:hAnsiTheme="minorEastAsia" w:eastAsiaTheme="minorEastAsia" w:cstheme="minorEastAsia"/>
          <w:sz w:val="24"/>
          <w:szCs w:val="24"/>
          <w:lang w:val="en-US" w:eastAsia="zh-CN"/>
        </w:rPr>
        <w:t>平顶山市公共资源交易中心网。</w:t>
      </w:r>
    </w:p>
    <w:p w14:paraId="5E4F7F2C">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3.方式：本项目只接受网上获取，不接受其它形式获取。潜在投标人获取需凭 CA 数字证书通过平顶山市公共资源交易中心网（网址：http://ggzy.pds.gov.cn/）“交易主体登录 ”入口进入交易系统进行获取</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具体操作请查看以下链接：链接地址： http://ggzy.pds.gov.cn/fwzn/11020.jhtml 办理 CA 证书：http://ggzy.pds.gov.cn/tzgg/10814.jhtml。</w:t>
      </w:r>
    </w:p>
    <w:p w14:paraId="11766EA3">
      <w:pPr>
        <w:shd w:val="clear" w:color="auto" w:fill="FFFFFF"/>
        <w:spacing w:line="360" w:lineRule="auto"/>
        <w:ind w:left="-130" w:firstLine="480" w:firstLineChars="200"/>
        <w:rPr>
          <w:rFonts w:hint="eastAsia" w:asciiTheme="minorEastAsia" w:hAnsiTheme="minorEastAsia" w:eastAsiaTheme="minorEastAsia" w:cstheme="minorEastAsia"/>
          <w:sz w:val="24"/>
          <w:szCs w:val="24"/>
          <w:lang w:eastAsia="zh-CN"/>
        </w:rPr>
      </w:pPr>
      <w:bookmarkStart w:id="12" w:name="_Toc20323"/>
      <w:r>
        <w:rPr>
          <w:rFonts w:hint="eastAsia" w:asciiTheme="minorEastAsia" w:hAnsiTheme="minorEastAsia" w:eastAsiaTheme="minorEastAsia" w:cstheme="minorEastAsia"/>
          <w:sz w:val="24"/>
          <w:szCs w:val="24"/>
          <w:lang w:eastAsia="zh-CN"/>
        </w:rPr>
        <w:t>4.售价：0元</w:t>
      </w:r>
      <w:bookmarkEnd w:id="12"/>
      <w:bookmarkStart w:id="13" w:name="_Toc122"/>
    </w:p>
    <w:p w14:paraId="497C44AB">
      <w:pPr>
        <w:shd w:val="clear" w:color="auto" w:fill="FFFFFF"/>
        <w:spacing w:line="360" w:lineRule="auto"/>
        <w:ind w:left="-130"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四、投标截止时间及地点</w:t>
      </w:r>
      <w:bookmarkEnd w:id="13"/>
    </w:p>
    <w:p w14:paraId="21D9F76B">
      <w:pPr>
        <w:pStyle w:val="19"/>
        <w:spacing w:line="360"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eastAsia="zh-CN"/>
        </w:rPr>
        <w:t>1.时间：</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08</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日9时00分（北京时间）</w:t>
      </w:r>
    </w:p>
    <w:p w14:paraId="216D5700">
      <w:pPr>
        <w:pStyle w:val="19"/>
        <w:spacing w:line="360"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2.地点：平顶山市公共资源交易中心电子交易系统</w:t>
      </w:r>
    </w:p>
    <w:p w14:paraId="14E1239E">
      <w:pPr>
        <w:pStyle w:val="19"/>
        <w:spacing w:line="360" w:lineRule="auto"/>
        <w:ind w:left="0" w:leftChars="0" w:firstLine="480" w:firstLineChars="200"/>
        <w:rPr>
          <w:rFonts w:asciiTheme="minorEastAsia" w:hAnsiTheme="minorEastAsia" w:eastAsiaTheme="minorEastAsia" w:cstheme="minorEastAsia"/>
          <w:sz w:val="24"/>
          <w:szCs w:val="24"/>
          <w:highlight w:val="none"/>
          <w:lang w:eastAsia="zh-CN"/>
        </w:rPr>
      </w:pPr>
      <w:bookmarkStart w:id="14" w:name="_Toc16851"/>
      <w:r>
        <w:rPr>
          <w:rFonts w:hint="eastAsia" w:asciiTheme="minorEastAsia" w:hAnsiTheme="minorEastAsia" w:eastAsiaTheme="minorEastAsia" w:cstheme="minorEastAsia"/>
          <w:sz w:val="24"/>
          <w:szCs w:val="24"/>
          <w:highlight w:val="none"/>
          <w:lang w:eastAsia="zh-CN"/>
        </w:rPr>
        <w:t>五、开标时间及地点</w:t>
      </w:r>
      <w:bookmarkEnd w:id="14"/>
    </w:p>
    <w:p w14:paraId="3FB6EAF1">
      <w:pPr>
        <w:pStyle w:val="19"/>
        <w:spacing w:line="360" w:lineRule="auto"/>
        <w:ind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08</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日9时00分（北京时间）</w:t>
      </w:r>
    </w:p>
    <w:p w14:paraId="130AAF14">
      <w:pPr>
        <w:pStyle w:val="1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2.地点：平顶山市公共资源交易中心电子交易系统</w:t>
      </w:r>
    </w:p>
    <w:p w14:paraId="0254F015">
      <w:pPr>
        <w:pStyle w:val="1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heme="minorEastAsia" w:hAnsiTheme="minorEastAsia" w:eastAsiaTheme="minorEastAsia" w:cstheme="minorEastAsia"/>
          <w:sz w:val="24"/>
          <w:szCs w:val="24"/>
          <w:lang w:eastAsia="zh-CN"/>
        </w:rPr>
      </w:pPr>
      <w:bookmarkStart w:id="15" w:name="_Toc10653"/>
      <w:r>
        <w:rPr>
          <w:rFonts w:hint="eastAsia" w:asciiTheme="minorEastAsia" w:hAnsiTheme="minorEastAsia" w:eastAsiaTheme="minorEastAsia" w:cstheme="minorEastAsia"/>
          <w:sz w:val="24"/>
          <w:szCs w:val="24"/>
          <w:lang w:eastAsia="zh-CN"/>
        </w:rPr>
        <w:t>六、发布公告的媒介及招标公告期限</w:t>
      </w:r>
      <w:bookmarkEnd w:id="15"/>
      <w:r>
        <w:rPr>
          <w:rFonts w:hint="eastAsia" w:asciiTheme="minorEastAsia" w:hAnsiTheme="minorEastAsia" w:eastAsiaTheme="minorEastAsia" w:cstheme="minorEastAsia"/>
          <w:sz w:val="24"/>
          <w:szCs w:val="24"/>
          <w:lang w:eastAsia="zh-CN"/>
        </w:rPr>
        <w:t xml:space="preserve"> </w:t>
      </w:r>
    </w:p>
    <w:p w14:paraId="3CB4A13C">
      <w:pPr>
        <w:keepNext w:val="0"/>
        <w:keepLines w:val="0"/>
        <w:pageBreakBefore w:val="0"/>
        <w:widowControl w:val="0"/>
        <w:shd w:val="clear" w:color="auto" w:fill="FFFFFF"/>
        <w:kinsoku w:val="0"/>
        <w:wordWrap/>
        <w:overflowPunct/>
        <w:topLinePunct w:val="0"/>
        <w:autoSpaceDE w:val="0"/>
        <w:autoSpaceDN w:val="0"/>
        <w:bidi w:val="0"/>
        <w:adjustRightInd w:val="0"/>
        <w:snapToGrid w:val="0"/>
        <w:spacing w:line="360" w:lineRule="auto"/>
        <w:ind w:firstLine="480"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本次招标公告在《河南省政府采购网》《平顶山市政府采购网》《鲁山县政府采购网》《全国公共资源交易平台（河南省•平顶山市）》上发布，招标公告期限为五个工作日。</w:t>
      </w:r>
    </w:p>
    <w:p w14:paraId="0F6A1120">
      <w:pPr>
        <w:pStyle w:val="19"/>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heme="minorEastAsia" w:hAnsiTheme="minorEastAsia" w:eastAsiaTheme="minorEastAsia" w:cstheme="minorEastAsia"/>
          <w:sz w:val="24"/>
          <w:szCs w:val="24"/>
          <w:lang w:eastAsia="zh-CN"/>
        </w:rPr>
      </w:pPr>
      <w:bookmarkStart w:id="16" w:name="_Toc12722"/>
      <w:r>
        <w:rPr>
          <w:rFonts w:hint="eastAsia" w:asciiTheme="minorEastAsia" w:hAnsiTheme="minorEastAsia" w:eastAsiaTheme="minorEastAsia" w:cstheme="minorEastAsia"/>
          <w:sz w:val="24"/>
          <w:szCs w:val="24"/>
          <w:lang w:eastAsia="zh-CN"/>
        </w:rPr>
        <w:t>七、其他补充事宜</w:t>
      </w:r>
      <w:bookmarkEnd w:id="16"/>
    </w:p>
    <w:p w14:paraId="7CEE3D8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bookmarkStart w:id="17" w:name="_Toc8317"/>
      <w:r>
        <w:rPr>
          <w:rFonts w:hint="eastAsia" w:asciiTheme="minorEastAsia" w:hAnsiTheme="minorEastAsia" w:eastAsiaTheme="minorEastAsia" w:cstheme="minorEastAsia"/>
          <w:sz w:val="24"/>
          <w:szCs w:val="24"/>
          <w:lang w:eastAsia="zh-CN"/>
        </w:rPr>
        <w:t>1.中心全面实行在线“不见面 ”开标，投标人需要在投标截止时间前在平顶山市公共资源交易中心交易系统中将加密电子投标文件加密上传，不再到开标现场，投标人开标前应仔细阅读《“不见面 ”开标注意事项及操作流程》。逾期上传的投标文件，招标人不予受理。</w:t>
      </w:r>
    </w:p>
    <w:p w14:paraId="592727D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供应商认为采购文件、采购过程和成交结果使自己的权益受到损害的,可以在知道或者应知其权益受到损害之日起七个工作日内，按照《政府采购质疑和投诉办法》（中华人民共和国财政部令94号）以书面形式向采购人或采购代理机构提出质疑，逾期不再接收。</w:t>
      </w:r>
    </w:p>
    <w:p w14:paraId="4250315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3.该公告已同步至“平顶山市公共资源交易中心微信公众号”，可通过公众号中的服务栏目进行查阅。</w:t>
      </w:r>
    </w:p>
    <w:p w14:paraId="36BEC7F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4.监督人：鲁山县财政局</w:t>
      </w:r>
    </w:p>
    <w:p w14:paraId="69904CA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统一社会信用代码：11410423005487188A</w:t>
      </w:r>
    </w:p>
    <w:p w14:paraId="6DFD7EA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联系方式：0375-5057526</w:t>
      </w:r>
      <w:r>
        <w:rPr>
          <w:rFonts w:hint="eastAsia" w:asciiTheme="minorEastAsia" w:hAnsiTheme="minorEastAsia" w:eastAsiaTheme="minorEastAsia" w:cstheme="minorEastAsia"/>
          <w:sz w:val="24"/>
          <w:szCs w:val="24"/>
          <w:lang w:val="en-US" w:eastAsia="zh-CN"/>
        </w:rPr>
        <w:t xml:space="preserve"> </w:t>
      </w:r>
    </w:p>
    <w:p w14:paraId="5D73191F">
      <w:pPr>
        <w:pStyle w:val="19"/>
        <w:spacing w:line="360" w:lineRule="auto"/>
        <w:ind w:left="0" w:leftChars="0" w:firstLine="480" w:firstLineChars="200"/>
        <w:rPr>
          <w:rFonts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八、凡对本次招标提出询问，请按照以下方式联系</w:t>
      </w:r>
      <w:bookmarkEnd w:id="17"/>
      <w:r>
        <w:rPr>
          <w:rFonts w:hint="eastAsia" w:asciiTheme="minorEastAsia" w:hAnsiTheme="minorEastAsia" w:eastAsiaTheme="minorEastAsia" w:cstheme="minorEastAsia"/>
          <w:b w:val="0"/>
          <w:bCs/>
          <w:sz w:val="24"/>
          <w:szCs w:val="24"/>
          <w:lang w:eastAsia="zh-CN"/>
        </w:rPr>
        <w:t xml:space="preserve"> </w:t>
      </w:r>
    </w:p>
    <w:p w14:paraId="71DBE53B">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bookmarkStart w:id="18" w:name="_Toc22189"/>
      <w:r>
        <w:rPr>
          <w:rFonts w:hint="eastAsia" w:asciiTheme="minorEastAsia" w:hAnsiTheme="minorEastAsia" w:eastAsiaTheme="minorEastAsia" w:cstheme="minorEastAsia"/>
          <w:sz w:val="24"/>
          <w:szCs w:val="24"/>
          <w:lang w:eastAsia="zh-CN"/>
        </w:rPr>
        <w:t>1. 采购人信息</w:t>
      </w:r>
      <w:bookmarkEnd w:id="18"/>
    </w:p>
    <w:p w14:paraId="656C3F1E">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名称：鲁山县教育体育局 </w:t>
      </w:r>
    </w:p>
    <w:p w14:paraId="60FF25D0">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地址：平顶山市鲁山县人民路西段</w:t>
      </w:r>
    </w:p>
    <w:p w14:paraId="26B4716B">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联系人：魏先生</w:t>
      </w:r>
    </w:p>
    <w:p w14:paraId="7609E670">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联系方式：0375-5051132</w:t>
      </w:r>
    </w:p>
    <w:p w14:paraId="36D8AEE5">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bookmarkStart w:id="19" w:name="_Toc32661"/>
      <w:r>
        <w:rPr>
          <w:rFonts w:hint="eastAsia" w:asciiTheme="minorEastAsia" w:hAnsiTheme="minorEastAsia" w:eastAsiaTheme="minorEastAsia" w:cstheme="minorEastAsia"/>
          <w:sz w:val="24"/>
          <w:szCs w:val="24"/>
          <w:lang w:eastAsia="zh-CN"/>
        </w:rPr>
        <w:t>2.采购代理机构信息</w:t>
      </w:r>
      <w:bookmarkEnd w:id="19"/>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如有</w:t>
      </w:r>
      <w:r>
        <w:rPr>
          <w:rFonts w:hint="eastAsia" w:asciiTheme="minorEastAsia" w:hAnsiTheme="minorEastAsia" w:eastAsiaTheme="minorEastAsia" w:cstheme="minorEastAsia"/>
          <w:sz w:val="24"/>
          <w:szCs w:val="24"/>
          <w:lang w:eastAsia="zh-CN"/>
        </w:rPr>
        <w:t>）</w:t>
      </w:r>
    </w:p>
    <w:p w14:paraId="25B21A25">
      <w:pPr>
        <w:shd w:val="clear" w:color="auto" w:fill="FFFFFF"/>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名称：</w:t>
      </w:r>
      <w:r>
        <w:rPr>
          <w:rFonts w:hint="eastAsia" w:asciiTheme="minorEastAsia" w:hAnsiTheme="minorEastAsia" w:eastAsiaTheme="minorEastAsia" w:cstheme="minorEastAsia"/>
          <w:color w:val="auto"/>
          <w:sz w:val="24"/>
          <w:szCs w:val="24"/>
          <w:shd w:val="clear" w:color="auto" w:fill="FFFFFF"/>
          <w:lang w:val="en-US" w:eastAsia="zh-CN"/>
        </w:rPr>
        <w:t>河南润豫工程管理有限公司</w:t>
      </w:r>
    </w:p>
    <w:p w14:paraId="6D6C42F4">
      <w:pPr>
        <w:shd w:val="clear" w:color="auto" w:fill="FFFFFF"/>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地址：</w:t>
      </w:r>
      <w:r>
        <w:rPr>
          <w:rFonts w:hint="eastAsia" w:asciiTheme="minorEastAsia" w:hAnsiTheme="minorEastAsia" w:eastAsiaTheme="minorEastAsia" w:cstheme="minorEastAsia"/>
          <w:sz w:val="24"/>
          <w:szCs w:val="24"/>
          <w:lang w:val="en-US" w:eastAsia="zh-CN"/>
        </w:rPr>
        <w:t>郑州市金水区顺河路38号</w:t>
      </w:r>
    </w:p>
    <w:p w14:paraId="0B302C1C">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薄文明</w:t>
      </w:r>
      <w:r>
        <w:rPr>
          <w:rFonts w:hint="eastAsia" w:asciiTheme="minorEastAsia" w:hAnsiTheme="minorEastAsia" w:eastAsiaTheme="minorEastAsia" w:cstheme="minorEastAsia"/>
          <w:sz w:val="24"/>
          <w:szCs w:val="24"/>
          <w:lang w:eastAsia="zh-CN"/>
        </w:rPr>
        <w:t xml:space="preserve">   </w:t>
      </w:r>
    </w:p>
    <w:p w14:paraId="26F50AB1">
      <w:pPr>
        <w:shd w:val="clear" w:color="auto" w:fill="FFFFFF"/>
        <w:spacing w:line="360" w:lineRule="auto"/>
        <w:ind w:firstLine="480" w:firstLineChars="200"/>
        <w:rPr>
          <w:rFonts w:hint="eastAsia" w:asciiTheme="minorEastAsia" w:hAnsiTheme="minorEastAsia" w:eastAsiaTheme="minorEastAsia" w:cstheme="minorEastAsia"/>
          <w:color w:val="auto"/>
          <w:kern w:val="44"/>
          <w:sz w:val="24"/>
          <w:szCs w:val="24"/>
          <w:lang w:val="en-US" w:eastAsia="zh-CN"/>
        </w:rPr>
      </w:pPr>
      <w:r>
        <w:rPr>
          <w:rFonts w:hint="eastAsia" w:asciiTheme="minorEastAsia" w:hAnsiTheme="minorEastAsia" w:eastAsiaTheme="minorEastAsia" w:cstheme="minorEastAsia"/>
          <w:sz w:val="24"/>
          <w:szCs w:val="24"/>
          <w:lang w:eastAsia="zh-CN"/>
        </w:rPr>
        <w:t>联系方式：</w:t>
      </w:r>
      <w:r>
        <w:rPr>
          <w:rFonts w:hint="eastAsia" w:asciiTheme="minorEastAsia" w:hAnsiTheme="minorEastAsia" w:eastAsiaTheme="minorEastAsia" w:cstheme="minorEastAsia"/>
          <w:color w:val="auto"/>
          <w:kern w:val="44"/>
          <w:sz w:val="24"/>
          <w:szCs w:val="24"/>
          <w:lang w:eastAsia="zh-CN"/>
        </w:rPr>
        <w:t>0371-</w:t>
      </w:r>
      <w:bookmarkStart w:id="20" w:name="_Toc22694"/>
      <w:r>
        <w:rPr>
          <w:rFonts w:hint="eastAsia" w:asciiTheme="minorEastAsia" w:hAnsiTheme="minorEastAsia" w:eastAsiaTheme="minorEastAsia" w:cstheme="minorEastAsia"/>
          <w:color w:val="auto"/>
          <w:kern w:val="44"/>
          <w:sz w:val="24"/>
          <w:szCs w:val="24"/>
          <w:lang w:val="en-US" w:eastAsia="zh-CN"/>
        </w:rPr>
        <w:t>60949089</w:t>
      </w:r>
    </w:p>
    <w:p w14:paraId="028441FA">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3.项目联系方式</w:t>
      </w:r>
      <w:bookmarkEnd w:id="20"/>
    </w:p>
    <w:p w14:paraId="68F2BE7F">
      <w:pPr>
        <w:shd w:val="clear" w:color="auto" w:fill="FFFFFF"/>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薄文明</w:t>
      </w:r>
      <w:r>
        <w:rPr>
          <w:rFonts w:hint="eastAsia" w:asciiTheme="minorEastAsia" w:hAnsiTheme="minorEastAsia" w:eastAsiaTheme="minorEastAsia" w:cstheme="minorEastAsia"/>
          <w:sz w:val="24"/>
          <w:szCs w:val="24"/>
          <w:lang w:eastAsia="zh-CN"/>
        </w:rPr>
        <w:t xml:space="preserve"> </w:t>
      </w:r>
    </w:p>
    <w:p w14:paraId="1DA82D20">
      <w:pPr>
        <w:shd w:val="clear" w:color="auto" w:fill="FFFFFF"/>
        <w:spacing w:line="360" w:lineRule="auto"/>
        <w:ind w:firstLine="480" w:firstLineChars="200"/>
        <w:rPr>
          <w:rFonts w:hint="eastAsia" w:asciiTheme="minorEastAsia" w:hAnsiTheme="minorEastAsia" w:eastAsiaTheme="minorEastAsia" w:cstheme="minorEastAsia"/>
          <w:color w:val="auto"/>
          <w:kern w:val="44"/>
          <w:sz w:val="24"/>
          <w:szCs w:val="24"/>
          <w:lang w:val="en-US" w:eastAsia="zh-CN"/>
        </w:rPr>
      </w:pPr>
      <w:r>
        <w:rPr>
          <w:rFonts w:hint="eastAsia" w:asciiTheme="minorEastAsia" w:hAnsiTheme="minorEastAsia" w:eastAsiaTheme="minorEastAsia" w:cstheme="minorEastAsia"/>
          <w:sz w:val="24"/>
          <w:szCs w:val="24"/>
          <w:lang w:eastAsia="zh-CN"/>
        </w:rPr>
        <w:t>联系方式：</w:t>
      </w:r>
      <w:r>
        <w:rPr>
          <w:rFonts w:hint="eastAsia" w:asciiTheme="minorEastAsia" w:hAnsiTheme="minorEastAsia" w:eastAsiaTheme="minorEastAsia" w:cstheme="minorEastAsia"/>
          <w:color w:val="auto"/>
          <w:kern w:val="44"/>
          <w:sz w:val="24"/>
          <w:szCs w:val="24"/>
          <w:lang w:eastAsia="zh-CN"/>
        </w:rPr>
        <w:t>0371-</w:t>
      </w:r>
      <w:r>
        <w:rPr>
          <w:rFonts w:hint="eastAsia" w:asciiTheme="minorEastAsia" w:hAnsiTheme="minorEastAsia" w:eastAsiaTheme="minorEastAsia" w:cstheme="minorEastAsia"/>
          <w:color w:val="auto"/>
          <w:kern w:val="44"/>
          <w:sz w:val="24"/>
          <w:szCs w:val="24"/>
          <w:lang w:val="en-US" w:eastAsia="zh-CN"/>
        </w:rPr>
        <w:t>60949089</w:t>
      </w:r>
    </w:p>
    <w:p w14:paraId="3578661A">
      <w:pPr>
        <w:rPr>
          <w:rFonts w:asciiTheme="minorEastAsia" w:hAnsiTheme="minorEastAsia" w:eastAsiaTheme="minorEastAsia" w:cstheme="minorEastAsia"/>
          <w:b/>
          <w:lang w:eastAsia="zh-CN"/>
        </w:rPr>
      </w:pPr>
    </w:p>
    <w:p w14:paraId="6CA9A9B1">
      <w:pPr>
        <w:keepNext w:val="0"/>
        <w:keepLines w:val="0"/>
        <w:pageBreakBefore w:val="0"/>
        <w:widowControl/>
        <w:kinsoku w:val="0"/>
        <w:wordWrap/>
        <w:overflowPunct/>
        <w:topLinePunct w:val="0"/>
        <w:autoSpaceDE w:val="0"/>
        <w:autoSpaceDN w:val="0"/>
        <w:bidi w:val="0"/>
        <w:adjustRightInd w:val="0"/>
        <w:snapToGrid/>
        <w:spacing w:line="360" w:lineRule="auto"/>
        <w:ind w:firstLine="482" w:firstLineChars="200"/>
        <w:textAlignment w:val="baseline"/>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温馨提示：</w:t>
      </w:r>
    </w:p>
    <w:p w14:paraId="4AC35A5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 xml:space="preserve">本项目为全流程电子化交易项目，请认真阅读招标文件，并注意以下事项。 </w:t>
      </w:r>
    </w:p>
    <w:p w14:paraId="3F5528A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1.供应商应按招标文件规定编制、提交电子投标文件。</w:t>
      </w:r>
    </w:p>
    <w:p w14:paraId="55E920B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2.本项目供应商不用再提供纸质投标文件。</w:t>
      </w:r>
    </w:p>
    <w:p w14:paraId="7A16E09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3.电子文件下载、制作、提交期间和开标（电子投标文件的解密）环节，供应商须使用CA数字证书（证书须在有效期内）。</w:t>
      </w:r>
    </w:p>
    <w:p w14:paraId="4145A48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4.电子投标文件的制作</w:t>
      </w:r>
    </w:p>
    <w:p w14:paraId="76E2F56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4.1供应商登录《全国公共资源交易平台(河南省.平顶山市)》公共资源交易系统（http://221.176.192.166:8080/ggzy/）下载“平顶山投标文件制作系统 ”，按招标文件要求制作电子投标文件。电子投标文件的制作，参考《全国公共资源交易平台(河南省.平顶山市)》公共资源交易系统——组件下载——交易系统操作手册（</w:t>
      </w:r>
      <w:r>
        <w:rPr>
          <w:rFonts w:hint="eastAsia" w:asciiTheme="minorEastAsia" w:hAnsiTheme="minorEastAsia" w:eastAsiaTheme="minorEastAsia" w:cstheme="minorEastAsia"/>
          <w:b/>
          <w:sz w:val="24"/>
          <w:szCs w:val="24"/>
          <w:lang w:val="en-US" w:eastAsia="zh-CN"/>
        </w:rPr>
        <w:t>投标人</w:t>
      </w:r>
      <w:r>
        <w:rPr>
          <w:rFonts w:hint="eastAsia" w:asciiTheme="minorEastAsia" w:hAnsiTheme="minorEastAsia" w:eastAsiaTheme="minorEastAsia" w:cstheme="minorEastAsia"/>
          <w:b/>
          <w:sz w:val="24"/>
          <w:szCs w:val="24"/>
          <w:lang w:eastAsia="zh-CN"/>
        </w:rPr>
        <w:t>、供应商）。</w:t>
      </w:r>
    </w:p>
    <w:p w14:paraId="280C583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4.2供应商须将招标文件要求的资质、业绩、荣誉及相关人员证明材料等资料原件扫描件（或图片)制作到所提交的电子投标文件中。</w:t>
      </w:r>
    </w:p>
    <w:p w14:paraId="5F50AD4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4.3供应商对同一项目多个标包进行投标的，应分别下载所投标包的招标文件，按标包制作电子投标文件，并按招标文件要求在相应位置加盖供应商电子印章和法人电子印章。</w:t>
      </w:r>
    </w:p>
    <w:p w14:paraId="68A2531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一个标包对应生成一个文件夹（ xxxx 项 目xx 标包）, 其中包含2个文件和1 个文件夹。后缀名为“.file ”的文件用于电子投标使用，名称为“备份 ”的文件夹使用电子介质存储，供开标现场备用。</w:t>
      </w:r>
    </w:p>
    <w:p w14:paraId="5531E9E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5.加密电子投标文件的提交</w:t>
      </w:r>
    </w:p>
    <w:p w14:paraId="5CA8D61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5.1 加密电子投标文件应在招标文件规定的投标截止时间（开标时间）之前成功提交至《全国公共资源交易平台(河南省.平顶山市)》公共资源交易系统（http://221.176.192.166:8080/ggzy/）。</w:t>
      </w:r>
    </w:p>
    <w:p w14:paraId="3CE79A8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供应商应充分考虑并预留技术处理和上传数据所需时间。</w:t>
      </w:r>
    </w:p>
    <w:p w14:paraId="1C4922B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5.2 供应商对同一项目多个标包进行投标的，加密电子投标文件应按标包分别提交。</w:t>
      </w:r>
    </w:p>
    <w:p w14:paraId="770286A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“不见面 ”开标注意事项及操作流程（具体内容见:平顶山市公共资源交易中心关于恢复重大紧急项目交易服务的公告 http://www.pdsggzy.com/tzgg/41494.jhtml)</w:t>
      </w:r>
    </w:p>
    <w:p w14:paraId="167D9AE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1、开标时，供应商采用网上远程异地解密时，请用CA 证书登录平顶山市公共资源交易中心业务系统，进入本项目开标大厅点击解密来完成投标文件的解密工作。每位供应商的解密时间从开标时间起60分钟内完成，超过规定时间解密的投标文件不予接收。</w:t>
      </w:r>
    </w:p>
    <w:p w14:paraId="6987865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2、如出现供应商的电子投标文件无法解密的情况，供应商应及时联系招标人（代理机构）进行说明。投标文件解密异常，按以下步骤进行处理：</w:t>
      </w:r>
    </w:p>
    <w:p w14:paraId="5B4123A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（1）如果是投标文件自身问题导致投标文件无法解密的，该投标文件将不予接收、解密。</w:t>
      </w:r>
    </w:p>
    <w:p w14:paraId="46D4F6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（2）如果是电子化交易系统问题造成投标文件无法解密的，将由技术人员进行排查处理。如短时间内问题无法解决的，将由招标人（代理机构） 联系监督部门申请暂停开标，待问题解决后继续开标。</w:t>
      </w:r>
    </w:p>
    <w:p w14:paraId="0F77333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3、所有投标文件解密完成后，由招标人（代理机构）操作，对开标结果进行公示。</w:t>
      </w:r>
    </w:p>
    <w:p w14:paraId="59663B3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4、供应商应保证在开标期间电话、电脑、网络等能够正常使用，供应商因停电、 电脑病毒、网络堵塞等原因，未在规定的解密时间内对投标文件进行解密的，其投标文件不予接收。</w:t>
      </w:r>
    </w:p>
    <w:p w14:paraId="72CE760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5、解密完成后，供应商可登录到交易系统查看自己的投标报价。如对自己的报价内容有异议的，应在报价内容显示后20分钟内联系招标人（代理机构）进行质疑，供应商未在规定时间内提出质疑的，视为认可开标结果显示内容。</w:t>
      </w:r>
    </w:p>
    <w:p w14:paraId="6E67759E">
      <w:pPr>
        <w:rPr>
          <w:rFonts w:asciiTheme="minorEastAsia" w:hAnsiTheme="minorEastAsia" w:eastAsiaTheme="minorEastAsia" w:cstheme="minorEastAsia"/>
          <w:lang w:eastAsia="zh-CN"/>
        </w:rPr>
      </w:pPr>
    </w:p>
    <w:p w14:paraId="3697941D">
      <w:pPr>
        <w:spacing w:line="258" w:lineRule="auto"/>
        <w:rPr>
          <w:rFonts w:asciiTheme="minorEastAsia" w:hAnsiTheme="minorEastAsia" w:eastAsiaTheme="minorEastAsia" w:cstheme="minorEastAsia"/>
          <w:lang w:eastAsia="zh-CN"/>
        </w:rPr>
      </w:pPr>
    </w:p>
    <w:p w14:paraId="6831755D">
      <w:pPr>
        <w:rPr>
          <w:rFonts w:asciiTheme="minorEastAsia" w:hAnsiTheme="minorEastAsia" w:eastAsiaTheme="minorEastAsia" w:cstheme="minorEastAsia"/>
          <w:b/>
          <w:bCs/>
          <w:spacing w:val="-5"/>
          <w:sz w:val="36"/>
          <w:szCs w:val="36"/>
          <w:lang w:eastAsia="zh-CN"/>
        </w:rPr>
      </w:pPr>
      <w:bookmarkStart w:id="21" w:name="bookmark4"/>
      <w:bookmarkEnd w:id="21"/>
      <w:bookmarkStart w:id="22" w:name="bookmark3"/>
      <w:bookmarkEnd w:id="22"/>
      <w:bookmarkStart w:id="23" w:name="bookmark6"/>
      <w:bookmarkEnd w:id="23"/>
      <w:r>
        <w:rPr>
          <w:rFonts w:hint="eastAsia" w:asciiTheme="minorEastAsia" w:hAnsiTheme="minorEastAsia" w:eastAsiaTheme="minorEastAsia" w:cstheme="minorEastAsia"/>
          <w:b/>
          <w:bCs/>
          <w:spacing w:val="-5"/>
          <w:sz w:val="36"/>
          <w:szCs w:val="36"/>
          <w:lang w:eastAsia="zh-CN"/>
        </w:rPr>
        <w:br w:type="page"/>
      </w:r>
    </w:p>
    <w:p w14:paraId="1FA086F2">
      <w:pPr>
        <w:pStyle w:val="6"/>
        <w:spacing w:before="117" w:line="220" w:lineRule="auto"/>
        <w:ind w:left="3235"/>
        <w:outlineLvl w:val="0"/>
        <w:rPr>
          <w:rFonts w:asciiTheme="minorEastAsia" w:hAnsiTheme="minorEastAsia" w:eastAsiaTheme="minorEastAsia" w:cstheme="minorEastAsia"/>
          <w:sz w:val="36"/>
          <w:szCs w:val="36"/>
          <w:lang w:eastAsia="zh-CN"/>
        </w:rPr>
      </w:pPr>
      <w:bookmarkStart w:id="24" w:name="_Toc809"/>
      <w:r>
        <w:rPr>
          <w:rFonts w:hint="eastAsia" w:asciiTheme="minorEastAsia" w:hAnsiTheme="minorEastAsia" w:eastAsiaTheme="minorEastAsia" w:cstheme="minorEastAsia"/>
          <w:b/>
          <w:bCs/>
          <w:spacing w:val="-5"/>
          <w:sz w:val="36"/>
          <w:szCs w:val="36"/>
          <w:lang w:eastAsia="zh-CN"/>
        </w:rPr>
        <w:t>第二部分</w:t>
      </w:r>
      <w:r>
        <w:rPr>
          <w:rFonts w:hint="eastAsia" w:asciiTheme="minorEastAsia" w:hAnsiTheme="minorEastAsia" w:eastAsiaTheme="minorEastAsia" w:cstheme="minorEastAsia"/>
          <w:spacing w:val="-5"/>
          <w:sz w:val="36"/>
          <w:szCs w:val="36"/>
          <w:lang w:eastAsia="zh-CN"/>
        </w:rPr>
        <w:t xml:space="preserve"> </w:t>
      </w:r>
      <w:r>
        <w:rPr>
          <w:rFonts w:hint="eastAsia" w:asciiTheme="minorEastAsia" w:hAnsiTheme="minorEastAsia" w:eastAsiaTheme="minorEastAsia" w:cstheme="minorEastAsia"/>
          <w:b/>
          <w:bCs/>
          <w:spacing w:val="-5"/>
          <w:sz w:val="36"/>
          <w:szCs w:val="36"/>
          <w:lang w:eastAsia="zh-CN"/>
        </w:rPr>
        <w:t>投标人须知</w:t>
      </w:r>
      <w:bookmarkEnd w:id="24"/>
    </w:p>
    <w:p w14:paraId="37EA43BB">
      <w:pPr>
        <w:pStyle w:val="6"/>
        <w:spacing w:before="236" w:line="219" w:lineRule="auto"/>
        <w:ind w:left="3826"/>
        <w:outlineLvl w:val="1"/>
        <w:rPr>
          <w:rFonts w:asciiTheme="minorEastAsia" w:hAnsiTheme="minorEastAsia" w:eastAsiaTheme="minorEastAsia" w:cstheme="minorEastAsia"/>
          <w:sz w:val="28"/>
          <w:szCs w:val="28"/>
          <w:lang w:eastAsia="zh-CN"/>
        </w:rPr>
      </w:pPr>
      <w:bookmarkStart w:id="25" w:name="bookmark5"/>
      <w:bookmarkEnd w:id="25"/>
      <w:bookmarkStart w:id="26" w:name="_Toc12011"/>
      <w:r>
        <w:rPr>
          <w:rFonts w:hint="eastAsia" w:asciiTheme="minorEastAsia" w:hAnsiTheme="minorEastAsia" w:eastAsiaTheme="minorEastAsia" w:cstheme="minorEastAsia"/>
          <w:b/>
          <w:bCs/>
          <w:spacing w:val="-5"/>
          <w:sz w:val="28"/>
          <w:szCs w:val="28"/>
          <w:lang w:eastAsia="zh-CN"/>
        </w:rPr>
        <w:t>投标人须知前附表</w:t>
      </w:r>
      <w:bookmarkEnd w:id="26"/>
    </w:p>
    <w:p w14:paraId="252411E6">
      <w:pPr>
        <w:spacing w:line="119" w:lineRule="exact"/>
        <w:rPr>
          <w:rFonts w:asciiTheme="minorEastAsia" w:hAnsiTheme="minorEastAsia" w:eastAsiaTheme="minorEastAsia" w:cstheme="minorEastAsia"/>
          <w:lang w:eastAsia="zh-CN"/>
        </w:rPr>
      </w:pPr>
    </w:p>
    <w:p w14:paraId="12A80D9F">
      <w:pPr>
        <w:rPr>
          <w:rFonts w:asciiTheme="minorEastAsia" w:hAnsiTheme="minorEastAsia" w:eastAsiaTheme="minorEastAsia" w:cstheme="minorEastAsia"/>
          <w:lang w:eastAsia="zh-CN"/>
        </w:rPr>
      </w:pPr>
    </w:p>
    <w:tbl>
      <w:tblPr>
        <w:tblStyle w:val="21"/>
        <w:tblW w:w="5368" w:type="pct"/>
        <w:jc w:val="center"/>
        <w:tblLayout w:type="autofit"/>
        <w:tblCellMar>
          <w:top w:w="0" w:type="dxa"/>
          <w:left w:w="0" w:type="dxa"/>
          <w:bottom w:w="0" w:type="dxa"/>
          <w:right w:w="0" w:type="dxa"/>
        </w:tblCellMar>
      </w:tblPr>
      <w:tblGrid>
        <w:gridCol w:w="1041"/>
        <w:gridCol w:w="1627"/>
        <w:gridCol w:w="7084"/>
      </w:tblGrid>
      <w:tr w14:paraId="67A07F2E">
        <w:tblPrEx>
          <w:tblCellMar>
            <w:top w:w="0" w:type="dxa"/>
            <w:left w:w="0" w:type="dxa"/>
            <w:bottom w:w="0" w:type="dxa"/>
            <w:right w:w="0" w:type="dxa"/>
          </w:tblCellMar>
        </w:tblPrEx>
        <w:trPr>
          <w:trHeight w:val="311" w:hRule="atLeast"/>
          <w:jc w:val="center"/>
        </w:trPr>
        <w:tc>
          <w:tcPr>
            <w:tcW w:w="534" w:type="pct"/>
            <w:tcBorders>
              <w:top w:val="single" w:color="000000" w:sz="4" w:space="0"/>
              <w:left w:val="single" w:color="000000" w:sz="4" w:space="0"/>
              <w:bottom w:val="single" w:color="000000" w:sz="4" w:space="0"/>
              <w:right w:val="single" w:color="000000" w:sz="4" w:space="0"/>
            </w:tcBorders>
          </w:tcPr>
          <w:p w14:paraId="3E5BC4B1">
            <w:pPr>
              <w:pStyle w:val="29"/>
              <w:overflowPunct w:val="0"/>
              <w:spacing w:before="0" w:line="360" w:lineRule="auto"/>
              <w:ind w:right="-37"/>
              <w:jc w:val="center"/>
              <w:rPr>
                <w:rFonts w:eastAsia="宋体"/>
                <w:sz w:val="24"/>
                <w:szCs w:val="24"/>
              </w:rPr>
            </w:pPr>
            <w:r>
              <w:rPr>
                <w:rFonts w:hint="eastAsia" w:eastAsia="宋体"/>
                <w:sz w:val="24"/>
                <w:szCs w:val="24"/>
              </w:rPr>
              <w:t>序号</w:t>
            </w:r>
          </w:p>
        </w:tc>
        <w:tc>
          <w:tcPr>
            <w:tcW w:w="834" w:type="pct"/>
            <w:tcBorders>
              <w:top w:val="single" w:color="000000" w:sz="4" w:space="0"/>
              <w:left w:val="single" w:color="000000" w:sz="4" w:space="0"/>
              <w:bottom w:val="single" w:color="000000" w:sz="4" w:space="0"/>
              <w:right w:val="single" w:color="000000" w:sz="4" w:space="0"/>
            </w:tcBorders>
          </w:tcPr>
          <w:p w14:paraId="0BC0083F">
            <w:pPr>
              <w:pStyle w:val="29"/>
              <w:tabs>
                <w:tab w:val="left" w:pos="488"/>
              </w:tabs>
              <w:overflowPunct w:val="0"/>
              <w:spacing w:before="0" w:line="360" w:lineRule="auto"/>
              <w:ind w:left="8"/>
              <w:jc w:val="center"/>
              <w:rPr>
                <w:rFonts w:eastAsia="宋体"/>
                <w:sz w:val="24"/>
                <w:szCs w:val="24"/>
              </w:rPr>
            </w:pPr>
            <w:r>
              <w:rPr>
                <w:rFonts w:hint="eastAsia" w:eastAsia="宋体"/>
                <w:sz w:val="24"/>
                <w:szCs w:val="24"/>
              </w:rPr>
              <w:t>名称</w:t>
            </w:r>
          </w:p>
        </w:tc>
        <w:tc>
          <w:tcPr>
            <w:tcW w:w="3631" w:type="pct"/>
            <w:tcBorders>
              <w:top w:val="single" w:color="000000" w:sz="4" w:space="0"/>
              <w:left w:val="single" w:color="000000" w:sz="4" w:space="0"/>
              <w:bottom w:val="single" w:color="000000" w:sz="4" w:space="0"/>
              <w:right w:val="single" w:color="000000" w:sz="4" w:space="0"/>
            </w:tcBorders>
          </w:tcPr>
          <w:p w14:paraId="00883667">
            <w:pPr>
              <w:pStyle w:val="29"/>
              <w:tabs>
                <w:tab w:val="left" w:pos="489"/>
              </w:tabs>
              <w:overflowPunct w:val="0"/>
              <w:spacing w:before="0" w:line="360" w:lineRule="auto"/>
              <w:ind w:left="9"/>
              <w:jc w:val="center"/>
              <w:rPr>
                <w:rFonts w:eastAsia="宋体"/>
                <w:sz w:val="24"/>
                <w:szCs w:val="24"/>
              </w:rPr>
            </w:pPr>
            <w:r>
              <w:rPr>
                <w:rFonts w:hint="eastAsia" w:eastAsia="宋体"/>
                <w:sz w:val="24"/>
                <w:szCs w:val="24"/>
              </w:rPr>
              <w:t>内</w:t>
            </w:r>
            <w:r>
              <w:rPr>
                <w:rFonts w:hint="eastAsia" w:eastAsia="宋体"/>
                <w:sz w:val="24"/>
                <w:szCs w:val="24"/>
              </w:rPr>
              <w:tab/>
            </w:r>
            <w:r>
              <w:rPr>
                <w:rFonts w:hint="eastAsia" w:eastAsia="宋体"/>
                <w:sz w:val="24"/>
                <w:szCs w:val="24"/>
              </w:rPr>
              <w:t>容</w:t>
            </w:r>
          </w:p>
        </w:tc>
      </w:tr>
      <w:tr w14:paraId="4BE7804A">
        <w:tblPrEx>
          <w:tblCellMar>
            <w:top w:w="0" w:type="dxa"/>
            <w:left w:w="0" w:type="dxa"/>
            <w:bottom w:w="0" w:type="dxa"/>
            <w:right w:w="0" w:type="dxa"/>
          </w:tblCellMar>
        </w:tblPrEx>
        <w:trPr>
          <w:trHeight w:val="1052"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331472FE">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34" w:type="pct"/>
            <w:tcBorders>
              <w:top w:val="single" w:color="000000" w:sz="4" w:space="0"/>
              <w:left w:val="single" w:color="000000" w:sz="4" w:space="0"/>
              <w:bottom w:val="single" w:color="000000" w:sz="4" w:space="0"/>
              <w:right w:val="single" w:color="000000" w:sz="4" w:space="0"/>
            </w:tcBorders>
            <w:vAlign w:val="center"/>
          </w:tcPr>
          <w:p w14:paraId="4267C49B">
            <w:pPr>
              <w:spacing w:line="360" w:lineRule="auto"/>
              <w:jc w:val="center"/>
              <w:rPr>
                <w:rFonts w:ascii="宋体" w:hAnsi="宋体" w:eastAsia="宋体" w:cs="宋体"/>
                <w:sz w:val="24"/>
                <w:szCs w:val="24"/>
              </w:rPr>
            </w:pPr>
            <w:r>
              <w:rPr>
                <w:rFonts w:hint="eastAsia" w:ascii="宋体" w:hAnsi="宋体" w:eastAsia="宋体" w:cs="宋体"/>
                <w:sz w:val="24"/>
                <w:szCs w:val="24"/>
              </w:rPr>
              <w:t>采购人</w:t>
            </w:r>
          </w:p>
        </w:tc>
        <w:tc>
          <w:tcPr>
            <w:tcW w:w="3631" w:type="pct"/>
            <w:tcBorders>
              <w:top w:val="single" w:color="000000" w:sz="4" w:space="0"/>
              <w:left w:val="single" w:color="000000" w:sz="4" w:space="0"/>
              <w:bottom w:val="single" w:color="000000" w:sz="4" w:space="0"/>
              <w:right w:val="single" w:color="000000" w:sz="4" w:space="0"/>
            </w:tcBorders>
            <w:vAlign w:val="center"/>
          </w:tcPr>
          <w:p w14:paraId="683B4E3A">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名称：鲁山县教育体育局 </w:t>
            </w:r>
          </w:p>
          <w:p w14:paraId="49FC4FD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地址：平顶山市鲁山县人民路西段</w:t>
            </w:r>
          </w:p>
          <w:p w14:paraId="4316E4D6">
            <w:pPr>
              <w:spacing w:line="360" w:lineRule="auto"/>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魏先生</w:t>
            </w:r>
          </w:p>
          <w:p w14:paraId="1EA84A53">
            <w:pPr>
              <w:spacing w:line="360" w:lineRule="auto"/>
              <w:rPr>
                <w:rFonts w:ascii="宋体" w:hAnsi="宋体" w:eastAsia="宋体" w:cs="宋体"/>
                <w:sz w:val="24"/>
                <w:szCs w:val="24"/>
              </w:rPr>
            </w:pPr>
            <w:r>
              <w:rPr>
                <w:rFonts w:hint="eastAsia" w:ascii="宋体" w:hAnsi="宋体" w:eastAsia="宋体" w:cs="宋体"/>
                <w:sz w:val="24"/>
                <w:szCs w:val="24"/>
              </w:rPr>
              <w:t>联系方式：0375-</w:t>
            </w:r>
            <w:r>
              <w:rPr>
                <w:rFonts w:hint="eastAsia" w:ascii="宋体" w:hAnsi="宋体" w:eastAsia="宋体" w:cs="宋体"/>
                <w:sz w:val="24"/>
                <w:szCs w:val="24"/>
                <w:lang w:eastAsia="zh-CN"/>
              </w:rPr>
              <w:t>5051132</w:t>
            </w:r>
          </w:p>
        </w:tc>
      </w:tr>
      <w:tr w14:paraId="2F94FBFF">
        <w:tblPrEx>
          <w:tblCellMar>
            <w:top w:w="0" w:type="dxa"/>
            <w:left w:w="0" w:type="dxa"/>
            <w:bottom w:w="0" w:type="dxa"/>
            <w:right w:w="0" w:type="dxa"/>
          </w:tblCellMar>
        </w:tblPrEx>
        <w:trPr>
          <w:trHeight w:val="56"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735F7B8">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834" w:type="pct"/>
            <w:tcBorders>
              <w:top w:val="single" w:color="000000" w:sz="4" w:space="0"/>
              <w:left w:val="single" w:color="000000" w:sz="4" w:space="0"/>
              <w:bottom w:val="single" w:color="000000" w:sz="4" w:space="0"/>
              <w:right w:val="single" w:color="000000" w:sz="4" w:space="0"/>
            </w:tcBorders>
            <w:vAlign w:val="center"/>
          </w:tcPr>
          <w:p w14:paraId="2EC2FDB8">
            <w:pPr>
              <w:spacing w:line="360" w:lineRule="auto"/>
              <w:jc w:val="center"/>
              <w:rPr>
                <w:rFonts w:ascii="宋体" w:hAnsi="宋体" w:eastAsia="宋体" w:cs="宋体"/>
                <w:sz w:val="24"/>
                <w:szCs w:val="24"/>
              </w:rPr>
            </w:pPr>
            <w:r>
              <w:rPr>
                <w:rFonts w:hint="eastAsia" w:ascii="宋体" w:hAnsi="宋体" w:eastAsia="宋体" w:cs="宋体"/>
                <w:sz w:val="24"/>
                <w:szCs w:val="24"/>
              </w:rPr>
              <w:t>采购代理机构</w:t>
            </w:r>
          </w:p>
        </w:tc>
        <w:tc>
          <w:tcPr>
            <w:tcW w:w="3631" w:type="pct"/>
            <w:tcBorders>
              <w:top w:val="single" w:color="000000" w:sz="4" w:space="0"/>
              <w:left w:val="single" w:color="000000" w:sz="4" w:space="0"/>
              <w:bottom w:val="single" w:color="000000" w:sz="4" w:space="0"/>
              <w:right w:val="single" w:color="000000" w:sz="4" w:space="0"/>
            </w:tcBorders>
            <w:vAlign w:val="center"/>
          </w:tcPr>
          <w:p w14:paraId="5E11427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名称：河南润豫工程管理有限公司</w:t>
            </w:r>
          </w:p>
          <w:p w14:paraId="1CAD4DFF">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郑州市金水区顺河路38号</w:t>
            </w:r>
          </w:p>
          <w:p w14:paraId="165B8BD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薄文明</w:t>
            </w:r>
            <w:r>
              <w:rPr>
                <w:rFonts w:hint="eastAsia" w:ascii="宋体" w:hAnsi="宋体" w:eastAsia="宋体" w:cs="宋体"/>
                <w:sz w:val="24"/>
                <w:szCs w:val="24"/>
                <w:lang w:eastAsia="zh-CN"/>
              </w:rPr>
              <w:t xml:space="preserve">   </w:t>
            </w:r>
          </w:p>
          <w:p w14:paraId="1101F41E">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联系方式：0371-</w:t>
            </w:r>
            <w:r>
              <w:rPr>
                <w:rFonts w:hint="eastAsia" w:ascii="宋体" w:hAnsi="宋体" w:eastAsia="宋体" w:cs="宋体"/>
                <w:sz w:val="24"/>
                <w:szCs w:val="24"/>
                <w:lang w:val="en-US" w:eastAsia="zh-CN"/>
              </w:rPr>
              <w:t>60949089</w:t>
            </w:r>
          </w:p>
        </w:tc>
      </w:tr>
      <w:tr w14:paraId="25944277">
        <w:tblPrEx>
          <w:tblCellMar>
            <w:top w:w="0" w:type="dxa"/>
            <w:left w:w="0" w:type="dxa"/>
            <w:bottom w:w="0" w:type="dxa"/>
            <w:right w:w="0" w:type="dxa"/>
          </w:tblCellMar>
        </w:tblPrEx>
        <w:trPr>
          <w:trHeight w:val="46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FD18D69">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834" w:type="pct"/>
            <w:tcBorders>
              <w:top w:val="single" w:color="000000" w:sz="4" w:space="0"/>
              <w:left w:val="single" w:color="000000" w:sz="4" w:space="0"/>
              <w:bottom w:val="single" w:color="000000" w:sz="4" w:space="0"/>
              <w:right w:val="single" w:color="000000" w:sz="4" w:space="0"/>
            </w:tcBorders>
            <w:vAlign w:val="center"/>
          </w:tcPr>
          <w:p w14:paraId="7861A6FA">
            <w:pPr>
              <w:spacing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3631" w:type="pct"/>
            <w:tcBorders>
              <w:top w:val="single" w:color="000000" w:sz="4" w:space="0"/>
              <w:left w:val="single" w:color="000000" w:sz="4" w:space="0"/>
              <w:bottom w:val="single" w:color="000000" w:sz="4" w:space="0"/>
              <w:right w:val="single" w:color="000000" w:sz="4" w:space="0"/>
            </w:tcBorders>
            <w:vAlign w:val="center"/>
          </w:tcPr>
          <w:p w14:paraId="05FC7798">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鲁山县教育体育局鲁山县农村义务教育学校营养改善计划食材采购项目</w:t>
            </w:r>
          </w:p>
        </w:tc>
      </w:tr>
      <w:tr w14:paraId="4ECB83B2">
        <w:tblPrEx>
          <w:tblCellMar>
            <w:top w:w="0" w:type="dxa"/>
            <w:left w:w="0" w:type="dxa"/>
            <w:bottom w:w="0" w:type="dxa"/>
            <w:right w:w="0" w:type="dxa"/>
          </w:tblCellMar>
        </w:tblPrEx>
        <w:trPr>
          <w:trHeight w:val="633"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8EEDBE5">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834" w:type="pct"/>
            <w:tcBorders>
              <w:top w:val="single" w:color="000000" w:sz="4" w:space="0"/>
              <w:left w:val="single" w:color="000000" w:sz="4" w:space="0"/>
              <w:bottom w:val="single" w:color="000000" w:sz="4" w:space="0"/>
              <w:right w:val="single" w:color="000000" w:sz="4" w:space="0"/>
            </w:tcBorders>
            <w:vAlign w:val="center"/>
          </w:tcPr>
          <w:p w14:paraId="0F10EE57">
            <w:pPr>
              <w:spacing w:line="360" w:lineRule="auto"/>
              <w:jc w:val="center"/>
              <w:rPr>
                <w:rFonts w:ascii="宋体" w:hAnsi="宋体" w:eastAsia="宋体" w:cs="宋体"/>
                <w:sz w:val="24"/>
                <w:szCs w:val="24"/>
              </w:rPr>
            </w:pPr>
            <w:r>
              <w:rPr>
                <w:rFonts w:hint="eastAsia" w:ascii="宋体" w:hAnsi="宋体" w:eastAsia="宋体" w:cs="宋体"/>
                <w:sz w:val="24"/>
                <w:szCs w:val="24"/>
              </w:rPr>
              <w:t>资金来源及落实情况</w:t>
            </w:r>
          </w:p>
        </w:tc>
        <w:tc>
          <w:tcPr>
            <w:tcW w:w="3631" w:type="pct"/>
            <w:tcBorders>
              <w:top w:val="single" w:color="000000" w:sz="4" w:space="0"/>
              <w:left w:val="single" w:color="000000" w:sz="4" w:space="0"/>
              <w:bottom w:val="single" w:color="000000" w:sz="4" w:space="0"/>
              <w:right w:val="single" w:color="000000" w:sz="4" w:space="0"/>
            </w:tcBorders>
            <w:vAlign w:val="center"/>
          </w:tcPr>
          <w:p w14:paraId="003A838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中央财政专项资金，已落实。</w:t>
            </w:r>
          </w:p>
        </w:tc>
      </w:tr>
      <w:tr w14:paraId="79AEE745">
        <w:tblPrEx>
          <w:tblCellMar>
            <w:top w:w="0" w:type="dxa"/>
            <w:left w:w="0" w:type="dxa"/>
            <w:bottom w:w="0" w:type="dxa"/>
            <w:right w:w="0" w:type="dxa"/>
          </w:tblCellMar>
        </w:tblPrEx>
        <w:trPr>
          <w:trHeight w:val="55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C58680D">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34" w:type="pct"/>
            <w:tcBorders>
              <w:top w:val="single" w:color="000000" w:sz="4" w:space="0"/>
              <w:left w:val="single" w:color="000000" w:sz="4" w:space="0"/>
              <w:bottom w:val="single" w:color="000000" w:sz="4" w:space="0"/>
              <w:right w:val="single" w:color="000000" w:sz="4" w:space="0"/>
            </w:tcBorders>
            <w:vAlign w:val="center"/>
          </w:tcPr>
          <w:p w14:paraId="2A0B4C21">
            <w:pPr>
              <w:spacing w:line="360" w:lineRule="auto"/>
              <w:jc w:val="center"/>
              <w:rPr>
                <w:rFonts w:ascii="宋体" w:hAnsi="宋体" w:eastAsia="宋体" w:cs="宋体"/>
                <w:sz w:val="24"/>
                <w:szCs w:val="24"/>
              </w:rPr>
            </w:pPr>
            <w:r>
              <w:rPr>
                <w:rFonts w:hint="eastAsia" w:ascii="宋体" w:hAnsi="宋体" w:eastAsia="宋体" w:cs="宋体"/>
                <w:sz w:val="24"/>
                <w:szCs w:val="24"/>
              </w:rPr>
              <w:t>采购内容</w:t>
            </w:r>
          </w:p>
        </w:tc>
        <w:tc>
          <w:tcPr>
            <w:tcW w:w="3631" w:type="pct"/>
            <w:tcBorders>
              <w:top w:val="single" w:color="000000" w:sz="4" w:space="0"/>
              <w:left w:val="single" w:color="000000" w:sz="4" w:space="0"/>
              <w:bottom w:val="single" w:color="000000" w:sz="4" w:space="0"/>
              <w:right w:val="single" w:color="000000" w:sz="4" w:space="0"/>
            </w:tcBorders>
            <w:vAlign w:val="center"/>
          </w:tcPr>
          <w:p w14:paraId="70EE13A7">
            <w:pPr>
              <w:pStyle w:val="4"/>
              <w:spacing w:line="360" w:lineRule="auto"/>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鲁山县202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至202</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学年度农村义务教育阶段的学校营养餐食材采购和配送。</w:t>
            </w:r>
          </w:p>
        </w:tc>
      </w:tr>
      <w:tr w14:paraId="6A25D025">
        <w:tblPrEx>
          <w:tblCellMar>
            <w:top w:w="0" w:type="dxa"/>
            <w:left w:w="0" w:type="dxa"/>
            <w:bottom w:w="0" w:type="dxa"/>
            <w:right w:w="0" w:type="dxa"/>
          </w:tblCellMar>
        </w:tblPrEx>
        <w:trPr>
          <w:trHeight w:val="55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15B4C59">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834" w:type="pct"/>
            <w:tcBorders>
              <w:top w:val="single" w:color="000000" w:sz="4" w:space="0"/>
              <w:left w:val="single" w:color="000000" w:sz="4" w:space="0"/>
              <w:bottom w:val="single" w:color="000000" w:sz="4" w:space="0"/>
              <w:right w:val="single" w:color="000000" w:sz="4" w:space="0"/>
            </w:tcBorders>
            <w:vAlign w:val="center"/>
          </w:tcPr>
          <w:p w14:paraId="48FB6A2D">
            <w:pPr>
              <w:spacing w:line="360" w:lineRule="auto"/>
              <w:jc w:val="center"/>
              <w:rPr>
                <w:rFonts w:ascii="宋体" w:hAnsi="宋体" w:eastAsia="宋体" w:cs="宋体"/>
                <w:sz w:val="24"/>
                <w:szCs w:val="24"/>
              </w:rPr>
            </w:pPr>
            <w:r>
              <w:rPr>
                <w:rFonts w:hint="eastAsia" w:ascii="宋体" w:hAnsi="宋体" w:eastAsia="宋体" w:cs="宋体"/>
                <w:sz w:val="24"/>
                <w:szCs w:val="24"/>
              </w:rPr>
              <w:t>采购方式</w:t>
            </w:r>
          </w:p>
        </w:tc>
        <w:tc>
          <w:tcPr>
            <w:tcW w:w="3631" w:type="pct"/>
            <w:tcBorders>
              <w:top w:val="single" w:color="000000" w:sz="4" w:space="0"/>
              <w:left w:val="single" w:color="000000" w:sz="4" w:space="0"/>
              <w:bottom w:val="single" w:color="000000" w:sz="4" w:space="0"/>
              <w:right w:val="single" w:color="000000" w:sz="4" w:space="0"/>
            </w:tcBorders>
            <w:vAlign w:val="center"/>
          </w:tcPr>
          <w:p w14:paraId="369E4747">
            <w:pPr>
              <w:spacing w:line="360" w:lineRule="auto"/>
              <w:rPr>
                <w:rFonts w:ascii="宋体" w:hAnsi="宋体" w:eastAsia="宋体" w:cs="宋体"/>
                <w:sz w:val="24"/>
                <w:szCs w:val="24"/>
              </w:rPr>
            </w:pPr>
            <w:r>
              <w:rPr>
                <w:rFonts w:hint="eastAsia" w:ascii="宋体" w:hAnsi="宋体" w:eastAsia="宋体" w:cs="宋体"/>
                <w:sz w:val="24"/>
                <w:szCs w:val="24"/>
              </w:rPr>
              <w:t>公开招标</w:t>
            </w:r>
          </w:p>
        </w:tc>
      </w:tr>
      <w:tr w14:paraId="3AED9F03">
        <w:tblPrEx>
          <w:tblCellMar>
            <w:top w:w="0" w:type="dxa"/>
            <w:left w:w="0" w:type="dxa"/>
            <w:bottom w:w="0" w:type="dxa"/>
            <w:right w:w="0" w:type="dxa"/>
          </w:tblCellMar>
        </w:tblPrEx>
        <w:trPr>
          <w:trHeight w:val="55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5DAE0C5">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834" w:type="pct"/>
            <w:tcBorders>
              <w:top w:val="single" w:color="000000" w:sz="4" w:space="0"/>
              <w:left w:val="single" w:color="000000" w:sz="4" w:space="0"/>
              <w:bottom w:val="single" w:color="000000" w:sz="4" w:space="0"/>
              <w:right w:val="single" w:color="000000" w:sz="4" w:space="0"/>
            </w:tcBorders>
            <w:vAlign w:val="center"/>
          </w:tcPr>
          <w:p w14:paraId="07D8D12F">
            <w:pPr>
              <w:spacing w:line="360" w:lineRule="auto"/>
              <w:rPr>
                <w:rFonts w:ascii="宋体" w:hAnsi="宋体" w:eastAsia="宋体" w:cs="宋体"/>
                <w:sz w:val="24"/>
                <w:szCs w:val="24"/>
              </w:rPr>
            </w:pPr>
            <w:r>
              <w:rPr>
                <w:rFonts w:hint="eastAsia" w:ascii="宋体" w:hAnsi="宋体" w:eastAsia="宋体" w:cs="宋体"/>
                <w:sz w:val="24"/>
                <w:szCs w:val="24"/>
              </w:rPr>
              <w:t>采购项目属性</w:t>
            </w:r>
          </w:p>
        </w:tc>
        <w:tc>
          <w:tcPr>
            <w:tcW w:w="3631" w:type="pct"/>
            <w:tcBorders>
              <w:top w:val="single" w:color="000000" w:sz="4" w:space="0"/>
              <w:left w:val="single" w:color="000000" w:sz="4" w:space="0"/>
              <w:bottom w:val="single" w:color="000000" w:sz="4" w:space="0"/>
              <w:right w:val="single" w:color="000000" w:sz="4" w:space="0"/>
            </w:tcBorders>
            <w:vAlign w:val="center"/>
          </w:tcPr>
          <w:p w14:paraId="6965E76C">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货物      □服务       □工程</w:t>
            </w:r>
          </w:p>
        </w:tc>
      </w:tr>
      <w:tr w14:paraId="7CCA0ED7">
        <w:tblPrEx>
          <w:tblCellMar>
            <w:top w:w="0" w:type="dxa"/>
            <w:left w:w="0" w:type="dxa"/>
            <w:bottom w:w="0" w:type="dxa"/>
            <w:right w:w="0" w:type="dxa"/>
          </w:tblCellMar>
        </w:tblPrEx>
        <w:trPr>
          <w:trHeight w:val="453"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7E408D8">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834" w:type="pct"/>
            <w:tcBorders>
              <w:top w:val="single" w:color="000000" w:sz="4" w:space="0"/>
              <w:left w:val="single" w:color="000000" w:sz="4" w:space="0"/>
              <w:bottom w:val="single" w:color="000000" w:sz="4" w:space="0"/>
              <w:right w:val="single" w:color="000000" w:sz="4" w:space="0"/>
            </w:tcBorders>
            <w:vAlign w:val="center"/>
          </w:tcPr>
          <w:p w14:paraId="42096ABB">
            <w:pPr>
              <w:spacing w:line="360" w:lineRule="auto"/>
              <w:jc w:val="center"/>
              <w:rPr>
                <w:rFonts w:ascii="宋体" w:hAnsi="宋体" w:eastAsia="宋体" w:cs="宋体"/>
                <w:sz w:val="24"/>
                <w:szCs w:val="24"/>
              </w:rPr>
            </w:pPr>
            <w:r>
              <w:rPr>
                <w:rFonts w:hint="eastAsia" w:ascii="宋体" w:hAnsi="宋体" w:eastAsia="宋体" w:cs="宋体"/>
                <w:sz w:val="24"/>
                <w:szCs w:val="24"/>
                <w:lang w:eastAsia="zh-CN"/>
              </w:rPr>
              <w:t>配送地点</w:t>
            </w:r>
          </w:p>
        </w:tc>
        <w:tc>
          <w:tcPr>
            <w:tcW w:w="3631" w:type="pct"/>
            <w:tcBorders>
              <w:top w:val="single" w:color="000000" w:sz="4" w:space="0"/>
              <w:left w:val="single" w:color="000000" w:sz="4" w:space="0"/>
              <w:bottom w:val="single" w:color="000000" w:sz="4" w:space="0"/>
              <w:right w:val="single" w:color="000000" w:sz="4" w:space="0"/>
            </w:tcBorders>
            <w:vAlign w:val="center"/>
          </w:tcPr>
          <w:p w14:paraId="588F2F04">
            <w:pPr>
              <w:spacing w:line="360" w:lineRule="auto"/>
              <w:rPr>
                <w:rFonts w:ascii="宋体" w:hAnsi="宋体" w:eastAsia="宋体" w:cs="宋体"/>
                <w:b/>
                <w:sz w:val="24"/>
                <w:szCs w:val="24"/>
              </w:rPr>
            </w:pPr>
            <w:r>
              <w:rPr>
                <w:rFonts w:hint="eastAsia" w:ascii="宋体" w:hAnsi="宋体" w:eastAsia="宋体" w:cs="宋体"/>
                <w:sz w:val="24"/>
                <w:szCs w:val="24"/>
                <w:lang w:eastAsia="zh-CN"/>
              </w:rPr>
              <w:t>鲁山县农村义务教育阶段享受营养改善计划的学校</w:t>
            </w:r>
          </w:p>
        </w:tc>
      </w:tr>
      <w:tr w14:paraId="60B758C0">
        <w:tblPrEx>
          <w:tblCellMar>
            <w:top w:w="0" w:type="dxa"/>
            <w:left w:w="0" w:type="dxa"/>
            <w:bottom w:w="0" w:type="dxa"/>
            <w:right w:w="0" w:type="dxa"/>
          </w:tblCellMar>
        </w:tblPrEx>
        <w:trPr>
          <w:trHeight w:val="46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4ADD9766">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834" w:type="pct"/>
            <w:tcBorders>
              <w:top w:val="single" w:color="000000" w:sz="4" w:space="0"/>
              <w:left w:val="single" w:color="000000" w:sz="4" w:space="0"/>
              <w:bottom w:val="single" w:color="000000" w:sz="4" w:space="0"/>
              <w:right w:val="single" w:color="000000" w:sz="4" w:space="0"/>
            </w:tcBorders>
            <w:vAlign w:val="center"/>
          </w:tcPr>
          <w:p w14:paraId="15A912F3">
            <w:pPr>
              <w:spacing w:line="360" w:lineRule="auto"/>
              <w:jc w:val="center"/>
              <w:rPr>
                <w:rFonts w:ascii="宋体" w:hAnsi="宋体" w:eastAsia="宋体" w:cs="宋体"/>
                <w:sz w:val="24"/>
                <w:szCs w:val="24"/>
              </w:rPr>
            </w:pPr>
            <w:r>
              <w:rPr>
                <w:rFonts w:hint="eastAsia" w:ascii="宋体" w:hAnsi="宋体" w:eastAsia="宋体" w:cs="宋体"/>
                <w:sz w:val="24"/>
                <w:szCs w:val="24"/>
              </w:rPr>
              <w:t>服务要求</w:t>
            </w:r>
          </w:p>
        </w:tc>
        <w:tc>
          <w:tcPr>
            <w:tcW w:w="3631" w:type="pct"/>
            <w:tcBorders>
              <w:top w:val="single" w:color="000000" w:sz="4" w:space="0"/>
              <w:left w:val="single" w:color="000000" w:sz="4" w:space="0"/>
              <w:bottom w:val="single" w:color="000000" w:sz="4" w:space="0"/>
              <w:right w:val="single" w:color="000000" w:sz="4" w:space="0"/>
            </w:tcBorders>
            <w:vAlign w:val="center"/>
          </w:tcPr>
          <w:p w14:paraId="3D367FB2">
            <w:pPr>
              <w:spacing w:before="50" w:after="50" w:line="380" w:lineRule="exact"/>
              <w:jc w:val="both"/>
              <w:rPr>
                <w:rFonts w:ascii="宋体" w:hAnsi="宋体" w:eastAsia="宋体" w:cs="宋体"/>
                <w:sz w:val="24"/>
                <w:szCs w:val="24"/>
                <w:lang w:eastAsia="zh-CN"/>
              </w:rPr>
            </w:pPr>
            <w:bookmarkStart w:id="27" w:name="_Toc11489"/>
            <w:r>
              <w:rPr>
                <w:rFonts w:hint="eastAsia" w:ascii="宋体" w:hAnsi="宋体" w:eastAsia="宋体" w:cs="宋体"/>
                <w:sz w:val="24"/>
                <w:szCs w:val="24"/>
                <w:lang w:eastAsia="zh-CN"/>
              </w:rPr>
              <w:t>满足采购人的实际需求</w:t>
            </w:r>
            <w:bookmarkEnd w:id="27"/>
          </w:p>
        </w:tc>
      </w:tr>
      <w:tr w14:paraId="3B4B128B">
        <w:tblPrEx>
          <w:tblCellMar>
            <w:top w:w="0" w:type="dxa"/>
            <w:left w:w="0" w:type="dxa"/>
            <w:bottom w:w="0" w:type="dxa"/>
            <w:right w:w="0" w:type="dxa"/>
          </w:tblCellMar>
        </w:tblPrEx>
        <w:trPr>
          <w:trHeight w:val="466"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32198ABD">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834" w:type="pct"/>
            <w:tcBorders>
              <w:top w:val="single" w:color="000000" w:sz="4" w:space="0"/>
              <w:left w:val="single" w:color="000000" w:sz="4" w:space="0"/>
              <w:bottom w:val="single" w:color="000000" w:sz="4" w:space="0"/>
              <w:right w:val="single" w:color="000000" w:sz="4" w:space="0"/>
            </w:tcBorders>
            <w:vAlign w:val="center"/>
          </w:tcPr>
          <w:p w14:paraId="071C496F">
            <w:pPr>
              <w:spacing w:line="360" w:lineRule="auto"/>
              <w:jc w:val="center"/>
              <w:rPr>
                <w:rFonts w:ascii="宋体" w:hAnsi="宋体" w:eastAsia="宋体" w:cs="宋体"/>
                <w:sz w:val="24"/>
                <w:szCs w:val="24"/>
              </w:rPr>
            </w:pPr>
            <w:r>
              <w:rPr>
                <w:rFonts w:hint="eastAsia" w:ascii="宋体" w:hAnsi="宋体" w:eastAsia="宋体" w:cs="宋体"/>
                <w:sz w:val="24"/>
                <w:szCs w:val="24"/>
              </w:rPr>
              <w:t>食材质量要求</w:t>
            </w:r>
          </w:p>
        </w:tc>
        <w:tc>
          <w:tcPr>
            <w:tcW w:w="3631" w:type="pct"/>
            <w:tcBorders>
              <w:top w:val="single" w:color="000000" w:sz="4" w:space="0"/>
              <w:left w:val="single" w:color="000000" w:sz="4" w:space="0"/>
              <w:bottom w:val="single" w:color="000000" w:sz="4" w:space="0"/>
              <w:right w:val="single" w:color="000000" w:sz="4" w:space="0"/>
            </w:tcBorders>
            <w:vAlign w:val="center"/>
          </w:tcPr>
          <w:p w14:paraId="24F19E80">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符合国家相关标准和强制性规定要求</w:t>
            </w:r>
          </w:p>
        </w:tc>
      </w:tr>
      <w:tr w14:paraId="4C85EFE0">
        <w:tblPrEx>
          <w:tblCellMar>
            <w:top w:w="0" w:type="dxa"/>
            <w:left w:w="0" w:type="dxa"/>
            <w:bottom w:w="0" w:type="dxa"/>
            <w:right w:w="0" w:type="dxa"/>
          </w:tblCellMar>
        </w:tblPrEx>
        <w:trPr>
          <w:trHeight w:val="46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45EC84E">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834" w:type="pct"/>
            <w:tcBorders>
              <w:top w:val="single" w:color="000000" w:sz="4" w:space="0"/>
              <w:left w:val="single" w:color="000000" w:sz="4" w:space="0"/>
              <w:bottom w:val="single" w:color="000000" w:sz="4" w:space="0"/>
              <w:right w:val="single" w:color="000000" w:sz="4" w:space="0"/>
            </w:tcBorders>
            <w:vAlign w:val="center"/>
          </w:tcPr>
          <w:p w14:paraId="3A38988A">
            <w:pPr>
              <w:spacing w:line="360" w:lineRule="auto"/>
              <w:jc w:val="center"/>
              <w:rPr>
                <w:rFonts w:ascii="宋体" w:hAnsi="宋体" w:eastAsia="宋体" w:cs="宋体"/>
                <w:sz w:val="24"/>
                <w:szCs w:val="24"/>
              </w:rPr>
            </w:pPr>
            <w:r>
              <w:rPr>
                <w:rFonts w:hint="eastAsia" w:ascii="宋体" w:hAnsi="宋体" w:eastAsia="宋体" w:cs="宋体"/>
                <w:sz w:val="24"/>
                <w:szCs w:val="24"/>
              </w:rPr>
              <w:t>合同履行期限</w:t>
            </w:r>
          </w:p>
        </w:tc>
        <w:tc>
          <w:tcPr>
            <w:tcW w:w="3631" w:type="pct"/>
            <w:tcBorders>
              <w:top w:val="single" w:color="000000" w:sz="4" w:space="0"/>
              <w:left w:val="single" w:color="000000" w:sz="4" w:space="0"/>
              <w:bottom w:val="single" w:color="000000" w:sz="4" w:space="0"/>
              <w:right w:val="single" w:color="000000" w:sz="4" w:space="0"/>
            </w:tcBorders>
            <w:vAlign w:val="center"/>
          </w:tcPr>
          <w:p w14:paraId="60F44E0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至202</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学年度，以当学年度实际在校学生数量及学生在校天数为准。</w:t>
            </w:r>
          </w:p>
        </w:tc>
      </w:tr>
      <w:tr w14:paraId="4AE4A0D8">
        <w:tblPrEx>
          <w:tblCellMar>
            <w:top w:w="0" w:type="dxa"/>
            <w:left w:w="0" w:type="dxa"/>
            <w:bottom w:w="0" w:type="dxa"/>
            <w:right w:w="0" w:type="dxa"/>
          </w:tblCellMar>
        </w:tblPrEx>
        <w:trPr>
          <w:trHeight w:val="416"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DF1E674">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834" w:type="pct"/>
            <w:tcBorders>
              <w:top w:val="single" w:color="000000" w:sz="4" w:space="0"/>
              <w:left w:val="single" w:color="000000" w:sz="4" w:space="0"/>
              <w:bottom w:val="single" w:color="000000" w:sz="4" w:space="0"/>
              <w:right w:val="single" w:color="000000" w:sz="4" w:space="0"/>
            </w:tcBorders>
            <w:vAlign w:val="center"/>
          </w:tcPr>
          <w:p w14:paraId="3AC09084">
            <w:pPr>
              <w:spacing w:line="360" w:lineRule="auto"/>
              <w:jc w:val="center"/>
              <w:rPr>
                <w:rFonts w:ascii="宋体" w:hAnsi="宋体" w:eastAsia="宋体" w:cs="宋体"/>
                <w:sz w:val="24"/>
                <w:szCs w:val="24"/>
              </w:rPr>
            </w:pPr>
            <w:r>
              <w:rPr>
                <w:rFonts w:hint="eastAsia" w:ascii="宋体" w:hAnsi="宋体" w:eastAsia="宋体" w:cs="宋体"/>
                <w:sz w:val="24"/>
                <w:szCs w:val="24"/>
              </w:rPr>
              <w:t>投标人资格</w:t>
            </w:r>
          </w:p>
          <w:p w14:paraId="1CC08F79">
            <w:pPr>
              <w:spacing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3631" w:type="pct"/>
            <w:tcBorders>
              <w:top w:val="single" w:color="000000" w:sz="4" w:space="0"/>
              <w:left w:val="single" w:color="000000" w:sz="4" w:space="0"/>
              <w:bottom w:val="single" w:color="000000" w:sz="4" w:space="0"/>
              <w:right w:val="single" w:color="000000" w:sz="4" w:space="0"/>
            </w:tcBorders>
            <w:vAlign w:val="center"/>
          </w:tcPr>
          <w:p w14:paraId="6BA917B4">
            <w:pPr>
              <w:spacing w:line="360" w:lineRule="auto"/>
              <w:rPr>
                <w:rFonts w:ascii="宋体" w:hAnsi="宋体" w:eastAsia="宋体" w:cs="宋体"/>
                <w:sz w:val="24"/>
                <w:szCs w:val="24"/>
              </w:rPr>
            </w:pPr>
            <w:r>
              <w:rPr>
                <w:rFonts w:hint="eastAsia" w:ascii="宋体" w:hAnsi="宋体" w:eastAsia="宋体" w:cs="宋体"/>
                <w:bCs/>
                <w:sz w:val="24"/>
                <w:szCs w:val="24"/>
              </w:rPr>
              <w:t>详见招标公告</w:t>
            </w:r>
          </w:p>
        </w:tc>
      </w:tr>
      <w:tr w14:paraId="41A684BE">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0552D85">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834" w:type="pct"/>
            <w:tcBorders>
              <w:top w:val="single" w:color="000000" w:sz="4" w:space="0"/>
              <w:left w:val="single" w:color="000000" w:sz="4" w:space="0"/>
              <w:bottom w:val="single" w:color="000000" w:sz="4" w:space="0"/>
              <w:right w:val="single" w:color="000000" w:sz="4" w:space="0"/>
            </w:tcBorders>
            <w:vAlign w:val="center"/>
          </w:tcPr>
          <w:p w14:paraId="677BEC45">
            <w:pPr>
              <w:spacing w:line="360" w:lineRule="auto"/>
              <w:jc w:val="center"/>
              <w:rPr>
                <w:rFonts w:ascii="宋体" w:hAnsi="宋体" w:eastAsia="宋体" w:cs="宋体"/>
                <w:sz w:val="24"/>
                <w:szCs w:val="24"/>
              </w:rPr>
            </w:pPr>
            <w:r>
              <w:rPr>
                <w:rFonts w:hint="eastAsia" w:ascii="宋体" w:hAnsi="宋体" w:eastAsia="宋体" w:cs="宋体"/>
                <w:sz w:val="24"/>
                <w:szCs w:val="24"/>
              </w:rPr>
              <w:t>是否接受联合体投标</w:t>
            </w:r>
          </w:p>
        </w:tc>
        <w:tc>
          <w:tcPr>
            <w:tcW w:w="3631" w:type="pct"/>
            <w:tcBorders>
              <w:top w:val="single" w:color="000000" w:sz="4" w:space="0"/>
              <w:left w:val="single" w:color="000000" w:sz="4" w:space="0"/>
              <w:bottom w:val="single" w:color="000000" w:sz="4" w:space="0"/>
              <w:right w:val="single" w:color="000000" w:sz="4" w:space="0"/>
            </w:tcBorders>
            <w:vAlign w:val="center"/>
          </w:tcPr>
          <w:p w14:paraId="02E2E5A3">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不接受</w:t>
            </w:r>
          </w:p>
          <w:p w14:paraId="501D9A30">
            <w:pPr>
              <w:spacing w:line="360" w:lineRule="auto"/>
              <w:rPr>
                <w:rFonts w:ascii="宋体" w:hAnsi="宋体" w:eastAsia="宋体" w:cs="宋体"/>
                <w:sz w:val="24"/>
                <w:szCs w:val="24"/>
              </w:rPr>
            </w:pPr>
            <w:r>
              <w:rPr>
                <w:rFonts w:hint="eastAsia" w:ascii="宋体" w:hAnsi="宋体" w:eastAsia="宋体" w:cs="宋体"/>
                <w:sz w:val="24"/>
                <w:szCs w:val="24"/>
              </w:rPr>
              <w:t>□接受</w:t>
            </w:r>
          </w:p>
        </w:tc>
      </w:tr>
      <w:tr w14:paraId="4E55DE69">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387A7AD">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834" w:type="pct"/>
            <w:tcBorders>
              <w:top w:val="single" w:color="000000" w:sz="4" w:space="0"/>
              <w:left w:val="single" w:color="000000" w:sz="4" w:space="0"/>
              <w:bottom w:val="single" w:color="000000" w:sz="4" w:space="0"/>
              <w:right w:val="single" w:color="000000" w:sz="4" w:space="0"/>
            </w:tcBorders>
            <w:vAlign w:val="center"/>
          </w:tcPr>
          <w:p w14:paraId="296B21E4">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是否专门面向中小企业</w:t>
            </w:r>
          </w:p>
        </w:tc>
        <w:tc>
          <w:tcPr>
            <w:tcW w:w="3631" w:type="pct"/>
            <w:tcBorders>
              <w:top w:val="single" w:color="000000" w:sz="4" w:space="0"/>
              <w:left w:val="single" w:color="000000" w:sz="4" w:space="0"/>
              <w:bottom w:val="single" w:color="000000" w:sz="4" w:space="0"/>
              <w:right w:val="single" w:color="000000" w:sz="4" w:space="0"/>
            </w:tcBorders>
            <w:vAlign w:val="center"/>
          </w:tcPr>
          <w:p w14:paraId="2357022D">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是</w:t>
            </w:r>
          </w:p>
          <w:p w14:paraId="0CC5CA54">
            <w:pPr>
              <w:spacing w:line="360" w:lineRule="auto"/>
              <w:rPr>
                <w:rFonts w:ascii="宋体" w:hAnsi="宋体" w:eastAsia="宋体" w:cs="宋体"/>
                <w:sz w:val="24"/>
                <w:szCs w:val="24"/>
              </w:rPr>
            </w:pPr>
            <w:r>
              <w:rPr>
                <w:rFonts w:hint="eastAsia" w:ascii="宋体" w:hAnsi="宋体" w:eastAsia="宋体" w:cs="宋体"/>
                <w:sz w:val="24"/>
                <w:szCs w:val="24"/>
              </w:rPr>
              <w:t>□否</w:t>
            </w:r>
          </w:p>
        </w:tc>
      </w:tr>
      <w:tr w14:paraId="30EA4A0B">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1D266C0">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834" w:type="pct"/>
            <w:tcBorders>
              <w:top w:val="single" w:color="000000" w:sz="4" w:space="0"/>
              <w:left w:val="single" w:color="000000" w:sz="4" w:space="0"/>
              <w:bottom w:val="single" w:color="000000" w:sz="4" w:space="0"/>
              <w:right w:val="single" w:color="000000" w:sz="4" w:space="0"/>
            </w:tcBorders>
            <w:vAlign w:val="center"/>
          </w:tcPr>
          <w:p w14:paraId="5DF35A75">
            <w:pPr>
              <w:spacing w:line="360" w:lineRule="auto"/>
              <w:jc w:val="center"/>
              <w:rPr>
                <w:rFonts w:ascii="宋体" w:hAnsi="宋体" w:eastAsia="宋体" w:cs="宋体"/>
                <w:sz w:val="24"/>
                <w:szCs w:val="24"/>
              </w:rPr>
            </w:pPr>
            <w:r>
              <w:rPr>
                <w:rFonts w:hint="eastAsia" w:ascii="宋体" w:hAnsi="宋体" w:eastAsia="宋体" w:cs="宋体"/>
                <w:sz w:val="24"/>
                <w:szCs w:val="24"/>
              </w:rPr>
              <w:t>踏勘现场及</w:t>
            </w:r>
          </w:p>
          <w:p w14:paraId="347A2FC0">
            <w:pPr>
              <w:spacing w:line="360" w:lineRule="auto"/>
              <w:jc w:val="center"/>
              <w:rPr>
                <w:rFonts w:ascii="宋体" w:hAnsi="宋体" w:eastAsia="宋体" w:cs="宋体"/>
                <w:sz w:val="24"/>
                <w:szCs w:val="24"/>
              </w:rPr>
            </w:pPr>
            <w:r>
              <w:rPr>
                <w:rFonts w:hint="eastAsia" w:ascii="宋体" w:hAnsi="宋体" w:eastAsia="宋体" w:cs="宋体"/>
                <w:sz w:val="24"/>
                <w:szCs w:val="24"/>
              </w:rPr>
              <w:t>答疑</w:t>
            </w:r>
          </w:p>
        </w:tc>
        <w:tc>
          <w:tcPr>
            <w:tcW w:w="3631" w:type="pct"/>
            <w:tcBorders>
              <w:top w:val="single" w:color="000000" w:sz="4" w:space="0"/>
              <w:left w:val="single" w:color="000000" w:sz="4" w:space="0"/>
              <w:bottom w:val="single" w:color="000000" w:sz="4" w:space="0"/>
              <w:right w:val="single" w:color="000000" w:sz="4" w:space="0"/>
            </w:tcBorders>
            <w:vAlign w:val="center"/>
          </w:tcPr>
          <w:p w14:paraId="2D7C41E6">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不组织</w:t>
            </w:r>
          </w:p>
          <w:p w14:paraId="1161939A">
            <w:pPr>
              <w:spacing w:line="360" w:lineRule="auto"/>
              <w:rPr>
                <w:rFonts w:ascii="宋体" w:hAnsi="宋体" w:eastAsia="宋体" w:cs="宋体"/>
                <w:sz w:val="24"/>
                <w:szCs w:val="24"/>
              </w:rPr>
            </w:pPr>
            <w:r>
              <w:rPr>
                <w:rFonts w:hint="eastAsia" w:ascii="宋体" w:hAnsi="宋体" w:eastAsia="宋体" w:cs="宋体"/>
                <w:sz w:val="24"/>
                <w:szCs w:val="24"/>
              </w:rPr>
              <w:t>□组织</w:t>
            </w:r>
          </w:p>
        </w:tc>
      </w:tr>
      <w:tr w14:paraId="1B7AE102">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54B107B9">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834" w:type="pct"/>
            <w:tcBorders>
              <w:top w:val="single" w:color="000000" w:sz="4" w:space="0"/>
              <w:left w:val="single" w:color="000000" w:sz="4" w:space="0"/>
              <w:bottom w:val="single" w:color="000000" w:sz="4" w:space="0"/>
              <w:right w:val="single" w:color="000000" w:sz="4" w:space="0"/>
            </w:tcBorders>
            <w:vAlign w:val="center"/>
          </w:tcPr>
          <w:p w14:paraId="344F6CB2">
            <w:pPr>
              <w:spacing w:line="360" w:lineRule="auto"/>
              <w:jc w:val="center"/>
              <w:rPr>
                <w:rFonts w:ascii="宋体" w:hAnsi="宋体" w:eastAsia="宋体" w:cs="宋体"/>
                <w:sz w:val="24"/>
                <w:szCs w:val="24"/>
              </w:rPr>
            </w:pPr>
            <w:r>
              <w:rPr>
                <w:rFonts w:hint="eastAsia" w:ascii="宋体" w:hAnsi="宋体" w:eastAsia="宋体" w:cs="宋体"/>
                <w:sz w:val="24"/>
                <w:szCs w:val="24"/>
              </w:rPr>
              <w:t>投标预备会</w:t>
            </w:r>
          </w:p>
        </w:tc>
        <w:tc>
          <w:tcPr>
            <w:tcW w:w="3631" w:type="pct"/>
            <w:tcBorders>
              <w:top w:val="single" w:color="000000" w:sz="4" w:space="0"/>
              <w:left w:val="single" w:color="000000" w:sz="4" w:space="0"/>
              <w:bottom w:val="single" w:color="000000" w:sz="4" w:space="0"/>
              <w:right w:val="single" w:color="000000" w:sz="4" w:space="0"/>
            </w:tcBorders>
            <w:vAlign w:val="center"/>
          </w:tcPr>
          <w:p w14:paraId="351056E2">
            <w:pPr>
              <w:spacing w:line="360" w:lineRule="auto"/>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不召开</w:t>
            </w:r>
          </w:p>
          <w:p w14:paraId="609EAD77">
            <w:pPr>
              <w:spacing w:line="360" w:lineRule="auto"/>
              <w:rPr>
                <w:rFonts w:ascii="宋体" w:hAnsi="宋体" w:eastAsia="宋体" w:cs="宋体"/>
                <w:sz w:val="24"/>
                <w:szCs w:val="24"/>
              </w:rPr>
            </w:pPr>
            <w:r>
              <w:rPr>
                <w:rFonts w:hint="eastAsia" w:ascii="宋体" w:hAnsi="宋体" w:eastAsia="宋体" w:cs="宋体"/>
                <w:sz w:val="24"/>
                <w:szCs w:val="24"/>
              </w:rPr>
              <w:t>□召开</w:t>
            </w:r>
          </w:p>
        </w:tc>
      </w:tr>
      <w:tr w14:paraId="28952807">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75577088">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17</w:t>
            </w:r>
          </w:p>
        </w:tc>
        <w:tc>
          <w:tcPr>
            <w:tcW w:w="834" w:type="pct"/>
            <w:tcBorders>
              <w:top w:val="single" w:color="000000" w:sz="4" w:space="0"/>
              <w:left w:val="single" w:color="000000" w:sz="4" w:space="0"/>
              <w:bottom w:val="single" w:color="000000" w:sz="4" w:space="0"/>
              <w:right w:val="single" w:color="000000" w:sz="4" w:space="0"/>
            </w:tcBorders>
            <w:vAlign w:val="center"/>
          </w:tcPr>
          <w:p w14:paraId="219E8C5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构成招标文件的其他材料</w:t>
            </w:r>
          </w:p>
        </w:tc>
        <w:tc>
          <w:tcPr>
            <w:tcW w:w="3631" w:type="pct"/>
            <w:tcBorders>
              <w:top w:val="single" w:color="000000" w:sz="4" w:space="0"/>
              <w:left w:val="single" w:color="000000" w:sz="4" w:space="0"/>
              <w:bottom w:val="single" w:color="000000" w:sz="4" w:space="0"/>
              <w:right w:val="single" w:color="000000" w:sz="4" w:space="0"/>
            </w:tcBorders>
            <w:vAlign w:val="center"/>
          </w:tcPr>
          <w:p w14:paraId="46E281E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与本项目有关的解答、澄清、修改与补充等</w:t>
            </w:r>
          </w:p>
        </w:tc>
      </w:tr>
      <w:tr w14:paraId="14AE727C">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892EA4A">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18</w:t>
            </w:r>
          </w:p>
        </w:tc>
        <w:tc>
          <w:tcPr>
            <w:tcW w:w="834" w:type="pct"/>
            <w:tcBorders>
              <w:top w:val="single" w:color="000000" w:sz="4" w:space="0"/>
              <w:left w:val="single" w:color="000000" w:sz="4" w:space="0"/>
              <w:bottom w:val="single" w:color="000000" w:sz="4" w:space="0"/>
              <w:right w:val="single" w:color="000000" w:sz="4" w:space="0"/>
            </w:tcBorders>
            <w:vAlign w:val="center"/>
          </w:tcPr>
          <w:p w14:paraId="0CE24F16">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投标人要求澄清招标文件的截止时间</w:t>
            </w:r>
          </w:p>
        </w:tc>
        <w:tc>
          <w:tcPr>
            <w:tcW w:w="3631" w:type="pct"/>
            <w:tcBorders>
              <w:top w:val="single" w:color="000000" w:sz="4" w:space="0"/>
              <w:left w:val="single" w:color="000000" w:sz="4" w:space="0"/>
              <w:bottom w:val="single" w:color="000000" w:sz="4" w:space="0"/>
              <w:right w:val="single" w:color="000000" w:sz="4" w:space="0"/>
            </w:tcBorders>
            <w:vAlign w:val="center"/>
          </w:tcPr>
          <w:p w14:paraId="25E4D44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按招标文件规定的投标文件截止前15日前</w:t>
            </w:r>
          </w:p>
        </w:tc>
      </w:tr>
      <w:tr w14:paraId="5C1213B4">
        <w:tblPrEx>
          <w:tblCellMar>
            <w:top w:w="0" w:type="dxa"/>
            <w:left w:w="0" w:type="dxa"/>
            <w:bottom w:w="0" w:type="dxa"/>
            <w:right w:w="0" w:type="dxa"/>
          </w:tblCellMar>
        </w:tblPrEx>
        <w:trPr>
          <w:trHeight w:val="47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431AF41">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19</w:t>
            </w:r>
          </w:p>
        </w:tc>
        <w:tc>
          <w:tcPr>
            <w:tcW w:w="834" w:type="pct"/>
            <w:tcBorders>
              <w:top w:val="single" w:color="000000" w:sz="4" w:space="0"/>
              <w:left w:val="single" w:color="000000" w:sz="4" w:space="0"/>
              <w:bottom w:val="single" w:color="000000" w:sz="4" w:space="0"/>
              <w:right w:val="single" w:color="000000" w:sz="4" w:space="0"/>
            </w:tcBorders>
            <w:vAlign w:val="center"/>
          </w:tcPr>
          <w:p w14:paraId="50308DC3">
            <w:pPr>
              <w:spacing w:line="360" w:lineRule="auto"/>
              <w:jc w:val="center"/>
              <w:rPr>
                <w:rFonts w:ascii="宋体" w:hAnsi="宋体" w:eastAsia="宋体" w:cs="宋体"/>
                <w:sz w:val="24"/>
                <w:szCs w:val="24"/>
              </w:rPr>
            </w:pPr>
            <w:r>
              <w:rPr>
                <w:rFonts w:hint="eastAsia" w:ascii="宋体" w:hAnsi="宋体" w:eastAsia="宋体" w:cs="宋体"/>
                <w:sz w:val="24"/>
                <w:szCs w:val="24"/>
              </w:rPr>
              <w:t>投标截止时间</w:t>
            </w:r>
          </w:p>
        </w:tc>
        <w:tc>
          <w:tcPr>
            <w:tcW w:w="3631" w:type="pct"/>
            <w:tcBorders>
              <w:top w:val="single" w:color="000000" w:sz="4" w:space="0"/>
              <w:left w:val="single" w:color="000000" w:sz="4" w:space="0"/>
              <w:bottom w:val="single" w:color="000000" w:sz="4" w:space="0"/>
              <w:right w:val="single" w:color="000000" w:sz="4" w:space="0"/>
            </w:tcBorders>
            <w:vAlign w:val="center"/>
          </w:tcPr>
          <w:p w14:paraId="0025DE3A">
            <w:pPr>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日9时00分（北京时间）</w:t>
            </w:r>
          </w:p>
          <w:p w14:paraId="689E3A5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注：全面实行在线“不见面”开标，投标人远程在线解密投标文件，不再到开标现场，投标人开标前应仔细阅读《“不见面”开标注意事项及操作流程》。</w:t>
            </w:r>
          </w:p>
        </w:tc>
      </w:tr>
      <w:tr w14:paraId="572616F8">
        <w:tblPrEx>
          <w:tblCellMar>
            <w:top w:w="0" w:type="dxa"/>
            <w:left w:w="0" w:type="dxa"/>
            <w:bottom w:w="0" w:type="dxa"/>
            <w:right w:w="0" w:type="dxa"/>
          </w:tblCellMar>
        </w:tblPrEx>
        <w:trPr>
          <w:trHeight w:val="9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593B3E5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20</w:t>
            </w:r>
          </w:p>
        </w:tc>
        <w:tc>
          <w:tcPr>
            <w:tcW w:w="834" w:type="pct"/>
            <w:tcBorders>
              <w:top w:val="single" w:color="000000" w:sz="4" w:space="0"/>
              <w:left w:val="single" w:color="000000" w:sz="4" w:space="0"/>
              <w:bottom w:val="single" w:color="000000" w:sz="4" w:space="0"/>
              <w:right w:val="single" w:color="000000" w:sz="4" w:space="0"/>
            </w:tcBorders>
            <w:vAlign w:val="center"/>
          </w:tcPr>
          <w:p w14:paraId="6A63BEDB">
            <w:pPr>
              <w:spacing w:line="360" w:lineRule="auto"/>
              <w:jc w:val="center"/>
              <w:rPr>
                <w:rFonts w:ascii="宋体" w:hAnsi="宋体" w:eastAsia="宋体" w:cs="宋体"/>
                <w:sz w:val="24"/>
                <w:szCs w:val="24"/>
              </w:rPr>
            </w:pPr>
            <w:r>
              <w:rPr>
                <w:rFonts w:hint="eastAsia" w:ascii="宋体" w:hAnsi="宋体" w:eastAsia="宋体" w:cs="宋体"/>
                <w:sz w:val="24"/>
                <w:szCs w:val="24"/>
              </w:rPr>
              <w:t>投标文件电子版</w:t>
            </w:r>
          </w:p>
        </w:tc>
        <w:tc>
          <w:tcPr>
            <w:tcW w:w="3631" w:type="pct"/>
            <w:tcBorders>
              <w:top w:val="single" w:color="000000" w:sz="4" w:space="0"/>
              <w:left w:val="single" w:color="000000" w:sz="4" w:space="0"/>
              <w:bottom w:val="single" w:color="000000" w:sz="4" w:space="0"/>
              <w:right w:val="single" w:color="000000" w:sz="4" w:space="0"/>
            </w:tcBorders>
            <w:vAlign w:val="center"/>
          </w:tcPr>
          <w:p w14:paraId="1570EDB3">
            <w:pPr>
              <w:tabs>
                <w:tab w:val="left" w:pos="1519"/>
              </w:tabs>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加密版投标文件1份（.file格式），并按规定进行上传。</w:t>
            </w:r>
          </w:p>
        </w:tc>
      </w:tr>
      <w:tr w14:paraId="2AB2BD50">
        <w:tblPrEx>
          <w:tblCellMar>
            <w:top w:w="0" w:type="dxa"/>
            <w:left w:w="0" w:type="dxa"/>
            <w:bottom w:w="0" w:type="dxa"/>
            <w:right w:w="0" w:type="dxa"/>
          </w:tblCellMar>
        </w:tblPrEx>
        <w:trPr>
          <w:trHeight w:val="47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2E8D66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21</w:t>
            </w:r>
          </w:p>
        </w:tc>
        <w:tc>
          <w:tcPr>
            <w:tcW w:w="834" w:type="pct"/>
            <w:tcBorders>
              <w:top w:val="single" w:color="000000" w:sz="4" w:space="0"/>
              <w:left w:val="single" w:color="000000" w:sz="4" w:space="0"/>
              <w:bottom w:val="single" w:color="000000" w:sz="4" w:space="0"/>
              <w:right w:val="single" w:color="000000" w:sz="4" w:space="0"/>
            </w:tcBorders>
            <w:vAlign w:val="center"/>
          </w:tcPr>
          <w:p w14:paraId="28D92B78">
            <w:pPr>
              <w:spacing w:line="360" w:lineRule="auto"/>
              <w:jc w:val="center"/>
              <w:rPr>
                <w:rFonts w:ascii="宋体" w:hAnsi="宋体" w:eastAsia="宋体" w:cs="宋体"/>
                <w:sz w:val="24"/>
                <w:szCs w:val="24"/>
              </w:rPr>
            </w:pPr>
            <w:r>
              <w:rPr>
                <w:rFonts w:hint="eastAsia" w:ascii="宋体" w:hAnsi="宋体" w:eastAsia="宋体" w:cs="宋体"/>
                <w:sz w:val="24"/>
                <w:szCs w:val="24"/>
              </w:rPr>
              <w:t>投标有效期</w:t>
            </w:r>
          </w:p>
        </w:tc>
        <w:tc>
          <w:tcPr>
            <w:tcW w:w="3631" w:type="pct"/>
            <w:tcBorders>
              <w:top w:val="single" w:color="000000" w:sz="4" w:space="0"/>
              <w:left w:val="single" w:color="000000" w:sz="4" w:space="0"/>
              <w:bottom w:val="single" w:color="000000" w:sz="4" w:space="0"/>
              <w:right w:val="single" w:color="000000" w:sz="4" w:space="0"/>
            </w:tcBorders>
            <w:vAlign w:val="center"/>
          </w:tcPr>
          <w:p w14:paraId="0D36468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投标截止之日起60个日历天</w:t>
            </w:r>
          </w:p>
        </w:tc>
      </w:tr>
      <w:tr w14:paraId="6A6749C3">
        <w:tblPrEx>
          <w:tblCellMar>
            <w:top w:w="0" w:type="dxa"/>
            <w:left w:w="0" w:type="dxa"/>
            <w:bottom w:w="0" w:type="dxa"/>
            <w:right w:w="0" w:type="dxa"/>
          </w:tblCellMar>
        </w:tblPrEx>
        <w:trPr>
          <w:trHeight w:val="477" w:hRule="atLeast"/>
          <w:jc w:val="center"/>
        </w:trPr>
        <w:tc>
          <w:tcPr>
            <w:tcW w:w="534" w:type="pct"/>
            <w:vMerge w:val="restart"/>
            <w:tcBorders>
              <w:top w:val="single" w:color="000000" w:sz="4" w:space="0"/>
              <w:left w:val="single" w:color="000000" w:sz="4" w:space="0"/>
              <w:right w:val="single" w:color="000000" w:sz="4" w:space="0"/>
            </w:tcBorders>
            <w:vAlign w:val="center"/>
          </w:tcPr>
          <w:p w14:paraId="482AE3DF">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22</w:t>
            </w:r>
          </w:p>
        </w:tc>
        <w:tc>
          <w:tcPr>
            <w:tcW w:w="834" w:type="pct"/>
            <w:tcBorders>
              <w:top w:val="single" w:color="000000" w:sz="4" w:space="0"/>
              <w:left w:val="single" w:color="000000" w:sz="4" w:space="0"/>
              <w:bottom w:val="single" w:color="000000" w:sz="4" w:space="0"/>
              <w:right w:val="single" w:color="000000" w:sz="4" w:space="0"/>
            </w:tcBorders>
          </w:tcPr>
          <w:p w14:paraId="06AB5ECA">
            <w:pPr>
              <w:spacing w:line="360" w:lineRule="auto"/>
              <w:jc w:val="center"/>
              <w:rPr>
                <w:rFonts w:ascii="宋体" w:hAnsi="宋体" w:eastAsia="宋体" w:cs="宋体"/>
                <w:sz w:val="24"/>
                <w:szCs w:val="24"/>
              </w:rPr>
            </w:pPr>
            <w:r>
              <w:rPr>
                <w:rFonts w:hint="eastAsia" w:ascii="宋体" w:hAnsi="宋体" w:eastAsia="宋体" w:cs="宋体"/>
                <w:sz w:val="24"/>
                <w:szCs w:val="24"/>
              </w:rPr>
              <w:t>招标文件费用</w:t>
            </w:r>
          </w:p>
        </w:tc>
        <w:tc>
          <w:tcPr>
            <w:tcW w:w="3631" w:type="pct"/>
            <w:tcBorders>
              <w:top w:val="single" w:color="000000" w:sz="4" w:space="0"/>
              <w:left w:val="single" w:color="000000" w:sz="4" w:space="0"/>
              <w:bottom w:val="single" w:color="000000" w:sz="4" w:space="0"/>
              <w:right w:val="single" w:color="000000" w:sz="4" w:space="0"/>
            </w:tcBorders>
          </w:tcPr>
          <w:p w14:paraId="512B030C">
            <w:pPr>
              <w:spacing w:line="360" w:lineRule="auto"/>
              <w:rPr>
                <w:rFonts w:ascii="宋体" w:hAnsi="宋体" w:eastAsia="宋体" w:cs="宋体"/>
                <w:sz w:val="24"/>
                <w:szCs w:val="24"/>
              </w:rPr>
            </w:pPr>
            <w:r>
              <w:rPr>
                <w:rFonts w:hint="eastAsia" w:ascii="宋体" w:hAnsi="宋体" w:eastAsia="宋体" w:cs="宋体"/>
                <w:sz w:val="24"/>
                <w:szCs w:val="24"/>
              </w:rPr>
              <w:t>不收取</w:t>
            </w:r>
          </w:p>
        </w:tc>
      </w:tr>
      <w:tr w14:paraId="607DF4D6">
        <w:tblPrEx>
          <w:tblCellMar>
            <w:top w:w="0" w:type="dxa"/>
            <w:left w:w="0" w:type="dxa"/>
            <w:bottom w:w="0" w:type="dxa"/>
            <w:right w:w="0" w:type="dxa"/>
          </w:tblCellMar>
        </w:tblPrEx>
        <w:trPr>
          <w:trHeight w:val="349" w:hRule="atLeast"/>
          <w:jc w:val="center"/>
        </w:trPr>
        <w:tc>
          <w:tcPr>
            <w:tcW w:w="534" w:type="pct"/>
            <w:vMerge w:val="continue"/>
            <w:tcBorders>
              <w:left w:val="single" w:color="000000" w:sz="4" w:space="0"/>
              <w:right w:val="single" w:color="000000" w:sz="4" w:space="0"/>
            </w:tcBorders>
            <w:vAlign w:val="center"/>
          </w:tcPr>
          <w:p w14:paraId="2E106077">
            <w:pPr>
              <w:spacing w:line="360" w:lineRule="auto"/>
              <w:jc w:val="center"/>
              <w:rPr>
                <w:rFonts w:ascii="宋体" w:hAnsi="宋体" w:eastAsia="宋体" w:cs="宋体"/>
                <w:sz w:val="24"/>
                <w:szCs w:val="24"/>
                <w:lang w:eastAsia="zh-CN"/>
              </w:rPr>
            </w:pPr>
          </w:p>
        </w:tc>
        <w:tc>
          <w:tcPr>
            <w:tcW w:w="834" w:type="pct"/>
            <w:tcBorders>
              <w:top w:val="single" w:color="000000" w:sz="4" w:space="0"/>
              <w:left w:val="single" w:color="000000" w:sz="4" w:space="0"/>
              <w:bottom w:val="single" w:color="000000" w:sz="4" w:space="0"/>
              <w:right w:val="single" w:color="000000" w:sz="4" w:space="0"/>
            </w:tcBorders>
          </w:tcPr>
          <w:p w14:paraId="3C84B3C2">
            <w:pPr>
              <w:spacing w:line="360" w:lineRule="auto"/>
              <w:jc w:val="center"/>
              <w:rPr>
                <w:rFonts w:ascii="宋体" w:hAnsi="宋体" w:eastAsia="宋体" w:cs="宋体"/>
                <w:sz w:val="24"/>
                <w:szCs w:val="24"/>
              </w:rPr>
            </w:pPr>
            <w:r>
              <w:rPr>
                <w:rFonts w:hint="eastAsia" w:ascii="宋体" w:hAnsi="宋体" w:eastAsia="宋体" w:cs="宋体"/>
                <w:sz w:val="24"/>
                <w:szCs w:val="24"/>
              </w:rPr>
              <w:t>投标保证金</w:t>
            </w:r>
          </w:p>
        </w:tc>
        <w:tc>
          <w:tcPr>
            <w:tcW w:w="3631" w:type="pct"/>
            <w:tcBorders>
              <w:top w:val="single" w:color="000000" w:sz="4" w:space="0"/>
              <w:left w:val="single" w:color="000000" w:sz="4" w:space="0"/>
              <w:bottom w:val="single" w:color="000000" w:sz="4" w:space="0"/>
              <w:right w:val="single" w:color="000000" w:sz="4" w:space="0"/>
            </w:tcBorders>
          </w:tcPr>
          <w:p w14:paraId="16294177">
            <w:pPr>
              <w:spacing w:line="360" w:lineRule="auto"/>
              <w:rPr>
                <w:rFonts w:ascii="宋体" w:hAnsi="宋体" w:eastAsia="宋体" w:cs="宋体"/>
                <w:sz w:val="24"/>
                <w:szCs w:val="24"/>
              </w:rPr>
            </w:pPr>
            <w:r>
              <w:rPr>
                <w:rFonts w:hint="eastAsia" w:ascii="宋体" w:hAnsi="宋体" w:eastAsia="宋体" w:cs="宋体"/>
                <w:sz w:val="24"/>
                <w:szCs w:val="24"/>
              </w:rPr>
              <w:t>不收取</w:t>
            </w:r>
          </w:p>
        </w:tc>
      </w:tr>
      <w:tr w14:paraId="60283B68">
        <w:tblPrEx>
          <w:tblCellMar>
            <w:top w:w="0" w:type="dxa"/>
            <w:left w:w="0" w:type="dxa"/>
            <w:bottom w:w="0" w:type="dxa"/>
            <w:right w:w="0" w:type="dxa"/>
          </w:tblCellMar>
        </w:tblPrEx>
        <w:trPr>
          <w:trHeight w:val="349" w:hRule="atLeast"/>
          <w:jc w:val="center"/>
        </w:trPr>
        <w:tc>
          <w:tcPr>
            <w:tcW w:w="534" w:type="pct"/>
            <w:vMerge w:val="continue"/>
            <w:tcBorders>
              <w:left w:val="single" w:color="000000" w:sz="4" w:space="0"/>
              <w:right w:val="single" w:color="000000" w:sz="4" w:space="0"/>
            </w:tcBorders>
            <w:vAlign w:val="center"/>
          </w:tcPr>
          <w:p w14:paraId="3C2AC549">
            <w:pPr>
              <w:spacing w:line="360" w:lineRule="auto"/>
              <w:jc w:val="center"/>
              <w:rPr>
                <w:rFonts w:ascii="宋体" w:hAnsi="宋体" w:eastAsia="宋体" w:cs="宋体"/>
                <w:sz w:val="24"/>
                <w:szCs w:val="24"/>
              </w:rPr>
            </w:pPr>
          </w:p>
        </w:tc>
        <w:tc>
          <w:tcPr>
            <w:tcW w:w="834" w:type="pct"/>
            <w:tcBorders>
              <w:top w:val="single" w:color="000000" w:sz="4" w:space="0"/>
              <w:left w:val="single" w:color="000000" w:sz="4" w:space="0"/>
              <w:bottom w:val="single" w:color="000000" w:sz="4" w:space="0"/>
              <w:right w:val="single" w:color="000000" w:sz="4" w:space="0"/>
            </w:tcBorders>
            <w:vAlign w:val="center"/>
          </w:tcPr>
          <w:p w14:paraId="56BBD591">
            <w:pPr>
              <w:spacing w:line="360" w:lineRule="auto"/>
              <w:jc w:val="center"/>
              <w:rPr>
                <w:rFonts w:ascii="宋体" w:hAnsi="宋体" w:eastAsia="宋体" w:cs="宋体"/>
                <w:sz w:val="24"/>
                <w:szCs w:val="24"/>
              </w:rPr>
            </w:pPr>
            <w:r>
              <w:rPr>
                <w:rFonts w:hint="eastAsia" w:ascii="宋体" w:hAnsi="宋体" w:eastAsia="宋体" w:cs="宋体"/>
                <w:sz w:val="24"/>
                <w:szCs w:val="24"/>
              </w:rPr>
              <w:t>履约保证金</w:t>
            </w:r>
          </w:p>
        </w:tc>
        <w:tc>
          <w:tcPr>
            <w:tcW w:w="3631" w:type="pct"/>
            <w:tcBorders>
              <w:top w:val="single" w:color="000000" w:sz="4" w:space="0"/>
              <w:left w:val="single" w:color="000000" w:sz="4" w:space="0"/>
              <w:bottom w:val="single" w:color="000000" w:sz="4" w:space="0"/>
              <w:right w:val="single" w:color="000000" w:sz="4" w:space="0"/>
            </w:tcBorders>
          </w:tcPr>
          <w:p w14:paraId="0F377A5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不收取</w:t>
            </w:r>
          </w:p>
        </w:tc>
      </w:tr>
      <w:tr w14:paraId="1B0143B3">
        <w:tblPrEx>
          <w:tblCellMar>
            <w:top w:w="0" w:type="dxa"/>
            <w:left w:w="0" w:type="dxa"/>
            <w:bottom w:w="0" w:type="dxa"/>
            <w:right w:w="0" w:type="dxa"/>
          </w:tblCellMar>
        </w:tblPrEx>
        <w:trPr>
          <w:trHeight w:val="47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6F62A67E">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23</w:t>
            </w:r>
          </w:p>
        </w:tc>
        <w:tc>
          <w:tcPr>
            <w:tcW w:w="834" w:type="pct"/>
            <w:tcBorders>
              <w:top w:val="single" w:color="000000" w:sz="4" w:space="0"/>
              <w:left w:val="single" w:color="000000" w:sz="4" w:space="0"/>
              <w:bottom w:val="single" w:color="000000" w:sz="4" w:space="0"/>
              <w:right w:val="single" w:color="000000" w:sz="4" w:space="0"/>
            </w:tcBorders>
            <w:vAlign w:val="center"/>
          </w:tcPr>
          <w:p w14:paraId="359F63D3">
            <w:pPr>
              <w:spacing w:line="360" w:lineRule="auto"/>
              <w:jc w:val="center"/>
              <w:rPr>
                <w:rFonts w:ascii="宋体" w:hAnsi="宋体" w:eastAsia="宋体" w:cs="宋体"/>
                <w:sz w:val="24"/>
                <w:szCs w:val="24"/>
              </w:rPr>
            </w:pPr>
            <w:r>
              <w:rPr>
                <w:rFonts w:hint="eastAsia" w:ascii="宋体" w:hAnsi="宋体" w:eastAsia="宋体" w:cs="宋体"/>
                <w:sz w:val="24"/>
                <w:szCs w:val="24"/>
              </w:rPr>
              <w:t>签字或盖章</w:t>
            </w:r>
          </w:p>
          <w:p w14:paraId="65245CEA">
            <w:pPr>
              <w:spacing w:line="360" w:lineRule="auto"/>
              <w:jc w:val="center"/>
              <w:rPr>
                <w:rFonts w:ascii="宋体" w:hAnsi="宋体" w:eastAsia="宋体" w:cs="宋体"/>
                <w:sz w:val="24"/>
                <w:szCs w:val="24"/>
              </w:rPr>
            </w:pPr>
            <w:r>
              <w:rPr>
                <w:rFonts w:hint="eastAsia" w:ascii="宋体" w:hAnsi="宋体" w:eastAsia="宋体" w:cs="宋体"/>
                <w:sz w:val="24"/>
                <w:szCs w:val="24"/>
              </w:rPr>
              <w:t>要求</w:t>
            </w:r>
          </w:p>
        </w:tc>
        <w:tc>
          <w:tcPr>
            <w:tcW w:w="3631" w:type="pct"/>
            <w:tcBorders>
              <w:top w:val="single" w:color="000000" w:sz="4" w:space="0"/>
              <w:left w:val="single" w:color="000000" w:sz="4" w:space="0"/>
              <w:bottom w:val="single" w:color="000000" w:sz="4" w:space="0"/>
              <w:right w:val="single" w:color="000000" w:sz="4" w:space="0"/>
            </w:tcBorders>
            <w:vAlign w:val="center"/>
          </w:tcPr>
          <w:p w14:paraId="3BD215D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14:paraId="28929FF3">
        <w:tblPrEx>
          <w:tblCellMar>
            <w:top w:w="0" w:type="dxa"/>
            <w:left w:w="0" w:type="dxa"/>
            <w:bottom w:w="0" w:type="dxa"/>
            <w:right w:w="0" w:type="dxa"/>
          </w:tblCellMar>
        </w:tblPrEx>
        <w:trPr>
          <w:trHeight w:val="477"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1C38F26A">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24</w:t>
            </w:r>
          </w:p>
        </w:tc>
        <w:tc>
          <w:tcPr>
            <w:tcW w:w="834" w:type="pct"/>
            <w:tcBorders>
              <w:top w:val="single" w:color="000000" w:sz="4" w:space="0"/>
              <w:left w:val="single" w:color="000000" w:sz="4" w:space="0"/>
              <w:bottom w:val="single" w:color="000000" w:sz="4" w:space="0"/>
              <w:right w:val="single" w:color="000000" w:sz="4" w:space="0"/>
            </w:tcBorders>
            <w:vAlign w:val="center"/>
          </w:tcPr>
          <w:p w14:paraId="7769FD1D">
            <w:pPr>
              <w:spacing w:line="360" w:lineRule="auto"/>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3631" w:type="pct"/>
            <w:tcBorders>
              <w:top w:val="single" w:color="000000" w:sz="4" w:space="0"/>
              <w:left w:val="single" w:color="000000" w:sz="4" w:space="0"/>
              <w:bottom w:val="single" w:color="000000" w:sz="4" w:space="0"/>
              <w:right w:val="single" w:color="000000" w:sz="4" w:space="0"/>
            </w:tcBorders>
            <w:vAlign w:val="center"/>
          </w:tcPr>
          <w:p w14:paraId="01CC135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平顶山市公共资源交易中心电子交易系统</w:t>
            </w:r>
          </w:p>
        </w:tc>
      </w:tr>
      <w:tr w14:paraId="48FD7C55">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AD66236">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25</w:t>
            </w:r>
          </w:p>
        </w:tc>
        <w:tc>
          <w:tcPr>
            <w:tcW w:w="834" w:type="pct"/>
            <w:tcBorders>
              <w:top w:val="single" w:color="000000" w:sz="4" w:space="0"/>
              <w:left w:val="single" w:color="000000" w:sz="4" w:space="0"/>
              <w:bottom w:val="single" w:color="000000" w:sz="4" w:space="0"/>
              <w:right w:val="single" w:color="000000" w:sz="4" w:space="0"/>
            </w:tcBorders>
            <w:vAlign w:val="center"/>
          </w:tcPr>
          <w:p w14:paraId="2B0504FB">
            <w:pPr>
              <w:spacing w:line="360" w:lineRule="auto"/>
              <w:jc w:val="center"/>
              <w:rPr>
                <w:rFonts w:ascii="宋体" w:hAnsi="宋体" w:eastAsia="宋体" w:cs="宋体"/>
                <w:sz w:val="24"/>
                <w:szCs w:val="24"/>
              </w:rPr>
            </w:pPr>
            <w:r>
              <w:rPr>
                <w:rFonts w:hint="eastAsia" w:ascii="宋体" w:hAnsi="宋体" w:eastAsia="宋体" w:cs="宋体"/>
                <w:sz w:val="24"/>
                <w:szCs w:val="24"/>
              </w:rPr>
              <w:t>开标时间和</w:t>
            </w:r>
          </w:p>
          <w:p w14:paraId="17D1FCC8">
            <w:pPr>
              <w:spacing w:line="360" w:lineRule="auto"/>
              <w:jc w:val="center"/>
              <w:rPr>
                <w:rFonts w:ascii="宋体" w:hAnsi="宋体" w:eastAsia="宋体" w:cs="宋体"/>
                <w:sz w:val="24"/>
                <w:szCs w:val="24"/>
              </w:rPr>
            </w:pPr>
            <w:r>
              <w:rPr>
                <w:rFonts w:hint="eastAsia" w:ascii="宋体" w:hAnsi="宋体" w:eastAsia="宋体" w:cs="宋体"/>
                <w:sz w:val="24"/>
                <w:szCs w:val="24"/>
              </w:rPr>
              <w:t>地点</w:t>
            </w:r>
          </w:p>
        </w:tc>
        <w:tc>
          <w:tcPr>
            <w:tcW w:w="3631" w:type="pct"/>
            <w:tcBorders>
              <w:top w:val="single" w:color="000000" w:sz="4" w:space="0"/>
              <w:left w:val="single" w:color="000000" w:sz="4" w:space="0"/>
              <w:bottom w:val="single" w:color="000000" w:sz="4" w:space="0"/>
              <w:right w:val="single" w:color="000000" w:sz="4" w:space="0"/>
            </w:tcBorders>
            <w:vAlign w:val="center"/>
          </w:tcPr>
          <w:p w14:paraId="76BF6E5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开标时间：同投标截止时间；</w:t>
            </w:r>
          </w:p>
          <w:p w14:paraId="25F4F2E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开标地点：平顶山市公共资源交易中心</w:t>
            </w:r>
          </w:p>
        </w:tc>
      </w:tr>
      <w:tr w14:paraId="480B4754">
        <w:tblPrEx>
          <w:tblCellMar>
            <w:top w:w="0" w:type="dxa"/>
            <w:left w:w="0" w:type="dxa"/>
            <w:bottom w:w="0" w:type="dxa"/>
            <w:right w:w="0" w:type="dxa"/>
          </w:tblCellMar>
        </w:tblPrEx>
        <w:trPr>
          <w:trHeight w:val="53"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52A050D8">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26</w:t>
            </w:r>
          </w:p>
        </w:tc>
        <w:tc>
          <w:tcPr>
            <w:tcW w:w="834" w:type="pct"/>
            <w:tcBorders>
              <w:top w:val="single" w:color="000000" w:sz="4" w:space="0"/>
              <w:left w:val="single" w:color="000000" w:sz="4" w:space="0"/>
              <w:bottom w:val="single" w:color="000000" w:sz="4" w:space="0"/>
              <w:right w:val="single" w:color="000000" w:sz="4" w:space="0"/>
            </w:tcBorders>
            <w:vAlign w:val="center"/>
          </w:tcPr>
          <w:p w14:paraId="7B56FBEB">
            <w:pPr>
              <w:spacing w:line="360" w:lineRule="auto"/>
              <w:jc w:val="center"/>
              <w:rPr>
                <w:rFonts w:ascii="宋体" w:hAnsi="宋体" w:eastAsia="宋体" w:cs="宋体"/>
                <w:sz w:val="24"/>
                <w:szCs w:val="24"/>
              </w:rPr>
            </w:pPr>
            <w:r>
              <w:rPr>
                <w:rFonts w:hint="eastAsia" w:ascii="宋体" w:hAnsi="宋体" w:eastAsia="宋体" w:cs="宋体"/>
                <w:sz w:val="24"/>
                <w:szCs w:val="24"/>
              </w:rPr>
              <w:t>开标程序</w:t>
            </w:r>
          </w:p>
        </w:tc>
        <w:tc>
          <w:tcPr>
            <w:tcW w:w="3631" w:type="pct"/>
            <w:tcBorders>
              <w:top w:val="single" w:color="000000" w:sz="4" w:space="0"/>
              <w:left w:val="single" w:color="000000" w:sz="4" w:space="0"/>
              <w:bottom w:val="single" w:color="000000" w:sz="4" w:space="0"/>
              <w:right w:val="single" w:color="000000" w:sz="4" w:space="0"/>
            </w:tcBorders>
            <w:vAlign w:val="center"/>
          </w:tcPr>
          <w:p w14:paraId="49F76E0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（1）电子化投标文件采用双重加密方式。开标时，首先由投标人使用CA证书，在规定时间内对其电子化投标文件进行首次解密，投标人解密完成后，再由中介服务机构使用CA证书对投标文件进行再次解密。</w:t>
            </w:r>
          </w:p>
          <w:p w14:paraId="58F28C9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（2）待所有投标人投标文件解密完成后，由中介服务机构操作，对所有已解密投标文件进行唱标。</w:t>
            </w:r>
          </w:p>
        </w:tc>
      </w:tr>
      <w:tr w14:paraId="7A60FC69">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BDBF31E">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27</w:t>
            </w:r>
          </w:p>
        </w:tc>
        <w:tc>
          <w:tcPr>
            <w:tcW w:w="834" w:type="pct"/>
            <w:tcBorders>
              <w:top w:val="single" w:color="000000" w:sz="4" w:space="0"/>
              <w:left w:val="single" w:color="000000" w:sz="4" w:space="0"/>
              <w:bottom w:val="single" w:color="000000" w:sz="4" w:space="0"/>
              <w:right w:val="single" w:color="000000" w:sz="4" w:space="0"/>
            </w:tcBorders>
            <w:vAlign w:val="center"/>
          </w:tcPr>
          <w:p w14:paraId="2A325CC6">
            <w:pPr>
              <w:spacing w:line="360" w:lineRule="auto"/>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3631" w:type="pct"/>
            <w:tcBorders>
              <w:top w:val="single" w:color="000000" w:sz="4" w:space="0"/>
              <w:left w:val="single" w:color="000000" w:sz="4" w:space="0"/>
              <w:bottom w:val="single" w:color="000000" w:sz="4" w:space="0"/>
              <w:right w:val="single" w:color="000000" w:sz="4" w:space="0"/>
            </w:tcBorders>
            <w:vAlign w:val="center"/>
          </w:tcPr>
          <w:p w14:paraId="685F43C4">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评标委员会构成：由采购人代表及相关技术、经济专家7人及以上组成。</w:t>
            </w:r>
          </w:p>
          <w:p w14:paraId="071742B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评标专家确定方式:由招标人从专家库中随机抽取。</w:t>
            </w:r>
          </w:p>
        </w:tc>
      </w:tr>
      <w:tr w14:paraId="6F9FAF38">
        <w:tblPrEx>
          <w:tblCellMar>
            <w:top w:w="0" w:type="dxa"/>
            <w:left w:w="0" w:type="dxa"/>
            <w:bottom w:w="0" w:type="dxa"/>
            <w:right w:w="0" w:type="dxa"/>
          </w:tblCellMar>
        </w:tblPrEx>
        <w:trPr>
          <w:trHeight w:val="73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64416E1D">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28</w:t>
            </w:r>
          </w:p>
        </w:tc>
        <w:tc>
          <w:tcPr>
            <w:tcW w:w="834" w:type="pct"/>
            <w:tcBorders>
              <w:top w:val="single" w:color="000000" w:sz="4" w:space="0"/>
              <w:left w:val="single" w:color="000000" w:sz="4" w:space="0"/>
              <w:bottom w:val="single" w:color="000000" w:sz="4" w:space="0"/>
              <w:right w:val="single" w:color="000000" w:sz="4" w:space="0"/>
            </w:tcBorders>
            <w:vAlign w:val="center"/>
          </w:tcPr>
          <w:p w14:paraId="164DC4B0">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是否授权评标委员会确定中标人</w:t>
            </w:r>
          </w:p>
        </w:tc>
        <w:tc>
          <w:tcPr>
            <w:tcW w:w="3631" w:type="pct"/>
            <w:tcBorders>
              <w:top w:val="single" w:color="000000" w:sz="4" w:space="0"/>
              <w:left w:val="single" w:color="000000" w:sz="4" w:space="0"/>
              <w:bottom w:val="single" w:color="000000" w:sz="4" w:space="0"/>
              <w:right w:val="single" w:color="000000" w:sz="4" w:space="0"/>
            </w:tcBorders>
            <w:vAlign w:val="center"/>
          </w:tcPr>
          <w:p w14:paraId="26ADE899">
            <w:pPr>
              <w:spacing w:line="360" w:lineRule="auto"/>
              <w:rPr>
                <w:rFonts w:ascii="宋体" w:hAnsi="宋体" w:eastAsia="宋体" w:cs="宋体"/>
                <w:kern w:val="1"/>
                <w:sz w:val="24"/>
                <w:szCs w:val="24"/>
                <w:lang w:eastAsia="zh-CN"/>
              </w:rPr>
            </w:pPr>
            <w:bookmarkStart w:id="28" w:name="_Toc18765"/>
            <w:r>
              <w:rPr>
                <w:rFonts w:hint="eastAsia" w:ascii="宋体" w:hAnsi="宋体" w:eastAsia="宋体" w:cs="宋体"/>
                <w:sz w:val="24"/>
                <w:szCs w:val="24"/>
                <w:lang w:eastAsia="zh-CN"/>
              </w:rPr>
              <w:t>否，由评标委员会按投标人最后得分高低推荐前1-3名为中标候选人。若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Pr>
                <w:rFonts w:hint="eastAsia" w:ascii="宋体" w:hAnsi="宋体" w:eastAsia="宋体" w:cs="宋体"/>
                <w:kern w:val="1"/>
                <w:sz w:val="24"/>
                <w:szCs w:val="24"/>
                <w:lang w:eastAsia="zh-CN"/>
              </w:rPr>
              <w:t>中标或者成交供应商拒绝与采购人签订合同的，采购人可以按照评审报告推荐的中标或者成交候选人名单排序，确定下一候选人为中标或者成交供应商，也可以重新开展政府采购活动。</w:t>
            </w:r>
            <w:bookmarkEnd w:id="28"/>
          </w:p>
        </w:tc>
      </w:tr>
      <w:tr w14:paraId="4DB113B1">
        <w:tblPrEx>
          <w:tblCellMar>
            <w:top w:w="0" w:type="dxa"/>
            <w:left w:w="0" w:type="dxa"/>
            <w:bottom w:w="0" w:type="dxa"/>
            <w:right w:w="0" w:type="dxa"/>
          </w:tblCellMar>
        </w:tblPrEx>
        <w:trPr>
          <w:trHeight w:val="431"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3974CEFE">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29</w:t>
            </w:r>
          </w:p>
        </w:tc>
        <w:tc>
          <w:tcPr>
            <w:tcW w:w="834" w:type="pct"/>
            <w:tcBorders>
              <w:top w:val="single" w:color="000000" w:sz="4" w:space="0"/>
              <w:left w:val="single" w:color="000000" w:sz="4" w:space="0"/>
              <w:bottom w:val="single" w:color="000000" w:sz="4" w:space="0"/>
              <w:right w:val="single" w:color="000000" w:sz="4" w:space="0"/>
            </w:tcBorders>
            <w:vAlign w:val="center"/>
          </w:tcPr>
          <w:p w14:paraId="6A5066C0">
            <w:pPr>
              <w:spacing w:line="360" w:lineRule="auto"/>
              <w:jc w:val="center"/>
              <w:rPr>
                <w:rFonts w:ascii="宋体" w:hAnsi="宋体" w:eastAsia="宋体" w:cs="宋体"/>
                <w:sz w:val="24"/>
                <w:szCs w:val="24"/>
              </w:rPr>
            </w:pPr>
            <w:r>
              <w:rPr>
                <w:rFonts w:hint="eastAsia" w:ascii="宋体" w:hAnsi="宋体" w:eastAsia="宋体" w:cs="宋体"/>
                <w:sz w:val="24"/>
                <w:szCs w:val="24"/>
              </w:rPr>
              <w:t>接收质疑函的方式</w:t>
            </w:r>
          </w:p>
        </w:tc>
        <w:tc>
          <w:tcPr>
            <w:tcW w:w="3631" w:type="pct"/>
            <w:tcBorders>
              <w:top w:val="single" w:color="000000" w:sz="4" w:space="0"/>
              <w:left w:val="single" w:color="000000" w:sz="4" w:space="0"/>
              <w:bottom w:val="single" w:color="000000" w:sz="4" w:space="0"/>
              <w:right w:val="single" w:color="000000" w:sz="4" w:space="0"/>
            </w:tcBorders>
            <w:vAlign w:val="center"/>
          </w:tcPr>
          <w:p w14:paraId="100A0AA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质疑函应在平顶山市公共资源交易系统中接收，质疑函的格式和内容应当符合相关法律法规的要求。</w:t>
            </w:r>
          </w:p>
        </w:tc>
      </w:tr>
      <w:tr w14:paraId="75C40A33">
        <w:tblPrEx>
          <w:tblCellMar>
            <w:top w:w="0" w:type="dxa"/>
            <w:left w:w="0" w:type="dxa"/>
            <w:bottom w:w="0" w:type="dxa"/>
            <w:right w:w="0" w:type="dxa"/>
          </w:tblCellMar>
        </w:tblPrEx>
        <w:trPr>
          <w:trHeight w:val="691" w:hRule="atLeast"/>
          <w:jc w:val="center"/>
        </w:trPr>
        <w:tc>
          <w:tcPr>
            <w:tcW w:w="534" w:type="pct"/>
            <w:tcBorders>
              <w:top w:val="single" w:color="000000" w:sz="4" w:space="0"/>
              <w:left w:val="single" w:color="000000" w:sz="4" w:space="0"/>
              <w:right w:val="single" w:color="000000" w:sz="4" w:space="0"/>
            </w:tcBorders>
            <w:vAlign w:val="center"/>
          </w:tcPr>
          <w:p w14:paraId="18E67775">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30</w:t>
            </w:r>
          </w:p>
        </w:tc>
        <w:tc>
          <w:tcPr>
            <w:tcW w:w="834" w:type="pct"/>
            <w:tcBorders>
              <w:top w:val="single" w:color="000000" w:sz="4" w:space="0"/>
              <w:left w:val="single" w:color="000000" w:sz="4" w:space="0"/>
              <w:right w:val="single" w:color="000000" w:sz="4" w:space="0"/>
            </w:tcBorders>
            <w:vAlign w:val="center"/>
          </w:tcPr>
          <w:p w14:paraId="112B4F05">
            <w:pPr>
              <w:spacing w:line="360" w:lineRule="auto"/>
              <w:jc w:val="center"/>
              <w:rPr>
                <w:rFonts w:ascii="宋体" w:hAnsi="宋体" w:eastAsia="宋体" w:cs="宋体"/>
                <w:sz w:val="24"/>
                <w:szCs w:val="24"/>
              </w:rPr>
            </w:pPr>
            <w:r>
              <w:rPr>
                <w:rFonts w:hint="eastAsia" w:ascii="宋体" w:hAnsi="宋体" w:eastAsia="宋体" w:cs="宋体"/>
                <w:sz w:val="24"/>
                <w:szCs w:val="24"/>
              </w:rPr>
              <w:t>最高投标限价</w:t>
            </w:r>
          </w:p>
        </w:tc>
        <w:tc>
          <w:tcPr>
            <w:tcW w:w="3631" w:type="pct"/>
            <w:tcBorders>
              <w:top w:val="single" w:color="000000" w:sz="4" w:space="0"/>
              <w:left w:val="single" w:color="000000" w:sz="4" w:space="0"/>
              <w:right w:val="single" w:color="000000" w:sz="4" w:space="0"/>
            </w:tcBorders>
            <w:vAlign w:val="center"/>
          </w:tcPr>
          <w:p w14:paraId="37BE0B8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第一标段最高限价：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0000000元，第二标段最高限价：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0000000元，第三标段最高限价：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0000000元，第四标段最高限价：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0000000元，第五标段最高限价：</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0000000元。</w:t>
            </w:r>
          </w:p>
        </w:tc>
      </w:tr>
      <w:tr w14:paraId="76243778">
        <w:tblPrEx>
          <w:tblCellMar>
            <w:top w:w="0" w:type="dxa"/>
            <w:left w:w="0" w:type="dxa"/>
            <w:bottom w:w="0" w:type="dxa"/>
            <w:right w:w="0" w:type="dxa"/>
          </w:tblCellMar>
        </w:tblPrEx>
        <w:trPr>
          <w:trHeight w:val="360"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2404E977">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31</w:t>
            </w:r>
          </w:p>
        </w:tc>
        <w:tc>
          <w:tcPr>
            <w:tcW w:w="834" w:type="pct"/>
            <w:tcBorders>
              <w:top w:val="single" w:color="000000" w:sz="4" w:space="0"/>
              <w:left w:val="single" w:color="000000" w:sz="4" w:space="0"/>
              <w:bottom w:val="single" w:color="000000" w:sz="4" w:space="0"/>
              <w:right w:val="single" w:color="000000" w:sz="4" w:space="0"/>
            </w:tcBorders>
            <w:vAlign w:val="center"/>
          </w:tcPr>
          <w:p w14:paraId="02FFCA1A">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招标代理</w:t>
            </w:r>
          </w:p>
          <w:p w14:paraId="7FC47A8C">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服务费</w:t>
            </w:r>
          </w:p>
        </w:tc>
        <w:tc>
          <w:tcPr>
            <w:tcW w:w="3631" w:type="pct"/>
            <w:tcBorders>
              <w:top w:val="single" w:color="000000" w:sz="4" w:space="0"/>
              <w:left w:val="single" w:color="000000" w:sz="4" w:space="0"/>
              <w:bottom w:val="single" w:color="000000" w:sz="4" w:space="0"/>
              <w:right w:val="single" w:color="000000" w:sz="4" w:space="0"/>
            </w:tcBorders>
            <w:vAlign w:val="center"/>
          </w:tcPr>
          <w:p w14:paraId="412CE353">
            <w:pPr>
              <w:spacing w:before="50" w:after="50" w:line="360" w:lineRule="auto"/>
              <w:rPr>
                <w:rFonts w:ascii="宋体" w:hAnsi="宋体" w:eastAsia="宋体" w:cs="宋体"/>
                <w:sz w:val="24"/>
                <w:szCs w:val="24"/>
                <w:highlight w:val="none"/>
                <w:lang w:eastAsia="zh-CN"/>
              </w:rPr>
            </w:pPr>
            <w:bookmarkStart w:id="29" w:name="_Toc15565"/>
            <w:r>
              <w:rPr>
                <w:rFonts w:hint="eastAsia" w:asciiTheme="minorEastAsia" w:hAnsiTheme="minorEastAsia" w:eastAsiaTheme="minorEastAsia" w:cstheme="minorEastAsia"/>
                <w:sz w:val="24"/>
                <w:szCs w:val="24"/>
                <w:highlight w:val="none"/>
                <w:lang w:eastAsia="zh-CN"/>
              </w:rPr>
              <w:t>本次招标代理服务费的收取标准执行河南省招标投标协会关于印发《河南省招标代理服务收费指导意见》</w:t>
            </w:r>
            <w:r>
              <w:rPr>
                <w:rFonts w:hint="eastAsia" w:ascii="宋体" w:hAnsi="宋体" w:eastAsia="宋体" w:cs="宋体"/>
                <w:sz w:val="24"/>
                <w:highlight w:val="none"/>
                <w:u w:val="none"/>
                <w:lang w:val="en-US" w:eastAsia="zh-CN"/>
              </w:rPr>
              <w:t>（豫招协[2023]002号）</w:t>
            </w:r>
            <w:r>
              <w:rPr>
                <w:rFonts w:hint="eastAsia" w:asciiTheme="minorEastAsia" w:hAnsiTheme="minorEastAsia" w:eastAsiaTheme="minorEastAsia" w:cstheme="minorEastAsia"/>
                <w:sz w:val="24"/>
                <w:szCs w:val="24"/>
                <w:highlight w:val="none"/>
                <w:lang w:eastAsia="zh-CN"/>
              </w:rPr>
              <w:t>的通知文件，由中标人支付招标代理服务费</w:t>
            </w:r>
            <w:bookmarkEnd w:id="29"/>
            <w:r>
              <w:rPr>
                <w:rFonts w:hint="eastAsia" w:asciiTheme="minorEastAsia" w:hAnsiTheme="minorEastAsia" w:eastAsiaTheme="minorEastAsia" w:cstheme="minorEastAsia"/>
                <w:sz w:val="24"/>
                <w:szCs w:val="24"/>
                <w:highlight w:val="none"/>
                <w:lang w:eastAsia="zh-CN"/>
              </w:rPr>
              <w:t>，招标代理服务费为</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5.5万元/标段。</w:t>
            </w:r>
          </w:p>
        </w:tc>
      </w:tr>
      <w:tr w14:paraId="691491A2">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CAE926C">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32</w:t>
            </w:r>
          </w:p>
        </w:tc>
        <w:tc>
          <w:tcPr>
            <w:tcW w:w="834" w:type="pct"/>
            <w:tcBorders>
              <w:top w:val="single" w:color="000000" w:sz="4" w:space="0"/>
              <w:left w:val="single" w:color="000000" w:sz="4" w:space="0"/>
              <w:bottom w:val="single" w:color="000000" w:sz="4" w:space="0"/>
              <w:right w:val="single" w:color="000000" w:sz="4" w:space="0"/>
            </w:tcBorders>
            <w:vAlign w:val="center"/>
          </w:tcPr>
          <w:p w14:paraId="187D679F">
            <w:pPr>
              <w:spacing w:line="360" w:lineRule="auto"/>
              <w:jc w:val="center"/>
              <w:rPr>
                <w:rFonts w:ascii="宋体" w:hAnsi="宋体" w:eastAsia="宋体" w:cs="宋体"/>
                <w:b/>
                <w:sz w:val="24"/>
                <w:szCs w:val="24"/>
                <w:lang w:eastAsia="zh-CN"/>
              </w:rPr>
            </w:pPr>
            <w:r>
              <w:rPr>
                <w:rFonts w:hint="eastAsia" w:ascii="宋体" w:hAnsi="宋体" w:eastAsia="宋体" w:cs="宋体"/>
                <w:b/>
                <w:sz w:val="24"/>
                <w:szCs w:val="24"/>
                <w:lang w:eastAsia="zh-CN"/>
              </w:rPr>
              <w:t>政采领域优化营商环境相关政策</w:t>
            </w:r>
          </w:p>
          <w:p w14:paraId="43F849FF">
            <w:pPr>
              <w:spacing w:line="360" w:lineRule="auto"/>
              <w:jc w:val="center"/>
              <w:rPr>
                <w:rFonts w:ascii="宋体" w:hAnsi="宋体" w:eastAsia="宋体" w:cs="宋体"/>
                <w:sz w:val="24"/>
                <w:szCs w:val="24"/>
                <w:lang w:eastAsia="zh-CN"/>
              </w:rPr>
            </w:pPr>
          </w:p>
        </w:tc>
        <w:tc>
          <w:tcPr>
            <w:tcW w:w="3631" w:type="pct"/>
            <w:tcBorders>
              <w:top w:val="single" w:color="000000" w:sz="4" w:space="0"/>
              <w:left w:val="single" w:color="000000" w:sz="4" w:space="0"/>
              <w:bottom w:val="single" w:color="000000" w:sz="4" w:space="0"/>
              <w:right w:val="single" w:color="000000" w:sz="4" w:space="0"/>
            </w:tcBorders>
            <w:vAlign w:val="center"/>
          </w:tcPr>
          <w:p w14:paraId="0B740CF2">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rPr>
              <w:t>一、落实四个“一日办”精神：</w:t>
            </w:r>
          </w:p>
          <w:p w14:paraId="0CEA6ADA">
            <w:pPr>
              <w:spacing w:line="360"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按照《平顶山市财政局关于压减政府采购各环节时限进一步优化政府采购营商环境的通知》（平财购〔2021〕34号）通知，落实四个“一日办”精神：</w:t>
            </w:r>
          </w:p>
          <w:p w14:paraId="3F1790C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（1）在评审结束后1日内确定采购结果，同时对中标单位发出中标或成交通知书，并在网上进行公告；</w:t>
            </w:r>
          </w:p>
          <w:p w14:paraId="5AB3F8A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（2）中标或成交通知书发出后，1日内与中标或成交供应商签订合同，合同签订当日完成合同备案工作；</w:t>
            </w:r>
          </w:p>
          <w:p w14:paraId="27EE9DB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（3）政府采购项目供应商履约完成后，采购人应在供应商提出验收申请1个工作日内完成验收，同时在平顶山市政府采购网发布验收结果公告；</w:t>
            </w:r>
          </w:p>
          <w:p w14:paraId="12C2D370">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（4）验收合格具备付款条件的项目，采购人要在1个工作日内按照合同约定支付项目资金。</w:t>
            </w:r>
          </w:p>
          <w:p w14:paraId="7CCAD00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注：签合同需法定代表人携带本人身份证（如为授权委托人，则携带法定代表人授权委托书及本人身份证）、单位公章、合同纸质版本一式六份及合同电子版。</w:t>
            </w:r>
          </w:p>
          <w:p w14:paraId="510BB574">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rPr>
              <w:t>二、维护企业在政府采购活动中的知情权</w:t>
            </w:r>
          </w:p>
          <w:p w14:paraId="052C19BA">
            <w:pPr>
              <w:spacing w:line="360"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C686EBF">
            <w:pPr>
              <w:spacing w:line="360" w:lineRule="auto"/>
              <w:rPr>
                <w:rFonts w:ascii="宋体" w:hAnsi="宋体" w:eastAsia="宋体" w:cs="宋体"/>
                <w:b/>
                <w:sz w:val="24"/>
                <w:szCs w:val="24"/>
                <w:lang w:eastAsia="zh-CN"/>
              </w:rPr>
            </w:pPr>
            <w:r>
              <w:rPr>
                <w:rFonts w:hint="eastAsia" w:ascii="宋体" w:hAnsi="宋体" w:eastAsia="宋体" w:cs="宋体"/>
                <w:b/>
                <w:sz w:val="24"/>
                <w:szCs w:val="24"/>
                <w:lang w:eastAsia="zh-CN"/>
              </w:rPr>
              <w:t>三、提供中小企业声明函格式</w:t>
            </w:r>
          </w:p>
          <w:p w14:paraId="0CE5A6AC">
            <w:pPr>
              <w:pStyle w:val="19"/>
              <w:spacing w:line="360" w:lineRule="auto"/>
              <w:ind w:firstLine="240"/>
              <w:rPr>
                <w:rFonts w:ascii="宋体" w:hAnsi="宋体"/>
                <w:sz w:val="24"/>
                <w:szCs w:val="24"/>
                <w:lang w:eastAsia="zh-CN"/>
              </w:rPr>
            </w:pPr>
            <w:r>
              <w:rPr>
                <w:rFonts w:hint="eastAsia" w:ascii="宋体" w:hAnsi="宋体"/>
                <w:sz w:val="24"/>
                <w:szCs w:val="24"/>
                <w:lang w:eastAsia="zh-CN"/>
              </w:rPr>
              <w:t>在采购文件中，采购代理机构应按照财政部、工信部印发的《政府采购促进中小企业发展管理办法》的通知精神（财库〔2020〕46号）提供中小企业声明函格式。</w:t>
            </w:r>
          </w:p>
          <w:p w14:paraId="5A34572A">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根据《政府采购促进中小企业发展管理办法》（财库〔2020〕46号）第四条：在政府采购活动中，供应商提供的货物、工程或者服务符合下列情形的，享受本办法规定的中小企业扶持政策：</w:t>
            </w:r>
          </w:p>
          <w:p w14:paraId="63C025F5">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（一）在货物采购项目中，货物由中小企业制造，即货物由中小企业生产且使用该中小企业商号或者注册商标；</w:t>
            </w:r>
          </w:p>
          <w:p w14:paraId="754283E9">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（二）在工程采购项目中，工程由中小企业承建，即工程施工单位为中小企业；</w:t>
            </w:r>
          </w:p>
          <w:p w14:paraId="796281B1">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（三）在服务采购项目中，服务由中小企业承接，即提供服务的人员为中小企业依照《中华人民共和国劳动合同法》订立劳动合同的从业人员。</w:t>
            </w:r>
          </w:p>
          <w:p w14:paraId="5EF00E9B">
            <w:pPr>
              <w:pStyle w:val="19"/>
              <w:spacing w:line="360" w:lineRule="auto"/>
              <w:ind w:left="0" w:leftChars="0" w:firstLine="480" w:firstLineChars="200"/>
              <w:rPr>
                <w:rFonts w:ascii="宋体" w:hAnsi="宋体"/>
                <w:sz w:val="24"/>
                <w:szCs w:val="24"/>
                <w:lang w:eastAsia="zh-CN"/>
              </w:rPr>
            </w:pPr>
            <w:r>
              <w:rPr>
                <w:rFonts w:hint="eastAsia" w:ascii="宋体" w:hAnsi="宋体"/>
                <w:sz w:val="24"/>
                <w:szCs w:val="24"/>
                <w:lang w:eastAsia="zh-CN"/>
              </w:rPr>
              <w:t>在货物采购项目中，供应商提供的货物既有中小企业制造货物，也有大型企业制造货物的，不享受本办法规定的中小企业扶持政策。</w:t>
            </w:r>
          </w:p>
          <w:p w14:paraId="76CC8C63">
            <w:pPr>
              <w:pStyle w:val="19"/>
              <w:spacing w:line="360" w:lineRule="auto"/>
              <w:ind w:firstLine="480" w:firstLineChars="200"/>
              <w:rPr>
                <w:rFonts w:ascii="宋体" w:hAnsi="宋体"/>
                <w:sz w:val="24"/>
                <w:szCs w:val="24"/>
                <w:lang w:eastAsia="zh-CN"/>
              </w:rPr>
            </w:pPr>
            <w:r>
              <w:rPr>
                <w:rFonts w:hint="eastAsia" w:ascii="宋体" w:hAnsi="宋体"/>
                <w:sz w:val="24"/>
                <w:szCs w:val="24"/>
                <w:lang w:eastAsia="zh-CN"/>
              </w:rPr>
              <w:t>以联合体形式参加政府采购活动，联合体各方均为中小企业的，联合体视同中小企业。其中，联合体各方均为小微企业的，联合体视同小微企业。</w:t>
            </w:r>
          </w:p>
          <w:p w14:paraId="5A8D1C83">
            <w:pPr>
              <w:spacing w:line="360" w:lineRule="auto"/>
              <w:ind w:left="105" w:leftChars="50"/>
              <w:rPr>
                <w:rFonts w:ascii="宋体" w:hAnsi="宋体" w:eastAsia="宋体" w:cs="宋体"/>
                <w:b/>
                <w:sz w:val="24"/>
                <w:szCs w:val="24"/>
                <w:lang w:eastAsia="zh-CN"/>
              </w:rPr>
            </w:pPr>
            <w:r>
              <w:rPr>
                <w:rFonts w:hint="eastAsia" w:ascii="宋体" w:hAnsi="宋体" w:eastAsia="宋体" w:cs="宋体"/>
                <w:b/>
                <w:sz w:val="24"/>
                <w:szCs w:val="24"/>
                <w:lang w:eastAsia="zh-CN"/>
              </w:rPr>
              <w:t>四、推广政府采购合同融资</w:t>
            </w:r>
          </w:p>
          <w:p w14:paraId="7E590CD1">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要求采购人和代理机构将“政府采购合同融资告知函”写入招标文件，鼓励中标供应商凭借采购合同申请贷款，助力解决中小企业融资难、融资贵的问题。</w:t>
            </w:r>
          </w:p>
          <w:p w14:paraId="248B0667">
            <w:pPr>
              <w:spacing w:line="360" w:lineRule="auto"/>
              <w:ind w:left="105" w:leftChars="50"/>
              <w:rPr>
                <w:rFonts w:ascii="宋体" w:hAnsi="宋体" w:eastAsia="宋体" w:cs="宋体"/>
                <w:b/>
                <w:sz w:val="24"/>
                <w:szCs w:val="24"/>
                <w:lang w:eastAsia="zh-CN"/>
              </w:rPr>
            </w:pPr>
            <w:r>
              <w:rPr>
                <w:rFonts w:hint="eastAsia" w:ascii="宋体" w:hAnsi="宋体" w:eastAsia="宋体" w:cs="宋体"/>
                <w:b/>
                <w:sz w:val="24"/>
                <w:szCs w:val="24"/>
                <w:lang w:eastAsia="zh-CN"/>
              </w:rPr>
              <w:t>五、落实预留采购份额</w:t>
            </w:r>
          </w:p>
          <w:p w14:paraId="205DC305">
            <w:pPr>
              <w:pStyle w:val="19"/>
              <w:spacing w:line="360" w:lineRule="auto"/>
              <w:ind w:left="105" w:leftChars="50" w:firstLine="240"/>
              <w:rPr>
                <w:rFonts w:ascii="宋体" w:hAnsi="宋体"/>
                <w:sz w:val="24"/>
                <w:szCs w:val="24"/>
                <w:lang w:eastAsia="zh-CN"/>
              </w:rPr>
            </w:pPr>
            <w:r>
              <w:rPr>
                <w:rFonts w:hint="eastAsia" w:ascii="宋体" w:hAnsi="宋体"/>
                <w:sz w:val="24"/>
                <w:szCs w:val="24"/>
                <w:lang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33AE93D1">
            <w:pPr>
              <w:spacing w:line="360" w:lineRule="auto"/>
              <w:ind w:left="105" w:leftChars="50"/>
              <w:rPr>
                <w:rFonts w:ascii="宋体" w:hAnsi="宋体" w:eastAsia="宋体" w:cs="宋体"/>
                <w:b/>
                <w:sz w:val="24"/>
                <w:szCs w:val="24"/>
                <w:lang w:eastAsia="zh-CN"/>
              </w:rPr>
            </w:pPr>
            <w:r>
              <w:rPr>
                <w:rFonts w:hint="eastAsia" w:ascii="宋体" w:hAnsi="宋体" w:eastAsia="宋体" w:cs="宋体"/>
                <w:b/>
                <w:sz w:val="24"/>
                <w:szCs w:val="24"/>
                <w:lang w:eastAsia="zh-CN"/>
              </w:rPr>
              <w:t>六、落实价格评审优惠政策</w:t>
            </w:r>
          </w:p>
          <w:p w14:paraId="7337D63F">
            <w:pPr>
              <w:spacing w:line="360" w:lineRule="auto"/>
              <w:rPr>
                <w:rFonts w:ascii="宋体" w:hAnsi="宋体" w:eastAsia="宋体" w:cs="宋体"/>
                <w:sz w:val="24"/>
                <w:szCs w:val="24"/>
                <w:lang w:eastAsia="zh-CN"/>
              </w:rPr>
            </w:pPr>
            <w:bookmarkStart w:id="30" w:name="_Toc19508"/>
            <w:r>
              <w:rPr>
                <w:rFonts w:hint="eastAsia" w:ascii="宋体" w:hAnsi="宋体" w:eastAsia="宋体" w:cs="宋体"/>
                <w:sz w:val="24"/>
                <w:szCs w:val="24"/>
                <w:lang w:eastAsia="zh-CN"/>
              </w:rPr>
              <w:t>1.根据《政府采购促进中小企业发展管理办法》（财库〔2020〕46号）、财政部、司法部关于政府采购支持监狱企业发展有关问题的通知（财库[2014]68号）的要求、财政部民政部中国残疾人联合会《关于促进残疾人就业政府采购政策的通知》（财库〔2017〕141号）、《平顶山市财政局关于进一步加大政府采购支持中小企业力度的通知》（平财购〔2022〕8号）的规定：采购人在货物和服务采购项目中，对于经主管预算单位统筹后未预留份额专门面向中小企业的采购项目，以及预留份额项目中的非预留部分采购包，给予小微企业20%的价格扣除优惠。大中型企业与小微企业组成联合体或者大中型企业向小微企业分包的（联合协议或者分包意向协议约定小微企业的合同份额应占合同总金额的30%以上），给予联合体或大中型企业6%的价格扣除优惠，用扣除后的价格参加评审。</w:t>
            </w:r>
            <w:bookmarkEnd w:id="30"/>
          </w:p>
          <w:p w14:paraId="7AF62AE6">
            <w:pPr>
              <w:spacing w:line="360" w:lineRule="auto"/>
              <w:rPr>
                <w:rFonts w:ascii="宋体" w:hAnsi="宋体" w:eastAsia="宋体" w:cs="宋体"/>
                <w:sz w:val="24"/>
                <w:szCs w:val="24"/>
                <w:lang w:eastAsia="zh-CN"/>
              </w:rPr>
            </w:pPr>
            <w:bookmarkStart w:id="31" w:name="_Toc21436"/>
            <w:r>
              <w:rPr>
                <w:rFonts w:hint="eastAsia" w:ascii="宋体" w:hAnsi="宋体" w:eastAsia="宋体" w:cs="宋体"/>
                <w:sz w:val="24"/>
                <w:szCs w:val="24"/>
                <w:lang w:eastAsia="zh-CN"/>
              </w:rPr>
              <w:t>2.中小企业参加政府采购活动，应当出具《中小企业声明函》，否则不得享受相关中小企业扶持政策。</w:t>
            </w:r>
            <w:bookmarkEnd w:id="31"/>
          </w:p>
          <w:p w14:paraId="1A37B5E2">
            <w:pPr>
              <w:spacing w:line="360" w:lineRule="auto"/>
              <w:rPr>
                <w:rFonts w:ascii="宋体" w:hAnsi="宋体" w:eastAsia="宋体" w:cs="宋体"/>
                <w:sz w:val="24"/>
                <w:szCs w:val="24"/>
                <w:lang w:eastAsia="zh-CN"/>
              </w:rPr>
            </w:pPr>
            <w:bookmarkStart w:id="32" w:name="_Toc536542536"/>
            <w:bookmarkStart w:id="33" w:name="_Toc536541974"/>
            <w:bookmarkStart w:id="34" w:name="_Toc410"/>
            <w:r>
              <w:rPr>
                <w:rFonts w:hint="eastAsia" w:ascii="宋体" w:hAnsi="宋体" w:eastAsia="宋体" w:cs="宋体"/>
                <w:sz w:val="24"/>
                <w:szCs w:val="24"/>
                <w:lang w:eastAsia="zh-CN"/>
              </w:rPr>
              <w:t>3.残疾人福利性单位在参加采购活动时，应当提供（财库〔2017〕141号）文件规定的《残疾人福利性单位声明函》，并对声明的真实性负责。</w:t>
            </w:r>
            <w:bookmarkEnd w:id="32"/>
            <w:bookmarkEnd w:id="33"/>
            <w:bookmarkEnd w:id="34"/>
          </w:p>
          <w:p w14:paraId="4EB4E7F7">
            <w:pPr>
              <w:spacing w:line="360" w:lineRule="auto"/>
              <w:rPr>
                <w:rFonts w:ascii="宋体" w:hAnsi="宋体" w:eastAsia="宋体" w:cs="宋体"/>
                <w:sz w:val="24"/>
                <w:szCs w:val="24"/>
                <w:lang w:eastAsia="zh-CN"/>
              </w:rPr>
            </w:pPr>
            <w:bookmarkStart w:id="35" w:name="_Toc536541975"/>
            <w:bookmarkStart w:id="36" w:name="_Toc14731"/>
            <w:bookmarkStart w:id="37" w:name="_Toc536542537"/>
            <w:r>
              <w:rPr>
                <w:rFonts w:hint="eastAsia" w:ascii="宋体" w:hAnsi="宋体" w:eastAsia="宋体" w:cs="宋体"/>
                <w:sz w:val="24"/>
                <w:szCs w:val="24"/>
                <w:lang w:eastAsia="zh-CN"/>
              </w:rPr>
              <w:t>4.监狱企业参加政府采购活动时，应当提供由省级以上监狱管理局、戒毒管理局（含新疆生产建设兵团）出具的属于监狱企业的证明文件。</w:t>
            </w:r>
            <w:bookmarkEnd w:id="35"/>
            <w:bookmarkEnd w:id="36"/>
            <w:bookmarkEnd w:id="37"/>
          </w:p>
          <w:p w14:paraId="270718A0">
            <w:pPr>
              <w:pStyle w:val="19"/>
              <w:spacing w:line="360" w:lineRule="auto"/>
              <w:ind w:firstLine="0" w:firstLineChars="0"/>
              <w:rPr>
                <w:rFonts w:ascii="宋体" w:hAnsi="宋体"/>
                <w:sz w:val="24"/>
                <w:szCs w:val="24"/>
                <w:lang w:eastAsia="zh-CN"/>
              </w:rPr>
            </w:pPr>
            <w:r>
              <w:rPr>
                <w:rFonts w:hint="eastAsia" w:ascii="宋体" w:hAnsi="宋体"/>
                <w:sz w:val="24"/>
                <w:szCs w:val="24"/>
                <w:lang w:eastAsia="zh-CN"/>
              </w:rPr>
              <w:t>5.残疾人福利性单位、监狱企业视为中小企业。</w:t>
            </w:r>
          </w:p>
        </w:tc>
      </w:tr>
      <w:tr w14:paraId="68F115E6">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E000F1A">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33</w:t>
            </w:r>
          </w:p>
        </w:tc>
        <w:tc>
          <w:tcPr>
            <w:tcW w:w="834" w:type="pct"/>
            <w:tcBorders>
              <w:top w:val="single" w:color="000000" w:sz="4" w:space="0"/>
              <w:left w:val="single" w:color="000000" w:sz="4" w:space="0"/>
              <w:bottom w:val="single" w:color="000000" w:sz="4" w:space="0"/>
              <w:right w:val="single" w:color="000000" w:sz="4" w:space="0"/>
            </w:tcBorders>
            <w:vAlign w:val="center"/>
          </w:tcPr>
          <w:p w14:paraId="720F0CC6">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河南省政府</w:t>
            </w:r>
          </w:p>
          <w:p w14:paraId="0A4180A4">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采购合同融资</w:t>
            </w:r>
          </w:p>
          <w:p w14:paraId="5FD871DB">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政策告知函</w:t>
            </w:r>
          </w:p>
        </w:tc>
        <w:tc>
          <w:tcPr>
            <w:tcW w:w="3631" w:type="pct"/>
            <w:tcBorders>
              <w:top w:val="single" w:color="000000" w:sz="4" w:space="0"/>
              <w:left w:val="single" w:color="000000" w:sz="4" w:space="0"/>
              <w:bottom w:val="single" w:color="000000" w:sz="4" w:space="0"/>
              <w:right w:val="single" w:color="000000" w:sz="4" w:space="0"/>
            </w:tcBorders>
            <w:vAlign w:val="center"/>
          </w:tcPr>
          <w:p w14:paraId="08D030DC">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河南省政府采购合同融资政策告知函</w:t>
            </w:r>
          </w:p>
          <w:p w14:paraId="05DB47C1">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各供应商:</w:t>
            </w:r>
          </w:p>
          <w:p w14:paraId="18BEBB8B">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欢迎贵公司参与河南省政府采购活动!</w:t>
            </w:r>
          </w:p>
          <w:p w14:paraId="5F3B5AD2">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tc>
      </w:tr>
      <w:tr w14:paraId="7E0775BB">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5D828B3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34</w:t>
            </w:r>
          </w:p>
        </w:tc>
        <w:tc>
          <w:tcPr>
            <w:tcW w:w="834" w:type="pct"/>
            <w:tcBorders>
              <w:top w:val="single" w:color="000000" w:sz="4" w:space="0"/>
              <w:left w:val="single" w:color="000000" w:sz="4" w:space="0"/>
              <w:bottom w:val="single" w:color="000000" w:sz="4" w:space="0"/>
              <w:right w:val="single" w:color="000000" w:sz="4" w:space="0"/>
            </w:tcBorders>
            <w:vAlign w:val="center"/>
          </w:tcPr>
          <w:p w14:paraId="2439980E">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四方信用评价</w:t>
            </w:r>
          </w:p>
        </w:tc>
        <w:tc>
          <w:tcPr>
            <w:tcW w:w="3631" w:type="pct"/>
            <w:tcBorders>
              <w:top w:val="single" w:color="000000" w:sz="4" w:space="0"/>
              <w:left w:val="single" w:color="000000" w:sz="4" w:space="0"/>
              <w:bottom w:val="single" w:color="000000" w:sz="4" w:space="0"/>
              <w:right w:val="single" w:color="000000" w:sz="4" w:space="0"/>
            </w:tcBorders>
          </w:tcPr>
          <w:p w14:paraId="589EAFA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《平顶山市政府采购项目已实行四方信用评价功能，各方主体请登录“ 平顶山市政府采购网 ”按照评价要求进行客观公正的评价。</w:t>
            </w:r>
          </w:p>
          <w:p w14:paraId="0A6DCB1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1.采购人评价指标</w:t>
            </w:r>
          </w:p>
          <w:p w14:paraId="6C06613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评价主体:中标、成交供应商。</w:t>
            </w:r>
          </w:p>
          <w:p w14:paraId="5EEE5F0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评价节点:合同履约完成后。</w:t>
            </w:r>
          </w:p>
          <w:p w14:paraId="59DC2D7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2.对中标、成交供应商评价指标评价主体为:采购人。</w:t>
            </w:r>
          </w:p>
          <w:p w14:paraId="2E69494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评价节点:合同履约完成后。</w:t>
            </w:r>
          </w:p>
          <w:p w14:paraId="5048759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3.评审专家评价指标</w:t>
            </w:r>
          </w:p>
          <w:p w14:paraId="4348C50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评价主体为:采购人、代理机构。</w:t>
            </w:r>
          </w:p>
          <w:p w14:paraId="74A398E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评价节点:项目评审结束后。</w:t>
            </w:r>
          </w:p>
          <w:p w14:paraId="1EF77CC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4.代理机构评价指标</w:t>
            </w:r>
          </w:p>
          <w:p w14:paraId="642382D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评价主体为:采购人、评审专家、供应商。</w:t>
            </w:r>
          </w:p>
          <w:p w14:paraId="4619D34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评价节点:项目评审结束后。</w:t>
            </w:r>
          </w:p>
        </w:tc>
      </w:tr>
      <w:tr w14:paraId="37393AEE">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87EA137">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35</w:t>
            </w:r>
          </w:p>
        </w:tc>
        <w:tc>
          <w:tcPr>
            <w:tcW w:w="834" w:type="pct"/>
            <w:tcBorders>
              <w:top w:val="single" w:color="000000" w:sz="4" w:space="0"/>
              <w:left w:val="single" w:color="000000" w:sz="4" w:space="0"/>
              <w:bottom w:val="single" w:color="000000" w:sz="4" w:space="0"/>
              <w:right w:val="single" w:color="000000" w:sz="4" w:space="0"/>
            </w:tcBorders>
            <w:vAlign w:val="center"/>
          </w:tcPr>
          <w:tbl>
            <w:tblPr>
              <w:tblStyle w:val="21"/>
              <w:tblW w:w="0" w:type="auto"/>
              <w:tblInd w:w="0" w:type="dxa"/>
              <w:tblLayout w:type="autofit"/>
              <w:tblCellMar>
                <w:top w:w="0" w:type="dxa"/>
                <w:left w:w="108" w:type="dxa"/>
                <w:bottom w:w="0" w:type="dxa"/>
                <w:right w:w="108" w:type="dxa"/>
              </w:tblCellMar>
            </w:tblPr>
            <w:tblGrid>
              <w:gridCol w:w="1617"/>
            </w:tblGrid>
            <w:tr w14:paraId="2E793395">
              <w:trPr>
                <w:trHeight w:val="276" w:hRule="atLeast"/>
              </w:trPr>
              <w:tc>
                <w:tcPr>
                  <w:tcW w:w="0" w:type="auto"/>
                  <w:tcBorders>
                    <w:tl2br w:val="nil"/>
                    <w:tr2bl w:val="nil"/>
                  </w:tcBorders>
                </w:tcPr>
                <w:p w14:paraId="48D8DA21">
                  <w:pPr>
                    <w:jc w:val="center"/>
                    <w:rPr>
                      <w:rFonts w:ascii="宋体" w:hAnsi="宋体" w:eastAsia="宋体" w:cs="宋体"/>
                      <w:sz w:val="23"/>
                      <w:szCs w:val="24"/>
                      <w:lang w:eastAsia="zh-CN"/>
                    </w:rPr>
                  </w:pPr>
                  <w:r>
                    <w:rPr>
                      <w:rFonts w:hint="eastAsia" w:ascii="宋体" w:hAnsi="宋体" w:eastAsia="宋体" w:cs="宋体"/>
                      <w:sz w:val="24"/>
                      <w:szCs w:val="24"/>
                      <w:lang w:eastAsia="zh-CN"/>
                    </w:rPr>
                    <w:t>本项目对应的中小企业划分标准所属行业</w:t>
                  </w:r>
                </w:p>
              </w:tc>
            </w:tr>
          </w:tbl>
          <w:p w14:paraId="09992966">
            <w:pPr>
              <w:spacing w:line="360" w:lineRule="auto"/>
              <w:jc w:val="center"/>
              <w:rPr>
                <w:rFonts w:ascii="宋体" w:hAnsi="宋体" w:eastAsia="宋体" w:cs="宋体"/>
                <w:b/>
                <w:sz w:val="24"/>
                <w:szCs w:val="24"/>
                <w:lang w:eastAsia="zh-CN"/>
              </w:rPr>
            </w:pPr>
          </w:p>
        </w:tc>
        <w:tc>
          <w:tcPr>
            <w:tcW w:w="3631" w:type="pct"/>
            <w:tcBorders>
              <w:top w:val="single" w:color="000000" w:sz="4" w:space="0"/>
              <w:left w:val="single" w:color="000000" w:sz="4" w:space="0"/>
              <w:bottom w:val="single" w:color="000000" w:sz="4" w:space="0"/>
              <w:right w:val="single" w:color="000000" w:sz="4" w:space="0"/>
            </w:tcBorders>
            <w:vAlign w:val="center"/>
          </w:tcPr>
          <w:p w14:paraId="62F50CAE">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《中小企业划型标准规定》（工信部联企业〔2011〕300号）</w:t>
            </w:r>
          </w:p>
          <w:p w14:paraId="50BFDE2A">
            <w:pPr>
              <w:spacing w:line="360" w:lineRule="auto"/>
              <w:jc w:val="both"/>
              <w:rPr>
                <w:rFonts w:ascii="宋体" w:hAnsi="宋体" w:eastAsia="宋体" w:cs="宋体"/>
                <w:sz w:val="24"/>
                <w:szCs w:val="24"/>
                <w:u w:val="single"/>
              </w:rPr>
            </w:pPr>
            <w:r>
              <w:rPr>
                <w:rFonts w:hint="eastAsia" w:ascii="宋体" w:hAnsi="宋体" w:eastAsia="宋体" w:cs="宋体"/>
                <w:sz w:val="24"/>
                <w:szCs w:val="24"/>
                <w:lang w:eastAsia="zh-CN"/>
              </w:rPr>
              <w:t>批发</w:t>
            </w:r>
            <w:r>
              <w:rPr>
                <w:rFonts w:hint="eastAsia" w:ascii="宋体" w:hAnsi="宋体" w:eastAsia="宋体" w:cs="宋体"/>
                <w:sz w:val="24"/>
                <w:szCs w:val="24"/>
              </w:rPr>
              <w:t>业</w:t>
            </w:r>
          </w:p>
        </w:tc>
      </w:tr>
      <w:tr w14:paraId="16C7822E">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333B68DD">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36</w:t>
            </w:r>
          </w:p>
        </w:tc>
        <w:tc>
          <w:tcPr>
            <w:tcW w:w="834" w:type="pct"/>
            <w:tcBorders>
              <w:top w:val="single" w:color="000000" w:sz="4" w:space="0"/>
              <w:left w:val="single" w:color="000000" w:sz="4" w:space="0"/>
              <w:bottom w:val="single" w:color="000000" w:sz="4" w:space="0"/>
              <w:right w:val="single" w:color="000000" w:sz="4" w:space="0"/>
            </w:tcBorders>
            <w:vAlign w:val="center"/>
          </w:tcPr>
          <w:p w14:paraId="115DA848">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招标实质性要 求和条件</w:t>
            </w:r>
          </w:p>
        </w:tc>
        <w:tc>
          <w:tcPr>
            <w:tcW w:w="3631" w:type="pct"/>
            <w:tcBorders>
              <w:top w:val="single" w:color="000000" w:sz="4" w:space="0"/>
              <w:left w:val="single" w:color="000000" w:sz="4" w:space="0"/>
              <w:bottom w:val="single" w:color="000000" w:sz="4" w:space="0"/>
              <w:right w:val="single" w:color="000000" w:sz="4" w:space="0"/>
            </w:tcBorders>
            <w:vAlign w:val="center"/>
          </w:tcPr>
          <w:p w14:paraId="06193946">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一、供应方式</w:t>
            </w:r>
          </w:p>
          <w:p w14:paraId="22CD3EE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按照每人每天平均五元的午餐食材标准，根据不同季节，以时令新鲜蔬菜为主，由乙方提供全年不少于60个菜品的营养均衡的带量食谱，保证每餐二菜一汤一主食（一荤、一素、一主食、一汤）。以中心校为单位提前选定每周的食谱，生产及配送商根据学校选定的食谱对所需的各类食材进行采购，并进行定时、定量精准配送至各学校。米、面、油、干调类根据学校用量实行周配送，生鲜类每天配送。</w:t>
            </w:r>
          </w:p>
          <w:p w14:paraId="5F26BE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乙方配送的生鲜类（蔬菜、肉、鸡蛋、水果等）原料，必须从源头种养殖一采购一运输一储存一粗加工一细加工都有安全控制措施，送到学校的肉、蔬菜等生鲜类为干净、安全卫生的半成品，学校在接收后可直接烹饪加工。所配送的食品原材料必须经过包装，食品包装必须具有保鲜防菌功能，达到食品安全存放相关要求，确保食品原材料质量安全无害，符合《食品安全法》等相关法律、法规的规定，达到国家相关要求。</w:t>
            </w:r>
          </w:p>
          <w:p w14:paraId="65B9BE8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3.生产及配送商必须具有食品安全检测检验能力，有自己的监测化验室及专业检测人员，所供食品必须留样且提供每批次的安全检测报告。</w:t>
            </w:r>
          </w:p>
          <w:p w14:paraId="06EB9464">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二、各类食品的采购要求</w:t>
            </w:r>
          </w:p>
          <w:p w14:paraId="4FC868B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所有配送食材品牌规格均由乙方提供，由甲方选定，乙方应保证食材的新鲜度，采购的食品原（辅）材料，鼓励在鲁山县境内优先采购，本地确实无法采购的品类，征得甲方同意后可以自行采购。</w:t>
            </w:r>
          </w:p>
          <w:p w14:paraId="665DDAF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1.小麦粉为专用馒头粉、特等一级粉，符合国家GB/T 1355-2021标准要求。</w:t>
            </w:r>
          </w:p>
          <w:p w14:paraId="6CEF4A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2.大米符合GB/T 1354-2018标准要求标准，优质一级大米，合格证，并有质量检验报告。</w:t>
            </w:r>
          </w:p>
          <w:p w14:paraId="74B0929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3.食用油为非转基因一级大豆油（符合GB/T 1535-2017标准）、花生油（符合GB/T 1534-2017标准）、菜籽油（符合GB/T 1536-2021标准）、芝麻油（符合GB/T 8233-2018标准）。</w:t>
            </w:r>
          </w:p>
          <w:p w14:paraId="3A1CBB9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4.鲜肉类必须来自定点屠宰企业并提供两章两证，即：有动物检疫验讫印章和动物检验验讫印章、有动物检验检疫合格证明和品质检验合格证明；禽蛋必须保证新鲜、无公害。</w:t>
            </w:r>
          </w:p>
          <w:p w14:paraId="0AAF88A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5.干调类必须具有“QS”或“SC”食品质量认证标志，配料必须符合国家食品安全相关要求的名优商品。</w:t>
            </w:r>
          </w:p>
          <w:p w14:paraId="74DE70A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6.蔬菜类必须保证新鲜，无农药残留、无重金属超标等，符合国家食品安全标准。</w:t>
            </w:r>
          </w:p>
          <w:p w14:paraId="73B95E26">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三、价格确定</w:t>
            </w:r>
          </w:p>
          <w:p w14:paraId="0F82A8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食材单价由中标人提供参考价格，由采购人询价确定最终价格，所有食材单价不高于鲁山当地市场价格。</w:t>
            </w:r>
          </w:p>
          <w:p w14:paraId="0F27FF38">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四、食品安全要求</w:t>
            </w:r>
          </w:p>
          <w:p w14:paraId="32BAD5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中标人应对本项目食品安全进行全权负责，中标人应制定食品安全相关制度和管理办法、食品安全工作考核办法和食品安全事故责任追究制度以及食品安全事故处理（置）应急预案。采购人对中标人进行食品安全的监管。</w:t>
            </w:r>
          </w:p>
          <w:p w14:paraId="36A72A5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2.采购人有权对中标人种养殖的肉、蔬菜类食材和配送的食品原材（辅）材料不定期委托第三方进行检验。</w:t>
            </w:r>
          </w:p>
          <w:p w14:paraId="4C14749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3.学校食堂管理及从业人员食品安全培训由采购人组织，采购人与中标人共同制定食品安全方面的培训方案。</w:t>
            </w:r>
          </w:p>
          <w:p w14:paraId="150294F1">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五、配送中心要求</w:t>
            </w:r>
          </w:p>
          <w:p w14:paraId="242F8FE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1.根据食品安全、服务管理、企业投资、学生人数等综合因素，配送服务期1年，配送服务期内接受采购人定期考核。</w:t>
            </w:r>
          </w:p>
          <w:p w14:paraId="23ADFE7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日常考核：在服务过程中出现质量问题被甲方一年下达三次书面整改通知书且未整改到位的，甲方有权终止合同。若出现食品安全事故的，乙方无条件退出，并承担相应的责任。</w:t>
            </w:r>
          </w:p>
          <w:p w14:paraId="6B87487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月度考核：甲方每月将对乙方进行考评，月优秀率高于80%的，视为考核合格；月累计3次考核不合格，无条件终止合同。</w:t>
            </w:r>
          </w:p>
          <w:p w14:paraId="6BA84DF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年度考核：甲方每年对乙方进行2次年度考核，考核不合格视为乙方违约，甲方有权终止合同。</w:t>
            </w:r>
          </w:p>
          <w:p w14:paraId="5165CEE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因违约、考核不合格及其他违反合同事项被清退，或因其自身原因无法继续履行合同的生产及配送商，其负责配送的区域，由甲方选择本项目其他标段的中标人继续履行合同，不再重新招标。</w:t>
            </w:r>
          </w:p>
          <w:p w14:paraId="1EF964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2.为确保食品安全，本项目不允许中标人对采购内容进行分包或转包，所有食材必须从公司统一分装配送，若出现分包或转包，采购人有权终止合同。</w:t>
            </w:r>
          </w:p>
          <w:p w14:paraId="6392627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3.中标人配送中心含有停车场、办公区、加工区、仓储区、冷藏库等场所和能满足配送标准要求和配送需求量的运输车辆，并对运输车辆进行全程监控及对运输车辆安全责任事故负责。仓库必须达到食品安全存放要求，厂房的进出口区域、食品加工区域、食品储存区域等功能区必须安装监控设备，冷藏运输车及专用食品材料配送车辆必须保证需求。</w:t>
            </w:r>
          </w:p>
          <w:p w14:paraId="5EB7CF77">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六、食材采购管理系统</w:t>
            </w:r>
          </w:p>
          <w:p w14:paraId="19A78D2D">
            <w:pPr>
              <w:keepNext w:val="0"/>
              <w:keepLines w:val="0"/>
              <w:pageBreakBefore w:val="0"/>
              <w:widowControl/>
              <w:kinsoku/>
              <w:wordWrap/>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中标人应承诺签订合同30日历天内为本项目提供食材采购管理系统，系统的主要功能包括采购管理、食材追溯、库存管理、数据分析等。通过食材采购管理系统，采购人能够及时了解到供应商的价格、库存、交货期等信息，从而进行合理的采购计划。</w:t>
            </w:r>
          </w:p>
          <w:p w14:paraId="483B4515">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1.采购管理：为采购人和中心校设置监管及管理账号，可实现采购计划的制定、审批、执行和监控，确保采购过程的透明度和规范性。</w:t>
            </w:r>
          </w:p>
          <w:p w14:paraId="29614F10">
            <w:pPr>
              <w:keepNext w:val="0"/>
              <w:keepLines w:val="0"/>
              <w:pageBreakBefore w:val="0"/>
              <w:widowControl/>
              <w:kinsoku/>
              <w:wordWrap/>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2.食材追溯：可对食材来源、运输、存储等环节进行全程追溯，确保食材来源可靠、质量可控。此外，通过数据分析，可对食材消耗进行预测，合理安排采购计划，避免浪费。</w:t>
            </w:r>
          </w:p>
          <w:p w14:paraId="4889C604">
            <w:pPr>
              <w:keepNext w:val="0"/>
              <w:keepLines w:val="0"/>
              <w:pageBreakBefore w:val="0"/>
              <w:widowControl/>
              <w:kinsoku/>
              <w:wordWrap/>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color w:val="191919"/>
                <w:sz w:val="24"/>
                <w:szCs w:val="24"/>
                <w:shd w:val="clear" w:color="auto" w:fill="FFFFFF"/>
              </w:rPr>
            </w:pPr>
            <w:r>
              <w:rPr>
                <w:rFonts w:hint="eastAsia" w:ascii="宋体" w:hAnsi="宋体" w:eastAsia="宋体" w:cs="宋体"/>
                <w:color w:val="191919"/>
                <w:sz w:val="24"/>
                <w:szCs w:val="24"/>
                <w:shd w:val="clear" w:color="auto" w:fill="FFFFFF"/>
                <w:lang w:eastAsia="zh-CN"/>
              </w:rPr>
              <w:t>3.</w:t>
            </w:r>
            <w:r>
              <w:rPr>
                <w:rFonts w:hint="eastAsia" w:ascii="宋体" w:hAnsi="宋体" w:eastAsia="宋体" w:cs="宋体"/>
                <w:color w:val="191919"/>
                <w:sz w:val="24"/>
                <w:szCs w:val="24"/>
                <w:shd w:val="clear" w:color="auto" w:fill="FFFFFF"/>
              </w:rPr>
              <w:t>库存管理：可实现食材库存的实时监控和预警，确保食材新鲜度，减少库存积压。同时，通过对库存数据的分析，为食堂管理者</w:t>
            </w:r>
            <w:r>
              <w:rPr>
                <w:rFonts w:hint="eastAsia" w:ascii="宋体" w:hAnsi="宋体" w:eastAsia="宋体" w:cs="宋体"/>
                <w:color w:val="191919"/>
                <w:sz w:val="24"/>
                <w:szCs w:val="24"/>
                <w:shd w:val="clear" w:color="auto" w:fill="FFFFFF"/>
                <w:lang w:eastAsia="zh-CN"/>
              </w:rPr>
              <w:t>及采购人</w:t>
            </w:r>
            <w:r>
              <w:rPr>
                <w:rFonts w:hint="eastAsia" w:ascii="宋体" w:hAnsi="宋体" w:eastAsia="宋体" w:cs="宋体"/>
                <w:color w:val="191919"/>
                <w:sz w:val="24"/>
                <w:szCs w:val="24"/>
                <w:shd w:val="clear" w:color="auto" w:fill="FFFFFF"/>
              </w:rPr>
              <w:t>提供决策支持，优化库存结构。</w:t>
            </w:r>
          </w:p>
          <w:p w14:paraId="139973CD">
            <w:pPr>
              <w:keepNext w:val="0"/>
              <w:keepLines w:val="0"/>
              <w:pageBreakBefore w:val="0"/>
              <w:widowControl/>
              <w:kinsoku/>
              <w:wordWrap/>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color w:val="191919"/>
                <w:sz w:val="24"/>
                <w:szCs w:val="24"/>
                <w:shd w:val="clear" w:color="auto" w:fill="FFFFFF"/>
                <w:lang w:eastAsia="zh-CN"/>
              </w:rPr>
            </w:pPr>
            <w:r>
              <w:rPr>
                <w:rFonts w:hint="eastAsia" w:ascii="宋体" w:hAnsi="宋体" w:eastAsia="宋体" w:cs="宋体"/>
                <w:color w:val="191919"/>
                <w:sz w:val="24"/>
                <w:szCs w:val="24"/>
                <w:shd w:val="clear" w:color="auto" w:fill="FFFFFF"/>
              </w:rPr>
              <w:t>4.数据分析：可对采购、库存、销售等数据进行统计分析，</w:t>
            </w:r>
            <w:r>
              <w:rPr>
                <w:rFonts w:hint="eastAsia" w:ascii="宋体" w:hAnsi="宋体" w:eastAsia="宋体" w:cs="宋体"/>
                <w:color w:val="191919"/>
                <w:sz w:val="24"/>
                <w:szCs w:val="24"/>
                <w:shd w:val="clear" w:color="auto" w:fill="FFFFFF"/>
                <w:lang w:eastAsia="zh-CN"/>
              </w:rPr>
              <w:t>采购人可实时查看全部供货订单及供货金额且可从系统导出数据等功能</w:t>
            </w:r>
            <w:r>
              <w:rPr>
                <w:rFonts w:hint="eastAsia" w:ascii="宋体" w:hAnsi="宋体" w:eastAsia="宋体" w:cs="宋体"/>
                <w:color w:val="191919"/>
                <w:sz w:val="24"/>
                <w:szCs w:val="24"/>
                <w:shd w:val="clear" w:color="auto" w:fill="FFFFFF"/>
              </w:rPr>
              <w:t>。</w:t>
            </w:r>
          </w:p>
          <w:p w14:paraId="428AB495">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七、其他</w:t>
            </w:r>
          </w:p>
          <w:p w14:paraId="352FC64A">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本项目的合同实施根据国家营养改善计划政策变动而调整；</w:t>
            </w:r>
          </w:p>
        </w:tc>
      </w:tr>
      <w:tr w14:paraId="626F9484">
        <w:tblPrEx>
          <w:tblCellMar>
            <w:top w:w="0" w:type="dxa"/>
            <w:left w:w="0" w:type="dxa"/>
            <w:bottom w:w="0" w:type="dxa"/>
            <w:right w:w="0" w:type="dxa"/>
          </w:tblCellMar>
        </w:tblPrEx>
        <w:trPr>
          <w:trHeight w:val="27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5AA8EC9">
            <w:pPr>
              <w:spacing w:line="360" w:lineRule="auto"/>
              <w:jc w:val="both"/>
              <w:rPr>
                <w:rFonts w:ascii="宋体" w:hAnsi="宋体" w:eastAsia="宋体" w:cs="宋体"/>
                <w:sz w:val="24"/>
                <w:szCs w:val="24"/>
                <w:lang w:eastAsia="zh-CN"/>
              </w:rPr>
            </w:pPr>
            <w:r>
              <w:rPr>
                <w:rFonts w:hint="eastAsia" w:ascii="宋体" w:hAnsi="宋体" w:eastAsia="宋体" w:cs="宋体"/>
                <w:b/>
                <w:bCs/>
                <w:color w:val="auto"/>
                <w:sz w:val="24"/>
                <w:szCs w:val="24"/>
                <w:lang w:eastAsia="zh-CN"/>
              </w:rPr>
              <w:t>投标人应对“投标人须知前附表”中“条款号、第36号”的所有内容进行逐条全文承诺。承诺条件必须优于或等于招标文件要求，否则视为未实质上响应招标文件要求，评标委员会可否决其投标。</w:t>
            </w:r>
          </w:p>
        </w:tc>
      </w:tr>
      <w:tr w14:paraId="4FD8879C">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0BAEFAF9">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37</w:t>
            </w:r>
          </w:p>
        </w:tc>
        <w:tc>
          <w:tcPr>
            <w:tcW w:w="834" w:type="pct"/>
            <w:tcBorders>
              <w:top w:val="single" w:color="000000" w:sz="4" w:space="0"/>
              <w:left w:val="single" w:color="000000" w:sz="4" w:space="0"/>
              <w:bottom w:val="single" w:color="000000" w:sz="4" w:space="0"/>
              <w:right w:val="single" w:color="000000" w:sz="4" w:space="0"/>
            </w:tcBorders>
            <w:vAlign w:val="center"/>
          </w:tcPr>
          <w:p w14:paraId="462E1FFF">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解释权</w:t>
            </w:r>
          </w:p>
        </w:tc>
        <w:tc>
          <w:tcPr>
            <w:tcW w:w="3631" w:type="pct"/>
            <w:tcBorders>
              <w:top w:val="single" w:color="000000" w:sz="4" w:space="0"/>
              <w:left w:val="single" w:color="000000" w:sz="4" w:space="0"/>
              <w:bottom w:val="single" w:color="000000" w:sz="4" w:space="0"/>
              <w:right w:val="single" w:color="000000" w:sz="4" w:space="0"/>
            </w:tcBorders>
            <w:vAlign w:val="center"/>
          </w:tcPr>
          <w:p w14:paraId="621B6A8C">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及代理机构负责解释。</w:t>
            </w:r>
          </w:p>
        </w:tc>
      </w:tr>
      <w:tr w14:paraId="0332B5EB">
        <w:tblPrEx>
          <w:tblCellMar>
            <w:top w:w="0" w:type="dxa"/>
            <w:left w:w="0" w:type="dxa"/>
            <w:bottom w:w="0" w:type="dxa"/>
            <w:right w:w="0" w:type="dxa"/>
          </w:tblCellMar>
        </w:tblPrEx>
        <w:trPr>
          <w:trHeight w:val="274" w:hRule="atLeast"/>
          <w:jc w:val="center"/>
        </w:trPr>
        <w:tc>
          <w:tcPr>
            <w:tcW w:w="534" w:type="pct"/>
            <w:tcBorders>
              <w:top w:val="single" w:color="000000" w:sz="4" w:space="0"/>
              <w:left w:val="single" w:color="000000" w:sz="4" w:space="0"/>
              <w:bottom w:val="single" w:color="000000" w:sz="4" w:space="0"/>
              <w:right w:val="single" w:color="000000" w:sz="4" w:space="0"/>
            </w:tcBorders>
            <w:vAlign w:val="center"/>
          </w:tcPr>
          <w:p w14:paraId="6CE089D0">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38</w:t>
            </w:r>
          </w:p>
        </w:tc>
        <w:tc>
          <w:tcPr>
            <w:tcW w:w="834" w:type="pct"/>
            <w:tcBorders>
              <w:top w:val="single" w:color="000000" w:sz="4" w:space="0"/>
              <w:left w:val="single" w:color="000000" w:sz="4" w:space="0"/>
              <w:bottom w:val="single" w:color="000000" w:sz="4" w:space="0"/>
              <w:right w:val="single" w:color="000000" w:sz="4" w:space="0"/>
            </w:tcBorders>
            <w:vAlign w:val="center"/>
          </w:tcPr>
          <w:p w14:paraId="76690C9A">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合同签订</w:t>
            </w:r>
          </w:p>
        </w:tc>
        <w:tc>
          <w:tcPr>
            <w:tcW w:w="3631" w:type="pct"/>
            <w:tcBorders>
              <w:top w:val="single" w:color="000000" w:sz="4" w:space="0"/>
              <w:left w:val="single" w:color="000000" w:sz="4" w:space="0"/>
              <w:bottom w:val="single" w:color="000000" w:sz="4" w:space="0"/>
              <w:right w:val="single" w:color="000000" w:sz="4" w:space="0"/>
            </w:tcBorders>
            <w:vAlign w:val="center"/>
          </w:tcPr>
          <w:p w14:paraId="5BE505C9">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中标或成交供应商合同签订方式为在线签订（在公共资源交易中心网站进行）</w:t>
            </w:r>
          </w:p>
        </w:tc>
      </w:tr>
      <w:tr w14:paraId="26B3B172">
        <w:tblPrEx>
          <w:tblCellMar>
            <w:top w:w="0" w:type="dxa"/>
            <w:left w:w="0" w:type="dxa"/>
            <w:bottom w:w="0" w:type="dxa"/>
            <w:right w:w="0" w:type="dxa"/>
          </w:tblCellMar>
        </w:tblPrEx>
        <w:trPr>
          <w:trHeight w:val="27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27DD5732">
            <w:pPr>
              <w:spacing w:line="360" w:lineRule="auto"/>
              <w:jc w:val="both"/>
              <w:rPr>
                <w:rFonts w:ascii="宋体" w:hAnsi="宋体" w:eastAsia="宋体" w:cs="宋体"/>
                <w:sz w:val="24"/>
                <w:szCs w:val="24"/>
                <w:lang w:eastAsia="zh-CN"/>
              </w:rPr>
            </w:pPr>
            <w:r>
              <w:rPr>
                <w:rFonts w:hint="eastAsia" w:ascii="宋体" w:hAnsi="宋体" w:eastAsia="宋体" w:cs="宋体"/>
                <w:sz w:val="24"/>
                <w:szCs w:val="24"/>
                <w:lang w:eastAsia="zh-CN"/>
              </w:rPr>
              <w:t>未尽事宜按现行的政府采购有关法律法规和规定执行。</w:t>
            </w:r>
          </w:p>
        </w:tc>
      </w:tr>
    </w:tbl>
    <w:p w14:paraId="05EA3204">
      <w:pPr>
        <w:spacing w:line="314" w:lineRule="auto"/>
        <w:rPr>
          <w:rFonts w:asciiTheme="minorEastAsia" w:hAnsiTheme="minorEastAsia" w:eastAsiaTheme="minorEastAsia" w:cstheme="minorEastAsia"/>
          <w:lang w:eastAsia="zh-CN"/>
        </w:rPr>
      </w:pPr>
    </w:p>
    <w:p w14:paraId="5EF514C1">
      <w:pPr>
        <w:rPr>
          <w:rFonts w:asciiTheme="minorEastAsia" w:hAnsiTheme="minorEastAsia" w:eastAsiaTheme="minorEastAsia" w:cstheme="minorEastAsia"/>
          <w:b/>
          <w:bCs/>
          <w:spacing w:val="-13"/>
          <w:sz w:val="29"/>
          <w:szCs w:val="29"/>
          <w:lang w:eastAsia="zh-CN"/>
        </w:rPr>
      </w:pPr>
      <w:r>
        <w:rPr>
          <w:rFonts w:hint="eastAsia" w:asciiTheme="minorEastAsia" w:hAnsiTheme="minorEastAsia" w:eastAsiaTheme="minorEastAsia" w:cstheme="minorEastAsia"/>
          <w:b/>
          <w:bCs/>
          <w:spacing w:val="-13"/>
          <w:sz w:val="29"/>
          <w:szCs w:val="29"/>
          <w:lang w:eastAsia="zh-CN"/>
        </w:rPr>
        <w:br w:type="page"/>
      </w:r>
    </w:p>
    <w:p w14:paraId="06B83287">
      <w:pPr>
        <w:spacing w:line="279" w:lineRule="auto"/>
        <w:rPr>
          <w:rFonts w:asciiTheme="minorEastAsia" w:hAnsiTheme="minorEastAsia" w:eastAsiaTheme="minorEastAsia" w:cstheme="minorEastAsia"/>
          <w:lang w:eastAsia="zh-CN"/>
        </w:rPr>
      </w:pPr>
    </w:p>
    <w:p w14:paraId="34F8F3F1">
      <w:pPr>
        <w:spacing w:line="360" w:lineRule="auto"/>
        <w:ind w:firstLine="480" w:firstLineChars="200"/>
        <w:rPr>
          <w:rFonts w:asciiTheme="minorEastAsia" w:hAnsiTheme="minorEastAsia" w:eastAsiaTheme="minorEastAsia" w:cstheme="minorEastAsia"/>
          <w:sz w:val="24"/>
          <w:szCs w:val="24"/>
          <w:lang w:eastAsia="zh-CN"/>
        </w:rPr>
      </w:pPr>
      <w:bookmarkStart w:id="38" w:name="bookmark21"/>
      <w:bookmarkEnd w:id="38"/>
      <w:bookmarkStart w:id="39" w:name="bookmark7"/>
      <w:bookmarkEnd w:id="39"/>
      <w:bookmarkStart w:id="40" w:name="bookmark8"/>
      <w:bookmarkEnd w:id="40"/>
      <w:bookmarkStart w:id="41" w:name="bookmark22"/>
      <w:bookmarkEnd w:id="41"/>
      <w:bookmarkStart w:id="42" w:name="_Toc24647"/>
      <w:r>
        <w:rPr>
          <w:rFonts w:hint="eastAsia" w:asciiTheme="minorEastAsia" w:hAnsiTheme="minorEastAsia" w:eastAsiaTheme="minorEastAsia" w:cstheme="minorEastAsia"/>
          <w:sz w:val="24"/>
          <w:szCs w:val="24"/>
          <w:lang w:eastAsia="zh-CN"/>
        </w:rPr>
        <w:t>一、说明</w:t>
      </w:r>
      <w:bookmarkEnd w:id="42"/>
    </w:p>
    <w:p w14:paraId="7F8A84B5">
      <w:pPr>
        <w:tabs>
          <w:tab w:val="left" w:pos="3544"/>
        </w:tabs>
        <w:spacing w:line="360" w:lineRule="auto"/>
        <w:ind w:firstLine="480" w:firstLineChars="200"/>
        <w:rPr>
          <w:rFonts w:asciiTheme="minorEastAsia" w:hAnsiTheme="minorEastAsia" w:eastAsiaTheme="minorEastAsia" w:cstheme="minorEastAsia"/>
          <w:sz w:val="24"/>
          <w:szCs w:val="24"/>
          <w:lang w:eastAsia="zh-CN"/>
        </w:rPr>
      </w:pPr>
      <w:bookmarkStart w:id="43" w:name="_Toc82524590"/>
      <w:bookmarkStart w:id="44" w:name="_Toc536541995"/>
      <w:bookmarkStart w:id="45" w:name="_Toc1753"/>
      <w:bookmarkStart w:id="46" w:name="_Toc536542557"/>
      <w:r>
        <w:rPr>
          <w:rFonts w:hint="eastAsia" w:asciiTheme="minorEastAsia" w:hAnsiTheme="minorEastAsia" w:eastAsiaTheme="minorEastAsia" w:cstheme="minorEastAsia"/>
          <w:sz w:val="24"/>
          <w:szCs w:val="24"/>
          <w:lang w:eastAsia="zh-CN"/>
        </w:rPr>
        <w:t>1．适用范围</w:t>
      </w:r>
      <w:bookmarkEnd w:id="43"/>
      <w:bookmarkEnd w:id="44"/>
      <w:bookmarkEnd w:id="45"/>
      <w:bookmarkEnd w:id="46"/>
    </w:p>
    <w:p w14:paraId="055023B0">
      <w:pPr>
        <w:tabs>
          <w:tab w:val="left" w:pos="3544"/>
        </w:tabs>
        <w:spacing w:line="360" w:lineRule="auto"/>
        <w:ind w:firstLine="480" w:firstLineChars="200"/>
        <w:rPr>
          <w:rFonts w:asciiTheme="minorEastAsia" w:hAnsiTheme="minorEastAsia" w:eastAsiaTheme="minorEastAsia" w:cstheme="minorEastAsia"/>
          <w:sz w:val="24"/>
          <w:szCs w:val="24"/>
          <w:lang w:eastAsia="zh-CN"/>
        </w:rPr>
      </w:pPr>
      <w:bookmarkStart w:id="47" w:name="_Toc536541996"/>
      <w:bookmarkStart w:id="48" w:name="_Toc82524591"/>
      <w:bookmarkStart w:id="49" w:name="_Toc536542558"/>
      <w:r>
        <w:rPr>
          <w:rFonts w:hint="eastAsia" w:asciiTheme="minorEastAsia" w:hAnsiTheme="minorEastAsia" w:eastAsiaTheme="minorEastAsia" w:cstheme="minorEastAsia"/>
          <w:sz w:val="24"/>
          <w:szCs w:val="24"/>
          <w:lang w:eastAsia="zh-CN"/>
        </w:rPr>
        <w:t>本招标文件仅适用于本次为202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-202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学年度鲁山县教育体育局鲁山县农村义务教育学校营养改善计划食材采购项目采购项目。</w:t>
      </w:r>
      <w:bookmarkEnd w:id="47"/>
      <w:bookmarkEnd w:id="48"/>
      <w:bookmarkEnd w:id="49"/>
    </w:p>
    <w:p w14:paraId="39E59B0C">
      <w:pPr>
        <w:tabs>
          <w:tab w:val="left" w:pos="7035"/>
        </w:tabs>
        <w:spacing w:line="360" w:lineRule="auto"/>
        <w:ind w:firstLine="480" w:firstLineChars="200"/>
        <w:rPr>
          <w:rFonts w:asciiTheme="minorEastAsia" w:hAnsiTheme="minorEastAsia" w:eastAsiaTheme="minorEastAsia" w:cstheme="minorEastAsia"/>
          <w:sz w:val="24"/>
          <w:szCs w:val="24"/>
          <w:lang w:eastAsia="zh-CN"/>
        </w:rPr>
      </w:pPr>
      <w:bookmarkStart w:id="50" w:name="_Toc536541997"/>
      <w:bookmarkStart w:id="51" w:name="_Toc82524592"/>
      <w:bookmarkStart w:id="52" w:name="_Toc23096"/>
      <w:bookmarkStart w:id="53" w:name="_Toc536542559"/>
      <w:r>
        <w:rPr>
          <w:rFonts w:hint="eastAsia" w:asciiTheme="minorEastAsia" w:hAnsiTheme="minorEastAsia" w:eastAsiaTheme="minorEastAsia" w:cstheme="minorEastAsia"/>
          <w:sz w:val="24"/>
          <w:szCs w:val="24"/>
          <w:lang w:eastAsia="zh-CN"/>
        </w:rPr>
        <w:t>2．定义</w:t>
      </w:r>
      <w:bookmarkEnd w:id="50"/>
      <w:bookmarkEnd w:id="51"/>
      <w:bookmarkEnd w:id="52"/>
      <w:bookmarkEnd w:id="53"/>
    </w:p>
    <w:p w14:paraId="2F97C06F">
      <w:pPr>
        <w:spacing w:line="360" w:lineRule="auto"/>
        <w:ind w:firstLine="480" w:firstLineChars="200"/>
        <w:rPr>
          <w:rFonts w:asciiTheme="minorEastAsia" w:hAnsiTheme="minorEastAsia" w:eastAsiaTheme="minorEastAsia" w:cstheme="minorEastAsia"/>
          <w:sz w:val="24"/>
          <w:szCs w:val="24"/>
          <w:lang w:eastAsia="zh-CN"/>
        </w:rPr>
      </w:pPr>
      <w:bookmarkStart w:id="54" w:name="_Toc536542560"/>
      <w:bookmarkStart w:id="55" w:name="_Toc82524593"/>
      <w:bookmarkStart w:id="56" w:name="_Toc536541998"/>
      <w:r>
        <w:rPr>
          <w:rFonts w:hint="eastAsia" w:asciiTheme="minorEastAsia" w:hAnsiTheme="minorEastAsia" w:eastAsiaTheme="minorEastAsia" w:cstheme="minorEastAsia"/>
          <w:sz w:val="24"/>
          <w:szCs w:val="24"/>
          <w:lang w:eastAsia="zh-CN"/>
        </w:rPr>
        <w:t>2.1“代理机构”：系指组织本次招标的招标代理机构：</w:t>
      </w:r>
      <w:r>
        <w:rPr>
          <w:rFonts w:hint="eastAsia" w:asciiTheme="minorEastAsia" w:hAnsiTheme="minorEastAsia" w:eastAsiaTheme="minorEastAsia" w:cstheme="minorEastAsia"/>
          <w:sz w:val="24"/>
          <w:szCs w:val="24"/>
          <w:lang w:val="en-US" w:eastAsia="zh-CN"/>
        </w:rPr>
        <w:t>河南润豫工程管理有限公司</w:t>
      </w:r>
      <w:r>
        <w:rPr>
          <w:rFonts w:hint="eastAsia" w:asciiTheme="minorEastAsia" w:hAnsiTheme="minorEastAsia" w:eastAsiaTheme="minorEastAsia" w:cstheme="minorEastAsia"/>
          <w:sz w:val="24"/>
          <w:szCs w:val="24"/>
          <w:lang w:eastAsia="zh-CN"/>
        </w:rPr>
        <w:t>；</w:t>
      </w:r>
      <w:bookmarkEnd w:id="54"/>
      <w:bookmarkEnd w:id="55"/>
      <w:bookmarkEnd w:id="56"/>
    </w:p>
    <w:p w14:paraId="46A84280">
      <w:pPr>
        <w:tabs>
          <w:tab w:val="right" w:pos="9900"/>
        </w:tabs>
        <w:spacing w:line="360" w:lineRule="auto"/>
        <w:ind w:firstLine="480" w:firstLineChars="200"/>
        <w:rPr>
          <w:rFonts w:asciiTheme="minorEastAsia" w:hAnsiTheme="minorEastAsia" w:eastAsiaTheme="minorEastAsia" w:cstheme="minorEastAsia"/>
          <w:sz w:val="24"/>
          <w:szCs w:val="24"/>
          <w:lang w:eastAsia="zh-CN"/>
        </w:rPr>
      </w:pPr>
      <w:bookmarkStart w:id="57" w:name="_Toc536541999"/>
      <w:bookmarkStart w:id="58" w:name="_Toc82524594"/>
      <w:bookmarkStart w:id="59" w:name="_Toc536542561"/>
      <w:r>
        <w:rPr>
          <w:rFonts w:hint="eastAsia" w:asciiTheme="minorEastAsia" w:hAnsiTheme="minorEastAsia" w:eastAsiaTheme="minorEastAsia" w:cstheme="minorEastAsia"/>
          <w:sz w:val="24"/>
          <w:szCs w:val="24"/>
          <w:lang w:eastAsia="zh-CN"/>
        </w:rPr>
        <w:t>2.2“投标人”：系指符合招标文件要求向代理机构提交投标文件的供应商；</w:t>
      </w:r>
      <w:bookmarkEnd w:id="57"/>
      <w:bookmarkEnd w:id="58"/>
      <w:bookmarkEnd w:id="59"/>
    </w:p>
    <w:p w14:paraId="0D87CE33">
      <w:pPr>
        <w:spacing w:line="360" w:lineRule="auto"/>
        <w:ind w:firstLine="480" w:firstLineChars="200"/>
        <w:rPr>
          <w:rFonts w:asciiTheme="minorEastAsia" w:hAnsiTheme="minorEastAsia" w:eastAsiaTheme="minorEastAsia" w:cstheme="minorEastAsia"/>
          <w:sz w:val="24"/>
          <w:szCs w:val="24"/>
          <w:lang w:eastAsia="zh-CN"/>
        </w:rPr>
      </w:pPr>
      <w:bookmarkStart w:id="60" w:name="_Toc536542000"/>
      <w:bookmarkStart w:id="61" w:name="_Toc536542562"/>
      <w:bookmarkStart w:id="62" w:name="_Toc82524595"/>
      <w:r>
        <w:rPr>
          <w:rFonts w:hint="eastAsia" w:asciiTheme="minorEastAsia" w:hAnsiTheme="minorEastAsia" w:eastAsiaTheme="minorEastAsia" w:cstheme="minorEastAsia"/>
          <w:sz w:val="24"/>
          <w:szCs w:val="24"/>
          <w:lang w:eastAsia="zh-CN"/>
        </w:rPr>
        <w:t>2.3“招标单位”：系指鲁山县教育体育局；</w:t>
      </w:r>
      <w:bookmarkEnd w:id="60"/>
      <w:bookmarkEnd w:id="61"/>
      <w:bookmarkEnd w:id="62"/>
    </w:p>
    <w:p w14:paraId="1EEC1F61">
      <w:pPr>
        <w:spacing w:line="360" w:lineRule="auto"/>
        <w:ind w:firstLine="480" w:firstLineChars="200"/>
        <w:rPr>
          <w:rFonts w:asciiTheme="minorEastAsia" w:hAnsiTheme="minorEastAsia" w:eastAsiaTheme="minorEastAsia" w:cstheme="minorEastAsia"/>
          <w:sz w:val="24"/>
          <w:szCs w:val="24"/>
          <w:lang w:eastAsia="zh-CN"/>
        </w:rPr>
      </w:pPr>
      <w:bookmarkStart w:id="63" w:name="_Toc536542565"/>
      <w:bookmarkStart w:id="64" w:name="_Toc82524598"/>
      <w:bookmarkStart w:id="65" w:name="_Toc536542003"/>
      <w:r>
        <w:rPr>
          <w:rFonts w:hint="eastAsia" w:asciiTheme="minorEastAsia" w:hAnsiTheme="minorEastAsia" w:eastAsiaTheme="minorEastAsia" w:cstheme="minorEastAsia"/>
          <w:sz w:val="24"/>
          <w:szCs w:val="24"/>
          <w:lang w:eastAsia="zh-CN"/>
        </w:rPr>
        <w:t>3．投标费用：投标人应承担所有与参加本项目投标有关的费用，无论投标结果如何，代理机构和招标方均无责任和义务承担与投标有关的任何费用。</w:t>
      </w:r>
      <w:bookmarkEnd w:id="63"/>
      <w:bookmarkEnd w:id="64"/>
      <w:bookmarkEnd w:id="65"/>
    </w:p>
    <w:p w14:paraId="2562F70D">
      <w:pPr>
        <w:spacing w:line="360" w:lineRule="auto"/>
        <w:ind w:firstLine="480" w:firstLineChars="200"/>
        <w:rPr>
          <w:rFonts w:asciiTheme="minorEastAsia" w:hAnsiTheme="minorEastAsia" w:eastAsiaTheme="minorEastAsia" w:cstheme="minorEastAsia"/>
          <w:sz w:val="24"/>
          <w:szCs w:val="24"/>
          <w:lang w:eastAsia="zh-CN"/>
        </w:rPr>
      </w:pPr>
      <w:bookmarkStart w:id="66" w:name="_Toc530989732"/>
      <w:bookmarkStart w:id="67" w:name="_Toc413941323"/>
      <w:bookmarkStart w:id="68" w:name="_Toc15900"/>
      <w:bookmarkStart w:id="69" w:name="_Toc536542007"/>
      <w:bookmarkStart w:id="70" w:name="_Toc536541109"/>
      <w:bookmarkStart w:id="71" w:name="_Toc82524602"/>
      <w:bookmarkStart w:id="72" w:name="_Toc536541420"/>
      <w:r>
        <w:rPr>
          <w:rFonts w:hint="eastAsia" w:asciiTheme="minorEastAsia" w:hAnsiTheme="minorEastAsia" w:eastAsiaTheme="minorEastAsia" w:cstheme="minorEastAsia"/>
          <w:sz w:val="24"/>
          <w:szCs w:val="24"/>
          <w:lang w:eastAsia="zh-CN"/>
        </w:rPr>
        <w:t>二、招标文件说明</w:t>
      </w:r>
      <w:bookmarkEnd w:id="66"/>
      <w:bookmarkEnd w:id="67"/>
      <w:bookmarkEnd w:id="68"/>
      <w:bookmarkEnd w:id="69"/>
      <w:bookmarkEnd w:id="70"/>
      <w:bookmarkEnd w:id="71"/>
      <w:bookmarkEnd w:id="72"/>
    </w:p>
    <w:p w14:paraId="6C07B397">
      <w:pPr>
        <w:pStyle w:val="15"/>
        <w:tabs>
          <w:tab w:val="left" w:pos="540"/>
        </w:tabs>
        <w:spacing w:line="360" w:lineRule="auto"/>
        <w:ind w:firstLine="480" w:firstLineChars="200"/>
        <w:rPr>
          <w:rFonts w:asciiTheme="minorEastAsia" w:hAnsiTheme="minorEastAsia" w:eastAsiaTheme="minorEastAsia" w:cstheme="minorEastAsia"/>
          <w:szCs w:val="24"/>
          <w:lang w:eastAsia="zh-CN"/>
        </w:rPr>
      </w:pPr>
      <w:bookmarkStart w:id="73" w:name="_Toc536542008"/>
      <w:bookmarkStart w:id="74" w:name="_Toc536542570"/>
      <w:bookmarkStart w:id="75" w:name="_Toc82524603"/>
      <w:bookmarkStart w:id="76" w:name="_Toc12293"/>
      <w:r>
        <w:rPr>
          <w:rFonts w:hint="eastAsia" w:asciiTheme="minorEastAsia" w:hAnsiTheme="minorEastAsia" w:eastAsiaTheme="minorEastAsia" w:cstheme="minorEastAsia"/>
          <w:szCs w:val="24"/>
          <w:lang w:eastAsia="zh-CN"/>
        </w:rPr>
        <w:t>1．招标文件的构成</w:t>
      </w:r>
      <w:bookmarkEnd w:id="73"/>
      <w:bookmarkEnd w:id="74"/>
      <w:bookmarkEnd w:id="75"/>
      <w:bookmarkEnd w:id="76"/>
    </w:p>
    <w:p w14:paraId="1E9D53B7">
      <w:pPr>
        <w:pStyle w:val="15"/>
        <w:tabs>
          <w:tab w:val="left" w:pos="540"/>
        </w:tabs>
        <w:spacing w:line="360" w:lineRule="auto"/>
        <w:ind w:firstLine="480" w:firstLineChars="200"/>
        <w:rPr>
          <w:rFonts w:asciiTheme="minorEastAsia" w:hAnsiTheme="minorEastAsia" w:eastAsiaTheme="minorEastAsia" w:cstheme="minorEastAsia"/>
          <w:szCs w:val="24"/>
          <w:lang w:eastAsia="zh-CN"/>
        </w:rPr>
      </w:pPr>
      <w:bookmarkStart w:id="77" w:name="_Toc82524604"/>
      <w:bookmarkStart w:id="78" w:name="_Toc536542571"/>
      <w:bookmarkStart w:id="79" w:name="_Toc536542009"/>
      <w:r>
        <w:rPr>
          <w:rFonts w:hint="eastAsia" w:asciiTheme="minorEastAsia" w:hAnsiTheme="minorEastAsia" w:eastAsiaTheme="minorEastAsia" w:cstheme="minorEastAsia"/>
          <w:szCs w:val="24"/>
          <w:lang w:eastAsia="zh-CN"/>
        </w:rPr>
        <w:t>招标文件用于阐明政府采购所需货物及服务、招标、投标程序和合同主要条款。招标文件由下述部分组成：</w:t>
      </w:r>
      <w:bookmarkEnd w:id="77"/>
      <w:bookmarkEnd w:id="78"/>
      <w:bookmarkEnd w:id="79"/>
    </w:p>
    <w:p w14:paraId="18E7510A">
      <w:pPr>
        <w:spacing w:line="360" w:lineRule="auto"/>
        <w:ind w:firstLine="480" w:firstLineChars="200"/>
        <w:rPr>
          <w:rFonts w:asciiTheme="minorEastAsia" w:hAnsiTheme="minorEastAsia" w:eastAsiaTheme="minorEastAsia" w:cstheme="minorEastAsia"/>
          <w:sz w:val="24"/>
          <w:szCs w:val="24"/>
          <w:lang w:eastAsia="zh-CN"/>
        </w:rPr>
      </w:pPr>
      <w:bookmarkStart w:id="80" w:name="_Toc536542010"/>
      <w:bookmarkStart w:id="81" w:name="_Toc536542572"/>
      <w:bookmarkStart w:id="82" w:name="_Toc82524605"/>
      <w:r>
        <w:rPr>
          <w:rFonts w:hint="eastAsia" w:asciiTheme="minorEastAsia" w:hAnsiTheme="minorEastAsia" w:eastAsiaTheme="minorEastAsia" w:cstheme="minorEastAsia"/>
          <w:sz w:val="24"/>
          <w:szCs w:val="24"/>
          <w:lang w:eastAsia="zh-CN"/>
        </w:rPr>
        <w:t>1.1</w:t>
      </w:r>
      <w:bookmarkEnd w:id="80"/>
      <w:bookmarkEnd w:id="81"/>
      <w:r>
        <w:rPr>
          <w:rFonts w:hint="eastAsia" w:asciiTheme="minorEastAsia" w:hAnsiTheme="minorEastAsia" w:eastAsiaTheme="minorEastAsia" w:cstheme="minorEastAsia"/>
          <w:sz w:val="24"/>
          <w:szCs w:val="24"/>
          <w:lang w:eastAsia="zh-CN"/>
        </w:rPr>
        <w:t>招标公告</w:t>
      </w:r>
      <w:bookmarkEnd w:id="82"/>
      <w:bookmarkStart w:id="83" w:name="_Toc536542011"/>
      <w:bookmarkStart w:id="84" w:name="_Toc536542573"/>
    </w:p>
    <w:p w14:paraId="7A37F372">
      <w:pPr>
        <w:spacing w:line="360" w:lineRule="auto"/>
        <w:ind w:firstLine="480" w:firstLineChars="200"/>
        <w:rPr>
          <w:rFonts w:asciiTheme="minorEastAsia" w:hAnsiTheme="minorEastAsia" w:eastAsiaTheme="minorEastAsia" w:cstheme="minorEastAsia"/>
          <w:sz w:val="24"/>
          <w:szCs w:val="24"/>
          <w:lang w:eastAsia="zh-CN"/>
        </w:rPr>
      </w:pPr>
      <w:bookmarkStart w:id="85" w:name="_Toc82524606"/>
      <w:r>
        <w:rPr>
          <w:rFonts w:hint="eastAsia" w:asciiTheme="minorEastAsia" w:hAnsiTheme="minorEastAsia" w:eastAsiaTheme="minorEastAsia" w:cstheme="minorEastAsia"/>
          <w:sz w:val="24"/>
          <w:szCs w:val="24"/>
          <w:lang w:eastAsia="zh-CN"/>
        </w:rPr>
        <w:t>1.2投标人须知</w:t>
      </w:r>
      <w:bookmarkEnd w:id="83"/>
      <w:bookmarkEnd w:id="84"/>
      <w:bookmarkEnd w:id="85"/>
    </w:p>
    <w:p w14:paraId="3B2C6864">
      <w:pPr>
        <w:spacing w:line="360" w:lineRule="auto"/>
        <w:ind w:firstLine="480" w:firstLineChars="200"/>
        <w:rPr>
          <w:rFonts w:asciiTheme="minorEastAsia" w:hAnsiTheme="minorEastAsia" w:eastAsiaTheme="minorEastAsia" w:cstheme="minorEastAsia"/>
          <w:sz w:val="24"/>
          <w:szCs w:val="24"/>
          <w:lang w:eastAsia="zh-CN"/>
        </w:rPr>
      </w:pPr>
      <w:bookmarkStart w:id="86" w:name="_Toc82524607"/>
      <w:bookmarkStart w:id="87" w:name="_Toc536542012"/>
      <w:bookmarkStart w:id="88" w:name="_Toc536542574"/>
      <w:r>
        <w:rPr>
          <w:rFonts w:hint="eastAsia" w:asciiTheme="minorEastAsia" w:hAnsiTheme="minorEastAsia" w:eastAsiaTheme="minorEastAsia" w:cstheme="minorEastAsia"/>
          <w:sz w:val="24"/>
          <w:szCs w:val="24"/>
          <w:lang w:eastAsia="zh-CN"/>
        </w:rPr>
        <w:t>1.3</w:t>
      </w:r>
      <w:bookmarkEnd w:id="86"/>
      <w:bookmarkEnd w:id="87"/>
      <w:bookmarkEnd w:id="88"/>
      <w:r>
        <w:rPr>
          <w:rFonts w:hint="eastAsia" w:asciiTheme="minorEastAsia" w:hAnsiTheme="minorEastAsia" w:eastAsiaTheme="minorEastAsia" w:cstheme="minorEastAsia"/>
          <w:sz w:val="24"/>
          <w:szCs w:val="24"/>
          <w:lang w:eastAsia="zh-CN"/>
        </w:rPr>
        <w:t>合同条款及格式</w:t>
      </w:r>
    </w:p>
    <w:p w14:paraId="4F0C393E">
      <w:pPr>
        <w:spacing w:line="360" w:lineRule="auto"/>
        <w:ind w:firstLine="480" w:firstLineChars="200"/>
        <w:rPr>
          <w:rFonts w:asciiTheme="minorEastAsia" w:hAnsiTheme="minorEastAsia" w:eastAsiaTheme="minorEastAsia" w:cstheme="minorEastAsia"/>
          <w:sz w:val="24"/>
          <w:szCs w:val="24"/>
          <w:lang w:eastAsia="zh-CN"/>
        </w:rPr>
      </w:pPr>
      <w:bookmarkStart w:id="89" w:name="_Toc82524608"/>
      <w:bookmarkStart w:id="90" w:name="_Toc536542013"/>
      <w:bookmarkStart w:id="91" w:name="_Toc536542575"/>
      <w:r>
        <w:rPr>
          <w:rFonts w:hint="eastAsia" w:asciiTheme="minorEastAsia" w:hAnsiTheme="minorEastAsia" w:eastAsiaTheme="minorEastAsia" w:cstheme="minorEastAsia"/>
          <w:sz w:val="24"/>
          <w:szCs w:val="24"/>
          <w:lang w:eastAsia="zh-CN"/>
        </w:rPr>
        <w:t>1.4</w:t>
      </w:r>
      <w:bookmarkEnd w:id="89"/>
      <w:bookmarkEnd w:id="90"/>
      <w:bookmarkEnd w:id="91"/>
      <w:r>
        <w:rPr>
          <w:rFonts w:hint="eastAsia" w:asciiTheme="minorEastAsia" w:hAnsiTheme="minorEastAsia" w:eastAsiaTheme="minorEastAsia" w:cstheme="minorEastAsia"/>
          <w:sz w:val="24"/>
          <w:szCs w:val="24"/>
          <w:lang w:eastAsia="zh-CN"/>
        </w:rPr>
        <w:t>技术标准</w:t>
      </w:r>
    </w:p>
    <w:p w14:paraId="48B1A770">
      <w:pPr>
        <w:spacing w:line="360" w:lineRule="auto"/>
        <w:ind w:firstLine="480" w:firstLineChars="200"/>
        <w:rPr>
          <w:rFonts w:hint="eastAsia" w:asciiTheme="minorEastAsia" w:hAnsiTheme="minorEastAsia" w:eastAsiaTheme="minorEastAsia" w:cstheme="minorEastAsia"/>
          <w:sz w:val="24"/>
          <w:szCs w:val="24"/>
          <w:lang w:eastAsia="zh-CN"/>
        </w:rPr>
      </w:pPr>
      <w:bookmarkStart w:id="92" w:name="_Toc82524609"/>
      <w:bookmarkStart w:id="93" w:name="_Toc536542014"/>
      <w:bookmarkStart w:id="94" w:name="_Toc536542576"/>
      <w:r>
        <w:rPr>
          <w:rFonts w:hint="eastAsia" w:asciiTheme="minorEastAsia" w:hAnsiTheme="minorEastAsia" w:eastAsiaTheme="minorEastAsia" w:cstheme="minorEastAsia"/>
          <w:sz w:val="24"/>
          <w:szCs w:val="24"/>
          <w:lang w:eastAsia="zh-CN"/>
        </w:rPr>
        <w:t>1.5投标文件格式</w:t>
      </w:r>
      <w:bookmarkEnd w:id="92"/>
      <w:bookmarkEnd w:id="93"/>
      <w:bookmarkEnd w:id="94"/>
    </w:p>
    <w:p w14:paraId="56A20A28">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1.6评分标准和方法</w:t>
      </w:r>
    </w:p>
    <w:p w14:paraId="2C12AF56">
      <w:pPr>
        <w:spacing w:line="360" w:lineRule="auto"/>
        <w:ind w:firstLine="480" w:firstLineChars="200"/>
        <w:rPr>
          <w:rFonts w:asciiTheme="minorEastAsia" w:hAnsiTheme="minorEastAsia" w:eastAsiaTheme="minorEastAsia" w:cstheme="minorEastAsia"/>
          <w:sz w:val="24"/>
          <w:szCs w:val="24"/>
          <w:lang w:eastAsia="zh-CN"/>
        </w:rPr>
      </w:pPr>
      <w:bookmarkStart w:id="95" w:name="_Toc536542577"/>
      <w:bookmarkStart w:id="96" w:name="_Toc82524610"/>
      <w:bookmarkStart w:id="97" w:name="_Toc9531"/>
      <w:bookmarkStart w:id="98" w:name="_Toc536542015"/>
      <w:r>
        <w:rPr>
          <w:rFonts w:hint="eastAsia" w:asciiTheme="minorEastAsia" w:hAnsiTheme="minorEastAsia" w:eastAsiaTheme="minorEastAsia" w:cstheme="minorEastAsia"/>
          <w:sz w:val="24"/>
          <w:szCs w:val="24"/>
          <w:lang w:eastAsia="zh-CN"/>
        </w:rPr>
        <w:t>2．招标文件的澄清</w:t>
      </w:r>
      <w:bookmarkEnd w:id="95"/>
      <w:bookmarkEnd w:id="96"/>
      <w:bookmarkEnd w:id="97"/>
      <w:bookmarkEnd w:id="98"/>
    </w:p>
    <w:p w14:paraId="72D4DF53">
      <w:pPr>
        <w:spacing w:line="360" w:lineRule="auto"/>
        <w:ind w:firstLine="480" w:firstLineChars="200"/>
        <w:rPr>
          <w:rFonts w:asciiTheme="minorEastAsia" w:hAnsiTheme="minorEastAsia" w:eastAsiaTheme="minorEastAsia" w:cstheme="minorEastAsia"/>
          <w:sz w:val="24"/>
          <w:szCs w:val="24"/>
          <w:lang w:eastAsia="zh-CN"/>
        </w:rPr>
      </w:pPr>
      <w:bookmarkStart w:id="99" w:name="_Toc536542578"/>
      <w:bookmarkStart w:id="100" w:name="_Toc82524611"/>
      <w:bookmarkStart w:id="101" w:name="_Toc536542016"/>
      <w:r>
        <w:rPr>
          <w:rFonts w:hint="eastAsia" w:asciiTheme="minorEastAsia" w:hAnsiTheme="minorEastAsia" w:eastAsiaTheme="minorEastAsia" w:cstheme="minorEastAsia"/>
          <w:sz w:val="24"/>
          <w:szCs w:val="24"/>
          <w:lang w:eastAsia="zh-CN"/>
        </w:rPr>
        <w:t>投标人对招标文件如有需要澄清的疑问，应在提交投标文件截止时间十五日前按投标人须知在电子交易系统中提出。代理机构在提交投标文件截止时间十五日前在电子交易系统中以澄清形式公示给所有购买招标文件的投标人。</w:t>
      </w:r>
      <w:bookmarkEnd w:id="99"/>
      <w:bookmarkEnd w:id="100"/>
      <w:bookmarkEnd w:id="101"/>
    </w:p>
    <w:p w14:paraId="3A4CBB01">
      <w:pPr>
        <w:spacing w:line="360" w:lineRule="auto"/>
        <w:ind w:firstLine="480" w:firstLineChars="200"/>
        <w:rPr>
          <w:rFonts w:asciiTheme="minorEastAsia" w:hAnsiTheme="minorEastAsia" w:eastAsiaTheme="minorEastAsia" w:cstheme="minorEastAsia"/>
          <w:sz w:val="24"/>
          <w:szCs w:val="24"/>
          <w:lang w:eastAsia="zh-CN"/>
        </w:rPr>
      </w:pPr>
      <w:bookmarkStart w:id="102" w:name="_Toc536542017"/>
      <w:bookmarkStart w:id="103" w:name="_Toc536542579"/>
      <w:bookmarkStart w:id="104" w:name="_Toc82524612"/>
      <w:bookmarkStart w:id="105" w:name="_Toc14774"/>
      <w:r>
        <w:rPr>
          <w:rFonts w:hint="eastAsia" w:asciiTheme="minorEastAsia" w:hAnsiTheme="minorEastAsia" w:eastAsiaTheme="minorEastAsia" w:cstheme="minorEastAsia"/>
          <w:sz w:val="24"/>
          <w:szCs w:val="24"/>
          <w:lang w:eastAsia="zh-CN"/>
        </w:rPr>
        <w:t>3．招标文件的修改和补充</w:t>
      </w:r>
      <w:bookmarkEnd w:id="102"/>
      <w:bookmarkEnd w:id="103"/>
      <w:bookmarkEnd w:id="104"/>
      <w:bookmarkEnd w:id="105"/>
    </w:p>
    <w:p w14:paraId="0015C56A">
      <w:pPr>
        <w:spacing w:line="360" w:lineRule="auto"/>
        <w:ind w:firstLine="480" w:firstLineChars="200"/>
        <w:rPr>
          <w:rFonts w:asciiTheme="minorEastAsia" w:hAnsiTheme="minorEastAsia" w:eastAsiaTheme="minorEastAsia" w:cstheme="minorEastAsia"/>
          <w:sz w:val="24"/>
          <w:szCs w:val="24"/>
          <w:lang w:eastAsia="zh-CN"/>
        </w:rPr>
      </w:pPr>
      <w:bookmarkStart w:id="106" w:name="_Toc536542018"/>
      <w:bookmarkStart w:id="107" w:name="_Toc82524613"/>
      <w:bookmarkStart w:id="108" w:name="_Toc536542580"/>
      <w:r>
        <w:rPr>
          <w:rFonts w:hint="eastAsia" w:asciiTheme="minorEastAsia" w:hAnsiTheme="minorEastAsia" w:eastAsiaTheme="minorEastAsia" w:cstheme="minorEastAsia"/>
          <w:sz w:val="24"/>
          <w:szCs w:val="24"/>
          <w:lang w:eastAsia="zh-CN"/>
        </w:rPr>
        <w:t>3.1招标采购单位对已发出的招标文件进行必要澄清或者修改的，应当在招标文件要求提交投标文件截止时间十五日前在电子交易系统中修改招标文件，并公示给购买招标文件的投标人。该澄清或者修改的内容为招标文件的组成部分</w:t>
      </w:r>
      <w:bookmarkEnd w:id="106"/>
      <w:bookmarkEnd w:id="107"/>
      <w:bookmarkEnd w:id="108"/>
      <w:r>
        <w:rPr>
          <w:rFonts w:hint="eastAsia" w:asciiTheme="minorEastAsia" w:hAnsiTheme="minorEastAsia" w:eastAsiaTheme="minorEastAsia" w:cstheme="minorEastAsia"/>
          <w:sz w:val="24"/>
          <w:szCs w:val="24"/>
          <w:lang w:eastAsia="zh-CN"/>
        </w:rPr>
        <w:t>。</w:t>
      </w:r>
    </w:p>
    <w:p w14:paraId="1D3908B7">
      <w:pPr>
        <w:spacing w:line="360" w:lineRule="auto"/>
        <w:ind w:firstLine="480" w:firstLineChars="200"/>
        <w:rPr>
          <w:rFonts w:asciiTheme="minorEastAsia" w:hAnsiTheme="minorEastAsia" w:eastAsiaTheme="minorEastAsia" w:cstheme="minorEastAsia"/>
          <w:sz w:val="24"/>
          <w:szCs w:val="24"/>
          <w:lang w:eastAsia="zh-CN"/>
        </w:rPr>
      </w:pPr>
      <w:bookmarkStart w:id="109" w:name="_Toc82524614"/>
      <w:bookmarkStart w:id="110" w:name="_Toc536542581"/>
      <w:bookmarkStart w:id="111" w:name="_Toc536542019"/>
      <w:r>
        <w:rPr>
          <w:rFonts w:hint="eastAsia" w:asciiTheme="minorEastAsia" w:hAnsiTheme="minorEastAsia" w:eastAsiaTheme="minorEastAsia" w:cstheme="minorEastAsia"/>
          <w:sz w:val="24"/>
          <w:szCs w:val="24"/>
          <w:lang w:eastAsia="zh-CN"/>
        </w:rPr>
        <w:t>3.2为了使投标人编写投标文件有充分的时间对修改或补充部分进行研究，代理机构有权推迟投标截止日期和开标日期，并将此变更通知所有购买招标文件的投标人。</w:t>
      </w:r>
      <w:bookmarkEnd w:id="109"/>
      <w:bookmarkEnd w:id="110"/>
      <w:bookmarkEnd w:id="111"/>
    </w:p>
    <w:p w14:paraId="560961FD">
      <w:pPr>
        <w:spacing w:line="360" w:lineRule="auto"/>
        <w:ind w:firstLine="480" w:firstLineChars="200"/>
        <w:rPr>
          <w:rFonts w:asciiTheme="minorEastAsia" w:hAnsiTheme="minorEastAsia" w:eastAsiaTheme="minorEastAsia" w:cstheme="minorEastAsia"/>
          <w:sz w:val="24"/>
          <w:szCs w:val="24"/>
          <w:lang w:eastAsia="zh-CN"/>
        </w:rPr>
      </w:pPr>
      <w:bookmarkStart w:id="112" w:name="_Toc536541110"/>
      <w:bookmarkStart w:id="113" w:name="_Toc536541421"/>
      <w:bookmarkStart w:id="114" w:name="_Toc536542020"/>
      <w:bookmarkStart w:id="115" w:name="_Toc24858"/>
      <w:bookmarkStart w:id="116" w:name="_Toc530989733"/>
      <w:bookmarkStart w:id="117" w:name="_Toc82524615"/>
      <w:bookmarkStart w:id="118" w:name="_Toc413941324"/>
      <w:r>
        <w:rPr>
          <w:rFonts w:hint="eastAsia" w:asciiTheme="minorEastAsia" w:hAnsiTheme="minorEastAsia" w:eastAsiaTheme="minorEastAsia" w:cstheme="minorEastAsia"/>
          <w:sz w:val="24"/>
          <w:szCs w:val="24"/>
          <w:lang w:eastAsia="zh-CN"/>
        </w:rPr>
        <w:t>三、投标文件的编制</w:t>
      </w:r>
      <w:bookmarkEnd w:id="112"/>
      <w:bookmarkEnd w:id="113"/>
      <w:bookmarkEnd w:id="114"/>
      <w:bookmarkEnd w:id="115"/>
      <w:bookmarkEnd w:id="116"/>
      <w:bookmarkEnd w:id="117"/>
      <w:bookmarkEnd w:id="118"/>
    </w:p>
    <w:p w14:paraId="17FF07F4">
      <w:pPr>
        <w:spacing w:line="360" w:lineRule="auto"/>
        <w:ind w:firstLine="480" w:firstLineChars="200"/>
        <w:rPr>
          <w:rFonts w:asciiTheme="minorEastAsia" w:hAnsiTheme="minorEastAsia" w:eastAsiaTheme="minorEastAsia" w:cstheme="minorEastAsia"/>
          <w:sz w:val="24"/>
          <w:szCs w:val="24"/>
          <w:lang w:eastAsia="zh-CN"/>
        </w:rPr>
      </w:pPr>
      <w:bookmarkStart w:id="119" w:name="_Toc536542021"/>
      <w:bookmarkStart w:id="120" w:name="_Toc14563"/>
      <w:bookmarkStart w:id="121" w:name="_Toc82524616"/>
      <w:bookmarkStart w:id="122" w:name="_Toc536542583"/>
      <w:r>
        <w:rPr>
          <w:rFonts w:hint="eastAsia" w:asciiTheme="minorEastAsia" w:hAnsiTheme="minorEastAsia" w:eastAsiaTheme="minorEastAsia" w:cstheme="minorEastAsia"/>
          <w:sz w:val="24"/>
          <w:szCs w:val="24"/>
          <w:lang w:eastAsia="zh-CN"/>
        </w:rPr>
        <w:t>1．要求</w:t>
      </w:r>
      <w:bookmarkEnd w:id="119"/>
      <w:bookmarkEnd w:id="120"/>
      <w:bookmarkEnd w:id="121"/>
      <w:bookmarkEnd w:id="122"/>
    </w:p>
    <w:p w14:paraId="4DCE8E62">
      <w:pPr>
        <w:pStyle w:val="7"/>
        <w:ind w:firstLine="480" w:firstLineChars="200"/>
        <w:rPr>
          <w:rFonts w:asciiTheme="minorEastAsia" w:hAnsiTheme="minorEastAsia" w:eastAsiaTheme="minorEastAsia" w:cstheme="minorEastAsia"/>
          <w:szCs w:val="24"/>
          <w:lang w:eastAsia="zh-CN"/>
        </w:rPr>
      </w:pPr>
      <w:bookmarkStart w:id="123" w:name="_Toc536542584"/>
      <w:bookmarkStart w:id="124" w:name="_Toc536542022"/>
      <w:bookmarkStart w:id="125" w:name="_Toc82524617"/>
      <w:r>
        <w:rPr>
          <w:rFonts w:hint="eastAsia" w:asciiTheme="minorEastAsia" w:hAnsiTheme="minorEastAsia" w:eastAsiaTheme="minorEastAsia" w:cstheme="minorEastAsia"/>
          <w:szCs w:val="24"/>
          <w:lang w:eastAsia="zh-CN"/>
        </w:rPr>
        <w:t>投标人应仔细阅读招标文件中所有的事项、格式、条款和规范等要求，按招标文件规定的要求提供投标文件，并保证所提供的全部资料的真实性。如果投标文件没有按照招标文件要求提供全部资料，或者投标文件没有对招标文件在各方面都做出实质性响应，其投标将被拒绝，其风险应由投标人承担。</w:t>
      </w:r>
      <w:bookmarkEnd w:id="123"/>
      <w:bookmarkEnd w:id="124"/>
      <w:bookmarkEnd w:id="125"/>
    </w:p>
    <w:p w14:paraId="260C2885">
      <w:pPr>
        <w:spacing w:line="360" w:lineRule="auto"/>
        <w:ind w:firstLine="480" w:firstLineChars="200"/>
        <w:rPr>
          <w:rFonts w:asciiTheme="minorEastAsia" w:hAnsiTheme="minorEastAsia" w:eastAsiaTheme="minorEastAsia" w:cstheme="minorEastAsia"/>
          <w:sz w:val="24"/>
          <w:szCs w:val="24"/>
          <w:lang w:eastAsia="zh-CN"/>
        </w:rPr>
      </w:pPr>
      <w:bookmarkStart w:id="126" w:name="_Toc536542023"/>
      <w:bookmarkStart w:id="127" w:name="_Toc4702"/>
      <w:bookmarkStart w:id="128" w:name="_Toc82524618"/>
      <w:bookmarkStart w:id="129" w:name="_Toc536542585"/>
      <w:r>
        <w:rPr>
          <w:rFonts w:hint="eastAsia" w:asciiTheme="minorEastAsia" w:hAnsiTheme="minorEastAsia" w:eastAsiaTheme="minorEastAsia" w:cstheme="minorEastAsia"/>
          <w:sz w:val="24"/>
          <w:szCs w:val="24"/>
          <w:lang w:eastAsia="zh-CN"/>
        </w:rPr>
        <w:t>2．投标文件的语言及计量单位</w:t>
      </w:r>
      <w:bookmarkEnd w:id="126"/>
      <w:bookmarkEnd w:id="127"/>
      <w:bookmarkEnd w:id="128"/>
      <w:bookmarkEnd w:id="129"/>
    </w:p>
    <w:p w14:paraId="2E7019CC">
      <w:pPr>
        <w:spacing w:line="360" w:lineRule="auto"/>
        <w:ind w:firstLine="480" w:firstLineChars="200"/>
        <w:rPr>
          <w:rFonts w:asciiTheme="minorEastAsia" w:hAnsiTheme="minorEastAsia" w:eastAsiaTheme="minorEastAsia" w:cstheme="minorEastAsia"/>
          <w:sz w:val="24"/>
          <w:szCs w:val="24"/>
          <w:lang w:eastAsia="zh-CN"/>
        </w:rPr>
      </w:pPr>
      <w:bookmarkStart w:id="130" w:name="_Toc82524619"/>
      <w:bookmarkStart w:id="131" w:name="_Toc536542586"/>
      <w:bookmarkStart w:id="132" w:name="_Toc536542024"/>
      <w:r>
        <w:rPr>
          <w:rFonts w:hint="eastAsia" w:asciiTheme="minorEastAsia" w:hAnsiTheme="minorEastAsia" w:eastAsiaTheme="minorEastAsia" w:cstheme="minorEastAsia"/>
          <w:sz w:val="24"/>
          <w:szCs w:val="24"/>
          <w:lang w:eastAsia="zh-CN"/>
        </w:rPr>
        <w:t>2.1投标人提交的投标文件以及投标人与代理机构就有关投标的所有来往函电等均应使用中文，若有其他语言必须有中文译文，对不同文字文本投标文件的解释发生异议的，以中文文本为准。</w:t>
      </w:r>
      <w:bookmarkEnd w:id="130"/>
      <w:bookmarkEnd w:id="131"/>
      <w:bookmarkEnd w:id="132"/>
    </w:p>
    <w:p w14:paraId="3DBDD7EA">
      <w:pPr>
        <w:spacing w:line="360" w:lineRule="auto"/>
        <w:ind w:firstLine="480" w:firstLineChars="200"/>
        <w:rPr>
          <w:rFonts w:asciiTheme="minorEastAsia" w:hAnsiTheme="minorEastAsia" w:eastAsiaTheme="minorEastAsia" w:cstheme="minorEastAsia"/>
          <w:sz w:val="24"/>
          <w:szCs w:val="24"/>
          <w:lang w:eastAsia="zh-CN"/>
        </w:rPr>
      </w:pPr>
      <w:bookmarkStart w:id="133" w:name="_Toc536542587"/>
      <w:bookmarkStart w:id="134" w:name="_Toc536542025"/>
      <w:bookmarkStart w:id="135" w:name="_Toc82524620"/>
      <w:r>
        <w:rPr>
          <w:rFonts w:hint="eastAsia" w:asciiTheme="minorEastAsia" w:hAnsiTheme="minorEastAsia" w:eastAsiaTheme="minorEastAsia" w:cstheme="minorEastAsia"/>
          <w:sz w:val="24"/>
          <w:szCs w:val="24"/>
          <w:lang w:eastAsia="zh-CN"/>
        </w:rPr>
        <w:t>2.2除技术性能中另有规定外，投标文件所使用的度量单位均须采用法定标准计量单位。</w:t>
      </w:r>
      <w:bookmarkEnd w:id="133"/>
      <w:bookmarkEnd w:id="134"/>
      <w:bookmarkEnd w:id="135"/>
    </w:p>
    <w:p w14:paraId="2D9812A0">
      <w:pPr>
        <w:spacing w:line="360" w:lineRule="auto"/>
        <w:ind w:firstLine="480" w:firstLineChars="200"/>
        <w:rPr>
          <w:rFonts w:asciiTheme="minorEastAsia" w:hAnsiTheme="minorEastAsia" w:eastAsiaTheme="minorEastAsia" w:cstheme="minorEastAsia"/>
          <w:sz w:val="24"/>
          <w:szCs w:val="24"/>
          <w:lang w:eastAsia="zh-CN"/>
        </w:rPr>
      </w:pPr>
      <w:bookmarkStart w:id="136" w:name="_Toc536542026"/>
      <w:bookmarkStart w:id="137" w:name="_Toc536542588"/>
      <w:bookmarkStart w:id="138" w:name="_Toc82524621"/>
      <w:bookmarkStart w:id="139" w:name="_Toc17240"/>
      <w:r>
        <w:rPr>
          <w:rFonts w:hint="eastAsia" w:asciiTheme="minorEastAsia" w:hAnsiTheme="minorEastAsia" w:eastAsiaTheme="minorEastAsia" w:cstheme="minorEastAsia"/>
          <w:sz w:val="24"/>
          <w:szCs w:val="24"/>
          <w:lang w:eastAsia="zh-CN"/>
        </w:rPr>
        <w:t>3.投标文件的组成</w:t>
      </w:r>
      <w:bookmarkEnd w:id="136"/>
      <w:bookmarkEnd w:id="137"/>
      <w:bookmarkEnd w:id="138"/>
      <w:bookmarkEnd w:id="139"/>
    </w:p>
    <w:p w14:paraId="53281E7E">
      <w:pPr>
        <w:tabs>
          <w:tab w:val="left" w:pos="1260"/>
        </w:tabs>
        <w:spacing w:line="360" w:lineRule="auto"/>
        <w:ind w:firstLine="480" w:firstLineChars="200"/>
        <w:rPr>
          <w:rFonts w:asciiTheme="minorEastAsia" w:hAnsiTheme="minorEastAsia" w:eastAsiaTheme="minorEastAsia" w:cstheme="minorEastAsia"/>
          <w:sz w:val="24"/>
          <w:szCs w:val="24"/>
          <w:lang w:eastAsia="zh-CN"/>
        </w:rPr>
      </w:pPr>
      <w:bookmarkStart w:id="140" w:name="_Toc82524622"/>
      <w:bookmarkStart w:id="141" w:name="_Toc536542027"/>
      <w:bookmarkStart w:id="142" w:name="_Toc536542589"/>
      <w:r>
        <w:rPr>
          <w:rFonts w:hint="eastAsia" w:asciiTheme="minorEastAsia" w:hAnsiTheme="minorEastAsia" w:eastAsiaTheme="minorEastAsia" w:cstheme="minorEastAsia"/>
          <w:sz w:val="24"/>
          <w:szCs w:val="24"/>
          <w:lang w:eastAsia="zh-CN"/>
        </w:rPr>
        <w:t>3.1投标人编制的投标文件应包括下列部分：</w:t>
      </w:r>
      <w:bookmarkEnd w:id="140"/>
      <w:bookmarkEnd w:id="141"/>
      <w:bookmarkEnd w:id="142"/>
      <w:r>
        <w:rPr>
          <w:rFonts w:hint="eastAsia" w:asciiTheme="minorEastAsia" w:hAnsiTheme="minorEastAsia" w:eastAsiaTheme="minorEastAsia" w:cstheme="minorEastAsia"/>
          <w:sz w:val="24"/>
          <w:szCs w:val="24"/>
          <w:lang w:eastAsia="zh-CN"/>
        </w:rPr>
        <w:t>详见投标文件格式</w:t>
      </w:r>
      <w:r>
        <w:rPr>
          <w:rFonts w:hint="eastAsia" w:asciiTheme="minorEastAsia" w:hAnsiTheme="minorEastAsia" w:eastAsiaTheme="minorEastAsia" w:cstheme="minorEastAsia"/>
          <w:sz w:val="24"/>
          <w:szCs w:val="24"/>
          <w:lang w:eastAsia="zh-CN"/>
        </w:rPr>
        <w:tab/>
      </w:r>
    </w:p>
    <w:p w14:paraId="2DC4280F">
      <w:pPr>
        <w:spacing w:line="360" w:lineRule="auto"/>
        <w:ind w:firstLine="480" w:firstLineChars="200"/>
        <w:rPr>
          <w:rFonts w:asciiTheme="minorEastAsia" w:hAnsiTheme="minorEastAsia" w:eastAsiaTheme="minorEastAsia" w:cstheme="minorEastAsia"/>
          <w:sz w:val="24"/>
          <w:szCs w:val="24"/>
          <w:lang w:eastAsia="zh-CN"/>
        </w:rPr>
      </w:pPr>
      <w:bookmarkStart w:id="143" w:name="_Toc82524630"/>
      <w:bookmarkStart w:id="144" w:name="_Toc6236"/>
      <w:bookmarkStart w:id="145" w:name="_Toc536542037"/>
      <w:bookmarkStart w:id="146" w:name="_Toc536542599"/>
      <w:r>
        <w:rPr>
          <w:rFonts w:hint="eastAsia" w:asciiTheme="minorEastAsia" w:hAnsiTheme="minorEastAsia" w:eastAsiaTheme="minorEastAsia" w:cstheme="minorEastAsia"/>
          <w:sz w:val="24"/>
          <w:szCs w:val="24"/>
          <w:lang w:eastAsia="zh-CN"/>
        </w:rPr>
        <w:t>4.投标文件的格式</w:t>
      </w:r>
      <w:bookmarkEnd w:id="143"/>
      <w:bookmarkEnd w:id="144"/>
      <w:bookmarkEnd w:id="145"/>
      <w:bookmarkEnd w:id="146"/>
    </w:p>
    <w:p w14:paraId="0DFD5899">
      <w:pPr>
        <w:spacing w:line="360" w:lineRule="auto"/>
        <w:ind w:firstLine="480" w:firstLineChars="200"/>
        <w:rPr>
          <w:rFonts w:asciiTheme="minorEastAsia" w:hAnsiTheme="minorEastAsia" w:eastAsiaTheme="minorEastAsia" w:cstheme="minorEastAsia"/>
          <w:sz w:val="24"/>
          <w:szCs w:val="24"/>
          <w:lang w:eastAsia="zh-CN"/>
        </w:rPr>
      </w:pPr>
      <w:bookmarkStart w:id="147" w:name="_Toc536542038"/>
      <w:bookmarkStart w:id="148" w:name="_Toc536542600"/>
      <w:bookmarkStart w:id="149" w:name="_Toc82524631"/>
      <w:r>
        <w:rPr>
          <w:rFonts w:hint="eastAsia" w:asciiTheme="minorEastAsia" w:hAnsiTheme="minorEastAsia" w:eastAsiaTheme="minorEastAsia" w:cstheme="minorEastAsia"/>
          <w:sz w:val="24"/>
          <w:szCs w:val="24"/>
          <w:lang w:eastAsia="zh-CN"/>
        </w:rPr>
        <w:t>投标人应按招标文件中提供的投标文件格式充分填写。</w:t>
      </w:r>
      <w:bookmarkEnd w:id="147"/>
      <w:bookmarkEnd w:id="148"/>
      <w:bookmarkEnd w:id="149"/>
    </w:p>
    <w:p w14:paraId="2FBDA513">
      <w:pPr>
        <w:spacing w:line="360" w:lineRule="auto"/>
        <w:ind w:firstLine="480" w:firstLineChars="200"/>
        <w:rPr>
          <w:rFonts w:asciiTheme="minorEastAsia" w:hAnsiTheme="minorEastAsia" w:eastAsiaTheme="minorEastAsia" w:cstheme="minorEastAsia"/>
          <w:sz w:val="24"/>
          <w:szCs w:val="24"/>
          <w:lang w:eastAsia="zh-CN"/>
        </w:rPr>
      </w:pPr>
      <w:bookmarkStart w:id="150" w:name="_Toc536542039"/>
      <w:bookmarkStart w:id="151" w:name="_Toc82524632"/>
      <w:bookmarkStart w:id="152" w:name="_Toc536542601"/>
      <w:r>
        <w:rPr>
          <w:rFonts w:hint="eastAsia" w:asciiTheme="minorEastAsia" w:hAnsiTheme="minorEastAsia" w:eastAsiaTheme="minorEastAsia" w:cstheme="minorEastAsia"/>
          <w:sz w:val="24"/>
          <w:szCs w:val="24"/>
          <w:lang w:eastAsia="zh-CN"/>
        </w:rPr>
        <w:t>5.食材质量要求：符合国家相关标准和强制性规定要求。</w:t>
      </w:r>
      <w:bookmarkEnd w:id="150"/>
      <w:bookmarkEnd w:id="151"/>
      <w:bookmarkEnd w:id="152"/>
    </w:p>
    <w:p w14:paraId="66C1D8B5">
      <w:pPr>
        <w:spacing w:line="360" w:lineRule="auto"/>
        <w:ind w:firstLine="480" w:firstLineChars="200"/>
        <w:rPr>
          <w:rFonts w:asciiTheme="minorEastAsia" w:hAnsiTheme="minorEastAsia" w:eastAsiaTheme="minorEastAsia" w:cstheme="minorEastAsia"/>
          <w:sz w:val="24"/>
          <w:szCs w:val="24"/>
          <w:lang w:eastAsia="zh-CN"/>
        </w:rPr>
      </w:pPr>
      <w:bookmarkStart w:id="153" w:name="_Toc536542040"/>
      <w:bookmarkStart w:id="154" w:name="_Toc82524633"/>
      <w:bookmarkStart w:id="155" w:name="_Toc536542602"/>
      <w:r>
        <w:rPr>
          <w:rFonts w:hint="eastAsia" w:asciiTheme="minorEastAsia" w:hAnsiTheme="minorEastAsia" w:eastAsiaTheme="minorEastAsia" w:cstheme="minorEastAsia"/>
          <w:sz w:val="24"/>
          <w:szCs w:val="24"/>
          <w:lang w:eastAsia="zh-CN"/>
        </w:rPr>
        <w:t>6.投标报价</w:t>
      </w:r>
      <w:bookmarkEnd w:id="153"/>
      <w:bookmarkEnd w:id="154"/>
      <w:bookmarkEnd w:id="155"/>
    </w:p>
    <w:p w14:paraId="56EF0C60">
      <w:pPr>
        <w:tabs>
          <w:tab w:val="left" w:pos="720"/>
        </w:tabs>
        <w:spacing w:line="360" w:lineRule="auto"/>
        <w:ind w:firstLine="480" w:firstLineChars="200"/>
        <w:rPr>
          <w:rFonts w:asciiTheme="minorEastAsia" w:hAnsiTheme="minorEastAsia" w:eastAsiaTheme="minorEastAsia" w:cstheme="minorEastAsia"/>
          <w:sz w:val="24"/>
          <w:szCs w:val="24"/>
          <w:lang w:eastAsia="zh-CN"/>
        </w:rPr>
      </w:pPr>
      <w:bookmarkStart w:id="156" w:name="_Toc536542603"/>
      <w:bookmarkStart w:id="157" w:name="_Toc82524634"/>
      <w:bookmarkStart w:id="158" w:name="_Toc536542041"/>
      <w:r>
        <w:rPr>
          <w:rFonts w:hint="eastAsia" w:asciiTheme="minorEastAsia" w:hAnsiTheme="minorEastAsia" w:eastAsiaTheme="minorEastAsia" w:cstheme="minorEastAsia"/>
          <w:sz w:val="24"/>
          <w:szCs w:val="24"/>
          <w:lang w:eastAsia="zh-CN"/>
        </w:rPr>
        <w:t>6.1投标人可根据企业具体情况在合理范围内进行报价，招标人不接受任何有选择性的</w:t>
      </w:r>
      <w:bookmarkEnd w:id="156"/>
      <w:bookmarkEnd w:id="157"/>
      <w:bookmarkEnd w:id="158"/>
      <w:bookmarkStart w:id="159" w:name="_Toc536542604"/>
      <w:bookmarkStart w:id="160" w:name="_Toc536542042"/>
      <w:r>
        <w:rPr>
          <w:rFonts w:hint="eastAsia" w:asciiTheme="minorEastAsia" w:hAnsiTheme="minorEastAsia" w:eastAsiaTheme="minorEastAsia" w:cstheme="minorEastAsia"/>
          <w:sz w:val="24"/>
          <w:szCs w:val="24"/>
          <w:lang w:eastAsia="zh-CN"/>
        </w:rPr>
        <w:t>报价；</w:t>
      </w:r>
    </w:p>
    <w:bookmarkEnd w:id="159"/>
    <w:bookmarkEnd w:id="160"/>
    <w:p w14:paraId="0436075B">
      <w:pPr>
        <w:tabs>
          <w:tab w:val="left" w:pos="720"/>
        </w:tabs>
        <w:spacing w:line="360" w:lineRule="auto"/>
        <w:ind w:firstLine="480" w:firstLineChars="200"/>
        <w:rPr>
          <w:rFonts w:asciiTheme="minorEastAsia" w:hAnsiTheme="minorEastAsia" w:eastAsiaTheme="minorEastAsia" w:cstheme="minorEastAsia"/>
          <w:sz w:val="24"/>
          <w:szCs w:val="24"/>
          <w:lang w:eastAsia="zh-CN"/>
        </w:rPr>
      </w:pPr>
      <w:bookmarkStart w:id="161" w:name="_Toc536542605"/>
      <w:bookmarkStart w:id="162" w:name="_Toc536542043"/>
      <w:bookmarkStart w:id="163" w:name="_Toc82524636"/>
      <w:r>
        <w:rPr>
          <w:rFonts w:hint="eastAsia" w:asciiTheme="minorEastAsia" w:hAnsiTheme="minorEastAsia" w:eastAsiaTheme="minorEastAsia" w:cstheme="minorEastAsia"/>
          <w:sz w:val="24"/>
          <w:szCs w:val="24"/>
          <w:lang w:eastAsia="zh-CN"/>
        </w:rPr>
        <w:t>6.</w:t>
      </w:r>
      <w:bookmarkEnd w:id="161"/>
      <w:bookmarkEnd w:id="162"/>
      <w:bookmarkEnd w:id="163"/>
      <w:bookmarkStart w:id="164" w:name="_Toc536542044"/>
      <w:bookmarkStart w:id="165" w:name="_Toc82524637"/>
      <w:bookmarkStart w:id="166" w:name="_Toc536542606"/>
      <w:r>
        <w:rPr>
          <w:rFonts w:hint="eastAsia" w:asciiTheme="minorEastAsia" w:hAnsiTheme="minorEastAsia" w:eastAsiaTheme="minorEastAsia" w:cstheme="minorEastAsia"/>
          <w:sz w:val="24"/>
          <w:szCs w:val="24"/>
          <w:lang w:eastAsia="zh-CN"/>
        </w:rPr>
        <w:t xml:space="preserve">2投标人的报价应包含所投服务、保险、税费、包装、加工及加工损耗、运输、现场落地、安装及安装损耗、调试、检测验收和交付后约定期限内免费维保等工作所发生的一切应有费用。投标报价为签订合同的依据。 </w:t>
      </w:r>
    </w:p>
    <w:p w14:paraId="5F779097">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6.3开标时，投标文件中唱标内容与投标文件中明细表内容不一致的，以唱标内容为准。投标文件的大写金额和小写金额不一致的，以大写金额为准；总价金额与单价汇总金额不一致的，以单价金额计算结果为准；单价金额小数点有明显错位的，应以总价为准，并修改单价。</w:t>
      </w:r>
      <w:bookmarkEnd w:id="164"/>
      <w:bookmarkEnd w:id="165"/>
      <w:bookmarkEnd w:id="166"/>
    </w:p>
    <w:p w14:paraId="68C64013">
      <w:pPr>
        <w:spacing w:line="360" w:lineRule="auto"/>
        <w:ind w:firstLine="480" w:firstLineChars="200"/>
        <w:rPr>
          <w:rFonts w:asciiTheme="minorEastAsia" w:hAnsiTheme="minorEastAsia" w:eastAsiaTheme="minorEastAsia" w:cstheme="minorEastAsia"/>
          <w:sz w:val="24"/>
          <w:szCs w:val="24"/>
          <w:lang w:eastAsia="zh-CN"/>
        </w:rPr>
      </w:pPr>
      <w:bookmarkStart w:id="167" w:name="_Toc536542608"/>
      <w:bookmarkStart w:id="168" w:name="_Toc536542046"/>
      <w:bookmarkStart w:id="169" w:name="_Toc16620"/>
      <w:bookmarkStart w:id="170" w:name="_Toc82524639"/>
      <w:r>
        <w:rPr>
          <w:rFonts w:hint="eastAsia" w:asciiTheme="minorEastAsia" w:hAnsiTheme="minorEastAsia" w:eastAsiaTheme="minorEastAsia" w:cstheme="minorEastAsia"/>
          <w:sz w:val="24"/>
          <w:szCs w:val="24"/>
          <w:lang w:eastAsia="zh-CN"/>
        </w:rPr>
        <w:t>7.投标货币</w:t>
      </w:r>
      <w:bookmarkEnd w:id="167"/>
      <w:bookmarkEnd w:id="168"/>
      <w:bookmarkEnd w:id="169"/>
      <w:bookmarkEnd w:id="170"/>
    </w:p>
    <w:p w14:paraId="28BACC03">
      <w:pPr>
        <w:spacing w:line="360" w:lineRule="auto"/>
        <w:ind w:firstLine="480" w:firstLineChars="200"/>
        <w:rPr>
          <w:rFonts w:asciiTheme="minorEastAsia" w:hAnsiTheme="minorEastAsia" w:eastAsiaTheme="minorEastAsia" w:cstheme="minorEastAsia"/>
          <w:sz w:val="24"/>
          <w:szCs w:val="24"/>
          <w:lang w:eastAsia="zh-CN"/>
        </w:rPr>
      </w:pPr>
      <w:bookmarkStart w:id="171" w:name="_Toc536542047"/>
      <w:bookmarkStart w:id="172" w:name="_Toc82524640"/>
      <w:bookmarkStart w:id="173" w:name="_Toc536542609"/>
      <w:r>
        <w:rPr>
          <w:rFonts w:hint="eastAsia" w:asciiTheme="minorEastAsia" w:hAnsiTheme="minorEastAsia" w:eastAsiaTheme="minorEastAsia" w:cstheme="minorEastAsia"/>
          <w:sz w:val="24"/>
          <w:szCs w:val="24"/>
          <w:lang w:eastAsia="zh-CN"/>
        </w:rPr>
        <w:t>投标人应以人民币报价。投标人的投标报价应遵守“中华人民共和国价格法”，以不低于成本的价格销售货物或服务，否则应对其价格构成情况做出详细说明并提供相关证明资料。评标委员会评审中认为投标人的投标报价低于成本价时，有权利要求投标人在一定期限内做出澄清或解释。如果评标委员会认为投标人所做的澄清或者解释不能被接受，有权利拒绝其中标。投标人的澄清、说明或者补正不得超出投标文件的范围或者改变投标文件的实质性内容，书面承诺为其投标文件的组成部分。</w:t>
      </w:r>
      <w:bookmarkEnd w:id="171"/>
      <w:bookmarkEnd w:id="172"/>
      <w:bookmarkEnd w:id="173"/>
    </w:p>
    <w:p w14:paraId="6C218D02">
      <w:pPr>
        <w:spacing w:line="360" w:lineRule="auto"/>
        <w:ind w:firstLine="480" w:firstLineChars="200"/>
        <w:rPr>
          <w:rFonts w:asciiTheme="minorEastAsia" w:hAnsiTheme="minorEastAsia" w:eastAsiaTheme="minorEastAsia" w:cstheme="minorEastAsia"/>
          <w:sz w:val="24"/>
          <w:szCs w:val="24"/>
          <w:lang w:eastAsia="zh-CN"/>
        </w:rPr>
      </w:pPr>
      <w:bookmarkStart w:id="174" w:name="_Toc29204"/>
      <w:bookmarkStart w:id="175" w:name="_Toc536542048"/>
      <w:bookmarkStart w:id="176" w:name="_Toc536542610"/>
      <w:bookmarkStart w:id="177" w:name="_Toc82524641"/>
      <w:r>
        <w:rPr>
          <w:rFonts w:hint="eastAsia" w:asciiTheme="minorEastAsia" w:hAnsiTheme="minorEastAsia" w:eastAsiaTheme="minorEastAsia" w:cstheme="minorEastAsia"/>
          <w:sz w:val="24"/>
          <w:szCs w:val="24"/>
          <w:lang w:eastAsia="zh-CN"/>
        </w:rPr>
        <w:t>8.投标人资格的证明文件</w:t>
      </w:r>
      <w:bookmarkEnd w:id="174"/>
      <w:bookmarkEnd w:id="175"/>
      <w:bookmarkEnd w:id="176"/>
      <w:bookmarkEnd w:id="177"/>
    </w:p>
    <w:p w14:paraId="609781E0">
      <w:pPr>
        <w:spacing w:line="360" w:lineRule="auto"/>
        <w:ind w:firstLine="480" w:firstLineChars="200"/>
        <w:rPr>
          <w:rFonts w:asciiTheme="minorEastAsia" w:hAnsiTheme="minorEastAsia" w:eastAsiaTheme="minorEastAsia" w:cstheme="minorEastAsia"/>
          <w:sz w:val="24"/>
          <w:szCs w:val="24"/>
          <w:lang w:eastAsia="zh-CN"/>
        </w:rPr>
      </w:pPr>
      <w:bookmarkStart w:id="178" w:name="_Toc82524642"/>
      <w:bookmarkStart w:id="179" w:name="_Toc536542049"/>
      <w:bookmarkStart w:id="180" w:name="_Toc536542611"/>
      <w:r>
        <w:rPr>
          <w:rFonts w:hint="eastAsia" w:asciiTheme="minorEastAsia" w:hAnsiTheme="minorEastAsia" w:eastAsiaTheme="minorEastAsia" w:cstheme="minorEastAsia"/>
          <w:sz w:val="24"/>
          <w:szCs w:val="24"/>
          <w:lang w:eastAsia="zh-CN"/>
        </w:rPr>
        <w:t>8.1投标人必须提交证明其有资格参加投标和有能力履行合同的文件；</w:t>
      </w:r>
      <w:bookmarkEnd w:id="178"/>
      <w:bookmarkEnd w:id="179"/>
      <w:bookmarkEnd w:id="180"/>
    </w:p>
    <w:p w14:paraId="0BD58C3E">
      <w:pPr>
        <w:spacing w:line="360" w:lineRule="auto"/>
        <w:ind w:firstLine="480" w:firstLineChars="200"/>
        <w:rPr>
          <w:rFonts w:asciiTheme="minorEastAsia" w:hAnsiTheme="minorEastAsia" w:eastAsiaTheme="minorEastAsia" w:cstheme="minorEastAsia"/>
          <w:sz w:val="24"/>
          <w:szCs w:val="24"/>
          <w:lang w:eastAsia="zh-CN"/>
        </w:rPr>
      </w:pPr>
      <w:bookmarkStart w:id="181" w:name="_Toc536542050"/>
      <w:bookmarkStart w:id="182" w:name="_Toc82524643"/>
      <w:bookmarkStart w:id="183" w:name="_Toc536542612"/>
      <w:r>
        <w:rPr>
          <w:rFonts w:hint="eastAsia" w:asciiTheme="minorEastAsia" w:hAnsiTheme="minorEastAsia" w:eastAsiaTheme="minorEastAsia" w:cstheme="minorEastAsia"/>
          <w:sz w:val="24"/>
          <w:szCs w:val="24"/>
          <w:lang w:eastAsia="zh-CN"/>
        </w:rPr>
        <w:t>8.2投标人应提供有能力履行招标文件中合同条款和项目规定的要求和服务；</w:t>
      </w:r>
      <w:bookmarkEnd w:id="181"/>
      <w:bookmarkEnd w:id="182"/>
      <w:bookmarkEnd w:id="183"/>
    </w:p>
    <w:p w14:paraId="755A57F9">
      <w:pPr>
        <w:spacing w:line="360" w:lineRule="auto"/>
        <w:ind w:firstLine="480" w:firstLineChars="200"/>
        <w:rPr>
          <w:rFonts w:asciiTheme="minorEastAsia" w:hAnsiTheme="minorEastAsia" w:eastAsiaTheme="minorEastAsia" w:cstheme="minorEastAsia"/>
          <w:sz w:val="24"/>
          <w:szCs w:val="24"/>
          <w:lang w:eastAsia="zh-CN"/>
        </w:rPr>
      </w:pPr>
      <w:bookmarkStart w:id="184" w:name="_Toc536542051"/>
      <w:bookmarkStart w:id="185" w:name="_Toc82524644"/>
      <w:bookmarkStart w:id="186" w:name="_Toc536542613"/>
      <w:r>
        <w:rPr>
          <w:rFonts w:hint="eastAsia" w:asciiTheme="minorEastAsia" w:hAnsiTheme="minorEastAsia" w:eastAsiaTheme="minorEastAsia" w:cstheme="minorEastAsia"/>
          <w:sz w:val="24"/>
          <w:szCs w:val="24"/>
          <w:lang w:eastAsia="zh-CN"/>
        </w:rPr>
        <w:t>8.3所投产品涉及到政策功能(中小企业产品、节能产品、环保标志产品)的投标人需按要求提供相关有效证明材料。</w:t>
      </w:r>
      <w:bookmarkEnd w:id="184"/>
      <w:bookmarkEnd w:id="185"/>
      <w:bookmarkEnd w:id="186"/>
    </w:p>
    <w:p w14:paraId="73A4AC7C">
      <w:pPr>
        <w:spacing w:line="360" w:lineRule="auto"/>
        <w:ind w:firstLine="480" w:firstLineChars="200"/>
        <w:rPr>
          <w:rFonts w:asciiTheme="minorEastAsia" w:hAnsiTheme="minorEastAsia" w:eastAsiaTheme="minorEastAsia" w:cstheme="minorEastAsia"/>
          <w:sz w:val="24"/>
          <w:szCs w:val="24"/>
          <w:lang w:eastAsia="zh-CN"/>
        </w:rPr>
      </w:pPr>
      <w:bookmarkStart w:id="187" w:name="_Toc14590"/>
      <w:bookmarkStart w:id="188" w:name="_Toc82524645"/>
      <w:bookmarkStart w:id="189" w:name="_Toc536542053"/>
      <w:bookmarkStart w:id="190" w:name="_Toc536542615"/>
      <w:r>
        <w:rPr>
          <w:rFonts w:hint="eastAsia" w:asciiTheme="minorEastAsia" w:hAnsiTheme="minorEastAsia" w:eastAsiaTheme="minorEastAsia" w:cstheme="minorEastAsia"/>
          <w:sz w:val="24"/>
          <w:szCs w:val="24"/>
          <w:lang w:eastAsia="zh-CN"/>
        </w:rPr>
        <w:t>9.投标有效期</w:t>
      </w:r>
      <w:bookmarkEnd w:id="187"/>
      <w:bookmarkEnd w:id="188"/>
      <w:bookmarkEnd w:id="189"/>
      <w:bookmarkEnd w:id="190"/>
    </w:p>
    <w:p w14:paraId="3C5CFF0B">
      <w:pPr>
        <w:tabs>
          <w:tab w:val="left" w:pos="900"/>
          <w:tab w:val="left" w:pos="1260"/>
        </w:tabs>
        <w:spacing w:line="360" w:lineRule="auto"/>
        <w:ind w:firstLine="480" w:firstLineChars="200"/>
        <w:rPr>
          <w:rFonts w:asciiTheme="minorEastAsia" w:hAnsiTheme="minorEastAsia" w:eastAsiaTheme="minorEastAsia" w:cstheme="minorEastAsia"/>
          <w:sz w:val="24"/>
          <w:szCs w:val="24"/>
          <w:lang w:eastAsia="zh-CN"/>
        </w:rPr>
      </w:pPr>
      <w:bookmarkStart w:id="191" w:name="_Toc82524646"/>
      <w:bookmarkStart w:id="192" w:name="_Toc536542616"/>
      <w:bookmarkStart w:id="193" w:name="_Toc536542054"/>
      <w:r>
        <w:rPr>
          <w:rFonts w:hint="eastAsia" w:asciiTheme="minorEastAsia" w:hAnsiTheme="minorEastAsia" w:eastAsiaTheme="minorEastAsia" w:cstheme="minorEastAsia"/>
          <w:sz w:val="24"/>
          <w:szCs w:val="24"/>
          <w:lang w:eastAsia="zh-CN"/>
        </w:rPr>
        <w:t>9.1投标有效期</w:t>
      </w:r>
      <w:bookmarkEnd w:id="191"/>
      <w:bookmarkEnd w:id="192"/>
      <w:bookmarkEnd w:id="193"/>
      <w:r>
        <w:rPr>
          <w:rFonts w:hint="eastAsia" w:asciiTheme="minorEastAsia" w:hAnsiTheme="minorEastAsia" w:eastAsiaTheme="minorEastAsia" w:cstheme="minorEastAsia"/>
          <w:sz w:val="24"/>
          <w:szCs w:val="24"/>
          <w:lang w:eastAsia="zh-CN"/>
        </w:rPr>
        <w:t>：详见投标人须知。</w:t>
      </w:r>
    </w:p>
    <w:p w14:paraId="6D4C28B6">
      <w:pPr>
        <w:tabs>
          <w:tab w:val="left" w:pos="900"/>
          <w:tab w:val="left" w:pos="1260"/>
        </w:tabs>
        <w:spacing w:line="360" w:lineRule="auto"/>
        <w:ind w:firstLine="480" w:firstLineChars="200"/>
        <w:rPr>
          <w:rFonts w:asciiTheme="minorEastAsia" w:hAnsiTheme="minorEastAsia" w:eastAsiaTheme="minorEastAsia" w:cstheme="minorEastAsia"/>
          <w:sz w:val="24"/>
          <w:szCs w:val="24"/>
          <w:lang w:eastAsia="zh-CN"/>
        </w:rPr>
      </w:pPr>
      <w:bookmarkStart w:id="194" w:name="_Toc536542055"/>
      <w:bookmarkStart w:id="195" w:name="_Toc536542617"/>
      <w:bookmarkStart w:id="196" w:name="_Toc82524647"/>
      <w:r>
        <w:rPr>
          <w:rFonts w:hint="eastAsia" w:asciiTheme="minorEastAsia" w:hAnsiTheme="minorEastAsia" w:eastAsiaTheme="minorEastAsia" w:cstheme="minorEastAsia"/>
          <w:sz w:val="24"/>
          <w:szCs w:val="24"/>
          <w:lang w:eastAsia="zh-CN"/>
        </w:rPr>
        <w:t>9.2特殊情况下，代理机构可在投标有效期满之前要求投标人同意延长有效期。</w:t>
      </w:r>
      <w:bookmarkEnd w:id="194"/>
      <w:bookmarkEnd w:id="195"/>
      <w:bookmarkEnd w:id="196"/>
    </w:p>
    <w:p w14:paraId="570225A1">
      <w:pPr>
        <w:spacing w:line="360" w:lineRule="auto"/>
        <w:ind w:firstLine="482" w:firstLineChars="200"/>
        <w:rPr>
          <w:rFonts w:asciiTheme="minorEastAsia" w:hAnsiTheme="minorEastAsia" w:eastAsiaTheme="minorEastAsia" w:cstheme="minorEastAsia"/>
          <w:b/>
          <w:sz w:val="24"/>
          <w:szCs w:val="24"/>
          <w:lang w:eastAsia="zh-CN"/>
        </w:rPr>
      </w:pPr>
      <w:bookmarkStart w:id="197" w:name="_Toc536542618"/>
      <w:bookmarkStart w:id="198" w:name="_Toc536542056"/>
      <w:bookmarkStart w:id="199" w:name="_Toc82524648"/>
      <w:bookmarkStart w:id="200" w:name="_Toc1100"/>
      <w:r>
        <w:rPr>
          <w:rFonts w:hint="eastAsia" w:asciiTheme="minorEastAsia" w:hAnsiTheme="minorEastAsia" w:eastAsiaTheme="minorEastAsia" w:cstheme="minorEastAsia"/>
          <w:b/>
          <w:sz w:val="24"/>
          <w:szCs w:val="24"/>
          <w:lang w:eastAsia="zh-CN"/>
        </w:rPr>
        <w:t>10</w:t>
      </w:r>
      <w:bookmarkEnd w:id="197"/>
      <w:bookmarkEnd w:id="198"/>
      <w:r>
        <w:rPr>
          <w:rFonts w:hint="eastAsia" w:asciiTheme="minorEastAsia" w:hAnsiTheme="minorEastAsia" w:eastAsiaTheme="minorEastAsia" w:cstheme="minorEastAsia"/>
          <w:b/>
          <w:sz w:val="24"/>
          <w:szCs w:val="24"/>
          <w:lang w:eastAsia="zh-CN"/>
        </w:rPr>
        <w:t>.电子化投标文件的签章</w:t>
      </w:r>
      <w:bookmarkEnd w:id="199"/>
      <w:bookmarkEnd w:id="200"/>
    </w:p>
    <w:p w14:paraId="77CD6891">
      <w:pPr>
        <w:spacing w:line="360" w:lineRule="auto"/>
        <w:ind w:firstLine="482" w:firstLineChars="200"/>
        <w:rPr>
          <w:rFonts w:asciiTheme="minorEastAsia" w:hAnsiTheme="minorEastAsia" w:eastAsiaTheme="minorEastAsia" w:cstheme="minorEastAsia"/>
          <w:b/>
          <w:sz w:val="24"/>
          <w:szCs w:val="24"/>
          <w:lang w:eastAsia="zh-CN"/>
        </w:rPr>
      </w:pPr>
      <w:bookmarkStart w:id="201" w:name="_Toc536542057"/>
      <w:bookmarkStart w:id="202" w:name="_Toc536542619"/>
      <w:bookmarkStart w:id="203" w:name="_Toc82524649"/>
      <w:r>
        <w:rPr>
          <w:rFonts w:hint="eastAsia" w:asciiTheme="minorEastAsia" w:hAnsiTheme="minorEastAsia" w:eastAsiaTheme="minorEastAsia" w:cstheme="minorEastAsia"/>
          <w:b/>
          <w:sz w:val="24"/>
          <w:szCs w:val="24"/>
          <w:lang w:eastAsia="zh-CN"/>
        </w:rPr>
        <w:t>10.1</w:t>
      </w:r>
      <w:bookmarkEnd w:id="201"/>
      <w:bookmarkEnd w:id="202"/>
      <w:bookmarkStart w:id="204" w:name="_Toc536542622"/>
      <w:bookmarkStart w:id="205" w:name="_Toc536542060"/>
      <w:r>
        <w:rPr>
          <w:rFonts w:hint="eastAsia" w:asciiTheme="minorEastAsia" w:hAnsiTheme="minorEastAsia" w:eastAsiaTheme="minorEastAsia" w:cstheme="minorEastAsia"/>
          <w:b/>
          <w:sz w:val="24"/>
          <w:szCs w:val="24"/>
          <w:lang w:eastAsia="zh-CN"/>
        </w:rPr>
        <w:t>投标人在生成电子化投标文件后，应对电子化投标文件进行签章，未进行签章的视为无效投标。</w:t>
      </w:r>
      <w:bookmarkEnd w:id="203"/>
    </w:p>
    <w:p w14:paraId="5342F7D0">
      <w:pPr>
        <w:spacing w:line="360" w:lineRule="auto"/>
        <w:ind w:firstLine="482" w:firstLineChars="200"/>
        <w:rPr>
          <w:rFonts w:asciiTheme="minorEastAsia" w:hAnsiTheme="minorEastAsia" w:eastAsiaTheme="minorEastAsia" w:cstheme="minorEastAsia"/>
          <w:b/>
          <w:sz w:val="24"/>
          <w:szCs w:val="24"/>
          <w:lang w:eastAsia="zh-CN"/>
        </w:rPr>
      </w:pPr>
      <w:bookmarkStart w:id="206" w:name="_Toc82524650"/>
      <w:r>
        <w:rPr>
          <w:rFonts w:hint="eastAsia" w:asciiTheme="minorEastAsia" w:hAnsiTheme="minorEastAsia" w:eastAsiaTheme="minorEastAsia" w:cstheme="minorEastAsia"/>
          <w:b/>
          <w:sz w:val="24"/>
          <w:szCs w:val="24"/>
          <w:lang w:eastAsia="zh-CN"/>
        </w:rPr>
        <w:t>10.2电子化投标文件具体制作教材请投标人通过CA证书登录平顶山市公共资源电子化交易系统在右上角“组建下载”中查看。</w:t>
      </w:r>
      <w:bookmarkEnd w:id="206"/>
    </w:p>
    <w:p w14:paraId="2438CB8B">
      <w:pPr>
        <w:spacing w:line="360" w:lineRule="auto"/>
        <w:ind w:firstLine="482" w:firstLineChars="200"/>
        <w:rPr>
          <w:rFonts w:asciiTheme="minorEastAsia" w:hAnsiTheme="minorEastAsia" w:eastAsiaTheme="minorEastAsia" w:cstheme="minorEastAsia"/>
          <w:b/>
          <w:sz w:val="24"/>
          <w:szCs w:val="24"/>
          <w:lang w:eastAsia="zh-CN"/>
        </w:rPr>
      </w:pPr>
      <w:bookmarkStart w:id="207" w:name="_Toc82524651"/>
      <w:r>
        <w:rPr>
          <w:rFonts w:hint="eastAsia" w:asciiTheme="minorEastAsia" w:hAnsiTheme="minorEastAsia" w:eastAsiaTheme="minorEastAsia" w:cstheme="minorEastAsia"/>
          <w:b/>
          <w:sz w:val="24"/>
          <w:szCs w:val="24"/>
          <w:lang w:eastAsia="zh-CN"/>
        </w:rPr>
        <w:t>10.3电话、电报、传真、电子邮件形式的投标概不接受。</w:t>
      </w:r>
      <w:bookmarkEnd w:id="204"/>
      <w:bookmarkEnd w:id="205"/>
      <w:bookmarkEnd w:id="207"/>
    </w:p>
    <w:p w14:paraId="2490A8E5">
      <w:pPr>
        <w:spacing w:line="360" w:lineRule="auto"/>
        <w:ind w:firstLine="480" w:firstLineChars="200"/>
        <w:rPr>
          <w:rFonts w:asciiTheme="minorEastAsia" w:hAnsiTheme="minorEastAsia" w:eastAsiaTheme="minorEastAsia" w:cstheme="minorEastAsia"/>
          <w:sz w:val="24"/>
          <w:szCs w:val="24"/>
          <w:lang w:eastAsia="zh-CN"/>
        </w:rPr>
      </w:pPr>
      <w:bookmarkStart w:id="208" w:name="_Toc536541422"/>
      <w:bookmarkStart w:id="209" w:name="_Toc530989734"/>
      <w:bookmarkStart w:id="210" w:name="_Toc413941325"/>
      <w:bookmarkStart w:id="211" w:name="_Toc536542062"/>
      <w:bookmarkStart w:id="212" w:name="_Toc536541111"/>
      <w:bookmarkStart w:id="213" w:name="_Toc82524652"/>
      <w:bookmarkStart w:id="214" w:name="_Toc29877"/>
      <w:r>
        <w:rPr>
          <w:rFonts w:hint="eastAsia" w:asciiTheme="minorEastAsia" w:hAnsiTheme="minorEastAsia" w:eastAsiaTheme="minorEastAsia" w:cstheme="minorEastAsia"/>
          <w:sz w:val="24"/>
          <w:szCs w:val="24"/>
          <w:lang w:eastAsia="zh-CN"/>
        </w:rPr>
        <w:t>四、</w:t>
      </w:r>
      <w:bookmarkEnd w:id="208"/>
      <w:bookmarkEnd w:id="209"/>
      <w:bookmarkEnd w:id="210"/>
      <w:bookmarkEnd w:id="211"/>
      <w:bookmarkEnd w:id="212"/>
      <w:r>
        <w:rPr>
          <w:rFonts w:hint="eastAsia" w:asciiTheme="minorEastAsia" w:hAnsiTheme="minorEastAsia" w:eastAsiaTheme="minorEastAsia" w:cstheme="minorEastAsia"/>
          <w:sz w:val="24"/>
          <w:szCs w:val="24"/>
          <w:lang w:eastAsia="zh-CN"/>
        </w:rPr>
        <w:t>电子化投标文件的格式及上传投标</w:t>
      </w:r>
      <w:bookmarkEnd w:id="213"/>
      <w:bookmarkEnd w:id="214"/>
    </w:p>
    <w:p w14:paraId="065B2813">
      <w:pPr>
        <w:spacing w:line="360" w:lineRule="auto"/>
        <w:ind w:firstLine="482" w:firstLineChars="200"/>
        <w:rPr>
          <w:rFonts w:asciiTheme="minorEastAsia" w:hAnsiTheme="minorEastAsia" w:eastAsiaTheme="minorEastAsia" w:cstheme="minorEastAsia"/>
          <w:b/>
          <w:sz w:val="24"/>
          <w:szCs w:val="24"/>
          <w:lang w:eastAsia="zh-CN"/>
        </w:rPr>
      </w:pPr>
      <w:bookmarkStart w:id="215" w:name="_Toc82524653"/>
      <w:r>
        <w:rPr>
          <w:rFonts w:hint="eastAsia" w:asciiTheme="minorEastAsia" w:hAnsiTheme="minorEastAsia" w:eastAsiaTheme="minorEastAsia" w:cstheme="minorEastAsia"/>
          <w:b/>
          <w:sz w:val="24"/>
          <w:szCs w:val="24"/>
          <w:lang w:eastAsia="zh-CN"/>
        </w:rPr>
        <w:t>1.投标人所上传的电子化投标文件，应是通过中心投标文件制作系统制作的，经过签章和加密后生成的电子版投标文件。生成的电子版投标文件包含用于投标文件上传的主文件（项目文件格式为：xxx公司_项目名称.file）和用于应急补救的投标文件备份文件（项目文件格式为：xxx公司_项目名称.bin），备份文件主要用于电子化开标出现技术问题后的补救，请投标人随身携带。</w:t>
      </w:r>
      <w:bookmarkEnd w:id="215"/>
    </w:p>
    <w:p w14:paraId="32BB8F15">
      <w:pPr>
        <w:spacing w:line="360" w:lineRule="auto"/>
        <w:ind w:firstLine="482" w:firstLineChars="200"/>
        <w:rPr>
          <w:rFonts w:asciiTheme="minorEastAsia" w:hAnsiTheme="minorEastAsia" w:eastAsiaTheme="minorEastAsia" w:cstheme="minorEastAsia"/>
          <w:b/>
          <w:sz w:val="24"/>
          <w:szCs w:val="24"/>
          <w:lang w:eastAsia="zh-CN"/>
        </w:rPr>
      </w:pPr>
      <w:bookmarkStart w:id="216" w:name="_Toc82524655"/>
      <w:r>
        <w:rPr>
          <w:rFonts w:hint="eastAsia" w:asciiTheme="minorEastAsia" w:hAnsiTheme="minorEastAsia" w:eastAsiaTheme="minorEastAsia" w:cstheme="minorEastAsia"/>
          <w:b/>
          <w:sz w:val="24"/>
          <w:szCs w:val="24"/>
          <w:lang w:eastAsia="zh-CN"/>
        </w:rPr>
        <w:t>2.电子化投标文件应在投标截止时间前成功上传至平顶山市公共资源电子化交易系统。至投标截止时间止，仍未上传成功的电子化投标文件将不予接收。</w:t>
      </w:r>
      <w:bookmarkEnd w:id="216"/>
    </w:p>
    <w:p w14:paraId="7F2C738A">
      <w:pPr>
        <w:spacing w:line="360" w:lineRule="auto"/>
        <w:ind w:firstLine="482" w:firstLineChars="200"/>
        <w:rPr>
          <w:rFonts w:asciiTheme="minorEastAsia" w:hAnsiTheme="minorEastAsia" w:eastAsiaTheme="minorEastAsia" w:cstheme="minorEastAsia"/>
          <w:b/>
          <w:sz w:val="24"/>
          <w:szCs w:val="24"/>
          <w:lang w:eastAsia="zh-CN"/>
        </w:rPr>
      </w:pPr>
      <w:bookmarkStart w:id="217" w:name="_Toc82524656"/>
      <w:r>
        <w:rPr>
          <w:rFonts w:hint="eastAsia" w:asciiTheme="minorEastAsia" w:hAnsiTheme="minorEastAsia" w:eastAsiaTheme="minorEastAsia" w:cstheme="minorEastAsia"/>
          <w:b/>
          <w:sz w:val="24"/>
          <w:szCs w:val="24"/>
          <w:lang w:eastAsia="zh-CN"/>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bookmarkEnd w:id="217"/>
    </w:p>
    <w:p w14:paraId="4FAF3E8E">
      <w:pPr>
        <w:spacing w:line="360" w:lineRule="auto"/>
        <w:ind w:firstLine="480" w:firstLineChars="200"/>
        <w:rPr>
          <w:rFonts w:asciiTheme="minorEastAsia" w:hAnsiTheme="minorEastAsia" w:eastAsiaTheme="minorEastAsia" w:cstheme="minorEastAsia"/>
          <w:sz w:val="24"/>
          <w:szCs w:val="24"/>
          <w:lang w:eastAsia="zh-CN"/>
        </w:rPr>
      </w:pPr>
      <w:bookmarkStart w:id="218" w:name="_Toc536541112"/>
      <w:bookmarkStart w:id="219" w:name="_Toc536541423"/>
      <w:bookmarkStart w:id="220" w:name="_Toc413941326"/>
      <w:bookmarkStart w:id="221" w:name="_Toc536542077"/>
      <w:bookmarkStart w:id="222" w:name="_Toc530989735"/>
      <w:bookmarkStart w:id="223" w:name="_Toc82524657"/>
      <w:bookmarkStart w:id="224" w:name="_Toc21810"/>
      <w:r>
        <w:rPr>
          <w:rFonts w:hint="eastAsia" w:asciiTheme="minorEastAsia" w:hAnsiTheme="minorEastAsia" w:eastAsiaTheme="minorEastAsia" w:cstheme="minorEastAsia"/>
          <w:sz w:val="24"/>
          <w:szCs w:val="24"/>
          <w:lang w:eastAsia="zh-CN"/>
        </w:rPr>
        <w:t>五、</w:t>
      </w:r>
      <w:bookmarkEnd w:id="218"/>
      <w:bookmarkEnd w:id="219"/>
      <w:bookmarkEnd w:id="220"/>
      <w:bookmarkEnd w:id="221"/>
      <w:bookmarkEnd w:id="222"/>
      <w:r>
        <w:rPr>
          <w:rFonts w:hint="eastAsia" w:asciiTheme="minorEastAsia" w:hAnsiTheme="minorEastAsia" w:eastAsiaTheme="minorEastAsia" w:cstheme="minorEastAsia"/>
          <w:sz w:val="24"/>
          <w:szCs w:val="24"/>
          <w:lang w:eastAsia="zh-CN"/>
        </w:rPr>
        <w:t>电子化项目开标、解密、唱标、评标</w:t>
      </w:r>
      <w:bookmarkEnd w:id="223"/>
      <w:bookmarkEnd w:id="224"/>
    </w:p>
    <w:p w14:paraId="4DC5B7E6">
      <w:pPr>
        <w:spacing w:line="360" w:lineRule="auto"/>
        <w:ind w:firstLine="480" w:firstLineChars="200"/>
        <w:rPr>
          <w:rFonts w:asciiTheme="minorEastAsia" w:hAnsiTheme="minorEastAsia" w:eastAsiaTheme="minorEastAsia" w:cstheme="minorEastAsia"/>
          <w:sz w:val="24"/>
          <w:szCs w:val="24"/>
          <w:lang w:eastAsia="zh-CN"/>
        </w:rPr>
      </w:pPr>
      <w:bookmarkStart w:id="225" w:name="_Toc536542640"/>
      <w:bookmarkStart w:id="226" w:name="_Toc536542078"/>
      <w:bookmarkStart w:id="227" w:name="_Toc82524658"/>
      <w:bookmarkStart w:id="228" w:name="_Toc25729"/>
      <w:r>
        <w:rPr>
          <w:rFonts w:hint="eastAsia" w:asciiTheme="minorEastAsia" w:hAnsiTheme="minorEastAsia" w:eastAsiaTheme="minorEastAsia" w:cstheme="minorEastAsia"/>
          <w:sz w:val="24"/>
          <w:szCs w:val="24"/>
          <w:lang w:eastAsia="zh-CN"/>
        </w:rPr>
        <w:t>1.开标</w:t>
      </w:r>
      <w:bookmarkEnd w:id="225"/>
      <w:bookmarkEnd w:id="226"/>
      <w:bookmarkEnd w:id="227"/>
      <w:bookmarkEnd w:id="228"/>
    </w:p>
    <w:p w14:paraId="0433E294">
      <w:pPr>
        <w:spacing w:line="360" w:lineRule="auto"/>
        <w:ind w:firstLine="480" w:firstLineChars="200"/>
        <w:rPr>
          <w:rFonts w:asciiTheme="minorEastAsia" w:hAnsiTheme="minorEastAsia" w:eastAsiaTheme="minorEastAsia" w:cstheme="minorEastAsia"/>
          <w:sz w:val="24"/>
          <w:szCs w:val="24"/>
          <w:lang w:eastAsia="zh-CN"/>
        </w:rPr>
      </w:pPr>
      <w:bookmarkStart w:id="229" w:name="_Toc82524659"/>
      <w:bookmarkStart w:id="230" w:name="_Toc536542644"/>
      <w:bookmarkStart w:id="231" w:name="_Toc536542082"/>
      <w:r>
        <w:rPr>
          <w:rFonts w:hint="eastAsia" w:asciiTheme="minorEastAsia" w:hAnsiTheme="minorEastAsia" w:eastAsiaTheme="minorEastAsia" w:cstheme="minorEastAsia"/>
          <w:sz w:val="24"/>
          <w:szCs w:val="24"/>
          <w:lang w:eastAsia="zh-CN"/>
        </w:rPr>
        <w:t>电子化投标文件采用双重加密方式。开标时，首先由投标人使用CA证书，在规定时间内对其电子化投标文件进行首次解密，投标人解密完成后，再由中介服务机构使用CA证书对投标文件进行再次解密。</w:t>
      </w:r>
      <w:bookmarkEnd w:id="229"/>
    </w:p>
    <w:p w14:paraId="1847A951">
      <w:pPr>
        <w:spacing w:line="360" w:lineRule="auto"/>
        <w:ind w:firstLine="480" w:firstLineChars="200"/>
        <w:rPr>
          <w:rFonts w:asciiTheme="minorEastAsia" w:hAnsiTheme="minorEastAsia" w:eastAsiaTheme="minorEastAsia" w:cstheme="minorEastAsia"/>
          <w:sz w:val="24"/>
          <w:szCs w:val="24"/>
          <w:lang w:eastAsia="zh-CN"/>
        </w:rPr>
      </w:pPr>
      <w:bookmarkStart w:id="232" w:name="_Toc82524660"/>
      <w:bookmarkStart w:id="233" w:name="_Toc4723"/>
      <w:r>
        <w:rPr>
          <w:rFonts w:hint="eastAsia" w:asciiTheme="minorEastAsia" w:hAnsiTheme="minorEastAsia" w:eastAsiaTheme="minorEastAsia" w:cstheme="minorEastAsia"/>
          <w:sz w:val="24"/>
          <w:szCs w:val="24"/>
          <w:lang w:eastAsia="zh-CN"/>
        </w:rPr>
        <w:t>2.电子化投标文件解密异常的处理</w:t>
      </w:r>
      <w:bookmarkEnd w:id="232"/>
      <w:bookmarkEnd w:id="233"/>
    </w:p>
    <w:p w14:paraId="613C56F5">
      <w:pPr>
        <w:spacing w:line="360" w:lineRule="auto"/>
        <w:ind w:firstLine="480" w:firstLineChars="200"/>
        <w:rPr>
          <w:rFonts w:asciiTheme="minorEastAsia" w:hAnsiTheme="minorEastAsia" w:eastAsiaTheme="minorEastAsia" w:cstheme="minorEastAsia"/>
          <w:sz w:val="24"/>
          <w:szCs w:val="24"/>
          <w:lang w:eastAsia="zh-CN"/>
        </w:rPr>
      </w:pPr>
      <w:bookmarkStart w:id="234" w:name="_Toc82524661"/>
      <w:r>
        <w:rPr>
          <w:rFonts w:hint="eastAsia" w:asciiTheme="minorEastAsia" w:hAnsiTheme="minorEastAsia" w:eastAsiaTheme="minorEastAsia" w:cstheme="minorEastAsia"/>
          <w:sz w:val="24"/>
          <w:szCs w:val="24"/>
          <w:lang w:eastAsia="zh-CN"/>
        </w:rPr>
        <w:t>如出现投标人的电子投标文件无法解密的情况，投标人应及时联系中介服务机构说明。投标文件解密异常，按以下步骤进行处理：</w:t>
      </w:r>
      <w:bookmarkEnd w:id="234"/>
    </w:p>
    <w:p w14:paraId="005F29BB">
      <w:pPr>
        <w:spacing w:line="360" w:lineRule="auto"/>
        <w:ind w:firstLine="480" w:firstLineChars="200"/>
        <w:rPr>
          <w:rFonts w:asciiTheme="minorEastAsia" w:hAnsiTheme="minorEastAsia" w:eastAsiaTheme="minorEastAsia" w:cstheme="minorEastAsia"/>
          <w:sz w:val="24"/>
          <w:szCs w:val="24"/>
          <w:lang w:eastAsia="zh-CN"/>
        </w:rPr>
      </w:pPr>
      <w:bookmarkStart w:id="235" w:name="_Toc82524662"/>
      <w:r>
        <w:rPr>
          <w:rFonts w:hint="eastAsia" w:asciiTheme="minorEastAsia" w:hAnsiTheme="minorEastAsia" w:eastAsiaTheme="minorEastAsia" w:cstheme="minorEastAsia"/>
          <w:sz w:val="24"/>
          <w:szCs w:val="24"/>
          <w:lang w:eastAsia="zh-CN"/>
        </w:rPr>
        <w:t>2.1首先由技术人员进行问题排查。</w:t>
      </w:r>
      <w:bookmarkEnd w:id="235"/>
    </w:p>
    <w:p w14:paraId="6765B22F">
      <w:pPr>
        <w:spacing w:line="360" w:lineRule="auto"/>
        <w:ind w:firstLine="480" w:firstLineChars="200"/>
        <w:rPr>
          <w:rFonts w:asciiTheme="minorEastAsia" w:hAnsiTheme="minorEastAsia" w:eastAsiaTheme="minorEastAsia" w:cstheme="minorEastAsia"/>
          <w:sz w:val="24"/>
          <w:szCs w:val="24"/>
          <w:lang w:eastAsia="zh-CN"/>
        </w:rPr>
      </w:pPr>
      <w:bookmarkStart w:id="236" w:name="_Toc82524663"/>
      <w:r>
        <w:rPr>
          <w:rFonts w:hint="eastAsia" w:asciiTheme="minorEastAsia" w:hAnsiTheme="minorEastAsia" w:eastAsiaTheme="minorEastAsia" w:cstheme="minorEastAsia"/>
          <w:sz w:val="24"/>
          <w:szCs w:val="24"/>
          <w:lang w:eastAsia="zh-CN"/>
        </w:rPr>
        <w:t>2.2经技术人员排查后，是投标人文件自身问题导致投标文件无法解密的，该投标文件将不予接收、解密和唱标，开标会议继续进行。</w:t>
      </w:r>
      <w:bookmarkEnd w:id="236"/>
    </w:p>
    <w:p w14:paraId="05543365">
      <w:pPr>
        <w:spacing w:line="360" w:lineRule="auto"/>
        <w:ind w:firstLine="480" w:firstLineChars="200"/>
        <w:rPr>
          <w:rFonts w:asciiTheme="minorEastAsia" w:hAnsiTheme="minorEastAsia" w:eastAsiaTheme="minorEastAsia" w:cstheme="minorEastAsia"/>
          <w:sz w:val="24"/>
          <w:szCs w:val="24"/>
          <w:lang w:eastAsia="zh-CN"/>
        </w:rPr>
      </w:pPr>
      <w:bookmarkStart w:id="237" w:name="_Toc82524664"/>
      <w:r>
        <w:rPr>
          <w:rFonts w:hint="eastAsia" w:asciiTheme="minorEastAsia" w:hAnsiTheme="minorEastAsia" w:eastAsiaTheme="minorEastAsia" w:cstheme="minorEastAsia"/>
          <w:sz w:val="24"/>
          <w:szCs w:val="24"/>
          <w:lang w:eastAsia="zh-CN"/>
        </w:rPr>
        <w:t>2.3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bookmarkEnd w:id="237"/>
    </w:p>
    <w:p w14:paraId="5B8FB67A">
      <w:pPr>
        <w:spacing w:line="360" w:lineRule="auto"/>
        <w:ind w:firstLine="480" w:firstLineChars="200"/>
        <w:rPr>
          <w:rFonts w:asciiTheme="minorEastAsia" w:hAnsiTheme="minorEastAsia" w:eastAsiaTheme="minorEastAsia" w:cstheme="minorEastAsia"/>
          <w:sz w:val="24"/>
          <w:szCs w:val="24"/>
          <w:lang w:eastAsia="zh-CN"/>
        </w:rPr>
      </w:pPr>
      <w:bookmarkStart w:id="238" w:name="_Toc82524665"/>
      <w:r>
        <w:rPr>
          <w:rFonts w:hint="eastAsia" w:asciiTheme="minorEastAsia" w:hAnsiTheme="minorEastAsia" w:eastAsiaTheme="minorEastAsia" w:cstheme="minorEastAsia"/>
          <w:sz w:val="24"/>
          <w:szCs w:val="24"/>
          <w:lang w:eastAsia="zh-CN"/>
        </w:rPr>
        <w:t>3.待所有投标人投标文件解密完成后，由中介服务机构操作，对所有已解密投标文件进行唱标。</w:t>
      </w:r>
      <w:bookmarkEnd w:id="238"/>
    </w:p>
    <w:p w14:paraId="34D82BCB">
      <w:pPr>
        <w:spacing w:line="360" w:lineRule="auto"/>
        <w:ind w:firstLine="480" w:firstLineChars="200"/>
        <w:rPr>
          <w:rFonts w:asciiTheme="minorEastAsia" w:hAnsiTheme="minorEastAsia" w:eastAsiaTheme="minorEastAsia" w:cstheme="minorEastAsia"/>
          <w:sz w:val="24"/>
          <w:szCs w:val="24"/>
          <w:lang w:eastAsia="zh-CN"/>
        </w:rPr>
      </w:pPr>
      <w:bookmarkStart w:id="239" w:name="_Toc82524666"/>
      <w:r>
        <w:rPr>
          <w:rFonts w:hint="eastAsia" w:asciiTheme="minorEastAsia" w:hAnsiTheme="minorEastAsia" w:eastAsiaTheme="minorEastAsia" w:cstheme="minorEastAsia"/>
          <w:sz w:val="24"/>
          <w:szCs w:val="24"/>
          <w:lang w:eastAsia="zh-CN"/>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bookmarkEnd w:id="239"/>
    </w:p>
    <w:p w14:paraId="65390E99">
      <w:pPr>
        <w:spacing w:line="360" w:lineRule="auto"/>
        <w:ind w:firstLine="480" w:firstLineChars="200"/>
        <w:rPr>
          <w:rFonts w:asciiTheme="minorEastAsia" w:hAnsiTheme="minorEastAsia" w:eastAsiaTheme="minorEastAsia" w:cstheme="minorEastAsia"/>
          <w:sz w:val="24"/>
          <w:szCs w:val="24"/>
          <w:lang w:eastAsia="zh-CN"/>
        </w:rPr>
      </w:pPr>
      <w:bookmarkStart w:id="240" w:name="_Toc82524667"/>
      <w:r>
        <w:rPr>
          <w:rFonts w:hint="eastAsia" w:asciiTheme="minorEastAsia" w:hAnsiTheme="minorEastAsia" w:eastAsiaTheme="minorEastAsia" w:cstheme="minorEastAsia"/>
          <w:sz w:val="24"/>
          <w:szCs w:val="24"/>
          <w:lang w:eastAsia="zh-CN"/>
        </w:rPr>
        <w:t>5.如评标委员会对需要回复的投标人回复内容有异议的，经过几次回复仍不清楚的，需在监督下进行免提电话进行质疑。</w:t>
      </w:r>
      <w:bookmarkEnd w:id="240"/>
    </w:p>
    <w:p w14:paraId="064CE878">
      <w:pPr>
        <w:spacing w:line="360" w:lineRule="auto"/>
        <w:ind w:firstLine="480" w:firstLineChars="200"/>
        <w:rPr>
          <w:rFonts w:asciiTheme="minorEastAsia" w:hAnsiTheme="minorEastAsia" w:eastAsiaTheme="minorEastAsia" w:cstheme="minorEastAsia"/>
          <w:sz w:val="24"/>
          <w:szCs w:val="24"/>
          <w:lang w:eastAsia="zh-CN"/>
        </w:rPr>
      </w:pPr>
      <w:bookmarkStart w:id="241" w:name="_Toc82524668"/>
      <w:r>
        <w:rPr>
          <w:rFonts w:hint="eastAsia" w:asciiTheme="minorEastAsia" w:hAnsiTheme="minorEastAsia" w:eastAsiaTheme="minorEastAsia" w:cstheme="minorEastAsia"/>
          <w:sz w:val="24"/>
          <w:szCs w:val="24"/>
          <w:lang w:eastAsia="zh-CN"/>
        </w:rPr>
        <w:t>6.评标时如因系统异常、停电、电脑病毒、网络堵塞等原因无法正常进行的，由技术人员排查解决，短时间无法解决的，经监督部门同意后，暂停评标活动，待问题解决后继续评标。</w:t>
      </w:r>
      <w:bookmarkEnd w:id="241"/>
    </w:p>
    <w:p w14:paraId="16274529">
      <w:pPr>
        <w:spacing w:line="360" w:lineRule="auto"/>
        <w:ind w:firstLine="480" w:firstLineChars="200"/>
        <w:rPr>
          <w:rFonts w:asciiTheme="minorEastAsia" w:hAnsiTheme="minorEastAsia" w:eastAsiaTheme="minorEastAsia" w:cstheme="minorEastAsia"/>
          <w:sz w:val="24"/>
          <w:szCs w:val="24"/>
          <w:lang w:eastAsia="zh-CN"/>
        </w:rPr>
      </w:pPr>
      <w:bookmarkStart w:id="242" w:name="_Toc27248"/>
      <w:bookmarkStart w:id="243" w:name="_Toc82524669"/>
      <w:r>
        <w:rPr>
          <w:rFonts w:hint="eastAsia" w:asciiTheme="minorEastAsia" w:hAnsiTheme="minorEastAsia" w:eastAsiaTheme="minorEastAsia" w:cstheme="minorEastAsia"/>
          <w:sz w:val="24"/>
          <w:szCs w:val="24"/>
          <w:lang w:eastAsia="zh-CN"/>
        </w:rPr>
        <w:t>7.评标委员会</w:t>
      </w:r>
      <w:bookmarkEnd w:id="230"/>
      <w:bookmarkEnd w:id="231"/>
      <w:bookmarkEnd w:id="242"/>
      <w:bookmarkEnd w:id="243"/>
    </w:p>
    <w:p w14:paraId="0C165D66">
      <w:pPr>
        <w:spacing w:line="360" w:lineRule="auto"/>
        <w:ind w:firstLine="480" w:firstLineChars="200"/>
        <w:rPr>
          <w:rFonts w:asciiTheme="minorEastAsia" w:hAnsiTheme="minorEastAsia" w:eastAsiaTheme="minorEastAsia" w:cstheme="minorEastAsia"/>
          <w:sz w:val="24"/>
          <w:szCs w:val="24"/>
          <w:lang w:eastAsia="zh-CN"/>
        </w:rPr>
      </w:pPr>
      <w:bookmarkStart w:id="244" w:name="_Toc536542645"/>
      <w:bookmarkStart w:id="245" w:name="_Toc536542083"/>
      <w:bookmarkStart w:id="246" w:name="_Toc82524670"/>
      <w:r>
        <w:rPr>
          <w:rFonts w:hint="eastAsia" w:asciiTheme="minorEastAsia" w:hAnsiTheme="minorEastAsia" w:eastAsiaTheme="minorEastAsia" w:cstheme="minorEastAsia"/>
          <w:sz w:val="24"/>
          <w:szCs w:val="24"/>
          <w:lang w:eastAsia="zh-CN"/>
        </w:rPr>
        <w:t>7.1本次招标将依法组建评标委员会。评标委员会由采购人代表和评审专家组成，成员人数应当为7人及以上，其中评审专家不得少于成员总数的三分之二；评标委员会成员从《</w:t>
      </w:r>
      <w:r>
        <w:rPr>
          <w:rFonts w:hint="eastAsia" w:asciiTheme="minorEastAsia" w:hAnsiTheme="minorEastAsia" w:eastAsiaTheme="minorEastAsia" w:cstheme="minorEastAsia"/>
          <w:sz w:val="24"/>
          <w:szCs w:val="24"/>
          <w:lang w:val="en-US" w:eastAsia="zh-CN"/>
        </w:rPr>
        <w:t>河南省政府采购专家库</w:t>
      </w:r>
      <w:r>
        <w:rPr>
          <w:rFonts w:hint="eastAsia" w:asciiTheme="minorEastAsia" w:hAnsiTheme="minorEastAsia" w:eastAsiaTheme="minorEastAsia" w:cstheme="minorEastAsia"/>
          <w:sz w:val="24"/>
          <w:szCs w:val="24"/>
          <w:lang w:eastAsia="zh-CN"/>
        </w:rPr>
        <w:t>》中随机抽取。评标委员会负责对所有投标文件进行审查、质疑、评估、比较。</w:t>
      </w:r>
      <w:bookmarkEnd w:id="244"/>
      <w:bookmarkEnd w:id="245"/>
      <w:bookmarkEnd w:id="246"/>
    </w:p>
    <w:p w14:paraId="5DFFD946">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7.2评标中因评标委员会成员缺席、回避或者健康等特殊原因导致评标委员会组成不符合财政部87号令规定的，采购人或者采购代理机构将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w:t>
      </w:r>
    </w:p>
    <w:p w14:paraId="4C7ACE41">
      <w:pPr>
        <w:spacing w:line="360" w:lineRule="auto"/>
        <w:ind w:firstLine="480" w:firstLineChars="200"/>
        <w:rPr>
          <w:rFonts w:asciiTheme="minorEastAsia" w:hAnsiTheme="minorEastAsia" w:eastAsiaTheme="minorEastAsia" w:cstheme="minorEastAsia"/>
          <w:sz w:val="24"/>
          <w:szCs w:val="24"/>
          <w:lang w:eastAsia="zh-CN"/>
        </w:rPr>
      </w:pPr>
      <w:bookmarkStart w:id="247" w:name="_Toc82524671"/>
      <w:r>
        <w:rPr>
          <w:rFonts w:hint="eastAsia" w:asciiTheme="minorEastAsia" w:hAnsiTheme="minorEastAsia" w:eastAsiaTheme="minorEastAsia" w:cstheme="minorEastAsia"/>
          <w:sz w:val="24"/>
          <w:szCs w:val="24"/>
          <w:lang w:eastAsia="zh-CN"/>
        </w:rPr>
        <w:t>7.3评标委员会及其成员不得有下列行为：</w:t>
      </w:r>
      <w:bookmarkEnd w:id="247"/>
    </w:p>
    <w:p w14:paraId="58AE3983">
      <w:pPr>
        <w:spacing w:line="360" w:lineRule="auto"/>
        <w:ind w:firstLine="480" w:firstLineChars="200"/>
        <w:rPr>
          <w:rFonts w:asciiTheme="minorEastAsia" w:hAnsiTheme="minorEastAsia" w:eastAsiaTheme="minorEastAsia" w:cstheme="minorEastAsia"/>
          <w:sz w:val="24"/>
          <w:szCs w:val="24"/>
          <w:lang w:eastAsia="zh-CN"/>
        </w:rPr>
      </w:pPr>
      <w:bookmarkStart w:id="248" w:name="_Toc82524672"/>
      <w:r>
        <w:rPr>
          <w:rFonts w:hint="eastAsia" w:asciiTheme="minorEastAsia" w:hAnsiTheme="minorEastAsia" w:eastAsiaTheme="minorEastAsia" w:cstheme="minorEastAsia"/>
          <w:sz w:val="24"/>
          <w:szCs w:val="24"/>
          <w:lang w:eastAsia="zh-CN"/>
        </w:rPr>
        <w:t>7.3.1确定参与评标至评标结束前私自接触投标人；</w:t>
      </w:r>
      <w:bookmarkEnd w:id="248"/>
    </w:p>
    <w:p w14:paraId="6305D0C0">
      <w:pPr>
        <w:spacing w:line="360" w:lineRule="auto"/>
        <w:ind w:firstLine="480" w:firstLineChars="200"/>
        <w:rPr>
          <w:rFonts w:asciiTheme="minorEastAsia" w:hAnsiTheme="minorEastAsia" w:eastAsiaTheme="minorEastAsia" w:cstheme="minorEastAsia"/>
          <w:sz w:val="24"/>
          <w:szCs w:val="24"/>
          <w:lang w:eastAsia="zh-CN"/>
        </w:rPr>
      </w:pPr>
      <w:bookmarkStart w:id="249" w:name="_Toc82524673"/>
      <w:r>
        <w:rPr>
          <w:rFonts w:hint="eastAsia" w:asciiTheme="minorEastAsia" w:hAnsiTheme="minorEastAsia" w:eastAsiaTheme="minorEastAsia" w:cstheme="minorEastAsia"/>
          <w:sz w:val="24"/>
          <w:szCs w:val="24"/>
          <w:lang w:eastAsia="zh-CN"/>
        </w:rPr>
        <w:t>7.3.2接受投标人提出的与投标文件不一致的澄清或者说明，财政部87号令第五十一条规定的情形除外；</w:t>
      </w:r>
      <w:bookmarkEnd w:id="249"/>
    </w:p>
    <w:p w14:paraId="3C740EEB">
      <w:pPr>
        <w:spacing w:line="360" w:lineRule="auto"/>
        <w:ind w:firstLine="480" w:firstLineChars="200"/>
        <w:rPr>
          <w:rFonts w:asciiTheme="minorEastAsia" w:hAnsiTheme="minorEastAsia" w:eastAsiaTheme="minorEastAsia" w:cstheme="minorEastAsia"/>
          <w:sz w:val="24"/>
          <w:szCs w:val="24"/>
          <w:lang w:eastAsia="zh-CN"/>
        </w:rPr>
      </w:pPr>
      <w:bookmarkStart w:id="250" w:name="_Toc82524674"/>
      <w:r>
        <w:rPr>
          <w:rFonts w:hint="eastAsia" w:asciiTheme="minorEastAsia" w:hAnsiTheme="minorEastAsia" w:eastAsiaTheme="minorEastAsia" w:cstheme="minorEastAsia"/>
          <w:sz w:val="24"/>
          <w:szCs w:val="24"/>
          <w:lang w:eastAsia="zh-CN"/>
        </w:rPr>
        <w:t>7.3.3违反评标纪律发表倾向性意见或者征询采购人的倾向性意见；</w:t>
      </w:r>
      <w:bookmarkEnd w:id="250"/>
    </w:p>
    <w:p w14:paraId="24B42174">
      <w:pPr>
        <w:spacing w:line="360" w:lineRule="auto"/>
        <w:ind w:firstLine="480" w:firstLineChars="200"/>
        <w:rPr>
          <w:rFonts w:asciiTheme="minorEastAsia" w:hAnsiTheme="minorEastAsia" w:eastAsiaTheme="minorEastAsia" w:cstheme="minorEastAsia"/>
          <w:sz w:val="24"/>
          <w:szCs w:val="24"/>
          <w:lang w:eastAsia="zh-CN"/>
        </w:rPr>
      </w:pPr>
      <w:bookmarkStart w:id="251" w:name="_Toc82524675"/>
      <w:r>
        <w:rPr>
          <w:rFonts w:hint="eastAsia" w:asciiTheme="minorEastAsia" w:hAnsiTheme="minorEastAsia" w:eastAsiaTheme="minorEastAsia" w:cstheme="minorEastAsia"/>
          <w:sz w:val="24"/>
          <w:szCs w:val="24"/>
          <w:lang w:eastAsia="zh-CN"/>
        </w:rPr>
        <w:t>7.3.4对需要专业判断的主观评审因素协商评分；</w:t>
      </w:r>
      <w:bookmarkEnd w:id="251"/>
    </w:p>
    <w:p w14:paraId="1D71DDE9">
      <w:pPr>
        <w:spacing w:line="360" w:lineRule="auto"/>
        <w:ind w:firstLine="480" w:firstLineChars="200"/>
        <w:rPr>
          <w:rFonts w:asciiTheme="minorEastAsia" w:hAnsiTheme="minorEastAsia" w:eastAsiaTheme="minorEastAsia" w:cstheme="minorEastAsia"/>
          <w:sz w:val="24"/>
          <w:szCs w:val="24"/>
          <w:lang w:eastAsia="zh-CN"/>
        </w:rPr>
      </w:pPr>
      <w:bookmarkStart w:id="252" w:name="_Toc82524676"/>
      <w:r>
        <w:rPr>
          <w:rFonts w:hint="eastAsia" w:asciiTheme="minorEastAsia" w:hAnsiTheme="minorEastAsia" w:eastAsiaTheme="minorEastAsia" w:cstheme="minorEastAsia"/>
          <w:sz w:val="24"/>
          <w:szCs w:val="24"/>
          <w:lang w:eastAsia="zh-CN"/>
        </w:rPr>
        <w:t>7.3.5在评标过程中擅离职守，影响评标程序正常进行的；</w:t>
      </w:r>
      <w:bookmarkEnd w:id="252"/>
    </w:p>
    <w:p w14:paraId="1818F293">
      <w:pPr>
        <w:spacing w:line="360" w:lineRule="auto"/>
        <w:ind w:firstLine="480" w:firstLineChars="200"/>
        <w:rPr>
          <w:rFonts w:asciiTheme="minorEastAsia" w:hAnsiTheme="minorEastAsia" w:eastAsiaTheme="minorEastAsia" w:cstheme="minorEastAsia"/>
          <w:sz w:val="24"/>
          <w:szCs w:val="24"/>
          <w:lang w:eastAsia="zh-CN"/>
        </w:rPr>
      </w:pPr>
      <w:bookmarkStart w:id="253" w:name="_Toc82524677"/>
      <w:r>
        <w:rPr>
          <w:rFonts w:hint="eastAsia" w:asciiTheme="minorEastAsia" w:hAnsiTheme="minorEastAsia" w:eastAsiaTheme="minorEastAsia" w:cstheme="minorEastAsia"/>
          <w:sz w:val="24"/>
          <w:szCs w:val="24"/>
          <w:lang w:eastAsia="zh-CN"/>
        </w:rPr>
        <w:t>7.3.6录、复制或者带走任何评标资料；</w:t>
      </w:r>
      <w:bookmarkEnd w:id="253"/>
    </w:p>
    <w:p w14:paraId="55596BA4">
      <w:pPr>
        <w:spacing w:line="360" w:lineRule="auto"/>
        <w:ind w:firstLine="480" w:firstLineChars="200"/>
        <w:rPr>
          <w:rFonts w:asciiTheme="minorEastAsia" w:hAnsiTheme="minorEastAsia" w:eastAsiaTheme="minorEastAsia" w:cstheme="minorEastAsia"/>
          <w:sz w:val="24"/>
          <w:szCs w:val="24"/>
          <w:lang w:eastAsia="zh-CN"/>
        </w:rPr>
      </w:pPr>
      <w:bookmarkStart w:id="254" w:name="_Toc82524678"/>
      <w:r>
        <w:rPr>
          <w:rFonts w:hint="eastAsia" w:asciiTheme="minorEastAsia" w:hAnsiTheme="minorEastAsia" w:eastAsiaTheme="minorEastAsia" w:cstheme="minorEastAsia"/>
          <w:sz w:val="24"/>
          <w:szCs w:val="24"/>
          <w:lang w:eastAsia="zh-CN"/>
        </w:rPr>
        <w:t>7.3.7其他不遵守评标纪律的行为。</w:t>
      </w:r>
      <w:bookmarkEnd w:id="254"/>
    </w:p>
    <w:p w14:paraId="53E9176C">
      <w:pPr>
        <w:spacing w:line="360" w:lineRule="auto"/>
        <w:ind w:firstLine="480" w:firstLineChars="200"/>
        <w:rPr>
          <w:rFonts w:asciiTheme="minorEastAsia" w:hAnsiTheme="minorEastAsia" w:eastAsiaTheme="minorEastAsia" w:cstheme="minorEastAsia"/>
          <w:sz w:val="24"/>
          <w:szCs w:val="24"/>
          <w:lang w:eastAsia="zh-CN"/>
        </w:rPr>
      </w:pPr>
      <w:bookmarkStart w:id="255" w:name="_Toc82524679"/>
      <w:r>
        <w:rPr>
          <w:rFonts w:hint="eastAsia" w:asciiTheme="minorEastAsia" w:hAnsiTheme="minorEastAsia" w:eastAsiaTheme="minorEastAsia" w:cstheme="minorEastAsia"/>
          <w:sz w:val="24"/>
          <w:szCs w:val="24"/>
          <w:lang w:eastAsia="zh-CN"/>
        </w:rPr>
        <w:t>评标委员会成员有前款第一至五项行为之一的，其评审意见无效，并不得获取评审劳务报酬和报销异地评审差旅费。</w:t>
      </w:r>
      <w:bookmarkEnd w:id="255"/>
    </w:p>
    <w:p w14:paraId="3B03D185">
      <w:pPr>
        <w:spacing w:line="360" w:lineRule="auto"/>
        <w:ind w:firstLine="480" w:firstLineChars="200"/>
        <w:rPr>
          <w:rFonts w:asciiTheme="minorEastAsia" w:hAnsiTheme="minorEastAsia" w:eastAsiaTheme="minorEastAsia" w:cstheme="minorEastAsia"/>
          <w:sz w:val="24"/>
          <w:szCs w:val="24"/>
          <w:lang w:eastAsia="zh-CN"/>
        </w:rPr>
      </w:pPr>
      <w:bookmarkStart w:id="256" w:name="_Toc7339"/>
      <w:bookmarkStart w:id="257" w:name="_Toc536542084"/>
      <w:bookmarkStart w:id="258" w:name="_Toc536542646"/>
      <w:bookmarkStart w:id="259" w:name="_Toc82524680"/>
      <w:r>
        <w:rPr>
          <w:rFonts w:hint="eastAsia" w:asciiTheme="minorEastAsia" w:hAnsiTheme="minorEastAsia" w:eastAsiaTheme="minorEastAsia" w:cstheme="minorEastAsia"/>
          <w:sz w:val="24"/>
          <w:szCs w:val="24"/>
          <w:lang w:eastAsia="zh-CN"/>
        </w:rPr>
        <w:t>8.投标文件的澄清</w:t>
      </w:r>
      <w:bookmarkEnd w:id="256"/>
      <w:bookmarkEnd w:id="257"/>
      <w:bookmarkEnd w:id="258"/>
      <w:bookmarkEnd w:id="259"/>
    </w:p>
    <w:p w14:paraId="518FB6A2">
      <w:pPr>
        <w:spacing w:line="360" w:lineRule="auto"/>
        <w:ind w:firstLine="480" w:firstLineChars="200"/>
        <w:rPr>
          <w:rFonts w:asciiTheme="minorEastAsia" w:hAnsiTheme="minorEastAsia" w:eastAsiaTheme="minorEastAsia" w:cstheme="minorEastAsia"/>
          <w:sz w:val="24"/>
          <w:szCs w:val="24"/>
          <w:lang w:eastAsia="zh-CN"/>
        </w:rPr>
      </w:pPr>
      <w:bookmarkStart w:id="260" w:name="_Toc536542647"/>
      <w:bookmarkStart w:id="261" w:name="_Toc536542085"/>
      <w:bookmarkStart w:id="262" w:name="_Toc82524681"/>
      <w:r>
        <w:rPr>
          <w:rFonts w:hint="eastAsia" w:asciiTheme="minorEastAsia" w:hAnsiTheme="minorEastAsia" w:eastAsiaTheme="minorEastAsia" w:cstheme="minorEastAsia"/>
          <w:sz w:val="24"/>
          <w:szCs w:val="24"/>
          <w:lang w:eastAsia="zh-CN"/>
        </w:rPr>
        <w:t>8.1为了有助于对投标文件进行审查、评估和比较，评标委员会有权向投标人质疑，请投标人澄清其投标文件内容。投标人有责任按照代理机构通知的时间、地点指派专人进行答疑和澄清；</w:t>
      </w:r>
      <w:bookmarkEnd w:id="260"/>
      <w:bookmarkEnd w:id="261"/>
      <w:bookmarkEnd w:id="262"/>
      <w:bookmarkStart w:id="263" w:name="_Toc536542649"/>
      <w:bookmarkStart w:id="264" w:name="_Toc536542087"/>
      <w:bookmarkStart w:id="265" w:name="_Toc82524683"/>
    </w:p>
    <w:p w14:paraId="1449AC4B">
      <w:pPr>
        <w:spacing w:line="360" w:lineRule="auto"/>
        <w:ind w:firstLine="480" w:firstLineChars="200"/>
        <w:rPr>
          <w:rFonts w:asciiTheme="minorEastAsia" w:hAnsiTheme="minorEastAsia" w:eastAsiaTheme="minorEastAsia" w:cstheme="minorEastAsia"/>
          <w:sz w:val="24"/>
          <w:szCs w:val="24"/>
          <w:lang w:eastAsia="zh-CN"/>
        </w:rPr>
      </w:pPr>
      <w:bookmarkStart w:id="266" w:name="_Toc30801"/>
      <w:r>
        <w:rPr>
          <w:rFonts w:hint="eastAsia" w:asciiTheme="minorEastAsia" w:hAnsiTheme="minorEastAsia" w:eastAsiaTheme="minorEastAsia" w:cstheme="minorEastAsia"/>
          <w:sz w:val="24"/>
          <w:szCs w:val="24"/>
          <w:lang w:eastAsia="zh-CN"/>
        </w:rPr>
        <w:t>9.串通投标行为</w:t>
      </w:r>
      <w:bookmarkEnd w:id="266"/>
    </w:p>
    <w:p w14:paraId="4766AC36">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9.1投标人有以下情形之一的，视为投标人串通投标，其投标无效：</w:t>
      </w:r>
    </w:p>
    <w:p w14:paraId="72F87C1F">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9.1.1不同投标人的投标文件由同一单位或者个人编制；</w:t>
      </w:r>
    </w:p>
    <w:p w14:paraId="2BD08140">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9.1.2不同投标人委托同一单位或者个人办理投标事宜；</w:t>
      </w:r>
    </w:p>
    <w:p w14:paraId="6CC51F62">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9.1.3不同投标人的投标文件载明的项目管理成员或者联系人员为同一人；</w:t>
      </w:r>
    </w:p>
    <w:p w14:paraId="5F07688A">
      <w:pPr>
        <w:spacing w:line="360" w:lineRule="auto"/>
        <w:ind w:firstLine="480" w:firstLineChars="200"/>
        <w:rPr>
          <w:rFonts w:asciiTheme="minorEastAsia" w:hAnsiTheme="minorEastAsia" w:eastAsiaTheme="minorEastAsia" w:cstheme="minorEastAsia"/>
          <w:sz w:val="24"/>
          <w:szCs w:val="24"/>
          <w:lang w:eastAsia="zh-CN"/>
        </w:rPr>
      </w:pPr>
      <w:bookmarkStart w:id="267" w:name="_Toc82524682"/>
      <w:r>
        <w:rPr>
          <w:rFonts w:hint="eastAsia" w:asciiTheme="minorEastAsia" w:hAnsiTheme="minorEastAsia" w:eastAsiaTheme="minorEastAsia" w:cstheme="minorEastAsia"/>
          <w:sz w:val="24"/>
          <w:szCs w:val="24"/>
          <w:lang w:eastAsia="zh-CN"/>
        </w:rPr>
        <w:t>9.1.4不同投标人的“投标文件制作机器码”一致的投标单位；</w:t>
      </w:r>
      <w:bookmarkEnd w:id="267"/>
    </w:p>
    <w:p w14:paraId="65D84307">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9.1.5不同投标人的投标文件相互混装。</w:t>
      </w:r>
    </w:p>
    <w:p w14:paraId="7ABAEF83">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9.2关于河南省财政厅关于防范供应商串通投标促进政府采购公平竞争的通知，参与同一个标段（包）的供应商存在下列情形之一的，其投标（响应）文件无效：</w:t>
      </w:r>
    </w:p>
    <w:p w14:paraId="2E694EEB">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9.2.1不同供应商的电子投标（响应）文件上传计算机的网卡MAC地址、CPU序列号和硬盘序列号等硬件信息相同的；</w:t>
      </w:r>
    </w:p>
    <w:p w14:paraId="2BAAD78F">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9.2.2不同供应商的投标（响应）文件由同一电子设备编制、打印加密或者上传；</w:t>
      </w:r>
    </w:p>
    <w:p w14:paraId="5289563A">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9.2.3不同供应商的投标（响应）文件由同一电子设备打印、复印；</w:t>
      </w:r>
    </w:p>
    <w:p w14:paraId="3AAA2831">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9.2.4不同供应商的投标（响应）文件由同一人送达或者分发，或者不同供应商联系人为同一人或不同联系人的联系电话一致的；</w:t>
      </w:r>
    </w:p>
    <w:p w14:paraId="7B1F940E">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9.2.5不同供应商的投标（响应）文件的内容存在两处以上细节错误一致；</w:t>
      </w:r>
    </w:p>
    <w:p w14:paraId="27CE7968">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9.2.6不同供应商的法定代表人、委托代理人、项目经理、项目负责人等由同一个单位缴纳社会保险或者领取报酬的；</w:t>
      </w:r>
    </w:p>
    <w:p w14:paraId="7CB5CA28">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9.2.7不同供应商投标（响应）文件中法定代表人或者负责人签字出自同一人之手；</w:t>
      </w:r>
    </w:p>
    <w:p w14:paraId="184EF1B3">
      <w:pPr>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9.2.8其它涉嫌串通的情形。</w:t>
      </w:r>
    </w:p>
    <w:p w14:paraId="6C446C43">
      <w:pPr>
        <w:spacing w:line="360" w:lineRule="auto"/>
        <w:ind w:firstLine="480" w:firstLineChars="200"/>
        <w:rPr>
          <w:rFonts w:asciiTheme="minorEastAsia" w:hAnsiTheme="minorEastAsia" w:eastAsiaTheme="minorEastAsia" w:cstheme="minorEastAsia"/>
          <w:sz w:val="24"/>
          <w:szCs w:val="24"/>
          <w:lang w:eastAsia="zh-CN"/>
        </w:rPr>
      </w:pPr>
      <w:bookmarkStart w:id="268" w:name="_Toc27535"/>
      <w:r>
        <w:rPr>
          <w:rFonts w:hint="eastAsia" w:asciiTheme="minorEastAsia" w:hAnsiTheme="minorEastAsia" w:eastAsiaTheme="minorEastAsia" w:cstheme="minorEastAsia"/>
          <w:sz w:val="24"/>
          <w:szCs w:val="24"/>
          <w:lang w:eastAsia="zh-CN"/>
        </w:rPr>
        <w:t>10.评标方法</w:t>
      </w:r>
      <w:bookmarkEnd w:id="263"/>
      <w:bookmarkEnd w:id="264"/>
      <w:bookmarkEnd w:id="265"/>
      <w:bookmarkEnd w:id="268"/>
    </w:p>
    <w:p w14:paraId="602762CE">
      <w:pPr>
        <w:spacing w:line="360" w:lineRule="auto"/>
        <w:ind w:firstLine="480" w:firstLineChars="200"/>
        <w:rPr>
          <w:rFonts w:asciiTheme="minorEastAsia" w:hAnsiTheme="minorEastAsia" w:eastAsiaTheme="minorEastAsia" w:cstheme="minorEastAsia"/>
          <w:sz w:val="24"/>
          <w:szCs w:val="24"/>
          <w:lang w:eastAsia="zh-CN"/>
        </w:rPr>
      </w:pPr>
      <w:bookmarkStart w:id="269" w:name="_Toc536542088"/>
      <w:bookmarkStart w:id="270" w:name="_Toc82524684"/>
      <w:bookmarkStart w:id="271" w:name="_Toc536542650"/>
      <w:r>
        <w:rPr>
          <w:rFonts w:hint="eastAsia" w:asciiTheme="minorEastAsia" w:hAnsiTheme="minorEastAsia" w:eastAsiaTheme="minorEastAsia" w:cstheme="minorEastAsia"/>
          <w:sz w:val="24"/>
          <w:szCs w:val="24"/>
          <w:lang w:eastAsia="zh-CN"/>
        </w:rPr>
        <w:t>10.1本次招标采用综合评分法。</w:t>
      </w:r>
      <w:bookmarkEnd w:id="269"/>
      <w:bookmarkEnd w:id="270"/>
      <w:bookmarkEnd w:id="271"/>
    </w:p>
    <w:p w14:paraId="77302BD7">
      <w:pPr>
        <w:spacing w:line="360" w:lineRule="auto"/>
        <w:ind w:firstLine="480" w:firstLineChars="200"/>
        <w:rPr>
          <w:rFonts w:asciiTheme="minorEastAsia" w:hAnsiTheme="minorEastAsia" w:eastAsiaTheme="minorEastAsia" w:cstheme="minorEastAsia"/>
          <w:sz w:val="24"/>
          <w:szCs w:val="24"/>
          <w:lang w:eastAsia="zh-CN"/>
        </w:rPr>
      </w:pPr>
      <w:bookmarkStart w:id="272" w:name="_Toc536542089"/>
      <w:bookmarkStart w:id="273" w:name="_Toc82524685"/>
      <w:bookmarkStart w:id="274" w:name="_Toc536542651"/>
      <w:r>
        <w:rPr>
          <w:rFonts w:hint="eastAsia" w:asciiTheme="minorEastAsia" w:hAnsiTheme="minorEastAsia" w:eastAsiaTheme="minorEastAsia" w:cstheme="minorEastAsia"/>
          <w:sz w:val="24"/>
          <w:szCs w:val="24"/>
          <w:lang w:eastAsia="zh-CN"/>
        </w:rPr>
        <w:t>10.2出现下列情况将会导致投标文件无效。</w:t>
      </w:r>
      <w:bookmarkEnd w:id="272"/>
      <w:bookmarkEnd w:id="273"/>
      <w:bookmarkEnd w:id="274"/>
    </w:p>
    <w:p w14:paraId="1A794535">
      <w:pPr>
        <w:spacing w:line="360" w:lineRule="auto"/>
        <w:ind w:firstLine="480" w:firstLineChars="200"/>
        <w:rPr>
          <w:rFonts w:asciiTheme="minorEastAsia" w:hAnsiTheme="minorEastAsia" w:eastAsiaTheme="minorEastAsia" w:cstheme="minorEastAsia"/>
          <w:sz w:val="24"/>
          <w:szCs w:val="24"/>
          <w:lang w:eastAsia="zh-CN"/>
        </w:rPr>
      </w:pPr>
      <w:bookmarkStart w:id="275" w:name="_Toc82524686"/>
      <w:bookmarkStart w:id="276" w:name="_Toc536542654"/>
      <w:bookmarkStart w:id="277" w:name="_Toc536542092"/>
      <w:r>
        <w:rPr>
          <w:rFonts w:hint="eastAsia" w:asciiTheme="minorEastAsia" w:hAnsiTheme="minorEastAsia" w:eastAsiaTheme="minorEastAsia" w:cstheme="minorEastAsia"/>
          <w:sz w:val="24"/>
          <w:szCs w:val="24"/>
          <w:lang w:eastAsia="zh-CN"/>
        </w:rPr>
        <w:t>10.2.1不具备招标文件中规定的资格要求的。</w:t>
      </w:r>
      <w:bookmarkEnd w:id="275"/>
      <w:bookmarkEnd w:id="276"/>
      <w:bookmarkEnd w:id="277"/>
    </w:p>
    <w:p w14:paraId="62323E4C">
      <w:pPr>
        <w:spacing w:line="360" w:lineRule="auto"/>
        <w:ind w:firstLine="480" w:firstLineChars="200"/>
        <w:rPr>
          <w:rFonts w:asciiTheme="minorEastAsia" w:hAnsiTheme="minorEastAsia" w:eastAsiaTheme="minorEastAsia" w:cstheme="minorEastAsia"/>
          <w:sz w:val="24"/>
          <w:szCs w:val="24"/>
          <w:lang w:eastAsia="zh-CN"/>
        </w:rPr>
      </w:pPr>
      <w:bookmarkStart w:id="278" w:name="_Toc82524687"/>
      <w:bookmarkStart w:id="279" w:name="_Toc536542655"/>
      <w:bookmarkStart w:id="280" w:name="_Toc536542093"/>
      <w:r>
        <w:rPr>
          <w:rFonts w:hint="eastAsia" w:asciiTheme="minorEastAsia" w:hAnsiTheme="minorEastAsia" w:eastAsiaTheme="minorEastAsia" w:cstheme="minorEastAsia"/>
          <w:sz w:val="24"/>
          <w:szCs w:val="24"/>
          <w:lang w:eastAsia="zh-CN"/>
        </w:rPr>
        <w:t>10.2.2报价超过招标文件中规定的预算金额或者最高限价的。</w:t>
      </w:r>
      <w:bookmarkEnd w:id="278"/>
      <w:bookmarkEnd w:id="279"/>
      <w:bookmarkEnd w:id="280"/>
    </w:p>
    <w:p w14:paraId="623D274F">
      <w:pPr>
        <w:spacing w:line="360" w:lineRule="auto"/>
        <w:ind w:firstLine="480" w:firstLineChars="200"/>
        <w:rPr>
          <w:rFonts w:asciiTheme="minorEastAsia" w:hAnsiTheme="minorEastAsia" w:eastAsiaTheme="minorEastAsia" w:cstheme="minorEastAsia"/>
          <w:sz w:val="24"/>
          <w:szCs w:val="24"/>
          <w:lang w:eastAsia="zh-CN"/>
        </w:rPr>
      </w:pPr>
      <w:bookmarkStart w:id="281" w:name="_Toc82524688"/>
      <w:bookmarkStart w:id="282" w:name="_Toc536542094"/>
      <w:bookmarkStart w:id="283" w:name="_Toc536542656"/>
      <w:r>
        <w:rPr>
          <w:rFonts w:hint="eastAsia" w:asciiTheme="minorEastAsia" w:hAnsiTheme="minorEastAsia" w:eastAsiaTheme="minorEastAsia" w:cstheme="minorEastAsia"/>
          <w:sz w:val="24"/>
          <w:szCs w:val="24"/>
          <w:lang w:eastAsia="zh-CN"/>
        </w:rPr>
        <w:t>10.2.3投标文件含有采购人不能接受的附加条件的。</w:t>
      </w:r>
      <w:bookmarkEnd w:id="281"/>
      <w:bookmarkEnd w:id="282"/>
      <w:bookmarkEnd w:id="283"/>
    </w:p>
    <w:p w14:paraId="5E6697C2">
      <w:pPr>
        <w:spacing w:line="360" w:lineRule="auto"/>
        <w:ind w:firstLine="480" w:firstLineChars="200"/>
        <w:rPr>
          <w:rFonts w:asciiTheme="minorEastAsia" w:hAnsiTheme="minorEastAsia" w:eastAsiaTheme="minorEastAsia" w:cstheme="minorEastAsia"/>
          <w:sz w:val="24"/>
          <w:szCs w:val="24"/>
          <w:lang w:eastAsia="zh-CN"/>
        </w:rPr>
      </w:pPr>
      <w:bookmarkStart w:id="284" w:name="_Toc536542095"/>
      <w:bookmarkStart w:id="285" w:name="_Toc536542657"/>
      <w:bookmarkStart w:id="286" w:name="_Toc82524689"/>
      <w:r>
        <w:rPr>
          <w:rFonts w:hint="eastAsia" w:asciiTheme="minorEastAsia" w:hAnsiTheme="minorEastAsia" w:eastAsiaTheme="minorEastAsia" w:cstheme="minorEastAsia"/>
          <w:sz w:val="24"/>
          <w:szCs w:val="24"/>
          <w:lang w:eastAsia="zh-CN"/>
        </w:rPr>
        <w:t>10.2.4法律、法规和招标文件规定的其他无效情形。</w:t>
      </w:r>
      <w:bookmarkEnd w:id="284"/>
      <w:bookmarkEnd w:id="285"/>
      <w:bookmarkEnd w:id="286"/>
    </w:p>
    <w:p w14:paraId="74BA879F">
      <w:pPr>
        <w:spacing w:line="360" w:lineRule="auto"/>
        <w:ind w:firstLine="480" w:firstLineChars="200"/>
        <w:rPr>
          <w:rFonts w:asciiTheme="minorEastAsia" w:hAnsiTheme="minorEastAsia" w:eastAsiaTheme="minorEastAsia" w:cstheme="minorEastAsia"/>
          <w:sz w:val="24"/>
          <w:szCs w:val="24"/>
          <w:lang w:eastAsia="zh-CN"/>
        </w:rPr>
      </w:pPr>
      <w:bookmarkStart w:id="287" w:name="_Toc82524690"/>
      <w:bookmarkStart w:id="288" w:name="_Toc10166"/>
      <w:bookmarkStart w:id="289" w:name="_Toc536542658"/>
      <w:bookmarkStart w:id="290" w:name="_Toc536542096"/>
      <w:r>
        <w:rPr>
          <w:rFonts w:hint="eastAsia" w:asciiTheme="minorEastAsia" w:hAnsiTheme="minorEastAsia" w:eastAsiaTheme="minorEastAsia" w:cstheme="minorEastAsia"/>
          <w:sz w:val="24"/>
          <w:szCs w:val="24"/>
          <w:lang w:eastAsia="zh-CN"/>
        </w:rPr>
        <w:t>11.评标原则</w:t>
      </w:r>
      <w:bookmarkEnd w:id="287"/>
      <w:bookmarkEnd w:id="288"/>
      <w:bookmarkEnd w:id="289"/>
      <w:bookmarkEnd w:id="290"/>
    </w:p>
    <w:p w14:paraId="18FF8E87">
      <w:pPr>
        <w:spacing w:line="360" w:lineRule="auto"/>
        <w:ind w:firstLine="480" w:firstLineChars="200"/>
        <w:rPr>
          <w:rFonts w:asciiTheme="minorEastAsia" w:hAnsiTheme="minorEastAsia" w:eastAsiaTheme="minorEastAsia" w:cstheme="minorEastAsia"/>
          <w:sz w:val="24"/>
          <w:szCs w:val="24"/>
          <w:lang w:eastAsia="zh-CN"/>
        </w:rPr>
      </w:pPr>
      <w:bookmarkStart w:id="291" w:name="_Toc536542659"/>
      <w:bookmarkStart w:id="292" w:name="_Toc82524691"/>
      <w:bookmarkStart w:id="293" w:name="_Toc536542097"/>
      <w:r>
        <w:rPr>
          <w:rFonts w:hint="eastAsia" w:asciiTheme="minorEastAsia" w:hAnsiTheme="minorEastAsia" w:eastAsiaTheme="minorEastAsia" w:cstheme="minorEastAsia"/>
          <w:sz w:val="24"/>
          <w:szCs w:val="24"/>
          <w:lang w:eastAsia="zh-CN"/>
        </w:rPr>
        <w:t>11.1遵循国家有关法律、法规；</w:t>
      </w:r>
      <w:bookmarkEnd w:id="291"/>
      <w:bookmarkEnd w:id="292"/>
      <w:bookmarkEnd w:id="293"/>
    </w:p>
    <w:p w14:paraId="12B778EF">
      <w:pPr>
        <w:spacing w:line="360" w:lineRule="auto"/>
        <w:ind w:firstLine="480" w:firstLineChars="200"/>
        <w:rPr>
          <w:rFonts w:asciiTheme="minorEastAsia" w:hAnsiTheme="minorEastAsia" w:eastAsiaTheme="minorEastAsia" w:cstheme="minorEastAsia"/>
          <w:sz w:val="24"/>
          <w:szCs w:val="24"/>
          <w:lang w:eastAsia="zh-CN"/>
        </w:rPr>
      </w:pPr>
      <w:bookmarkStart w:id="294" w:name="_Toc536542660"/>
      <w:bookmarkStart w:id="295" w:name="_Toc82524692"/>
      <w:bookmarkStart w:id="296" w:name="_Toc536542098"/>
      <w:r>
        <w:rPr>
          <w:rFonts w:hint="eastAsia" w:asciiTheme="minorEastAsia" w:hAnsiTheme="minorEastAsia" w:eastAsiaTheme="minorEastAsia" w:cstheme="minorEastAsia"/>
          <w:sz w:val="24"/>
          <w:szCs w:val="24"/>
          <w:lang w:eastAsia="zh-CN"/>
        </w:rPr>
        <w:t>11.2保护采购方的合法利益；</w:t>
      </w:r>
      <w:bookmarkEnd w:id="294"/>
      <w:bookmarkEnd w:id="295"/>
      <w:bookmarkEnd w:id="296"/>
    </w:p>
    <w:p w14:paraId="3B19AD5E">
      <w:pPr>
        <w:spacing w:line="360" w:lineRule="auto"/>
        <w:ind w:firstLine="480" w:firstLineChars="200"/>
        <w:rPr>
          <w:rFonts w:asciiTheme="minorEastAsia" w:hAnsiTheme="minorEastAsia" w:eastAsiaTheme="minorEastAsia" w:cstheme="minorEastAsia"/>
          <w:sz w:val="24"/>
          <w:szCs w:val="24"/>
          <w:lang w:eastAsia="zh-CN"/>
        </w:rPr>
      </w:pPr>
      <w:bookmarkStart w:id="297" w:name="_Toc536542661"/>
      <w:bookmarkStart w:id="298" w:name="_Toc536542099"/>
      <w:bookmarkStart w:id="299" w:name="_Toc82524693"/>
      <w:r>
        <w:rPr>
          <w:rFonts w:hint="eastAsia" w:asciiTheme="minorEastAsia" w:hAnsiTheme="minorEastAsia" w:eastAsiaTheme="minorEastAsia" w:cstheme="minorEastAsia"/>
          <w:sz w:val="24"/>
          <w:szCs w:val="24"/>
          <w:lang w:eastAsia="zh-CN"/>
        </w:rPr>
        <w:t>11.3坚持公开、公平、公正地对待所有投标人；</w:t>
      </w:r>
      <w:bookmarkEnd w:id="297"/>
      <w:bookmarkEnd w:id="298"/>
      <w:bookmarkEnd w:id="299"/>
    </w:p>
    <w:p w14:paraId="47533EB4">
      <w:pPr>
        <w:spacing w:line="360" w:lineRule="auto"/>
        <w:ind w:firstLine="480" w:firstLineChars="200"/>
        <w:rPr>
          <w:rFonts w:asciiTheme="minorEastAsia" w:hAnsiTheme="minorEastAsia" w:eastAsiaTheme="minorEastAsia" w:cstheme="minorEastAsia"/>
          <w:sz w:val="24"/>
          <w:szCs w:val="24"/>
          <w:lang w:eastAsia="zh-CN"/>
        </w:rPr>
      </w:pPr>
      <w:bookmarkStart w:id="300" w:name="_Toc82524694"/>
      <w:bookmarkStart w:id="301" w:name="_Toc536542662"/>
      <w:bookmarkStart w:id="302" w:name="_Toc536542100"/>
      <w:r>
        <w:rPr>
          <w:rFonts w:hint="eastAsia" w:asciiTheme="minorEastAsia" w:hAnsiTheme="minorEastAsia" w:eastAsiaTheme="minorEastAsia" w:cstheme="minorEastAsia"/>
          <w:sz w:val="24"/>
          <w:szCs w:val="24"/>
          <w:lang w:eastAsia="zh-CN"/>
        </w:rPr>
        <w:t>11.4以招标文件作为评标的基本依据；</w:t>
      </w:r>
      <w:bookmarkEnd w:id="300"/>
      <w:bookmarkEnd w:id="301"/>
      <w:bookmarkEnd w:id="302"/>
    </w:p>
    <w:p w14:paraId="24378EE2">
      <w:pPr>
        <w:spacing w:line="360" w:lineRule="auto"/>
        <w:ind w:firstLine="480" w:firstLineChars="200"/>
        <w:rPr>
          <w:rFonts w:asciiTheme="minorEastAsia" w:hAnsiTheme="minorEastAsia" w:eastAsiaTheme="minorEastAsia" w:cstheme="minorEastAsia"/>
          <w:sz w:val="24"/>
          <w:szCs w:val="24"/>
          <w:lang w:eastAsia="zh-CN"/>
        </w:rPr>
      </w:pPr>
      <w:bookmarkStart w:id="303" w:name="_Toc82524695"/>
      <w:bookmarkStart w:id="304" w:name="_Toc536542663"/>
      <w:bookmarkStart w:id="305" w:name="_Toc536542101"/>
      <w:r>
        <w:rPr>
          <w:rFonts w:hint="eastAsia" w:asciiTheme="minorEastAsia" w:hAnsiTheme="minorEastAsia" w:eastAsiaTheme="minorEastAsia" w:cstheme="minorEastAsia"/>
          <w:sz w:val="24"/>
          <w:szCs w:val="24"/>
          <w:lang w:eastAsia="zh-CN"/>
        </w:rPr>
        <w:t>11.5评标委员会将按同一程序及方法评价每一位投标人的投标文件；</w:t>
      </w:r>
      <w:bookmarkEnd w:id="303"/>
      <w:bookmarkEnd w:id="304"/>
      <w:bookmarkEnd w:id="305"/>
    </w:p>
    <w:p w14:paraId="6BEF9E23">
      <w:pPr>
        <w:spacing w:line="360" w:lineRule="auto"/>
        <w:ind w:firstLine="480" w:firstLineChars="200"/>
        <w:rPr>
          <w:rFonts w:asciiTheme="minorEastAsia" w:hAnsiTheme="minorEastAsia" w:eastAsiaTheme="minorEastAsia" w:cstheme="minorEastAsia"/>
          <w:sz w:val="24"/>
          <w:szCs w:val="24"/>
          <w:lang w:eastAsia="zh-CN"/>
        </w:rPr>
      </w:pPr>
      <w:bookmarkStart w:id="306" w:name="_Toc536542664"/>
      <w:bookmarkStart w:id="307" w:name="_Toc82524696"/>
      <w:bookmarkStart w:id="308" w:name="_Toc536542102"/>
      <w:r>
        <w:rPr>
          <w:rFonts w:hint="eastAsia" w:asciiTheme="minorEastAsia" w:hAnsiTheme="minorEastAsia" w:eastAsiaTheme="minorEastAsia" w:cstheme="minorEastAsia"/>
          <w:sz w:val="24"/>
          <w:szCs w:val="24"/>
          <w:lang w:eastAsia="zh-CN"/>
        </w:rPr>
        <w:t>11.6实行一次性报价原则，开标后拒绝修改报价。</w:t>
      </w:r>
      <w:bookmarkEnd w:id="306"/>
      <w:bookmarkEnd w:id="307"/>
      <w:bookmarkEnd w:id="308"/>
    </w:p>
    <w:p w14:paraId="7BBDCF81">
      <w:pPr>
        <w:spacing w:line="360" w:lineRule="auto"/>
        <w:ind w:firstLine="480" w:firstLineChars="200"/>
        <w:rPr>
          <w:rFonts w:asciiTheme="minorEastAsia" w:hAnsiTheme="minorEastAsia" w:eastAsiaTheme="minorEastAsia" w:cstheme="minorEastAsia"/>
          <w:b/>
          <w:sz w:val="24"/>
          <w:szCs w:val="24"/>
          <w:lang w:eastAsia="zh-CN"/>
        </w:rPr>
      </w:pPr>
      <w:bookmarkStart w:id="309" w:name="_Toc536542665"/>
      <w:bookmarkStart w:id="310" w:name="_Toc30796"/>
      <w:bookmarkStart w:id="311" w:name="_Toc536542103"/>
      <w:bookmarkStart w:id="312" w:name="_Toc82524697"/>
      <w:r>
        <w:rPr>
          <w:rFonts w:hint="eastAsia" w:asciiTheme="minorEastAsia" w:hAnsiTheme="minorEastAsia" w:eastAsiaTheme="minorEastAsia" w:cstheme="minorEastAsia"/>
          <w:sz w:val="24"/>
          <w:szCs w:val="24"/>
          <w:lang w:eastAsia="zh-CN"/>
        </w:rPr>
        <w:t>12.评标程序</w:t>
      </w:r>
      <w:bookmarkEnd w:id="309"/>
      <w:bookmarkEnd w:id="310"/>
      <w:bookmarkEnd w:id="311"/>
      <w:bookmarkEnd w:id="312"/>
    </w:p>
    <w:p w14:paraId="34EE601A">
      <w:pPr>
        <w:spacing w:line="360" w:lineRule="auto"/>
        <w:ind w:firstLine="480" w:firstLineChars="200"/>
        <w:rPr>
          <w:rFonts w:asciiTheme="minorEastAsia" w:hAnsiTheme="minorEastAsia" w:eastAsiaTheme="minorEastAsia" w:cstheme="minorEastAsia"/>
          <w:sz w:val="24"/>
          <w:szCs w:val="24"/>
          <w:lang w:eastAsia="zh-CN"/>
        </w:rPr>
      </w:pPr>
      <w:bookmarkStart w:id="313" w:name="_Toc82524698"/>
      <w:bookmarkStart w:id="314" w:name="_Toc536542104"/>
      <w:bookmarkStart w:id="315" w:name="_Toc536542666"/>
      <w:r>
        <w:rPr>
          <w:rFonts w:hint="eastAsia" w:asciiTheme="minorEastAsia" w:hAnsiTheme="minorEastAsia" w:eastAsiaTheme="minorEastAsia" w:cstheme="minorEastAsia"/>
          <w:sz w:val="24"/>
          <w:szCs w:val="24"/>
          <w:lang w:eastAsia="zh-CN"/>
        </w:rPr>
        <w:t>12.1投标文件的初审。</w:t>
      </w:r>
      <w:bookmarkEnd w:id="313"/>
      <w:bookmarkEnd w:id="314"/>
      <w:bookmarkEnd w:id="315"/>
    </w:p>
    <w:p w14:paraId="0B3ED194">
      <w:pPr>
        <w:spacing w:line="360" w:lineRule="auto"/>
        <w:ind w:firstLine="480" w:firstLineChars="200"/>
        <w:rPr>
          <w:rFonts w:asciiTheme="minorEastAsia" w:hAnsiTheme="minorEastAsia" w:eastAsiaTheme="minorEastAsia" w:cstheme="minorEastAsia"/>
          <w:sz w:val="24"/>
          <w:szCs w:val="24"/>
          <w:lang w:eastAsia="zh-CN"/>
        </w:rPr>
      </w:pPr>
      <w:bookmarkStart w:id="316" w:name="_Toc536542105"/>
      <w:bookmarkStart w:id="317" w:name="_Toc536542667"/>
      <w:bookmarkStart w:id="318" w:name="_Toc82524699"/>
      <w:r>
        <w:rPr>
          <w:rFonts w:hint="eastAsia" w:asciiTheme="minorEastAsia" w:hAnsiTheme="minorEastAsia" w:eastAsiaTheme="minorEastAsia" w:cstheme="minorEastAsia"/>
          <w:sz w:val="24"/>
          <w:szCs w:val="24"/>
          <w:lang w:eastAsia="zh-CN"/>
        </w:rPr>
        <w:t>12.1.1资格性审查。根据《政府采购货物和服务招标投标管理办法（财政部第87号令）》第四十四条公开招标采购项目开标结束后，采购人或者采购代理机构应当依法对投标人的资格进行审查；</w:t>
      </w:r>
      <w:bookmarkEnd w:id="316"/>
      <w:bookmarkEnd w:id="317"/>
      <w:bookmarkEnd w:id="318"/>
    </w:p>
    <w:p w14:paraId="461F67B6">
      <w:pPr>
        <w:spacing w:line="360" w:lineRule="auto"/>
        <w:ind w:firstLine="480" w:firstLineChars="200"/>
        <w:rPr>
          <w:rFonts w:asciiTheme="minorEastAsia" w:hAnsiTheme="minorEastAsia" w:eastAsiaTheme="minorEastAsia" w:cstheme="minorEastAsia"/>
          <w:sz w:val="24"/>
          <w:szCs w:val="24"/>
          <w:lang w:eastAsia="zh-CN"/>
        </w:rPr>
      </w:pPr>
      <w:bookmarkStart w:id="319" w:name="_Toc536542106"/>
      <w:bookmarkStart w:id="320" w:name="_Toc536542668"/>
      <w:bookmarkStart w:id="321" w:name="_Toc82524700"/>
      <w:r>
        <w:rPr>
          <w:rFonts w:hint="eastAsia" w:asciiTheme="minorEastAsia" w:hAnsiTheme="minorEastAsia" w:eastAsiaTheme="minorEastAsia" w:cstheme="minorEastAsia"/>
          <w:sz w:val="24"/>
          <w:szCs w:val="24"/>
          <w:lang w:eastAsia="zh-CN"/>
        </w:rPr>
        <w:t>12.1.2符合性审查。依据招标文件规定，评标委员会从投标文件的有效性、完整性和对招标文件的响应程度等进行审查，以确定是否对招标文件的实质性要求作出响应</w:t>
      </w:r>
      <w:bookmarkEnd w:id="319"/>
      <w:bookmarkEnd w:id="320"/>
      <w:bookmarkEnd w:id="321"/>
      <w:r>
        <w:rPr>
          <w:rFonts w:hint="eastAsia" w:asciiTheme="minorEastAsia" w:hAnsiTheme="minorEastAsia" w:eastAsiaTheme="minorEastAsia" w:cstheme="minorEastAsia"/>
          <w:sz w:val="24"/>
          <w:szCs w:val="24"/>
          <w:lang w:eastAsia="zh-CN"/>
        </w:rPr>
        <w:t>；</w:t>
      </w:r>
    </w:p>
    <w:p w14:paraId="1A9812FD">
      <w:pPr>
        <w:spacing w:line="360" w:lineRule="auto"/>
        <w:ind w:firstLine="480" w:firstLineChars="200"/>
        <w:rPr>
          <w:rFonts w:asciiTheme="minorEastAsia" w:hAnsiTheme="minorEastAsia" w:eastAsiaTheme="minorEastAsia" w:cstheme="minorEastAsia"/>
          <w:sz w:val="24"/>
          <w:szCs w:val="24"/>
          <w:lang w:eastAsia="zh-CN"/>
        </w:rPr>
      </w:pPr>
      <w:bookmarkStart w:id="322" w:name="_Toc536542669"/>
      <w:bookmarkStart w:id="323" w:name="_Toc536542107"/>
      <w:bookmarkStart w:id="324" w:name="_Toc82524701"/>
      <w:r>
        <w:rPr>
          <w:rFonts w:hint="eastAsia" w:asciiTheme="minorEastAsia" w:hAnsiTheme="minorEastAsia" w:eastAsiaTheme="minorEastAsia" w:cstheme="minorEastAsia"/>
          <w:sz w:val="24"/>
          <w:szCs w:val="24"/>
          <w:lang w:eastAsia="zh-CN"/>
        </w:rPr>
        <w:t>12.2比较与评价。按照招标文件中规定的评标方法和标准，评标委员会对资格性检查和符合性检查合格的投标文件进行商务和技术评审，综合比较与评价；</w:t>
      </w:r>
      <w:bookmarkEnd w:id="322"/>
      <w:bookmarkEnd w:id="323"/>
      <w:bookmarkEnd w:id="324"/>
    </w:p>
    <w:p w14:paraId="320A007E">
      <w:pPr>
        <w:spacing w:line="360" w:lineRule="auto"/>
        <w:ind w:firstLine="480" w:firstLineChars="200"/>
        <w:rPr>
          <w:rFonts w:asciiTheme="minorEastAsia" w:hAnsiTheme="minorEastAsia" w:eastAsiaTheme="minorEastAsia" w:cstheme="minorEastAsia"/>
          <w:sz w:val="24"/>
          <w:szCs w:val="24"/>
          <w:lang w:eastAsia="zh-CN"/>
        </w:rPr>
      </w:pPr>
      <w:bookmarkStart w:id="325" w:name="_Toc536542108"/>
      <w:bookmarkStart w:id="326" w:name="_Toc536542670"/>
      <w:bookmarkStart w:id="327" w:name="_Toc82524702"/>
      <w:r>
        <w:rPr>
          <w:rFonts w:hint="eastAsia" w:asciiTheme="minorEastAsia" w:hAnsiTheme="minorEastAsia" w:eastAsiaTheme="minorEastAsia" w:cstheme="minorEastAsia"/>
          <w:sz w:val="24"/>
          <w:szCs w:val="24"/>
          <w:lang w:eastAsia="zh-CN"/>
        </w:rPr>
        <w:t>12.3评标委员会推荐出中标侯选人名单并编写评标报告，所有评标委员会成员必须签字。</w:t>
      </w:r>
      <w:bookmarkEnd w:id="325"/>
      <w:bookmarkEnd w:id="326"/>
      <w:bookmarkEnd w:id="327"/>
    </w:p>
    <w:p w14:paraId="3803B138">
      <w:pPr>
        <w:spacing w:line="360" w:lineRule="auto"/>
        <w:ind w:firstLine="480" w:firstLineChars="200"/>
        <w:rPr>
          <w:rFonts w:asciiTheme="minorEastAsia" w:hAnsiTheme="minorEastAsia" w:eastAsiaTheme="minorEastAsia" w:cstheme="minorEastAsia"/>
          <w:sz w:val="24"/>
          <w:szCs w:val="24"/>
          <w:lang w:eastAsia="zh-CN"/>
        </w:rPr>
      </w:pPr>
      <w:bookmarkStart w:id="328" w:name="_Toc82524703"/>
      <w:r>
        <w:rPr>
          <w:rFonts w:hint="eastAsia" w:asciiTheme="minorEastAsia" w:hAnsiTheme="minorEastAsia" w:eastAsiaTheme="minorEastAsia" w:cstheme="minorEastAsia"/>
          <w:sz w:val="24"/>
          <w:szCs w:val="24"/>
          <w:lang w:eastAsia="zh-CN"/>
        </w:rPr>
        <w:t>12.4评标结果汇总完成后，除下列情形外，任何人不得修改评标结果：</w:t>
      </w:r>
      <w:bookmarkEnd w:id="328"/>
    </w:p>
    <w:p w14:paraId="4743D828">
      <w:pPr>
        <w:spacing w:line="360" w:lineRule="auto"/>
        <w:ind w:firstLine="480" w:firstLineChars="200"/>
        <w:rPr>
          <w:rFonts w:asciiTheme="minorEastAsia" w:hAnsiTheme="minorEastAsia" w:eastAsiaTheme="minorEastAsia" w:cstheme="minorEastAsia"/>
          <w:sz w:val="24"/>
          <w:szCs w:val="24"/>
          <w:lang w:eastAsia="zh-CN"/>
        </w:rPr>
      </w:pPr>
      <w:bookmarkStart w:id="329" w:name="_Toc82524704"/>
      <w:r>
        <w:rPr>
          <w:rFonts w:hint="eastAsia" w:asciiTheme="minorEastAsia" w:hAnsiTheme="minorEastAsia" w:eastAsiaTheme="minorEastAsia" w:cstheme="minorEastAsia"/>
          <w:sz w:val="24"/>
          <w:szCs w:val="24"/>
          <w:lang w:eastAsia="zh-CN"/>
        </w:rPr>
        <w:t>12.4.1分值汇总计算错误的；</w:t>
      </w:r>
      <w:bookmarkEnd w:id="329"/>
    </w:p>
    <w:p w14:paraId="0309957A">
      <w:pPr>
        <w:spacing w:line="360" w:lineRule="auto"/>
        <w:ind w:firstLine="480" w:firstLineChars="200"/>
        <w:rPr>
          <w:rFonts w:asciiTheme="minorEastAsia" w:hAnsiTheme="minorEastAsia" w:eastAsiaTheme="minorEastAsia" w:cstheme="minorEastAsia"/>
          <w:sz w:val="24"/>
          <w:szCs w:val="24"/>
          <w:lang w:eastAsia="zh-CN"/>
        </w:rPr>
      </w:pPr>
      <w:bookmarkStart w:id="330" w:name="_Toc82524705"/>
      <w:r>
        <w:rPr>
          <w:rFonts w:hint="eastAsia" w:asciiTheme="minorEastAsia" w:hAnsiTheme="minorEastAsia" w:eastAsiaTheme="minorEastAsia" w:cstheme="minorEastAsia"/>
          <w:sz w:val="24"/>
          <w:szCs w:val="24"/>
          <w:lang w:eastAsia="zh-CN"/>
        </w:rPr>
        <w:t>12.4.2分项评分超出评分标准范围的；</w:t>
      </w:r>
      <w:bookmarkEnd w:id="330"/>
    </w:p>
    <w:p w14:paraId="09EEE408">
      <w:pPr>
        <w:spacing w:line="360" w:lineRule="auto"/>
        <w:ind w:firstLine="480" w:firstLineChars="200"/>
        <w:rPr>
          <w:rFonts w:asciiTheme="minorEastAsia" w:hAnsiTheme="minorEastAsia" w:eastAsiaTheme="minorEastAsia" w:cstheme="minorEastAsia"/>
          <w:sz w:val="24"/>
          <w:szCs w:val="24"/>
          <w:lang w:eastAsia="zh-CN"/>
        </w:rPr>
      </w:pPr>
      <w:bookmarkStart w:id="331" w:name="_Toc82524706"/>
      <w:r>
        <w:rPr>
          <w:rFonts w:hint="eastAsia" w:asciiTheme="minorEastAsia" w:hAnsiTheme="minorEastAsia" w:eastAsiaTheme="minorEastAsia" w:cstheme="minorEastAsia"/>
          <w:sz w:val="24"/>
          <w:szCs w:val="24"/>
          <w:lang w:eastAsia="zh-CN"/>
        </w:rPr>
        <w:t>12.4.3评标委员会成员对客观评审因素评分不一致的；</w:t>
      </w:r>
      <w:bookmarkEnd w:id="331"/>
    </w:p>
    <w:p w14:paraId="27ABDA6B">
      <w:pPr>
        <w:spacing w:line="360" w:lineRule="auto"/>
        <w:ind w:firstLine="480" w:firstLineChars="200"/>
        <w:rPr>
          <w:rFonts w:asciiTheme="minorEastAsia" w:hAnsiTheme="minorEastAsia" w:eastAsiaTheme="minorEastAsia" w:cstheme="minorEastAsia"/>
          <w:sz w:val="24"/>
          <w:szCs w:val="24"/>
          <w:lang w:eastAsia="zh-CN"/>
        </w:rPr>
      </w:pPr>
      <w:bookmarkStart w:id="332" w:name="_Toc82524707"/>
      <w:r>
        <w:rPr>
          <w:rFonts w:hint="eastAsia" w:asciiTheme="minorEastAsia" w:hAnsiTheme="minorEastAsia" w:eastAsiaTheme="minorEastAsia" w:cstheme="minorEastAsia"/>
          <w:sz w:val="24"/>
          <w:szCs w:val="24"/>
          <w:lang w:eastAsia="zh-CN"/>
        </w:rPr>
        <w:t>12.4.4经评标委员会认定评分畸高、畸低的。</w:t>
      </w:r>
      <w:bookmarkEnd w:id="332"/>
    </w:p>
    <w:p w14:paraId="4372B3E9">
      <w:pPr>
        <w:spacing w:line="360" w:lineRule="auto"/>
        <w:ind w:firstLine="480" w:firstLineChars="200"/>
        <w:rPr>
          <w:rFonts w:asciiTheme="minorEastAsia" w:hAnsiTheme="minorEastAsia" w:eastAsiaTheme="minorEastAsia" w:cstheme="minorEastAsia"/>
          <w:sz w:val="24"/>
          <w:szCs w:val="24"/>
          <w:lang w:eastAsia="zh-CN"/>
        </w:rPr>
      </w:pPr>
      <w:bookmarkStart w:id="333" w:name="_Toc82524708"/>
      <w:r>
        <w:rPr>
          <w:rFonts w:hint="eastAsia" w:asciiTheme="minorEastAsia" w:hAnsiTheme="minorEastAsia" w:eastAsiaTheme="minorEastAsia" w:cstheme="minorEastAsia"/>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bookmarkEnd w:id="333"/>
    </w:p>
    <w:p w14:paraId="3097B26B">
      <w:pPr>
        <w:spacing w:line="360" w:lineRule="auto"/>
        <w:ind w:firstLine="480" w:firstLineChars="200"/>
        <w:rPr>
          <w:rFonts w:asciiTheme="minorEastAsia" w:hAnsiTheme="minorEastAsia" w:eastAsiaTheme="minorEastAsia" w:cstheme="minorEastAsia"/>
          <w:sz w:val="24"/>
          <w:szCs w:val="24"/>
          <w:lang w:eastAsia="zh-CN"/>
        </w:rPr>
      </w:pPr>
      <w:bookmarkStart w:id="334" w:name="_Toc82524709"/>
      <w:r>
        <w:rPr>
          <w:rFonts w:hint="eastAsia" w:asciiTheme="minorEastAsia" w:hAnsiTheme="minorEastAsia" w:eastAsiaTheme="minorEastAsia" w:cstheme="minorEastAsia"/>
          <w:sz w:val="24"/>
          <w:szCs w:val="24"/>
          <w:lang w:eastAsia="zh-CN"/>
        </w:rPr>
        <w:t>投标人对本条第一款情形提出质疑的，采购人或者采购代理机构可以组织原评标委员会进行重新评审，重新评审改变评标结果的，应当书面报告本级财政部门。</w:t>
      </w:r>
      <w:bookmarkEnd w:id="334"/>
    </w:p>
    <w:p w14:paraId="149D38F4">
      <w:pPr>
        <w:spacing w:line="360" w:lineRule="auto"/>
        <w:ind w:firstLine="480" w:firstLineChars="200"/>
        <w:rPr>
          <w:rFonts w:asciiTheme="minorEastAsia" w:hAnsiTheme="minorEastAsia" w:eastAsiaTheme="minorEastAsia" w:cstheme="minorEastAsia"/>
          <w:sz w:val="24"/>
          <w:szCs w:val="24"/>
          <w:lang w:eastAsia="zh-CN"/>
        </w:rPr>
      </w:pPr>
      <w:bookmarkStart w:id="335" w:name="_Toc82524710"/>
      <w:r>
        <w:rPr>
          <w:rFonts w:hint="eastAsia" w:asciiTheme="minorEastAsia" w:hAnsiTheme="minorEastAsia" w:eastAsiaTheme="minorEastAsia" w:cstheme="minorEastAsia"/>
          <w:sz w:val="24"/>
          <w:szCs w:val="24"/>
          <w:lang w:eastAsia="zh-CN"/>
        </w:rPr>
        <w:t>12.4.5评标委员会成员对评标情况以及在评标过程中获悉的国家秘密、商业秘密负有保密责任。</w:t>
      </w:r>
      <w:bookmarkEnd w:id="335"/>
    </w:p>
    <w:p w14:paraId="5702EBED">
      <w:pPr>
        <w:spacing w:line="360" w:lineRule="auto"/>
        <w:ind w:firstLine="480" w:firstLineChars="200"/>
        <w:rPr>
          <w:rFonts w:asciiTheme="minorEastAsia" w:hAnsiTheme="minorEastAsia" w:eastAsiaTheme="minorEastAsia" w:cstheme="minorEastAsia"/>
          <w:sz w:val="24"/>
          <w:szCs w:val="24"/>
          <w:lang w:eastAsia="zh-CN"/>
        </w:rPr>
      </w:pPr>
      <w:bookmarkStart w:id="336" w:name="_Toc82524711"/>
      <w:r>
        <w:rPr>
          <w:rFonts w:hint="eastAsia" w:asciiTheme="minorEastAsia" w:hAnsiTheme="minorEastAsia" w:eastAsiaTheme="minorEastAsia" w:cstheme="minorEastAsia"/>
          <w:sz w:val="24"/>
          <w:szCs w:val="24"/>
          <w:lang w:eastAsia="zh-CN"/>
        </w:rPr>
        <w:t>12.4.6评标委员会或者其成员存在下列情形导致评标结果无效的，采购人、采购代理机构可以重新组建评标委员会进行评标，并书面报告本级财政部门，但采购合同已经履行的除外</w:t>
      </w:r>
      <w:bookmarkEnd w:id="336"/>
      <w:r>
        <w:rPr>
          <w:rFonts w:hint="eastAsia" w:asciiTheme="minorEastAsia" w:hAnsiTheme="minorEastAsia" w:eastAsiaTheme="minorEastAsia" w:cstheme="minorEastAsia"/>
          <w:sz w:val="24"/>
          <w:szCs w:val="24"/>
          <w:lang w:eastAsia="zh-CN"/>
        </w:rPr>
        <w:t>。</w:t>
      </w:r>
    </w:p>
    <w:p w14:paraId="3BC33FFD">
      <w:pPr>
        <w:spacing w:line="360" w:lineRule="auto"/>
        <w:ind w:firstLine="480" w:firstLineChars="200"/>
        <w:rPr>
          <w:rFonts w:asciiTheme="minorEastAsia" w:hAnsiTheme="minorEastAsia" w:eastAsiaTheme="minorEastAsia" w:cstheme="minorEastAsia"/>
          <w:sz w:val="24"/>
          <w:szCs w:val="24"/>
          <w:lang w:eastAsia="zh-CN"/>
        </w:rPr>
      </w:pPr>
      <w:bookmarkStart w:id="337" w:name="_Toc82524712"/>
      <w:r>
        <w:rPr>
          <w:rFonts w:hint="eastAsia" w:asciiTheme="minorEastAsia" w:hAnsiTheme="minorEastAsia" w:eastAsiaTheme="minorEastAsia" w:cstheme="minorEastAsia"/>
          <w:sz w:val="24"/>
          <w:szCs w:val="24"/>
          <w:lang w:eastAsia="zh-CN"/>
        </w:rPr>
        <w:t>12.4.7评标委员会组成不符合财政部87号令规定的；</w:t>
      </w:r>
      <w:bookmarkEnd w:id="337"/>
    </w:p>
    <w:p w14:paraId="441D6ACC">
      <w:pPr>
        <w:spacing w:line="360" w:lineRule="auto"/>
        <w:ind w:firstLine="480" w:firstLineChars="200"/>
        <w:rPr>
          <w:rFonts w:asciiTheme="minorEastAsia" w:hAnsiTheme="minorEastAsia" w:eastAsiaTheme="minorEastAsia" w:cstheme="minorEastAsia"/>
          <w:sz w:val="24"/>
          <w:szCs w:val="24"/>
          <w:lang w:eastAsia="zh-CN"/>
        </w:rPr>
      </w:pPr>
      <w:bookmarkStart w:id="338" w:name="_Toc82524713"/>
      <w:r>
        <w:rPr>
          <w:rFonts w:hint="eastAsia" w:asciiTheme="minorEastAsia" w:hAnsiTheme="minorEastAsia" w:eastAsiaTheme="minorEastAsia" w:cstheme="minorEastAsia"/>
          <w:sz w:val="24"/>
          <w:szCs w:val="24"/>
          <w:lang w:eastAsia="zh-CN"/>
        </w:rPr>
        <w:t>①有财政部87号令第六十二条第一至五项情形的；</w:t>
      </w:r>
      <w:bookmarkEnd w:id="338"/>
    </w:p>
    <w:p w14:paraId="61A4257F">
      <w:pPr>
        <w:spacing w:line="360" w:lineRule="auto"/>
        <w:ind w:firstLine="480" w:firstLineChars="200"/>
        <w:rPr>
          <w:rFonts w:asciiTheme="minorEastAsia" w:hAnsiTheme="minorEastAsia" w:eastAsiaTheme="minorEastAsia" w:cstheme="minorEastAsia"/>
          <w:sz w:val="24"/>
          <w:szCs w:val="24"/>
          <w:lang w:eastAsia="zh-CN"/>
        </w:rPr>
      </w:pPr>
      <w:bookmarkStart w:id="339" w:name="_Toc82524714"/>
      <w:r>
        <w:rPr>
          <w:rFonts w:hint="eastAsia" w:asciiTheme="minorEastAsia" w:hAnsiTheme="minorEastAsia" w:eastAsiaTheme="minorEastAsia" w:cstheme="minorEastAsia"/>
          <w:sz w:val="24"/>
          <w:szCs w:val="24"/>
          <w:lang w:eastAsia="zh-CN"/>
        </w:rPr>
        <w:t>②评标委员会及其成员独立评标受到非法干预的；</w:t>
      </w:r>
      <w:bookmarkEnd w:id="339"/>
    </w:p>
    <w:p w14:paraId="3CAC74F4">
      <w:pPr>
        <w:spacing w:line="360" w:lineRule="auto"/>
        <w:ind w:firstLine="480" w:firstLineChars="200"/>
        <w:rPr>
          <w:rFonts w:asciiTheme="minorEastAsia" w:hAnsiTheme="minorEastAsia" w:eastAsiaTheme="minorEastAsia" w:cstheme="minorEastAsia"/>
          <w:sz w:val="24"/>
          <w:szCs w:val="24"/>
          <w:lang w:eastAsia="zh-CN"/>
        </w:rPr>
      </w:pPr>
      <w:bookmarkStart w:id="340" w:name="_Toc82524715"/>
      <w:r>
        <w:rPr>
          <w:rFonts w:hint="eastAsia" w:asciiTheme="minorEastAsia" w:hAnsiTheme="minorEastAsia" w:eastAsiaTheme="minorEastAsia" w:cstheme="minorEastAsia"/>
          <w:sz w:val="24"/>
          <w:szCs w:val="24"/>
          <w:lang w:eastAsia="zh-CN"/>
        </w:rPr>
        <w:t>③有政府采购法实施条例第七十五条规定的违法行为的</w:t>
      </w:r>
      <w:bookmarkEnd w:id="340"/>
      <w:r>
        <w:rPr>
          <w:rFonts w:hint="eastAsia" w:asciiTheme="minorEastAsia" w:hAnsiTheme="minorEastAsia" w:eastAsiaTheme="minorEastAsia" w:cstheme="minorEastAsia"/>
          <w:sz w:val="24"/>
          <w:szCs w:val="24"/>
          <w:lang w:eastAsia="zh-CN"/>
        </w:rPr>
        <w:t>；</w:t>
      </w:r>
    </w:p>
    <w:p w14:paraId="1F737526">
      <w:pPr>
        <w:spacing w:line="360" w:lineRule="auto"/>
        <w:ind w:firstLine="480" w:firstLineChars="200"/>
        <w:rPr>
          <w:rFonts w:asciiTheme="minorEastAsia" w:hAnsiTheme="minorEastAsia" w:eastAsiaTheme="minorEastAsia" w:cstheme="minorEastAsia"/>
          <w:sz w:val="24"/>
          <w:szCs w:val="24"/>
          <w:lang w:eastAsia="zh-CN"/>
        </w:rPr>
      </w:pPr>
      <w:bookmarkStart w:id="341" w:name="_Toc82524716"/>
      <w:r>
        <w:rPr>
          <w:rFonts w:hint="eastAsia" w:asciiTheme="minorEastAsia" w:hAnsiTheme="minorEastAsia" w:eastAsiaTheme="minorEastAsia" w:cstheme="minorEastAsia"/>
          <w:sz w:val="24"/>
          <w:szCs w:val="24"/>
          <w:lang w:eastAsia="zh-CN"/>
        </w:rPr>
        <w:t>④有违法违规行为的原评标委员会成员不得参加重新组建的评标委员会。</w:t>
      </w:r>
      <w:bookmarkEnd w:id="341"/>
    </w:p>
    <w:p w14:paraId="3B4FF610">
      <w:pPr>
        <w:spacing w:line="360" w:lineRule="auto"/>
        <w:ind w:firstLine="480" w:firstLineChars="200"/>
        <w:rPr>
          <w:rFonts w:asciiTheme="minorEastAsia" w:hAnsiTheme="minorEastAsia" w:eastAsiaTheme="minorEastAsia" w:cstheme="minorEastAsia"/>
          <w:sz w:val="24"/>
          <w:szCs w:val="24"/>
          <w:lang w:eastAsia="zh-CN"/>
        </w:rPr>
      </w:pPr>
      <w:bookmarkStart w:id="342" w:name="_Toc82524717"/>
      <w:r>
        <w:rPr>
          <w:rFonts w:hint="eastAsia" w:asciiTheme="minorEastAsia" w:hAnsiTheme="minorEastAsia" w:eastAsiaTheme="minorEastAsia" w:cstheme="minorEastAsia"/>
          <w:sz w:val="24"/>
          <w:szCs w:val="24"/>
          <w:lang w:eastAsia="zh-CN"/>
        </w:rPr>
        <w:t>当出现投标人质疑时，评审专家应当配合采购人或者采购代理机构答复投标人的询问和质疑。</w:t>
      </w:r>
      <w:bookmarkEnd w:id="342"/>
    </w:p>
    <w:p w14:paraId="5245808B">
      <w:pPr>
        <w:spacing w:line="360" w:lineRule="auto"/>
        <w:ind w:firstLine="480" w:firstLineChars="200"/>
        <w:rPr>
          <w:rFonts w:asciiTheme="minorEastAsia" w:hAnsiTheme="minorEastAsia" w:eastAsiaTheme="minorEastAsia" w:cstheme="minorEastAsia"/>
          <w:sz w:val="24"/>
          <w:szCs w:val="24"/>
          <w:lang w:eastAsia="zh-CN"/>
        </w:rPr>
      </w:pPr>
      <w:bookmarkStart w:id="343" w:name="_Toc536542109"/>
      <w:bookmarkStart w:id="344" w:name="_Toc536542671"/>
      <w:bookmarkStart w:id="345" w:name="_Toc82524718"/>
      <w:bookmarkStart w:id="346" w:name="_Toc25436"/>
      <w:r>
        <w:rPr>
          <w:rFonts w:hint="eastAsia" w:asciiTheme="minorEastAsia" w:hAnsiTheme="minorEastAsia" w:eastAsiaTheme="minorEastAsia" w:cstheme="minorEastAsia"/>
          <w:sz w:val="24"/>
          <w:szCs w:val="24"/>
          <w:lang w:eastAsia="zh-CN"/>
        </w:rPr>
        <w:t>13.定标方法</w:t>
      </w:r>
      <w:bookmarkEnd w:id="343"/>
      <w:bookmarkEnd w:id="344"/>
      <w:bookmarkEnd w:id="345"/>
      <w:bookmarkEnd w:id="346"/>
    </w:p>
    <w:p w14:paraId="176DA43B">
      <w:pPr>
        <w:spacing w:line="360" w:lineRule="auto"/>
        <w:ind w:firstLine="480" w:firstLineChars="200"/>
        <w:rPr>
          <w:rFonts w:asciiTheme="minorEastAsia" w:hAnsiTheme="minorEastAsia" w:eastAsiaTheme="minorEastAsia" w:cstheme="minorEastAsia"/>
          <w:sz w:val="24"/>
          <w:szCs w:val="24"/>
          <w:lang w:eastAsia="zh-CN"/>
        </w:rPr>
      </w:pPr>
      <w:bookmarkStart w:id="347" w:name="_Toc536542672"/>
      <w:bookmarkStart w:id="348" w:name="_Toc82524719"/>
      <w:bookmarkStart w:id="349" w:name="_Toc536542110"/>
      <w:r>
        <w:rPr>
          <w:rFonts w:hint="eastAsia" w:asciiTheme="minorEastAsia" w:hAnsiTheme="minorEastAsia" w:eastAsiaTheme="minorEastAsia" w:cstheme="minorEastAsia"/>
          <w:sz w:val="24"/>
          <w:szCs w:val="24"/>
          <w:lang w:eastAsia="zh-CN"/>
        </w:rPr>
        <w:t>13.1评标结果按评审后得分由高到底顺序排列。得分相同的，按投标报价由低到高顺序排列。得分且投标报价相同的并列。投标文件满足招标文件全部实质性要求，且按照评审因素的量化指标评审得分最高的投标人为排名第一的中标候选人。向招标人推荐前三名作为中标候选供应商，原则上确定排名第一的中标侯选供应商为中标供应商，中标候选供应商并列的，采取随机抽取方式确定。</w:t>
      </w:r>
      <w:bookmarkEnd w:id="347"/>
      <w:bookmarkEnd w:id="348"/>
      <w:bookmarkEnd w:id="349"/>
    </w:p>
    <w:p w14:paraId="11A31AE9">
      <w:pPr>
        <w:spacing w:line="360" w:lineRule="auto"/>
        <w:ind w:firstLine="480" w:firstLineChars="200"/>
        <w:rPr>
          <w:rFonts w:asciiTheme="minorEastAsia" w:hAnsiTheme="minorEastAsia" w:eastAsiaTheme="minorEastAsia" w:cstheme="minorEastAsia"/>
          <w:kern w:val="1"/>
          <w:sz w:val="24"/>
          <w:szCs w:val="24"/>
          <w:lang w:eastAsia="zh-CN"/>
        </w:rPr>
      </w:pPr>
      <w:bookmarkStart w:id="350" w:name="_Toc82524720"/>
      <w:bookmarkStart w:id="351" w:name="_Toc536542111"/>
      <w:bookmarkStart w:id="352" w:name="_Toc536542673"/>
      <w:r>
        <w:rPr>
          <w:rFonts w:hint="eastAsia" w:asciiTheme="minorEastAsia" w:hAnsiTheme="minorEastAsia" w:eastAsiaTheme="minorEastAsia" w:cstheme="minorEastAsia"/>
          <w:sz w:val="24"/>
          <w:szCs w:val="24"/>
          <w:lang w:eastAsia="zh-CN"/>
        </w:rPr>
        <w:t>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Pr>
          <w:rFonts w:hint="eastAsia" w:asciiTheme="minorEastAsia" w:hAnsiTheme="minorEastAsia" w:eastAsiaTheme="minorEastAsia" w:cstheme="minorEastAsia"/>
          <w:kern w:val="1"/>
          <w:sz w:val="24"/>
          <w:szCs w:val="24"/>
          <w:lang w:eastAsia="zh-CN"/>
        </w:rPr>
        <w:t>中标或者成交供应商拒绝与采购人签订合同的，采购人可以按照评审报告推荐的中标或者成交候选人名单排序，确定下一候选人为中标或者成交供应商，也可以重新开展政府采购活动。</w:t>
      </w:r>
      <w:bookmarkEnd w:id="350"/>
      <w:bookmarkEnd w:id="351"/>
      <w:bookmarkEnd w:id="352"/>
    </w:p>
    <w:p w14:paraId="6CB42864">
      <w:pPr>
        <w:spacing w:line="360" w:lineRule="auto"/>
        <w:ind w:firstLine="480" w:firstLineChars="200"/>
        <w:rPr>
          <w:rFonts w:asciiTheme="minorEastAsia" w:hAnsiTheme="minorEastAsia" w:eastAsiaTheme="minorEastAsia" w:cstheme="minorEastAsia"/>
          <w:sz w:val="24"/>
          <w:szCs w:val="24"/>
          <w:lang w:eastAsia="zh-CN"/>
        </w:rPr>
      </w:pPr>
      <w:bookmarkStart w:id="353" w:name="_Toc536542674"/>
      <w:bookmarkStart w:id="354" w:name="_Toc82524721"/>
      <w:bookmarkStart w:id="355" w:name="_Toc536542112"/>
      <w:r>
        <w:rPr>
          <w:rFonts w:hint="eastAsia" w:asciiTheme="minorEastAsia" w:hAnsiTheme="minorEastAsia" w:eastAsiaTheme="minorEastAsia" w:cstheme="minorEastAsia"/>
          <w:kern w:val="1"/>
          <w:sz w:val="24"/>
          <w:szCs w:val="24"/>
          <w:lang w:eastAsia="zh-CN"/>
        </w:rPr>
        <w:t>13.2对开标后投标人所提出的优惠条件不予以考虑。</w:t>
      </w:r>
      <w:bookmarkEnd w:id="353"/>
      <w:bookmarkEnd w:id="354"/>
      <w:bookmarkEnd w:id="355"/>
    </w:p>
    <w:p w14:paraId="2F6A1907">
      <w:pPr>
        <w:spacing w:line="360" w:lineRule="auto"/>
        <w:ind w:firstLine="480" w:firstLineChars="200"/>
        <w:rPr>
          <w:rFonts w:asciiTheme="minorEastAsia" w:hAnsiTheme="minorEastAsia" w:eastAsiaTheme="minorEastAsia" w:cstheme="minorEastAsia"/>
          <w:sz w:val="24"/>
          <w:szCs w:val="24"/>
          <w:lang w:eastAsia="zh-CN"/>
        </w:rPr>
      </w:pPr>
      <w:bookmarkStart w:id="356" w:name="_Toc2022"/>
      <w:bookmarkStart w:id="357" w:name="_Toc82524722"/>
      <w:bookmarkStart w:id="358" w:name="_Toc536542113"/>
      <w:bookmarkStart w:id="359" w:name="_Toc536542675"/>
      <w:r>
        <w:rPr>
          <w:rFonts w:hint="eastAsia" w:asciiTheme="minorEastAsia" w:hAnsiTheme="minorEastAsia" w:eastAsiaTheme="minorEastAsia" w:cstheme="minorEastAsia"/>
          <w:sz w:val="24"/>
          <w:szCs w:val="24"/>
          <w:lang w:eastAsia="zh-CN"/>
        </w:rPr>
        <w:t>14.废标条款：</w:t>
      </w:r>
      <w:bookmarkEnd w:id="356"/>
      <w:bookmarkEnd w:id="357"/>
      <w:bookmarkEnd w:id="358"/>
      <w:bookmarkEnd w:id="359"/>
    </w:p>
    <w:p w14:paraId="0D11E860">
      <w:pPr>
        <w:spacing w:line="360" w:lineRule="auto"/>
        <w:ind w:firstLine="480" w:firstLineChars="200"/>
        <w:rPr>
          <w:rFonts w:asciiTheme="minorEastAsia" w:hAnsiTheme="minorEastAsia" w:eastAsiaTheme="minorEastAsia" w:cstheme="minorEastAsia"/>
          <w:sz w:val="24"/>
          <w:szCs w:val="24"/>
          <w:lang w:eastAsia="zh-CN"/>
        </w:rPr>
      </w:pPr>
      <w:bookmarkStart w:id="360" w:name="_Toc536542114"/>
      <w:bookmarkStart w:id="361" w:name="_Toc536542676"/>
      <w:bookmarkStart w:id="362" w:name="_Toc82524723"/>
      <w:r>
        <w:rPr>
          <w:rFonts w:hint="eastAsia" w:asciiTheme="minorEastAsia" w:hAnsiTheme="minorEastAsia" w:eastAsiaTheme="minorEastAsia" w:cstheme="minorEastAsia"/>
          <w:sz w:val="24"/>
          <w:szCs w:val="24"/>
          <w:lang w:eastAsia="zh-CN"/>
        </w:rPr>
        <w:t>14.1符合条件的供应商或者对招标文件作实质响应的供应商不足三家的；</w:t>
      </w:r>
      <w:bookmarkEnd w:id="360"/>
      <w:bookmarkEnd w:id="361"/>
      <w:bookmarkEnd w:id="362"/>
    </w:p>
    <w:p w14:paraId="17F1C0FB">
      <w:pPr>
        <w:spacing w:line="360" w:lineRule="auto"/>
        <w:ind w:firstLine="480" w:firstLineChars="200"/>
        <w:rPr>
          <w:rFonts w:asciiTheme="minorEastAsia" w:hAnsiTheme="minorEastAsia" w:eastAsiaTheme="minorEastAsia" w:cstheme="minorEastAsia"/>
          <w:sz w:val="24"/>
          <w:szCs w:val="24"/>
          <w:lang w:eastAsia="zh-CN"/>
        </w:rPr>
      </w:pPr>
      <w:bookmarkStart w:id="363" w:name="_Toc536542677"/>
      <w:bookmarkStart w:id="364" w:name="_Toc536542115"/>
      <w:bookmarkStart w:id="365" w:name="_Toc82524724"/>
      <w:r>
        <w:rPr>
          <w:rFonts w:hint="eastAsia" w:asciiTheme="minorEastAsia" w:hAnsiTheme="minorEastAsia" w:eastAsiaTheme="minorEastAsia" w:cstheme="minorEastAsia"/>
          <w:sz w:val="24"/>
          <w:szCs w:val="24"/>
          <w:lang w:eastAsia="zh-CN"/>
        </w:rPr>
        <w:t>14.2出现影响采购公正的违法、违规行为的；</w:t>
      </w:r>
      <w:bookmarkEnd w:id="363"/>
      <w:bookmarkEnd w:id="364"/>
      <w:bookmarkEnd w:id="365"/>
    </w:p>
    <w:p w14:paraId="1AB25DBA">
      <w:pPr>
        <w:spacing w:line="360" w:lineRule="auto"/>
        <w:ind w:firstLine="480" w:firstLineChars="200"/>
        <w:rPr>
          <w:rFonts w:asciiTheme="minorEastAsia" w:hAnsiTheme="minorEastAsia" w:eastAsiaTheme="minorEastAsia" w:cstheme="minorEastAsia"/>
          <w:sz w:val="24"/>
          <w:szCs w:val="24"/>
          <w:lang w:eastAsia="zh-CN"/>
        </w:rPr>
      </w:pPr>
      <w:bookmarkStart w:id="366" w:name="_Toc82524725"/>
      <w:bookmarkStart w:id="367" w:name="_Toc536542116"/>
      <w:bookmarkStart w:id="368" w:name="_Toc536542678"/>
      <w:r>
        <w:rPr>
          <w:rFonts w:hint="eastAsia" w:asciiTheme="minorEastAsia" w:hAnsiTheme="minorEastAsia" w:eastAsiaTheme="minorEastAsia" w:cstheme="minorEastAsia"/>
          <w:sz w:val="24"/>
          <w:szCs w:val="24"/>
          <w:lang w:eastAsia="zh-CN"/>
        </w:rPr>
        <w:t>14.3投标人的报价均超过了采购预算，招标人不能支付的；</w:t>
      </w:r>
      <w:bookmarkEnd w:id="366"/>
      <w:bookmarkEnd w:id="367"/>
      <w:bookmarkEnd w:id="368"/>
    </w:p>
    <w:p w14:paraId="52B27339">
      <w:pPr>
        <w:spacing w:line="360" w:lineRule="auto"/>
        <w:ind w:firstLine="480" w:firstLineChars="200"/>
        <w:rPr>
          <w:rFonts w:asciiTheme="minorEastAsia" w:hAnsiTheme="minorEastAsia" w:eastAsiaTheme="minorEastAsia" w:cstheme="minorEastAsia"/>
          <w:sz w:val="24"/>
          <w:szCs w:val="24"/>
          <w:lang w:eastAsia="zh-CN"/>
        </w:rPr>
      </w:pPr>
      <w:bookmarkStart w:id="369" w:name="_Toc82524726"/>
      <w:r>
        <w:rPr>
          <w:rFonts w:hint="eastAsia" w:asciiTheme="minorEastAsia" w:hAnsiTheme="minorEastAsia" w:eastAsiaTheme="minorEastAsia" w:cstheme="minorEastAsia"/>
          <w:sz w:val="24"/>
          <w:szCs w:val="24"/>
          <w:lang w:eastAsia="zh-CN"/>
        </w:rPr>
        <w:t>14.4</w:t>
      </w:r>
      <w:bookmarkStart w:id="370" w:name="_Toc536542679"/>
      <w:bookmarkStart w:id="371" w:name="_Toc536542117"/>
      <w:r>
        <w:rPr>
          <w:rFonts w:hint="eastAsia" w:asciiTheme="minorEastAsia" w:hAnsiTheme="minorEastAsia" w:eastAsiaTheme="minorEastAsia" w:cstheme="minorEastAsia"/>
          <w:sz w:val="24"/>
          <w:szCs w:val="24"/>
          <w:lang w:eastAsia="zh-CN"/>
        </w:rPr>
        <w:t>因重大变故，采购任务取消的。</w:t>
      </w:r>
      <w:bookmarkEnd w:id="369"/>
      <w:bookmarkEnd w:id="370"/>
      <w:bookmarkEnd w:id="371"/>
    </w:p>
    <w:p w14:paraId="39B68C4C">
      <w:pPr>
        <w:spacing w:line="360" w:lineRule="auto"/>
        <w:ind w:firstLine="480" w:firstLineChars="200"/>
        <w:rPr>
          <w:rFonts w:asciiTheme="minorEastAsia" w:hAnsiTheme="minorEastAsia" w:eastAsiaTheme="minorEastAsia" w:cstheme="minorEastAsia"/>
          <w:sz w:val="24"/>
          <w:szCs w:val="24"/>
          <w:lang w:eastAsia="zh-CN"/>
        </w:rPr>
      </w:pPr>
      <w:bookmarkStart w:id="372" w:name="_Toc82524727"/>
      <w:bookmarkStart w:id="373" w:name="_Toc13444"/>
      <w:r>
        <w:rPr>
          <w:rFonts w:hint="eastAsia" w:asciiTheme="minorEastAsia" w:hAnsiTheme="minorEastAsia" w:eastAsiaTheme="minorEastAsia" w:cstheme="minorEastAsia"/>
          <w:sz w:val="24"/>
          <w:szCs w:val="24"/>
          <w:lang w:eastAsia="zh-CN"/>
        </w:rPr>
        <w:t>15.中标信息公布与投标人质疑</w:t>
      </w:r>
      <w:bookmarkEnd w:id="372"/>
      <w:bookmarkEnd w:id="373"/>
    </w:p>
    <w:p w14:paraId="0BE22505">
      <w:pPr>
        <w:spacing w:line="360" w:lineRule="auto"/>
        <w:ind w:firstLine="480" w:firstLineChars="200"/>
        <w:rPr>
          <w:rFonts w:asciiTheme="minorEastAsia" w:hAnsiTheme="minorEastAsia" w:eastAsiaTheme="minorEastAsia" w:cstheme="minorEastAsia"/>
          <w:sz w:val="24"/>
          <w:szCs w:val="24"/>
          <w:lang w:eastAsia="zh-CN"/>
        </w:rPr>
      </w:pPr>
      <w:bookmarkStart w:id="374" w:name="_Toc82524728"/>
      <w:r>
        <w:rPr>
          <w:rFonts w:hint="eastAsia" w:asciiTheme="minorEastAsia" w:hAnsiTheme="minorEastAsia" w:eastAsiaTheme="minorEastAsia" w:cstheme="minorEastAsia"/>
          <w:sz w:val="24"/>
          <w:szCs w:val="24"/>
          <w:lang w:eastAsia="zh-CN"/>
        </w:rPr>
        <w:t>15.1中标信息公布</w:t>
      </w:r>
      <w:bookmarkEnd w:id="374"/>
    </w:p>
    <w:p w14:paraId="7323FA1A">
      <w:pPr>
        <w:spacing w:line="360" w:lineRule="auto"/>
        <w:ind w:firstLine="480" w:firstLineChars="200"/>
        <w:rPr>
          <w:rFonts w:asciiTheme="minorEastAsia" w:hAnsiTheme="minorEastAsia" w:eastAsiaTheme="minorEastAsia" w:cstheme="minorEastAsia"/>
          <w:sz w:val="24"/>
          <w:szCs w:val="24"/>
          <w:lang w:eastAsia="zh-CN"/>
        </w:rPr>
      </w:pPr>
      <w:bookmarkStart w:id="375" w:name="_Toc82524729"/>
      <w:r>
        <w:rPr>
          <w:rFonts w:hint="eastAsia" w:asciiTheme="minorEastAsia" w:hAnsiTheme="minorEastAsia" w:eastAsiaTheme="minorEastAsia" w:cstheme="minorEastAsia"/>
          <w:sz w:val="24"/>
          <w:szCs w:val="24"/>
          <w:lang w:eastAsia="zh-CN"/>
        </w:rPr>
        <w:t>15.2采购代理机构将在评标结束后2个工作日内将评标报告送至采购人。</w:t>
      </w:r>
      <w:bookmarkEnd w:id="375"/>
    </w:p>
    <w:p w14:paraId="33A078A8">
      <w:pPr>
        <w:spacing w:line="360" w:lineRule="auto"/>
        <w:ind w:firstLine="480" w:firstLineChars="200"/>
        <w:rPr>
          <w:rFonts w:asciiTheme="minorEastAsia" w:hAnsiTheme="minorEastAsia" w:eastAsiaTheme="minorEastAsia" w:cstheme="minorEastAsia"/>
          <w:sz w:val="24"/>
          <w:szCs w:val="24"/>
          <w:lang w:eastAsia="zh-CN"/>
        </w:rPr>
      </w:pPr>
      <w:bookmarkStart w:id="376" w:name="_Toc82524730"/>
      <w:r>
        <w:rPr>
          <w:rFonts w:hint="eastAsia" w:asciiTheme="minorEastAsia" w:hAnsiTheme="minorEastAsia" w:eastAsiaTheme="minorEastAsia" w:cstheme="minorEastAsia"/>
          <w:sz w:val="24"/>
          <w:szCs w:val="24"/>
          <w:lang w:eastAsia="zh-CN"/>
        </w:rPr>
        <w:t>15.3采购人将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bookmarkEnd w:id="376"/>
    </w:p>
    <w:p w14:paraId="7316D911">
      <w:pPr>
        <w:spacing w:line="360" w:lineRule="auto"/>
        <w:ind w:firstLine="480" w:firstLineChars="200"/>
        <w:rPr>
          <w:rFonts w:asciiTheme="minorEastAsia" w:hAnsiTheme="minorEastAsia" w:eastAsiaTheme="minorEastAsia" w:cstheme="minorEastAsia"/>
          <w:sz w:val="24"/>
          <w:szCs w:val="24"/>
          <w:lang w:eastAsia="zh-CN"/>
        </w:rPr>
      </w:pPr>
      <w:bookmarkStart w:id="377" w:name="_Toc82524731"/>
      <w:r>
        <w:rPr>
          <w:rFonts w:hint="eastAsia" w:asciiTheme="minorEastAsia" w:hAnsiTheme="minorEastAsia" w:eastAsiaTheme="minorEastAsia" w:cstheme="minorEastAsia"/>
          <w:sz w:val="24"/>
          <w:szCs w:val="24"/>
          <w:lang w:eastAsia="zh-CN"/>
        </w:rPr>
        <w:t>15.4采购人或者采购代理机构将自中标人确定之日起2个工作日内，在省级以上财政部门指定的媒体上公告中标结果，招标文件将随中标结果同时公告。中标公告期限为1个工作日。</w:t>
      </w:r>
      <w:bookmarkEnd w:id="377"/>
    </w:p>
    <w:p w14:paraId="0B2D6AC9">
      <w:pPr>
        <w:spacing w:line="360" w:lineRule="auto"/>
        <w:ind w:firstLine="480" w:firstLineChars="200"/>
        <w:rPr>
          <w:rFonts w:asciiTheme="minorEastAsia" w:hAnsiTheme="minorEastAsia" w:eastAsiaTheme="minorEastAsia" w:cstheme="minorEastAsia"/>
          <w:sz w:val="24"/>
          <w:szCs w:val="24"/>
          <w:lang w:eastAsia="zh-CN"/>
        </w:rPr>
      </w:pPr>
      <w:bookmarkStart w:id="378" w:name="_Toc15785"/>
      <w:bookmarkStart w:id="379" w:name="_Toc82524732"/>
      <w:r>
        <w:rPr>
          <w:rFonts w:hint="eastAsia" w:asciiTheme="minorEastAsia" w:hAnsiTheme="minorEastAsia" w:eastAsiaTheme="minorEastAsia" w:cstheme="minorEastAsia"/>
          <w:sz w:val="24"/>
          <w:szCs w:val="24"/>
          <w:lang w:eastAsia="zh-CN"/>
        </w:rPr>
        <w:t>16.投标人质疑</w:t>
      </w:r>
      <w:bookmarkEnd w:id="378"/>
      <w:bookmarkEnd w:id="379"/>
    </w:p>
    <w:p w14:paraId="68D2F8D5">
      <w:pPr>
        <w:spacing w:line="360" w:lineRule="auto"/>
        <w:ind w:firstLine="480" w:firstLineChars="200"/>
        <w:rPr>
          <w:rFonts w:asciiTheme="minorEastAsia" w:hAnsiTheme="minorEastAsia" w:eastAsiaTheme="minorEastAsia" w:cstheme="minorEastAsia"/>
          <w:sz w:val="24"/>
          <w:szCs w:val="24"/>
          <w:lang w:eastAsia="zh-CN"/>
        </w:rPr>
      </w:pPr>
      <w:bookmarkStart w:id="380" w:name="_Toc82524733"/>
      <w:r>
        <w:rPr>
          <w:rFonts w:hint="eastAsia" w:asciiTheme="minorEastAsia" w:hAnsiTheme="minorEastAsia" w:eastAsiaTheme="minorEastAsia" w:cstheme="minorEastAsia"/>
          <w:sz w:val="24"/>
          <w:szCs w:val="24"/>
          <w:lang w:eastAsia="zh-CN"/>
        </w:rPr>
        <w:t>16.1投标人对政府采购活动事项有疑问的，可以向采购人提出询问，采购人应当及时作出答复，但答复的内容不得涉及商业秘密。</w:t>
      </w:r>
      <w:bookmarkEnd w:id="380"/>
    </w:p>
    <w:p w14:paraId="0E58C28C">
      <w:pPr>
        <w:spacing w:line="360" w:lineRule="auto"/>
        <w:ind w:firstLine="480" w:firstLineChars="200"/>
        <w:rPr>
          <w:rFonts w:asciiTheme="minorEastAsia" w:hAnsiTheme="minorEastAsia" w:eastAsiaTheme="minorEastAsia" w:cstheme="minorEastAsia"/>
          <w:sz w:val="24"/>
          <w:szCs w:val="24"/>
          <w:lang w:eastAsia="zh-CN"/>
        </w:rPr>
      </w:pPr>
      <w:bookmarkStart w:id="381" w:name="_Toc82524734"/>
      <w:r>
        <w:rPr>
          <w:rFonts w:hint="eastAsia" w:asciiTheme="minorEastAsia" w:hAnsiTheme="minorEastAsia" w:eastAsiaTheme="minorEastAsia" w:cstheme="minorEastAsia"/>
          <w:sz w:val="24"/>
          <w:szCs w:val="24"/>
          <w:lang w:eastAsia="zh-CN"/>
        </w:rPr>
        <w:t>16.2投标人认为采购文件、采购过程和中标、成交结果使自己的权益受到损害的，可以在知道或者应知其权益受到损害之日起在规定的时间内，以书面形式向采购人提出质疑。</w:t>
      </w:r>
      <w:bookmarkEnd w:id="381"/>
    </w:p>
    <w:p w14:paraId="6CDFEDEC">
      <w:pPr>
        <w:spacing w:line="360" w:lineRule="auto"/>
        <w:ind w:firstLine="480" w:firstLineChars="200"/>
        <w:rPr>
          <w:rFonts w:asciiTheme="minorEastAsia" w:hAnsiTheme="minorEastAsia" w:eastAsiaTheme="minorEastAsia" w:cstheme="minorEastAsia"/>
          <w:sz w:val="24"/>
          <w:szCs w:val="24"/>
          <w:lang w:eastAsia="zh-CN"/>
        </w:rPr>
      </w:pPr>
      <w:bookmarkStart w:id="382" w:name="_Toc82524735"/>
      <w:r>
        <w:rPr>
          <w:rFonts w:hint="eastAsia" w:asciiTheme="minorEastAsia" w:hAnsiTheme="minorEastAsia" w:eastAsiaTheme="minorEastAsia" w:cstheme="minorEastAsia"/>
          <w:sz w:val="24"/>
          <w:szCs w:val="24"/>
          <w:lang w:eastAsia="zh-CN"/>
        </w:rPr>
        <w:t>16.3投标人提出质疑的，应根据法律、法规和规章的有关规定提供质疑书原件。质疑书应当至少包括以下内容：</w:t>
      </w:r>
      <w:bookmarkEnd w:id="382"/>
    </w:p>
    <w:p w14:paraId="01ABD6A9">
      <w:pPr>
        <w:spacing w:line="360" w:lineRule="auto"/>
        <w:ind w:firstLine="480" w:firstLineChars="200"/>
        <w:rPr>
          <w:rFonts w:asciiTheme="minorEastAsia" w:hAnsiTheme="minorEastAsia" w:eastAsiaTheme="minorEastAsia" w:cstheme="minorEastAsia"/>
          <w:sz w:val="24"/>
          <w:szCs w:val="24"/>
          <w:lang w:eastAsia="zh-CN"/>
        </w:rPr>
      </w:pPr>
      <w:bookmarkStart w:id="383" w:name="_Toc82524736"/>
      <w:r>
        <w:rPr>
          <w:rFonts w:hint="eastAsia" w:asciiTheme="minorEastAsia" w:hAnsiTheme="minorEastAsia" w:eastAsiaTheme="minorEastAsia" w:cstheme="minorEastAsia"/>
          <w:sz w:val="24"/>
          <w:szCs w:val="24"/>
          <w:lang w:eastAsia="zh-CN"/>
        </w:rPr>
        <w:t>（1）质疑投标人的名称、地址及有效联系方式；</w:t>
      </w:r>
      <w:bookmarkEnd w:id="383"/>
    </w:p>
    <w:p w14:paraId="01AC090E">
      <w:pPr>
        <w:spacing w:line="360" w:lineRule="auto"/>
        <w:ind w:firstLine="480" w:firstLineChars="200"/>
        <w:rPr>
          <w:rFonts w:asciiTheme="minorEastAsia" w:hAnsiTheme="minorEastAsia" w:eastAsiaTheme="minorEastAsia" w:cstheme="minorEastAsia"/>
          <w:sz w:val="24"/>
          <w:szCs w:val="24"/>
          <w:lang w:eastAsia="zh-CN"/>
        </w:rPr>
      </w:pPr>
      <w:bookmarkStart w:id="384" w:name="_Toc82524737"/>
      <w:r>
        <w:rPr>
          <w:rFonts w:hint="eastAsia" w:asciiTheme="minorEastAsia" w:hAnsiTheme="minorEastAsia" w:eastAsiaTheme="minorEastAsia" w:cstheme="minorEastAsia"/>
          <w:sz w:val="24"/>
          <w:szCs w:val="24"/>
          <w:lang w:eastAsia="zh-CN"/>
        </w:rPr>
        <w:t>（2）质疑事项；</w:t>
      </w:r>
      <w:bookmarkEnd w:id="384"/>
    </w:p>
    <w:p w14:paraId="7FD8C74C">
      <w:pPr>
        <w:spacing w:line="360" w:lineRule="auto"/>
        <w:ind w:firstLine="480" w:firstLineChars="200"/>
        <w:rPr>
          <w:rFonts w:asciiTheme="minorEastAsia" w:hAnsiTheme="minorEastAsia" w:eastAsiaTheme="minorEastAsia" w:cstheme="minorEastAsia"/>
          <w:sz w:val="24"/>
          <w:szCs w:val="24"/>
          <w:lang w:eastAsia="zh-CN"/>
        </w:rPr>
      </w:pPr>
      <w:bookmarkStart w:id="385" w:name="_Toc82524738"/>
      <w:r>
        <w:rPr>
          <w:rFonts w:hint="eastAsia" w:asciiTheme="minorEastAsia" w:hAnsiTheme="minorEastAsia" w:eastAsiaTheme="minorEastAsia" w:cstheme="minorEastAsia"/>
          <w:sz w:val="24"/>
          <w:szCs w:val="24"/>
          <w:lang w:eastAsia="zh-CN"/>
        </w:rPr>
        <w:t>（3）事实依据及相关证明材料；</w:t>
      </w:r>
      <w:bookmarkEnd w:id="385"/>
    </w:p>
    <w:p w14:paraId="0D26EAC0">
      <w:pPr>
        <w:spacing w:line="360" w:lineRule="auto"/>
        <w:ind w:firstLine="480" w:firstLineChars="200"/>
        <w:rPr>
          <w:rFonts w:asciiTheme="minorEastAsia" w:hAnsiTheme="minorEastAsia" w:eastAsiaTheme="minorEastAsia" w:cstheme="minorEastAsia"/>
          <w:sz w:val="24"/>
          <w:szCs w:val="24"/>
          <w:lang w:eastAsia="zh-CN"/>
        </w:rPr>
      </w:pPr>
      <w:bookmarkStart w:id="386" w:name="_Toc82524739"/>
      <w:r>
        <w:rPr>
          <w:rFonts w:hint="eastAsia" w:asciiTheme="minorEastAsia" w:hAnsiTheme="minorEastAsia" w:eastAsiaTheme="minorEastAsia" w:cstheme="minorEastAsia"/>
          <w:sz w:val="24"/>
          <w:szCs w:val="24"/>
          <w:lang w:eastAsia="zh-CN"/>
        </w:rPr>
        <w:t>（4）相关请求及主张。</w:t>
      </w:r>
      <w:bookmarkEnd w:id="386"/>
    </w:p>
    <w:p w14:paraId="083AEDEF">
      <w:pPr>
        <w:spacing w:line="360" w:lineRule="auto"/>
        <w:ind w:firstLine="480" w:firstLineChars="200"/>
        <w:rPr>
          <w:rFonts w:asciiTheme="minorEastAsia" w:hAnsiTheme="minorEastAsia" w:eastAsiaTheme="minorEastAsia" w:cstheme="minorEastAsia"/>
          <w:sz w:val="24"/>
          <w:szCs w:val="24"/>
          <w:lang w:eastAsia="zh-CN"/>
        </w:rPr>
      </w:pPr>
      <w:bookmarkStart w:id="387" w:name="_Toc82524740"/>
      <w:r>
        <w:rPr>
          <w:rFonts w:hint="eastAsia" w:asciiTheme="minorEastAsia" w:hAnsiTheme="minorEastAsia" w:eastAsiaTheme="minorEastAsia" w:cstheme="minorEastAsia"/>
          <w:sz w:val="24"/>
          <w:szCs w:val="24"/>
          <w:lang w:eastAsia="zh-CN"/>
        </w:rPr>
        <w:t>（5）质疑事项属于有关法律、法规和规章规定处于保密阶段的事项的，质疑人应提供信息来源或有效证据，否则，应当属于无效质疑事项。</w:t>
      </w:r>
      <w:bookmarkEnd w:id="387"/>
    </w:p>
    <w:p w14:paraId="2500D906">
      <w:pPr>
        <w:spacing w:line="360" w:lineRule="auto"/>
        <w:ind w:firstLine="480" w:firstLineChars="200"/>
        <w:rPr>
          <w:rFonts w:asciiTheme="minorEastAsia" w:hAnsiTheme="minorEastAsia" w:eastAsiaTheme="minorEastAsia" w:cstheme="minorEastAsia"/>
          <w:sz w:val="24"/>
          <w:szCs w:val="24"/>
          <w:lang w:eastAsia="zh-CN"/>
        </w:rPr>
      </w:pPr>
      <w:bookmarkStart w:id="388" w:name="_Toc82524741"/>
      <w:r>
        <w:rPr>
          <w:rFonts w:hint="eastAsia" w:asciiTheme="minorEastAsia" w:hAnsiTheme="minorEastAsia" w:eastAsiaTheme="minorEastAsia" w:cstheme="minorEastAsia"/>
          <w:sz w:val="24"/>
          <w:szCs w:val="24"/>
          <w:lang w:eastAsia="zh-CN"/>
        </w:rPr>
        <w:t>（6）质疑书应当由投标人法定代表人或其授权的代理人签字并加盖投标人单位公章，质疑书由授权的代理人签字的应附投标人法定代表人委托授权书，授权委托书应当载明委托代理的具体权限和事项。</w:t>
      </w:r>
      <w:bookmarkEnd w:id="388"/>
    </w:p>
    <w:p w14:paraId="6098625F">
      <w:pPr>
        <w:spacing w:line="360" w:lineRule="auto"/>
        <w:ind w:firstLine="480" w:firstLineChars="200"/>
        <w:rPr>
          <w:rFonts w:asciiTheme="minorEastAsia" w:hAnsiTheme="minorEastAsia" w:eastAsiaTheme="minorEastAsia" w:cstheme="minorEastAsia"/>
          <w:sz w:val="24"/>
          <w:szCs w:val="24"/>
          <w:lang w:eastAsia="zh-CN"/>
        </w:rPr>
      </w:pPr>
      <w:bookmarkStart w:id="389" w:name="_Toc82524742"/>
      <w:r>
        <w:rPr>
          <w:rFonts w:hint="eastAsia" w:asciiTheme="minorEastAsia" w:hAnsiTheme="minorEastAsia" w:eastAsiaTheme="minorEastAsia" w:cstheme="minorEastAsia"/>
          <w:sz w:val="24"/>
          <w:szCs w:val="24"/>
          <w:lang w:eastAsia="zh-CN"/>
        </w:rPr>
        <w:t>16.4采购人将在收到投标人的书面质疑后及时作出答复，并以书面形式通知质疑投标人和其他有关投标人，但答复的内容不得涉及商业秘密。</w:t>
      </w:r>
      <w:bookmarkEnd w:id="389"/>
    </w:p>
    <w:p w14:paraId="0D86EA25">
      <w:pPr>
        <w:spacing w:line="360" w:lineRule="auto"/>
        <w:ind w:firstLine="480" w:firstLineChars="200"/>
        <w:rPr>
          <w:rFonts w:asciiTheme="minorEastAsia" w:hAnsiTheme="minorEastAsia" w:eastAsiaTheme="minorEastAsia" w:cstheme="minorEastAsia"/>
          <w:sz w:val="24"/>
          <w:szCs w:val="24"/>
          <w:lang w:eastAsia="zh-CN"/>
        </w:rPr>
      </w:pPr>
      <w:bookmarkStart w:id="390" w:name="_Toc82524743"/>
      <w:r>
        <w:rPr>
          <w:rFonts w:hint="eastAsia" w:asciiTheme="minorEastAsia" w:hAnsiTheme="minorEastAsia" w:eastAsiaTheme="minorEastAsia" w:cstheme="minorEastAsia"/>
          <w:sz w:val="24"/>
          <w:szCs w:val="24"/>
          <w:lang w:eastAsia="zh-CN"/>
        </w:rPr>
        <w:t>16.5在处理质疑过程中，必要时可以对质疑事项进行核实，质疑人和与质疑事项有关的当事人应当如实配合核实，并提供相关材料。</w:t>
      </w:r>
      <w:bookmarkEnd w:id="390"/>
    </w:p>
    <w:p w14:paraId="68AF6B66">
      <w:pPr>
        <w:spacing w:line="360" w:lineRule="auto"/>
        <w:ind w:firstLine="480" w:firstLineChars="200"/>
        <w:rPr>
          <w:rFonts w:asciiTheme="minorEastAsia" w:hAnsiTheme="minorEastAsia" w:eastAsiaTheme="minorEastAsia" w:cstheme="minorEastAsia"/>
          <w:sz w:val="24"/>
          <w:szCs w:val="24"/>
          <w:lang w:eastAsia="zh-CN"/>
        </w:rPr>
      </w:pPr>
      <w:bookmarkStart w:id="391" w:name="_Toc82524744"/>
      <w:r>
        <w:rPr>
          <w:rFonts w:hint="eastAsia" w:asciiTheme="minorEastAsia" w:hAnsiTheme="minorEastAsia" w:eastAsiaTheme="minorEastAsia" w:cstheme="minorEastAsia"/>
          <w:sz w:val="24"/>
          <w:szCs w:val="24"/>
          <w:lang w:eastAsia="zh-CN"/>
        </w:rPr>
        <w:t>16.6质疑人捏造事实、提供虚假材料或者以非法手段取得证明材料进行质疑和投诉的，其质疑和投诉无效，并应承担相应的经济和法律责任。</w:t>
      </w:r>
      <w:bookmarkEnd w:id="391"/>
    </w:p>
    <w:p w14:paraId="2A229D1B">
      <w:pPr>
        <w:spacing w:line="360" w:lineRule="auto"/>
        <w:ind w:firstLine="466" w:firstLineChars="200"/>
        <w:rPr>
          <w:rFonts w:asciiTheme="minorEastAsia" w:hAnsiTheme="minorEastAsia" w:eastAsiaTheme="minorEastAsia" w:cstheme="minorEastAsia"/>
          <w:b/>
          <w:bCs/>
          <w:spacing w:val="-4"/>
          <w:sz w:val="24"/>
          <w:szCs w:val="24"/>
          <w:lang w:eastAsia="zh-CN"/>
        </w:rPr>
      </w:pPr>
      <w:r>
        <w:rPr>
          <w:rFonts w:hint="eastAsia" w:asciiTheme="minorEastAsia" w:hAnsiTheme="minorEastAsia" w:eastAsiaTheme="minorEastAsia" w:cstheme="minorEastAsia"/>
          <w:b/>
          <w:bCs/>
          <w:spacing w:val="-4"/>
          <w:sz w:val="24"/>
          <w:szCs w:val="24"/>
          <w:lang w:eastAsia="zh-CN"/>
        </w:rPr>
        <w:br w:type="page"/>
      </w:r>
    </w:p>
    <w:p w14:paraId="37BE375B">
      <w:pPr>
        <w:pStyle w:val="6"/>
        <w:spacing w:before="117" w:line="220" w:lineRule="auto"/>
        <w:ind w:left="3235"/>
        <w:outlineLvl w:val="0"/>
        <w:rPr>
          <w:rFonts w:hint="eastAsia" w:asciiTheme="minorEastAsia" w:hAnsiTheme="minorEastAsia" w:eastAsiaTheme="minorEastAsia" w:cstheme="minorEastAsia"/>
          <w:b/>
          <w:bCs/>
          <w:spacing w:val="-5"/>
          <w:sz w:val="36"/>
          <w:szCs w:val="36"/>
          <w:lang w:eastAsia="zh-CN"/>
        </w:rPr>
      </w:pPr>
      <w:bookmarkStart w:id="392" w:name="_Toc20230"/>
      <w:r>
        <w:rPr>
          <w:rFonts w:hint="eastAsia" w:asciiTheme="minorEastAsia" w:hAnsiTheme="minorEastAsia" w:eastAsiaTheme="minorEastAsia" w:cstheme="minorEastAsia"/>
          <w:b/>
          <w:bCs/>
          <w:spacing w:val="-5"/>
          <w:sz w:val="36"/>
          <w:szCs w:val="36"/>
          <w:lang w:eastAsia="zh-CN"/>
        </w:rPr>
        <w:t>第三部分 合同条款及格式</w:t>
      </w:r>
      <w:bookmarkEnd w:id="392"/>
    </w:p>
    <w:p w14:paraId="6DE13913">
      <w:pPr>
        <w:rPr>
          <w:rFonts w:asciiTheme="minorEastAsia" w:hAnsiTheme="minorEastAsia" w:eastAsiaTheme="minorEastAsia" w:cstheme="minorEastAsia"/>
          <w:sz w:val="24"/>
          <w:szCs w:val="24"/>
          <w:lang w:eastAsia="zh-CN"/>
        </w:rPr>
      </w:pPr>
    </w:p>
    <w:p w14:paraId="5E835252">
      <w:pPr>
        <w:rPr>
          <w:rFonts w:asciiTheme="minorEastAsia" w:hAnsiTheme="minorEastAsia" w:eastAsiaTheme="minorEastAsia" w:cstheme="minorEastAsia"/>
          <w:sz w:val="24"/>
          <w:szCs w:val="24"/>
          <w:lang w:eastAsia="zh-CN"/>
        </w:rPr>
      </w:pPr>
    </w:p>
    <w:p w14:paraId="1A2CC0B7">
      <w:pPr>
        <w:rPr>
          <w:rFonts w:asciiTheme="minorEastAsia" w:hAnsiTheme="minorEastAsia" w:eastAsiaTheme="minorEastAsia" w:cstheme="minorEastAsia"/>
          <w:sz w:val="24"/>
          <w:szCs w:val="24"/>
          <w:lang w:eastAsia="zh-CN"/>
        </w:rPr>
      </w:pPr>
    </w:p>
    <w:p w14:paraId="3DC76D9D">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52"/>
          <w:szCs w:val="52"/>
          <w:lang w:eastAsia="zh-CN"/>
        </w:rPr>
        <w:t>鲁山县教育体育局鲁山县农村义务教育学校营养改善计划食材采购项目</w:t>
      </w:r>
    </w:p>
    <w:p w14:paraId="1745F222">
      <w:pPr>
        <w:ind w:firstLine="2249" w:firstLineChars="800"/>
        <w:jc w:val="both"/>
        <w:rPr>
          <w:rFonts w:asciiTheme="minorEastAsia" w:hAnsiTheme="minorEastAsia" w:eastAsiaTheme="minorEastAsia" w:cstheme="minorEastAsia"/>
          <w:b/>
          <w:bCs/>
          <w:sz w:val="28"/>
          <w:szCs w:val="28"/>
          <w:lang w:eastAsia="zh-CN"/>
        </w:rPr>
      </w:pPr>
    </w:p>
    <w:p w14:paraId="2DAC24D4">
      <w:pPr>
        <w:ind w:firstLine="2249" w:firstLineChars="800"/>
        <w:jc w:val="both"/>
        <w:rPr>
          <w:rFonts w:asciiTheme="minorEastAsia" w:hAnsiTheme="minorEastAsia" w:eastAsiaTheme="minorEastAsia" w:cstheme="minorEastAsia"/>
          <w:b/>
          <w:bCs/>
          <w:sz w:val="28"/>
          <w:szCs w:val="28"/>
          <w:u w:val="single"/>
          <w:lang w:eastAsia="zh-CN"/>
        </w:rPr>
      </w:pPr>
      <w:r>
        <w:rPr>
          <w:rFonts w:hint="eastAsia" w:asciiTheme="minorEastAsia" w:hAnsiTheme="minorEastAsia" w:eastAsiaTheme="minorEastAsia" w:cstheme="minorEastAsia"/>
          <w:b/>
          <w:bCs/>
          <w:sz w:val="28"/>
          <w:szCs w:val="28"/>
          <w:lang w:eastAsia="zh-CN"/>
        </w:rPr>
        <w:t>项目编号：</w:t>
      </w:r>
      <w:r>
        <w:rPr>
          <w:rFonts w:hint="eastAsia" w:asciiTheme="minorEastAsia" w:hAnsiTheme="minorEastAsia" w:eastAsiaTheme="minorEastAsia" w:cstheme="minorEastAsia"/>
          <w:b/>
          <w:bCs/>
          <w:sz w:val="28"/>
          <w:szCs w:val="28"/>
          <w:u w:val="single"/>
          <w:lang w:eastAsia="zh-CN"/>
        </w:rPr>
        <w:t xml:space="preserve">                     </w:t>
      </w:r>
    </w:p>
    <w:p w14:paraId="0E0BE3D6">
      <w:pPr>
        <w:rPr>
          <w:rFonts w:asciiTheme="minorEastAsia" w:hAnsiTheme="minorEastAsia" w:eastAsiaTheme="minorEastAsia" w:cstheme="minorEastAsia"/>
          <w:b/>
          <w:bCs/>
          <w:sz w:val="28"/>
          <w:szCs w:val="28"/>
          <w:u w:val="single"/>
          <w:lang w:eastAsia="zh-CN"/>
        </w:rPr>
      </w:pPr>
    </w:p>
    <w:p w14:paraId="1DA039F2">
      <w:pPr>
        <w:rPr>
          <w:rFonts w:asciiTheme="minorEastAsia" w:hAnsiTheme="minorEastAsia" w:eastAsiaTheme="minorEastAsia" w:cstheme="minorEastAsia"/>
          <w:b/>
          <w:bCs/>
          <w:sz w:val="28"/>
          <w:szCs w:val="28"/>
          <w:u w:val="single"/>
          <w:lang w:eastAsia="zh-CN"/>
        </w:rPr>
      </w:pPr>
    </w:p>
    <w:p w14:paraId="405720B8">
      <w:pPr>
        <w:jc w:val="center"/>
        <w:rPr>
          <w:rFonts w:asciiTheme="minorEastAsia" w:hAnsiTheme="minorEastAsia" w:eastAsiaTheme="minorEastAsia" w:cstheme="minorEastAsia"/>
          <w:b/>
          <w:bCs/>
          <w:sz w:val="28"/>
          <w:szCs w:val="28"/>
          <w:lang w:eastAsia="zh-CN"/>
        </w:rPr>
      </w:pPr>
    </w:p>
    <w:p w14:paraId="7222515B">
      <w:pPr>
        <w:jc w:val="center"/>
        <w:rPr>
          <w:rFonts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eastAsiaTheme="minorEastAsia" w:cstheme="minorEastAsia"/>
          <w:b/>
          <w:bCs/>
          <w:sz w:val="28"/>
          <w:szCs w:val="28"/>
          <w:lang w:eastAsia="zh-CN"/>
        </w:rPr>
        <w:t>标段</w:t>
      </w:r>
    </w:p>
    <w:p w14:paraId="210CCBC0">
      <w:pPr>
        <w:jc w:val="center"/>
        <w:rPr>
          <w:rFonts w:asciiTheme="minorEastAsia" w:hAnsiTheme="minorEastAsia" w:eastAsiaTheme="minorEastAsia" w:cstheme="minorEastAsia"/>
          <w:b/>
          <w:bCs/>
          <w:sz w:val="28"/>
          <w:szCs w:val="28"/>
          <w:lang w:eastAsia="zh-CN"/>
        </w:rPr>
      </w:pPr>
    </w:p>
    <w:p w14:paraId="4DB05867">
      <w:pPr>
        <w:jc w:val="center"/>
        <w:rPr>
          <w:rFonts w:asciiTheme="minorEastAsia" w:hAnsiTheme="minorEastAsia" w:eastAsiaTheme="minorEastAsia" w:cstheme="minorEastAsia"/>
          <w:b/>
          <w:bCs/>
          <w:sz w:val="36"/>
          <w:szCs w:val="36"/>
          <w:lang w:eastAsia="zh-CN"/>
        </w:rPr>
      </w:pPr>
    </w:p>
    <w:p w14:paraId="6F4EBB78">
      <w:pPr>
        <w:jc w:val="center"/>
        <w:rPr>
          <w:rFonts w:asciiTheme="minorEastAsia" w:hAnsiTheme="minorEastAsia" w:eastAsiaTheme="minorEastAsia" w:cstheme="minorEastAsia"/>
          <w:b/>
          <w:bCs/>
          <w:sz w:val="36"/>
          <w:szCs w:val="36"/>
          <w:lang w:eastAsia="zh-CN"/>
        </w:rPr>
      </w:pPr>
    </w:p>
    <w:p w14:paraId="0BF0925D">
      <w:pPr>
        <w:jc w:val="center"/>
        <w:rPr>
          <w:rFonts w:asciiTheme="minorEastAsia" w:hAnsiTheme="minorEastAsia" w:eastAsiaTheme="minorEastAsia" w:cstheme="minorEastAsia"/>
          <w:b/>
          <w:bCs/>
          <w:sz w:val="36"/>
          <w:szCs w:val="36"/>
          <w:lang w:eastAsia="zh-CN"/>
        </w:rPr>
      </w:pPr>
    </w:p>
    <w:p w14:paraId="7BB3369B">
      <w:pPr>
        <w:jc w:val="center"/>
        <w:rPr>
          <w:rFonts w:asciiTheme="minorEastAsia" w:hAnsiTheme="minorEastAsia" w:eastAsiaTheme="minorEastAsia" w:cstheme="minorEastAsia"/>
          <w:b/>
          <w:bCs/>
          <w:sz w:val="36"/>
          <w:szCs w:val="36"/>
          <w:lang w:eastAsia="zh-CN"/>
        </w:rPr>
      </w:pPr>
    </w:p>
    <w:p w14:paraId="130EC484">
      <w:pPr>
        <w:jc w:val="center"/>
        <w:rPr>
          <w:rFonts w:asciiTheme="minorEastAsia" w:hAnsiTheme="minorEastAsia" w:eastAsiaTheme="minorEastAsia" w:cstheme="minorEastAsia"/>
          <w:b/>
          <w:bCs/>
          <w:sz w:val="36"/>
          <w:szCs w:val="36"/>
          <w:lang w:eastAsia="zh-CN"/>
        </w:rPr>
      </w:pPr>
    </w:p>
    <w:p w14:paraId="6F01CDFB">
      <w:pPr>
        <w:rPr>
          <w:rFonts w:asciiTheme="minorEastAsia" w:hAnsiTheme="minorEastAsia" w:eastAsiaTheme="minorEastAsia" w:cstheme="minorEastAsia"/>
          <w:b/>
          <w:bCs/>
          <w:sz w:val="36"/>
          <w:szCs w:val="36"/>
          <w:lang w:eastAsia="zh-CN"/>
        </w:rPr>
      </w:pPr>
    </w:p>
    <w:p w14:paraId="0C5F48F0">
      <w:pPr>
        <w:jc w:val="center"/>
        <w:rPr>
          <w:rFonts w:asciiTheme="minorEastAsia" w:hAnsiTheme="minorEastAsia" w:eastAsiaTheme="minorEastAsia" w:cstheme="minorEastAsia"/>
          <w:b/>
          <w:bCs/>
          <w:sz w:val="36"/>
          <w:szCs w:val="36"/>
          <w:lang w:eastAsia="zh-CN"/>
        </w:rPr>
      </w:pPr>
    </w:p>
    <w:p w14:paraId="04F8CCDD">
      <w:pPr>
        <w:jc w:val="center"/>
        <w:rPr>
          <w:rFonts w:asciiTheme="minorEastAsia" w:hAnsiTheme="minorEastAsia" w:eastAsiaTheme="minorEastAsia" w:cstheme="minorEastAsia"/>
          <w:b/>
          <w:bCs/>
          <w:sz w:val="36"/>
          <w:szCs w:val="36"/>
          <w:lang w:eastAsia="zh-CN"/>
        </w:rPr>
      </w:pPr>
    </w:p>
    <w:p w14:paraId="326B4DFF">
      <w:pPr>
        <w:jc w:val="center"/>
        <w:rPr>
          <w:rFonts w:asciiTheme="minorEastAsia" w:hAnsiTheme="minorEastAsia" w:eastAsiaTheme="minorEastAsia" w:cstheme="minorEastAsia"/>
          <w:b/>
          <w:bCs/>
          <w:sz w:val="36"/>
          <w:szCs w:val="36"/>
          <w:lang w:eastAsia="zh-CN"/>
        </w:rPr>
      </w:pPr>
    </w:p>
    <w:p w14:paraId="182F2EDF">
      <w:pPr>
        <w:jc w:val="center"/>
        <w:rPr>
          <w:rFonts w:asciiTheme="minorEastAsia" w:hAnsiTheme="minorEastAsia" w:eastAsiaTheme="minorEastAsia" w:cstheme="minorEastAsia"/>
          <w:b/>
          <w:bCs/>
          <w:sz w:val="36"/>
          <w:szCs w:val="36"/>
          <w:lang w:eastAsia="zh-CN"/>
        </w:rPr>
      </w:pPr>
    </w:p>
    <w:p w14:paraId="7B40CF64">
      <w:pPr>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鲁山县教育体育局</w:t>
      </w:r>
    </w:p>
    <w:p w14:paraId="45BD39B7">
      <w:pPr>
        <w:jc w:val="center"/>
        <w:rPr>
          <w:rFonts w:asciiTheme="minorEastAsia" w:hAnsiTheme="minorEastAsia" w:eastAsiaTheme="minorEastAsia" w:cstheme="minorEastAsia"/>
          <w:b/>
          <w:bCs/>
          <w:sz w:val="36"/>
          <w:szCs w:val="36"/>
          <w:lang w:eastAsia="zh-CN"/>
        </w:rPr>
      </w:pPr>
    </w:p>
    <w:p w14:paraId="6B187FE1">
      <w:pPr>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u w:val="single"/>
          <w:lang w:eastAsia="zh-CN"/>
        </w:rPr>
        <w:t xml:space="preserve">    </w:t>
      </w:r>
      <w:r>
        <w:rPr>
          <w:rFonts w:hint="eastAsia" w:asciiTheme="minorEastAsia" w:hAnsiTheme="minorEastAsia" w:eastAsiaTheme="minorEastAsia" w:cstheme="minorEastAsia"/>
          <w:b/>
          <w:bCs/>
          <w:sz w:val="36"/>
          <w:szCs w:val="36"/>
          <w:lang w:eastAsia="zh-CN"/>
        </w:rPr>
        <w:t>年</w:t>
      </w:r>
      <w:r>
        <w:rPr>
          <w:rFonts w:hint="eastAsia" w:asciiTheme="minorEastAsia" w:hAnsiTheme="minorEastAsia" w:eastAsiaTheme="minorEastAsia" w:cstheme="minorEastAsia"/>
          <w:b/>
          <w:bCs/>
          <w:sz w:val="36"/>
          <w:szCs w:val="36"/>
          <w:u w:val="single"/>
          <w:lang w:eastAsia="zh-CN"/>
        </w:rPr>
        <w:t xml:space="preserve">    </w:t>
      </w:r>
      <w:r>
        <w:rPr>
          <w:rFonts w:hint="eastAsia" w:asciiTheme="minorEastAsia" w:hAnsiTheme="minorEastAsia" w:eastAsiaTheme="minorEastAsia" w:cstheme="minorEastAsia"/>
          <w:b/>
          <w:bCs/>
          <w:sz w:val="36"/>
          <w:szCs w:val="36"/>
          <w:lang w:eastAsia="zh-CN"/>
        </w:rPr>
        <w:t>月</w:t>
      </w:r>
      <w:r>
        <w:rPr>
          <w:rFonts w:hint="eastAsia" w:asciiTheme="minorEastAsia" w:hAnsiTheme="minorEastAsia" w:eastAsiaTheme="minorEastAsia" w:cstheme="minorEastAsia"/>
          <w:b/>
          <w:bCs/>
          <w:sz w:val="36"/>
          <w:szCs w:val="36"/>
          <w:u w:val="single"/>
          <w:lang w:eastAsia="zh-CN"/>
        </w:rPr>
        <w:t xml:space="preserve">    </w:t>
      </w:r>
      <w:r>
        <w:rPr>
          <w:rFonts w:hint="eastAsia" w:asciiTheme="minorEastAsia" w:hAnsiTheme="minorEastAsia" w:eastAsiaTheme="minorEastAsia" w:cstheme="minorEastAsia"/>
          <w:b/>
          <w:bCs/>
          <w:sz w:val="36"/>
          <w:szCs w:val="36"/>
          <w:lang w:eastAsia="zh-CN"/>
        </w:rPr>
        <w:t>日</w:t>
      </w:r>
    </w:p>
    <w:p w14:paraId="5FF95552">
      <w:pP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br w:type="page"/>
      </w:r>
    </w:p>
    <w:p w14:paraId="1C2B5E31">
      <w:pPr>
        <w:pStyle w:val="6"/>
        <w:spacing w:line="360" w:lineRule="auto"/>
        <w:ind w:firstLine="480" w:firstLineChars="200"/>
        <w:rPr>
          <w:rFonts w:asciiTheme="minorEastAsia" w:hAnsiTheme="minorEastAsia" w:eastAsiaTheme="minorEastAsia" w:cstheme="minorEastAsia"/>
          <w:sz w:val="24"/>
          <w:szCs w:val="24"/>
          <w:lang w:eastAsia="zh-CN"/>
        </w:rPr>
      </w:pPr>
    </w:p>
    <w:p w14:paraId="6B383B97">
      <w:pPr>
        <w:pStyle w:val="6"/>
        <w:spacing w:line="360" w:lineRule="auto"/>
        <w:ind w:firstLine="643" w:firstLineChars="200"/>
        <w:jc w:val="center"/>
        <w:rPr>
          <w:rFonts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鲁山县教育体育局鲁山县农村义务教育学校营养改善计划食材采购项目供货合同</w:t>
      </w:r>
    </w:p>
    <w:p w14:paraId="04B0C23A">
      <w:pPr>
        <w:pStyle w:val="6"/>
        <w:spacing w:line="360" w:lineRule="auto"/>
        <w:ind w:firstLine="480" w:firstLineChars="200"/>
        <w:rPr>
          <w:rFonts w:asciiTheme="minorEastAsia" w:hAnsiTheme="minorEastAsia" w:eastAsiaTheme="minorEastAsia" w:cstheme="minorEastAsia"/>
          <w:sz w:val="24"/>
          <w:szCs w:val="24"/>
          <w:lang w:eastAsia="zh-CN"/>
        </w:rPr>
      </w:pPr>
    </w:p>
    <w:p w14:paraId="2DD5DE57">
      <w:pPr>
        <w:pStyle w:val="6"/>
        <w:spacing w:line="360" w:lineRule="auto"/>
        <w:ind w:firstLine="48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项目编号：</w:t>
      </w:r>
      <w:r>
        <w:rPr>
          <w:rFonts w:hint="eastAsia" w:asciiTheme="minorEastAsia" w:hAnsiTheme="minorEastAsia" w:eastAsiaTheme="minorEastAsia" w:cstheme="minorEastAsia"/>
          <w:sz w:val="24"/>
          <w:szCs w:val="24"/>
          <w:u w:val="single"/>
          <w:lang w:eastAsia="zh-CN"/>
        </w:rPr>
        <w:t xml:space="preserve">                                                  </w:t>
      </w:r>
    </w:p>
    <w:p w14:paraId="72EB7553">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标段：</w:t>
      </w:r>
      <w:r>
        <w:rPr>
          <w:rFonts w:hint="eastAsia" w:asciiTheme="minorEastAsia" w:hAnsiTheme="minorEastAsia" w:eastAsiaTheme="minorEastAsia" w:cstheme="minorEastAsia"/>
          <w:sz w:val="24"/>
          <w:szCs w:val="24"/>
          <w:u w:val="single"/>
          <w:lang w:eastAsia="zh-CN"/>
        </w:rPr>
        <w:t xml:space="preserve">                                                      </w:t>
      </w:r>
    </w:p>
    <w:p w14:paraId="6F40D2A0">
      <w:pPr>
        <w:pStyle w:val="6"/>
        <w:spacing w:line="360" w:lineRule="auto"/>
        <w:ind w:firstLine="48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u w:val="single"/>
          <w:lang w:eastAsia="zh-CN"/>
        </w:rPr>
        <w:t xml:space="preserve">                                                      </w:t>
      </w:r>
    </w:p>
    <w:p w14:paraId="6C4A47FA">
      <w:pPr>
        <w:pStyle w:val="6"/>
        <w:spacing w:line="360" w:lineRule="auto"/>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法人代表：</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职务：</w:t>
      </w:r>
      <w:r>
        <w:rPr>
          <w:rFonts w:hint="eastAsia" w:asciiTheme="minorEastAsia" w:hAnsiTheme="minorEastAsia" w:eastAsiaTheme="minorEastAsia" w:cstheme="minorEastAsia"/>
          <w:sz w:val="24"/>
          <w:szCs w:val="24"/>
          <w:u w:val="single"/>
          <w:lang w:eastAsia="zh-CN"/>
        </w:rPr>
        <w:t xml:space="preserve">                    </w:t>
      </w:r>
    </w:p>
    <w:p w14:paraId="1534A09A">
      <w:pPr>
        <w:pStyle w:val="6"/>
        <w:spacing w:line="360" w:lineRule="auto"/>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r>
        <w:rPr>
          <w:rFonts w:hint="eastAsia" w:asciiTheme="minorEastAsia" w:hAnsiTheme="minorEastAsia" w:eastAsiaTheme="minorEastAsia" w:cstheme="minorEastAsia"/>
          <w:sz w:val="24"/>
          <w:szCs w:val="24"/>
          <w:u w:val="single"/>
          <w:lang w:eastAsia="zh-CN"/>
        </w:rPr>
        <w:t xml:space="preserve">                                                </w:t>
      </w:r>
    </w:p>
    <w:p w14:paraId="6012466B">
      <w:pPr>
        <w:pStyle w:val="6"/>
        <w:spacing w:line="360" w:lineRule="auto"/>
        <w:ind w:firstLine="48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u w:val="single"/>
          <w:lang w:eastAsia="zh-CN"/>
        </w:rPr>
        <w:t xml:space="preserve">                                                      </w:t>
      </w:r>
    </w:p>
    <w:p w14:paraId="05DD8D56">
      <w:pPr>
        <w:pStyle w:val="6"/>
        <w:spacing w:line="360" w:lineRule="auto"/>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法人代表：</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职务：</w:t>
      </w:r>
      <w:r>
        <w:rPr>
          <w:rFonts w:hint="eastAsia" w:asciiTheme="minorEastAsia" w:hAnsiTheme="minorEastAsia" w:eastAsiaTheme="minorEastAsia" w:cstheme="minorEastAsia"/>
          <w:sz w:val="24"/>
          <w:szCs w:val="24"/>
          <w:u w:val="single"/>
          <w:lang w:eastAsia="zh-CN"/>
        </w:rPr>
        <w:t xml:space="preserve">                    </w:t>
      </w:r>
    </w:p>
    <w:p w14:paraId="20BE4EB0">
      <w:pPr>
        <w:pStyle w:val="6"/>
        <w:spacing w:line="360" w:lineRule="auto"/>
        <w:ind w:firstLine="1200" w:firstLineChars="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r>
        <w:rPr>
          <w:rFonts w:hint="eastAsia" w:asciiTheme="minorEastAsia" w:hAnsiTheme="minorEastAsia" w:eastAsiaTheme="minorEastAsia" w:cstheme="minorEastAsia"/>
          <w:sz w:val="24"/>
          <w:szCs w:val="24"/>
          <w:u w:val="single"/>
          <w:lang w:eastAsia="zh-CN"/>
        </w:rPr>
        <w:t xml:space="preserve">                                                </w:t>
      </w:r>
    </w:p>
    <w:p w14:paraId="3415BAA6">
      <w:pPr>
        <w:pStyle w:val="6"/>
        <w:spacing w:line="360" w:lineRule="auto"/>
        <w:ind w:firstLine="48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eastAsia="zh-CN"/>
        </w:rPr>
        <w:t>合同履行期限：</w:t>
      </w:r>
      <w:r>
        <w:rPr>
          <w:rFonts w:hint="eastAsia" w:asciiTheme="minorEastAsia" w:hAnsiTheme="minorEastAsia" w:eastAsiaTheme="minorEastAsia" w:cstheme="minorEastAsia"/>
          <w:sz w:val="24"/>
          <w:szCs w:val="24"/>
          <w:u w:val="single"/>
          <w:lang w:eastAsia="zh-CN"/>
        </w:rPr>
        <w:t xml:space="preserve">                                              </w:t>
      </w:r>
    </w:p>
    <w:p w14:paraId="044802DD">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鲁山县教育体育局（甲方）在202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-202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学年度鲁山县教育体育局鲁山县农村义务教育学校营养改善计划食材采购项目经公开招标，确定</w:t>
      </w:r>
      <w:r>
        <w:rPr>
          <w:rFonts w:hint="eastAsia" w:asciiTheme="minorEastAsia" w:hAnsiTheme="minorEastAsia" w:eastAsiaTheme="minorEastAsia" w:cstheme="minorEastAsia"/>
          <w:spacing w:val="-120"/>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pacing w:val="-1"/>
          <w:sz w:val="24"/>
          <w:szCs w:val="24"/>
          <w:lang w:eastAsia="zh-CN"/>
        </w:rPr>
        <w:t>）为中标人。甲乙双方根据《中华人民共和国政府采购法》、《中华人民共和国民法典》</w:t>
      </w:r>
      <w:r>
        <w:rPr>
          <w:rFonts w:hint="eastAsia" w:asciiTheme="minorEastAsia" w:hAnsiTheme="minorEastAsia" w:eastAsiaTheme="minorEastAsia" w:cstheme="minorEastAsia"/>
          <w:spacing w:val="-2"/>
          <w:sz w:val="24"/>
          <w:szCs w:val="24"/>
          <w:lang w:eastAsia="zh-CN"/>
        </w:rPr>
        <w:t>等相关法律法规以及本项目招标文件的规定，经平等协商达成合同如下：</w:t>
      </w:r>
    </w:p>
    <w:p w14:paraId="6A87773A">
      <w:pPr>
        <w:pStyle w:val="6"/>
        <w:spacing w:line="360" w:lineRule="auto"/>
        <w:ind w:firstLine="458" w:firstLineChars="200"/>
        <w:rPr>
          <w:rFonts w:asciiTheme="minorEastAsia" w:hAnsiTheme="minorEastAsia" w:eastAsiaTheme="minorEastAsia" w:cstheme="minorEastAsia"/>
          <w:sz w:val="24"/>
          <w:szCs w:val="24"/>
          <w:lang w:eastAsia="zh-CN"/>
        </w:rPr>
      </w:pPr>
      <w:bookmarkStart w:id="393" w:name="_Toc24451"/>
      <w:r>
        <w:rPr>
          <w:rFonts w:hint="eastAsia" w:asciiTheme="minorEastAsia" w:hAnsiTheme="minorEastAsia" w:eastAsiaTheme="minorEastAsia" w:cstheme="minorEastAsia"/>
          <w:b/>
          <w:bCs/>
          <w:spacing w:val="-6"/>
          <w:sz w:val="24"/>
          <w:szCs w:val="24"/>
          <w:lang w:eastAsia="zh-CN"/>
        </w:rPr>
        <w:t>一、合同价格</w:t>
      </w:r>
      <w:bookmarkEnd w:id="393"/>
    </w:p>
    <w:p w14:paraId="4FE9A2F5">
      <w:pPr>
        <w:pStyle w:val="6"/>
        <w:spacing w:line="360" w:lineRule="auto"/>
        <w:ind w:firstLine="45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1.合同总价</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6"/>
          <w:sz w:val="24"/>
          <w:szCs w:val="24"/>
          <w:u w:val="single"/>
          <w:lang w:eastAsia="zh-CN"/>
        </w:rPr>
        <w:t>（以学生实际食用数量结账为准）</w:t>
      </w:r>
    </w:p>
    <w:p w14:paraId="26A21267">
      <w:pPr>
        <w:pStyle w:val="6"/>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2.本合同价格包含食品金额及运输、财产及第三方人身损害赔偿保险、食品安全责任险、指导储存、食用等费用，是在食品交付前、交付时所发生或引起的本合同相关的全部成本、费用等，以及依约在交付后所需承担的指导、检验等售后服务价格的综合，且为完税后价格。</w:t>
      </w:r>
    </w:p>
    <w:p w14:paraId="730C2B59">
      <w:pPr>
        <w:pStyle w:val="6"/>
        <w:wordWrap w:val="0"/>
        <w:spacing w:line="360" w:lineRule="auto"/>
        <w:ind w:firstLine="47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食材及价格的确定：所有配送食材品牌规格均由乙方提供，同一类食材应提供多个品牌且为本地市场常见的名优产品由甲方选定。乙方为保证食材的新鲜度，采购的食品原(辅)材料，鼓励在鲁山县境内优先采购;本地确实无法采购的品类，征得甲方同意备案后可以自行采购。食材单价由中标人提供参考价格，由采购人询价确定最终价格，所有食材单价不高于鲁山当地市场价格。</w:t>
      </w:r>
    </w:p>
    <w:p w14:paraId="7A06CF4B">
      <w:pPr>
        <w:pStyle w:val="6"/>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乙方应确保每人每天平均营养午餐根据当期价格可达到五元标</w:t>
      </w:r>
      <w:r>
        <w:rPr>
          <w:rFonts w:hint="eastAsia" w:asciiTheme="minorEastAsia" w:hAnsiTheme="minorEastAsia" w:eastAsiaTheme="minorEastAsia" w:cstheme="minorEastAsia"/>
          <w:spacing w:val="-4"/>
          <w:sz w:val="24"/>
          <w:szCs w:val="24"/>
          <w:lang w:eastAsia="zh-CN"/>
        </w:rPr>
        <w:t>准；</w:t>
      </w:r>
    </w:p>
    <w:p w14:paraId="3E75C77B">
      <w:pPr>
        <w:pStyle w:val="6"/>
        <w:numPr>
          <w:ilvl w:val="0"/>
          <w:numId w:val="0"/>
        </w:numPr>
        <w:wordWrap w:val="0"/>
        <w:spacing w:line="360" w:lineRule="auto"/>
        <w:ind w:left="476" w:leftChars="0"/>
        <w:rPr>
          <w:rFonts w:asciiTheme="minorEastAsia" w:hAnsiTheme="minorEastAsia" w:eastAsiaTheme="minorEastAsia" w:cstheme="minorEastAsia"/>
          <w:spacing w:val="1"/>
          <w:sz w:val="24"/>
          <w:szCs w:val="24"/>
          <w:highlight w:val="none"/>
          <w:lang w:eastAsia="zh-CN"/>
        </w:rPr>
      </w:pPr>
      <w:bookmarkStart w:id="394" w:name="_Toc11095"/>
      <w:r>
        <w:rPr>
          <w:rFonts w:asciiTheme="minorEastAsia" w:hAnsiTheme="minorEastAsia" w:eastAsiaTheme="minorEastAsia" w:cstheme="minorEastAsia"/>
          <w:snapToGrid w:val="0"/>
          <w:color w:val="000000"/>
          <w:spacing w:val="1"/>
          <w:sz w:val="24"/>
          <w:szCs w:val="24"/>
          <w:lang w:val="en-US" w:eastAsia="zh-CN" w:bidi="ar-SA"/>
        </w:rPr>
        <w:t>4.</w:t>
      </w:r>
      <w:r>
        <w:rPr>
          <w:rFonts w:hint="eastAsia" w:asciiTheme="minorEastAsia" w:hAnsiTheme="minorEastAsia" w:eastAsiaTheme="minorEastAsia" w:cstheme="minorEastAsia"/>
          <w:spacing w:val="-2"/>
          <w:sz w:val="24"/>
          <w:szCs w:val="24"/>
          <w:highlight w:val="none"/>
          <w:lang w:eastAsia="zh-CN"/>
        </w:rPr>
        <w:t>付款方式</w:t>
      </w:r>
      <w:r>
        <w:rPr>
          <w:rFonts w:hint="eastAsia" w:asciiTheme="minorEastAsia" w:hAnsiTheme="minorEastAsia" w:eastAsiaTheme="minorEastAsia" w:cstheme="minorEastAsia"/>
          <w:spacing w:val="1"/>
          <w:sz w:val="24"/>
          <w:szCs w:val="24"/>
          <w:highlight w:val="none"/>
          <w:lang w:eastAsia="zh-CN"/>
        </w:rPr>
        <w:t>：</w:t>
      </w:r>
      <w:bookmarkEnd w:id="394"/>
      <w:r>
        <w:rPr>
          <w:rFonts w:hint="eastAsia" w:asciiTheme="minorEastAsia" w:hAnsiTheme="minorEastAsia" w:eastAsiaTheme="minorEastAsia" w:cstheme="minorEastAsia"/>
          <w:spacing w:val="1"/>
          <w:sz w:val="24"/>
          <w:szCs w:val="24"/>
          <w:highlight w:val="none"/>
          <w:lang w:eastAsia="zh-CN"/>
        </w:rPr>
        <w:t>由学校统计每月供货数量及金额，乡镇中心校审核，教体局汇总</w:t>
      </w:r>
    </w:p>
    <w:p w14:paraId="70B65FBB">
      <w:pPr>
        <w:pStyle w:val="6"/>
        <w:numPr>
          <w:ilvl w:val="0"/>
          <w:numId w:val="0"/>
        </w:numPr>
        <w:wordWrap w:val="0"/>
        <w:spacing w:line="360" w:lineRule="auto"/>
        <w:rPr>
          <w:rFonts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后至次月十日前，按相关程序报送财政预算系统提交付款申请，按月付款。</w:t>
      </w:r>
    </w:p>
    <w:p w14:paraId="7E5B5EC5">
      <w:pPr>
        <w:pStyle w:val="6"/>
        <w:wordWrap w:val="0"/>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5.配送模式：使用净菜配送模式</w:t>
      </w:r>
    </w:p>
    <w:p w14:paraId="369E9661">
      <w:pPr>
        <w:pStyle w:val="6"/>
        <w:wordWrap w:val="0"/>
        <w:spacing w:line="360" w:lineRule="auto"/>
        <w:ind w:firstLine="466" w:firstLineChars="200"/>
        <w:rPr>
          <w:rFonts w:asciiTheme="minorEastAsia" w:hAnsiTheme="minorEastAsia" w:eastAsiaTheme="minorEastAsia" w:cstheme="minorEastAsia"/>
          <w:sz w:val="24"/>
          <w:szCs w:val="24"/>
          <w:lang w:eastAsia="zh-CN"/>
        </w:rPr>
      </w:pPr>
      <w:bookmarkStart w:id="395" w:name="_Toc10087"/>
      <w:r>
        <w:rPr>
          <w:rFonts w:hint="eastAsia" w:asciiTheme="minorEastAsia" w:hAnsiTheme="minorEastAsia" w:eastAsiaTheme="minorEastAsia" w:cstheme="minorEastAsia"/>
          <w:b/>
          <w:bCs/>
          <w:spacing w:val="-4"/>
          <w:sz w:val="24"/>
          <w:szCs w:val="24"/>
          <w:lang w:eastAsia="zh-CN"/>
        </w:rPr>
        <w:t>二、交货方式</w:t>
      </w:r>
      <w:bookmarkEnd w:id="395"/>
    </w:p>
    <w:p w14:paraId="6CD7FE73">
      <w:pPr>
        <w:pStyle w:val="6"/>
        <w:wordWrap w:val="0"/>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1.按照每人每天平均五元的午餐食材标准，根据不同季节，以时令新鲜蔬菜为主，</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由乙方提供全年不少于60个菜品的营养均衡的带量食谱，保证每餐二菜一汤一</w:t>
      </w:r>
      <w:r>
        <w:rPr>
          <w:rFonts w:hint="eastAsia" w:asciiTheme="minorEastAsia" w:hAnsiTheme="minorEastAsia" w:eastAsiaTheme="minorEastAsia" w:cstheme="minorEastAsia"/>
          <w:spacing w:val="-3"/>
          <w:sz w:val="24"/>
          <w:szCs w:val="24"/>
          <w:lang w:eastAsia="zh-CN"/>
        </w:rPr>
        <w:t>主食（一</w:t>
      </w:r>
      <w:r>
        <w:rPr>
          <w:rFonts w:hint="eastAsia" w:asciiTheme="minorEastAsia" w:hAnsiTheme="minorEastAsia" w:eastAsiaTheme="minorEastAsia" w:cstheme="minorEastAsia"/>
          <w:spacing w:val="1"/>
          <w:sz w:val="24"/>
          <w:szCs w:val="24"/>
          <w:lang w:eastAsia="zh-CN"/>
        </w:rPr>
        <w:t>荤、一素、一主食、一汤）。以中心校为单位提前选定每周的食谱，生产及配送商根据</w:t>
      </w:r>
      <w:r>
        <w:rPr>
          <w:rFonts w:hint="eastAsia" w:asciiTheme="minorEastAsia" w:hAnsiTheme="minorEastAsia" w:eastAsiaTheme="minorEastAsia" w:cstheme="minorEastAsia"/>
          <w:spacing w:val="-3"/>
          <w:sz w:val="24"/>
          <w:szCs w:val="24"/>
          <w:lang w:eastAsia="zh-CN"/>
        </w:rPr>
        <w:t>学校选定的食谱对所需的各类食材进行采购，并进行定时、定量精准配送至各学校。米、面、油、</w:t>
      </w:r>
      <w:r>
        <w:rPr>
          <w:rFonts w:hint="eastAsia" w:asciiTheme="minorEastAsia" w:hAnsiTheme="minorEastAsia" w:eastAsiaTheme="minorEastAsia" w:cstheme="minorEastAsia"/>
          <w:spacing w:val="-2"/>
          <w:sz w:val="24"/>
          <w:szCs w:val="24"/>
          <w:lang w:eastAsia="zh-CN"/>
        </w:rPr>
        <w:t>干调类根据学校用量实行周配送，生鲜类每天配送。</w:t>
      </w:r>
    </w:p>
    <w:p w14:paraId="67BF6842">
      <w:pPr>
        <w:pStyle w:val="6"/>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2.乙方配送的生鲜类（蔬菜、肉、鸡蛋、水果等）原料，必须从源头种养殖一采购一</w:t>
      </w:r>
      <w:r>
        <w:rPr>
          <w:rFonts w:hint="eastAsia" w:asciiTheme="minorEastAsia" w:hAnsiTheme="minorEastAsia" w:eastAsiaTheme="minorEastAsia" w:cstheme="minorEastAsia"/>
          <w:spacing w:val="-1"/>
          <w:sz w:val="24"/>
          <w:szCs w:val="24"/>
          <w:lang w:eastAsia="zh-CN"/>
        </w:rPr>
        <w:t>运输</w:t>
      </w:r>
      <w:r>
        <w:rPr>
          <w:rFonts w:hint="eastAsia" w:asciiTheme="minorEastAsia" w:hAnsiTheme="minorEastAsia" w:eastAsiaTheme="minorEastAsia" w:cstheme="minorEastAsia"/>
          <w:spacing w:val="-2"/>
          <w:sz w:val="24"/>
          <w:szCs w:val="24"/>
          <w:lang w:eastAsia="zh-CN"/>
        </w:rPr>
        <w:t>一</w:t>
      </w:r>
      <w:r>
        <w:rPr>
          <w:rFonts w:hint="eastAsia" w:asciiTheme="minorEastAsia" w:hAnsiTheme="minorEastAsia" w:eastAsiaTheme="minorEastAsia" w:cstheme="minorEastAsia"/>
          <w:spacing w:val="-1"/>
          <w:sz w:val="24"/>
          <w:szCs w:val="24"/>
          <w:lang w:eastAsia="zh-CN"/>
        </w:rPr>
        <w:t>储存</w:t>
      </w:r>
      <w:r>
        <w:rPr>
          <w:rFonts w:hint="eastAsia" w:asciiTheme="minorEastAsia" w:hAnsiTheme="minorEastAsia" w:eastAsiaTheme="minorEastAsia" w:cstheme="minorEastAsia"/>
          <w:spacing w:val="-2"/>
          <w:sz w:val="24"/>
          <w:szCs w:val="24"/>
          <w:lang w:eastAsia="zh-CN"/>
        </w:rPr>
        <w:t>一</w:t>
      </w:r>
      <w:r>
        <w:rPr>
          <w:rFonts w:hint="eastAsia" w:asciiTheme="minorEastAsia" w:hAnsiTheme="minorEastAsia" w:eastAsiaTheme="minorEastAsia" w:cstheme="minorEastAsia"/>
          <w:spacing w:val="-1"/>
          <w:sz w:val="24"/>
          <w:szCs w:val="24"/>
          <w:lang w:eastAsia="zh-CN"/>
        </w:rPr>
        <w:t>粗加工</w:t>
      </w:r>
      <w:r>
        <w:rPr>
          <w:rFonts w:hint="eastAsia" w:asciiTheme="minorEastAsia" w:hAnsiTheme="minorEastAsia" w:eastAsiaTheme="minorEastAsia" w:cstheme="minorEastAsia"/>
          <w:spacing w:val="-2"/>
          <w:sz w:val="24"/>
          <w:szCs w:val="24"/>
          <w:lang w:eastAsia="zh-CN"/>
        </w:rPr>
        <w:t>一</w:t>
      </w:r>
      <w:r>
        <w:rPr>
          <w:rFonts w:hint="eastAsia" w:asciiTheme="minorEastAsia" w:hAnsiTheme="minorEastAsia" w:eastAsiaTheme="minorEastAsia" w:cstheme="minorEastAsia"/>
          <w:spacing w:val="-1"/>
          <w:sz w:val="24"/>
          <w:szCs w:val="24"/>
          <w:lang w:eastAsia="zh-CN"/>
        </w:rPr>
        <w:t>细加工都有安全控制措施，送到学校的肉、蔬菜等生鲜类</w:t>
      </w:r>
      <w:r>
        <w:rPr>
          <w:rFonts w:hint="eastAsia" w:asciiTheme="minorEastAsia" w:hAnsiTheme="minorEastAsia" w:eastAsiaTheme="minorEastAsia" w:cstheme="minorEastAsia"/>
          <w:spacing w:val="-2"/>
          <w:sz w:val="24"/>
          <w:szCs w:val="24"/>
          <w:lang w:eastAsia="zh-CN"/>
        </w:rPr>
        <w:t>为干净、</w:t>
      </w:r>
      <w:r>
        <w:rPr>
          <w:rFonts w:hint="eastAsia" w:asciiTheme="minorEastAsia" w:hAnsiTheme="minorEastAsia" w:eastAsiaTheme="minorEastAsia" w:cstheme="minorEastAsia"/>
          <w:spacing w:val="-3"/>
          <w:sz w:val="24"/>
          <w:szCs w:val="24"/>
          <w:lang w:eastAsia="zh-CN"/>
        </w:rPr>
        <w:t>安全卫生的半成品，学校在接收后可直接烹饪加工。所配送的食品原材料必须经过包装，</w:t>
      </w:r>
      <w:r>
        <w:rPr>
          <w:rFonts w:hint="eastAsia" w:asciiTheme="minorEastAsia" w:hAnsiTheme="minorEastAsia" w:eastAsiaTheme="minorEastAsia" w:cstheme="minorEastAsia"/>
          <w:spacing w:val="1"/>
          <w:sz w:val="24"/>
          <w:szCs w:val="24"/>
          <w:lang w:eastAsia="zh-CN"/>
        </w:rPr>
        <w:t>食品包装必须具有保鲜防菌功能，达到食品安全存放相关要求，确保食品原材料质量安</w:t>
      </w:r>
      <w:r>
        <w:rPr>
          <w:rFonts w:hint="eastAsia" w:asciiTheme="minorEastAsia" w:hAnsiTheme="minorEastAsia" w:eastAsiaTheme="minorEastAsia" w:cstheme="minorEastAsia"/>
          <w:spacing w:val="-1"/>
          <w:sz w:val="24"/>
          <w:szCs w:val="24"/>
          <w:lang w:eastAsia="zh-CN"/>
        </w:rPr>
        <w:t>全无害，符合《食品安全法》等相关法律、法规的规定，达</w:t>
      </w:r>
      <w:r>
        <w:rPr>
          <w:rFonts w:hint="eastAsia" w:asciiTheme="minorEastAsia" w:hAnsiTheme="minorEastAsia" w:eastAsiaTheme="minorEastAsia" w:cstheme="minorEastAsia"/>
          <w:spacing w:val="-2"/>
          <w:sz w:val="24"/>
          <w:szCs w:val="24"/>
          <w:lang w:eastAsia="zh-CN"/>
        </w:rPr>
        <w:t>到国家相关要求。</w:t>
      </w:r>
    </w:p>
    <w:p w14:paraId="6A4B1458">
      <w:pPr>
        <w:pStyle w:val="6"/>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3.生产及配送商必须具有食品安全检测检验能力，有自己的监测化验室及专业检测人员，所供食品必须留样且提供每批次的安全检测报告。</w:t>
      </w:r>
    </w:p>
    <w:p w14:paraId="32D654AD">
      <w:pPr>
        <w:pStyle w:val="6"/>
        <w:wordWrap w:val="0"/>
        <w:spacing w:line="360" w:lineRule="auto"/>
        <w:ind w:firstLine="466" w:firstLineChars="200"/>
        <w:rPr>
          <w:rFonts w:asciiTheme="minorEastAsia" w:hAnsiTheme="minorEastAsia" w:eastAsiaTheme="minorEastAsia" w:cstheme="minorEastAsia"/>
          <w:sz w:val="24"/>
          <w:szCs w:val="24"/>
          <w:lang w:eastAsia="zh-CN"/>
        </w:rPr>
      </w:pPr>
      <w:bookmarkStart w:id="396" w:name="_Toc24255"/>
      <w:r>
        <w:rPr>
          <w:rFonts w:hint="eastAsia" w:asciiTheme="minorEastAsia" w:hAnsiTheme="minorEastAsia" w:eastAsiaTheme="minorEastAsia" w:cstheme="minorEastAsia"/>
          <w:b/>
          <w:bCs/>
          <w:spacing w:val="-4"/>
          <w:sz w:val="24"/>
          <w:szCs w:val="24"/>
          <w:lang w:eastAsia="zh-CN"/>
        </w:rPr>
        <w:t>三、服务周期：</w:t>
      </w:r>
      <w:bookmarkEnd w:id="396"/>
    </w:p>
    <w:p w14:paraId="56E3EB41">
      <w:pPr>
        <w:pStyle w:val="6"/>
        <w:wordWrap w:val="0"/>
        <w:spacing w:line="360" w:lineRule="auto"/>
        <w:ind w:firstLine="46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1.乙方自</w:t>
      </w:r>
      <w:r>
        <w:rPr>
          <w:rFonts w:hint="eastAsia" w:asciiTheme="minorEastAsia" w:hAnsiTheme="minorEastAsia" w:eastAsiaTheme="minorEastAsia" w:cstheme="minorEastAsia"/>
          <w:spacing w:val="-117"/>
          <w:sz w:val="24"/>
          <w:szCs w:val="24"/>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09"/>
          <w:sz w:val="24"/>
          <w:szCs w:val="24"/>
          <w:lang w:eastAsia="zh-CN"/>
        </w:rPr>
        <w:t xml:space="preserve"> </w:t>
      </w:r>
      <w:r>
        <w:rPr>
          <w:rFonts w:hint="eastAsia" w:asciiTheme="minorEastAsia" w:hAnsiTheme="minorEastAsia" w:eastAsiaTheme="minorEastAsia" w:cstheme="minorEastAsia"/>
          <w:spacing w:val="-5"/>
          <w:sz w:val="24"/>
          <w:szCs w:val="24"/>
          <w:lang w:eastAsia="zh-CN"/>
        </w:rPr>
        <w:t>年</w:t>
      </w:r>
      <w:r>
        <w:rPr>
          <w:rFonts w:hint="eastAsia" w:asciiTheme="minorEastAsia" w:hAnsiTheme="minorEastAsia" w:eastAsiaTheme="minorEastAsia" w:cstheme="minorEastAsia"/>
          <w:spacing w:val="-117"/>
          <w:sz w:val="24"/>
          <w:szCs w:val="24"/>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02"/>
          <w:sz w:val="24"/>
          <w:szCs w:val="24"/>
          <w:lang w:eastAsia="zh-CN"/>
        </w:rPr>
        <w:t xml:space="preserve"> </w:t>
      </w:r>
      <w:r>
        <w:rPr>
          <w:rFonts w:hint="eastAsia" w:asciiTheme="minorEastAsia" w:hAnsiTheme="minorEastAsia" w:eastAsiaTheme="minorEastAsia" w:cstheme="minorEastAsia"/>
          <w:spacing w:val="-5"/>
          <w:sz w:val="24"/>
          <w:szCs w:val="24"/>
          <w:lang w:eastAsia="zh-CN"/>
        </w:rPr>
        <w:t>月</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5"/>
          <w:sz w:val="24"/>
          <w:szCs w:val="24"/>
          <w:lang w:eastAsia="zh-CN"/>
        </w:rPr>
        <w:t>日开始供货，</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lang w:eastAsia="zh-CN"/>
        </w:rPr>
        <w:t>年</w:t>
      </w:r>
      <w:r>
        <w:rPr>
          <w:rFonts w:hint="eastAsia" w:asciiTheme="minorEastAsia" w:hAnsiTheme="minorEastAsia" w:eastAsiaTheme="minorEastAsia" w:cstheme="minorEastAsia"/>
          <w:spacing w:val="-118"/>
          <w:sz w:val="24"/>
          <w:szCs w:val="24"/>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02"/>
          <w:sz w:val="24"/>
          <w:szCs w:val="24"/>
          <w:lang w:eastAsia="zh-CN"/>
        </w:rPr>
        <w:t xml:space="preserve"> </w:t>
      </w:r>
      <w:r>
        <w:rPr>
          <w:rFonts w:hint="eastAsia" w:asciiTheme="minorEastAsia" w:hAnsiTheme="minorEastAsia" w:eastAsiaTheme="minorEastAsia" w:cstheme="minorEastAsia"/>
          <w:spacing w:val="-5"/>
          <w:sz w:val="24"/>
          <w:szCs w:val="24"/>
          <w:lang w:eastAsia="zh-CN"/>
        </w:rPr>
        <w:t>月</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5"/>
          <w:sz w:val="24"/>
          <w:szCs w:val="24"/>
          <w:lang w:eastAsia="zh-CN"/>
        </w:rPr>
        <w:t>日截止；配送</w:t>
      </w:r>
      <w:r>
        <w:rPr>
          <w:rFonts w:hint="eastAsia" w:asciiTheme="minorEastAsia" w:hAnsiTheme="minorEastAsia" w:eastAsiaTheme="minorEastAsia" w:cstheme="minorEastAsia"/>
          <w:spacing w:val="-4"/>
          <w:sz w:val="24"/>
          <w:szCs w:val="24"/>
          <w:lang w:eastAsia="zh-CN"/>
        </w:rPr>
        <w:t>服务周期为：</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95"/>
          <w:sz w:val="24"/>
          <w:szCs w:val="24"/>
          <w:lang w:eastAsia="zh-CN"/>
        </w:rPr>
        <w:t xml:space="preserve"> </w:t>
      </w:r>
      <w:r>
        <w:rPr>
          <w:rFonts w:hint="eastAsia" w:asciiTheme="minorEastAsia" w:hAnsiTheme="minorEastAsia" w:eastAsiaTheme="minorEastAsia" w:cstheme="minorEastAsia"/>
          <w:spacing w:val="-4"/>
          <w:sz w:val="24"/>
          <w:szCs w:val="24"/>
          <w:lang w:eastAsia="zh-CN"/>
        </w:rPr>
        <w:t>学年；</w:t>
      </w:r>
    </w:p>
    <w:p w14:paraId="389BFAD3">
      <w:pPr>
        <w:pStyle w:val="6"/>
        <w:wordWrap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日常考核：在服务过程中出现质量问题被甲方一年下达三次书面整改通知书且未整</w:t>
      </w:r>
      <w:r>
        <w:rPr>
          <w:rFonts w:hint="eastAsia" w:asciiTheme="minorEastAsia" w:hAnsiTheme="minorEastAsia" w:eastAsiaTheme="minorEastAsia" w:cstheme="minorEastAsia"/>
          <w:spacing w:val="1"/>
          <w:sz w:val="24"/>
          <w:szCs w:val="24"/>
          <w:lang w:eastAsia="zh-CN"/>
        </w:rPr>
        <w:t>改到位的，甲方有权终止合同。若出现食品安全事故的，乙方无条</w:t>
      </w:r>
      <w:r>
        <w:rPr>
          <w:rFonts w:hint="eastAsia" w:asciiTheme="minorEastAsia" w:hAnsiTheme="minorEastAsia" w:eastAsiaTheme="minorEastAsia" w:cstheme="minorEastAsia"/>
          <w:spacing w:val="-3"/>
          <w:sz w:val="24"/>
          <w:szCs w:val="24"/>
          <w:lang w:eastAsia="zh-CN"/>
        </w:rPr>
        <w:t>件退出，并承担相应的责任。</w:t>
      </w:r>
    </w:p>
    <w:p w14:paraId="606697AD">
      <w:pPr>
        <w:pStyle w:val="6"/>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月度考核：甲方每月将对乙方进行考评，月优秀率高于80%的，视为考核合格；月累计3次考核不合格，无条件终止合同。</w:t>
      </w:r>
    </w:p>
    <w:p w14:paraId="129F3C66">
      <w:pPr>
        <w:pStyle w:val="6"/>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10"/>
          <w:sz w:val="24"/>
          <w:szCs w:val="24"/>
          <w:lang w:eastAsia="zh-CN"/>
        </w:rPr>
      </w:pPr>
      <w:r>
        <w:rPr>
          <w:rFonts w:hint="eastAsia" w:asciiTheme="minorEastAsia" w:hAnsiTheme="minorEastAsia" w:eastAsiaTheme="minorEastAsia" w:cstheme="minorEastAsia"/>
          <w:spacing w:val="-2"/>
          <w:sz w:val="24"/>
          <w:szCs w:val="24"/>
          <w:lang w:eastAsia="zh-CN"/>
        </w:rPr>
        <w:t>年度考核：甲方每年对乙方进行2次年度考核，考核不合格视为乙方违约，甲方有</w:t>
      </w:r>
      <w:r>
        <w:rPr>
          <w:rFonts w:hint="eastAsia" w:asciiTheme="minorEastAsia" w:hAnsiTheme="minorEastAsia" w:eastAsiaTheme="minorEastAsia" w:cstheme="minorEastAsia"/>
          <w:spacing w:val="-10"/>
          <w:sz w:val="24"/>
          <w:szCs w:val="24"/>
          <w:lang w:eastAsia="zh-CN"/>
        </w:rPr>
        <w:t>权终止合同；</w:t>
      </w:r>
    </w:p>
    <w:p w14:paraId="60288805">
      <w:pPr>
        <w:pStyle w:val="6"/>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eastAsiaTheme="minorEastAsia"/>
          <w:lang w:eastAsia="zh-CN"/>
        </w:rPr>
      </w:pPr>
      <w:r>
        <w:rPr>
          <w:rFonts w:hint="eastAsia" w:asciiTheme="minorEastAsia" w:hAnsiTheme="minorEastAsia" w:eastAsiaTheme="minorEastAsia" w:cstheme="minorEastAsia"/>
          <w:spacing w:val="-2"/>
          <w:sz w:val="24"/>
          <w:szCs w:val="24"/>
          <w:lang w:eastAsia="zh-CN"/>
        </w:rPr>
        <w:t>因违约、考核不合格及其他违反合同事项被清退，或因其自身原因无法继续履行合同的生产及配送商，其负责配送的区域，由甲方选择本项目其他标段的中标人继续履行合同，不再重新招标。</w:t>
      </w:r>
    </w:p>
    <w:p w14:paraId="4E2BA738">
      <w:pPr>
        <w:pStyle w:val="6"/>
        <w:wordWrap w:val="0"/>
        <w:spacing w:line="360" w:lineRule="auto"/>
        <w:ind w:firstLine="462" w:firstLineChars="200"/>
        <w:rPr>
          <w:rFonts w:asciiTheme="minorEastAsia" w:hAnsiTheme="minorEastAsia" w:eastAsiaTheme="minorEastAsia" w:cstheme="minorEastAsia"/>
          <w:sz w:val="24"/>
          <w:szCs w:val="24"/>
          <w:lang w:eastAsia="zh-CN"/>
        </w:rPr>
      </w:pPr>
      <w:bookmarkStart w:id="397" w:name="_Toc6028"/>
      <w:r>
        <w:rPr>
          <w:rFonts w:hint="eastAsia" w:asciiTheme="minorEastAsia" w:hAnsiTheme="minorEastAsia" w:eastAsiaTheme="minorEastAsia" w:cstheme="minorEastAsia"/>
          <w:b/>
          <w:bCs/>
          <w:spacing w:val="-5"/>
          <w:sz w:val="24"/>
          <w:szCs w:val="24"/>
          <w:lang w:eastAsia="zh-CN"/>
        </w:rPr>
        <w:t>四、技术规格及食品规格</w:t>
      </w:r>
      <w:bookmarkEnd w:id="397"/>
    </w:p>
    <w:p w14:paraId="7B4D7897">
      <w:pPr>
        <w:wordWrap w:val="0"/>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所有配送食材品牌规格均由乙方提供，由甲方选定，乙方应保证食材的新鲜度，采</w:t>
      </w:r>
      <w:r>
        <w:rPr>
          <w:rFonts w:hint="eastAsia" w:asciiTheme="minorEastAsia" w:hAnsiTheme="minorEastAsia" w:eastAsiaTheme="minorEastAsia" w:cstheme="minorEastAsia"/>
          <w:spacing w:val="-5"/>
          <w:sz w:val="24"/>
          <w:szCs w:val="24"/>
          <w:lang w:eastAsia="zh-CN"/>
        </w:rPr>
        <w:t>购的食品原（辅）材料，鼓励在鲁山县境内优先采购，本地确实无法采购</w:t>
      </w:r>
      <w:r>
        <w:rPr>
          <w:rFonts w:hint="eastAsia" w:asciiTheme="minorEastAsia" w:hAnsiTheme="minorEastAsia" w:eastAsiaTheme="minorEastAsia" w:cstheme="minorEastAsia"/>
          <w:spacing w:val="-6"/>
          <w:sz w:val="24"/>
          <w:szCs w:val="24"/>
          <w:lang w:eastAsia="zh-CN"/>
        </w:rPr>
        <w:t>的品类，征得</w:t>
      </w:r>
      <w:r>
        <w:rPr>
          <w:rFonts w:hint="eastAsia" w:asciiTheme="minorEastAsia" w:hAnsiTheme="minorEastAsia" w:eastAsiaTheme="minorEastAsia" w:cstheme="minorEastAsia"/>
          <w:spacing w:val="-4"/>
          <w:sz w:val="24"/>
          <w:szCs w:val="24"/>
          <w:lang w:eastAsia="zh-CN"/>
        </w:rPr>
        <w:t>甲方同意后可以自行采购。</w:t>
      </w:r>
    </w:p>
    <w:p w14:paraId="0B9B4FC4">
      <w:pPr>
        <w:wordWrap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1.小麦粉为专用馒头粉、特等一级粉，符合国家GB/T 1355-2021标准要求。</w:t>
      </w:r>
    </w:p>
    <w:p w14:paraId="56A68B48">
      <w:pPr>
        <w:wordWrap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2.大米符合GB/T 1354-2018标准要求标准，优质一级大米，合格证，并有质量检验报告。</w:t>
      </w:r>
    </w:p>
    <w:p w14:paraId="410EC863">
      <w:pPr>
        <w:wordWrap w:val="0"/>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3.食用油为非转基因一级大豆油（符合GB/T 1535-2017标准）、花生油（符合GB/T 1534-2017标准）、菜籽油（符合GB/T 1536-2021标准）、芝麻油（符合GB/T 8233-2018标准）。</w:t>
      </w:r>
    </w:p>
    <w:p w14:paraId="359F4084">
      <w:pPr>
        <w:wordWrap w:val="0"/>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4.鲜肉类必须来自定点屠宰企业并提供两章两证，即：有动物检疫验讫印章和动物</w:t>
      </w:r>
      <w:r>
        <w:rPr>
          <w:rFonts w:hint="eastAsia" w:asciiTheme="minorEastAsia" w:hAnsiTheme="minorEastAsia" w:eastAsiaTheme="minorEastAsia" w:cstheme="minorEastAsia"/>
          <w:sz w:val="24"/>
          <w:szCs w:val="24"/>
          <w:lang w:eastAsia="zh-CN"/>
        </w:rPr>
        <w:t xml:space="preserve"> 检验验讫印章、有动物检验检疫合格证明和品</w:t>
      </w:r>
      <w:r>
        <w:rPr>
          <w:rFonts w:hint="eastAsia" w:asciiTheme="minorEastAsia" w:hAnsiTheme="minorEastAsia" w:eastAsiaTheme="minorEastAsia" w:cstheme="minorEastAsia"/>
          <w:spacing w:val="-1"/>
          <w:sz w:val="24"/>
          <w:szCs w:val="24"/>
          <w:lang w:eastAsia="zh-CN"/>
        </w:rPr>
        <w:t>质检验合格证明；禽蛋必须保证新鲜、无</w:t>
      </w:r>
      <w:r>
        <w:rPr>
          <w:rFonts w:hint="eastAsia" w:asciiTheme="minorEastAsia" w:hAnsiTheme="minorEastAsia" w:eastAsiaTheme="minorEastAsia" w:cstheme="minorEastAsia"/>
          <w:spacing w:val="-10"/>
          <w:sz w:val="24"/>
          <w:szCs w:val="24"/>
          <w:lang w:eastAsia="zh-CN"/>
        </w:rPr>
        <w:t>公害。</w:t>
      </w:r>
    </w:p>
    <w:p w14:paraId="1B810285">
      <w:pPr>
        <w:wordWrap w:val="0"/>
        <w:spacing w:line="360" w:lineRule="auto"/>
        <w:ind w:firstLine="51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5.干调类必须具有“</w:t>
      </w:r>
      <w:r>
        <w:rPr>
          <w:rFonts w:hint="eastAsia" w:asciiTheme="minorEastAsia" w:hAnsiTheme="minorEastAsia" w:eastAsiaTheme="minorEastAsia" w:cstheme="minorEastAsia"/>
          <w:sz w:val="24"/>
          <w:szCs w:val="24"/>
          <w:lang w:eastAsia="zh-CN"/>
        </w:rPr>
        <w:t>QS</w:t>
      </w:r>
      <w:r>
        <w:rPr>
          <w:rFonts w:hint="eastAsia" w:asciiTheme="minorEastAsia" w:hAnsiTheme="minorEastAsia" w:eastAsiaTheme="minorEastAsia" w:cstheme="minorEastAsia"/>
          <w:spacing w:val="8"/>
          <w:sz w:val="24"/>
          <w:szCs w:val="24"/>
          <w:lang w:eastAsia="zh-CN"/>
        </w:rPr>
        <w:t>”或“</w:t>
      </w:r>
      <w:r>
        <w:rPr>
          <w:rFonts w:hint="eastAsia" w:asciiTheme="minorEastAsia" w:hAnsiTheme="minorEastAsia" w:eastAsiaTheme="minorEastAsia" w:cstheme="minorEastAsia"/>
          <w:sz w:val="24"/>
          <w:szCs w:val="24"/>
          <w:lang w:eastAsia="zh-CN"/>
        </w:rPr>
        <w:t>SC</w:t>
      </w:r>
      <w:r>
        <w:rPr>
          <w:rFonts w:hint="eastAsia" w:asciiTheme="minorEastAsia" w:hAnsiTheme="minorEastAsia" w:eastAsiaTheme="minorEastAsia" w:cstheme="minorEastAsia"/>
          <w:spacing w:val="8"/>
          <w:sz w:val="24"/>
          <w:szCs w:val="24"/>
          <w:lang w:eastAsia="zh-CN"/>
        </w:rPr>
        <w:t>”食品质量认证标志，配料必须符合国家食品安全</w:t>
      </w:r>
      <w:r>
        <w:rPr>
          <w:rFonts w:hint="eastAsia" w:asciiTheme="minorEastAsia" w:hAnsiTheme="minorEastAsia" w:eastAsiaTheme="minorEastAsia" w:cstheme="minorEastAsia"/>
          <w:spacing w:val="-4"/>
          <w:sz w:val="24"/>
          <w:szCs w:val="24"/>
          <w:lang w:eastAsia="zh-CN"/>
        </w:rPr>
        <w:t>相关要求的名优商品。</w:t>
      </w:r>
    </w:p>
    <w:p w14:paraId="1D5C7795">
      <w:pPr>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6.蔬菜类必须保证新鲜，无农药残留、无重金属超标等，符合国家食品安全标准。</w:t>
      </w:r>
    </w:p>
    <w:p w14:paraId="029A2049">
      <w:pPr>
        <w:pStyle w:val="6"/>
        <w:wordWrap w:val="0"/>
        <w:spacing w:line="360" w:lineRule="auto"/>
        <w:ind w:firstLine="462" w:firstLineChars="200"/>
        <w:rPr>
          <w:rFonts w:asciiTheme="minorEastAsia" w:hAnsiTheme="minorEastAsia" w:eastAsiaTheme="minorEastAsia" w:cstheme="minorEastAsia"/>
          <w:sz w:val="24"/>
          <w:szCs w:val="24"/>
          <w:lang w:eastAsia="zh-CN"/>
        </w:rPr>
      </w:pPr>
      <w:bookmarkStart w:id="398" w:name="_Toc23865"/>
      <w:r>
        <w:rPr>
          <w:rFonts w:hint="eastAsia" w:asciiTheme="minorEastAsia" w:hAnsiTheme="minorEastAsia" w:eastAsiaTheme="minorEastAsia" w:cstheme="minorEastAsia"/>
          <w:b/>
          <w:bCs/>
          <w:spacing w:val="-5"/>
          <w:sz w:val="24"/>
          <w:szCs w:val="24"/>
          <w:lang w:eastAsia="zh-CN"/>
        </w:rPr>
        <w:t>五、配送</w:t>
      </w:r>
      <w:bookmarkEnd w:id="398"/>
    </w:p>
    <w:p w14:paraId="7D4AEB9B">
      <w:pPr>
        <w:wordWrap w:val="0"/>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1.乙方</w:t>
      </w:r>
      <w:r>
        <w:rPr>
          <w:rFonts w:hint="eastAsia" w:asciiTheme="minorEastAsia" w:hAnsiTheme="minorEastAsia" w:eastAsiaTheme="minorEastAsia" w:cstheme="minorEastAsia"/>
          <w:spacing w:val="-1"/>
          <w:sz w:val="24"/>
          <w:szCs w:val="24"/>
          <w:lang w:eastAsia="zh-CN"/>
        </w:rPr>
        <w:t>配送中心需含有停车场、办公区、加工</w:t>
      </w:r>
      <w:r>
        <w:rPr>
          <w:rFonts w:hint="eastAsia" w:asciiTheme="minorEastAsia" w:hAnsiTheme="minorEastAsia" w:eastAsiaTheme="minorEastAsia" w:cstheme="minorEastAsia"/>
          <w:sz w:val="24"/>
          <w:szCs w:val="24"/>
          <w:lang w:eastAsia="zh-CN"/>
        </w:rPr>
        <w:t>区、仓储区、冷藏库等场所和能满足配送标准要</w:t>
      </w:r>
      <w:r>
        <w:rPr>
          <w:rFonts w:hint="eastAsia" w:asciiTheme="minorEastAsia" w:hAnsiTheme="minorEastAsia" w:eastAsiaTheme="minorEastAsia" w:cstheme="minorEastAsia"/>
          <w:spacing w:val="-1"/>
          <w:sz w:val="24"/>
          <w:szCs w:val="24"/>
          <w:lang w:eastAsia="zh-CN"/>
        </w:rPr>
        <w:t>求和配送需求量的运输车辆，并对运输</w:t>
      </w:r>
      <w:r>
        <w:rPr>
          <w:rFonts w:hint="eastAsia" w:asciiTheme="minorEastAsia" w:hAnsiTheme="minorEastAsia" w:eastAsiaTheme="minorEastAsia" w:cstheme="minorEastAsia"/>
          <w:spacing w:val="1"/>
          <w:sz w:val="24"/>
          <w:szCs w:val="24"/>
          <w:lang w:eastAsia="zh-CN"/>
        </w:rPr>
        <w:t>车辆进行全程监控及对运输车辆安全责任事故负责。仓库必须达到食品安全存放要求，厂房的进出口区域、食品加工区域、食品储存区域等功能区必须安装监控设备，冷藏运</w:t>
      </w:r>
      <w:r>
        <w:rPr>
          <w:rFonts w:hint="eastAsia" w:asciiTheme="minorEastAsia" w:hAnsiTheme="minorEastAsia" w:eastAsiaTheme="minorEastAsia" w:cstheme="minorEastAsia"/>
          <w:spacing w:val="-3"/>
          <w:sz w:val="24"/>
          <w:szCs w:val="24"/>
          <w:lang w:eastAsia="zh-CN"/>
        </w:rPr>
        <w:t>输车及专用食品材料配送车辆必须保证需求。</w:t>
      </w:r>
    </w:p>
    <w:p w14:paraId="26949E4E">
      <w:pPr>
        <w:wordWrap w:val="0"/>
        <w:spacing w:line="360" w:lineRule="auto"/>
        <w:ind w:firstLine="444" w:firstLineChars="20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9"/>
          <w:sz w:val="24"/>
          <w:szCs w:val="24"/>
          <w:lang w:eastAsia="zh-CN"/>
        </w:rPr>
        <w:t>2.为确保食品安全，不允许乙方对合同内容进行分包或转包，所有食材必须从乙方</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2"/>
          <w:sz w:val="24"/>
          <w:szCs w:val="24"/>
          <w:lang w:eastAsia="zh-CN"/>
        </w:rPr>
        <w:t>配送中心统一分装配送，若出现分包或转包，甲方有权终止合同。</w:t>
      </w:r>
    </w:p>
    <w:p w14:paraId="109DF0FF">
      <w:pPr>
        <w:wordWrap w:val="0"/>
        <w:spacing w:line="360" w:lineRule="auto"/>
        <w:ind w:firstLine="472" w:firstLineChars="200"/>
        <w:rPr>
          <w:rFonts w:hint="default"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乙方应充分考虑实际配送地点，并建立相近的配送中心，除按要求在每天最后配送时间结束前，完成当天所有配送工作外，还应建立应急配送机制，如出现意外情况导致当天配送无法按时送达时，应立即调配其他配送车辆及食材，保证两小时内应急配送到位。</w:t>
      </w:r>
    </w:p>
    <w:p w14:paraId="0D83F35E">
      <w:pPr>
        <w:pStyle w:val="6"/>
        <w:wordWrap w:val="0"/>
        <w:spacing w:line="360" w:lineRule="auto"/>
        <w:ind w:firstLine="462" w:firstLineChars="200"/>
        <w:rPr>
          <w:rFonts w:asciiTheme="minorEastAsia" w:hAnsiTheme="minorEastAsia" w:eastAsiaTheme="minorEastAsia" w:cstheme="minorEastAsia"/>
          <w:b/>
          <w:bCs/>
          <w:spacing w:val="-5"/>
          <w:sz w:val="24"/>
          <w:szCs w:val="24"/>
          <w:lang w:eastAsia="zh-CN"/>
        </w:rPr>
      </w:pPr>
      <w:r>
        <w:rPr>
          <w:rFonts w:hint="eastAsia" w:asciiTheme="minorEastAsia" w:hAnsiTheme="minorEastAsia" w:eastAsiaTheme="minorEastAsia" w:cstheme="minorEastAsia"/>
          <w:b/>
          <w:bCs/>
          <w:spacing w:val="-5"/>
          <w:sz w:val="24"/>
          <w:szCs w:val="24"/>
          <w:lang w:eastAsia="zh-CN"/>
        </w:rPr>
        <w:t>六、食材采购管理系统</w:t>
      </w:r>
    </w:p>
    <w:p w14:paraId="6946DBAA">
      <w:pPr>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中标人应承诺签订合同30日历天内为本项目提供食材采购管理系统，系统的主要功能包括采购管理、食材追溯、库存管理、数据分析等。通过食材采购管理系统，采购人能够及时了解到供应商的价格、库存、交货期等信息，从而进行合理的采购计划。</w:t>
      </w:r>
    </w:p>
    <w:p w14:paraId="4C2E8A04">
      <w:pPr>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72" w:firstLineChars="200"/>
        <w:textAlignment w:val="baseline"/>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1.采购管理：为采购人和中心校设置监管及管理账号，可实现采购计划的制定、审批、执行和监控，确保采购过程的透明度和规范性。</w:t>
      </w:r>
    </w:p>
    <w:p w14:paraId="03F6CC30">
      <w:pPr>
        <w:wordWrap w:val="0"/>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2.食材追溯：可对食材来源、运输、存储等环节进行全程追溯，确保食材来源可靠、质量可控。此外，通过数据分析，可对食材消耗进行预测，合理安排采购计划，避免浪费。</w:t>
      </w:r>
    </w:p>
    <w:p w14:paraId="05C8477F">
      <w:pPr>
        <w:wordWrap w:val="0"/>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 库存管理：可实现食材库存的实时监控和预警，确保食材新鲜度，减少库存积压。同时，通过对库存数据的分析，为食堂管理者及采购人提供决策支持，优化库存结构。</w:t>
      </w:r>
    </w:p>
    <w:p w14:paraId="459A5097">
      <w:pPr>
        <w:wordWrap w:val="0"/>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4.数据分析：可对采购、库存、销售等数据进行统计分析，采购人可实时查看全部供货订单及供货金额且可从系统导出数据等功能。</w:t>
      </w:r>
    </w:p>
    <w:p w14:paraId="36506959">
      <w:pPr>
        <w:pStyle w:val="6"/>
        <w:wordWrap w:val="0"/>
        <w:spacing w:line="360" w:lineRule="auto"/>
        <w:ind w:firstLine="470" w:firstLineChars="200"/>
        <w:rPr>
          <w:rFonts w:asciiTheme="minorEastAsia" w:hAnsiTheme="minorEastAsia" w:eastAsiaTheme="minorEastAsia" w:cstheme="minorEastAsia"/>
          <w:sz w:val="24"/>
          <w:szCs w:val="24"/>
          <w:lang w:eastAsia="zh-CN"/>
        </w:rPr>
      </w:pPr>
      <w:bookmarkStart w:id="399" w:name="_Toc13801"/>
      <w:r>
        <w:rPr>
          <w:rFonts w:hint="eastAsia" w:asciiTheme="minorEastAsia" w:hAnsiTheme="minorEastAsia" w:eastAsiaTheme="minorEastAsia" w:cstheme="minorEastAsia"/>
          <w:b/>
          <w:bCs/>
          <w:spacing w:val="-3"/>
          <w:sz w:val="24"/>
          <w:szCs w:val="24"/>
          <w:lang w:eastAsia="zh-CN"/>
        </w:rPr>
        <w:t>七、双方的责任和义务</w:t>
      </w:r>
      <w:bookmarkEnd w:id="399"/>
    </w:p>
    <w:p w14:paraId="5C4E6EB8">
      <w:pPr>
        <w:pStyle w:val="6"/>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1.乙方所供米面油须取得有关生产许可证、营业执照、商标注册证等</w:t>
      </w:r>
      <w:r>
        <w:rPr>
          <w:rFonts w:hint="eastAsia" w:asciiTheme="minorEastAsia" w:hAnsiTheme="minorEastAsia" w:eastAsiaTheme="minorEastAsia" w:cstheme="minorEastAsia"/>
          <w:spacing w:val="-1"/>
          <w:sz w:val="24"/>
          <w:szCs w:val="24"/>
          <w:lang w:eastAsia="zh-CN"/>
        </w:rPr>
        <w:t>各类证件，同时要提供该批米面油的检验报告单，并</w:t>
      </w:r>
      <w:r>
        <w:rPr>
          <w:rFonts w:hint="eastAsia" w:asciiTheme="minorEastAsia" w:hAnsiTheme="minorEastAsia" w:eastAsiaTheme="minorEastAsia" w:cstheme="minorEastAsia"/>
          <w:spacing w:val="-2"/>
          <w:sz w:val="24"/>
          <w:szCs w:val="24"/>
          <w:lang w:eastAsia="zh-CN"/>
        </w:rPr>
        <w:t>承诺向甲方供应的米面油不过期、</w:t>
      </w:r>
      <w:r>
        <w:rPr>
          <w:rFonts w:hint="eastAsia" w:asciiTheme="minorEastAsia" w:hAnsiTheme="minorEastAsia" w:eastAsiaTheme="minorEastAsia" w:cstheme="minorEastAsia"/>
          <w:spacing w:val="1"/>
          <w:sz w:val="24"/>
          <w:szCs w:val="24"/>
          <w:lang w:eastAsia="zh-CN"/>
        </w:rPr>
        <w:t>不变质、不变味、无杂质、无毒无害，符合国家食品卫生有关规定。送达各项目学校储</w:t>
      </w:r>
      <w:r>
        <w:rPr>
          <w:rFonts w:hint="eastAsia" w:asciiTheme="minorEastAsia" w:hAnsiTheme="minorEastAsia" w:eastAsiaTheme="minorEastAsia" w:cstheme="minorEastAsia"/>
          <w:spacing w:val="-1"/>
          <w:sz w:val="24"/>
          <w:szCs w:val="24"/>
          <w:lang w:eastAsia="zh-CN"/>
        </w:rPr>
        <w:t>藏室的冷鲜肉每批次必须有动物检疫合格证和肉品质量合格证，蔬菜水</w:t>
      </w:r>
      <w:r>
        <w:rPr>
          <w:rFonts w:hint="eastAsia" w:asciiTheme="minorEastAsia" w:hAnsiTheme="minorEastAsia" w:eastAsiaTheme="minorEastAsia" w:cstheme="minorEastAsia"/>
          <w:spacing w:val="-2"/>
          <w:sz w:val="24"/>
          <w:szCs w:val="24"/>
          <w:lang w:eastAsia="zh-CN"/>
        </w:rPr>
        <w:t>果等必须通过自</w:t>
      </w:r>
      <w:r>
        <w:rPr>
          <w:rFonts w:hint="eastAsia" w:asciiTheme="minorEastAsia" w:hAnsiTheme="minorEastAsia" w:eastAsiaTheme="minorEastAsia" w:cstheme="minorEastAsia"/>
          <w:spacing w:val="-6"/>
          <w:sz w:val="24"/>
          <w:szCs w:val="24"/>
          <w:lang w:eastAsia="zh-CN"/>
        </w:rPr>
        <w:t>检设备检测农药残留情况，符合食用要求，否则，由此产生的经济损失由乙方负责承担，</w:t>
      </w:r>
      <w:r>
        <w:rPr>
          <w:rFonts w:hint="eastAsia" w:asciiTheme="minorEastAsia" w:hAnsiTheme="minorEastAsia" w:eastAsiaTheme="minorEastAsia" w:cstheme="minorEastAsia"/>
          <w:spacing w:val="-5"/>
          <w:sz w:val="24"/>
          <w:szCs w:val="24"/>
          <w:lang w:eastAsia="zh-CN"/>
        </w:rPr>
        <w:t>并负相应的法律责任。</w:t>
      </w:r>
    </w:p>
    <w:p w14:paraId="2F16B4FC">
      <w:pPr>
        <w:wordWrap w:val="0"/>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2.乙方配送的货物必须是定量包装，要求称量必须与包装袋上</w:t>
      </w:r>
      <w:r>
        <w:rPr>
          <w:rFonts w:hint="eastAsia" w:asciiTheme="minorEastAsia" w:hAnsiTheme="minorEastAsia" w:eastAsiaTheme="minorEastAsia" w:cstheme="minorEastAsia"/>
          <w:spacing w:val="-7"/>
          <w:sz w:val="24"/>
          <w:szCs w:val="24"/>
          <w:lang w:eastAsia="zh-CN"/>
        </w:rPr>
        <w:t>标明的重量一致，甲</w:t>
      </w:r>
      <w:r>
        <w:rPr>
          <w:rFonts w:hint="eastAsia" w:asciiTheme="minorEastAsia" w:hAnsiTheme="minorEastAsia" w:eastAsiaTheme="minorEastAsia" w:cstheme="minorEastAsia"/>
          <w:spacing w:val="-3"/>
          <w:sz w:val="24"/>
          <w:szCs w:val="24"/>
          <w:lang w:eastAsia="zh-CN"/>
        </w:rPr>
        <w:t>方验收时抽样不低于5％过秤，如发现有不足秤的（偏差不高于</w:t>
      </w:r>
      <w:r>
        <w:rPr>
          <w:rFonts w:hint="eastAsia" w:asciiTheme="minorEastAsia" w:hAnsiTheme="minorEastAsia" w:eastAsiaTheme="minorEastAsia" w:cstheme="minorEastAsia"/>
          <w:spacing w:val="-4"/>
          <w:sz w:val="24"/>
          <w:szCs w:val="24"/>
          <w:lang w:eastAsia="zh-CN"/>
        </w:rPr>
        <w:t>3</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4"/>
          <w:sz w:val="24"/>
          <w:szCs w:val="24"/>
          <w:lang w:eastAsia="zh-CN"/>
        </w:rPr>
        <w:t>视为正常误差</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4"/>
          <w:sz w:val="24"/>
          <w:szCs w:val="24"/>
          <w:lang w:eastAsia="zh-CN"/>
        </w:rPr>
        <w:t>则当批货物按抽</w:t>
      </w:r>
      <w:r>
        <w:rPr>
          <w:rFonts w:hint="eastAsia" w:asciiTheme="minorEastAsia" w:hAnsiTheme="minorEastAsia" w:eastAsiaTheme="minorEastAsia" w:cstheme="minorEastAsia"/>
          <w:spacing w:val="-2"/>
          <w:sz w:val="24"/>
          <w:szCs w:val="24"/>
          <w:lang w:eastAsia="zh-CN"/>
        </w:rPr>
        <w:t>样平均重量计算，如累计出现三次不足秤的，按该批货的2倍扣除。</w:t>
      </w:r>
    </w:p>
    <w:p w14:paraId="11890286">
      <w:pPr>
        <w:wordWrap w:val="0"/>
        <w:spacing w:line="360" w:lineRule="auto"/>
        <w:ind w:firstLine="44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3.甲方未能及时验货或储存期间造成食品质量发生问题时，由甲方原因造成的，责</w:t>
      </w:r>
      <w:r>
        <w:rPr>
          <w:rFonts w:hint="eastAsia" w:asciiTheme="minorEastAsia" w:hAnsiTheme="minorEastAsia" w:eastAsiaTheme="minorEastAsia" w:cstheme="minorEastAsia"/>
          <w:spacing w:val="17"/>
          <w:w w:val="101"/>
          <w:sz w:val="24"/>
          <w:szCs w:val="24"/>
          <w:lang w:eastAsia="zh-CN"/>
        </w:rPr>
        <w:t xml:space="preserve"> </w:t>
      </w:r>
      <w:r>
        <w:rPr>
          <w:rFonts w:hint="eastAsia" w:asciiTheme="minorEastAsia" w:hAnsiTheme="minorEastAsia" w:eastAsiaTheme="minorEastAsia" w:cstheme="minorEastAsia"/>
          <w:spacing w:val="-6"/>
          <w:sz w:val="24"/>
          <w:szCs w:val="24"/>
          <w:lang w:eastAsia="zh-CN"/>
        </w:rPr>
        <w:t>任由甲方承担。</w:t>
      </w:r>
    </w:p>
    <w:p w14:paraId="618F5EF7">
      <w:pPr>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4.乙方供货期间所供的营养午餐食品不满足投标文件要求或私自更换投标产品的，</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甲方有权拒绝接收，由此延误学生食用的，甲方有权终止合同且一切责任由乙方承担，</w:t>
      </w:r>
      <w:r>
        <w:rPr>
          <w:rFonts w:hint="eastAsia" w:asciiTheme="minorEastAsia" w:hAnsiTheme="minorEastAsia" w:eastAsiaTheme="minorEastAsia" w:cstheme="minorEastAsia"/>
          <w:spacing w:val="-2"/>
          <w:sz w:val="24"/>
          <w:szCs w:val="24"/>
          <w:lang w:eastAsia="zh-CN"/>
        </w:rPr>
        <w:t>另行安排新的生产及配送商供货，并不退还已发生的费用且保留追责权利。</w:t>
      </w:r>
    </w:p>
    <w:p w14:paraId="3210E4BD">
      <w:pPr>
        <w:pStyle w:val="6"/>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48"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5.乙方需保证其供货产品合格率达到100%，配送过程中若出现包装破损或者感官鉴</w:t>
      </w:r>
      <w:r>
        <w:rPr>
          <w:rFonts w:hint="eastAsia" w:asciiTheme="minorEastAsia" w:hAnsiTheme="minorEastAsia" w:eastAsiaTheme="minorEastAsia" w:cstheme="minorEastAsia"/>
          <w:spacing w:val="1"/>
          <w:sz w:val="24"/>
          <w:szCs w:val="24"/>
          <w:lang w:eastAsia="zh-CN"/>
        </w:rPr>
        <w:t>别不符合安全标准的，甲方拒绝接收。若发现出现质量问题如霉变、生虫、变味、重量</w:t>
      </w:r>
      <w:r>
        <w:rPr>
          <w:rFonts w:hint="eastAsia" w:asciiTheme="minorEastAsia" w:hAnsiTheme="minorEastAsia" w:eastAsiaTheme="minorEastAsia" w:cstheme="minorEastAsia"/>
          <w:spacing w:val="-1"/>
          <w:sz w:val="24"/>
          <w:szCs w:val="24"/>
          <w:lang w:eastAsia="zh-CN"/>
        </w:rPr>
        <w:t>不足等情况的，视情节不同，根据国家相关规定，进行处罚。罚金从合同款项中进</w:t>
      </w:r>
      <w:r>
        <w:rPr>
          <w:rFonts w:hint="eastAsia" w:asciiTheme="minorEastAsia" w:hAnsiTheme="minorEastAsia" w:eastAsiaTheme="minorEastAsia" w:cstheme="minorEastAsia"/>
          <w:spacing w:val="-2"/>
          <w:sz w:val="24"/>
          <w:szCs w:val="24"/>
          <w:lang w:eastAsia="zh-CN"/>
        </w:rPr>
        <w:t>行扣除，两次以上的乙方</w:t>
      </w:r>
      <w:r>
        <w:rPr>
          <w:rFonts w:hint="eastAsia" w:asciiTheme="minorEastAsia" w:hAnsiTheme="minorEastAsia" w:eastAsiaTheme="minorEastAsia" w:cstheme="minorEastAsia"/>
          <w:spacing w:val="-1"/>
          <w:sz w:val="24"/>
          <w:szCs w:val="24"/>
          <w:lang w:eastAsia="zh-CN"/>
        </w:rPr>
        <w:t>无条件退出供应，甲方有权终止乙方合同，不支付该批</w:t>
      </w:r>
      <w:r>
        <w:rPr>
          <w:rFonts w:hint="eastAsia" w:asciiTheme="minorEastAsia" w:hAnsiTheme="minorEastAsia" w:eastAsiaTheme="minorEastAsia" w:cstheme="minorEastAsia"/>
          <w:spacing w:val="-2"/>
          <w:sz w:val="24"/>
          <w:szCs w:val="24"/>
          <w:lang w:eastAsia="zh-CN"/>
        </w:rPr>
        <w:t>次的货款，给甲方造成损失的，</w:t>
      </w:r>
      <w:r>
        <w:rPr>
          <w:rFonts w:hint="eastAsia" w:asciiTheme="minorEastAsia" w:hAnsiTheme="minorEastAsia" w:eastAsiaTheme="minorEastAsia" w:cstheme="minorEastAsia"/>
          <w:spacing w:val="-5"/>
          <w:sz w:val="24"/>
          <w:szCs w:val="24"/>
          <w:lang w:eastAsia="zh-CN"/>
        </w:rPr>
        <w:t>还应赔偿甲方的损失。</w:t>
      </w:r>
    </w:p>
    <w:p w14:paraId="6EE127E4">
      <w:pPr>
        <w:keepNext w:val="0"/>
        <w:keepLines w:val="0"/>
        <w:pageBreakBefore w:val="0"/>
        <w:widowControl w:val="0"/>
        <w:kinsoku w:val="0"/>
        <w:wordWrap w:val="0"/>
        <w:overflowPunct/>
        <w:topLinePunct w:val="0"/>
        <w:autoSpaceDE w:val="0"/>
        <w:autoSpaceDN w:val="0"/>
        <w:bidi w:val="0"/>
        <w:adjustRightInd w:val="0"/>
        <w:snapToGrid w:val="0"/>
        <w:spacing w:line="360" w:lineRule="auto"/>
        <w:ind w:firstLine="432"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6.在学生食用过程中，若发生一般性事故，乙方应及时到场，并及时处理，</w:t>
      </w:r>
      <w:r>
        <w:rPr>
          <w:rFonts w:hint="eastAsia" w:asciiTheme="minorEastAsia" w:hAnsiTheme="minorEastAsia" w:eastAsiaTheme="minorEastAsia" w:cstheme="minorEastAsia"/>
          <w:spacing w:val="-13"/>
          <w:sz w:val="24"/>
          <w:szCs w:val="24"/>
          <w:lang w:eastAsia="zh-CN"/>
        </w:rPr>
        <w:t>若不及</w:t>
      </w:r>
      <w:r>
        <w:rPr>
          <w:rFonts w:hint="eastAsia" w:asciiTheme="minorEastAsia" w:hAnsiTheme="minorEastAsia" w:eastAsiaTheme="minorEastAsia" w:cstheme="minorEastAsia"/>
          <w:spacing w:val="-7"/>
          <w:sz w:val="24"/>
          <w:szCs w:val="24"/>
          <w:lang w:eastAsia="zh-CN"/>
        </w:rPr>
        <w:t>时处理，一切后果均由乙方全部承担；若发</w:t>
      </w:r>
      <w:r>
        <w:rPr>
          <w:rFonts w:hint="eastAsia" w:asciiTheme="minorEastAsia" w:hAnsiTheme="minorEastAsia" w:eastAsiaTheme="minorEastAsia" w:cstheme="minorEastAsia"/>
          <w:spacing w:val="-8"/>
          <w:sz w:val="24"/>
          <w:szCs w:val="24"/>
          <w:lang w:eastAsia="zh-CN"/>
        </w:rPr>
        <w:t>生质量事故，且由于质量问题引起学生腹泻、</w:t>
      </w:r>
      <w:r>
        <w:rPr>
          <w:rFonts w:hint="eastAsia" w:asciiTheme="minorEastAsia" w:hAnsiTheme="minorEastAsia" w:eastAsiaTheme="minorEastAsia" w:cstheme="minorEastAsia"/>
          <w:spacing w:val="1"/>
          <w:sz w:val="24"/>
          <w:szCs w:val="24"/>
          <w:lang w:eastAsia="zh-CN"/>
        </w:rPr>
        <w:t>呕吐，甚至中毒的，所有费用全部由乙方承担，甲方有权终止乙方合同，且不支付</w:t>
      </w:r>
      <w:r>
        <w:rPr>
          <w:rFonts w:hint="eastAsia" w:asciiTheme="minorEastAsia" w:hAnsiTheme="minorEastAsia" w:eastAsiaTheme="minorEastAsia" w:cstheme="minorEastAsia"/>
          <w:sz w:val="24"/>
          <w:szCs w:val="24"/>
          <w:lang w:eastAsia="zh-CN"/>
        </w:rPr>
        <w:t>该批</w:t>
      </w:r>
      <w:r>
        <w:rPr>
          <w:rFonts w:hint="eastAsia" w:asciiTheme="minorEastAsia" w:hAnsiTheme="minorEastAsia" w:eastAsiaTheme="minorEastAsia" w:cstheme="minorEastAsia"/>
          <w:spacing w:val="1"/>
          <w:sz w:val="24"/>
          <w:szCs w:val="24"/>
          <w:lang w:eastAsia="zh-CN"/>
        </w:rPr>
        <w:t>次货款，给甲方造成损失的，还应赔偿甲方的损失。并列入营养改善计划供应黑名单，</w:t>
      </w:r>
      <w:r>
        <w:rPr>
          <w:rFonts w:hint="eastAsia" w:asciiTheme="minorEastAsia" w:hAnsiTheme="minorEastAsia" w:eastAsiaTheme="minorEastAsia" w:cstheme="minorEastAsia"/>
          <w:spacing w:val="-3"/>
          <w:sz w:val="24"/>
          <w:szCs w:val="24"/>
          <w:lang w:eastAsia="zh-CN"/>
        </w:rPr>
        <w:t>情节严重的移交司法部门处理。</w:t>
      </w:r>
    </w:p>
    <w:p w14:paraId="5CDADAEF">
      <w:pPr>
        <w:pStyle w:val="6"/>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7.乙方应遵守甲方的各项管理规定，定期参加例会和培训等，乙方不得无故缺席，否则将进</w:t>
      </w:r>
      <w:r>
        <w:rPr>
          <w:rFonts w:hint="eastAsia" w:asciiTheme="minorEastAsia" w:hAnsiTheme="minorEastAsia" w:eastAsiaTheme="minorEastAsia" w:cstheme="minorEastAsia"/>
          <w:spacing w:val="-3"/>
          <w:sz w:val="24"/>
          <w:szCs w:val="24"/>
          <w:lang w:eastAsia="zh-CN"/>
        </w:rPr>
        <w:t>行处罚。</w:t>
      </w:r>
    </w:p>
    <w:p w14:paraId="690815AA">
      <w:pPr>
        <w:pStyle w:val="6"/>
        <w:wordWrap w:val="0"/>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8.供货期间，乙方不得私自将项目转包或分包给第三方，否则甲方有权终止合同，</w:t>
      </w:r>
      <w:r>
        <w:rPr>
          <w:rFonts w:hint="eastAsia" w:asciiTheme="minorEastAsia" w:hAnsiTheme="minorEastAsia" w:eastAsiaTheme="minorEastAsia" w:cstheme="minorEastAsia"/>
          <w:spacing w:val="-3"/>
          <w:sz w:val="24"/>
          <w:szCs w:val="24"/>
          <w:lang w:eastAsia="zh-CN"/>
        </w:rPr>
        <w:t>并保留追责的权利。</w:t>
      </w:r>
    </w:p>
    <w:p w14:paraId="017D9ED6">
      <w:pPr>
        <w:pStyle w:val="6"/>
        <w:wordWrap w:val="0"/>
        <w:spacing w:line="360" w:lineRule="auto"/>
        <w:ind w:firstLine="46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9.供货期间乙方应提供操作可行的应急预案并备案，乙方保证出现意外情况时</w:t>
      </w:r>
      <w:r>
        <w:rPr>
          <w:rFonts w:hint="eastAsia" w:asciiTheme="minorEastAsia" w:hAnsiTheme="minorEastAsia" w:eastAsiaTheme="minorEastAsia" w:cstheme="minorEastAsia"/>
          <w:spacing w:val="-6"/>
          <w:sz w:val="24"/>
          <w:szCs w:val="24"/>
          <w:lang w:eastAsia="zh-CN"/>
        </w:rPr>
        <w:t>派人及时处</w:t>
      </w:r>
      <w:r>
        <w:rPr>
          <w:rFonts w:hint="eastAsia" w:asciiTheme="minorEastAsia" w:hAnsiTheme="minorEastAsia" w:eastAsiaTheme="minorEastAsia" w:cstheme="minorEastAsia"/>
          <w:spacing w:val="-2"/>
          <w:sz w:val="24"/>
          <w:szCs w:val="24"/>
          <w:lang w:eastAsia="zh-CN"/>
        </w:rPr>
        <w:t>理。如果出现食品安全事件，乙方应积极支付相关费用；若乙方未能及时支付，甲方有权从乙方应得合同款项中进行扣除，并予以支付。</w:t>
      </w:r>
    </w:p>
    <w:p w14:paraId="061B42CA">
      <w:pPr>
        <w:pStyle w:val="6"/>
        <w:wordWrap w:val="0"/>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10.供货期间在营养改善计划成员单位检查中发现两次以上存在质量问题影响学生</w:t>
      </w:r>
      <w:r>
        <w:rPr>
          <w:rFonts w:hint="eastAsia" w:asciiTheme="minorEastAsia" w:hAnsiTheme="minorEastAsia" w:eastAsiaTheme="minorEastAsia" w:cstheme="minorEastAsia"/>
          <w:spacing w:val="-3"/>
          <w:sz w:val="24"/>
          <w:szCs w:val="24"/>
          <w:lang w:eastAsia="zh-CN"/>
        </w:rPr>
        <w:t>就餐或不接受县营养改善计划办公室监督管理的，甲方有权终止合同并向乙方追偿损失。</w:t>
      </w:r>
    </w:p>
    <w:p w14:paraId="75E1ED8C">
      <w:pPr>
        <w:pStyle w:val="6"/>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11.任何一方由于不可抗力原因无法履行合同时，应在不可抗力事件结束后立即</w:t>
      </w:r>
      <w:r>
        <w:rPr>
          <w:rFonts w:hint="eastAsia" w:asciiTheme="minorEastAsia" w:hAnsiTheme="minorEastAsia" w:eastAsiaTheme="minorEastAsia" w:cstheme="minorEastAsia"/>
          <w:spacing w:val="1"/>
          <w:sz w:val="24"/>
          <w:szCs w:val="24"/>
          <w:lang w:eastAsia="zh-CN"/>
        </w:rPr>
        <w:t>向对方通报，以减轻可能给对方造成的损失；在取得有关机构的不可抗力证明或者双方</w:t>
      </w:r>
      <w:r>
        <w:rPr>
          <w:rFonts w:hint="eastAsia" w:asciiTheme="minorEastAsia" w:hAnsiTheme="minorEastAsia" w:eastAsiaTheme="minorEastAsia" w:cstheme="minorEastAsia"/>
          <w:spacing w:val="-1"/>
          <w:sz w:val="24"/>
          <w:szCs w:val="24"/>
          <w:lang w:eastAsia="zh-CN"/>
        </w:rPr>
        <w:t>谅解确认后，允许延期履行或修订合同，并视情况免于承担部分或全</w:t>
      </w:r>
      <w:r>
        <w:rPr>
          <w:rFonts w:hint="eastAsia" w:asciiTheme="minorEastAsia" w:hAnsiTheme="minorEastAsia" w:eastAsiaTheme="minorEastAsia" w:cstheme="minorEastAsia"/>
          <w:spacing w:val="-2"/>
          <w:sz w:val="24"/>
          <w:szCs w:val="24"/>
          <w:lang w:eastAsia="zh-CN"/>
        </w:rPr>
        <w:t>部的违约责任。</w:t>
      </w:r>
    </w:p>
    <w:p w14:paraId="12E4CA39">
      <w:pPr>
        <w:pStyle w:val="6"/>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其他：</w:t>
      </w:r>
      <w:r>
        <w:rPr>
          <w:rFonts w:hint="eastAsia" w:asciiTheme="minorEastAsia" w:hAnsiTheme="minorEastAsia" w:eastAsiaTheme="minorEastAsia" w:cstheme="minorEastAsia"/>
          <w:spacing w:val="-2"/>
          <w:sz w:val="24"/>
          <w:szCs w:val="24"/>
          <w:u w:val="single"/>
          <w:lang w:eastAsia="zh-CN"/>
        </w:rPr>
        <w:t xml:space="preserve">                                                              </w:t>
      </w:r>
    </w:p>
    <w:p w14:paraId="58D067DD">
      <w:pPr>
        <w:pStyle w:val="6"/>
        <w:spacing w:line="360" w:lineRule="auto"/>
        <w:ind w:firstLine="470" w:firstLineChars="200"/>
        <w:rPr>
          <w:rFonts w:asciiTheme="minorEastAsia" w:hAnsiTheme="minorEastAsia" w:eastAsiaTheme="minorEastAsia" w:cstheme="minorEastAsia"/>
          <w:sz w:val="24"/>
          <w:szCs w:val="24"/>
          <w:lang w:eastAsia="zh-CN"/>
        </w:rPr>
      </w:pPr>
      <w:bookmarkStart w:id="400" w:name="_Toc32363"/>
      <w:r>
        <w:rPr>
          <w:rFonts w:hint="eastAsia" w:asciiTheme="minorEastAsia" w:hAnsiTheme="minorEastAsia" w:eastAsiaTheme="minorEastAsia" w:cstheme="minorEastAsia"/>
          <w:b/>
          <w:bCs/>
          <w:spacing w:val="-3"/>
          <w:sz w:val="24"/>
          <w:szCs w:val="24"/>
          <w:lang w:eastAsia="zh-CN"/>
        </w:rPr>
        <w:t>八、履约保证金</w:t>
      </w:r>
      <w:bookmarkEnd w:id="400"/>
      <w:r>
        <w:rPr>
          <w:rFonts w:hint="eastAsia" w:asciiTheme="minorEastAsia" w:hAnsiTheme="minorEastAsia" w:eastAsiaTheme="minorEastAsia" w:cstheme="minorEastAsia"/>
          <w:b/>
          <w:bCs/>
          <w:spacing w:val="-3"/>
          <w:sz w:val="24"/>
          <w:szCs w:val="24"/>
          <w:lang w:eastAsia="zh-CN"/>
        </w:rPr>
        <w:t>：无</w:t>
      </w:r>
    </w:p>
    <w:p w14:paraId="400C92C1">
      <w:pPr>
        <w:pStyle w:val="6"/>
        <w:spacing w:line="360" w:lineRule="auto"/>
        <w:ind w:firstLine="472" w:firstLineChars="200"/>
        <w:rPr>
          <w:rFonts w:asciiTheme="minorEastAsia" w:hAnsiTheme="minorEastAsia" w:eastAsiaTheme="minorEastAsia" w:cstheme="minorEastAsia"/>
          <w:sz w:val="24"/>
          <w:szCs w:val="24"/>
          <w:lang w:eastAsia="zh-CN"/>
        </w:rPr>
      </w:pPr>
      <w:bookmarkStart w:id="401" w:name="_Toc12915"/>
      <w:r>
        <w:rPr>
          <w:rFonts w:hint="eastAsia" w:asciiTheme="minorEastAsia" w:hAnsiTheme="minorEastAsia" w:eastAsiaTheme="minorEastAsia" w:cstheme="minorEastAsia"/>
          <w:spacing w:val="-2"/>
          <w:sz w:val="24"/>
          <w:szCs w:val="24"/>
          <w:lang w:eastAsia="zh-CN"/>
        </w:rPr>
        <w:t>九、乙方应主动接受相关部门的监督检验，费用由乙方支付。</w:t>
      </w:r>
      <w:bookmarkEnd w:id="401"/>
    </w:p>
    <w:p w14:paraId="407510EF">
      <w:pPr>
        <w:pStyle w:val="6"/>
        <w:spacing w:line="360" w:lineRule="auto"/>
        <w:ind w:firstLine="472"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十、若因国家政策性原因需要调整的，甲方有权依据规定进行调整，由于调整乙方造成的损失，甲方不承担责任。</w:t>
      </w:r>
    </w:p>
    <w:p w14:paraId="676B8B7B">
      <w:pPr>
        <w:pStyle w:val="6"/>
        <w:spacing w:line="360" w:lineRule="auto"/>
        <w:ind w:firstLine="444" w:firstLineChars="200"/>
        <w:rPr>
          <w:rFonts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十一、本合同如发生异议，甲乙双方协商解决，协商不成时，可走法律程序解决。本合同自甲乙双方法定代表人或授权代表签字加盖公章之日起生效，甲乙双方均不得随意变更或解除合同。</w:t>
      </w:r>
    </w:p>
    <w:p w14:paraId="6268E68E">
      <w:pPr>
        <w:pStyle w:val="6"/>
        <w:spacing w:line="360" w:lineRule="auto"/>
        <w:ind w:firstLine="444" w:firstLineChars="200"/>
        <w:rPr>
          <w:rFonts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十二、合同如有未尽事宜，须经甲乙双方共同协商，作出补充约定，补充约定与本合同具有同等法律效力。</w:t>
      </w:r>
    </w:p>
    <w:p w14:paraId="5C6F3BD3">
      <w:pPr>
        <w:pStyle w:val="6"/>
        <w:spacing w:line="360" w:lineRule="auto"/>
        <w:ind w:firstLine="444" w:firstLineChars="200"/>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十三、本合同正本两份，甲乙双方各执一份，每份正本具有同等法律效力。副本两份，分别报相关部门备案。</w:t>
      </w:r>
    </w:p>
    <w:p w14:paraId="46F0B36F">
      <w:pPr>
        <w:rPr>
          <w:rFonts w:hint="eastAsia" w:asciiTheme="minorEastAsia" w:hAnsiTheme="minorEastAsia" w:eastAsiaTheme="minorEastAsia" w:cstheme="minorEastAsia"/>
          <w:spacing w:val="-9"/>
          <w:sz w:val="24"/>
          <w:szCs w:val="24"/>
          <w:lang w:eastAsia="zh-CN"/>
        </w:rPr>
      </w:pPr>
    </w:p>
    <w:p w14:paraId="58893F1B">
      <w:pPr>
        <w:rPr>
          <w:rFonts w:hint="eastAsia" w:asciiTheme="minorEastAsia" w:hAnsiTheme="minorEastAsia" w:eastAsiaTheme="minorEastAsia" w:cstheme="minorEastAsia"/>
          <w:spacing w:val="-9"/>
          <w:sz w:val="24"/>
          <w:szCs w:val="24"/>
          <w:lang w:eastAsia="zh-CN"/>
        </w:rPr>
      </w:pPr>
    </w:p>
    <w:p w14:paraId="29218CC7">
      <w:pPr>
        <w:rPr>
          <w:rFonts w:hint="eastAsia" w:asciiTheme="minorEastAsia" w:hAnsiTheme="minorEastAsia" w:eastAsiaTheme="minorEastAsia" w:cstheme="minorEastAsia"/>
          <w:spacing w:val="-9"/>
          <w:sz w:val="24"/>
          <w:szCs w:val="24"/>
          <w:lang w:eastAsia="zh-CN"/>
        </w:rPr>
      </w:pPr>
    </w:p>
    <w:p w14:paraId="5C58A6A1">
      <w:pPr>
        <w:pStyle w:val="6"/>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甲方：                                          乙方：</w:t>
      </w:r>
    </w:p>
    <w:p w14:paraId="09C5AC34">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单位名称（公章）             </w:t>
      </w:r>
      <w:r>
        <w:rPr>
          <w:rFonts w:hint="eastAsia" w:asciiTheme="minorEastAsia" w:hAnsiTheme="minorEastAsia" w:eastAsiaTheme="minorEastAsia" w:cstheme="minorEastAsia"/>
          <w:spacing w:val="-1"/>
          <w:sz w:val="24"/>
          <w:szCs w:val="24"/>
          <w:lang w:eastAsia="zh-CN"/>
        </w:rPr>
        <w:t xml:space="preserve">               单位名称（公章）</w:t>
      </w:r>
    </w:p>
    <w:p w14:paraId="133291A4">
      <w:pPr>
        <w:pStyle w:val="6"/>
        <w:spacing w:line="360" w:lineRule="auto"/>
        <w:ind w:firstLine="456"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法定代表人：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法定代表人：</w:t>
      </w:r>
    </w:p>
    <w:p w14:paraId="47D6CBBF">
      <w:pPr>
        <w:pStyle w:val="6"/>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授权代表：</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6"/>
          <w:sz w:val="24"/>
          <w:szCs w:val="24"/>
          <w:lang w:eastAsia="zh-CN"/>
        </w:rPr>
        <w:t>授权代表：</w:t>
      </w:r>
    </w:p>
    <w:p w14:paraId="789D9E22">
      <w:pPr>
        <w:pStyle w:val="6"/>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地址：</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9"/>
          <w:sz w:val="24"/>
          <w:szCs w:val="24"/>
          <w:lang w:eastAsia="zh-CN"/>
        </w:rPr>
        <w:t>地址：</w:t>
      </w:r>
    </w:p>
    <w:p w14:paraId="4D51DF1F">
      <w:pPr>
        <w:pStyle w:val="6"/>
        <w:spacing w:line="360" w:lineRule="auto"/>
        <w:ind w:firstLine="44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 xml:space="preserve">电话：                                          </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lang w:eastAsia="zh-CN"/>
        </w:rPr>
        <w:t>电话：</w:t>
      </w:r>
    </w:p>
    <w:p w14:paraId="3432B750">
      <w:pPr>
        <w:pStyle w:val="6"/>
        <w:spacing w:line="360" w:lineRule="auto"/>
        <w:ind w:firstLine="45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签约日期：    年</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6"/>
          <w:sz w:val="24"/>
          <w:szCs w:val="24"/>
          <w:lang w:eastAsia="zh-CN"/>
        </w:rPr>
        <w:t>月</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6"/>
          <w:sz w:val="24"/>
          <w:szCs w:val="24"/>
          <w:lang w:eastAsia="zh-CN"/>
        </w:rPr>
        <w:t>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6"/>
          <w:sz w:val="24"/>
          <w:szCs w:val="24"/>
          <w:lang w:eastAsia="zh-CN"/>
        </w:rPr>
        <w:t>签约日期：</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6"/>
          <w:sz w:val="24"/>
          <w:szCs w:val="24"/>
          <w:lang w:eastAsia="zh-CN"/>
        </w:rPr>
        <w:t>年</w:t>
      </w:r>
      <w:r>
        <w:rPr>
          <w:rFonts w:hint="eastAsia" w:asciiTheme="minorEastAsia" w:hAnsiTheme="minorEastAsia" w:eastAsiaTheme="minorEastAsia" w:cstheme="minorEastAsia"/>
          <w:spacing w:val="5"/>
          <w:sz w:val="24"/>
          <w:szCs w:val="24"/>
          <w:lang w:eastAsia="zh-CN"/>
        </w:rPr>
        <w:t xml:space="preserve">   </w:t>
      </w:r>
      <w:r>
        <w:rPr>
          <w:rFonts w:hint="eastAsia" w:asciiTheme="minorEastAsia" w:hAnsiTheme="minorEastAsia" w:eastAsiaTheme="minorEastAsia" w:cstheme="minorEastAsia"/>
          <w:spacing w:val="-6"/>
          <w:sz w:val="24"/>
          <w:szCs w:val="24"/>
          <w:lang w:eastAsia="zh-CN"/>
        </w:rPr>
        <w:t>月</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6"/>
          <w:sz w:val="24"/>
          <w:szCs w:val="24"/>
          <w:lang w:eastAsia="zh-CN"/>
        </w:rPr>
        <w:t>日</w:t>
      </w:r>
    </w:p>
    <w:p w14:paraId="2723FEB6">
      <w:pPr>
        <w:rPr>
          <w:rFonts w:asciiTheme="minorEastAsia" w:hAnsiTheme="minorEastAsia" w:eastAsiaTheme="minorEastAsia" w:cstheme="minorEastAsia"/>
          <w:b/>
          <w:bCs/>
          <w:spacing w:val="-4"/>
          <w:sz w:val="36"/>
          <w:szCs w:val="36"/>
          <w:lang w:eastAsia="zh-CN"/>
        </w:rPr>
      </w:pPr>
      <w:bookmarkStart w:id="402" w:name="bookmark23"/>
      <w:bookmarkEnd w:id="402"/>
      <w:bookmarkStart w:id="403" w:name="bookmark24"/>
      <w:bookmarkEnd w:id="403"/>
      <w:r>
        <w:rPr>
          <w:rFonts w:hint="eastAsia" w:asciiTheme="minorEastAsia" w:hAnsiTheme="minorEastAsia" w:eastAsiaTheme="minorEastAsia" w:cstheme="minorEastAsia"/>
          <w:b/>
          <w:bCs/>
          <w:spacing w:val="-4"/>
          <w:sz w:val="36"/>
          <w:szCs w:val="36"/>
          <w:lang w:eastAsia="zh-CN"/>
        </w:rPr>
        <w:br w:type="page"/>
      </w:r>
    </w:p>
    <w:p w14:paraId="2C6E09AC">
      <w:pPr>
        <w:pStyle w:val="6"/>
        <w:spacing w:before="117" w:line="360" w:lineRule="auto"/>
        <w:ind w:left="3235"/>
        <w:outlineLvl w:val="0"/>
        <w:rPr>
          <w:rFonts w:hint="eastAsia" w:asciiTheme="minorEastAsia" w:hAnsiTheme="minorEastAsia" w:eastAsiaTheme="minorEastAsia" w:cstheme="minorEastAsia"/>
          <w:b/>
          <w:bCs/>
          <w:spacing w:val="-5"/>
          <w:sz w:val="36"/>
          <w:szCs w:val="36"/>
          <w:lang w:eastAsia="zh-CN"/>
        </w:rPr>
      </w:pPr>
      <w:bookmarkStart w:id="404" w:name="_Toc5888"/>
      <w:r>
        <w:rPr>
          <w:rFonts w:hint="eastAsia" w:asciiTheme="minorEastAsia" w:hAnsiTheme="minorEastAsia" w:eastAsiaTheme="minorEastAsia" w:cstheme="minorEastAsia"/>
          <w:b/>
          <w:bCs/>
          <w:spacing w:val="-5"/>
          <w:sz w:val="36"/>
          <w:szCs w:val="36"/>
          <w:lang w:eastAsia="zh-CN"/>
        </w:rPr>
        <w:t>第四部分 技术标准</w:t>
      </w:r>
      <w:bookmarkEnd w:id="404"/>
    </w:p>
    <w:p w14:paraId="0DCB8C03">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firstLine="468" w:firstLineChars="200"/>
        <w:textAlignment w:val="baseline"/>
        <w:rPr>
          <w:rFonts w:asciiTheme="minorEastAsia" w:hAnsiTheme="minorEastAsia" w:eastAsiaTheme="minorEastAsia" w:cstheme="minorEastAsia"/>
          <w:spacing w:val="-3"/>
          <w:sz w:val="24"/>
          <w:szCs w:val="24"/>
          <w:lang w:eastAsia="zh-CN"/>
        </w:rPr>
      </w:pPr>
      <w:bookmarkStart w:id="405" w:name="_Toc6371"/>
      <w:r>
        <w:rPr>
          <w:rFonts w:hint="eastAsia" w:asciiTheme="minorEastAsia" w:hAnsiTheme="minorEastAsia" w:eastAsiaTheme="minorEastAsia" w:cstheme="minorEastAsia"/>
          <w:spacing w:val="-3"/>
          <w:sz w:val="24"/>
          <w:szCs w:val="24"/>
          <w:lang w:eastAsia="zh-CN"/>
        </w:rPr>
        <w:t>1.小麦粉为专用馒头粉、特等一级粉，符合国家GB/T 1355-2021标准要求。</w:t>
      </w:r>
    </w:p>
    <w:p w14:paraId="543CC357">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firstLine="468" w:firstLineChars="200"/>
        <w:textAlignment w:val="baseline"/>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2.大米符合GB/T 1354-2018标准要求标准，优质一级大米，合格证，并有质量检验报告。</w:t>
      </w:r>
    </w:p>
    <w:p w14:paraId="51C8D0DC">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firstLine="468" w:firstLineChars="200"/>
        <w:textAlignment w:val="baseline"/>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3.食用油为非转基因一级大豆油（符合GB/T 1535-2017标准）、花生油（符合GB/T 1534-2017标准）、菜籽油（符合GB/T 1536-2021标准）、芝麻油（符合GB/T 8233-2018标准）。</w:t>
      </w:r>
      <w:bookmarkEnd w:id="405"/>
    </w:p>
    <w:p w14:paraId="10466BDF">
      <w:pPr>
        <w:pStyle w:val="6"/>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4.鲜肉类必须来自定点屠宰企业并提供两章两证，即：有动物检疫验讫印章和动物检验验讫印章、有动物检验检疫合格证明和品质检验合格证明；禽蛋必须保证新鲜、无公害。</w:t>
      </w:r>
    </w:p>
    <w:p w14:paraId="3E077E3B">
      <w:pPr>
        <w:pStyle w:val="6"/>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5.干调类必须具有“QS”或“SC”食品质量认证标志，配料必须符合国家食品安全相关要求的名优商品。</w:t>
      </w:r>
    </w:p>
    <w:p w14:paraId="3751EA7D">
      <w:pPr>
        <w:pStyle w:val="6"/>
        <w:spacing w:line="360" w:lineRule="auto"/>
        <w:ind w:firstLine="468"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6.蔬菜类必须保证新鲜，无农药残留、无重金属超标等，符合国家食品安全标准。</w:t>
      </w:r>
    </w:p>
    <w:p w14:paraId="6703A716">
      <w:pPr>
        <w:pStyle w:val="6"/>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说明</w:t>
      </w:r>
    </w:p>
    <w:p w14:paraId="1E131DC1">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1.本节所述技术规格及要求是采购人提供的最低限度的技术要</w:t>
      </w:r>
      <w:r>
        <w:rPr>
          <w:rFonts w:hint="eastAsia" w:asciiTheme="minorEastAsia" w:hAnsiTheme="minorEastAsia" w:eastAsiaTheme="minorEastAsia" w:cstheme="minorEastAsia"/>
          <w:spacing w:val="-1"/>
          <w:sz w:val="24"/>
          <w:szCs w:val="24"/>
          <w:lang w:eastAsia="zh-CN"/>
        </w:rPr>
        <w:t>求，并未对一切技术细节做出规定，也未充分引述有关标准和规范的条文，投标人应保证提供不低于本技术规格及要</w:t>
      </w:r>
      <w:r>
        <w:rPr>
          <w:rFonts w:hint="eastAsia" w:asciiTheme="minorEastAsia" w:hAnsiTheme="minorEastAsia" w:eastAsiaTheme="minorEastAsia" w:cstheme="minorEastAsia"/>
          <w:spacing w:val="-5"/>
          <w:sz w:val="24"/>
          <w:szCs w:val="24"/>
          <w:lang w:eastAsia="zh-CN"/>
        </w:rPr>
        <w:t>求的优质产品。</w:t>
      </w:r>
    </w:p>
    <w:p w14:paraId="0A951047">
      <w:pPr>
        <w:pStyle w:val="6"/>
        <w:spacing w:line="360" w:lineRule="auto"/>
        <w:ind w:firstLine="50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2.招标文件中为简述货物品质、基本性能而标示的品牌</w:t>
      </w:r>
      <w:r>
        <w:rPr>
          <w:rFonts w:hint="eastAsia" w:asciiTheme="minorEastAsia" w:hAnsiTheme="minorEastAsia" w:eastAsiaTheme="minorEastAsia" w:cstheme="minorEastAsia"/>
          <w:spacing w:val="5"/>
          <w:sz w:val="24"/>
          <w:szCs w:val="24"/>
          <w:lang w:eastAsia="zh-CN"/>
        </w:rPr>
        <w:t>或型号仅供投标人选择货物在质</w:t>
      </w:r>
      <w:r>
        <w:rPr>
          <w:rFonts w:hint="eastAsia" w:asciiTheme="minorEastAsia" w:hAnsiTheme="minorEastAsia" w:eastAsiaTheme="minorEastAsia" w:cstheme="minorEastAsia"/>
          <w:spacing w:val="-4"/>
          <w:sz w:val="24"/>
          <w:szCs w:val="24"/>
          <w:lang w:eastAsia="zh-CN"/>
        </w:rPr>
        <w:t>量、水平上的比照参考，不具有限制性。投标人可提供品质相同或优于</w:t>
      </w:r>
      <w:r>
        <w:rPr>
          <w:rFonts w:hint="eastAsia" w:asciiTheme="minorEastAsia" w:hAnsiTheme="minorEastAsia" w:eastAsiaTheme="minorEastAsia" w:cstheme="minorEastAsia"/>
          <w:spacing w:val="-5"/>
          <w:sz w:val="24"/>
          <w:szCs w:val="24"/>
          <w:lang w:eastAsia="zh-CN"/>
        </w:rPr>
        <w:t>同类产品的货物。</w:t>
      </w:r>
    </w:p>
    <w:p w14:paraId="18F462CD">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3.本技术规格及要求所使用的标准和规范如与投标人所执行的标准发生矛盾时，按较高标</w:t>
      </w:r>
      <w:r>
        <w:rPr>
          <w:rFonts w:hint="eastAsia" w:asciiTheme="minorEastAsia" w:hAnsiTheme="minorEastAsia" w:eastAsiaTheme="minorEastAsia" w:cstheme="minorEastAsia"/>
          <w:spacing w:val="-8"/>
          <w:sz w:val="24"/>
          <w:szCs w:val="24"/>
          <w:lang w:eastAsia="zh-CN"/>
        </w:rPr>
        <w:t>准执行。</w:t>
      </w:r>
    </w:p>
    <w:p w14:paraId="146A3298">
      <w:pPr>
        <w:pStyle w:val="6"/>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4.采购人保留对技术规格及要求补充和修改的权利，投标人应承诺予以配合，如提出修改，</w:t>
      </w:r>
      <w:r>
        <w:rPr>
          <w:rFonts w:hint="eastAsia" w:asciiTheme="minorEastAsia" w:hAnsiTheme="minorEastAsia" w:eastAsiaTheme="minorEastAsia" w:cstheme="minorEastAsia"/>
          <w:spacing w:val="-2"/>
          <w:sz w:val="24"/>
          <w:szCs w:val="24"/>
          <w:lang w:eastAsia="zh-CN"/>
        </w:rPr>
        <w:t>具体事项由中标人与采购人另行商定。</w:t>
      </w:r>
    </w:p>
    <w:p w14:paraId="419228E4">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5.投标人所提供的货物，如若发生侵犯知识产权的行为时，其侵权责任与采购人无关，应</w:t>
      </w:r>
      <w:r>
        <w:rPr>
          <w:rFonts w:hint="eastAsia" w:asciiTheme="minorEastAsia" w:hAnsiTheme="minorEastAsia" w:eastAsiaTheme="minorEastAsia" w:cstheme="minorEastAsia"/>
          <w:spacing w:val="-2"/>
          <w:sz w:val="24"/>
          <w:szCs w:val="24"/>
          <w:lang w:eastAsia="zh-CN"/>
        </w:rPr>
        <w:t>由投标人承担相应的责任，但不得损害采购人</w:t>
      </w:r>
      <w:r>
        <w:rPr>
          <w:rFonts w:hint="eastAsia" w:asciiTheme="minorEastAsia" w:hAnsiTheme="minorEastAsia" w:eastAsiaTheme="minorEastAsia" w:cstheme="minorEastAsia"/>
          <w:spacing w:val="-3"/>
          <w:sz w:val="24"/>
          <w:szCs w:val="24"/>
          <w:lang w:eastAsia="zh-CN"/>
        </w:rPr>
        <w:t>的利益。</w:t>
      </w:r>
    </w:p>
    <w:p w14:paraId="2934AD49">
      <w:pPr>
        <w:pStyle w:val="6"/>
        <w:spacing w:line="360" w:lineRule="auto"/>
        <w:ind w:firstLine="472" w:firstLineChars="2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2"/>
          <w:sz w:val="24"/>
          <w:szCs w:val="24"/>
          <w:lang w:eastAsia="zh-CN"/>
        </w:rPr>
        <w:t>6.投标人应逐条郑重承诺上述</w:t>
      </w:r>
      <w:r>
        <w:rPr>
          <w:rFonts w:hint="eastAsia" w:asciiTheme="minorEastAsia" w:hAnsiTheme="minorEastAsia" w:eastAsiaTheme="minorEastAsia" w:cstheme="minorEastAsia"/>
          <w:spacing w:val="-23"/>
          <w:sz w:val="24"/>
          <w:szCs w:val="24"/>
          <w:lang w:eastAsia="zh-CN"/>
        </w:rPr>
        <w:t xml:space="preserve"> </w:t>
      </w:r>
      <w:r>
        <w:rPr>
          <w:rFonts w:hint="eastAsia" w:asciiTheme="minorEastAsia" w:hAnsiTheme="minorEastAsia" w:eastAsiaTheme="minorEastAsia" w:cstheme="minorEastAsia"/>
          <w:spacing w:val="-2"/>
          <w:sz w:val="24"/>
          <w:szCs w:val="24"/>
          <w:lang w:eastAsia="zh-CN"/>
        </w:rPr>
        <w:t>1-6</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2"/>
          <w:sz w:val="24"/>
          <w:szCs w:val="24"/>
          <w:lang w:eastAsia="zh-CN"/>
        </w:rPr>
        <w:t>项，保证提供不低于本技术规格及要求的优质产品。</w:t>
      </w:r>
    </w:p>
    <w:p w14:paraId="0FA5809F">
      <w:pPr>
        <w:rPr>
          <w:rFonts w:asciiTheme="minorEastAsia" w:hAnsiTheme="minorEastAsia" w:eastAsiaTheme="minorEastAsia" w:cstheme="minorEastAsia"/>
          <w:b/>
          <w:bCs/>
          <w:spacing w:val="-4"/>
          <w:sz w:val="36"/>
          <w:szCs w:val="36"/>
          <w:lang w:eastAsia="zh-CN"/>
        </w:rPr>
      </w:pPr>
      <w:bookmarkStart w:id="406" w:name="bookmark25"/>
      <w:bookmarkEnd w:id="406"/>
      <w:bookmarkStart w:id="407" w:name="bookmark26"/>
      <w:bookmarkEnd w:id="407"/>
    </w:p>
    <w:p w14:paraId="6B35F4F6">
      <w:pPr>
        <w:pStyle w:val="6"/>
        <w:spacing w:before="117" w:line="220" w:lineRule="auto"/>
        <w:ind w:left="3235"/>
        <w:outlineLvl w:val="0"/>
        <w:rPr>
          <w:rFonts w:hint="eastAsia" w:asciiTheme="minorEastAsia" w:hAnsiTheme="minorEastAsia" w:eastAsiaTheme="minorEastAsia" w:cstheme="minorEastAsia"/>
          <w:b/>
          <w:bCs/>
          <w:spacing w:val="-5"/>
          <w:sz w:val="36"/>
          <w:szCs w:val="36"/>
          <w:lang w:eastAsia="zh-CN"/>
        </w:rPr>
      </w:pPr>
      <w:bookmarkStart w:id="408" w:name="_Toc20195"/>
      <w:r>
        <w:rPr>
          <w:rFonts w:hint="eastAsia" w:asciiTheme="minorEastAsia" w:hAnsiTheme="minorEastAsia" w:eastAsiaTheme="minorEastAsia" w:cstheme="minorEastAsia"/>
          <w:b/>
          <w:bCs/>
          <w:spacing w:val="-5"/>
          <w:sz w:val="36"/>
          <w:szCs w:val="36"/>
          <w:lang w:eastAsia="zh-CN"/>
        </w:rPr>
        <w:t>第五部分 投标文件格式</w:t>
      </w:r>
      <w:bookmarkEnd w:id="408"/>
    </w:p>
    <w:p w14:paraId="213F9998">
      <w:pPr>
        <w:spacing w:line="260" w:lineRule="auto"/>
        <w:rPr>
          <w:rFonts w:asciiTheme="minorEastAsia" w:hAnsiTheme="minorEastAsia" w:eastAsiaTheme="minorEastAsia" w:cstheme="minorEastAsia"/>
          <w:lang w:eastAsia="zh-CN"/>
        </w:rPr>
      </w:pPr>
    </w:p>
    <w:p w14:paraId="20ACCCAA">
      <w:pPr>
        <w:spacing w:line="260" w:lineRule="auto"/>
        <w:rPr>
          <w:rFonts w:asciiTheme="minorEastAsia" w:hAnsiTheme="minorEastAsia" w:eastAsiaTheme="minorEastAsia" w:cstheme="minorEastAsia"/>
          <w:lang w:eastAsia="zh-CN"/>
        </w:rPr>
      </w:pPr>
    </w:p>
    <w:p w14:paraId="4EBE2477">
      <w:pPr>
        <w:spacing w:line="260" w:lineRule="auto"/>
        <w:rPr>
          <w:rFonts w:asciiTheme="minorEastAsia" w:hAnsiTheme="minorEastAsia" w:eastAsiaTheme="minorEastAsia" w:cstheme="minorEastAsia"/>
          <w:lang w:eastAsia="zh-CN"/>
        </w:rPr>
      </w:pPr>
    </w:p>
    <w:p w14:paraId="221ADCEB">
      <w:pPr>
        <w:spacing w:line="260" w:lineRule="auto"/>
        <w:rPr>
          <w:rFonts w:asciiTheme="minorEastAsia" w:hAnsiTheme="minorEastAsia" w:eastAsiaTheme="minorEastAsia" w:cstheme="minorEastAsia"/>
          <w:lang w:eastAsia="zh-CN"/>
        </w:rPr>
      </w:pPr>
    </w:p>
    <w:p w14:paraId="787618F9">
      <w:pPr>
        <w:spacing w:line="260" w:lineRule="auto"/>
        <w:rPr>
          <w:rFonts w:asciiTheme="minorEastAsia" w:hAnsiTheme="minorEastAsia" w:eastAsiaTheme="minorEastAsia" w:cstheme="minorEastAsia"/>
          <w:lang w:eastAsia="zh-CN"/>
        </w:rPr>
      </w:pPr>
    </w:p>
    <w:p w14:paraId="50BDEE6E">
      <w:pPr>
        <w:spacing w:line="261" w:lineRule="auto"/>
        <w:rPr>
          <w:rFonts w:asciiTheme="minorEastAsia" w:hAnsiTheme="minorEastAsia" w:eastAsiaTheme="minorEastAsia" w:cstheme="minorEastAsia"/>
          <w:lang w:eastAsia="zh-CN"/>
        </w:rPr>
      </w:pPr>
    </w:p>
    <w:p w14:paraId="4CD43142">
      <w:pPr>
        <w:spacing w:line="261" w:lineRule="auto"/>
        <w:rPr>
          <w:rFonts w:asciiTheme="minorEastAsia" w:hAnsiTheme="minorEastAsia" w:eastAsiaTheme="minorEastAsia" w:cstheme="minorEastAsia"/>
          <w:lang w:eastAsia="zh-CN"/>
        </w:rPr>
      </w:pPr>
    </w:p>
    <w:p w14:paraId="09DCD17C">
      <w:pPr>
        <w:pStyle w:val="6"/>
        <w:tabs>
          <w:tab w:val="left" w:pos="5904"/>
        </w:tabs>
        <w:spacing w:before="101" w:line="226" w:lineRule="auto"/>
        <w:ind w:left="1420"/>
        <w:rPr>
          <w:rFonts w:asciiTheme="minorEastAsia" w:hAnsiTheme="minorEastAsia" w:eastAsiaTheme="minorEastAsia" w:cstheme="minorEastAsia"/>
          <w:sz w:val="31"/>
          <w:szCs w:val="31"/>
          <w:lang w:eastAsia="zh-CN"/>
        </w:rPr>
      </w:pPr>
      <w:r>
        <w:rPr>
          <w:rFonts w:hint="eastAsia" w:asciiTheme="minorEastAsia" w:hAnsiTheme="minorEastAsia" w:eastAsiaTheme="minorEastAsia" w:cstheme="minorEastAsia"/>
          <w:sz w:val="31"/>
          <w:szCs w:val="31"/>
          <w:u w:val="single"/>
          <w:lang w:eastAsia="zh-CN"/>
        </w:rPr>
        <w:tab/>
      </w:r>
      <w:r>
        <w:rPr>
          <w:rFonts w:hint="eastAsia" w:asciiTheme="minorEastAsia" w:hAnsiTheme="minorEastAsia" w:eastAsiaTheme="minorEastAsia" w:cstheme="minorEastAsia"/>
          <w:spacing w:val="7"/>
          <w:sz w:val="31"/>
          <w:szCs w:val="31"/>
          <w:lang w:eastAsia="zh-CN"/>
        </w:rPr>
        <w:t>（项目名称）</w:t>
      </w:r>
    </w:p>
    <w:p w14:paraId="5F65AD9A">
      <w:pPr>
        <w:spacing w:line="269" w:lineRule="auto"/>
        <w:rPr>
          <w:rFonts w:asciiTheme="minorEastAsia" w:hAnsiTheme="minorEastAsia" w:eastAsiaTheme="minorEastAsia" w:cstheme="minorEastAsia"/>
          <w:lang w:eastAsia="zh-CN"/>
        </w:rPr>
      </w:pPr>
    </w:p>
    <w:p w14:paraId="0E728062">
      <w:pPr>
        <w:spacing w:line="269" w:lineRule="auto"/>
        <w:rPr>
          <w:rFonts w:asciiTheme="minorEastAsia" w:hAnsiTheme="minorEastAsia" w:eastAsiaTheme="minorEastAsia" w:cstheme="minorEastAsia"/>
          <w:lang w:eastAsia="zh-CN"/>
        </w:rPr>
      </w:pPr>
    </w:p>
    <w:p w14:paraId="45E9CFA1">
      <w:pPr>
        <w:spacing w:line="269" w:lineRule="auto"/>
        <w:rPr>
          <w:rFonts w:asciiTheme="minorEastAsia" w:hAnsiTheme="minorEastAsia" w:eastAsiaTheme="minorEastAsia" w:cstheme="minorEastAsia"/>
          <w:lang w:eastAsia="zh-CN"/>
        </w:rPr>
      </w:pPr>
    </w:p>
    <w:p w14:paraId="6DFEBBE4">
      <w:pPr>
        <w:spacing w:line="269" w:lineRule="auto"/>
        <w:rPr>
          <w:rFonts w:asciiTheme="minorEastAsia" w:hAnsiTheme="minorEastAsia" w:eastAsiaTheme="minorEastAsia" w:cstheme="minorEastAsia"/>
          <w:lang w:eastAsia="zh-CN"/>
        </w:rPr>
      </w:pPr>
    </w:p>
    <w:p w14:paraId="07987C5A">
      <w:pPr>
        <w:spacing w:line="269" w:lineRule="auto"/>
        <w:rPr>
          <w:rFonts w:asciiTheme="minorEastAsia" w:hAnsiTheme="minorEastAsia" w:eastAsiaTheme="minorEastAsia" w:cstheme="minorEastAsia"/>
          <w:lang w:eastAsia="zh-CN"/>
        </w:rPr>
      </w:pPr>
    </w:p>
    <w:p w14:paraId="168C976B">
      <w:pPr>
        <w:spacing w:line="270" w:lineRule="auto"/>
        <w:rPr>
          <w:rFonts w:asciiTheme="minorEastAsia" w:hAnsiTheme="minorEastAsia" w:eastAsiaTheme="minorEastAsia" w:cstheme="minorEastAsia"/>
          <w:lang w:eastAsia="zh-CN"/>
        </w:rPr>
      </w:pPr>
    </w:p>
    <w:p w14:paraId="1F897E66">
      <w:pPr>
        <w:spacing w:line="270" w:lineRule="auto"/>
        <w:rPr>
          <w:rFonts w:asciiTheme="minorEastAsia" w:hAnsiTheme="minorEastAsia" w:eastAsiaTheme="minorEastAsia" w:cstheme="minorEastAsia"/>
          <w:lang w:eastAsia="zh-CN"/>
        </w:rPr>
      </w:pPr>
    </w:p>
    <w:p w14:paraId="4414E25D">
      <w:pPr>
        <w:spacing w:before="280" w:line="199" w:lineRule="auto"/>
        <w:ind w:left="3121"/>
        <w:rPr>
          <w:rFonts w:asciiTheme="minorEastAsia" w:hAnsiTheme="minorEastAsia" w:eastAsiaTheme="minorEastAsia" w:cstheme="minorEastAsia"/>
          <w:sz w:val="76"/>
          <w:szCs w:val="76"/>
          <w:lang w:eastAsia="zh-CN"/>
        </w:rPr>
      </w:pPr>
      <w:bookmarkStart w:id="409" w:name="_Toc2194"/>
      <w:r>
        <w:rPr>
          <w:rFonts w:hint="eastAsia" w:asciiTheme="minorEastAsia" w:hAnsiTheme="minorEastAsia" w:eastAsiaTheme="minorEastAsia" w:cstheme="minorEastAsia"/>
          <w:b/>
          <w:bCs/>
          <w:spacing w:val="-12"/>
          <w:sz w:val="76"/>
          <w:szCs w:val="76"/>
          <w:lang w:eastAsia="zh-CN"/>
        </w:rPr>
        <w:t>投标文件</w:t>
      </w:r>
      <w:bookmarkEnd w:id="409"/>
    </w:p>
    <w:p w14:paraId="75CC82C3">
      <w:pPr>
        <w:spacing w:line="334" w:lineRule="auto"/>
        <w:rPr>
          <w:rFonts w:asciiTheme="minorEastAsia" w:hAnsiTheme="minorEastAsia" w:eastAsiaTheme="minorEastAsia" w:cstheme="minorEastAsia"/>
          <w:lang w:eastAsia="zh-CN"/>
        </w:rPr>
      </w:pPr>
    </w:p>
    <w:p w14:paraId="21B62FBE">
      <w:pPr>
        <w:pStyle w:val="6"/>
        <w:spacing w:before="117" w:line="219" w:lineRule="auto"/>
        <w:ind w:left="2114"/>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b/>
          <w:bCs/>
          <w:spacing w:val="-8"/>
          <w:sz w:val="36"/>
          <w:szCs w:val="36"/>
          <w:lang w:eastAsia="zh-CN"/>
        </w:rPr>
        <w:t>（项目编号</w:t>
      </w:r>
      <w:r>
        <w:rPr>
          <w:rFonts w:hint="eastAsia" w:asciiTheme="minorEastAsia" w:hAnsiTheme="minorEastAsia" w:eastAsiaTheme="minorEastAsia" w:cstheme="minorEastAsia"/>
          <w:b/>
          <w:bCs/>
          <w:spacing w:val="-1"/>
          <w:sz w:val="36"/>
          <w:szCs w:val="36"/>
          <w:lang w:eastAsia="zh-CN"/>
        </w:rPr>
        <w:t>：</w:t>
      </w:r>
      <w:r>
        <w:rPr>
          <w:rFonts w:hint="eastAsia" w:asciiTheme="minorEastAsia" w:hAnsiTheme="minorEastAsia" w:eastAsiaTheme="minorEastAsia" w:cstheme="minorEastAsia"/>
          <w:sz w:val="36"/>
          <w:szCs w:val="36"/>
          <w:u w:val="single"/>
          <w:lang w:eastAsia="zh-CN"/>
        </w:rPr>
        <w:t xml:space="preserve">              </w:t>
      </w:r>
      <w:r>
        <w:rPr>
          <w:rFonts w:hint="eastAsia" w:asciiTheme="minorEastAsia" w:hAnsiTheme="minorEastAsia" w:eastAsiaTheme="minorEastAsia" w:cstheme="minorEastAsia"/>
          <w:b/>
          <w:bCs/>
          <w:spacing w:val="-1"/>
          <w:sz w:val="36"/>
          <w:szCs w:val="36"/>
          <w:lang w:eastAsia="zh-CN"/>
        </w:rPr>
        <w:t>）</w:t>
      </w:r>
    </w:p>
    <w:p w14:paraId="60619C07">
      <w:pPr>
        <w:spacing w:line="357" w:lineRule="auto"/>
        <w:rPr>
          <w:rFonts w:asciiTheme="minorEastAsia" w:hAnsiTheme="minorEastAsia" w:eastAsiaTheme="minorEastAsia" w:cstheme="minorEastAsia"/>
          <w:lang w:eastAsia="zh-CN"/>
        </w:rPr>
      </w:pPr>
    </w:p>
    <w:p w14:paraId="51B023F7">
      <w:pPr>
        <w:pStyle w:val="6"/>
        <w:spacing w:before="117" w:line="220" w:lineRule="auto"/>
        <w:ind w:left="3735"/>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b/>
          <w:bCs/>
          <w:spacing w:val="-8"/>
          <w:sz w:val="36"/>
          <w:szCs w:val="36"/>
          <w:lang w:eastAsia="zh-CN"/>
        </w:rPr>
        <w:t>标段：</w:t>
      </w:r>
      <w:r>
        <w:rPr>
          <w:rFonts w:hint="eastAsia" w:asciiTheme="minorEastAsia" w:hAnsiTheme="minorEastAsia" w:eastAsiaTheme="minorEastAsia" w:cstheme="minorEastAsia"/>
          <w:sz w:val="36"/>
          <w:szCs w:val="36"/>
          <w:u w:val="single"/>
          <w:lang w:eastAsia="zh-CN"/>
        </w:rPr>
        <w:t xml:space="preserve">  </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u w:val="single"/>
          <w:lang w:eastAsia="zh-CN"/>
        </w:rPr>
        <w:t xml:space="preserve">  </w:t>
      </w:r>
    </w:p>
    <w:p w14:paraId="32BEB92B">
      <w:pPr>
        <w:spacing w:line="243" w:lineRule="auto"/>
        <w:rPr>
          <w:rFonts w:asciiTheme="minorEastAsia" w:hAnsiTheme="minorEastAsia" w:eastAsiaTheme="minorEastAsia" w:cstheme="minorEastAsia"/>
          <w:lang w:eastAsia="zh-CN"/>
        </w:rPr>
      </w:pPr>
    </w:p>
    <w:p w14:paraId="3D941AA9">
      <w:pPr>
        <w:spacing w:line="243" w:lineRule="auto"/>
        <w:rPr>
          <w:rFonts w:asciiTheme="minorEastAsia" w:hAnsiTheme="minorEastAsia" w:eastAsiaTheme="minorEastAsia" w:cstheme="minorEastAsia"/>
          <w:lang w:eastAsia="zh-CN"/>
        </w:rPr>
      </w:pPr>
    </w:p>
    <w:p w14:paraId="7A08C572">
      <w:pPr>
        <w:spacing w:line="243" w:lineRule="auto"/>
        <w:rPr>
          <w:rFonts w:asciiTheme="minorEastAsia" w:hAnsiTheme="minorEastAsia" w:eastAsiaTheme="minorEastAsia" w:cstheme="minorEastAsia"/>
          <w:lang w:eastAsia="zh-CN"/>
        </w:rPr>
      </w:pPr>
    </w:p>
    <w:p w14:paraId="0F675955">
      <w:pPr>
        <w:spacing w:line="243" w:lineRule="auto"/>
        <w:rPr>
          <w:rFonts w:asciiTheme="minorEastAsia" w:hAnsiTheme="minorEastAsia" w:eastAsiaTheme="minorEastAsia" w:cstheme="minorEastAsia"/>
          <w:lang w:eastAsia="zh-CN"/>
        </w:rPr>
      </w:pPr>
    </w:p>
    <w:p w14:paraId="2931E60E">
      <w:pPr>
        <w:spacing w:line="243" w:lineRule="auto"/>
        <w:rPr>
          <w:rFonts w:asciiTheme="minorEastAsia" w:hAnsiTheme="minorEastAsia" w:eastAsiaTheme="minorEastAsia" w:cstheme="minorEastAsia"/>
          <w:lang w:eastAsia="zh-CN"/>
        </w:rPr>
      </w:pPr>
    </w:p>
    <w:p w14:paraId="5F67819A">
      <w:pPr>
        <w:spacing w:line="244" w:lineRule="auto"/>
        <w:rPr>
          <w:rFonts w:asciiTheme="minorEastAsia" w:hAnsiTheme="minorEastAsia" w:eastAsiaTheme="minorEastAsia" w:cstheme="minorEastAsia"/>
          <w:lang w:eastAsia="zh-CN"/>
        </w:rPr>
      </w:pPr>
    </w:p>
    <w:p w14:paraId="633F1405">
      <w:pPr>
        <w:spacing w:line="244" w:lineRule="auto"/>
        <w:rPr>
          <w:rFonts w:asciiTheme="minorEastAsia" w:hAnsiTheme="minorEastAsia" w:eastAsiaTheme="minorEastAsia" w:cstheme="minorEastAsia"/>
          <w:lang w:eastAsia="zh-CN"/>
        </w:rPr>
      </w:pPr>
    </w:p>
    <w:p w14:paraId="3F77A866">
      <w:pPr>
        <w:pStyle w:val="6"/>
        <w:spacing w:before="91" w:line="403" w:lineRule="auto"/>
        <w:ind w:right="28"/>
        <w:rPr>
          <w:rFonts w:asciiTheme="minorEastAsia" w:hAnsiTheme="minorEastAsia" w:eastAsiaTheme="minorEastAsia" w:cstheme="minorEastAsia"/>
          <w:spacing w:val="-2"/>
          <w:sz w:val="28"/>
          <w:szCs w:val="28"/>
          <w:lang w:eastAsia="zh-CN"/>
        </w:rPr>
      </w:pPr>
    </w:p>
    <w:p w14:paraId="33A4EFA9">
      <w:pPr>
        <w:pStyle w:val="6"/>
        <w:spacing w:before="91" w:line="403" w:lineRule="auto"/>
        <w:ind w:right="28" w:firstLine="552"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lang w:eastAsia="zh-CN"/>
        </w:rPr>
        <w:t>投标单位（企业电子签章</w:t>
      </w:r>
      <w:r>
        <w:rPr>
          <w:rFonts w:hint="eastAsia" w:asciiTheme="minorEastAsia" w:hAnsiTheme="minorEastAsia" w:eastAsiaTheme="minorEastAsia" w:cstheme="minorEastAsia"/>
          <w:spacing w:val="-15"/>
          <w:sz w:val="28"/>
          <w:szCs w:val="28"/>
          <w:lang w:eastAsia="zh-CN"/>
        </w:rPr>
        <w:t>）</w:t>
      </w:r>
      <w:r>
        <w:rPr>
          <w:rFonts w:hint="eastAsia" w:asciiTheme="minorEastAsia" w:hAnsiTheme="minorEastAsia" w:eastAsiaTheme="minorEastAsia" w:cstheme="minorEastAsia"/>
          <w:spacing w:val="37"/>
          <w:sz w:val="28"/>
          <w:szCs w:val="28"/>
          <w:lang w:eastAsia="zh-CN"/>
        </w:rPr>
        <w:t xml:space="preserve"> </w:t>
      </w:r>
      <w:r>
        <w:rPr>
          <w:rFonts w:hint="eastAsia" w:asciiTheme="minorEastAsia" w:hAnsiTheme="minorEastAsia" w:eastAsiaTheme="minorEastAsia" w:cstheme="minorEastAsia"/>
          <w:spacing w:val="-15"/>
          <w:sz w:val="28"/>
          <w:szCs w:val="28"/>
          <w:lang w:eastAsia="zh-CN"/>
        </w:rPr>
        <w:t>：</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 xml:space="preserve">  </w:t>
      </w:r>
    </w:p>
    <w:p w14:paraId="16BADC8A">
      <w:pPr>
        <w:pStyle w:val="6"/>
        <w:spacing w:before="91" w:line="403" w:lineRule="auto"/>
        <w:ind w:right="28" w:firstLine="556" w:firstLineChars="200"/>
        <w:rPr>
          <w:rFonts w:asciiTheme="minorEastAsia" w:hAnsiTheme="minorEastAsia" w:eastAsiaTheme="minorEastAsia" w:cstheme="minorEastAsia"/>
          <w:spacing w:val="2"/>
          <w:sz w:val="28"/>
          <w:szCs w:val="28"/>
          <w:lang w:eastAsia="zh-CN"/>
        </w:rPr>
      </w:pPr>
      <w:r>
        <w:rPr>
          <w:rFonts w:hint="eastAsia" w:asciiTheme="minorEastAsia" w:hAnsiTheme="minorEastAsia" w:eastAsiaTheme="minorEastAsia" w:cstheme="minorEastAsia"/>
          <w:spacing w:val="-1"/>
          <w:sz w:val="28"/>
          <w:szCs w:val="28"/>
          <w:lang w:eastAsia="zh-CN"/>
        </w:rPr>
        <w:t>法定代表人（或委托代理人</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lang w:eastAsia="zh-CN"/>
        </w:rPr>
        <w:t>签字或盖章</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6"/>
          <w:sz w:val="28"/>
          <w:szCs w:val="28"/>
          <w:u w:val="single"/>
          <w:lang w:eastAsia="zh-CN"/>
        </w:rPr>
        <w:t xml:space="preserve">          </w:t>
      </w:r>
      <w:r>
        <w:rPr>
          <w:rFonts w:hint="eastAsia" w:asciiTheme="minorEastAsia" w:hAnsiTheme="minorEastAsia" w:eastAsiaTheme="minorEastAsia" w:cstheme="minorEastAsia"/>
          <w:spacing w:val="2"/>
          <w:sz w:val="28"/>
          <w:szCs w:val="28"/>
          <w:lang w:eastAsia="zh-CN"/>
        </w:rPr>
        <w:t xml:space="preserve"> </w:t>
      </w:r>
    </w:p>
    <w:p w14:paraId="61349E59">
      <w:pPr>
        <w:pStyle w:val="6"/>
        <w:spacing w:before="91" w:line="403" w:lineRule="auto"/>
        <w:ind w:right="28" w:firstLine="524"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日</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9"/>
          <w:sz w:val="28"/>
          <w:szCs w:val="28"/>
        </w:rPr>
        <w:t>期：</w:t>
      </w:r>
      <w:r>
        <w:rPr>
          <w:rFonts w:hint="eastAsia" w:asciiTheme="minorEastAsia" w:hAnsiTheme="minorEastAsia" w:eastAsiaTheme="minorEastAsia" w:cstheme="minorEastAsia"/>
          <w:sz w:val="28"/>
          <w:szCs w:val="28"/>
          <w:u w:val="single"/>
        </w:rPr>
        <w:t xml:space="preserve">                                            </w:t>
      </w:r>
    </w:p>
    <w:p w14:paraId="30D1A14B">
      <w:pPr>
        <w:spacing w:line="272" w:lineRule="auto"/>
        <w:rPr>
          <w:rFonts w:asciiTheme="minorEastAsia" w:hAnsiTheme="minorEastAsia" w:eastAsiaTheme="minorEastAsia" w:cstheme="minorEastAsia"/>
          <w:lang w:eastAsia="zh-CN"/>
        </w:rPr>
      </w:pPr>
    </w:p>
    <w:p w14:paraId="44524470">
      <w:pPr>
        <w:spacing w:line="272" w:lineRule="auto"/>
        <w:rPr>
          <w:rFonts w:asciiTheme="minorEastAsia" w:hAnsiTheme="minorEastAsia" w:eastAsiaTheme="minorEastAsia" w:cstheme="minorEastAsia"/>
          <w:lang w:eastAsia="zh-CN"/>
        </w:rPr>
      </w:pPr>
    </w:p>
    <w:p w14:paraId="645ABAE1">
      <w:pPr>
        <w:spacing w:line="272" w:lineRule="auto"/>
        <w:rPr>
          <w:rFonts w:asciiTheme="minorEastAsia" w:hAnsiTheme="minorEastAsia" w:eastAsiaTheme="minorEastAsia" w:cstheme="minorEastAsia"/>
          <w:lang w:eastAsia="zh-CN"/>
        </w:rPr>
      </w:pPr>
    </w:p>
    <w:p w14:paraId="7A4FD0D8">
      <w:pPr>
        <w:spacing w:before="101" w:line="227" w:lineRule="auto"/>
        <w:ind w:left="4055"/>
        <w:rPr>
          <w:rFonts w:asciiTheme="minorEastAsia" w:hAnsiTheme="minorEastAsia" w:eastAsiaTheme="minorEastAsia" w:cstheme="minorEastAsia"/>
          <w:sz w:val="31"/>
          <w:szCs w:val="31"/>
        </w:rPr>
      </w:pPr>
      <w:r>
        <w:rPr>
          <w:rFonts w:hint="eastAsia" w:asciiTheme="minorEastAsia" w:hAnsiTheme="minorEastAsia" w:eastAsiaTheme="minorEastAsia" w:cstheme="minorEastAsia"/>
          <w:spacing w:val="-33"/>
          <w:sz w:val="31"/>
          <w:szCs w:val="31"/>
        </w:rPr>
        <w:t>目</w:t>
      </w:r>
      <w:r>
        <w:rPr>
          <w:rFonts w:hint="eastAsia" w:asciiTheme="minorEastAsia" w:hAnsiTheme="minorEastAsia" w:eastAsiaTheme="minorEastAsia" w:cstheme="minorEastAsia"/>
          <w:spacing w:val="8"/>
          <w:sz w:val="31"/>
          <w:szCs w:val="31"/>
        </w:rPr>
        <w:t xml:space="preserve">    </w:t>
      </w:r>
      <w:r>
        <w:rPr>
          <w:rFonts w:hint="eastAsia" w:asciiTheme="minorEastAsia" w:hAnsiTheme="minorEastAsia" w:eastAsiaTheme="minorEastAsia" w:cstheme="minorEastAsia"/>
          <w:spacing w:val="-33"/>
          <w:sz w:val="31"/>
          <w:szCs w:val="31"/>
        </w:rPr>
        <w:t>录</w:t>
      </w:r>
    </w:p>
    <w:p w14:paraId="491E523D">
      <w:pPr>
        <w:spacing w:line="260" w:lineRule="auto"/>
        <w:rPr>
          <w:rFonts w:asciiTheme="minorEastAsia" w:hAnsiTheme="minorEastAsia" w:eastAsiaTheme="minorEastAsia" w:cstheme="minorEastAsia"/>
          <w:lang w:eastAsia="zh-CN"/>
        </w:rPr>
      </w:pPr>
    </w:p>
    <w:p w14:paraId="2EF33C92">
      <w:pPr>
        <w:spacing w:line="260" w:lineRule="auto"/>
        <w:rPr>
          <w:rFonts w:asciiTheme="minorEastAsia" w:hAnsiTheme="minorEastAsia" w:eastAsiaTheme="minorEastAsia" w:cstheme="minorEastAsia"/>
        </w:rPr>
      </w:pPr>
    </w:p>
    <w:p w14:paraId="4AAB9ED8">
      <w:pPr>
        <w:spacing w:line="261" w:lineRule="auto"/>
        <w:rPr>
          <w:rFonts w:asciiTheme="minorEastAsia" w:hAnsiTheme="minorEastAsia" w:eastAsiaTheme="minorEastAsia" w:cstheme="minorEastAsia"/>
        </w:rPr>
      </w:pPr>
    </w:p>
    <w:p w14:paraId="60A4EA49">
      <w:pPr>
        <w:rPr>
          <w:rFonts w:asciiTheme="minorEastAsia" w:hAnsiTheme="minorEastAsia" w:eastAsiaTheme="minorEastAsia" w:cstheme="minorEastAsia"/>
          <w:b/>
          <w:bCs/>
          <w:spacing w:val="-8"/>
        </w:rPr>
      </w:pPr>
      <w:bookmarkStart w:id="410" w:name="bookmark27"/>
      <w:bookmarkEnd w:id="410"/>
      <w:bookmarkStart w:id="411" w:name="bookmark28"/>
      <w:bookmarkEnd w:id="411"/>
      <w:r>
        <w:rPr>
          <w:rFonts w:hint="eastAsia" w:asciiTheme="minorEastAsia" w:hAnsiTheme="minorEastAsia" w:eastAsiaTheme="minorEastAsia" w:cstheme="minorEastAsia"/>
          <w:b/>
          <w:bCs/>
          <w:spacing w:val="-8"/>
        </w:rPr>
        <w:br w:type="page"/>
      </w:r>
    </w:p>
    <w:p w14:paraId="0B558882">
      <w:pPr>
        <w:pStyle w:val="6"/>
        <w:spacing w:before="97" w:line="220" w:lineRule="auto"/>
        <w:ind w:left="146"/>
        <w:jc w:val="center"/>
        <w:outlineLvl w:val="1"/>
        <w:rPr>
          <w:rFonts w:asciiTheme="minorEastAsia" w:hAnsiTheme="minorEastAsia" w:eastAsiaTheme="minorEastAsia" w:cstheme="minorEastAsia"/>
        </w:rPr>
      </w:pPr>
      <w:bookmarkStart w:id="412" w:name="_Toc7608"/>
      <w:r>
        <w:rPr>
          <w:rFonts w:hint="eastAsia" w:asciiTheme="minorEastAsia" w:hAnsiTheme="minorEastAsia" w:eastAsiaTheme="minorEastAsia" w:cstheme="minorEastAsia"/>
          <w:b/>
          <w:bCs/>
          <w:spacing w:val="-8"/>
        </w:rPr>
        <w:t>1.开标一览表</w:t>
      </w:r>
      <w:bookmarkEnd w:id="412"/>
    </w:p>
    <w:p w14:paraId="252F822A">
      <w:pPr>
        <w:spacing w:line="106" w:lineRule="exact"/>
        <w:rPr>
          <w:rFonts w:asciiTheme="minorEastAsia" w:hAnsiTheme="minorEastAsia" w:eastAsiaTheme="minorEastAsia" w:cstheme="minorEastAsia"/>
        </w:rPr>
      </w:pPr>
    </w:p>
    <w:tbl>
      <w:tblPr>
        <w:tblStyle w:val="26"/>
        <w:tblW w:w="93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5"/>
        <w:gridCol w:w="7289"/>
      </w:tblGrid>
      <w:tr w14:paraId="6E49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1A820A06">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2"/>
              </w:rPr>
              <w:t>投标人名称</w:t>
            </w:r>
          </w:p>
        </w:tc>
        <w:tc>
          <w:tcPr>
            <w:tcW w:w="7289" w:type="dxa"/>
            <w:vAlign w:val="center"/>
          </w:tcPr>
          <w:p w14:paraId="7558413E">
            <w:pPr>
              <w:jc w:val="center"/>
              <w:rPr>
                <w:rFonts w:asciiTheme="minorEastAsia" w:hAnsiTheme="minorEastAsia" w:eastAsiaTheme="minorEastAsia" w:cstheme="minorEastAsia"/>
              </w:rPr>
            </w:pPr>
          </w:p>
        </w:tc>
      </w:tr>
      <w:tr w14:paraId="43E5B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504A4C56">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3"/>
              </w:rPr>
              <w:t>项目名称</w:t>
            </w:r>
          </w:p>
        </w:tc>
        <w:tc>
          <w:tcPr>
            <w:tcW w:w="7289" w:type="dxa"/>
            <w:vAlign w:val="center"/>
          </w:tcPr>
          <w:p w14:paraId="3166CE17">
            <w:pPr>
              <w:jc w:val="center"/>
              <w:rPr>
                <w:rFonts w:asciiTheme="minorEastAsia" w:hAnsiTheme="minorEastAsia" w:eastAsiaTheme="minorEastAsia" w:cstheme="minorEastAsia"/>
              </w:rPr>
            </w:pPr>
          </w:p>
        </w:tc>
      </w:tr>
      <w:tr w14:paraId="45EC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6757C22F">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2"/>
              </w:rPr>
              <w:t>投报标段</w:t>
            </w:r>
          </w:p>
        </w:tc>
        <w:tc>
          <w:tcPr>
            <w:tcW w:w="7289" w:type="dxa"/>
            <w:vAlign w:val="center"/>
          </w:tcPr>
          <w:p w14:paraId="27EADB27">
            <w:pPr>
              <w:jc w:val="center"/>
              <w:rPr>
                <w:rFonts w:asciiTheme="minorEastAsia" w:hAnsiTheme="minorEastAsia" w:eastAsiaTheme="minorEastAsia" w:cstheme="minorEastAsia"/>
              </w:rPr>
            </w:pPr>
          </w:p>
        </w:tc>
      </w:tr>
      <w:tr w14:paraId="7789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10D15156">
            <w:pPr>
              <w:pStyle w:val="27"/>
              <w:spacing w:before="68" w:line="221" w:lineRule="auto"/>
              <w:jc w:val="center"/>
              <w:rPr>
                <w:rFonts w:asciiTheme="minorEastAsia" w:hAnsiTheme="minorEastAsia" w:eastAsiaTheme="minorEastAsia" w:cstheme="minorEastAsia"/>
                <w:spacing w:val="-2"/>
                <w:lang w:eastAsia="zh-CN"/>
              </w:rPr>
            </w:pPr>
            <w:r>
              <w:rPr>
                <w:rFonts w:hint="eastAsia" w:asciiTheme="minorEastAsia" w:hAnsiTheme="minorEastAsia" w:eastAsiaTheme="minorEastAsia" w:cstheme="minorEastAsia"/>
                <w:spacing w:val="-2"/>
                <w:lang w:eastAsia="zh-CN"/>
              </w:rPr>
              <w:t>投标报价</w:t>
            </w:r>
          </w:p>
        </w:tc>
        <w:tc>
          <w:tcPr>
            <w:tcW w:w="7289" w:type="dxa"/>
            <w:vAlign w:val="center"/>
          </w:tcPr>
          <w:p w14:paraId="3CFAA17E">
            <w:pPr>
              <w:spacing w:line="360"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5元/每位学生/每天</w:t>
            </w:r>
          </w:p>
        </w:tc>
      </w:tr>
      <w:tr w14:paraId="6FBCC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1BBD4D2D">
            <w:pPr>
              <w:pStyle w:val="27"/>
              <w:spacing w:before="69" w:line="261" w:lineRule="auto"/>
              <w:ind w:left="471" w:right="125" w:hanging="334"/>
              <w:jc w:val="center"/>
              <w:rPr>
                <w:rFonts w:asciiTheme="minorEastAsia" w:hAnsiTheme="minorEastAsia" w:eastAsiaTheme="minorEastAsia" w:cstheme="minorEastAsia"/>
              </w:rPr>
            </w:pPr>
            <w:r>
              <w:rPr>
                <w:rFonts w:hint="eastAsia" w:asciiTheme="minorEastAsia" w:hAnsiTheme="minorEastAsia" w:eastAsiaTheme="minorEastAsia" w:cstheme="minorEastAsia"/>
              </w:rPr>
              <w:t>配送地点</w:t>
            </w:r>
          </w:p>
        </w:tc>
        <w:tc>
          <w:tcPr>
            <w:tcW w:w="7289" w:type="dxa"/>
            <w:vAlign w:val="center"/>
          </w:tcPr>
          <w:p w14:paraId="0E86C458">
            <w:pPr>
              <w:jc w:val="center"/>
              <w:rPr>
                <w:rFonts w:asciiTheme="minorEastAsia" w:hAnsiTheme="minorEastAsia" w:eastAsiaTheme="minorEastAsia" w:cstheme="minorEastAsia"/>
              </w:rPr>
            </w:pPr>
          </w:p>
        </w:tc>
      </w:tr>
      <w:tr w14:paraId="576D5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2C60E160">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服务要求</w:t>
            </w:r>
          </w:p>
        </w:tc>
        <w:tc>
          <w:tcPr>
            <w:tcW w:w="7289" w:type="dxa"/>
            <w:vAlign w:val="center"/>
          </w:tcPr>
          <w:p w14:paraId="3E021426">
            <w:pPr>
              <w:jc w:val="center"/>
              <w:rPr>
                <w:rFonts w:asciiTheme="minorEastAsia" w:hAnsiTheme="minorEastAsia" w:eastAsiaTheme="minorEastAsia" w:cstheme="minorEastAsia"/>
              </w:rPr>
            </w:pPr>
          </w:p>
        </w:tc>
      </w:tr>
      <w:tr w14:paraId="7C9A1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6174D18A">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食材质量要求</w:t>
            </w:r>
          </w:p>
        </w:tc>
        <w:tc>
          <w:tcPr>
            <w:tcW w:w="7289" w:type="dxa"/>
            <w:vAlign w:val="center"/>
          </w:tcPr>
          <w:p w14:paraId="48CB5055">
            <w:pPr>
              <w:jc w:val="center"/>
              <w:rPr>
                <w:rFonts w:asciiTheme="minorEastAsia" w:hAnsiTheme="minorEastAsia" w:eastAsiaTheme="minorEastAsia" w:cstheme="minorEastAsia"/>
              </w:rPr>
            </w:pPr>
          </w:p>
        </w:tc>
      </w:tr>
      <w:tr w14:paraId="5DC7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49ED2642">
            <w:pPr>
              <w:pStyle w:val="27"/>
              <w:spacing w:before="68" w:line="221"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合同履行期限</w:t>
            </w:r>
          </w:p>
        </w:tc>
        <w:tc>
          <w:tcPr>
            <w:tcW w:w="7289" w:type="dxa"/>
            <w:vAlign w:val="center"/>
          </w:tcPr>
          <w:p w14:paraId="5210B388">
            <w:pPr>
              <w:jc w:val="center"/>
              <w:rPr>
                <w:rFonts w:asciiTheme="minorEastAsia" w:hAnsiTheme="minorEastAsia" w:eastAsiaTheme="minorEastAsia" w:cstheme="minorEastAsia"/>
              </w:rPr>
            </w:pPr>
          </w:p>
        </w:tc>
      </w:tr>
      <w:tr w14:paraId="458C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exact"/>
          <w:jc w:val="center"/>
        </w:trPr>
        <w:tc>
          <w:tcPr>
            <w:tcW w:w="2065" w:type="dxa"/>
            <w:vAlign w:val="center"/>
          </w:tcPr>
          <w:p w14:paraId="1896954F">
            <w:pPr>
              <w:pStyle w:val="27"/>
              <w:spacing w:line="360" w:lineRule="auto"/>
              <w:ind w:left="839" w:hanging="839"/>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项目负责人</w:t>
            </w:r>
          </w:p>
          <w:p w14:paraId="60723C4A">
            <w:pPr>
              <w:pStyle w:val="27"/>
              <w:spacing w:line="360" w:lineRule="auto"/>
              <w:ind w:left="839" w:hanging="839"/>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及联系方</w:t>
            </w:r>
            <w:r>
              <w:rPr>
                <w:rFonts w:hint="eastAsia" w:asciiTheme="minorEastAsia" w:hAnsiTheme="minorEastAsia" w:eastAsiaTheme="minorEastAsia" w:cstheme="minorEastAsia"/>
                <w:lang w:eastAsia="zh-CN"/>
              </w:rPr>
              <w:t>式</w:t>
            </w:r>
          </w:p>
        </w:tc>
        <w:tc>
          <w:tcPr>
            <w:tcW w:w="7289" w:type="dxa"/>
            <w:vAlign w:val="center"/>
          </w:tcPr>
          <w:p w14:paraId="64E8778E">
            <w:pPr>
              <w:jc w:val="center"/>
              <w:rPr>
                <w:rFonts w:asciiTheme="minorEastAsia" w:hAnsiTheme="minorEastAsia" w:eastAsiaTheme="minorEastAsia" w:cstheme="minorEastAsia"/>
                <w:lang w:eastAsia="zh-CN"/>
              </w:rPr>
            </w:pPr>
          </w:p>
        </w:tc>
      </w:tr>
      <w:tr w14:paraId="3D865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065" w:type="dxa"/>
            <w:vAlign w:val="center"/>
          </w:tcPr>
          <w:p w14:paraId="454918E1">
            <w:pPr>
              <w:spacing w:line="283" w:lineRule="auto"/>
              <w:jc w:val="center"/>
              <w:rPr>
                <w:rFonts w:asciiTheme="minorEastAsia" w:hAnsiTheme="minorEastAsia" w:eastAsiaTheme="minorEastAsia" w:cstheme="minorEastAsia"/>
                <w:lang w:eastAsia="zh-CN"/>
              </w:rPr>
            </w:pPr>
          </w:p>
          <w:p w14:paraId="5646752B">
            <w:pPr>
              <w:spacing w:line="283"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备注</w:t>
            </w:r>
          </w:p>
          <w:p w14:paraId="351E228A">
            <w:pPr>
              <w:pStyle w:val="27"/>
              <w:spacing w:before="68" w:line="222" w:lineRule="auto"/>
              <w:ind w:left="874"/>
              <w:jc w:val="center"/>
              <w:rPr>
                <w:rFonts w:asciiTheme="minorEastAsia" w:hAnsiTheme="minorEastAsia" w:eastAsiaTheme="minorEastAsia" w:cstheme="minorEastAsia"/>
              </w:rPr>
            </w:pPr>
          </w:p>
        </w:tc>
        <w:tc>
          <w:tcPr>
            <w:tcW w:w="7289" w:type="dxa"/>
            <w:vAlign w:val="center"/>
          </w:tcPr>
          <w:p w14:paraId="02B467B2">
            <w:pPr>
              <w:jc w:val="center"/>
              <w:rPr>
                <w:rFonts w:asciiTheme="minorEastAsia" w:hAnsiTheme="minorEastAsia" w:eastAsiaTheme="minorEastAsia" w:cstheme="minorEastAsia"/>
              </w:rPr>
            </w:pPr>
          </w:p>
        </w:tc>
      </w:tr>
    </w:tbl>
    <w:p w14:paraId="7F19676E">
      <w:pPr>
        <w:pStyle w:val="6"/>
        <w:spacing w:before="127" w:line="221" w:lineRule="auto"/>
        <w:ind w:left="332"/>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注：投标人必须按规定格式填写。</w:t>
      </w:r>
    </w:p>
    <w:p w14:paraId="4185559D">
      <w:pPr>
        <w:pStyle w:val="6"/>
        <w:spacing w:before="280" w:line="219" w:lineRule="auto"/>
        <w:ind w:firstLine="3068" w:firstLineChars="1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投  标</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2"/>
          <w:sz w:val="24"/>
          <w:szCs w:val="24"/>
          <w:lang w:eastAsia="zh-CN"/>
        </w:rPr>
        <w:t>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w:t>
      </w:r>
      <w:r>
        <w:rPr>
          <w:rFonts w:hint="eastAsia" w:asciiTheme="minorEastAsia" w:hAnsiTheme="minorEastAsia" w:eastAsiaTheme="minorEastAsia" w:cstheme="minorEastAsia"/>
          <w:spacing w:val="-2"/>
          <w:sz w:val="24"/>
          <w:szCs w:val="24"/>
          <w:u w:val="single"/>
          <w:lang w:eastAsia="zh-CN"/>
        </w:rPr>
        <w:t>企业电子签章）</w:t>
      </w:r>
      <w:r>
        <w:rPr>
          <w:rFonts w:hint="eastAsia" w:asciiTheme="minorEastAsia" w:hAnsiTheme="minorEastAsia" w:eastAsiaTheme="minorEastAsia" w:cstheme="minorEastAsia"/>
          <w:sz w:val="24"/>
          <w:szCs w:val="24"/>
          <w:u w:val="single"/>
          <w:lang w:eastAsia="zh-CN"/>
        </w:rPr>
        <w:t xml:space="preserve">  </w:t>
      </w:r>
    </w:p>
    <w:p w14:paraId="59532AA3">
      <w:pPr>
        <w:spacing w:line="259" w:lineRule="auto"/>
        <w:rPr>
          <w:rFonts w:asciiTheme="minorEastAsia" w:hAnsiTheme="minorEastAsia" w:eastAsiaTheme="minorEastAsia" w:cstheme="minorEastAsia"/>
          <w:lang w:eastAsia="zh-CN"/>
        </w:rPr>
      </w:pPr>
    </w:p>
    <w:p w14:paraId="3CED89FC">
      <w:pPr>
        <w:pStyle w:val="6"/>
        <w:tabs>
          <w:tab w:val="left" w:pos="4192"/>
        </w:tabs>
        <w:spacing w:before="79" w:line="406" w:lineRule="auto"/>
        <w:ind w:left="3004" w:leftChars="1375" w:right="460" w:hanging="116" w:hangingChars="49"/>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
          <w:sz w:val="24"/>
          <w:szCs w:val="24"/>
          <w:lang w:eastAsia="zh-CN"/>
        </w:rPr>
        <w:t>法定代表人（或委托代理人</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
          <w:sz w:val="24"/>
          <w:szCs w:val="24"/>
          <w:u w:val="single"/>
          <w:lang w:eastAsia="zh-CN"/>
        </w:rPr>
        <w:t>签字或盖章）</w:t>
      </w:r>
    </w:p>
    <w:p w14:paraId="36B0C04C">
      <w:pPr>
        <w:pStyle w:val="6"/>
        <w:tabs>
          <w:tab w:val="left" w:pos="4192"/>
        </w:tabs>
        <w:spacing w:before="79" w:line="406" w:lineRule="auto"/>
        <w:ind w:left="3127" w:leftChars="1489" w:right="460" w:firstLine="600" w:firstLineChars="2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26"/>
          <w:sz w:val="24"/>
          <w:szCs w:val="24"/>
          <w:lang w:eastAsia="zh-CN"/>
        </w:rPr>
        <w:t>日</w:t>
      </w:r>
    </w:p>
    <w:p w14:paraId="3A976302">
      <w:pPr>
        <w:spacing w:line="250" w:lineRule="auto"/>
        <w:rPr>
          <w:rFonts w:asciiTheme="minorEastAsia" w:hAnsiTheme="minorEastAsia" w:eastAsiaTheme="minorEastAsia" w:cstheme="minorEastAsia"/>
          <w:lang w:eastAsia="zh-CN"/>
        </w:rPr>
      </w:pPr>
    </w:p>
    <w:p w14:paraId="07A02538">
      <w:pPr>
        <w:spacing w:line="250" w:lineRule="auto"/>
        <w:rPr>
          <w:rFonts w:asciiTheme="minorEastAsia" w:hAnsiTheme="minorEastAsia" w:eastAsiaTheme="minorEastAsia" w:cstheme="minorEastAsia"/>
          <w:lang w:eastAsia="zh-CN"/>
        </w:rPr>
      </w:pPr>
    </w:p>
    <w:p w14:paraId="5064E7E2">
      <w:pPr>
        <w:spacing w:line="250" w:lineRule="auto"/>
        <w:rPr>
          <w:rFonts w:asciiTheme="minorEastAsia" w:hAnsiTheme="minorEastAsia" w:eastAsiaTheme="minorEastAsia" w:cstheme="minorEastAsia"/>
          <w:lang w:eastAsia="zh-CN"/>
        </w:rPr>
      </w:pPr>
    </w:p>
    <w:p w14:paraId="5D822646">
      <w:pPr>
        <w:rPr>
          <w:rFonts w:asciiTheme="minorEastAsia" w:hAnsiTheme="minorEastAsia" w:eastAsiaTheme="minorEastAsia" w:cstheme="minorEastAsia"/>
          <w:b/>
          <w:bCs/>
          <w:spacing w:val="-6"/>
          <w:lang w:eastAsia="zh-CN"/>
        </w:rPr>
      </w:pPr>
      <w:bookmarkStart w:id="413" w:name="bookmark30"/>
      <w:bookmarkEnd w:id="413"/>
      <w:bookmarkStart w:id="414" w:name="bookmark29"/>
      <w:bookmarkEnd w:id="414"/>
      <w:r>
        <w:rPr>
          <w:rFonts w:hint="eastAsia" w:asciiTheme="minorEastAsia" w:hAnsiTheme="minorEastAsia" w:eastAsiaTheme="minorEastAsia" w:cstheme="minorEastAsia"/>
          <w:b/>
          <w:bCs/>
          <w:spacing w:val="-6"/>
          <w:lang w:eastAsia="zh-CN"/>
        </w:rPr>
        <w:br w:type="page"/>
      </w:r>
    </w:p>
    <w:p w14:paraId="05C58BBF">
      <w:pPr>
        <w:pStyle w:val="6"/>
        <w:spacing w:before="97" w:line="220" w:lineRule="auto"/>
        <w:ind w:left="44"/>
        <w:jc w:val="center"/>
        <w:outlineLvl w:val="1"/>
        <w:rPr>
          <w:rFonts w:asciiTheme="minorEastAsia" w:hAnsiTheme="minorEastAsia" w:eastAsiaTheme="minorEastAsia" w:cstheme="minorEastAsia"/>
          <w:lang w:eastAsia="zh-CN"/>
        </w:rPr>
      </w:pPr>
      <w:bookmarkStart w:id="415" w:name="_Toc7152"/>
      <w:r>
        <w:rPr>
          <w:rFonts w:hint="eastAsia" w:asciiTheme="minorEastAsia" w:hAnsiTheme="minorEastAsia" w:eastAsiaTheme="minorEastAsia" w:cstheme="minorEastAsia"/>
          <w:b/>
          <w:bCs/>
          <w:spacing w:val="-6"/>
          <w:lang w:eastAsia="zh-CN"/>
        </w:rPr>
        <w:t>2.投标函</w:t>
      </w:r>
      <w:bookmarkEnd w:id="415"/>
    </w:p>
    <w:p w14:paraId="28119223">
      <w:pPr>
        <w:pStyle w:val="6"/>
        <w:spacing w:before="234" w:line="220" w:lineRule="auto"/>
        <w:ind w:left="36"/>
        <w:rPr>
          <w:rFonts w:asciiTheme="minorEastAsia" w:hAnsiTheme="minorEastAsia" w:eastAsiaTheme="minorEastAsia" w:cstheme="minorEastAsia"/>
          <w:spacing w:val="-2"/>
          <w:sz w:val="21"/>
          <w:szCs w:val="21"/>
          <w:lang w:eastAsia="zh-CN"/>
        </w:rPr>
      </w:pPr>
    </w:p>
    <w:p w14:paraId="10E21F64">
      <w:pPr>
        <w:pStyle w:val="6"/>
        <w:spacing w:before="234" w:line="220" w:lineRule="auto"/>
        <w:ind w:left="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采购人：</w:t>
      </w:r>
      <w:r>
        <w:rPr>
          <w:rFonts w:hint="eastAsia" w:asciiTheme="minorEastAsia" w:hAnsiTheme="minorEastAsia" w:eastAsiaTheme="minorEastAsia" w:cstheme="minorEastAsia"/>
          <w:sz w:val="24"/>
          <w:szCs w:val="24"/>
          <w:u w:val="single"/>
          <w:lang w:eastAsia="zh-CN"/>
        </w:rPr>
        <w:t xml:space="preserve">             </w:t>
      </w:r>
    </w:p>
    <w:p w14:paraId="76E96FA4">
      <w:pPr>
        <w:pStyle w:val="6"/>
        <w:spacing w:line="360" w:lineRule="auto"/>
        <w:ind w:firstLine="472" w:firstLineChars="200"/>
        <w:rPr>
          <w:rFonts w:asciiTheme="minorEastAsia" w:hAnsiTheme="minorEastAsia" w:eastAsiaTheme="minorEastAsia" w:cstheme="minorEastAsia"/>
          <w:spacing w:val="-2"/>
          <w:sz w:val="24"/>
          <w:szCs w:val="24"/>
          <w:lang w:eastAsia="zh-CN"/>
        </w:rPr>
      </w:pPr>
    </w:p>
    <w:p w14:paraId="053DFDF3">
      <w:pPr>
        <w:pStyle w:val="6"/>
        <w:spacing w:line="360" w:lineRule="auto"/>
        <w:ind w:firstLine="472"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2"/>
          <w:sz w:val="24"/>
          <w:szCs w:val="24"/>
          <w:lang w:eastAsia="zh-CN"/>
        </w:rPr>
        <w:t>1.我方仔细研究了</w:t>
      </w:r>
      <w:r>
        <w:rPr>
          <w:rFonts w:hint="eastAsia" w:asciiTheme="minorEastAsia" w:hAnsiTheme="minorEastAsia" w:eastAsiaTheme="minorEastAsia" w:cstheme="minorEastAsia"/>
          <w:spacing w:val="-2"/>
          <w:sz w:val="24"/>
          <w:szCs w:val="24"/>
          <w:u w:val="single"/>
          <w:lang w:eastAsia="zh-CN"/>
        </w:rPr>
        <w:t xml:space="preserve">       （项目名称</w:t>
      </w:r>
      <w:r>
        <w:rPr>
          <w:rFonts w:hint="eastAsia" w:asciiTheme="minorEastAsia" w:hAnsiTheme="minorEastAsia" w:eastAsiaTheme="minorEastAsia" w:cstheme="minorEastAsia"/>
          <w:spacing w:val="-7"/>
          <w:sz w:val="24"/>
          <w:szCs w:val="24"/>
          <w:u w:val="single"/>
          <w:lang w:eastAsia="zh-CN"/>
        </w:rPr>
        <w:t>）（</w:t>
      </w:r>
      <w:r>
        <w:rPr>
          <w:rFonts w:hint="eastAsia" w:asciiTheme="minorEastAsia" w:hAnsiTheme="minorEastAsia" w:eastAsiaTheme="minorEastAsia" w:cstheme="minorEastAsia"/>
          <w:spacing w:val="-2"/>
          <w:sz w:val="24"/>
          <w:szCs w:val="24"/>
          <w:u w:val="single"/>
          <w:lang w:eastAsia="zh-CN"/>
        </w:rPr>
        <w:t>标段</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95"/>
          <w:sz w:val="24"/>
          <w:szCs w:val="24"/>
          <w:lang w:eastAsia="zh-CN"/>
        </w:rPr>
        <w:t xml:space="preserve"> </w:t>
      </w:r>
      <w:r>
        <w:rPr>
          <w:rFonts w:hint="eastAsia" w:asciiTheme="minorEastAsia" w:hAnsiTheme="minorEastAsia" w:eastAsiaTheme="minorEastAsia" w:cstheme="minorEastAsia"/>
          <w:spacing w:val="-3"/>
          <w:sz w:val="24"/>
          <w:szCs w:val="24"/>
          <w:lang w:eastAsia="zh-CN"/>
        </w:rPr>
        <w:t>招标文件（包括补充通知）的全部内容，</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愿按招标文件规定的条件和要求承包合同规定的全部工作，并承担相关的责任。</w:t>
      </w:r>
    </w:p>
    <w:p w14:paraId="7E72F8B8">
      <w:pPr>
        <w:pStyle w:val="6"/>
        <w:spacing w:line="360" w:lineRule="auto"/>
        <w:ind w:firstLine="476" w:firstLineChars="200"/>
        <w:rPr>
          <w:rFonts w:eastAsiaTheme="minorEastAsia"/>
          <w:sz w:val="24"/>
          <w:szCs w:val="24"/>
          <w:lang w:eastAsia="zh-CN"/>
        </w:rPr>
      </w:pPr>
      <w:r>
        <w:rPr>
          <w:rFonts w:hint="eastAsia" w:asciiTheme="minorEastAsia" w:hAnsiTheme="minorEastAsia" w:eastAsiaTheme="minorEastAsia" w:cstheme="minorEastAsia"/>
          <w:spacing w:val="-1"/>
          <w:sz w:val="24"/>
          <w:szCs w:val="24"/>
          <w:lang w:eastAsia="zh-CN"/>
        </w:rPr>
        <w:t>2．投标报价：</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val="en-US" w:eastAsia="zh-CN"/>
        </w:rPr>
        <w:t xml:space="preserve"> </w:t>
      </w:r>
      <w:bookmarkStart w:id="462" w:name="_GoBack"/>
      <w:bookmarkEnd w:id="462"/>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元</w:t>
      </w:r>
      <w:r>
        <w:rPr>
          <w:rFonts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每位学生</w:t>
      </w:r>
      <w:r>
        <w:rPr>
          <w:rFonts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每天。</w:t>
      </w:r>
    </w:p>
    <w:p w14:paraId="6578A504">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3.我方提交的投标文件在投标截止时间后的</w:t>
      </w:r>
      <w:r>
        <w:rPr>
          <w:rFonts w:hint="eastAsia" w:asciiTheme="minorEastAsia" w:hAnsiTheme="minorEastAsia" w:eastAsiaTheme="minorEastAsia" w:cstheme="minorEastAsia"/>
          <w:spacing w:val="-84"/>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5"/>
          <w:sz w:val="24"/>
          <w:szCs w:val="24"/>
          <w:lang w:eastAsia="zh-CN"/>
        </w:rPr>
        <w:t xml:space="preserve"> </w:t>
      </w:r>
      <w:r>
        <w:rPr>
          <w:rFonts w:hint="eastAsia" w:asciiTheme="minorEastAsia" w:hAnsiTheme="minorEastAsia" w:eastAsiaTheme="minorEastAsia" w:cstheme="minorEastAsia"/>
          <w:sz w:val="24"/>
          <w:szCs w:val="24"/>
          <w:lang w:eastAsia="zh-CN"/>
        </w:rPr>
        <w:t xml:space="preserve">天内有效，在此期间被你方接受的上述文 </w:t>
      </w:r>
      <w:r>
        <w:rPr>
          <w:rFonts w:hint="eastAsia" w:asciiTheme="minorEastAsia" w:hAnsiTheme="minorEastAsia" w:eastAsiaTheme="minorEastAsia" w:cstheme="minorEastAsia"/>
          <w:spacing w:val="-1"/>
          <w:sz w:val="24"/>
          <w:szCs w:val="24"/>
          <w:lang w:eastAsia="zh-CN"/>
        </w:rPr>
        <w:t>件对我方一直具有约束力。我方保证在投标文件有效期内不撤回投标文件，除招标文件另</w:t>
      </w:r>
      <w:r>
        <w:rPr>
          <w:rFonts w:hint="eastAsia" w:asciiTheme="minorEastAsia" w:hAnsiTheme="minorEastAsia" w:eastAsiaTheme="minorEastAsia" w:cstheme="minorEastAsia"/>
          <w:spacing w:val="-2"/>
          <w:sz w:val="24"/>
          <w:szCs w:val="24"/>
          <w:lang w:eastAsia="zh-CN"/>
        </w:rPr>
        <w:t>有规定外，</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不修改投标文件。</w:t>
      </w:r>
    </w:p>
    <w:p w14:paraId="7F1E33F3">
      <w:pPr>
        <w:pStyle w:val="6"/>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4.若我方中标：</w:t>
      </w:r>
    </w:p>
    <w:p w14:paraId="0811CC46">
      <w:pPr>
        <w:pStyle w:val="6"/>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（1）我方保证在收到你方的中标通知书后，按招标文件规定的期限，及时</w:t>
      </w:r>
      <w:r>
        <w:rPr>
          <w:rFonts w:hint="eastAsia" w:asciiTheme="minorEastAsia" w:hAnsiTheme="minorEastAsia" w:eastAsiaTheme="minorEastAsia" w:cstheme="minorEastAsia"/>
          <w:spacing w:val="-1"/>
          <w:sz w:val="24"/>
          <w:szCs w:val="24"/>
          <w:lang w:eastAsia="zh-CN"/>
        </w:rPr>
        <w:t>派代表前去签订合同。</w:t>
      </w:r>
    </w:p>
    <w:p w14:paraId="3F2CBEC9">
      <w:pPr>
        <w:pStyle w:val="6"/>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（2）随同本投标文件提交的投标辅助资料</w:t>
      </w:r>
      <w:r>
        <w:rPr>
          <w:rFonts w:hint="eastAsia" w:asciiTheme="minorEastAsia" w:hAnsiTheme="minorEastAsia" w:eastAsiaTheme="minorEastAsia" w:cstheme="minorEastAsia"/>
          <w:spacing w:val="-5"/>
          <w:sz w:val="24"/>
          <w:szCs w:val="24"/>
          <w:lang w:eastAsia="zh-CN"/>
        </w:rPr>
        <w:t>中的任何部分，经你方确认后作为合同文件的组成部分。</w:t>
      </w:r>
    </w:p>
    <w:p w14:paraId="5466AB42">
      <w:pPr>
        <w:pStyle w:val="6"/>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（3）我方保证按招标文件规定全额向采购代理机构支付招标代理服务费。</w:t>
      </w:r>
    </w:p>
    <w:p w14:paraId="299155AD">
      <w:pPr>
        <w:spacing w:line="257" w:lineRule="auto"/>
        <w:rPr>
          <w:rFonts w:asciiTheme="minorEastAsia" w:hAnsiTheme="minorEastAsia" w:eastAsiaTheme="minorEastAsia" w:cstheme="minorEastAsia"/>
          <w:lang w:eastAsia="zh-CN"/>
        </w:rPr>
      </w:pPr>
    </w:p>
    <w:p w14:paraId="63CDCE2D">
      <w:pPr>
        <w:spacing w:line="257" w:lineRule="auto"/>
        <w:rPr>
          <w:rFonts w:asciiTheme="minorEastAsia" w:hAnsiTheme="minorEastAsia" w:eastAsiaTheme="minorEastAsia" w:cstheme="minorEastAsia"/>
          <w:lang w:eastAsia="zh-CN"/>
        </w:rPr>
      </w:pPr>
    </w:p>
    <w:p w14:paraId="2181FE8E">
      <w:pPr>
        <w:spacing w:line="258" w:lineRule="auto"/>
        <w:rPr>
          <w:rFonts w:asciiTheme="minorEastAsia" w:hAnsiTheme="minorEastAsia" w:eastAsiaTheme="minorEastAsia" w:cstheme="minorEastAsia"/>
          <w:lang w:eastAsia="zh-CN"/>
        </w:rPr>
      </w:pPr>
    </w:p>
    <w:p w14:paraId="29A475E1">
      <w:pPr>
        <w:spacing w:line="258" w:lineRule="auto"/>
        <w:rPr>
          <w:rFonts w:asciiTheme="minorEastAsia" w:hAnsiTheme="minorEastAsia" w:eastAsiaTheme="minorEastAsia" w:cstheme="minorEastAsia"/>
          <w:lang w:eastAsia="zh-CN"/>
        </w:rPr>
      </w:pPr>
    </w:p>
    <w:p w14:paraId="20CAA753">
      <w:pPr>
        <w:spacing w:line="258" w:lineRule="auto"/>
        <w:rPr>
          <w:rFonts w:asciiTheme="minorEastAsia" w:hAnsiTheme="minorEastAsia" w:eastAsiaTheme="minorEastAsia" w:cstheme="minorEastAsia"/>
          <w:lang w:eastAsia="zh-CN"/>
        </w:rPr>
      </w:pPr>
    </w:p>
    <w:p w14:paraId="2D616999">
      <w:pPr>
        <w:spacing w:line="258" w:lineRule="auto"/>
        <w:rPr>
          <w:rFonts w:asciiTheme="minorEastAsia" w:hAnsiTheme="minorEastAsia" w:eastAsiaTheme="minorEastAsia" w:cstheme="minorEastAsia"/>
          <w:lang w:eastAsia="zh-CN"/>
        </w:rPr>
      </w:pPr>
    </w:p>
    <w:p w14:paraId="1F6009D9">
      <w:pPr>
        <w:spacing w:line="258" w:lineRule="auto"/>
        <w:rPr>
          <w:rFonts w:asciiTheme="minorEastAsia" w:hAnsiTheme="minorEastAsia" w:eastAsiaTheme="minorEastAsia" w:cstheme="minorEastAsia"/>
          <w:lang w:eastAsia="zh-CN"/>
        </w:rPr>
      </w:pPr>
    </w:p>
    <w:p w14:paraId="1C225B95">
      <w:pPr>
        <w:spacing w:line="258" w:lineRule="auto"/>
        <w:rPr>
          <w:rFonts w:asciiTheme="minorEastAsia" w:hAnsiTheme="minorEastAsia" w:eastAsiaTheme="minorEastAsia" w:cstheme="minorEastAsia"/>
          <w:lang w:eastAsia="zh-CN"/>
        </w:rPr>
      </w:pPr>
    </w:p>
    <w:p w14:paraId="6367110D">
      <w:pPr>
        <w:pStyle w:val="6"/>
        <w:spacing w:before="79" w:line="219" w:lineRule="auto"/>
        <w:ind w:left="27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投  标</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2"/>
          <w:sz w:val="24"/>
          <w:szCs w:val="24"/>
          <w:lang w:eastAsia="zh-CN"/>
        </w:rPr>
        <w:t>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7"/>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w:t>
      </w:r>
      <w:r>
        <w:rPr>
          <w:rFonts w:hint="eastAsia" w:asciiTheme="minorEastAsia" w:hAnsiTheme="minorEastAsia" w:eastAsiaTheme="minorEastAsia" w:cstheme="minorEastAsia"/>
          <w:spacing w:val="-2"/>
          <w:sz w:val="24"/>
          <w:szCs w:val="24"/>
          <w:u w:val="single"/>
          <w:lang w:eastAsia="zh-CN"/>
        </w:rPr>
        <w:t>企业电子签章）</w:t>
      </w:r>
      <w:r>
        <w:rPr>
          <w:rFonts w:hint="eastAsia" w:asciiTheme="minorEastAsia" w:hAnsiTheme="minorEastAsia" w:eastAsiaTheme="minorEastAsia" w:cstheme="minorEastAsia"/>
          <w:sz w:val="24"/>
          <w:szCs w:val="24"/>
          <w:u w:val="single"/>
          <w:lang w:eastAsia="zh-CN"/>
        </w:rPr>
        <w:t xml:space="preserve">  </w:t>
      </w:r>
    </w:p>
    <w:p w14:paraId="14254AB6">
      <w:pPr>
        <w:spacing w:line="259" w:lineRule="auto"/>
        <w:rPr>
          <w:rFonts w:asciiTheme="minorEastAsia" w:hAnsiTheme="minorEastAsia" w:eastAsiaTheme="minorEastAsia" w:cstheme="minorEastAsia"/>
          <w:lang w:eastAsia="zh-CN"/>
        </w:rPr>
      </w:pPr>
    </w:p>
    <w:p w14:paraId="6AB8B5F9">
      <w:pPr>
        <w:pStyle w:val="6"/>
        <w:tabs>
          <w:tab w:val="left" w:pos="4192"/>
        </w:tabs>
        <w:spacing w:before="79" w:line="406" w:lineRule="auto"/>
        <w:ind w:right="460" w:firstLine="2618" w:firstLineChars="1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1"/>
          <w:sz w:val="24"/>
          <w:szCs w:val="24"/>
          <w:lang w:eastAsia="zh-CN"/>
        </w:rPr>
        <w:t>法定代表人（或委托代理人</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
          <w:sz w:val="24"/>
          <w:szCs w:val="24"/>
          <w:u w:val="single"/>
          <w:lang w:eastAsia="zh-CN"/>
        </w:rPr>
        <w:t>签字或盖章）</w:t>
      </w:r>
      <w:r>
        <w:rPr>
          <w:rFonts w:hint="eastAsia" w:asciiTheme="minorEastAsia" w:hAnsiTheme="minorEastAsia" w:eastAsiaTheme="minorEastAsia" w:cstheme="minorEastAsia"/>
          <w:spacing w:val="5"/>
          <w:sz w:val="24"/>
          <w:szCs w:val="24"/>
          <w:lang w:eastAsia="zh-CN"/>
        </w:rPr>
        <w:t xml:space="preserve"> </w:t>
      </w:r>
    </w:p>
    <w:p w14:paraId="3C43C7D3">
      <w:pPr>
        <w:pStyle w:val="6"/>
        <w:tabs>
          <w:tab w:val="left" w:pos="4192"/>
        </w:tabs>
        <w:spacing w:before="79" w:line="406" w:lineRule="auto"/>
        <w:ind w:left="3127" w:leftChars="1489" w:right="460" w:firstLine="55" w:firstLineChars="2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9"/>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26"/>
          <w:sz w:val="24"/>
          <w:szCs w:val="24"/>
          <w:lang w:eastAsia="zh-CN"/>
        </w:rPr>
        <w:t>日</w:t>
      </w:r>
    </w:p>
    <w:p w14:paraId="08BB93F9">
      <w:pPr>
        <w:pStyle w:val="6"/>
        <w:tabs>
          <w:tab w:val="left" w:pos="3508"/>
        </w:tabs>
        <w:spacing w:before="78" w:line="467" w:lineRule="auto"/>
        <w:ind w:left="2669" w:right="77" w:firstLine="75"/>
        <w:rPr>
          <w:rFonts w:asciiTheme="minorEastAsia" w:hAnsiTheme="minorEastAsia" w:eastAsiaTheme="minorEastAsia" w:cstheme="minorEastAsia"/>
          <w:sz w:val="24"/>
          <w:szCs w:val="24"/>
          <w:lang w:eastAsia="zh-CN"/>
        </w:rPr>
      </w:pPr>
    </w:p>
    <w:p w14:paraId="23E0B897">
      <w:pPr>
        <w:spacing w:line="249" w:lineRule="auto"/>
        <w:rPr>
          <w:rFonts w:asciiTheme="minorEastAsia" w:hAnsiTheme="minorEastAsia" w:eastAsiaTheme="minorEastAsia" w:cstheme="minorEastAsia"/>
          <w:lang w:eastAsia="zh-CN"/>
        </w:rPr>
      </w:pPr>
    </w:p>
    <w:p w14:paraId="6DCE2B49">
      <w:pPr>
        <w:spacing w:line="250" w:lineRule="auto"/>
        <w:rPr>
          <w:rFonts w:asciiTheme="minorEastAsia" w:hAnsiTheme="minorEastAsia" w:eastAsiaTheme="minorEastAsia" w:cstheme="minorEastAsia"/>
          <w:lang w:eastAsia="zh-CN"/>
        </w:rPr>
      </w:pPr>
    </w:p>
    <w:p w14:paraId="558540B6">
      <w:pPr>
        <w:spacing w:line="250" w:lineRule="auto"/>
        <w:rPr>
          <w:rFonts w:asciiTheme="minorEastAsia" w:hAnsiTheme="minorEastAsia" w:eastAsiaTheme="minorEastAsia" w:cstheme="minorEastAsia"/>
          <w:lang w:eastAsia="zh-CN"/>
        </w:rPr>
      </w:pPr>
    </w:p>
    <w:p w14:paraId="58D1A544">
      <w:pPr>
        <w:rPr>
          <w:rFonts w:asciiTheme="minorEastAsia" w:hAnsiTheme="minorEastAsia" w:eastAsiaTheme="minorEastAsia" w:cstheme="minorEastAsia"/>
          <w:b/>
          <w:bCs/>
          <w:spacing w:val="-4"/>
          <w:lang w:eastAsia="zh-CN"/>
        </w:rPr>
      </w:pPr>
      <w:bookmarkStart w:id="416" w:name="bookmark32"/>
      <w:bookmarkEnd w:id="416"/>
      <w:bookmarkStart w:id="417" w:name="bookmark34"/>
      <w:bookmarkEnd w:id="417"/>
      <w:bookmarkStart w:id="418" w:name="bookmark33"/>
      <w:bookmarkEnd w:id="418"/>
      <w:bookmarkStart w:id="419" w:name="bookmark31"/>
      <w:bookmarkEnd w:id="419"/>
    </w:p>
    <w:p w14:paraId="548B53E3">
      <w:pPr>
        <w:pStyle w:val="6"/>
        <w:spacing w:before="98" w:line="219" w:lineRule="auto"/>
        <w:ind w:left="39"/>
        <w:jc w:val="center"/>
        <w:outlineLvl w:val="1"/>
        <w:rPr>
          <w:rFonts w:asciiTheme="minorEastAsia" w:hAnsiTheme="minorEastAsia" w:eastAsiaTheme="minorEastAsia" w:cstheme="minorEastAsia"/>
          <w:lang w:eastAsia="zh-CN"/>
        </w:rPr>
      </w:pPr>
      <w:bookmarkStart w:id="420" w:name="_Toc13970"/>
      <w:r>
        <w:rPr>
          <w:rFonts w:hint="eastAsia" w:asciiTheme="minorEastAsia" w:hAnsiTheme="minorEastAsia" w:eastAsiaTheme="minorEastAsia" w:cstheme="minorEastAsia"/>
          <w:b/>
          <w:bCs/>
          <w:spacing w:val="-4"/>
          <w:lang w:eastAsia="zh-CN"/>
        </w:rPr>
        <w:t>3.授权委托书</w:t>
      </w:r>
      <w:bookmarkEnd w:id="420"/>
    </w:p>
    <w:p w14:paraId="6B442AF7">
      <w:pPr>
        <w:pStyle w:val="6"/>
        <w:spacing w:line="480" w:lineRule="auto"/>
        <w:ind w:firstLine="420"/>
        <w:rPr>
          <w:rFonts w:asciiTheme="minorEastAsia" w:hAnsiTheme="minorEastAsia" w:eastAsiaTheme="minorEastAsia" w:cstheme="minorEastAsia"/>
          <w:sz w:val="21"/>
          <w:szCs w:val="21"/>
          <w:lang w:eastAsia="zh-CN"/>
        </w:rPr>
      </w:pPr>
    </w:p>
    <w:p w14:paraId="34B9E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（姓名）系</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（投标人名称）的法定代表人，现委托</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（姓名）为我 </w:t>
      </w:r>
      <w:r>
        <w:rPr>
          <w:rFonts w:hint="eastAsia" w:asciiTheme="minorEastAsia" w:hAnsiTheme="minorEastAsia" w:eastAsiaTheme="minorEastAsia" w:cstheme="minorEastAsia"/>
          <w:spacing w:val="-15"/>
          <w:sz w:val="24"/>
          <w:szCs w:val="24"/>
          <w:lang w:eastAsia="zh-CN"/>
        </w:rPr>
        <w:t>方代理人。代理人根据授权，以我方名义签署、澄清、说明、补正、递交、撤回、修改</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15"/>
          <w:sz w:val="24"/>
          <w:szCs w:val="24"/>
          <w:lang w:eastAsia="zh-CN"/>
        </w:rPr>
        <w:t>（项</w:t>
      </w:r>
      <w:r>
        <w:rPr>
          <w:rFonts w:hint="eastAsia" w:asciiTheme="minorEastAsia" w:hAnsiTheme="minorEastAsia" w:eastAsiaTheme="minorEastAsia" w:cstheme="minorEastAsia"/>
          <w:spacing w:val="-1"/>
          <w:sz w:val="24"/>
          <w:szCs w:val="24"/>
          <w:lang w:eastAsia="zh-CN"/>
        </w:rPr>
        <w:t>目名称、标段名称）的投标文件、签订合同和处理有关事宜，其法律后果由我方承担。</w:t>
      </w:r>
    </w:p>
    <w:p w14:paraId="0C065708">
      <w:pPr>
        <w:pStyle w:val="6"/>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委托期限：</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w:t>
      </w:r>
    </w:p>
    <w:p w14:paraId="631CF64B">
      <w:pPr>
        <w:pStyle w:val="6"/>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代理人无转委托权。</w:t>
      </w:r>
    </w:p>
    <w:p w14:paraId="58F06F62">
      <w:pPr>
        <w:pStyle w:val="6"/>
        <w:spacing w:line="360" w:lineRule="auto"/>
        <w:rPr>
          <w:rFonts w:asciiTheme="minorEastAsia" w:hAnsiTheme="minorEastAsia" w:eastAsiaTheme="minorEastAsia" w:cstheme="minorEastAsia"/>
          <w:spacing w:val="-18"/>
          <w:sz w:val="24"/>
          <w:szCs w:val="24"/>
          <w:lang w:eastAsia="zh-CN"/>
        </w:rPr>
      </w:pPr>
    </w:p>
    <w:p w14:paraId="5366BDCE">
      <w:pPr>
        <w:pStyle w:val="6"/>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8"/>
          <w:sz w:val="24"/>
          <w:szCs w:val="24"/>
          <w:lang w:eastAsia="zh-CN"/>
        </w:rPr>
        <w:t>附：</w:t>
      </w:r>
      <w:r>
        <w:rPr>
          <w:rFonts w:hint="eastAsia" w:asciiTheme="minorEastAsia" w:hAnsiTheme="minorEastAsia" w:eastAsiaTheme="minorEastAsia" w:cstheme="minorEastAsia"/>
          <w:sz w:val="24"/>
          <w:szCs w:val="24"/>
          <w:lang w:eastAsia="zh-CN"/>
        </w:rPr>
        <w:t>法定代表人身份证、委托代理人的身</w:t>
      </w:r>
      <w:r>
        <w:rPr>
          <w:rFonts w:hint="eastAsia" w:asciiTheme="minorEastAsia" w:hAnsiTheme="minorEastAsia" w:eastAsiaTheme="minorEastAsia" w:cstheme="minorEastAsia"/>
          <w:spacing w:val="-1"/>
          <w:sz w:val="24"/>
          <w:szCs w:val="24"/>
          <w:lang w:eastAsia="zh-CN"/>
        </w:rPr>
        <w:t>份证</w:t>
      </w:r>
    </w:p>
    <w:p w14:paraId="21A5D4DE">
      <w:pPr>
        <w:spacing w:line="244" w:lineRule="auto"/>
        <w:rPr>
          <w:rFonts w:asciiTheme="minorEastAsia" w:hAnsiTheme="minorEastAsia" w:eastAsiaTheme="minorEastAsia" w:cstheme="minorEastAsia"/>
          <w:lang w:eastAsia="zh-CN"/>
        </w:rPr>
      </w:pPr>
    </w:p>
    <w:p w14:paraId="49F30D5F">
      <w:pPr>
        <w:spacing w:line="244" w:lineRule="auto"/>
        <w:rPr>
          <w:rFonts w:asciiTheme="minorEastAsia" w:hAnsiTheme="minorEastAsia" w:eastAsiaTheme="minorEastAsia" w:cstheme="minorEastAsia"/>
          <w:lang w:eastAsia="zh-CN"/>
        </w:rPr>
      </w:pPr>
    </w:p>
    <w:p w14:paraId="1A77BBFB">
      <w:pPr>
        <w:spacing w:line="244" w:lineRule="auto"/>
        <w:rPr>
          <w:rFonts w:asciiTheme="minorEastAsia" w:hAnsiTheme="minorEastAsia" w:eastAsiaTheme="minorEastAsia" w:cstheme="minorEastAsia"/>
          <w:lang w:eastAsia="zh-CN"/>
        </w:rPr>
      </w:pPr>
    </w:p>
    <w:p w14:paraId="12B937EB">
      <w:pPr>
        <w:spacing w:line="245" w:lineRule="auto"/>
        <w:rPr>
          <w:rFonts w:asciiTheme="minorEastAsia" w:hAnsiTheme="minorEastAsia" w:eastAsiaTheme="minorEastAsia" w:cstheme="minorEastAsia"/>
          <w:lang w:eastAsia="zh-CN"/>
        </w:rPr>
      </w:pPr>
    </w:p>
    <w:p w14:paraId="0EC3194B">
      <w:pPr>
        <w:spacing w:line="245" w:lineRule="auto"/>
        <w:rPr>
          <w:rFonts w:asciiTheme="minorEastAsia" w:hAnsiTheme="minorEastAsia" w:eastAsiaTheme="minorEastAsia" w:cstheme="minorEastAsia"/>
          <w:lang w:eastAsia="zh-CN"/>
        </w:rPr>
      </w:pPr>
    </w:p>
    <w:p w14:paraId="61A67EB9">
      <w:pPr>
        <w:spacing w:line="245" w:lineRule="auto"/>
        <w:rPr>
          <w:rFonts w:asciiTheme="minorEastAsia" w:hAnsiTheme="minorEastAsia" w:eastAsiaTheme="minorEastAsia" w:cstheme="minorEastAsia"/>
          <w:lang w:eastAsia="zh-CN"/>
        </w:rPr>
      </w:pPr>
    </w:p>
    <w:p w14:paraId="3B4409ED">
      <w:pPr>
        <w:pStyle w:val="6"/>
        <w:spacing w:line="480" w:lineRule="auto"/>
        <w:ind w:right="33"/>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
          <w:sz w:val="24"/>
          <w:szCs w:val="24"/>
          <w:lang w:eastAsia="zh-CN"/>
        </w:rPr>
        <w:t>企业电子签章）</w:t>
      </w:r>
    </w:p>
    <w:p w14:paraId="786E4155">
      <w:pPr>
        <w:pStyle w:val="6"/>
        <w:spacing w:line="480" w:lineRule="auto"/>
        <w:ind w:right="33"/>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lang w:eastAsia="zh-CN"/>
        </w:rPr>
        <w:t xml:space="preserve"> 法定代表人：</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（签字或盖章）</w:t>
      </w:r>
    </w:p>
    <w:p w14:paraId="29F520E3">
      <w:pPr>
        <w:pStyle w:val="6"/>
        <w:tabs>
          <w:tab w:val="left" w:pos="4192"/>
        </w:tabs>
        <w:spacing w:line="480" w:lineRule="auto"/>
        <w:ind w:left="3547" w:leftChars="1689" w:right="460" w:firstLine="1287" w:firstLineChars="58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9"/>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26"/>
          <w:sz w:val="24"/>
          <w:szCs w:val="24"/>
          <w:lang w:eastAsia="zh-CN"/>
        </w:rPr>
        <w:t>日</w:t>
      </w:r>
    </w:p>
    <w:p w14:paraId="1B18C4D4">
      <w:pPr>
        <w:spacing w:line="284" w:lineRule="auto"/>
        <w:rPr>
          <w:rFonts w:asciiTheme="minorEastAsia" w:hAnsiTheme="minorEastAsia" w:eastAsiaTheme="minorEastAsia" w:cstheme="minorEastAsia"/>
          <w:lang w:eastAsia="zh-CN"/>
        </w:rPr>
      </w:pPr>
    </w:p>
    <w:p w14:paraId="1BA9D96F">
      <w:pPr>
        <w:rPr>
          <w:rFonts w:asciiTheme="minorEastAsia" w:hAnsiTheme="minorEastAsia" w:eastAsiaTheme="minorEastAsia" w:cstheme="minorEastAsia"/>
          <w:b/>
          <w:bCs/>
          <w:spacing w:val="-6"/>
          <w:lang w:eastAsia="zh-CN"/>
        </w:rPr>
      </w:pPr>
      <w:bookmarkStart w:id="421" w:name="bookmark36"/>
      <w:bookmarkEnd w:id="421"/>
      <w:bookmarkStart w:id="422" w:name="bookmark35"/>
      <w:bookmarkEnd w:id="422"/>
      <w:r>
        <w:rPr>
          <w:rFonts w:hint="eastAsia" w:asciiTheme="minorEastAsia" w:hAnsiTheme="minorEastAsia" w:eastAsiaTheme="minorEastAsia" w:cstheme="minorEastAsia"/>
          <w:b/>
          <w:bCs/>
          <w:spacing w:val="-6"/>
          <w:lang w:eastAsia="zh-CN"/>
        </w:rPr>
        <w:br w:type="page"/>
      </w:r>
    </w:p>
    <w:p w14:paraId="502DC3E7">
      <w:pPr>
        <w:pStyle w:val="6"/>
        <w:spacing w:before="98" w:line="219" w:lineRule="auto"/>
        <w:ind w:left="46"/>
        <w:jc w:val="center"/>
        <w:outlineLvl w:val="1"/>
        <w:rPr>
          <w:rFonts w:asciiTheme="minorEastAsia" w:hAnsiTheme="minorEastAsia" w:eastAsiaTheme="minorEastAsia" w:cstheme="minorEastAsia"/>
          <w:lang w:eastAsia="zh-CN"/>
        </w:rPr>
      </w:pPr>
      <w:bookmarkStart w:id="423" w:name="_Toc26231"/>
      <w:r>
        <w:rPr>
          <w:rFonts w:hint="eastAsia" w:asciiTheme="minorEastAsia" w:hAnsiTheme="minorEastAsia" w:eastAsiaTheme="minorEastAsia" w:cstheme="minorEastAsia"/>
          <w:b/>
          <w:bCs/>
          <w:spacing w:val="-6"/>
          <w:lang w:eastAsia="zh-CN"/>
        </w:rPr>
        <w:t>4.招标实质性要求和条件承诺书</w:t>
      </w:r>
      <w:bookmarkEnd w:id="423"/>
    </w:p>
    <w:p w14:paraId="7A5A1D88">
      <w:pPr>
        <w:spacing w:line="343" w:lineRule="auto"/>
        <w:rPr>
          <w:rFonts w:asciiTheme="minorEastAsia" w:hAnsiTheme="minorEastAsia" w:eastAsiaTheme="minorEastAsia" w:cstheme="minorEastAsia"/>
          <w:lang w:eastAsia="zh-CN"/>
        </w:rPr>
      </w:pPr>
    </w:p>
    <w:p w14:paraId="3948286C">
      <w:pPr>
        <w:spacing w:line="343" w:lineRule="auto"/>
        <w:rPr>
          <w:rFonts w:asciiTheme="minorEastAsia" w:hAnsiTheme="minorEastAsia" w:eastAsiaTheme="minorEastAsia" w:cstheme="minorEastAsia"/>
          <w:lang w:eastAsia="zh-CN"/>
        </w:rPr>
      </w:pPr>
    </w:p>
    <w:p w14:paraId="5C2896CE">
      <w:pPr>
        <w:pStyle w:val="6"/>
        <w:spacing w:before="78" w:line="219" w:lineRule="auto"/>
        <w:ind w:left="3641"/>
        <w:rPr>
          <w:rFonts w:asciiTheme="minorEastAsia" w:hAnsiTheme="minorEastAsia" w:eastAsiaTheme="minorEastAsia" w:cstheme="minorEastAsia"/>
          <w:spacing w:val="-2"/>
          <w:sz w:val="24"/>
          <w:szCs w:val="24"/>
          <w:lang w:eastAsia="zh-CN"/>
        </w:rPr>
      </w:pPr>
    </w:p>
    <w:p w14:paraId="57C0DA22">
      <w:pPr>
        <w:pStyle w:val="6"/>
        <w:spacing w:before="78" w:line="219" w:lineRule="auto"/>
        <w:ind w:left="3641"/>
        <w:rPr>
          <w:rFonts w:asciiTheme="minorEastAsia" w:hAnsiTheme="minorEastAsia" w:eastAsiaTheme="minorEastAsia" w:cstheme="minorEastAsia"/>
          <w:spacing w:val="-2"/>
          <w:sz w:val="24"/>
          <w:szCs w:val="24"/>
          <w:lang w:eastAsia="zh-CN"/>
        </w:rPr>
      </w:pPr>
    </w:p>
    <w:p w14:paraId="33D136AA">
      <w:pPr>
        <w:pStyle w:val="6"/>
        <w:spacing w:before="78" w:line="219" w:lineRule="auto"/>
        <w:ind w:left="3641"/>
        <w:rPr>
          <w:rFonts w:asciiTheme="minorEastAsia" w:hAnsiTheme="minorEastAsia" w:eastAsiaTheme="minorEastAsia" w:cstheme="minorEastAsia"/>
          <w:spacing w:val="-2"/>
          <w:sz w:val="24"/>
          <w:szCs w:val="24"/>
          <w:lang w:eastAsia="zh-CN"/>
        </w:rPr>
      </w:pPr>
    </w:p>
    <w:p w14:paraId="72B31B50">
      <w:pPr>
        <w:pStyle w:val="6"/>
        <w:spacing w:before="78" w:line="219" w:lineRule="auto"/>
        <w:ind w:left="3641"/>
        <w:rPr>
          <w:rFonts w:asciiTheme="minorEastAsia" w:hAnsiTheme="minorEastAsia" w:eastAsiaTheme="minorEastAsia" w:cstheme="minorEastAsia"/>
          <w:spacing w:val="-2"/>
          <w:sz w:val="24"/>
          <w:szCs w:val="24"/>
          <w:lang w:eastAsia="zh-CN"/>
        </w:rPr>
      </w:pPr>
    </w:p>
    <w:p w14:paraId="02629774">
      <w:pPr>
        <w:pStyle w:val="6"/>
        <w:spacing w:before="78" w:line="219" w:lineRule="auto"/>
        <w:ind w:left="3641"/>
        <w:rPr>
          <w:rFonts w:asciiTheme="minorEastAsia" w:hAnsiTheme="minorEastAsia" w:eastAsiaTheme="minorEastAsia" w:cstheme="minorEastAsia"/>
          <w:spacing w:val="-2"/>
          <w:sz w:val="24"/>
          <w:szCs w:val="24"/>
          <w:lang w:eastAsia="zh-CN"/>
        </w:rPr>
      </w:pPr>
    </w:p>
    <w:p w14:paraId="33B0ABA7">
      <w:pPr>
        <w:pStyle w:val="6"/>
        <w:spacing w:before="78" w:line="219" w:lineRule="auto"/>
        <w:ind w:left="3641"/>
        <w:rPr>
          <w:rFonts w:asciiTheme="minorEastAsia" w:hAnsiTheme="minorEastAsia" w:eastAsiaTheme="minorEastAsia" w:cstheme="minorEastAsia"/>
          <w:spacing w:val="-2"/>
          <w:sz w:val="24"/>
          <w:szCs w:val="24"/>
          <w:lang w:eastAsia="zh-CN"/>
        </w:rPr>
      </w:pPr>
    </w:p>
    <w:p w14:paraId="0FAF7903">
      <w:pPr>
        <w:pStyle w:val="6"/>
        <w:spacing w:before="78" w:line="219" w:lineRule="auto"/>
        <w:ind w:left="3641"/>
        <w:rPr>
          <w:rFonts w:asciiTheme="minorEastAsia" w:hAnsiTheme="minorEastAsia" w:eastAsiaTheme="minorEastAsia" w:cstheme="minorEastAsia"/>
          <w:spacing w:val="-2"/>
          <w:sz w:val="24"/>
          <w:szCs w:val="24"/>
          <w:lang w:eastAsia="zh-CN"/>
        </w:rPr>
      </w:pPr>
    </w:p>
    <w:p w14:paraId="5A589CB3">
      <w:pPr>
        <w:pStyle w:val="6"/>
        <w:spacing w:before="78" w:line="219" w:lineRule="auto"/>
        <w:ind w:left="3641"/>
        <w:rPr>
          <w:rFonts w:asciiTheme="minorEastAsia" w:hAnsiTheme="minorEastAsia" w:eastAsiaTheme="minorEastAsia" w:cstheme="minorEastAsia"/>
          <w:spacing w:val="-2"/>
          <w:sz w:val="24"/>
          <w:szCs w:val="24"/>
          <w:lang w:eastAsia="zh-CN"/>
        </w:rPr>
      </w:pPr>
    </w:p>
    <w:p w14:paraId="5580C793">
      <w:pPr>
        <w:pStyle w:val="6"/>
        <w:spacing w:before="78" w:line="219" w:lineRule="auto"/>
        <w:ind w:left="3641"/>
        <w:rPr>
          <w:rFonts w:asciiTheme="minorEastAsia" w:hAnsiTheme="minorEastAsia" w:eastAsiaTheme="minorEastAsia" w:cstheme="minorEastAsia"/>
          <w:spacing w:val="-2"/>
          <w:sz w:val="24"/>
          <w:szCs w:val="24"/>
          <w:lang w:eastAsia="zh-CN"/>
        </w:rPr>
      </w:pPr>
    </w:p>
    <w:p w14:paraId="7BE1AB62">
      <w:pPr>
        <w:pStyle w:val="6"/>
        <w:spacing w:before="78" w:line="219" w:lineRule="auto"/>
        <w:ind w:left="3641"/>
        <w:rPr>
          <w:rFonts w:asciiTheme="minorEastAsia" w:hAnsiTheme="minorEastAsia" w:eastAsiaTheme="minorEastAsia" w:cstheme="minorEastAsia"/>
          <w:spacing w:val="-2"/>
          <w:sz w:val="24"/>
          <w:szCs w:val="24"/>
          <w:lang w:eastAsia="zh-CN"/>
        </w:rPr>
      </w:pPr>
    </w:p>
    <w:p w14:paraId="1ABAFBF4">
      <w:pPr>
        <w:pStyle w:val="6"/>
        <w:spacing w:before="78" w:line="219" w:lineRule="auto"/>
        <w:ind w:left="3641"/>
        <w:rPr>
          <w:rFonts w:asciiTheme="minorEastAsia" w:hAnsiTheme="minorEastAsia" w:eastAsiaTheme="minorEastAsia" w:cstheme="minorEastAsia"/>
          <w:spacing w:val="-2"/>
          <w:sz w:val="24"/>
          <w:szCs w:val="24"/>
          <w:lang w:eastAsia="zh-CN"/>
        </w:rPr>
      </w:pPr>
    </w:p>
    <w:p w14:paraId="433A30D0">
      <w:pPr>
        <w:pStyle w:val="6"/>
        <w:spacing w:before="78" w:line="219" w:lineRule="auto"/>
        <w:ind w:left="3641"/>
        <w:rPr>
          <w:rFonts w:asciiTheme="minorEastAsia" w:hAnsiTheme="minorEastAsia" w:eastAsiaTheme="minorEastAsia" w:cstheme="minorEastAsia"/>
          <w:spacing w:val="-2"/>
          <w:sz w:val="24"/>
          <w:szCs w:val="24"/>
          <w:lang w:eastAsia="zh-CN"/>
        </w:rPr>
      </w:pPr>
    </w:p>
    <w:p w14:paraId="07A1FB99">
      <w:pPr>
        <w:pStyle w:val="6"/>
        <w:spacing w:before="78" w:line="219" w:lineRule="auto"/>
        <w:ind w:left="3641"/>
        <w:rPr>
          <w:rFonts w:asciiTheme="minorEastAsia" w:hAnsiTheme="minorEastAsia" w:eastAsiaTheme="minorEastAsia" w:cstheme="minorEastAsia"/>
          <w:spacing w:val="-2"/>
          <w:sz w:val="24"/>
          <w:szCs w:val="24"/>
          <w:lang w:eastAsia="zh-CN"/>
        </w:rPr>
      </w:pPr>
    </w:p>
    <w:p w14:paraId="79947880">
      <w:pPr>
        <w:pStyle w:val="6"/>
        <w:spacing w:before="78" w:line="219" w:lineRule="auto"/>
        <w:ind w:left="3641"/>
        <w:rPr>
          <w:rFonts w:asciiTheme="minorEastAsia" w:hAnsiTheme="minorEastAsia" w:eastAsiaTheme="minorEastAsia" w:cstheme="minorEastAsia"/>
          <w:spacing w:val="-2"/>
          <w:sz w:val="24"/>
          <w:szCs w:val="24"/>
          <w:lang w:eastAsia="zh-CN"/>
        </w:rPr>
      </w:pPr>
    </w:p>
    <w:p w14:paraId="4BBD8FE8">
      <w:pPr>
        <w:pStyle w:val="6"/>
        <w:spacing w:before="78" w:line="219" w:lineRule="auto"/>
        <w:ind w:left="3641"/>
        <w:rPr>
          <w:rFonts w:asciiTheme="minorEastAsia" w:hAnsiTheme="minorEastAsia" w:eastAsiaTheme="minorEastAsia" w:cstheme="minorEastAsia"/>
          <w:spacing w:val="-2"/>
          <w:sz w:val="24"/>
          <w:szCs w:val="24"/>
          <w:lang w:eastAsia="zh-CN"/>
        </w:rPr>
      </w:pPr>
    </w:p>
    <w:p w14:paraId="27BA28CC">
      <w:pPr>
        <w:pStyle w:val="6"/>
        <w:spacing w:before="78" w:line="219" w:lineRule="auto"/>
        <w:ind w:left="3641"/>
        <w:rPr>
          <w:rFonts w:asciiTheme="minorEastAsia" w:hAnsiTheme="minorEastAsia" w:eastAsiaTheme="minorEastAsia" w:cstheme="minorEastAsia"/>
          <w:spacing w:val="-2"/>
          <w:sz w:val="24"/>
          <w:szCs w:val="24"/>
          <w:lang w:eastAsia="zh-CN"/>
        </w:rPr>
      </w:pPr>
    </w:p>
    <w:p w14:paraId="024FA6F4">
      <w:pPr>
        <w:pStyle w:val="6"/>
        <w:spacing w:before="78" w:line="219" w:lineRule="auto"/>
        <w:ind w:left="36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盖章）</w:t>
      </w:r>
      <w:r>
        <w:rPr>
          <w:rFonts w:hint="eastAsia" w:asciiTheme="minorEastAsia" w:hAnsiTheme="minorEastAsia" w:eastAsiaTheme="minorEastAsia" w:cstheme="minorEastAsia"/>
          <w:sz w:val="24"/>
          <w:szCs w:val="24"/>
          <w:u w:val="single"/>
          <w:lang w:eastAsia="zh-CN"/>
        </w:rPr>
        <w:t xml:space="preserve">                       </w:t>
      </w:r>
    </w:p>
    <w:p w14:paraId="2AB9CAF6">
      <w:pPr>
        <w:spacing w:line="259" w:lineRule="auto"/>
        <w:rPr>
          <w:rFonts w:asciiTheme="minorEastAsia" w:hAnsiTheme="minorEastAsia" w:eastAsiaTheme="minorEastAsia" w:cstheme="minorEastAsia"/>
          <w:lang w:eastAsia="zh-CN"/>
        </w:rPr>
      </w:pPr>
    </w:p>
    <w:p w14:paraId="1EEFAE1D">
      <w:pPr>
        <w:pStyle w:val="6"/>
        <w:spacing w:before="78" w:line="220" w:lineRule="auto"/>
        <w:ind w:left="36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投标人法定代表人或授权代表</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lang w:eastAsia="zh-CN"/>
        </w:rPr>
        <w:t>签字）</w:t>
      </w:r>
      <w:r>
        <w:rPr>
          <w:rFonts w:hint="eastAsia" w:asciiTheme="minorEastAsia" w:hAnsiTheme="minorEastAsia" w:eastAsiaTheme="minorEastAsia" w:cstheme="minorEastAsia"/>
          <w:sz w:val="24"/>
          <w:szCs w:val="24"/>
          <w:u w:val="single"/>
          <w:lang w:eastAsia="zh-CN"/>
        </w:rPr>
        <w:t xml:space="preserve">          </w:t>
      </w:r>
    </w:p>
    <w:p w14:paraId="3FDCE079">
      <w:pPr>
        <w:spacing w:line="258" w:lineRule="auto"/>
        <w:rPr>
          <w:rFonts w:asciiTheme="minorEastAsia" w:hAnsiTheme="minorEastAsia" w:eastAsiaTheme="minorEastAsia" w:cstheme="minorEastAsia"/>
          <w:lang w:eastAsia="zh-CN"/>
        </w:rPr>
      </w:pPr>
    </w:p>
    <w:p w14:paraId="7CF47D81">
      <w:pPr>
        <w:pStyle w:val="6"/>
        <w:tabs>
          <w:tab w:val="left" w:pos="4192"/>
        </w:tabs>
        <w:spacing w:line="480" w:lineRule="auto"/>
        <w:ind w:left="3337" w:leftChars="1589" w:right="460" w:firstLine="22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9"/>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97"/>
          <w:sz w:val="24"/>
          <w:szCs w:val="24"/>
          <w:lang w:eastAsia="zh-CN"/>
        </w:rPr>
        <w:t xml:space="preserve"> </w:t>
      </w:r>
      <w:r>
        <w:rPr>
          <w:rFonts w:hint="eastAsia" w:asciiTheme="minorEastAsia" w:hAnsiTheme="minorEastAsia" w:eastAsiaTheme="minorEastAsia" w:cstheme="minorEastAsia"/>
          <w:spacing w:val="-26"/>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26"/>
          <w:sz w:val="24"/>
          <w:szCs w:val="24"/>
          <w:lang w:eastAsia="zh-CN"/>
        </w:rPr>
        <w:t>日</w:t>
      </w:r>
    </w:p>
    <w:p w14:paraId="7A3E9A0F">
      <w:pPr>
        <w:pStyle w:val="6"/>
        <w:spacing w:before="258" w:line="347" w:lineRule="auto"/>
        <w:ind w:left="43" w:right="59" w:hanging="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注：承诺书需打印纸质版，加盖公章及法定代表人或授权代表签字，并扫描上传，以图</w:t>
      </w:r>
      <w:r>
        <w:rPr>
          <w:rFonts w:hint="eastAsia" w:asciiTheme="minorEastAsia" w:hAnsiTheme="minorEastAsia" w:eastAsiaTheme="minorEastAsia" w:cstheme="minorEastAsia"/>
          <w:b/>
          <w:bCs/>
          <w:spacing w:val="-5"/>
          <w:sz w:val="24"/>
          <w:szCs w:val="24"/>
          <w:lang w:eastAsia="zh-CN"/>
        </w:rPr>
        <w:t>片形式插入投标文件。</w:t>
      </w:r>
    </w:p>
    <w:p w14:paraId="7DA20168">
      <w:pPr>
        <w:spacing w:line="284" w:lineRule="auto"/>
        <w:rPr>
          <w:rFonts w:asciiTheme="minorEastAsia" w:hAnsiTheme="minorEastAsia" w:eastAsiaTheme="minorEastAsia" w:cstheme="minorEastAsia"/>
          <w:lang w:eastAsia="zh-CN"/>
        </w:rPr>
      </w:pPr>
    </w:p>
    <w:p w14:paraId="4A13C477">
      <w:pPr>
        <w:rPr>
          <w:rFonts w:asciiTheme="minorEastAsia" w:hAnsiTheme="minorEastAsia" w:eastAsiaTheme="minorEastAsia" w:cstheme="minorEastAsia"/>
          <w:b/>
          <w:bCs/>
          <w:spacing w:val="-4"/>
          <w:lang w:eastAsia="zh-CN"/>
        </w:rPr>
      </w:pPr>
      <w:bookmarkStart w:id="424" w:name="bookmark38"/>
      <w:bookmarkEnd w:id="424"/>
      <w:bookmarkStart w:id="425" w:name="bookmark37"/>
      <w:bookmarkEnd w:id="425"/>
      <w:r>
        <w:rPr>
          <w:rFonts w:hint="eastAsia" w:asciiTheme="minorEastAsia" w:hAnsiTheme="minorEastAsia" w:eastAsiaTheme="minorEastAsia" w:cstheme="minorEastAsia"/>
          <w:b/>
          <w:bCs/>
          <w:spacing w:val="-4"/>
          <w:lang w:eastAsia="zh-CN"/>
        </w:rPr>
        <w:br w:type="page"/>
      </w:r>
    </w:p>
    <w:p w14:paraId="5C0B69E8">
      <w:pPr>
        <w:pStyle w:val="6"/>
        <w:spacing w:before="97" w:line="220" w:lineRule="auto"/>
        <w:ind w:left="126"/>
        <w:jc w:val="center"/>
        <w:outlineLvl w:val="1"/>
        <w:rPr>
          <w:rFonts w:asciiTheme="minorEastAsia" w:hAnsiTheme="minorEastAsia" w:eastAsiaTheme="minorEastAsia" w:cstheme="minorEastAsia"/>
          <w:lang w:eastAsia="zh-CN"/>
        </w:rPr>
      </w:pPr>
      <w:bookmarkStart w:id="426" w:name="_Toc22614"/>
      <w:r>
        <w:rPr>
          <w:rFonts w:hint="eastAsia" w:asciiTheme="minorEastAsia" w:hAnsiTheme="minorEastAsia" w:eastAsiaTheme="minorEastAsia" w:cstheme="minorEastAsia"/>
          <w:b/>
          <w:bCs/>
          <w:spacing w:val="-4"/>
          <w:lang w:eastAsia="zh-CN"/>
        </w:rPr>
        <w:t>5.近三年来完成的类似项目情况表</w:t>
      </w:r>
      <w:bookmarkEnd w:id="426"/>
    </w:p>
    <w:p w14:paraId="55113F3A">
      <w:pPr>
        <w:spacing w:before="46"/>
        <w:rPr>
          <w:rFonts w:asciiTheme="minorEastAsia" w:hAnsiTheme="minorEastAsia" w:eastAsiaTheme="minorEastAsia" w:cstheme="minorEastAsia"/>
          <w:lang w:eastAsia="zh-CN"/>
        </w:rPr>
      </w:pPr>
    </w:p>
    <w:p w14:paraId="4057CF56">
      <w:pPr>
        <w:spacing w:before="46"/>
        <w:rPr>
          <w:rFonts w:asciiTheme="minorEastAsia" w:hAnsiTheme="minorEastAsia" w:eastAsiaTheme="minorEastAsia" w:cstheme="minorEastAsia"/>
          <w:lang w:eastAsia="zh-CN"/>
        </w:rPr>
      </w:pPr>
    </w:p>
    <w:tbl>
      <w:tblPr>
        <w:tblStyle w:val="26"/>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0"/>
        <w:gridCol w:w="6972"/>
      </w:tblGrid>
      <w:tr w14:paraId="7EBC0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530" w:type="dxa"/>
          </w:tcPr>
          <w:p w14:paraId="6DC87EF6">
            <w:pPr>
              <w:spacing w:line="365" w:lineRule="auto"/>
              <w:rPr>
                <w:rFonts w:asciiTheme="minorEastAsia" w:hAnsiTheme="minorEastAsia" w:eastAsiaTheme="minorEastAsia" w:cstheme="minorEastAsia"/>
                <w:lang w:eastAsia="zh-CN"/>
              </w:rPr>
            </w:pPr>
          </w:p>
          <w:p w14:paraId="2C16E4F8">
            <w:pPr>
              <w:pStyle w:val="27"/>
              <w:spacing w:before="68" w:line="221" w:lineRule="auto"/>
              <w:ind w:left="853"/>
              <w:rPr>
                <w:rFonts w:asciiTheme="minorEastAsia" w:hAnsiTheme="minorEastAsia" w:eastAsiaTheme="minorEastAsia" w:cstheme="minorEastAsia"/>
              </w:rPr>
            </w:pPr>
            <w:r>
              <w:rPr>
                <w:rFonts w:hint="eastAsia" w:asciiTheme="minorEastAsia" w:hAnsiTheme="minorEastAsia" w:eastAsiaTheme="minorEastAsia" w:cstheme="minorEastAsia"/>
                <w:spacing w:val="-3"/>
              </w:rPr>
              <w:t>项目名称</w:t>
            </w:r>
          </w:p>
        </w:tc>
        <w:tc>
          <w:tcPr>
            <w:tcW w:w="6972" w:type="dxa"/>
          </w:tcPr>
          <w:p w14:paraId="6FB1A50B">
            <w:pPr>
              <w:rPr>
                <w:rFonts w:asciiTheme="minorEastAsia" w:hAnsiTheme="minorEastAsia" w:eastAsiaTheme="minorEastAsia" w:cstheme="minorEastAsia"/>
              </w:rPr>
            </w:pPr>
          </w:p>
        </w:tc>
      </w:tr>
      <w:tr w14:paraId="757F9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530" w:type="dxa"/>
          </w:tcPr>
          <w:p w14:paraId="04E14AFA">
            <w:pPr>
              <w:spacing w:line="310" w:lineRule="auto"/>
              <w:rPr>
                <w:rFonts w:asciiTheme="minorEastAsia" w:hAnsiTheme="minorEastAsia" w:eastAsiaTheme="minorEastAsia" w:cstheme="minorEastAsia"/>
              </w:rPr>
            </w:pPr>
          </w:p>
          <w:p w14:paraId="60F6BB33">
            <w:pPr>
              <w:pStyle w:val="27"/>
              <w:spacing w:before="69" w:line="221" w:lineRule="auto"/>
              <w:ind w:left="748"/>
              <w:rPr>
                <w:rFonts w:asciiTheme="minorEastAsia" w:hAnsiTheme="minorEastAsia" w:eastAsiaTheme="minorEastAsia" w:cstheme="minorEastAsia"/>
              </w:rPr>
            </w:pPr>
            <w:r>
              <w:rPr>
                <w:rFonts w:hint="eastAsia" w:asciiTheme="minorEastAsia" w:hAnsiTheme="minorEastAsia" w:eastAsiaTheme="minorEastAsia" w:cstheme="minorEastAsia"/>
                <w:spacing w:val="-2"/>
              </w:rPr>
              <w:t>项目所在地</w:t>
            </w:r>
          </w:p>
        </w:tc>
        <w:tc>
          <w:tcPr>
            <w:tcW w:w="6972" w:type="dxa"/>
          </w:tcPr>
          <w:p w14:paraId="6326F46D">
            <w:pPr>
              <w:rPr>
                <w:rFonts w:asciiTheme="minorEastAsia" w:hAnsiTheme="minorEastAsia" w:eastAsiaTheme="minorEastAsia" w:cstheme="minorEastAsia"/>
              </w:rPr>
            </w:pPr>
          </w:p>
        </w:tc>
      </w:tr>
      <w:tr w14:paraId="64AE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2530" w:type="dxa"/>
          </w:tcPr>
          <w:p w14:paraId="6CFA39D2">
            <w:pPr>
              <w:spacing w:line="310" w:lineRule="auto"/>
              <w:rPr>
                <w:rFonts w:asciiTheme="minorEastAsia" w:hAnsiTheme="minorEastAsia" w:eastAsiaTheme="minorEastAsia" w:cstheme="minorEastAsia"/>
              </w:rPr>
            </w:pPr>
          </w:p>
          <w:p w14:paraId="0AD9CBD5">
            <w:pPr>
              <w:pStyle w:val="27"/>
              <w:spacing w:before="68" w:line="221" w:lineRule="auto"/>
              <w:ind w:left="851"/>
              <w:rPr>
                <w:rFonts w:asciiTheme="minorEastAsia" w:hAnsiTheme="minorEastAsia" w:eastAsiaTheme="minorEastAsia" w:cstheme="minorEastAsia"/>
              </w:rPr>
            </w:pPr>
            <w:r>
              <w:rPr>
                <w:rFonts w:hint="eastAsia" w:asciiTheme="minorEastAsia" w:hAnsiTheme="minorEastAsia" w:eastAsiaTheme="minorEastAsia" w:cstheme="minorEastAsia"/>
                <w:spacing w:val="-2"/>
              </w:rPr>
              <w:t>合同金额</w:t>
            </w:r>
          </w:p>
        </w:tc>
        <w:tc>
          <w:tcPr>
            <w:tcW w:w="6972" w:type="dxa"/>
          </w:tcPr>
          <w:p w14:paraId="584C9D63">
            <w:pPr>
              <w:rPr>
                <w:rFonts w:asciiTheme="minorEastAsia" w:hAnsiTheme="minorEastAsia" w:eastAsiaTheme="minorEastAsia" w:cstheme="minorEastAsia"/>
              </w:rPr>
            </w:pPr>
          </w:p>
        </w:tc>
      </w:tr>
      <w:tr w14:paraId="36BBF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2530" w:type="dxa"/>
          </w:tcPr>
          <w:p w14:paraId="21290932">
            <w:pPr>
              <w:spacing w:line="318" w:lineRule="auto"/>
              <w:rPr>
                <w:rFonts w:asciiTheme="minorEastAsia" w:hAnsiTheme="minorEastAsia" w:eastAsiaTheme="minorEastAsia" w:cstheme="minorEastAsia"/>
              </w:rPr>
            </w:pPr>
          </w:p>
          <w:p w14:paraId="2337F802">
            <w:pPr>
              <w:pStyle w:val="27"/>
              <w:spacing w:before="68" w:line="221" w:lineRule="auto"/>
              <w:ind w:left="748"/>
              <w:rPr>
                <w:rFonts w:asciiTheme="minorEastAsia" w:hAnsiTheme="minorEastAsia" w:eastAsiaTheme="minorEastAsia" w:cstheme="minorEastAsia"/>
              </w:rPr>
            </w:pPr>
            <w:r>
              <w:rPr>
                <w:rFonts w:hint="eastAsia" w:asciiTheme="minorEastAsia" w:hAnsiTheme="minorEastAsia" w:eastAsiaTheme="minorEastAsia" w:cstheme="minorEastAsia"/>
                <w:spacing w:val="-2"/>
              </w:rPr>
              <w:t>发包人名称</w:t>
            </w:r>
          </w:p>
        </w:tc>
        <w:tc>
          <w:tcPr>
            <w:tcW w:w="6972" w:type="dxa"/>
          </w:tcPr>
          <w:p w14:paraId="44DC9146">
            <w:pPr>
              <w:rPr>
                <w:rFonts w:asciiTheme="minorEastAsia" w:hAnsiTheme="minorEastAsia" w:eastAsiaTheme="minorEastAsia" w:cstheme="minorEastAsia"/>
              </w:rPr>
            </w:pPr>
          </w:p>
        </w:tc>
      </w:tr>
      <w:tr w14:paraId="1E9D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530" w:type="dxa"/>
          </w:tcPr>
          <w:p w14:paraId="46EA28DE">
            <w:pPr>
              <w:spacing w:line="293" w:lineRule="auto"/>
              <w:rPr>
                <w:rFonts w:asciiTheme="minorEastAsia" w:hAnsiTheme="minorEastAsia" w:eastAsiaTheme="minorEastAsia" w:cstheme="minorEastAsia"/>
              </w:rPr>
            </w:pPr>
          </w:p>
          <w:p w14:paraId="592BB3E3">
            <w:pPr>
              <w:pStyle w:val="27"/>
              <w:spacing w:before="68" w:line="221" w:lineRule="auto"/>
              <w:ind w:left="748"/>
              <w:rPr>
                <w:rFonts w:asciiTheme="minorEastAsia" w:hAnsiTheme="minorEastAsia" w:eastAsiaTheme="minorEastAsia" w:cstheme="minorEastAsia"/>
              </w:rPr>
            </w:pPr>
            <w:r>
              <w:rPr>
                <w:rFonts w:hint="eastAsia" w:asciiTheme="minorEastAsia" w:hAnsiTheme="minorEastAsia" w:eastAsiaTheme="minorEastAsia" w:cstheme="minorEastAsia"/>
                <w:spacing w:val="-2"/>
              </w:rPr>
              <w:t>发包人地址</w:t>
            </w:r>
          </w:p>
        </w:tc>
        <w:tc>
          <w:tcPr>
            <w:tcW w:w="6972" w:type="dxa"/>
          </w:tcPr>
          <w:p w14:paraId="145308FD">
            <w:pPr>
              <w:rPr>
                <w:rFonts w:asciiTheme="minorEastAsia" w:hAnsiTheme="minorEastAsia" w:eastAsiaTheme="minorEastAsia" w:cstheme="minorEastAsia"/>
              </w:rPr>
            </w:pPr>
          </w:p>
        </w:tc>
      </w:tr>
      <w:tr w14:paraId="68908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2530" w:type="dxa"/>
          </w:tcPr>
          <w:p w14:paraId="2FB25CE1">
            <w:pPr>
              <w:spacing w:line="320" w:lineRule="auto"/>
              <w:rPr>
                <w:rFonts w:asciiTheme="minorEastAsia" w:hAnsiTheme="minorEastAsia" w:eastAsiaTheme="minorEastAsia" w:cstheme="minorEastAsia"/>
              </w:rPr>
            </w:pPr>
          </w:p>
          <w:p w14:paraId="4F537EEF">
            <w:pPr>
              <w:pStyle w:val="27"/>
              <w:spacing w:before="68" w:line="221" w:lineRule="auto"/>
              <w:ind w:left="748"/>
              <w:rPr>
                <w:rFonts w:asciiTheme="minorEastAsia" w:hAnsiTheme="minorEastAsia" w:eastAsiaTheme="minorEastAsia" w:cstheme="minorEastAsia"/>
              </w:rPr>
            </w:pPr>
            <w:r>
              <w:rPr>
                <w:rFonts w:hint="eastAsia" w:asciiTheme="minorEastAsia" w:hAnsiTheme="minorEastAsia" w:eastAsiaTheme="minorEastAsia" w:cstheme="minorEastAsia"/>
                <w:spacing w:val="-2"/>
              </w:rPr>
              <w:t>发包人电话</w:t>
            </w:r>
          </w:p>
        </w:tc>
        <w:tc>
          <w:tcPr>
            <w:tcW w:w="6972" w:type="dxa"/>
          </w:tcPr>
          <w:p w14:paraId="4C43A9D9">
            <w:pPr>
              <w:rPr>
                <w:rFonts w:asciiTheme="minorEastAsia" w:hAnsiTheme="minorEastAsia" w:eastAsiaTheme="minorEastAsia" w:cstheme="minorEastAsia"/>
              </w:rPr>
            </w:pPr>
          </w:p>
        </w:tc>
      </w:tr>
      <w:tr w14:paraId="62938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2530" w:type="dxa"/>
          </w:tcPr>
          <w:p w14:paraId="17B6B248">
            <w:pPr>
              <w:spacing w:line="319" w:lineRule="auto"/>
              <w:rPr>
                <w:rFonts w:asciiTheme="minorEastAsia" w:hAnsiTheme="minorEastAsia" w:eastAsiaTheme="minorEastAsia" w:cstheme="minorEastAsia"/>
              </w:rPr>
            </w:pPr>
          </w:p>
          <w:p w14:paraId="15251F97">
            <w:pPr>
              <w:pStyle w:val="27"/>
              <w:spacing w:before="68" w:line="219" w:lineRule="auto"/>
              <w:ind w:left="851"/>
              <w:rPr>
                <w:rFonts w:asciiTheme="minorEastAsia" w:hAnsiTheme="minorEastAsia" w:eastAsiaTheme="minorEastAsia" w:cstheme="minorEastAsia"/>
              </w:rPr>
            </w:pPr>
            <w:r>
              <w:rPr>
                <w:rFonts w:hint="eastAsia" w:asciiTheme="minorEastAsia" w:hAnsiTheme="minorEastAsia" w:eastAsiaTheme="minorEastAsia" w:cstheme="minorEastAsia"/>
                <w:spacing w:val="-2"/>
              </w:rPr>
              <w:t>合同价格</w:t>
            </w:r>
          </w:p>
        </w:tc>
        <w:tc>
          <w:tcPr>
            <w:tcW w:w="6972" w:type="dxa"/>
          </w:tcPr>
          <w:p w14:paraId="5D127853">
            <w:pPr>
              <w:rPr>
                <w:rFonts w:asciiTheme="minorEastAsia" w:hAnsiTheme="minorEastAsia" w:eastAsiaTheme="minorEastAsia" w:cstheme="minorEastAsia"/>
              </w:rPr>
            </w:pPr>
          </w:p>
        </w:tc>
      </w:tr>
      <w:tr w14:paraId="2C06A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2530" w:type="dxa"/>
          </w:tcPr>
          <w:p w14:paraId="726550E8">
            <w:pPr>
              <w:spacing w:line="314" w:lineRule="auto"/>
              <w:rPr>
                <w:rFonts w:asciiTheme="minorEastAsia" w:hAnsiTheme="minorEastAsia" w:eastAsiaTheme="minorEastAsia" w:cstheme="minorEastAsia"/>
              </w:rPr>
            </w:pPr>
          </w:p>
          <w:p w14:paraId="4E6211CC">
            <w:pPr>
              <w:pStyle w:val="27"/>
              <w:spacing w:before="68" w:line="221" w:lineRule="auto"/>
              <w:ind w:left="642"/>
              <w:rPr>
                <w:rFonts w:asciiTheme="minorEastAsia" w:hAnsiTheme="minorEastAsia" w:eastAsiaTheme="minorEastAsia" w:cstheme="minorEastAsia"/>
              </w:rPr>
            </w:pPr>
            <w:r>
              <w:rPr>
                <w:rFonts w:hint="eastAsia" w:asciiTheme="minorEastAsia" w:hAnsiTheme="minorEastAsia" w:eastAsiaTheme="minorEastAsia" w:cstheme="minorEastAsia"/>
                <w:spacing w:val="-2"/>
              </w:rPr>
              <w:t>合同签订日期</w:t>
            </w:r>
          </w:p>
        </w:tc>
        <w:tc>
          <w:tcPr>
            <w:tcW w:w="6972" w:type="dxa"/>
          </w:tcPr>
          <w:p w14:paraId="2BD73623">
            <w:pPr>
              <w:rPr>
                <w:rFonts w:asciiTheme="minorEastAsia" w:hAnsiTheme="minorEastAsia" w:eastAsiaTheme="minorEastAsia" w:cstheme="minorEastAsia"/>
              </w:rPr>
            </w:pPr>
          </w:p>
        </w:tc>
      </w:tr>
      <w:tr w14:paraId="1DCF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2530" w:type="dxa"/>
          </w:tcPr>
          <w:p w14:paraId="55F5C94C">
            <w:pPr>
              <w:spacing w:line="333" w:lineRule="auto"/>
              <w:rPr>
                <w:rFonts w:asciiTheme="minorEastAsia" w:hAnsiTheme="minorEastAsia" w:eastAsiaTheme="minorEastAsia" w:cstheme="minorEastAsia"/>
              </w:rPr>
            </w:pPr>
          </w:p>
          <w:p w14:paraId="1BE2443F">
            <w:pPr>
              <w:pStyle w:val="27"/>
              <w:spacing w:before="68" w:line="220" w:lineRule="auto"/>
              <w:ind w:left="643"/>
              <w:rPr>
                <w:rFonts w:asciiTheme="minorEastAsia" w:hAnsiTheme="minorEastAsia" w:eastAsiaTheme="minorEastAsia" w:cstheme="minorEastAsia"/>
              </w:rPr>
            </w:pPr>
            <w:r>
              <w:rPr>
                <w:rFonts w:hint="eastAsia" w:asciiTheme="minorEastAsia" w:hAnsiTheme="minorEastAsia" w:eastAsiaTheme="minorEastAsia" w:cstheme="minorEastAsia"/>
                <w:spacing w:val="-2"/>
              </w:rPr>
              <w:t>完成供货日期</w:t>
            </w:r>
          </w:p>
        </w:tc>
        <w:tc>
          <w:tcPr>
            <w:tcW w:w="6972" w:type="dxa"/>
          </w:tcPr>
          <w:p w14:paraId="771AF096">
            <w:pPr>
              <w:rPr>
                <w:rFonts w:asciiTheme="minorEastAsia" w:hAnsiTheme="minorEastAsia" w:eastAsiaTheme="minorEastAsia" w:cstheme="minorEastAsia"/>
              </w:rPr>
            </w:pPr>
          </w:p>
        </w:tc>
      </w:tr>
      <w:tr w14:paraId="03925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2530" w:type="dxa"/>
          </w:tcPr>
          <w:p w14:paraId="69A50C7E">
            <w:pPr>
              <w:spacing w:line="312" w:lineRule="auto"/>
              <w:rPr>
                <w:rFonts w:asciiTheme="minorEastAsia" w:hAnsiTheme="minorEastAsia" w:eastAsiaTheme="minorEastAsia" w:cstheme="minorEastAsia"/>
              </w:rPr>
            </w:pPr>
          </w:p>
          <w:p w14:paraId="5567B15C">
            <w:pPr>
              <w:pStyle w:val="27"/>
              <w:spacing w:before="68" w:line="221" w:lineRule="auto"/>
              <w:ind w:left="853"/>
              <w:rPr>
                <w:rFonts w:asciiTheme="minorEastAsia" w:hAnsiTheme="minorEastAsia" w:eastAsiaTheme="minorEastAsia" w:cstheme="minorEastAsia"/>
              </w:rPr>
            </w:pPr>
            <w:r>
              <w:rPr>
                <w:rFonts w:hint="eastAsia" w:asciiTheme="minorEastAsia" w:hAnsiTheme="minorEastAsia" w:eastAsiaTheme="minorEastAsia" w:cstheme="minorEastAsia"/>
                <w:spacing w:val="-3"/>
              </w:rPr>
              <w:t>项目描述</w:t>
            </w:r>
          </w:p>
        </w:tc>
        <w:tc>
          <w:tcPr>
            <w:tcW w:w="6972" w:type="dxa"/>
          </w:tcPr>
          <w:p w14:paraId="08593571">
            <w:pPr>
              <w:rPr>
                <w:rFonts w:asciiTheme="minorEastAsia" w:hAnsiTheme="minorEastAsia" w:eastAsiaTheme="minorEastAsia" w:cstheme="minorEastAsia"/>
              </w:rPr>
            </w:pPr>
          </w:p>
        </w:tc>
      </w:tr>
      <w:tr w14:paraId="56348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530" w:type="dxa"/>
          </w:tcPr>
          <w:p w14:paraId="15EBCB0A">
            <w:pPr>
              <w:spacing w:line="313" w:lineRule="auto"/>
              <w:rPr>
                <w:rFonts w:asciiTheme="minorEastAsia" w:hAnsiTheme="minorEastAsia" w:eastAsiaTheme="minorEastAsia" w:cstheme="minorEastAsia"/>
              </w:rPr>
            </w:pPr>
          </w:p>
          <w:p w14:paraId="52D5CC01">
            <w:pPr>
              <w:pStyle w:val="27"/>
              <w:spacing w:before="68" w:line="222" w:lineRule="auto"/>
              <w:ind w:left="1064"/>
              <w:rPr>
                <w:rFonts w:asciiTheme="minorEastAsia" w:hAnsiTheme="minorEastAsia" w:eastAsiaTheme="minorEastAsia" w:cstheme="minorEastAsia"/>
              </w:rPr>
            </w:pPr>
            <w:r>
              <w:rPr>
                <w:rFonts w:hint="eastAsia" w:asciiTheme="minorEastAsia" w:hAnsiTheme="minorEastAsia" w:eastAsiaTheme="minorEastAsia" w:cstheme="minorEastAsia"/>
                <w:spacing w:val="-3"/>
              </w:rPr>
              <w:t>备注</w:t>
            </w:r>
          </w:p>
        </w:tc>
        <w:tc>
          <w:tcPr>
            <w:tcW w:w="6972" w:type="dxa"/>
          </w:tcPr>
          <w:p w14:paraId="4FB4AF67">
            <w:pPr>
              <w:rPr>
                <w:rFonts w:asciiTheme="minorEastAsia" w:hAnsiTheme="minorEastAsia" w:eastAsiaTheme="minorEastAsia" w:cstheme="minorEastAsia"/>
              </w:rPr>
            </w:pPr>
          </w:p>
        </w:tc>
      </w:tr>
    </w:tbl>
    <w:p w14:paraId="244D7600">
      <w:pPr>
        <w:rPr>
          <w:rFonts w:asciiTheme="minorEastAsia" w:hAnsiTheme="minorEastAsia" w:eastAsiaTheme="minorEastAsia" w:cstheme="minorEastAsia"/>
        </w:rPr>
      </w:pPr>
    </w:p>
    <w:p w14:paraId="5C86C592">
      <w:pPr>
        <w:spacing w:line="284" w:lineRule="auto"/>
        <w:rPr>
          <w:rFonts w:asciiTheme="minorEastAsia" w:hAnsiTheme="minorEastAsia" w:eastAsiaTheme="minorEastAsia" w:cstheme="minorEastAsia"/>
          <w:lang w:eastAsia="zh-CN"/>
        </w:rPr>
      </w:pPr>
    </w:p>
    <w:p w14:paraId="6A55576D">
      <w:pPr>
        <w:rPr>
          <w:rFonts w:asciiTheme="minorEastAsia" w:hAnsiTheme="minorEastAsia" w:eastAsiaTheme="minorEastAsia" w:cstheme="minorEastAsia"/>
          <w:b/>
          <w:bCs/>
          <w:spacing w:val="-4"/>
          <w:lang w:eastAsia="zh-CN"/>
        </w:rPr>
      </w:pPr>
      <w:bookmarkStart w:id="427" w:name="bookmark39"/>
      <w:bookmarkEnd w:id="427"/>
      <w:bookmarkStart w:id="428" w:name="bookmark40"/>
      <w:bookmarkEnd w:id="428"/>
      <w:r>
        <w:rPr>
          <w:rFonts w:hint="eastAsia" w:asciiTheme="minorEastAsia" w:hAnsiTheme="minorEastAsia" w:eastAsiaTheme="minorEastAsia" w:cstheme="minorEastAsia"/>
          <w:b/>
          <w:bCs/>
          <w:spacing w:val="-4"/>
          <w:lang w:eastAsia="zh-CN"/>
        </w:rPr>
        <w:br w:type="page"/>
      </w:r>
    </w:p>
    <w:p w14:paraId="74B64A57">
      <w:pPr>
        <w:pStyle w:val="6"/>
        <w:spacing w:before="97" w:line="220" w:lineRule="auto"/>
        <w:ind w:left="47"/>
        <w:jc w:val="center"/>
        <w:outlineLvl w:val="1"/>
        <w:rPr>
          <w:rFonts w:asciiTheme="minorEastAsia" w:hAnsiTheme="minorEastAsia" w:eastAsiaTheme="minorEastAsia" w:cstheme="minorEastAsia"/>
        </w:rPr>
      </w:pPr>
      <w:bookmarkStart w:id="429" w:name="_Toc15170"/>
      <w:r>
        <w:rPr>
          <w:rFonts w:hint="eastAsia" w:asciiTheme="minorEastAsia" w:hAnsiTheme="minorEastAsia" w:eastAsiaTheme="minorEastAsia" w:cstheme="minorEastAsia"/>
          <w:b/>
          <w:bCs/>
          <w:spacing w:val="-4"/>
          <w:lang w:eastAsia="zh-CN"/>
        </w:rPr>
        <w:t>6</w:t>
      </w:r>
      <w:r>
        <w:rPr>
          <w:rFonts w:hint="eastAsia" w:asciiTheme="minorEastAsia" w:hAnsiTheme="minorEastAsia" w:eastAsiaTheme="minorEastAsia" w:cstheme="minorEastAsia"/>
          <w:b/>
          <w:bCs/>
          <w:spacing w:val="-4"/>
        </w:rPr>
        <w:t>.投标人资格证明文件</w:t>
      </w:r>
      <w:bookmarkEnd w:id="429"/>
    </w:p>
    <w:p w14:paraId="777923FC">
      <w:pPr>
        <w:spacing w:line="272" w:lineRule="auto"/>
        <w:rPr>
          <w:rFonts w:asciiTheme="minorEastAsia" w:hAnsiTheme="minorEastAsia" w:eastAsiaTheme="minorEastAsia" w:cstheme="minorEastAsia"/>
          <w:lang w:eastAsia="zh-CN"/>
        </w:rPr>
      </w:pPr>
    </w:p>
    <w:p w14:paraId="0929EEEB">
      <w:pPr>
        <w:rPr>
          <w:rFonts w:asciiTheme="minorEastAsia" w:hAnsiTheme="minorEastAsia" w:eastAsiaTheme="minorEastAsia" w:cstheme="minorEastAsia"/>
          <w:b/>
          <w:bCs/>
          <w:spacing w:val="3"/>
          <w:sz w:val="31"/>
          <w:szCs w:val="31"/>
          <w:lang w:eastAsia="zh-CN"/>
        </w:rPr>
      </w:pPr>
      <w:bookmarkStart w:id="430" w:name="bookmark42"/>
      <w:bookmarkEnd w:id="430"/>
      <w:bookmarkStart w:id="431" w:name="bookmark41"/>
      <w:bookmarkEnd w:id="431"/>
      <w:r>
        <w:rPr>
          <w:rFonts w:hint="eastAsia" w:asciiTheme="minorEastAsia" w:hAnsiTheme="minorEastAsia" w:eastAsiaTheme="minorEastAsia" w:cstheme="minorEastAsia"/>
          <w:b/>
          <w:bCs/>
          <w:spacing w:val="3"/>
          <w:sz w:val="31"/>
          <w:szCs w:val="31"/>
          <w:lang w:eastAsia="zh-CN"/>
        </w:rPr>
        <w:br w:type="page"/>
      </w:r>
    </w:p>
    <w:p w14:paraId="5399CEE2">
      <w:pPr>
        <w:pStyle w:val="6"/>
        <w:spacing w:before="101" w:line="225" w:lineRule="auto"/>
        <w:ind w:left="42"/>
        <w:jc w:val="center"/>
        <w:outlineLvl w:val="1"/>
        <w:rPr>
          <w:rFonts w:asciiTheme="minorEastAsia" w:hAnsiTheme="minorEastAsia" w:eastAsiaTheme="minorEastAsia" w:cstheme="minorEastAsia"/>
          <w:sz w:val="31"/>
          <w:szCs w:val="31"/>
        </w:rPr>
      </w:pPr>
      <w:bookmarkStart w:id="432" w:name="_Toc29015"/>
      <w:r>
        <w:rPr>
          <w:rFonts w:hint="eastAsia" w:asciiTheme="minorEastAsia" w:hAnsiTheme="minorEastAsia" w:eastAsiaTheme="minorEastAsia" w:cstheme="minorEastAsia"/>
          <w:b/>
          <w:bCs/>
          <w:spacing w:val="3"/>
          <w:sz w:val="31"/>
          <w:szCs w:val="31"/>
          <w:lang w:eastAsia="zh-CN"/>
        </w:rPr>
        <w:t>7</w:t>
      </w:r>
      <w:r>
        <w:rPr>
          <w:rFonts w:hint="eastAsia" w:asciiTheme="minorEastAsia" w:hAnsiTheme="minorEastAsia" w:eastAsiaTheme="minorEastAsia" w:cstheme="minorEastAsia"/>
          <w:b/>
          <w:bCs/>
          <w:spacing w:val="3"/>
          <w:sz w:val="31"/>
          <w:szCs w:val="31"/>
        </w:rPr>
        <w:t>.技术标</w:t>
      </w:r>
      <w:bookmarkEnd w:id="432"/>
    </w:p>
    <w:p w14:paraId="5F589C9A">
      <w:pPr>
        <w:spacing w:line="271" w:lineRule="auto"/>
        <w:rPr>
          <w:rFonts w:asciiTheme="minorEastAsia" w:hAnsiTheme="minorEastAsia" w:eastAsiaTheme="minorEastAsia" w:cstheme="minorEastAsia"/>
          <w:lang w:eastAsia="zh-CN"/>
        </w:rPr>
      </w:pPr>
    </w:p>
    <w:p w14:paraId="68E3B549">
      <w:pPr>
        <w:rPr>
          <w:rFonts w:asciiTheme="minorEastAsia" w:hAnsiTheme="minorEastAsia" w:eastAsiaTheme="minorEastAsia" w:cstheme="minorEastAsia"/>
          <w:b/>
          <w:bCs/>
          <w:spacing w:val="2"/>
          <w:sz w:val="31"/>
          <w:szCs w:val="31"/>
          <w:lang w:eastAsia="zh-CN"/>
        </w:rPr>
      </w:pPr>
      <w:bookmarkStart w:id="433" w:name="bookmark44"/>
      <w:bookmarkEnd w:id="433"/>
      <w:bookmarkStart w:id="434" w:name="bookmark43"/>
      <w:bookmarkEnd w:id="434"/>
      <w:r>
        <w:rPr>
          <w:rFonts w:hint="eastAsia" w:asciiTheme="minorEastAsia" w:hAnsiTheme="minorEastAsia" w:eastAsiaTheme="minorEastAsia" w:cstheme="minorEastAsia"/>
          <w:b/>
          <w:bCs/>
          <w:spacing w:val="2"/>
          <w:sz w:val="31"/>
          <w:szCs w:val="31"/>
          <w:lang w:eastAsia="zh-CN"/>
        </w:rPr>
        <w:br w:type="page"/>
      </w:r>
    </w:p>
    <w:p w14:paraId="42D34503">
      <w:pPr>
        <w:pStyle w:val="6"/>
        <w:spacing w:before="101" w:line="226" w:lineRule="auto"/>
        <w:ind w:left="42"/>
        <w:jc w:val="center"/>
        <w:outlineLvl w:val="1"/>
        <w:rPr>
          <w:rFonts w:asciiTheme="minorEastAsia" w:hAnsiTheme="minorEastAsia" w:eastAsiaTheme="minorEastAsia" w:cstheme="minorEastAsia"/>
          <w:sz w:val="31"/>
          <w:szCs w:val="31"/>
        </w:rPr>
      </w:pPr>
      <w:bookmarkStart w:id="435" w:name="_Toc22842"/>
      <w:r>
        <w:rPr>
          <w:rFonts w:hint="eastAsia" w:asciiTheme="minorEastAsia" w:hAnsiTheme="minorEastAsia" w:eastAsiaTheme="minorEastAsia" w:cstheme="minorEastAsia"/>
          <w:b/>
          <w:bCs/>
          <w:spacing w:val="2"/>
          <w:sz w:val="31"/>
          <w:szCs w:val="31"/>
          <w:lang w:eastAsia="zh-CN"/>
        </w:rPr>
        <w:t>8</w:t>
      </w:r>
      <w:r>
        <w:rPr>
          <w:rFonts w:hint="eastAsia" w:asciiTheme="minorEastAsia" w:hAnsiTheme="minorEastAsia" w:eastAsiaTheme="minorEastAsia" w:cstheme="minorEastAsia"/>
          <w:spacing w:val="2"/>
          <w:sz w:val="31"/>
          <w:szCs w:val="31"/>
        </w:rPr>
        <w:t>.</w:t>
      </w:r>
      <w:r>
        <w:rPr>
          <w:rFonts w:hint="eastAsia" w:asciiTheme="minorEastAsia" w:hAnsiTheme="minorEastAsia" w:eastAsiaTheme="minorEastAsia" w:cstheme="minorEastAsia"/>
          <w:b/>
          <w:bCs/>
          <w:spacing w:val="2"/>
          <w:sz w:val="31"/>
          <w:szCs w:val="31"/>
        </w:rPr>
        <w:t>其他</w:t>
      </w:r>
      <w:bookmarkEnd w:id="435"/>
    </w:p>
    <w:p w14:paraId="5F818771">
      <w:pPr>
        <w:spacing w:before="101" w:line="360" w:lineRule="auto"/>
        <w:jc w:val="center"/>
        <w:outlineLvl w:val="1"/>
        <w:rPr>
          <w:rFonts w:hint="eastAsia" w:ascii="宋体" w:hAnsi="宋体" w:eastAsia="宋体" w:cs="宋体"/>
          <w:b/>
          <w:bCs/>
          <w:color w:val="auto"/>
          <w:spacing w:val="-3"/>
          <w:sz w:val="26"/>
          <w:szCs w:val="26"/>
        </w:rPr>
      </w:pPr>
      <w:bookmarkStart w:id="436" w:name="bookmark45"/>
      <w:bookmarkEnd w:id="436"/>
      <w:bookmarkStart w:id="437" w:name="bookmark46"/>
      <w:bookmarkEnd w:id="437"/>
      <w:r>
        <w:rPr>
          <w:rFonts w:hint="eastAsia" w:asciiTheme="minorEastAsia" w:hAnsiTheme="minorEastAsia" w:eastAsiaTheme="minorEastAsia" w:cstheme="minorEastAsia"/>
          <w:b/>
          <w:bCs/>
          <w:spacing w:val="-4"/>
          <w:sz w:val="36"/>
          <w:szCs w:val="36"/>
        </w:rPr>
        <w:br w:type="page"/>
      </w:r>
      <w:bookmarkStart w:id="438" w:name="_Toc14892"/>
      <w:bookmarkStart w:id="439" w:name="_Toc20252"/>
      <w:r>
        <w:rPr>
          <w:rFonts w:hint="eastAsia" w:ascii="宋体" w:hAnsi="宋体" w:eastAsia="宋体" w:cs="宋体"/>
          <w:b/>
          <w:bCs/>
          <w:color w:val="auto"/>
          <w:spacing w:val="-3"/>
          <w:sz w:val="26"/>
          <w:szCs w:val="26"/>
        </w:rPr>
        <w:t>中小企业声明函</w:t>
      </w:r>
      <w:bookmarkEnd w:id="438"/>
      <w:bookmarkEnd w:id="439"/>
    </w:p>
    <w:p w14:paraId="75BA0C8A">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outlineLvl w:val="9"/>
        <w:rPr>
          <w:rFonts w:hint="eastAsia" w:ascii="宋体" w:hAnsi="宋体" w:eastAsia="宋体" w:cs="宋体"/>
          <w:b/>
          <w:bCs/>
          <w:color w:val="auto"/>
          <w:spacing w:val="-3"/>
          <w:sz w:val="26"/>
          <w:szCs w:val="26"/>
        </w:rPr>
      </w:pPr>
    </w:p>
    <w:p w14:paraId="09BECD50">
      <w:pPr>
        <w:spacing w:before="68" w:line="360" w:lineRule="auto"/>
        <w:ind w:firstLine="526"/>
        <w:rPr>
          <w:rFonts w:ascii="宋体" w:hAnsi="宋体" w:eastAsia="宋体" w:cs="宋体"/>
          <w:color w:val="auto"/>
          <w:sz w:val="24"/>
          <w:szCs w:val="24"/>
        </w:rPr>
      </w:pPr>
      <w:r>
        <w:rPr>
          <w:rFonts w:hint="eastAsia" w:ascii="宋体" w:hAnsi="宋体" w:eastAsia="宋体" w:cs="宋体"/>
          <w:color w:val="auto"/>
          <w:spacing w:val="-1"/>
          <w:sz w:val="24"/>
          <w:szCs w:val="24"/>
        </w:rPr>
        <w:t>本公司（联合体）郑重声明，根据《政府采购促进中小企业发展</w:t>
      </w:r>
      <w:r>
        <w:rPr>
          <w:rFonts w:hint="eastAsia" w:ascii="宋体" w:hAnsi="宋体" w:eastAsia="宋体" w:cs="宋体"/>
          <w:color w:val="auto"/>
          <w:spacing w:val="-2"/>
          <w:sz w:val="24"/>
          <w:szCs w:val="24"/>
        </w:rPr>
        <w:t>管理办法》（财库 ﹝2020﹞46</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号）的规定，本公司（联合体）参加</w:t>
      </w:r>
      <w:r>
        <w:rPr>
          <w:rFonts w:hint="eastAsia" w:ascii="宋体" w:hAnsi="宋体" w:eastAsia="宋体" w:cs="宋体"/>
          <w:color w:val="auto"/>
          <w:spacing w:val="25"/>
          <w:sz w:val="24"/>
          <w:szCs w:val="24"/>
          <w:u w:val="single"/>
        </w:rPr>
        <w:t xml:space="preserve">    </w:t>
      </w:r>
      <w:r>
        <w:rPr>
          <w:rFonts w:hint="eastAsia" w:ascii="宋体" w:hAnsi="宋体" w:eastAsia="宋体" w:cs="宋体"/>
          <w:color w:val="auto"/>
          <w:spacing w:val="-2"/>
          <w:sz w:val="24"/>
          <w:szCs w:val="24"/>
          <w:u w:val="single"/>
        </w:rPr>
        <w:t xml:space="preserve">（单位名称） </w:t>
      </w:r>
      <w:r>
        <w:rPr>
          <w:rFonts w:hint="eastAsia" w:ascii="宋体" w:hAnsi="宋体" w:eastAsia="宋体" w:cs="宋体"/>
          <w:color w:val="auto"/>
          <w:spacing w:val="-80"/>
          <w:sz w:val="24"/>
          <w:szCs w:val="24"/>
        </w:rPr>
        <w:t xml:space="preserve"> </w:t>
      </w:r>
      <w:r>
        <w:rPr>
          <w:rFonts w:hint="eastAsia" w:ascii="宋体" w:hAnsi="宋体" w:eastAsia="宋体" w:cs="宋体"/>
          <w:color w:val="auto"/>
          <w:spacing w:val="-2"/>
          <w:sz w:val="24"/>
          <w:szCs w:val="24"/>
        </w:rPr>
        <w:t xml:space="preserve">的 </w:t>
      </w:r>
      <w:r>
        <w:rPr>
          <w:rFonts w:hint="eastAsia" w:ascii="宋体" w:hAnsi="宋体" w:eastAsia="宋体" w:cs="宋体"/>
          <w:color w:val="auto"/>
          <w:spacing w:val="33"/>
          <w:sz w:val="24"/>
          <w:szCs w:val="24"/>
          <w:u w:val="single"/>
        </w:rPr>
        <w:t xml:space="preserve">   </w:t>
      </w:r>
      <w:r>
        <w:rPr>
          <w:rFonts w:hint="eastAsia" w:ascii="宋体" w:hAnsi="宋体" w:eastAsia="宋体" w:cs="宋体"/>
          <w:color w:val="auto"/>
          <w:spacing w:val="-2"/>
          <w:sz w:val="24"/>
          <w:szCs w:val="24"/>
          <w:u w:val="single"/>
        </w:rPr>
        <w:t xml:space="preserve">（项目名称） </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2"/>
          <w:sz w:val="24"/>
          <w:szCs w:val="24"/>
        </w:rPr>
        <w:t>采购活动，提供的货</w:t>
      </w:r>
      <w:r>
        <w:rPr>
          <w:rFonts w:hint="eastAsia" w:ascii="宋体" w:hAnsi="宋体" w:eastAsia="宋体" w:cs="宋体"/>
          <w:color w:val="auto"/>
          <w:spacing w:val="-1"/>
          <w:sz w:val="24"/>
          <w:szCs w:val="24"/>
        </w:rPr>
        <w:t>物或服务全部由符合政策要求的中小企业承接。相关企业（含联合</w:t>
      </w:r>
      <w:r>
        <w:rPr>
          <w:rFonts w:hint="eastAsia" w:ascii="宋体" w:hAnsi="宋体" w:eastAsia="宋体" w:cs="宋体"/>
          <w:color w:val="auto"/>
          <w:spacing w:val="-2"/>
          <w:sz w:val="24"/>
          <w:szCs w:val="24"/>
        </w:rPr>
        <w:t>体中的中小企业、签订分包意向协</w:t>
      </w:r>
      <w:r>
        <w:rPr>
          <w:rFonts w:hint="eastAsia" w:ascii="宋体" w:hAnsi="宋体" w:eastAsia="宋体" w:cs="宋体"/>
          <w:color w:val="auto"/>
          <w:spacing w:val="-1"/>
          <w:sz w:val="24"/>
          <w:szCs w:val="24"/>
        </w:rPr>
        <w:t>议的中小企业）的具体情况如下：</w:t>
      </w:r>
    </w:p>
    <w:p w14:paraId="48A0DDD7">
      <w:pPr>
        <w:spacing w:before="29" w:line="360" w:lineRule="auto"/>
        <w:ind w:right="2" w:firstLine="436"/>
        <w:rPr>
          <w:rFonts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2"/>
          <w:sz w:val="24"/>
          <w:szCs w:val="24"/>
          <w:u w:val="single"/>
        </w:rPr>
        <w:t xml:space="preserve"> （标的名称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属于</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2"/>
          <w:sz w:val="24"/>
          <w:szCs w:val="24"/>
        </w:rPr>
        <w:t>行业；承接企业为</w:t>
      </w:r>
      <w:r>
        <w:rPr>
          <w:rFonts w:hint="eastAsia" w:ascii="宋体" w:hAnsi="宋体" w:eastAsia="宋体" w:cs="宋体"/>
          <w:color w:val="auto"/>
          <w:spacing w:val="-2"/>
          <w:sz w:val="24"/>
          <w:szCs w:val="24"/>
          <w:u w:val="single"/>
        </w:rPr>
        <w:t xml:space="preserve"> （企业名称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从业人员</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95"/>
          <w:sz w:val="24"/>
          <w:szCs w:val="24"/>
        </w:rPr>
        <w:t xml:space="preserve"> </w:t>
      </w:r>
      <w:r>
        <w:rPr>
          <w:rFonts w:hint="eastAsia" w:ascii="宋体" w:hAnsi="宋体" w:eastAsia="宋体" w:cs="宋体"/>
          <w:color w:val="auto"/>
          <w:spacing w:val="-2"/>
          <w:sz w:val="24"/>
          <w:szCs w:val="24"/>
        </w:rPr>
        <w:t>人</w:t>
      </w:r>
      <w:r>
        <w:rPr>
          <w:rFonts w:hint="eastAsia" w:ascii="宋体" w:hAnsi="宋体" w:eastAsia="宋体" w:cs="宋体"/>
          <w:color w:val="auto"/>
          <w:spacing w:val="-3"/>
          <w:sz w:val="24"/>
          <w:szCs w:val="24"/>
        </w:rPr>
        <w:t>，营</w:t>
      </w:r>
      <w:r>
        <w:rPr>
          <w:rFonts w:hint="eastAsia" w:ascii="宋体" w:hAnsi="宋体" w:eastAsia="宋体" w:cs="宋体"/>
          <w:color w:val="auto"/>
          <w:spacing w:val="-1"/>
          <w:sz w:val="24"/>
          <w:szCs w:val="24"/>
        </w:rPr>
        <w:t>业收入为</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1"/>
          <w:sz w:val="24"/>
          <w:szCs w:val="24"/>
        </w:rPr>
        <w:t>万元，资产总额为</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2"/>
          <w:sz w:val="24"/>
          <w:szCs w:val="24"/>
          <w:u w:val="single"/>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1"/>
          <w:sz w:val="24"/>
          <w:szCs w:val="24"/>
        </w:rPr>
        <w:t>万元，属于</w:t>
      </w:r>
      <w:r>
        <w:rPr>
          <w:rFonts w:hint="eastAsia" w:ascii="宋体" w:hAnsi="宋体" w:eastAsia="宋体" w:cs="宋体"/>
          <w:color w:val="auto"/>
          <w:spacing w:val="-1"/>
          <w:sz w:val="24"/>
          <w:szCs w:val="24"/>
          <w:u w:val="single"/>
        </w:rPr>
        <w:t xml:space="preserve"> （中型企业、小型企业、微型企业</w:t>
      </w:r>
      <w:r>
        <w:rPr>
          <w:rFonts w:hint="eastAsia" w:ascii="宋体" w:hAnsi="宋体" w:eastAsia="宋体" w:cs="宋体"/>
          <w:color w:val="auto"/>
          <w:spacing w:val="3"/>
          <w:sz w:val="24"/>
          <w:szCs w:val="24"/>
          <w:u w:val="single"/>
        </w:rPr>
        <w:t>）</w:t>
      </w:r>
      <w:r>
        <w:rPr>
          <w:rFonts w:hint="eastAsia" w:ascii="宋体" w:hAnsi="宋体" w:eastAsia="宋体" w:cs="宋体"/>
          <w:color w:val="auto"/>
          <w:spacing w:val="3"/>
          <w:sz w:val="24"/>
          <w:szCs w:val="24"/>
        </w:rPr>
        <w:t>；</w:t>
      </w:r>
    </w:p>
    <w:p w14:paraId="7C213001">
      <w:pPr>
        <w:keepNext w:val="0"/>
        <w:keepLines w:val="0"/>
        <w:pageBreakBefore w:val="0"/>
        <w:widowControl/>
        <w:kinsoku/>
        <w:wordWrap/>
        <w:overflowPunct w:val="0"/>
        <w:topLinePunct w:val="0"/>
        <w:autoSpaceDE w:val="0"/>
        <w:autoSpaceDN w:val="0"/>
        <w:bidi w:val="0"/>
        <w:adjustRightInd w:val="0"/>
        <w:snapToGrid w:val="0"/>
        <w:spacing w:before="217" w:line="360" w:lineRule="auto"/>
        <w:ind w:right="2" w:firstLine="423"/>
        <w:textAlignment w:val="baseline"/>
        <w:rPr>
          <w:rFonts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u w:val="single"/>
        </w:rPr>
        <w:t xml:space="preserve"> （标的名称</w:t>
      </w:r>
      <w:r>
        <w:rPr>
          <w:rFonts w:hint="eastAsia" w:ascii="宋体" w:hAnsi="宋体" w:eastAsia="宋体" w:cs="宋体"/>
          <w:color w:val="auto"/>
          <w:spacing w:val="3"/>
          <w:sz w:val="24"/>
          <w:szCs w:val="24"/>
          <w:u w:val="single"/>
        </w:rPr>
        <w:t>）</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属于</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94"/>
          <w:sz w:val="24"/>
          <w:szCs w:val="24"/>
        </w:rPr>
        <w:t xml:space="preserve"> </w:t>
      </w:r>
      <w:r>
        <w:rPr>
          <w:rFonts w:hint="eastAsia" w:ascii="宋体" w:hAnsi="宋体" w:eastAsia="宋体" w:cs="宋体"/>
          <w:color w:val="auto"/>
          <w:spacing w:val="-2"/>
          <w:sz w:val="24"/>
          <w:szCs w:val="24"/>
        </w:rPr>
        <w:t>行业；承接企业为</w:t>
      </w:r>
      <w:r>
        <w:rPr>
          <w:rFonts w:hint="eastAsia" w:ascii="宋体" w:hAnsi="宋体" w:eastAsia="宋体" w:cs="宋体"/>
          <w:color w:val="auto"/>
          <w:spacing w:val="-2"/>
          <w:sz w:val="24"/>
          <w:szCs w:val="24"/>
          <w:u w:val="single"/>
        </w:rPr>
        <w:t xml:space="preserve"> （企业名称</w:t>
      </w:r>
      <w:r>
        <w:rPr>
          <w:rFonts w:hint="eastAsia" w:ascii="宋体" w:hAnsi="宋体" w:eastAsia="宋体" w:cs="宋体"/>
          <w:color w:val="auto"/>
          <w:spacing w:val="3"/>
          <w:sz w:val="24"/>
          <w:szCs w:val="24"/>
          <w:u w:val="single"/>
        </w:rPr>
        <w:t>）</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从业人员</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2"/>
          <w:sz w:val="24"/>
          <w:szCs w:val="24"/>
          <w:u w:val="single"/>
        </w:rPr>
        <w:t xml:space="preserve">  </w:t>
      </w:r>
      <w:r>
        <w:rPr>
          <w:rFonts w:hint="eastAsia" w:ascii="宋体" w:hAnsi="宋体" w:eastAsia="宋体" w:cs="宋体"/>
          <w:color w:val="auto"/>
          <w:spacing w:val="-95"/>
          <w:sz w:val="24"/>
          <w:szCs w:val="24"/>
        </w:rPr>
        <w:t xml:space="preserve"> </w:t>
      </w:r>
      <w:r>
        <w:rPr>
          <w:rFonts w:hint="eastAsia" w:ascii="宋体" w:hAnsi="宋体" w:eastAsia="宋体" w:cs="宋体"/>
          <w:color w:val="auto"/>
          <w:spacing w:val="-2"/>
          <w:sz w:val="24"/>
          <w:szCs w:val="24"/>
        </w:rPr>
        <w:t>人，营</w:t>
      </w:r>
      <w:r>
        <w:rPr>
          <w:rFonts w:hint="eastAsia" w:ascii="宋体" w:hAnsi="宋体" w:eastAsia="宋体" w:cs="宋体"/>
          <w:color w:val="auto"/>
          <w:spacing w:val="-1"/>
          <w:sz w:val="24"/>
          <w:szCs w:val="24"/>
        </w:rPr>
        <w:t>业收入为</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万元，资产总额为</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52"/>
          <w:sz w:val="24"/>
          <w:szCs w:val="24"/>
          <w:u w:val="single"/>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1"/>
          <w:sz w:val="24"/>
          <w:szCs w:val="24"/>
        </w:rPr>
        <w:t>万元，属于</w:t>
      </w:r>
      <w:r>
        <w:rPr>
          <w:rFonts w:hint="eastAsia" w:ascii="宋体" w:hAnsi="宋体" w:eastAsia="宋体" w:cs="宋体"/>
          <w:color w:val="auto"/>
          <w:spacing w:val="-1"/>
          <w:sz w:val="24"/>
          <w:szCs w:val="24"/>
          <w:u w:val="single"/>
        </w:rPr>
        <w:t xml:space="preserve"> （中型企业、小型企业、微型企业）</w:t>
      </w:r>
      <w:r>
        <w:rPr>
          <w:rFonts w:hint="eastAsia" w:ascii="宋体" w:hAnsi="宋体" w:eastAsia="宋体" w:cs="宋体"/>
          <w:color w:val="auto"/>
          <w:spacing w:val="-1"/>
          <w:sz w:val="24"/>
          <w:szCs w:val="24"/>
        </w:rPr>
        <w:t>。</w:t>
      </w:r>
    </w:p>
    <w:p w14:paraId="723D6F85">
      <w:pPr>
        <w:pStyle w:val="6"/>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color w:val="auto"/>
          <w:sz w:val="24"/>
          <w:szCs w:val="24"/>
        </w:rPr>
      </w:pPr>
    </w:p>
    <w:p w14:paraId="5EE432FA">
      <w:pPr>
        <w:pStyle w:val="6"/>
        <w:spacing w:line="360" w:lineRule="auto"/>
        <w:rPr>
          <w:color w:val="auto"/>
          <w:sz w:val="24"/>
          <w:szCs w:val="24"/>
        </w:rPr>
      </w:pPr>
    </w:p>
    <w:p w14:paraId="0AC5A07D">
      <w:pPr>
        <w:spacing w:before="69" w:line="360" w:lineRule="auto"/>
        <w:ind w:left="8" w:firstLine="436"/>
        <w:rPr>
          <w:rFonts w:ascii="宋体" w:hAnsi="宋体" w:eastAsia="宋体" w:cs="宋体"/>
          <w:color w:val="auto"/>
          <w:sz w:val="24"/>
          <w:szCs w:val="24"/>
        </w:rPr>
      </w:pPr>
      <w:r>
        <w:rPr>
          <w:rFonts w:hint="eastAsia" w:ascii="宋体" w:hAnsi="宋体" w:eastAsia="宋体" w:cs="宋体"/>
          <w:color w:val="auto"/>
          <w:spacing w:val="-2"/>
          <w:sz w:val="24"/>
          <w:szCs w:val="24"/>
        </w:rPr>
        <w:t>以上企业，不属于大企业的分支机构，不存在控股股东为大企业的情形，也不存在与大企业的负</w:t>
      </w:r>
      <w:r>
        <w:rPr>
          <w:rFonts w:hint="eastAsia" w:ascii="宋体" w:hAnsi="宋体" w:eastAsia="宋体" w:cs="宋体"/>
          <w:color w:val="auto"/>
          <w:spacing w:val="-3"/>
          <w:sz w:val="24"/>
          <w:szCs w:val="24"/>
        </w:rPr>
        <w:t>责人为同一人的情形。</w:t>
      </w:r>
    </w:p>
    <w:p w14:paraId="4D81A53D">
      <w:pPr>
        <w:spacing w:before="30" w:line="360" w:lineRule="auto"/>
        <w:ind w:left="421"/>
        <w:rPr>
          <w:rFonts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w:t>
      </w:r>
      <w:r>
        <w:rPr>
          <w:rFonts w:hint="eastAsia" w:ascii="宋体" w:hAnsi="宋体" w:eastAsia="宋体" w:cs="宋体"/>
          <w:color w:val="auto"/>
          <w:spacing w:val="-1"/>
          <w:sz w:val="24"/>
          <w:szCs w:val="24"/>
        </w:rPr>
        <w:t>应责任。</w:t>
      </w:r>
    </w:p>
    <w:p w14:paraId="47D6DDDD">
      <w:pPr>
        <w:pStyle w:val="6"/>
        <w:spacing w:line="360" w:lineRule="auto"/>
        <w:rPr>
          <w:color w:val="auto"/>
          <w:sz w:val="24"/>
          <w:szCs w:val="24"/>
        </w:rPr>
      </w:pPr>
    </w:p>
    <w:p w14:paraId="053A41CF">
      <w:pPr>
        <w:pStyle w:val="6"/>
        <w:spacing w:line="360" w:lineRule="auto"/>
        <w:rPr>
          <w:color w:val="auto"/>
          <w:sz w:val="24"/>
          <w:szCs w:val="24"/>
        </w:rPr>
      </w:pPr>
    </w:p>
    <w:p w14:paraId="37ECE28E">
      <w:pPr>
        <w:spacing w:before="69" w:line="360" w:lineRule="auto"/>
        <w:ind w:left="3861"/>
        <w:rPr>
          <w:color w:val="auto"/>
          <w:sz w:val="24"/>
          <w:szCs w:val="24"/>
        </w:rPr>
      </w:pPr>
      <w:r>
        <w:rPr>
          <w:rFonts w:hint="eastAsia" w:ascii="宋体" w:hAnsi="宋体" w:eastAsia="宋体" w:cs="宋体"/>
          <w:color w:val="auto"/>
          <w:spacing w:val="-2"/>
          <w:sz w:val="24"/>
          <w:szCs w:val="24"/>
        </w:rPr>
        <w:t>企业名称（盖章</w:t>
      </w:r>
      <w:r>
        <w:rPr>
          <w:rFonts w:hint="eastAsia" w:ascii="宋体" w:hAnsi="宋体" w:eastAsia="宋体" w:cs="宋体"/>
          <w:color w:val="auto"/>
          <w:spacing w:val="1"/>
          <w:sz w:val="24"/>
          <w:szCs w:val="24"/>
        </w:rPr>
        <w:t>）：</w:t>
      </w:r>
    </w:p>
    <w:p w14:paraId="7AA2F3F5">
      <w:pPr>
        <w:spacing w:before="68" w:line="360" w:lineRule="auto"/>
        <w:ind w:left="4000"/>
        <w:rPr>
          <w:rFonts w:ascii="宋体" w:hAnsi="宋体" w:eastAsia="宋体" w:cs="宋体"/>
          <w:color w:val="auto"/>
          <w:sz w:val="24"/>
          <w:szCs w:val="24"/>
        </w:rPr>
      </w:pPr>
      <w:r>
        <w:rPr>
          <w:rFonts w:hint="eastAsia" w:ascii="宋体" w:hAnsi="宋体" w:eastAsia="宋体" w:cs="宋体"/>
          <w:color w:val="auto"/>
          <w:spacing w:val="-13"/>
          <w:sz w:val="24"/>
          <w:szCs w:val="24"/>
        </w:rPr>
        <w:t>日</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3"/>
          <w:sz w:val="24"/>
          <w:szCs w:val="24"/>
        </w:rPr>
        <w:t>期：</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3"/>
          <w:sz w:val="24"/>
          <w:szCs w:val="24"/>
        </w:rPr>
        <w:t>日</w:t>
      </w:r>
    </w:p>
    <w:p w14:paraId="3DC1F8B4">
      <w:pPr>
        <w:pStyle w:val="6"/>
        <w:spacing w:line="264" w:lineRule="auto"/>
        <w:rPr>
          <w:color w:val="auto"/>
          <w:sz w:val="26"/>
          <w:szCs w:val="26"/>
        </w:rPr>
      </w:pPr>
    </w:p>
    <w:p w14:paraId="40AEC68E">
      <w:pPr>
        <w:pStyle w:val="6"/>
        <w:spacing w:line="265" w:lineRule="auto"/>
        <w:rPr>
          <w:color w:val="auto"/>
          <w:sz w:val="26"/>
          <w:szCs w:val="26"/>
        </w:rPr>
      </w:pPr>
    </w:p>
    <w:p w14:paraId="3D195A9E">
      <w:pPr>
        <w:spacing w:before="70" w:line="221" w:lineRule="auto"/>
        <w:ind w:left="3"/>
        <w:rPr>
          <w:rFonts w:ascii="宋体" w:hAnsi="宋体" w:eastAsia="宋体" w:cs="宋体"/>
          <w:color w:val="auto"/>
          <w:sz w:val="24"/>
          <w:szCs w:val="24"/>
        </w:rPr>
      </w:pPr>
      <w:r>
        <w:rPr>
          <w:rFonts w:hint="eastAsia" w:ascii="宋体" w:hAnsi="宋体" w:eastAsia="宋体" w:cs="宋体"/>
          <w:color w:val="auto"/>
          <w:sz w:val="24"/>
          <w:szCs w:val="24"/>
        </w:rPr>
        <w:t>从业人员、营业收入、资产总额填报上一年度数据，无上一年度数据的新成立企业可</w:t>
      </w:r>
      <w:r>
        <w:rPr>
          <w:rFonts w:hint="eastAsia" w:ascii="宋体" w:hAnsi="宋体" w:eastAsia="宋体" w:cs="宋体"/>
          <w:color w:val="auto"/>
          <w:spacing w:val="-1"/>
          <w:sz w:val="24"/>
          <w:szCs w:val="24"/>
        </w:rPr>
        <w:t>不填报。</w:t>
      </w:r>
    </w:p>
    <w:p w14:paraId="0F058F96">
      <w:pPr>
        <w:spacing w:before="101" w:line="221" w:lineRule="auto"/>
        <w:jc w:val="center"/>
        <w:outlineLvl w:val="1"/>
        <w:rPr>
          <w:rFonts w:ascii="宋体" w:hAnsi="宋体" w:eastAsia="宋体" w:cs="宋体"/>
          <w:color w:val="auto"/>
          <w:sz w:val="26"/>
          <w:szCs w:val="26"/>
        </w:rPr>
      </w:pPr>
      <w:r>
        <w:rPr>
          <w:rFonts w:hint="eastAsia" w:ascii="宋体" w:hAnsi="宋体" w:eastAsia="宋体" w:cs="宋体"/>
          <w:b/>
          <w:bCs/>
          <w:color w:val="auto"/>
          <w:spacing w:val="-3"/>
          <w:sz w:val="26"/>
          <w:szCs w:val="26"/>
        </w:rPr>
        <w:br w:type="page"/>
      </w:r>
      <w:bookmarkStart w:id="440" w:name="_Toc16649"/>
      <w:bookmarkStart w:id="441" w:name="_Toc2603"/>
      <w:r>
        <w:rPr>
          <w:rFonts w:hint="eastAsia" w:ascii="宋体" w:hAnsi="宋体" w:eastAsia="宋体" w:cs="宋体"/>
          <w:b/>
          <w:bCs/>
          <w:color w:val="auto"/>
          <w:spacing w:val="-3"/>
          <w:sz w:val="26"/>
          <w:szCs w:val="26"/>
        </w:rPr>
        <w:t>残疾人福利性单位声明函</w:t>
      </w:r>
      <w:bookmarkEnd w:id="440"/>
      <w:bookmarkEnd w:id="441"/>
    </w:p>
    <w:p w14:paraId="4C2E6D0C">
      <w:pPr>
        <w:spacing w:before="68" w:line="405" w:lineRule="auto"/>
        <w:ind w:firstLine="420"/>
        <w:rPr>
          <w:rFonts w:ascii="宋体" w:hAnsi="宋体" w:eastAsia="宋体" w:cs="宋体"/>
          <w:color w:val="auto"/>
          <w:spacing w:val="-3"/>
          <w:sz w:val="26"/>
          <w:szCs w:val="26"/>
        </w:rPr>
      </w:pPr>
    </w:p>
    <w:p w14:paraId="149261B4">
      <w:pPr>
        <w:keepNext w:val="0"/>
        <w:keepLines w:val="0"/>
        <w:pageBreakBefore w:val="0"/>
        <w:widowControl/>
        <w:kinsoku/>
        <w:wordWrap/>
        <w:overflowPunct w:val="0"/>
        <w:topLinePunct w:val="0"/>
        <w:autoSpaceDE w:val="0"/>
        <w:autoSpaceDN w:val="0"/>
        <w:bidi w:val="0"/>
        <w:adjustRightInd w:val="0"/>
        <w:snapToGrid w:val="0"/>
        <w:spacing w:before="68" w:line="360" w:lineRule="auto"/>
        <w:ind w:firstLine="420"/>
        <w:textAlignment w:val="baseline"/>
        <w:rPr>
          <w:rFonts w:ascii="宋体" w:hAnsi="宋体" w:eastAsia="宋体" w:cs="宋体"/>
          <w:color w:val="auto"/>
          <w:sz w:val="24"/>
          <w:szCs w:val="24"/>
        </w:rPr>
      </w:pPr>
      <w:r>
        <w:rPr>
          <w:rFonts w:hint="eastAsia" w:ascii="宋体" w:hAnsi="宋体" w:eastAsia="宋体" w:cs="宋体"/>
          <w:color w:val="auto"/>
          <w:spacing w:val="-3"/>
          <w:sz w:val="24"/>
          <w:szCs w:val="24"/>
        </w:rPr>
        <w:t>本单位郑重声明，根据《财政部</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3"/>
          <w:sz w:val="24"/>
          <w:szCs w:val="24"/>
        </w:rPr>
        <w:t>民政部</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中国残疾人联合会关于促进残疾人就业政府采购政策的</w:t>
      </w:r>
      <w:r>
        <w:rPr>
          <w:rFonts w:hint="eastAsia" w:ascii="宋体" w:hAnsi="宋体" w:eastAsia="宋体" w:cs="宋体"/>
          <w:color w:val="auto"/>
          <w:spacing w:val="-11"/>
          <w:sz w:val="24"/>
          <w:szCs w:val="24"/>
        </w:rPr>
        <w:t>通知》（财库〔2017〕</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1"/>
          <w:sz w:val="24"/>
          <w:szCs w:val="24"/>
        </w:rPr>
        <w:t>141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1"/>
          <w:sz w:val="24"/>
          <w:szCs w:val="24"/>
        </w:rPr>
        <w:t>号）的规定，本单位为符合条件的残疾人福利性单位，且本单位参加</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0"/>
          <w:sz w:val="24"/>
          <w:szCs w:val="24"/>
          <w:u w:val="single"/>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11"/>
          <w:sz w:val="24"/>
          <w:szCs w:val="24"/>
        </w:rPr>
        <w:t>单</w:t>
      </w:r>
      <w:r>
        <w:rPr>
          <w:rFonts w:hint="eastAsia" w:ascii="宋体" w:hAnsi="宋体" w:eastAsia="宋体" w:cs="宋体"/>
          <w:color w:val="auto"/>
          <w:spacing w:val="1"/>
          <w:sz w:val="24"/>
          <w:szCs w:val="24"/>
        </w:rPr>
        <w:t>位的</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83"/>
          <w:sz w:val="24"/>
          <w:szCs w:val="24"/>
        </w:rPr>
        <w:t xml:space="preserve"> </w:t>
      </w:r>
      <w:r>
        <w:rPr>
          <w:rFonts w:hint="eastAsia" w:ascii="宋体" w:hAnsi="宋体" w:eastAsia="宋体" w:cs="宋体"/>
          <w:color w:val="auto"/>
          <w:spacing w:val="1"/>
          <w:sz w:val="24"/>
          <w:szCs w:val="24"/>
        </w:rPr>
        <w:t>项目采购活动提供本单位制造的货物（</w:t>
      </w:r>
      <w:r>
        <w:rPr>
          <w:rFonts w:hint="eastAsia" w:ascii="宋体" w:hAnsi="宋体" w:eastAsia="宋体" w:cs="宋体"/>
          <w:color w:val="auto"/>
          <w:sz w:val="24"/>
          <w:szCs w:val="24"/>
        </w:rPr>
        <w:t>由本单位承担工程/提供服务</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或者提供其他残疾人福利性单位制造的货物（不包括使用非</w:t>
      </w:r>
      <w:r>
        <w:rPr>
          <w:rFonts w:hint="eastAsia" w:ascii="宋体" w:hAnsi="宋体" w:eastAsia="宋体" w:cs="宋体"/>
          <w:color w:val="auto"/>
          <w:spacing w:val="-1"/>
          <w:sz w:val="24"/>
          <w:szCs w:val="24"/>
        </w:rPr>
        <w:t>残疾人福利性单位注册商标的货物）。</w:t>
      </w:r>
    </w:p>
    <w:p w14:paraId="4D20C7FB">
      <w:pPr>
        <w:keepNext w:val="0"/>
        <w:keepLines w:val="0"/>
        <w:pageBreakBefore w:val="0"/>
        <w:widowControl/>
        <w:kinsoku/>
        <w:wordWrap/>
        <w:overflowPunct w:val="0"/>
        <w:topLinePunct w:val="0"/>
        <w:autoSpaceDE w:val="0"/>
        <w:autoSpaceDN w:val="0"/>
        <w:bidi w:val="0"/>
        <w:adjustRightInd w:val="0"/>
        <w:snapToGrid w:val="0"/>
        <w:spacing w:before="31" w:line="360" w:lineRule="auto"/>
        <w:textAlignment w:val="baseline"/>
        <w:rPr>
          <w:rFonts w:ascii="宋体" w:hAnsi="宋体" w:eastAsia="宋体" w:cs="宋体"/>
          <w:color w:val="auto"/>
          <w:sz w:val="26"/>
          <w:szCs w:val="26"/>
        </w:rPr>
      </w:pPr>
      <w:r>
        <w:rPr>
          <w:rFonts w:hint="eastAsia" w:ascii="宋体" w:hAnsi="宋体" w:eastAsia="宋体" w:cs="宋体"/>
          <w:color w:val="auto"/>
          <w:sz w:val="24"/>
          <w:szCs w:val="24"/>
        </w:rPr>
        <w:t>本单位对上述声明的真实性负责。如有虚假，将依法承担相</w:t>
      </w:r>
      <w:r>
        <w:rPr>
          <w:rFonts w:hint="eastAsia" w:ascii="宋体" w:hAnsi="宋体" w:eastAsia="宋体" w:cs="宋体"/>
          <w:color w:val="auto"/>
          <w:spacing w:val="-1"/>
          <w:sz w:val="24"/>
          <w:szCs w:val="24"/>
        </w:rPr>
        <w:t>应责任</w:t>
      </w:r>
      <w:r>
        <w:rPr>
          <w:rFonts w:hint="eastAsia" w:ascii="宋体" w:hAnsi="宋体" w:eastAsia="宋体" w:cs="宋体"/>
          <w:color w:val="auto"/>
          <w:spacing w:val="-1"/>
          <w:sz w:val="26"/>
          <w:szCs w:val="26"/>
        </w:rPr>
        <w:t>。</w:t>
      </w:r>
    </w:p>
    <w:p w14:paraId="66D381A5">
      <w:pPr>
        <w:pStyle w:val="6"/>
        <w:spacing w:line="270" w:lineRule="auto"/>
        <w:rPr>
          <w:color w:val="auto"/>
          <w:sz w:val="26"/>
          <w:szCs w:val="26"/>
        </w:rPr>
      </w:pPr>
    </w:p>
    <w:p w14:paraId="5F80C9A3">
      <w:pPr>
        <w:pStyle w:val="6"/>
        <w:spacing w:line="270" w:lineRule="auto"/>
        <w:rPr>
          <w:color w:val="auto"/>
          <w:sz w:val="26"/>
          <w:szCs w:val="26"/>
        </w:rPr>
      </w:pPr>
    </w:p>
    <w:p w14:paraId="088681ED">
      <w:pPr>
        <w:pStyle w:val="6"/>
        <w:spacing w:line="270" w:lineRule="auto"/>
        <w:rPr>
          <w:color w:val="auto"/>
          <w:sz w:val="26"/>
          <w:szCs w:val="26"/>
        </w:rPr>
      </w:pPr>
    </w:p>
    <w:p w14:paraId="6E130368">
      <w:pPr>
        <w:pStyle w:val="6"/>
        <w:spacing w:line="270" w:lineRule="auto"/>
        <w:rPr>
          <w:color w:val="auto"/>
          <w:sz w:val="26"/>
          <w:szCs w:val="26"/>
        </w:rPr>
      </w:pPr>
    </w:p>
    <w:p w14:paraId="4147C977">
      <w:pPr>
        <w:spacing w:before="68" w:line="398" w:lineRule="auto"/>
        <w:ind w:right="1958"/>
        <w:jc w:val="right"/>
        <w:rPr>
          <w:rFonts w:ascii="宋体" w:hAnsi="宋体" w:eastAsia="宋体" w:cs="宋体"/>
          <w:color w:val="auto"/>
          <w:spacing w:val="1"/>
          <w:sz w:val="26"/>
          <w:szCs w:val="26"/>
        </w:rPr>
      </w:pPr>
      <w:r>
        <w:rPr>
          <w:rFonts w:hint="eastAsia" w:ascii="宋体" w:hAnsi="宋体" w:eastAsia="宋体" w:cs="宋体"/>
          <w:color w:val="auto"/>
          <w:spacing w:val="1"/>
          <w:sz w:val="26"/>
          <w:szCs w:val="26"/>
        </w:rPr>
        <w:t>单位名称</w:t>
      </w:r>
      <w:r>
        <w:rPr>
          <w:rFonts w:hint="eastAsia" w:ascii="宋体" w:hAnsi="宋体" w:eastAsia="宋体" w:cs="宋体"/>
          <w:color w:val="auto"/>
          <w:spacing w:val="-16"/>
          <w:sz w:val="26"/>
          <w:szCs w:val="26"/>
        </w:rPr>
        <w:t>：（</w:t>
      </w:r>
      <w:r>
        <w:rPr>
          <w:rFonts w:hint="eastAsia" w:ascii="宋体" w:hAnsi="宋体" w:eastAsia="宋体" w:cs="宋体"/>
          <w:color w:val="auto"/>
          <w:spacing w:val="1"/>
          <w:sz w:val="26"/>
          <w:szCs w:val="26"/>
        </w:rPr>
        <w:t xml:space="preserve">盖章） </w:t>
      </w:r>
    </w:p>
    <w:p w14:paraId="3BAAAEA8">
      <w:pPr>
        <w:spacing w:before="68" w:line="398" w:lineRule="auto"/>
        <w:ind w:right="1958"/>
        <w:jc w:val="center"/>
        <w:rPr>
          <w:rFonts w:ascii="宋体" w:hAnsi="宋体" w:eastAsia="宋体" w:cs="宋体"/>
          <w:color w:val="auto"/>
          <w:sz w:val="26"/>
          <w:szCs w:val="26"/>
        </w:rPr>
      </w:pPr>
      <w:r>
        <w:rPr>
          <w:rFonts w:hint="eastAsia" w:ascii="宋体" w:hAnsi="宋体" w:eastAsia="宋体" w:cs="宋体"/>
          <w:color w:val="auto"/>
          <w:spacing w:val="-18"/>
          <w:sz w:val="26"/>
          <w:szCs w:val="26"/>
          <w:lang w:val="en-US" w:eastAsia="zh-CN"/>
        </w:rPr>
        <w:t xml:space="preserve">                               </w:t>
      </w:r>
      <w:r>
        <w:rPr>
          <w:rFonts w:hint="eastAsia" w:ascii="宋体" w:hAnsi="宋体" w:eastAsia="宋体" w:cs="宋体"/>
          <w:color w:val="auto"/>
          <w:spacing w:val="-18"/>
          <w:sz w:val="26"/>
          <w:szCs w:val="26"/>
        </w:rPr>
        <w:t>日</w:t>
      </w:r>
      <w:r>
        <w:rPr>
          <w:rFonts w:hint="eastAsia" w:ascii="宋体" w:hAnsi="宋体" w:eastAsia="宋体" w:cs="宋体"/>
          <w:color w:val="auto"/>
          <w:spacing w:val="4"/>
          <w:sz w:val="26"/>
          <w:szCs w:val="26"/>
        </w:rPr>
        <w:t xml:space="preserve">  </w:t>
      </w:r>
      <w:r>
        <w:rPr>
          <w:rFonts w:hint="eastAsia" w:ascii="宋体" w:hAnsi="宋体" w:eastAsia="宋体" w:cs="宋体"/>
          <w:color w:val="auto"/>
          <w:spacing w:val="-18"/>
          <w:sz w:val="26"/>
          <w:szCs w:val="26"/>
        </w:rPr>
        <w:t>期：</w:t>
      </w:r>
    </w:p>
    <w:p w14:paraId="55FBAC09">
      <w:pPr>
        <w:pStyle w:val="6"/>
        <w:spacing w:line="426" w:lineRule="auto"/>
        <w:rPr>
          <w:color w:val="auto"/>
          <w:sz w:val="26"/>
          <w:szCs w:val="26"/>
        </w:rPr>
      </w:pPr>
    </w:p>
    <w:p w14:paraId="41EB3A0A">
      <w:pPr>
        <w:spacing w:before="69" w:line="220" w:lineRule="auto"/>
        <w:ind w:left="2"/>
        <w:rPr>
          <w:rFonts w:ascii="宋体" w:hAnsi="宋体" w:eastAsia="宋体" w:cs="宋体"/>
          <w:color w:val="auto"/>
          <w:sz w:val="26"/>
          <w:szCs w:val="26"/>
        </w:rPr>
      </w:pPr>
      <w:r>
        <w:rPr>
          <w:rFonts w:hint="eastAsia" w:ascii="宋体" w:hAnsi="宋体" w:eastAsia="宋体" w:cs="宋体"/>
          <w:color w:val="auto"/>
          <w:sz w:val="24"/>
          <w:szCs w:val="24"/>
        </w:rPr>
        <w:t>说明：该声明函是针对残疾人福利性单位的，非</w:t>
      </w:r>
      <w:r>
        <w:rPr>
          <w:rFonts w:hint="eastAsia" w:ascii="宋体" w:hAnsi="宋体" w:eastAsia="宋体" w:cs="宋体"/>
          <w:color w:val="auto"/>
          <w:spacing w:val="-1"/>
          <w:sz w:val="24"/>
          <w:szCs w:val="24"/>
        </w:rPr>
        <w:t>残疾人福利性单位投标时不用提供该声明。</w:t>
      </w:r>
    </w:p>
    <w:p w14:paraId="4AC5E67D">
      <w:pPr>
        <w:spacing w:before="101" w:line="221" w:lineRule="auto"/>
        <w:ind w:left="3748" w:firstLine="252"/>
        <w:outlineLvl w:val="1"/>
        <w:rPr>
          <w:rFonts w:ascii="宋体" w:hAnsi="宋体" w:eastAsia="宋体" w:cs="宋体"/>
          <w:color w:val="auto"/>
          <w:sz w:val="26"/>
          <w:szCs w:val="26"/>
        </w:rPr>
      </w:pPr>
      <w:r>
        <w:rPr>
          <w:rFonts w:hint="eastAsia" w:ascii="宋体" w:hAnsi="宋体" w:eastAsia="宋体" w:cs="宋体"/>
          <w:b/>
          <w:bCs/>
          <w:color w:val="auto"/>
          <w:spacing w:val="-4"/>
          <w:sz w:val="26"/>
          <w:szCs w:val="26"/>
        </w:rPr>
        <w:br w:type="page"/>
      </w:r>
      <w:bookmarkStart w:id="442" w:name="_Toc25020"/>
      <w:bookmarkStart w:id="443" w:name="_Toc7157"/>
      <w:r>
        <w:rPr>
          <w:rFonts w:hint="eastAsia" w:ascii="宋体" w:hAnsi="宋体" w:eastAsia="宋体" w:cs="宋体"/>
          <w:b/>
          <w:bCs/>
          <w:color w:val="auto"/>
          <w:spacing w:val="-4"/>
          <w:sz w:val="26"/>
          <w:szCs w:val="26"/>
        </w:rPr>
        <w:t>监狱企业证明函</w:t>
      </w:r>
      <w:bookmarkEnd w:id="442"/>
      <w:bookmarkEnd w:id="443"/>
    </w:p>
    <w:p w14:paraId="40DC021E">
      <w:pPr>
        <w:pStyle w:val="6"/>
        <w:spacing w:line="437" w:lineRule="auto"/>
        <w:rPr>
          <w:color w:val="auto"/>
          <w:sz w:val="26"/>
          <w:szCs w:val="26"/>
        </w:rPr>
      </w:pPr>
    </w:p>
    <w:p w14:paraId="2D03C405">
      <w:pPr>
        <w:spacing w:before="68" w:line="360" w:lineRule="auto"/>
        <w:ind w:left="14" w:firstLine="719"/>
        <w:rPr>
          <w:rFonts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w:t>
      </w:r>
      <w:r>
        <w:rPr>
          <w:rFonts w:hint="eastAsia" w:ascii="宋体" w:hAnsi="宋体" w:eastAsia="宋体" w:cs="宋体"/>
          <w:color w:val="auto"/>
          <w:spacing w:val="-1"/>
          <w:sz w:val="24"/>
          <w:szCs w:val="24"/>
        </w:rPr>
        <w:t>有关问题的通知》（财库[2014]68 号）</w:t>
      </w:r>
      <w:r>
        <w:rPr>
          <w:rFonts w:hint="eastAsia" w:ascii="宋体" w:hAnsi="宋体" w:eastAsia="宋体" w:cs="宋体"/>
          <w:color w:val="auto"/>
          <w:spacing w:val="-4"/>
          <w:sz w:val="24"/>
          <w:szCs w:val="24"/>
        </w:rPr>
        <w:t>的规定，(填写投标人法定全称）为监狱企业。</w:t>
      </w:r>
    </w:p>
    <w:p w14:paraId="652E128B">
      <w:pPr>
        <w:spacing w:before="29" w:line="360" w:lineRule="auto"/>
        <w:ind w:left="417"/>
        <w:rPr>
          <w:rFonts w:ascii="宋体" w:hAnsi="宋体" w:eastAsia="宋体" w:cs="宋体"/>
          <w:color w:val="auto"/>
          <w:sz w:val="24"/>
          <w:szCs w:val="24"/>
        </w:rPr>
      </w:pPr>
      <w:r>
        <w:rPr>
          <w:rFonts w:hint="eastAsia" w:ascii="宋体" w:hAnsi="宋体" w:eastAsia="宋体" w:cs="宋体"/>
          <w:color w:val="auto"/>
          <w:spacing w:val="-5"/>
          <w:sz w:val="24"/>
          <w:szCs w:val="24"/>
        </w:rPr>
        <w:t>特此证明。</w:t>
      </w:r>
    </w:p>
    <w:p w14:paraId="29C43677">
      <w:pPr>
        <w:pStyle w:val="6"/>
        <w:spacing w:line="360" w:lineRule="auto"/>
        <w:rPr>
          <w:color w:val="auto"/>
          <w:sz w:val="24"/>
          <w:szCs w:val="24"/>
        </w:rPr>
      </w:pPr>
    </w:p>
    <w:p w14:paraId="41E73460">
      <w:pPr>
        <w:pStyle w:val="6"/>
        <w:spacing w:line="360" w:lineRule="auto"/>
        <w:rPr>
          <w:color w:val="auto"/>
          <w:sz w:val="24"/>
          <w:szCs w:val="24"/>
        </w:rPr>
      </w:pPr>
    </w:p>
    <w:p w14:paraId="6FAD132C">
      <w:pPr>
        <w:spacing w:before="69" w:line="360" w:lineRule="auto"/>
        <w:ind w:left="420"/>
        <w:rPr>
          <w:rFonts w:ascii="宋体" w:hAnsi="宋体" w:eastAsia="宋体" w:cs="宋体"/>
          <w:color w:val="auto"/>
          <w:sz w:val="24"/>
          <w:szCs w:val="24"/>
        </w:rPr>
      </w:pPr>
      <w:r>
        <w:rPr>
          <w:rFonts w:hint="eastAsia" w:ascii="宋体" w:hAnsi="宋体" w:eastAsia="宋体" w:cs="宋体"/>
          <w:color w:val="auto"/>
          <w:spacing w:val="-1"/>
          <w:sz w:val="24"/>
          <w:szCs w:val="24"/>
        </w:rPr>
        <w:t>省级以上监狱管理局、戒毒管理局（含新疆生产建设兵团）(盖章）:</w:t>
      </w:r>
    </w:p>
    <w:p w14:paraId="091DAC44">
      <w:pPr>
        <w:pStyle w:val="6"/>
        <w:spacing w:line="360" w:lineRule="auto"/>
        <w:rPr>
          <w:color w:val="auto"/>
          <w:sz w:val="24"/>
          <w:szCs w:val="24"/>
        </w:rPr>
      </w:pPr>
    </w:p>
    <w:p w14:paraId="413FBB24">
      <w:pPr>
        <w:pStyle w:val="6"/>
        <w:spacing w:line="360" w:lineRule="auto"/>
        <w:rPr>
          <w:color w:val="auto"/>
          <w:sz w:val="24"/>
          <w:szCs w:val="24"/>
        </w:rPr>
      </w:pPr>
    </w:p>
    <w:p w14:paraId="32D03B98">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注：监狱企业参加政府采购活动时，应当提供由省级以上</w:t>
      </w:r>
      <w:r>
        <w:rPr>
          <w:rFonts w:hint="eastAsia" w:ascii="宋体" w:hAnsi="宋体" w:eastAsia="宋体" w:cs="宋体"/>
          <w:color w:val="auto"/>
          <w:spacing w:val="-2"/>
          <w:sz w:val="24"/>
          <w:szCs w:val="24"/>
        </w:rPr>
        <w:t>监狱管理局、戒毒管理局（含新疆生产</w:t>
      </w:r>
      <w:r>
        <w:rPr>
          <w:rFonts w:hint="eastAsia" w:ascii="宋体" w:hAnsi="宋体" w:eastAsia="宋体" w:cs="宋体"/>
          <w:color w:val="auto"/>
          <w:spacing w:val="-1"/>
          <w:sz w:val="24"/>
          <w:szCs w:val="24"/>
        </w:rPr>
        <w:t>建设兵团）出具的属于监狱企业的证明文件</w:t>
      </w:r>
      <w:r>
        <w:rPr>
          <w:rFonts w:hint="eastAsia" w:ascii="宋体" w:hAnsi="宋体" w:eastAsia="宋体" w:cs="宋体"/>
          <w:color w:val="auto"/>
          <w:spacing w:val="-1"/>
          <w:sz w:val="24"/>
          <w:szCs w:val="24"/>
          <w:lang w:eastAsia="zh-CN"/>
        </w:rPr>
        <w:t>。</w:t>
      </w:r>
    </w:p>
    <w:p w14:paraId="5C04C5C8">
      <w:pPr>
        <w:spacing w:before="69" w:line="360" w:lineRule="auto"/>
        <w:ind w:right="38" w:firstLine="417"/>
        <w:rPr>
          <w:rFonts w:hint="eastAsia" w:ascii="宋体" w:hAnsi="宋体" w:eastAsia="宋体" w:cs="宋体"/>
          <w:color w:val="auto"/>
          <w:spacing w:val="-1"/>
          <w:sz w:val="24"/>
          <w:szCs w:val="24"/>
          <w:lang w:eastAsia="zh-CN"/>
        </w:rPr>
      </w:pPr>
    </w:p>
    <w:p w14:paraId="5F1EDE5E">
      <w:pPr>
        <w:spacing w:before="69" w:line="398" w:lineRule="auto"/>
        <w:ind w:right="38" w:firstLine="417"/>
        <w:rPr>
          <w:rFonts w:hint="eastAsia" w:ascii="宋体" w:hAnsi="宋体" w:eastAsia="宋体" w:cs="宋体"/>
          <w:color w:val="auto"/>
          <w:spacing w:val="-1"/>
          <w:sz w:val="26"/>
          <w:szCs w:val="26"/>
          <w:lang w:eastAsia="zh-CN"/>
        </w:rPr>
      </w:pPr>
    </w:p>
    <w:p w14:paraId="08D680A0">
      <w:pPr>
        <w:spacing w:before="69" w:line="398" w:lineRule="auto"/>
        <w:ind w:right="38" w:firstLine="417"/>
        <w:rPr>
          <w:rFonts w:hint="eastAsia" w:ascii="宋体" w:hAnsi="宋体" w:eastAsia="宋体" w:cs="宋体"/>
          <w:color w:val="auto"/>
          <w:spacing w:val="-1"/>
          <w:sz w:val="26"/>
          <w:szCs w:val="26"/>
          <w:lang w:eastAsia="zh-CN"/>
        </w:rPr>
      </w:pPr>
    </w:p>
    <w:p w14:paraId="1638172D">
      <w:pPr>
        <w:spacing w:before="69" w:line="398" w:lineRule="auto"/>
        <w:ind w:right="38" w:firstLine="417"/>
        <w:rPr>
          <w:rFonts w:hint="eastAsia" w:ascii="宋体" w:hAnsi="宋体" w:eastAsia="宋体" w:cs="宋体"/>
          <w:color w:val="auto"/>
          <w:spacing w:val="-1"/>
          <w:sz w:val="26"/>
          <w:szCs w:val="26"/>
          <w:lang w:eastAsia="zh-CN"/>
        </w:rPr>
      </w:pPr>
    </w:p>
    <w:p w14:paraId="751E4240">
      <w:pPr>
        <w:spacing w:before="69" w:line="398" w:lineRule="auto"/>
        <w:ind w:right="38" w:firstLine="417"/>
        <w:rPr>
          <w:rFonts w:hint="eastAsia" w:ascii="宋体" w:hAnsi="宋体" w:eastAsia="宋体" w:cs="宋体"/>
          <w:color w:val="auto"/>
          <w:spacing w:val="-1"/>
          <w:sz w:val="26"/>
          <w:szCs w:val="26"/>
          <w:lang w:eastAsia="zh-CN"/>
        </w:rPr>
      </w:pPr>
    </w:p>
    <w:p w14:paraId="258D87AB">
      <w:pPr>
        <w:spacing w:before="69" w:line="398" w:lineRule="auto"/>
        <w:ind w:right="38" w:firstLine="417"/>
        <w:rPr>
          <w:rFonts w:hint="eastAsia" w:ascii="宋体" w:hAnsi="宋体" w:eastAsia="宋体" w:cs="宋体"/>
          <w:color w:val="auto"/>
          <w:spacing w:val="-1"/>
          <w:sz w:val="26"/>
          <w:szCs w:val="26"/>
          <w:lang w:eastAsia="zh-CN"/>
        </w:rPr>
      </w:pPr>
    </w:p>
    <w:p w14:paraId="36DC78D0">
      <w:pPr>
        <w:spacing w:before="69" w:line="398" w:lineRule="auto"/>
        <w:ind w:right="38" w:firstLine="417"/>
        <w:rPr>
          <w:rFonts w:hint="eastAsia" w:ascii="宋体" w:hAnsi="宋体" w:eastAsia="宋体" w:cs="宋体"/>
          <w:color w:val="auto"/>
          <w:spacing w:val="-1"/>
          <w:sz w:val="26"/>
          <w:szCs w:val="26"/>
          <w:lang w:eastAsia="zh-CN"/>
        </w:rPr>
      </w:pPr>
    </w:p>
    <w:p w14:paraId="758ED1A0">
      <w:pPr>
        <w:spacing w:before="69" w:line="398" w:lineRule="auto"/>
        <w:ind w:right="38" w:firstLine="417"/>
        <w:rPr>
          <w:rFonts w:hint="eastAsia" w:ascii="宋体" w:hAnsi="宋体" w:eastAsia="宋体" w:cs="宋体"/>
          <w:color w:val="auto"/>
          <w:spacing w:val="-1"/>
          <w:sz w:val="26"/>
          <w:szCs w:val="26"/>
          <w:lang w:eastAsia="zh-CN"/>
        </w:rPr>
      </w:pPr>
    </w:p>
    <w:p w14:paraId="701DE5FB">
      <w:pPr>
        <w:spacing w:before="69" w:line="398" w:lineRule="auto"/>
        <w:ind w:right="38" w:firstLine="417"/>
        <w:rPr>
          <w:rFonts w:hint="eastAsia" w:ascii="宋体" w:hAnsi="宋体" w:eastAsia="宋体" w:cs="宋体"/>
          <w:color w:val="auto"/>
          <w:spacing w:val="-1"/>
          <w:sz w:val="26"/>
          <w:szCs w:val="26"/>
          <w:lang w:eastAsia="zh-CN"/>
        </w:rPr>
      </w:pPr>
    </w:p>
    <w:p w14:paraId="65F330FF">
      <w:pPr>
        <w:spacing w:before="69" w:line="398" w:lineRule="auto"/>
        <w:ind w:right="38" w:firstLine="417"/>
        <w:rPr>
          <w:rFonts w:hint="eastAsia" w:ascii="宋体" w:hAnsi="宋体" w:eastAsia="宋体" w:cs="宋体"/>
          <w:color w:val="auto"/>
          <w:spacing w:val="-1"/>
          <w:sz w:val="26"/>
          <w:szCs w:val="26"/>
          <w:lang w:eastAsia="zh-CN"/>
        </w:rPr>
      </w:pPr>
    </w:p>
    <w:p w14:paraId="18FD32BA">
      <w:pPr>
        <w:spacing w:before="69" w:line="398" w:lineRule="auto"/>
        <w:ind w:right="38" w:firstLine="417"/>
        <w:rPr>
          <w:rFonts w:hint="eastAsia" w:ascii="宋体" w:hAnsi="宋体" w:eastAsia="宋体" w:cs="宋体"/>
          <w:color w:val="auto"/>
          <w:spacing w:val="-1"/>
          <w:sz w:val="26"/>
          <w:szCs w:val="26"/>
          <w:lang w:eastAsia="zh-CN"/>
        </w:rPr>
      </w:pPr>
    </w:p>
    <w:p w14:paraId="2613256F">
      <w:pPr>
        <w:spacing w:before="69" w:line="398" w:lineRule="auto"/>
        <w:ind w:right="38" w:firstLine="417"/>
        <w:rPr>
          <w:rFonts w:hint="eastAsia" w:ascii="宋体" w:hAnsi="宋体" w:eastAsia="宋体" w:cs="宋体"/>
          <w:color w:val="auto"/>
          <w:spacing w:val="-1"/>
          <w:sz w:val="26"/>
          <w:szCs w:val="26"/>
          <w:lang w:eastAsia="zh-CN"/>
        </w:rPr>
      </w:pPr>
    </w:p>
    <w:p w14:paraId="007356FD">
      <w:pPr>
        <w:spacing w:before="69" w:line="398" w:lineRule="auto"/>
        <w:ind w:right="38" w:firstLine="417"/>
        <w:rPr>
          <w:rFonts w:hint="eastAsia" w:ascii="宋体" w:hAnsi="宋体" w:eastAsia="宋体" w:cs="宋体"/>
          <w:color w:val="auto"/>
          <w:spacing w:val="-1"/>
          <w:sz w:val="26"/>
          <w:szCs w:val="26"/>
          <w:lang w:eastAsia="zh-CN"/>
        </w:rPr>
      </w:pPr>
    </w:p>
    <w:p w14:paraId="789751AA">
      <w:pPr>
        <w:spacing w:before="101" w:line="221" w:lineRule="auto"/>
        <w:jc w:val="center"/>
        <w:outlineLvl w:val="1"/>
        <w:rPr>
          <w:rFonts w:hint="eastAsia" w:ascii="宋体" w:hAnsi="宋体" w:eastAsia="宋体" w:cs="宋体"/>
          <w:b/>
          <w:bCs/>
          <w:color w:val="auto"/>
          <w:spacing w:val="-4"/>
          <w:sz w:val="26"/>
          <w:szCs w:val="26"/>
        </w:rPr>
      </w:pPr>
      <w:bookmarkStart w:id="444" w:name="_Toc14023"/>
      <w:r>
        <w:rPr>
          <w:rFonts w:hint="eastAsia" w:ascii="宋体" w:hAnsi="宋体" w:eastAsia="宋体" w:cs="宋体"/>
          <w:b/>
          <w:bCs/>
          <w:color w:val="auto"/>
          <w:spacing w:val="-4"/>
          <w:sz w:val="26"/>
          <w:szCs w:val="26"/>
        </w:rPr>
        <w:t>政</w:t>
      </w:r>
      <w:r>
        <w:rPr>
          <w:rFonts w:hint="eastAsia" w:ascii="宋体" w:hAnsi="宋体" w:eastAsia="宋体" w:cs="宋体"/>
          <w:b/>
          <w:bCs/>
          <w:color w:val="auto"/>
          <w:spacing w:val="-4"/>
          <w:sz w:val="26"/>
          <w:szCs w:val="26"/>
          <w:lang w:val="en-US" w:eastAsia="en-US"/>
        </w:rPr>
        <w:t>府采购投标人信用承诺函</w:t>
      </w:r>
      <w:bookmarkEnd w:id="444"/>
    </w:p>
    <w:p w14:paraId="34BAD72B">
      <w:pPr>
        <w:spacing w:before="69" w:line="398" w:lineRule="auto"/>
        <w:ind w:right="38" w:firstLine="417"/>
        <w:rPr>
          <w:rFonts w:hint="eastAsia" w:ascii="宋体" w:hAnsi="宋体" w:eastAsia="宋体" w:cs="宋体"/>
          <w:color w:val="auto"/>
          <w:spacing w:val="-1"/>
          <w:sz w:val="26"/>
          <w:szCs w:val="26"/>
          <w:lang w:eastAsia="zh-CN"/>
        </w:rPr>
      </w:pPr>
    </w:p>
    <w:p w14:paraId="57B362EA">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致</w:t>
      </w:r>
      <w:r>
        <w:rPr>
          <w:rFonts w:hint="eastAsia" w:ascii="宋体" w:hAnsi="宋体" w:eastAsia="宋体" w:cs="宋体"/>
          <w:color w:val="auto"/>
          <w:spacing w:val="-1"/>
          <w:sz w:val="24"/>
          <w:szCs w:val="24"/>
          <w:u w:val="single"/>
          <w:lang w:eastAsia="zh-CN"/>
        </w:rPr>
        <w:t xml:space="preserve">   （采购人或采购代理机构）</w:t>
      </w:r>
      <w:r>
        <w:rPr>
          <w:rFonts w:hint="eastAsia" w:ascii="宋体" w:hAnsi="宋体" w:eastAsia="宋体" w:cs="宋体"/>
          <w:color w:val="auto"/>
          <w:spacing w:val="-1"/>
          <w:sz w:val="24"/>
          <w:szCs w:val="24"/>
          <w:lang w:eastAsia="zh-CN"/>
        </w:rPr>
        <w:t xml:space="preserve"> ：</w:t>
      </w:r>
    </w:p>
    <w:p w14:paraId="52DFB1E6">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单位名称：</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 xml:space="preserve">                 </w:t>
      </w:r>
    </w:p>
    <w:p w14:paraId="00A396B8">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统一社会信用代码：</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 xml:space="preserve">                                </w:t>
      </w:r>
    </w:p>
    <w:p w14:paraId="66F196A2">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法定代表人：</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 xml:space="preserve">                                       </w:t>
      </w:r>
    </w:p>
    <w:p w14:paraId="0337E73A">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联系地址和电话：</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lang w:eastAsia="zh-CN"/>
        </w:rPr>
        <w:t xml:space="preserve">                                  </w:t>
      </w:r>
    </w:p>
    <w:p w14:paraId="795C97A7">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4FAB879F">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（1）具有良好的商业信誉的证明材料；</w:t>
      </w:r>
    </w:p>
    <w:p w14:paraId="724C8C3F">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（2）符合国家相关规定的财务状况报告；</w:t>
      </w:r>
    </w:p>
    <w:p w14:paraId="7B0688E8">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（3）具备履行政府采购合同所必需的设备和专业技术能力的证明材料；</w:t>
      </w:r>
    </w:p>
    <w:p w14:paraId="56FF70CC">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（4）依法缴纳税收和社会保障资金的证明材料；</w:t>
      </w:r>
    </w:p>
    <w:p w14:paraId="60979F39">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（5）参加政府采购活动前三年内在经营活动中没有重大违法记录的证明材料；</w:t>
      </w:r>
    </w:p>
    <w:p w14:paraId="727AAFCA">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（6）未被列入失信被执行人、重大税收违法失信主体、政府采购严重违法失信行为记录名单；</w:t>
      </w:r>
    </w:p>
    <w:p w14:paraId="6F2D41F3">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我单位保证上述承诺事项的真实性，如有弄虚作假或其他违法违规行为，愿意承担一切法律责任，并承担因此所造成的一切损失。</w:t>
      </w:r>
    </w:p>
    <w:p w14:paraId="32A1C4EA">
      <w:pPr>
        <w:spacing w:before="69" w:line="360" w:lineRule="auto"/>
        <w:ind w:right="38" w:firstLine="417"/>
        <w:rPr>
          <w:rFonts w:hint="eastAsia" w:ascii="宋体" w:hAnsi="宋体" w:eastAsia="宋体" w:cs="宋体"/>
          <w:color w:val="auto"/>
          <w:spacing w:val="-1"/>
          <w:sz w:val="24"/>
          <w:szCs w:val="24"/>
          <w:lang w:eastAsia="zh-CN"/>
        </w:rPr>
      </w:pPr>
    </w:p>
    <w:p w14:paraId="7857C994">
      <w:pPr>
        <w:spacing w:before="69" w:line="360" w:lineRule="auto"/>
        <w:ind w:right="38" w:firstLine="4510" w:firstLineChars="189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投标人（企业电子章）：</w:t>
      </w:r>
    </w:p>
    <w:p w14:paraId="70ADDD3F">
      <w:pPr>
        <w:spacing w:before="69" w:line="360" w:lineRule="auto"/>
        <w:ind w:right="38" w:firstLine="4510" w:firstLineChars="189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法定代表人或授权代表(签字或电子印章)：</w:t>
      </w:r>
    </w:p>
    <w:p w14:paraId="0D6A55FD">
      <w:pPr>
        <w:spacing w:before="69" w:line="360" w:lineRule="auto"/>
        <w:ind w:right="38" w:firstLine="4522" w:firstLineChars="19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日期：        年        月        日</w:t>
      </w:r>
    </w:p>
    <w:p w14:paraId="1413F3F1">
      <w:pPr>
        <w:spacing w:before="69" w:line="360" w:lineRule="auto"/>
        <w:ind w:right="38" w:firstLine="41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注： 1.供应商须在响应文件中按此模板提供承诺函，未提供视为未实质性响应招标文件要求，按无效投标处理。</w:t>
      </w:r>
    </w:p>
    <w:p w14:paraId="432BA317">
      <w:pPr>
        <w:spacing w:before="69" w:line="360" w:lineRule="auto"/>
        <w:ind w:right="38" w:firstLine="417"/>
        <w:rPr>
          <w:rFonts w:asciiTheme="minorEastAsia" w:hAnsiTheme="minorEastAsia" w:eastAsiaTheme="minorEastAsia" w:cstheme="minorEastAsia"/>
          <w:b/>
          <w:bCs/>
          <w:spacing w:val="-4"/>
          <w:sz w:val="36"/>
          <w:szCs w:val="36"/>
          <w:lang w:eastAsia="zh-CN"/>
        </w:rPr>
      </w:pPr>
      <w:r>
        <w:rPr>
          <w:rFonts w:hint="eastAsia" w:ascii="宋体" w:hAnsi="宋体" w:eastAsia="宋体" w:cs="宋体"/>
          <w:color w:val="auto"/>
          <w:spacing w:val="-1"/>
          <w:sz w:val="24"/>
          <w:szCs w:val="24"/>
          <w:lang w:eastAsia="zh-CN"/>
        </w:rPr>
        <w:t>2. 供应商的法定代表人或者授权代表的签字或盖章应真实、有效，如由授权代表签字或盖章的，应提供“法定代表人授权书 ”。</w:t>
      </w:r>
    </w:p>
    <w:p w14:paraId="38E698B7">
      <w:pPr>
        <w:pStyle w:val="6"/>
        <w:spacing w:before="117" w:line="220" w:lineRule="auto"/>
        <w:ind w:left="3235"/>
        <w:outlineLvl w:val="0"/>
        <w:rPr>
          <w:rFonts w:hint="eastAsia" w:asciiTheme="minorEastAsia" w:hAnsiTheme="minorEastAsia" w:eastAsiaTheme="minorEastAsia" w:cstheme="minorEastAsia"/>
          <w:b/>
          <w:bCs/>
          <w:spacing w:val="-5"/>
          <w:sz w:val="36"/>
          <w:szCs w:val="36"/>
          <w:lang w:eastAsia="zh-CN"/>
        </w:rPr>
      </w:pPr>
      <w:bookmarkStart w:id="445" w:name="_Toc27265"/>
      <w:r>
        <w:rPr>
          <w:rFonts w:hint="eastAsia" w:asciiTheme="minorEastAsia" w:hAnsiTheme="minorEastAsia" w:eastAsiaTheme="minorEastAsia" w:cstheme="minorEastAsia"/>
          <w:b/>
          <w:bCs/>
          <w:spacing w:val="-5"/>
          <w:sz w:val="36"/>
          <w:szCs w:val="36"/>
          <w:lang w:eastAsia="zh-CN"/>
        </w:rPr>
        <w:t>第六部分 评分标准和方法</w:t>
      </w:r>
      <w:bookmarkEnd w:id="445"/>
    </w:p>
    <w:p w14:paraId="5465E4C1">
      <w:pPr>
        <w:pStyle w:val="6"/>
        <w:spacing w:before="97" w:line="214" w:lineRule="auto"/>
        <w:ind w:left="4046"/>
        <w:outlineLvl w:val="1"/>
        <w:rPr>
          <w:rFonts w:asciiTheme="minorEastAsia" w:hAnsiTheme="minorEastAsia" w:eastAsiaTheme="minorEastAsia" w:cstheme="minorEastAsia"/>
          <w:sz w:val="24"/>
          <w:szCs w:val="24"/>
        </w:rPr>
      </w:pPr>
      <w:bookmarkStart w:id="446" w:name="_Toc28144"/>
      <w:r>
        <w:rPr>
          <w:rFonts w:hint="eastAsia" w:asciiTheme="minorEastAsia" w:hAnsiTheme="minorEastAsia" w:eastAsiaTheme="minorEastAsia" w:cstheme="minorEastAsia"/>
          <w:b/>
          <w:bCs/>
          <w:spacing w:val="-3"/>
          <w:sz w:val="24"/>
          <w:szCs w:val="24"/>
        </w:rPr>
        <w:t>评标办法前附表</w:t>
      </w:r>
      <w:bookmarkEnd w:id="446"/>
    </w:p>
    <w:tbl>
      <w:tblPr>
        <w:tblStyle w:val="26"/>
        <w:tblW w:w="9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955"/>
        <w:gridCol w:w="492"/>
        <w:gridCol w:w="810"/>
        <w:gridCol w:w="1249"/>
        <w:gridCol w:w="4802"/>
      </w:tblGrid>
      <w:tr w14:paraId="05F7C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2162" w:type="dxa"/>
            <w:gridSpan w:val="3"/>
            <w:vAlign w:val="center"/>
          </w:tcPr>
          <w:p w14:paraId="4AAE863B">
            <w:pPr>
              <w:pStyle w:val="27"/>
              <w:spacing w:before="78"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条款号</w:t>
            </w:r>
          </w:p>
        </w:tc>
        <w:tc>
          <w:tcPr>
            <w:tcW w:w="2059" w:type="dxa"/>
            <w:gridSpan w:val="2"/>
            <w:vAlign w:val="center"/>
          </w:tcPr>
          <w:p w14:paraId="5A8D7299">
            <w:pPr>
              <w:pStyle w:val="27"/>
              <w:spacing w:before="78"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评审因素</w:t>
            </w:r>
          </w:p>
        </w:tc>
        <w:tc>
          <w:tcPr>
            <w:tcW w:w="4802" w:type="dxa"/>
            <w:vAlign w:val="center"/>
          </w:tcPr>
          <w:p w14:paraId="69D7C1EA">
            <w:pPr>
              <w:pStyle w:val="27"/>
              <w:spacing w:before="78"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评审标准</w:t>
            </w:r>
          </w:p>
        </w:tc>
      </w:tr>
      <w:tr w14:paraId="5EC4B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restart"/>
            <w:tcBorders>
              <w:bottom w:val="nil"/>
            </w:tcBorders>
          </w:tcPr>
          <w:p w14:paraId="2149C9AA">
            <w:pPr>
              <w:spacing w:line="245" w:lineRule="auto"/>
              <w:rPr>
                <w:rFonts w:asciiTheme="minorEastAsia" w:hAnsiTheme="minorEastAsia" w:eastAsiaTheme="minorEastAsia" w:cstheme="minorEastAsia"/>
                <w:sz w:val="20"/>
                <w:szCs w:val="20"/>
              </w:rPr>
            </w:pPr>
          </w:p>
          <w:p w14:paraId="670E49F6">
            <w:pPr>
              <w:spacing w:line="246" w:lineRule="auto"/>
              <w:rPr>
                <w:rFonts w:asciiTheme="minorEastAsia" w:hAnsiTheme="minorEastAsia" w:eastAsiaTheme="minorEastAsia" w:cstheme="minorEastAsia"/>
                <w:sz w:val="20"/>
                <w:szCs w:val="20"/>
              </w:rPr>
            </w:pPr>
          </w:p>
          <w:p w14:paraId="356FBDA8">
            <w:pPr>
              <w:spacing w:line="246" w:lineRule="auto"/>
              <w:rPr>
                <w:rFonts w:asciiTheme="minorEastAsia" w:hAnsiTheme="minorEastAsia" w:eastAsiaTheme="minorEastAsia" w:cstheme="minorEastAsia"/>
                <w:sz w:val="20"/>
                <w:szCs w:val="20"/>
              </w:rPr>
            </w:pPr>
          </w:p>
          <w:p w14:paraId="532125DF">
            <w:pPr>
              <w:pStyle w:val="27"/>
              <w:spacing w:before="71" w:line="182" w:lineRule="auto"/>
              <w:ind w:left="166"/>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1.1.1</w:t>
            </w:r>
          </w:p>
        </w:tc>
        <w:tc>
          <w:tcPr>
            <w:tcW w:w="1447" w:type="dxa"/>
            <w:gridSpan w:val="2"/>
            <w:vMerge w:val="restart"/>
            <w:tcBorders>
              <w:bottom w:val="nil"/>
            </w:tcBorders>
            <w:vAlign w:val="center"/>
          </w:tcPr>
          <w:p w14:paraId="27C630EB">
            <w:pPr>
              <w:pStyle w:val="27"/>
              <w:spacing w:before="71" w:line="380" w:lineRule="auto"/>
              <w:ind w:right="198"/>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形式评审标</w:t>
            </w:r>
            <w:r>
              <w:rPr>
                <w:rFonts w:hint="eastAsia" w:asciiTheme="minorEastAsia" w:hAnsiTheme="minorEastAsia" w:eastAsiaTheme="minorEastAsia" w:cstheme="minorEastAsia"/>
                <w:sz w:val="20"/>
                <w:szCs w:val="20"/>
              </w:rPr>
              <w:t>准</w:t>
            </w:r>
          </w:p>
        </w:tc>
        <w:tc>
          <w:tcPr>
            <w:tcW w:w="2059" w:type="dxa"/>
            <w:gridSpan w:val="2"/>
            <w:vAlign w:val="center"/>
          </w:tcPr>
          <w:p w14:paraId="28BD659F">
            <w:pPr>
              <w:pStyle w:val="27"/>
              <w:spacing w:before="72" w:line="221"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投标人名称</w:t>
            </w:r>
          </w:p>
        </w:tc>
        <w:tc>
          <w:tcPr>
            <w:tcW w:w="4802" w:type="dxa"/>
            <w:vAlign w:val="center"/>
          </w:tcPr>
          <w:p w14:paraId="2DEF587D">
            <w:pPr>
              <w:pStyle w:val="27"/>
              <w:spacing w:before="71" w:line="219"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与营业执照、资格要求相关证书一致</w:t>
            </w:r>
          </w:p>
        </w:tc>
      </w:tr>
      <w:tr w14:paraId="2C518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nil"/>
              <w:bottom w:val="nil"/>
            </w:tcBorders>
          </w:tcPr>
          <w:p w14:paraId="1AF8A7F9">
            <w:pPr>
              <w:rPr>
                <w:rFonts w:asciiTheme="minorEastAsia" w:hAnsiTheme="minorEastAsia" w:eastAsiaTheme="minorEastAsia" w:cstheme="minorEastAsia"/>
                <w:sz w:val="20"/>
                <w:szCs w:val="20"/>
                <w:lang w:eastAsia="zh-CN"/>
              </w:rPr>
            </w:pPr>
          </w:p>
        </w:tc>
        <w:tc>
          <w:tcPr>
            <w:tcW w:w="1447" w:type="dxa"/>
            <w:gridSpan w:val="2"/>
            <w:vMerge w:val="continue"/>
            <w:tcBorders>
              <w:top w:val="nil"/>
              <w:bottom w:val="nil"/>
            </w:tcBorders>
            <w:vAlign w:val="center"/>
          </w:tcPr>
          <w:p w14:paraId="591F01A6">
            <w:pPr>
              <w:jc w:val="center"/>
              <w:rPr>
                <w:rFonts w:asciiTheme="minorEastAsia" w:hAnsiTheme="minorEastAsia" w:eastAsiaTheme="minorEastAsia" w:cstheme="minorEastAsia"/>
                <w:sz w:val="20"/>
                <w:szCs w:val="20"/>
                <w:lang w:eastAsia="zh-CN"/>
              </w:rPr>
            </w:pPr>
          </w:p>
        </w:tc>
        <w:tc>
          <w:tcPr>
            <w:tcW w:w="2059" w:type="dxa"/>
            <w:gridSpan w:val="2"/>
            <w:vAlign w:val="center"/>
          </w:tcPr>
          <w:p w14:paraId="6EADF19D">
            <w:pPr>
              <w:pStyle w:val="27"/>
              <w:spacing w:before="71" w:line="219"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投标函签字盖章</w:t>
            </w:r>
          </w:p>
        </w:tc>
        <w:tc>
          <w:tcPr>
            <w:tcW w:w="4802" w:type="dxa"/>
            <w:vAlign w:val="center"/>
          </w:tcPr>
          <w:p w14:paraId="300D6C8D">
            <w:pPr>
              <w:pStyle w:val="27"/>
              <w:spacing w:before="72"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按招标文件格式要求</w:t>
            </w:r>
          </w:p>
        </w:tc>
      </w:tr>
      <w:tr w14:paraId="3A5CE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nil"/>
            </w:tcBorders>
          </w:tcPr>
          <w:p w14:paraId="43879E73">
            <w:pPr>
              <w:rPr>
                <w:rFonts w:asciiTheme="minorEastAsia" w:hAnsiTheme="minorEastAsia" w:eastAsiaTheme="minorEastAsia" w:cstheme="minorEastAsia"/>
                <w:sz w:val="20"/>
                <w:szCs w:val="20"/>
              </w:rPr>
            </w:pPr>
          </w:p>
        </w:tc>
        <w:tc>
          <w:tcPr>
            <w:tcW w:w="1447" w:type="dxa"/>
            <w:gridSpan w:val="2"/>
            <w:vMerge w:val="continue"/>
            <w:tcBorders>
              <w:top w:val="nil"/>
            </w:tcBorders>
            <w:vAlign w:val="center"/>
          </w:tcPr>
          <w:p w14:paraId="29E06E6C">
            <w:pPr>
              <w:jc w:val="center"/>
              <w:rPr>
                <w:rFonts w:asciiTheme="minorEastAsia" w:hAnsiTheme="minorEastAsia" w:eastAsiaTheme="minorEastAsia" w:cstheme="minorEastAsia"/>
                <w:sz w:val="20"/>
                <w:szCs w:val="20"/>
              </w:rPr>
            </w:pPr>
          </w:p>
        </w:tc>
        <w:tc>
          <w:tcPr>
            <w:tcW w:w="2059" w:type="dxa"/>
            <w:gridSpan w:val="2"/>
            <w:vAlign w:val="center"/>
          </w:tcPr>
          <w:p w14:paraId="2A657ABF">
            <w:pPr>
              <w:pStyle w:val="27"/>
              <w:spacing w:before="72" w:line="220"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投标文件格式</w:t>
            </w:r>
          </w:p>
        </w:tc>
        <w:tc>
          <w:tcPr>
            <w:tcW w:w="4802" w:type="dxa"/>
            <w:vAlign w:val="center"/>
          </w:tcPr>
          <w:p w14:paraId="6BC5AD38">
            <w:pPr>
              <w:pStyle w:val="27"/>
              <w:spacing w:before="72" w:line="220"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与第五部分“投标文件格式”一致</w:t>
            </w:r>
          </w:p>
        </w:tc>
      </w:tr>
      <w:tr w14:paraId="5BD28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15" w:type="dxa"/>
            <w:tcBorders>
              <w:bottom w:val="single" w:color="auto" w:sz="4" w:space="0"/>
            </w:tcBorders>
          </w:tcPr>
          <w:p w14:paraId="51BDAE2B">
            <w:pPr>
              <w:spacing w:line="262" w:lineRule="auto"/>
              <w:rPr>
                <w:rFonts w:asciiTheme="minorEastAsia" w:hAnsiTheme="minorEastAsia" w:eastAsiaTheme="minorEastAsia" w:cstheme="minorEastAsia"/>
                <w:sz w:val="20"/>
                <w:szCs w:val="20"/>
                <w:lang w:eastAsia="zh-CN"/>
              </w:rPr>
            </w:pPr>
          </w:p>
          <w:p w14:paraId="68EB0FD4">
            <w:pPr>
              <w:spacing w:line="262" w:lineRule="auto"/>
              <w:rPr>
                <w:rFonts w:asciiTheme="minorEastAsia" w:hAnsiTheme="minorEastAsia" w:eastAsiaTheme="minorEastAsia" w:cstheme="minorEastAsia"/>
                <w:sz w:val="20"/>
                <w:szCs w:val="20"/>
                <w:lang w:eastAsia="zh-CN"/>
              </w:rPr>
            </w:pPr>
          </w:p>
          <w:p w14:paraId="5432F8EE">
            <w:pPr>
              <w:pStyle w:val="27"/>
              <w:spacing w:before="72" w:line="182" w:lineRule="auto"/>
              <w:ind w:left="132"/>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1.1.2</w:t>
            </w:r>
          </w:p>
        </w:tc>
        <w:tc>
          <w:tcPr>
            <w:tcW w:w="1447" w:type="dxa"/>
            <w:gridSpan w:val="2"/>
            <w:tcBorders>
              <w:bottom w:val="single" w:color="auto" w:sz="4" w:space="0"/>
            </w:tcBorders>
          </w:tcPr>
          <w:p w14:paraId="29695984">
            <w:pPr>
              <w:spacing w:line="250" w:lineRule="auto"/>
              <w:rPr>
                <w:rFonts w:asciiTheme="minorEastAsia" w:hAnsiTheme="minorEastAsia" w:eastAsiaTheme="minorEastAsia" w:cstheme="minorEastAsia"/>
                <w:sz w:val="20"/>
                <w:szCs w:val="20"/>
              </w:rPr>
            </w:pPr>
          </w:p>
          <w:p w14:paraId="115AAB18">
            <w:pPr>
              <w:pStyle w:val="27"/>
              <w:spacing w:before="71" w:line="220" w:lineRule="auto"/>
              <w:jc w:val="both"/>
              <w:rPr>
                <w:rFonts w:asciiTheme="minorEastAsia" w:hAnsiTheme="minorEastAsia" w:eastAsiaTheme="minorEastAsia" w:cstheme="minorEastAsia"/>
                <w:spacing w:val="-3"/>
                <w:sz w:val="20"/>
                <w:szCs w:val="20"/>
              </w:rPr>
            </w:pPr>
          </w:p>
          <w:p w14:paraId="62EEEED4">
            <w:pPr>
              <w:pStyle w:val="27"/>
              <w:spacing w:before="71" w:line="220" w:lineRule="auto"/>
              <w:ind w:left="121"/>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资格评审</w:t>
            </w:r>
          </w:p>
        </w:tc>
        <w:tc>
          <w:tcPr>
            <w:tcW w:w="6861" w:type="dxa"/>
            <w:gridSpan w:val="3"/>
            <w:tcBorders>
              <w:bottom w:val="single" w:color="auto" w:sz="4" w:space="0"/>
            </w:tcBorders>
          </w:tcPr>
          <w:p w14:paraId="58FA43B1">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1</w:t>
            </w:r>
            <w:r>
              <w:rPr>
                <w:rFonts w:hint="eastAsia" w:asciiTheme="minorEastAsia" w:hAnsiTheme="minorEastAsia" w:eastAsiaTheme="minorEastAsia" w:cstheme="minorEastAsia"/>
                <w:spacing w:val="-2"/>
                <w:sz w:val="20"/>
                <w:szCs w:val="20"/>
                <w:lang w:val="en-US" w:eastAsia="zh-CN"/>
              </w:rPr>
              <w:t>、</w:t>
            </w:r>
            <w:r>
              <w:rPr>
                <w:rFonts w:hint="eastAsia" w:asciiTheme="minorEastAsia" w:hAnsiTheme="minorEastAsia" w:eastAsiaTheme="minorEastAsia" w:cstheme="minorEastAsia"/>
                <w:spacing w:val="-2"/>
                <w:sz w:val="20"/>
                <w:szCs w:val="20"/>
                <w:lang w:eastAsia="zh-CN"/>
              </w:rPr>
              <w:t>供应商具有独立承担民事责任的能力（须提供有效的营业执照）；</w:t>
            </w:r>
          </w:p>
          <w:p w14:paraId="6DAE24CD">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val="en-US" w:eastAsia="zh-CN"/>
              </w:rPr>
              <w:t>2、</w:t>
            </w:r>
            <w:r>
              <w:rPr>
                <w:rFonts w:hint="eastAsia" w:asciiTheme="minorEastAsia" w:hAnsiTheme="minorEastAsia" w:eastAsiaTheme="minorEastAsia" w:cstheme="minorEastAsia"/>
                <w:spacing w:val="-2"/>
                <w:sz w:val="20"/>
                <w:szCs w:val="20"/>
                <w:lang w:eastAsia="zh-CN"/>
              </w:rPr>
              <w:t>供应商具有有效的《食品经营许可证》；</w:t>
            </w:r>
          </w:p>
          <w:p w14:paraId="324468F3">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val="en-US" w:eastAsia="zh-CN"/>
              </w:rPr>
              <w:t>3、</w:t>
            </w:r>
            <w:r>
              <w:rPr>
                <w:rFonts w:hint="eastAsia" w:asciiTheme="minorEastAsia" w:hAnsiTheme="minorEastAsia" w:eastAsiaTheme="minorEastAsia" w:cstheme="minorEastAsia"/>
                <w:spacing w:val="-2"/>
                <w:sz w:val="20"/>
                <w:szCs w:val="20"/>
                <w:lang w:eastAsia="zh-CN"/>
              </w:rPr>
              <w:t>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在本次招标活动中，供应商只需在资格审查满足相应条件的书面承诺书（格式详见招标文件格式中、政府采购信用承诺书），不再需要提供以下证明材料：</w:t>
            </w:r>
          </w:p>
          <w:p w14:paraId="132AB62A">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（1）具有良好的商业信誉的证明材料；</w:t>
            </w:r>
          </w:p>
          <w:p w14:paraId="0D364376">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（2）符合国家相关规定的财务状况报告；</w:t>
            </w:r>
          </w:p>
          <w:p w14:paraId="333E9F2F">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（3）具备履行政府采购合同所必需的设备和专业技术能力的证明材料；</w:t>
            </w:r>
          </w:p>
          <w:p w14:paraId="5DE8D03D">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（4）依法缴纳税收和社会保障资金的证明材料；</w:t>
            </w:r>
          </w:p>
          <w:p w14:paraId="5A69E0A7">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（5）参加政府采购活动前三年内在经营活动中没有重大违法记录的证明材料；</w:t>
            </w:r>
          </w:p>
          <w:p w14:paraId="7B4277E3">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（6）未被列入失信被执行人、重大税收违法失信主体、政府采购严重违法失信行为记录名单；</w:t>
            </w:r>
          </w:p>
          <w:p w14:paraId="716374AA">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val="en-US" w:eastAsia="zh-CN"/>
              </w:rPr>
              <w:t>4、</w:t>
            </w:r>
            <w:r>
              <w:rPr>
                <w:rFonts w:hint="eastAsia" w:asciiTheme="minorEastAsia" w:hAnsiTheme="minorEastAsia" w:eastAsiaTheme="minorEastAsia" w:cstheme="minorEastAsia"/>
                <w:spacing w:val="-2"/>
                <w:sz w:val="20"/>
                <w:szCs w:val="20"/>
                <w:lang w:eastAsia="zh-CN"/>
              </w:rPr>
              <w:t>本项目不接受联合体投标。</w:t>
            </w:r>
          </w:p>
          <w:p w14:paraId="559FD930">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val="en-US" w:eastAsia="zh-CN"/>
              </w:rPr>
              <w:t>5、</w:t>
            </w:r>
            <w:r>
              <w:rPr>
                <w:rFonts w:hint="eastAsia" w:asciiTheme="minorEastAsia" w:hAnsiTheme="minorEastAsia" w:eastAsiaTheme="minorEastAsia" w:cstheme="minorEastAsia"/>
                <w:spacing w:val="-2"/>
                <w:sz w:val="20"/>
                <w:szCs w:val="20"/>
                <w:lang w:eastAsia="zh-CN"/>
              </w:rPr>
              <w:t>同一供应商只可投一个标段。</w:t>
            </w:r>
          </w:p>
          <w:p w14:paraId="3801F99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113" w:right="108" w:firstLine="6"/>
              <w:jc w:val="both"/>
              <w:textAlignment w:val="baseline"/>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lang w:eastAsia="zh-CN"/>
              </w:rPr>
              <w:t>资格评审标准：资格评审按《中华人民共和国财政部令第87号政府采购货物和服务招标投标管理办法》。“第四十四条”公开招标采购项目</w:t>
            </w:r>
            <w:r>
              <w:rPr>
                <w:rFonts w:hint="eastAsia" w:asciiTheme="minorEastAsia" w:hAnsiTheme="minorEastAsia" w:eastAsiaTheme="minorEastAsia" w:cstheme="minorEastAsia"/>
                <w:spacing w:val="-3"/>
                <w:sz w:val="20"/>
                <w:szCs w:val="20"/>
                <w:lang w:eastAsia="zh-CN"/>
              </w:rPr>
              <w:t>开标结</w:t>
            </w:r>
            <w:r>
              <w:rPr>
                <w:rFonts w:hint="eastAsia" w:asciiTheme="minorEastAsia" w:hAnsiTheme="minorEastAsia" w:eastAsiaTheme="minorEastAsia" w:cstheme="minorEastAsia"/>
                <w:spacing w:val="-2"/>
                <w:sz w:val="20"/>
                <w:szCs w:val="20"/>
                <w:lang w:eastAsia="zh-CN"/>
              </w:rPr>
              <w:t>束后，采购人或者采购代理机构应当依法对投标人的资格进行审查。</w:t>
            </w:r>
            <w:r>
              <w:rPr>
                <w:rFonts w:hint="eastAsia" w:asciiTheme="minorEastAsia" w:hAnsiTheme="minorEastAsia" w:eastAsiaTheme="minorEastAsia" w:cstheme="minorEastAsia"/>
                <w:spacing w:val="-3"/>
                <w:sz w:val="20"/>
                <w:szCs w:val="20"/>
              </w:rPr>
              <w:t>合格投</w:t>
            </w:r>
            <w:r>
              <w:rPr>
                <w:rFonts w:hint="eastAsia" w:asciiTheme="minorEastAsia" w:hAnsiTheme="minorEastAsia" w:eastAsiaTheme="minorEastAsia" w:cstheme="minorEastAsia"/>
                <w:spacing w:val="-4"/>
                <w:sz w:val="20"/>
                <w:szCs w:val="20"/>
              </w:rPr>
              <w:t>标人不足</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4"/>
                <w:sz w:val="20"/>
                <w:szCs w:val="20"/>
              </w:rPr>
              <w:t>3</w:t>
            </w:r>
            <w:r>
              <w:rPr>
                <w:rFonts w:hint="eastAsia" w:asciiTheme="minorEastAsia" w:hAnsiTheme="minorEastAsia" w:eastAsiaTheme="minorEastAsia" w:cstheme="minorEastAsia"/>
                <w:spacing w:val="-44"/>
                <w:sz w:val="20"/>
                <w:szCs w:val="20"/>
              </w:rPr>
              <w:t xml:space="preserve"> </w:t>
            </w:r>
            <w:r>
              <w:rPr>
                <w:rFonts w:hint="eastAsia" w:asciiTheme="minorEastAsia" w:hAnsiTheme="minorEastAsia" w:eastAsiaTheme="minorEastAsia" w:cstheme="minorEastAsia"/>
                <w:spacing w:val="-4"/>
                <w:sz w:val="20"/>
                <w:szCs w:val="20"/>
              </w:rPr>
              <w:t>家的，不得评标。</w:t>
            </w:r>
          </w:p>
        </w:tc>
      </w:tr>
      <w:tr w14:paraId="4CD4E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715" w:type="dxa"/>
            <w:vMerge w:val="restart"/>
            <w:tcBorders>
              <w:top w:val="single" w:color="auto" w:sz="4" w:space="0"/>
              <w:left w:val="single" w:color="auto" w:sz="4" w:space="0"/>
              <w:bottom w:val="single" w:color="auto" w:sz="4" w:space="0"/>
              <w:right w:val="single" w:color="auto" w:sz="4" w:space="0"/>
            </w:tcBorders>
            <w:vAlign w:val="center"/>
          </w:tcPr>
          <w:p w14:paraId="7EBF3051">
            <w:pPr>
              <w:pStyle w:val="27"/>
              <w:spacing w:before="71" w:line="182" w:lineRule="auto"/>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5"/>
                <w:sz w:val="20"/>
                <w:szCs w:val="20"/>
              </w:rPr>
              <w:t>1.1.</w:t>
            </w:r>
            <w:r>
              <w:rPr>
                <w:rFonts w:hint="eastAsia" w:asciiTheme="minorEastAsia" w:hAnsiTheme="minorEastAsia" w:eastAsiaTheme="minorEastAsia" w:cstheme="minorEastAsia"/>
                <w:spacing w:val="-5"/>
                <w:sz w:val="20"/>
                <w:szCs w:val="20"/>
                <w:lang w:val="en-US" w:eastAsia="zh-CN"/>
              </w:rPr>
              <w:t>3</w:t>
            </w:r>
          </w:p>
        </w:tc>
        <w:tc>
          <w:tcPr>
            <w:tcW w:w="1447" w:type="dxa"/>
            <w:gridSpan w:val="2"/>
            <w:vMerge w:val="restart"/>
            <w:tcBorders>
              <w:top w:val="single" w:color="auto" w:sz="4" w:space="0"/>
              <w:left w:val="single" w:color="auto" w:sz="4" w:space="0"/>
              <w:bottom w:val="single" w:color="auto" w:sz="4" w:space="0"/>
              <w:right w:val="single" w:color="auto" w:sz="4" w:space="0"/>
            </w:tcBorders>
            <w:vAlign w:val="center"/>
          </w:tcPr>
          <w:p w14:paraId="661CB07B">
            <w:pPr>
              <w:spacing w:line="249" w:lineRule="auto"/>
              <w:jc w:val="center"/>
              <w:rPr>
                <w:rFonts w:asciiTheme="minorEastAsia" w:hAnsiTheme="minorEastAsia" w:eastAsiaTheme="minorEastAsia" w:cstheme="minorEastAsia"/>
                <w:sz w:val="20"/>
                <w:szCs w:val="20"/>
              </w:rPr>
            </w:pPr>
          </w:p>
          <w:p w14:paraId="50BD2FDD">
            <w:pPr>
              <w:spacing w:line="249" w:lineRule="auto"/>
              <w:jc w:val="center"/>
              <w:rPr>
                <w:rFonts w:hint="eastAsia" w:asciiTheme="minorEastAsia" w:hAnsiTheme="minorEastAsia" w:eastAsiaTheme="minorEastAsia" w:cstheme="minorEastAsia"/>
                <w:spacing w:val="-2"/>
                <w:sz w:val="20"/>
                <w:szCs w:val="20"/>
                <w:lang w:val="en-US" w:eastAsia="zh-CN"/>
              </w:rPr>
            </w:pPr>
          </w:p>
          <w:p w14:paraId="7CBC2154">
            <w:pPr>
              <w:spacing w:line="249"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lang w:val="en-US" w:eastAsia="zh-CN"/>
              </w:rPr>
              <w:t>响应性评审</w:t>
            </w:r>
            <w:r>
              <w:rPr>
                <w:rFonts w:hint="eastAsia" w:asciiTheme="minorEastAsia" w:hAnsiTheme="minorEastAsia" w:eastAsiaTheme="minorEastAsia" w:cstheme="minorEastAsia"/>
                <w:spacing w:val="-2"/>
                <w:sz w:val="20"/>
                <w:szCs w:val="20"/>
              </w:rPr>
              <w:t>标</w:t>
            </w:r>
            <w:r>
              <w:rPr>
                <w:rFonts w:hint="eastAsia" w:asciiTheme="minorEastAsia" w:hAnsiTheme="minorEastAsia" w:eastAsiaTheme="minorEastAsia" w:cstheme="minorEastAsia"/>
                <w:sz w:val="20"/>
                <w:szCs w:val="20"/>
              </w:rPr>
              <w:t>准</w:t>
            </w:r>
          </w:p>
          <w:p w14:paraId="204A4D3D">
            <w:pPr>
              <w:pStyle w:val="27"/>
              <w:spacing w:before="71" w:line="380" w:lineRule="auto"/>
              <w:ind w:right="198"/>
              <w:jc w:val="cente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right w:val="single" w:color="auto" w:sz="4" w:space="0"/>
            </w:tcBorders>
          </w:tcPr>
          <w:p w14:paraId="186E94C2">
            <w:pPr>
              <w:pStyle w:val="27"/>
              <w:tabs>
                <w:tab w:val="left" w:pos="1890"/>
              </w:tabs>
              <w:spacing w:before="132" w:line="352" w:lineRule="auto"/>
              <w:ind w:left="506" w:right="153" w:hanging="325"/>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配送地点</w:t>
            </w:r>
          </w:p>
        </w:tc>
        <w:tc>
          <w:tcPr>
            <w:tcW w:w="4802" w:type="dxa"/>
            <w:tcBorders>
              <w:top w:val="single" w:color="auto" w:sz="4" w:space="0"/>
              <w:left w:val="single" w:color="auto" w:sz="4" w:space="0"/>
              <w:right w:val="single" w:color="auto" w:sz="4" w:space="0"/>
            </w:tcBorders>
          </w:tcPr>
          <w:p w14:paraId="4378C5F9">
            <w:pPr>
              <w:pStyle w:val="27"/>
              <w:spacing w:before="68" w:line="220"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785B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7A95E93A">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413DD9FA">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715C923B">
            <w:pPr>
              <w:pStyle w:val="27"/>
              <w:spacing w:before="132" w:line="352" w:lineRule="auto"/>
              <w:ind w:left="506" w:right="153" w:hanging="325"/>
              <w:jc w:val="center"/>
              <w:rPr>
                <w:rFonts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服务要求</w:t>
            </w:r>
          </w:p>
        </w:tc>
        <w:tc>
          <w:tcPr>
            <w:tcW w:w="4802" w:type="dxa"/>
            <w:tcBorders>
              <w:top w:val="single" w:color="auto" w:sz="4" w:space="0"/>
              <w:left w:val="single" w:color="auto" w:sz="4" w:space="0"/>
              <w:bottom w:val="single" w:color="auto" w:sz="4" w:space="0"/>
              <w:right w:val="single" w:color="auto" w:sz="4" w:space="0"/>
            </w:tcBorders>
            <w:vAlign w:val="center"/>
          </w:tcPr>
          <w:p w14:paraId="29A08050">
            <w:pPr>
              <w:pStyle w:val="27"/>
              <w:spacing w:before="68" w:line="220" w:lineRule="auto"/>
              <w:jc w:val="center"/>
              <w:rPr>
                <w:rFonts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70282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66B9BD54">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589D623D">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564D2687">
            <w:pPr>
              <w:pStyle w:val="27"/>
              <w:spacing w:before="132" w:line="352" w:lineRule="auto"/>
              <w:ind w:left="506" w:right="153" w:hanging="325"/>
              <w:jc w:val="center"/>
              <w:rPr>
                <w:rFonts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食材质量要求</w:t>
            </w:r>
          </w:p>
        </w:tc>
        <w:tc>
          <w:tcPr>
            <w:tcW w:w="4802" w:type="dxa"/>
            <w:tcBorders>
              <w:top w:val="single" w:color="auto" w:sz="4" w:space="0"/>
              <w:left w:val="single" w:color="auto" w:sz="4" w:space="0"/>
              <w:bottom w:val="single" w:color="auto" w:sz="4" w:space="0"/>
              <w:right w:val="single" w:color="auto" w:sz="4" w:space="0"/>
            </w:tcBorders>
            <w:vAlign w:val="center"/>
          </w:tcPr>
          <w:p w14:paraId="29674892">
            <w:pPr>
              <w:pStyle w:val="27"/>
              <w:spacing w:before="68" w:line="220" w:lineRule="auto"/>
              <w:jc w:val="center"/>
              <w:rPr>
                <w:rFonts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056A5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07FAD0D8">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218965C4">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72F27C8E">
            <w:pPr>
              <w:pStyle w:val="27"/>
              <w:spacing w:before="132" w:line="352" w:lineRule="auto"/>
              <w:ind w:left="506" w:right="153" w:hanging="325"/>
              <w:jc w:val="center"/>
              <w:rPr>
                <w:rFonts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合同履行期限</w:t>
            </w:r>
          </w:p>
        </w:tc>
        <w:tc>
          <w:tcPr>
            <w:tcW w:w="4802" w:type="dxa"/>
            <w:tcBorders>
              <w:top w:val="single" w:color="auto" w:sz="4" w:space="0"/>
              <w:left w:val="single" w:color="auto" w:sz="4" w:space="0"/>
              <w:bottom w:val="single" w:color="auto" w:sz="4" w:space="0"/>
              <w:right w:val="single" w:color="auto" w:sz="4" w:space="0"/>
            </w:tcBorders>
            <w:vAlign w:val="center"/>
          </w:tcPr>
          <w:p w14:paraId="35475E48">
            <w:pPr>
              <w:pStyle w:val="27"/>
              <w:spacing w:before="68" w:line="220" w:lineRule="auto"/>
              <w:jc w:val="center"/>
              <w:rPr>
                <w:rFonts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0FF7F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384614D7">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47D34199">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3DDD093D">
            <w:pPr>
              <w:pStyle w:val="27"/>
              <w:spacing w:before="132" w:line="352" w:lineRule="auto"/>
              <w:ind w:left="506" w:right="153" w:hanging="325"/>
              <w:jc w:val="center"/>
              <w:rPr>
                <w:rFonts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招标实质性要求和条件承诺</w:t>
            </w:r>
          </w:p>
        </w:tc>
        <w:tc>
          <w:tcPr>
            <w:tcW w:w="4802" w:type="dxa"/>
            <w:tcBorders>
              <w:top w:val="single" w:color="auto" w:sz="4" w:space="0"/>
              <w:left w:val="single" w:color="auto" w:sz="4" w:space="0"/>
              <w:bottom w:val="single" w:color="auto" w:sz="4" w:space="0"/>
              <w:right w:val="single" w:color="auto" w:sz="4" w:space="0"/>
            </w:tcBorders>
            <w:vAlign w:val="center"/>
          </w:tcPr>
          <w:tbl>
            <w:tblPr>
              <w:tblStyle w:val="26"/>
              <w:tblW w:w="9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3"/>
            </w:tblGrid>
            <w:tr w14:paraId="2516B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802" w:type="dxa"/>
                  <w:vAlign w:val="center"/>
                </w:tcPr>
                <w:p w14:paraId="14B8DFD9">
                  <w:pPr>
                    <w:pStyle w:val="27"/>
                    <w:spacing w:before="68" w:line="220" w:lineRule="auto"/>
                    <w:jc w:val="center"/>
                    <w:rPr>
                      <w:rFonts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bl>
          <w:p w14:paraId="6FDFAE40">
            <w:pPr>
              <w:pStyle w:val="27"/>
              <w:spacing w:before="68" w:line="220" w:lineRule="auto"/>
              <w:jc w:val="center"/>
              <w:rPr>
                <w:rFonts w:asciiTheme="minorEastAsia" w:hAnsiTheme="minorEastAsia" w:eastAsiaTheme="minorEastAsia" w:cstheme="minorEastAsia"/>
                <w:spacing w:val="-1"/>
                <w:sz w:val="20"/>
                <w:szCs w:val="20"/>
                <w:lang w:eastAsia="zh-CN"/>
              </w:rPr>
            </w:pPr>
          </w:p>
        </w:tc>
      </w:tr>
      <w:tr w14:paraId="538CD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22E903C8">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38D2F8BE">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1053CE16">
            <w:pPr>
              <w:pStyle w:val="27"/>
              <w:spacing w:before="68" w:line="221" w:lineRule="auto"/>
              <w:ind w:left="500"/>
              <w:jc w:val="both"/>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技术标准承诺</w:t>
            </w:r>
          </w:p>
        </w:tc>
        <w:tc>
          <w:tcPr>
            <w:tcW w:w="4802" w:type="dxa"/>
            <w:tcBorders>
              <w:top w:val="single" w:color="auto" w:sz="4" w:space="0"/>
              <w:left w:val="single" w:color="auto" w:sz="4" w:space="0"/>
              <w:bottom w:val="single" w:color="auto" w:sz="4" w:space="0"/>
              <w:right w:val="single" w:color="auto" w:sz="4" w:space="0"/>
            </w:tcBorders>
            <w:vAlign w:val="center"/>
          </w:tcPr>
          <w:p w14:paraId="1A6F59A2">
            <w:pPr>
              <w:pStyle w:val="27"/>
              <w:spacing w:before="68" w:line="221"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符合“第四部分 技术标准”规定</w:t>
            </w:r>
          </w:p>
        </w:tc>
      </w:tr>
      <w:tr w14:paraId="43DEE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715" w:type="dxa"/>
            <w:vMerge w:val="continue"/>
            <w:tcBorders>
              <w:top w:val="single" w:color="auto" w:sz="4" w:space="0"/>
              <w:left w:val="single" w:color="auto" w:sz="4" w:space="0"/>
              <w:bottom w:val="single" w:color="auto" w:sz="4" w:space="0"/>
              <w:right w:val="single" w:color="auto" w:sz="4" w:space="0"/>
            </w:tcBorders>
          </w:tcPr>
          <w:p w14:paraId="6362062D">
            <w:pPr>
              <w:rPr>
                <w:rFonts w:asciiTheme="minorEastAsia" w:hAnsiTheme="minorEastAsia" w:eastAsiaTheme="minorEastAsia" w:cstheme="minorEastAsia"/>
                <w:sz w:val="20"/>
                <w:szCs w:val="20"/>
                <w:lang w:eastAsia="zh-CN"/>
              </w:rPr>
            </w:pPr>
          </w:p>
        </w:tc>
        <w:tc>
          <w:tcPr>
            <w:tcW w:w="1447" w:type="dxa"/>
            <w:gridSpan w:val="2"/>
            <w:vMerge w:val="continue"/>
            <w:tcBorders>
              <w:top w:val="single" w:color="auto" w:sz="4" w:space="0"/>
              <w:left w:val="single" w:color="auto" w:sz="4" w:space="0"/>
              <w:bottom w:val="single" w:color="auto" w:sz="4" w:space="0"/>
              <w:right w:val="single" w:color="auto" w:sz="4" w:space="0"/>
            </w:tcBorders>
          </w:tcPr>
          <w:p w14:paraId="59F83AEF">
            <w:pPr>
              <w:rPr>
                <w:rFonts w:asciiTheme="minorEastAsia" w:hAnsiTheme="minorEastAsia" w:eastAsiaTheme="minorEastAsia" w:cstheme="minorEastAsia"/>
                <w:sz w:val="20"/>
                <w:szCs w:val="20"/>
                <w:lang w:eastAsia="zh-CN"/>
              </w:rPr>
            </w:pPr>
          </w:p>
        </w:tc>
        <w:tc>
          <w:tcPr>
            <w:tcW w:w="2059" w:type="dxa"/>
            <w:gridSpan w:val="2"/>
            <w:tcBorders>
              <w:top w:val="single" w:color="auto" w:sz="4" w:space="0"/>
              <w:left w:val="single" w:color="auto" w:sz="4" w:space="0"/>
              <w:bottom w:val="single" w:color="auto" w:sz="4" w:space="0"/>
              <w:right w:val="single" w:color="auto" w:sz="4" w:space="0"/>
            </w:tcBorders>
          </w:tcPr>
          <w:p w14:paraId="6D31F926">
            <w:pPr>
              <w:pStyle w:val="27"/>
              <w:spacing w:before="177" w:line="221" w:lineRule="auto"/>
              <w:ind w:left="604"/>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投标有效期</w:t>
            </w:r>
          </w:p>
        </w:tc>
        <w:tc>
          <w:tcPr>
            <w:tcW w:w="4802" w:type="dxa"/>
            <w:tcBorders>
              <w:top w:val="single" w:color="auto" w:sz="4" w:space="0"/>
              <w:left w:val="single" w:color="auto" w:sz="4" w:space="0"/>
              <w:bottom w:val="single" w:color="auto" w:sz="4" w:space="0"/>
              <w:right w:val="single" w:color="auto" w:sz="4" w:space="0"/>
            </w:tcBorders>
            <w:vAlign w:val="center"/>
          </w:tcPr>
          <w:p w14:paraId="7A036056">
            <w:pPr>
              <w:pStyle w:val="27"/>
              <w:spacing w:before="176" w:line="220" w:lineRule="auto"/>
              <w:jc w:val="center"/>
              <w:rPr>
                <w:rFonts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lang w:eastAsia="zh-CN"/>
              </w:rPr>
              <w:t>符合第二章“投标人须知”规定</w:t>
            </w:r>
          </w:p>
        </w:tc>
      </w:tr>
      <w:tr w14:paraId="5ABD9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2162" w:type="dxa"/>
            <w:gridSpan w:val="3"/>
            <w:tcBorders>
              <w:top w:val="single" w:color="auto" w:sz="4" w:space="0"/>
              <w:left w:val="single" w:color="auto" w:sz="4" w:space="0"/>
              <w:bottom w:val="single" w:color="auto" w:sz="4" w:space="0"/>
              <w:right w:val="single" w:color="auto" w:sz="4" w:space="0"/>
            </w:tcBorders>
            <w:vAlign w:val="center"/>
          </w:tcPr>
          <w:p w14:paraId="2A6359DE">
            <w:pPr>
              <w:pStyle w:val="27"/>
              <w:spacing w:before="72" w:line="182"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1.2.1</w:t>
            </w:r>
          </w:p>
        </w:tc>
        <w:tc>
          <w:tcPr>
            <w:tcW w:w="2059" w:type="dxa"/>
            <w:gridSpan w:val="2"/>
            <w:tcBorders>
              <w:top w:val="single" w:color="auto" w:sz="4" w:space="0"/>
              <w:left w:val="single" w:color="auto" w:sz="4" w:space="0"/>
              <w:bottom w:val="single" w:color="auto" w:sz="4" w:space="0"/>
              <w:right w:val="single" w:color="auto" w:sz="4" w:space="0"/>
            </w:tcBorders>
          </w:tcPr>
          <w:p w14:paraId="717AEA35">
            <w:pPr>
              <w:spacing w:line="321" w:lineRule="auto"/>
              <w:rPr>
                <w:rFonts w:asciiTheme="minorEastAsia" w:hAnsiTheme="minorEastAsia" w:eastAsiaTheme="minorEastAsia" w:cstheme="minorEastAsia"/>
                <w:sz w:val="20"/>
                <w:szCs w:val="20"/>
              </w:rPr>
            </w:pPr>
          </w:p>
          <w:p w14:paraId="3879BA15">
            <w:pPr>
              <w:pStyle w:val="27"/>
              <w:spacing w:before="71" w:line="220" w:lineRule="auto"/>
              <w:ind w:left="679"/>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分值构成</w:t>
            </w:r>
          </w:p>
          <w:p w14:paraId="212BE3C6">
            <w:pPr>
              <w:pStyle w:val="27"/>
              <w:spacing w:before="71" w:line="221" w:lineRule="auto"/>
              <w:ind w:left="497"/>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(总分</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pacing w:val="-10"/>
                <w:sz w:val="20"/>
                <w:szCs w:val="20"/>
              </w:rPr>
              <w:t>100</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0"/>
                <w:sz w:val="20"/>
                <w:szCs w:val="20"/>
              </w:rPr>
              <w:t>分)</w:t>
            </w:r>
          </w:p>
        </w:tc>
        <w:tc>
          <w:tcPr>
            <w:tcW w:w="4802" w:type="dxa"/>
            <w:tcBorders>
              <w:top w:val="single" w:color="auto" w:sz="4" w:space="0"/>
              <w:left w:val="single" w:color="auto" w:sz="4" w:space="0"/>
              <w:bottom w:val="single" w:color="auto" w:sz="4" w:space="0"/>
              <w:right w:val="single" w:color="auto" w:sz="4" w:space="0"/>
            </w:tcBorders>
          </w:tcPr>
          <w:p w14:paraId="16D6641F">
            <w:pPr>
              <w:spacing w:line="360" w:lineRule="auto"/>
              <w:jc w:val="both"/>
              <w:rPr>
                <w:rFonts w:asciiTheme="minorEastAsia" w:hAnsiTheme="minorEastAsia" w:eastAsiaTheme="minorEastAsia"/>
                <w:spacing w:val="-2"/>
                <w:sz w:val="20"/>
                <w:szCs w:val="20"/>
              </w:rPr>
            </w:pPr>
            <w:r>
              <w:rPr>
                <w:rFonts w:hint="eastAsia" w:asciiTheme="minorEastAsia" w:hAnsiTheme="minorEastAsia" w:eastAsiaTheme="minorEastAsia"/>
                <w:spacing w:val="7"/>
                <w:sz w:val="20"/>
                <w:szCs w:val="20"/>
                <w:lang w:eastAsia="zh-CN"/>
              </w:rPr>
              <w:t>商务标</w:t>
            </w:r>
            <w:r>
              <w:rPr>
                <w:rFonts w:hint="eastAsia" w:asciiTheme="minorEastAsia" w:hAnsiTheme="minorEastAsia" w:eastAsiaTheme="minorEastAsia"/>
                <w:spacing w:val="-2"/>
                <w:sz w:val="20"/>
                <w:szCs w:val="20"/>
              </w:rPr>
              <w:t>（0分）</w:t>
            </w:r>
          </w:p>
          <w:p w14:paraId="612568FE">
            <w:pPr>
              <w:spacing w:line="360" w:lineRule="auto"/>
              <w:jc w:val="both"/>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技术标（90分）</w:t>
            </w:r>
          </w:p>
          <w:p w14:paraId="3100712E">
            <w:pPr>
              <w:spacing w:line="360" w:lineRule="auto"/>
              <w:jc w:val="both"/>
              <w:rPr>
                <w:rFonts w:asciiTheme="minorEastAsia" w:hAnsiTheme="minorEastAsia" w:eastAsiaTheme="minorEastAsia" w:cstheme="minorEastAsia"/>
                <w:sz w:val="20"/>
                <w:szCs w:val="20"/>
                <w:lang w:eastAsia="zh-CN"/>
              </w:rPr>
            </w:pPr>
            <w:r>
              <w:rPr>
                <w:rFonts w:hint="eastAsia" w:cs="宋体" w:asciiTheme="minorEastAsia" w:hAnsiTheme="minorEastAsia" w:eastAsiaTheme="minorEastAsia"/>
                <w:sz w:val="20"/>
                <w:szCs w:val="20"/>
                <w:lang w:eastAsia="zh-CN"/>
              </w:rPr>
              <w:t>综合标（10分）</w:t>
            </w:r>
          </w:p>
        </w:tc>
      </w:tr>
      <w:tr w14:paraId="2C0D5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15" w:type="dxa"/>
            <w:tcBorders>
              <w:top w:val="single" w:color="auto" w:sz="4" w:space="0"/>
            </w:tcBorders>
          </w:tcPr>
          <w:p w14:paraId="4D96B898">
            <w:pPr>
              <w:pStyle w:val="27"/>
              <w:spacing w:before="158" w:line="306" w:lineRule="auto"/>
              <w:ind w:left="261" w:right="156" w:hanging="99"/>
              <w:jc w:val="center"/>
              <w:rPr>
                <w:rFonts w:asciiTheme="minorEastAsia" w:hAnsiTheme="minorEastAsia" w:eastAsiaTheme="minorEastAsia"/>
                <w:sz w:val="20"/>
                <w:szCs w:val="20"/>
              </w:rPr>
            </w:pPr>
            <w:r>
              <w:rPr>
                <w:rFonts w:hint="eastAsia" w:asciiTheme="minorEastAsia" w:hAnsiTheme="minorEastAsia" w:eastAsiaTheme="minorEastAsia"/>
                <w:spacing w:val="4"/>
                <w:sz w:val="20"/>
                <w:szCs w:val="20"/>
                <w:lang w:eastAsia="zh-CN"/>
              </w:rPr>
              <w:t xml:space="preserve"> </w:t>
            </w:r>
            <w:r>
              <w:rPr>
                <w:rFonts w:hint="eastAsia" w:asciiTheme="minorEastAsia" w:hAnsiTheme="minorEastAsia" w:eastAsiaTheme="minorEastAsia"/>
                <w:spacing w:val="4"/>
                <w:sz w:val="20"/>
                <w:szCs w:val="20"/>
              </w:rPr>
              <w:t>条款</w:t>
            </w:r>
            <w:r>
              <w:rPr>
                <w:rFonts w:hint="eastAsia" w:asciiTheme="minorEastAsia" w:hAnsiTheme="minorEastAsia" w:eastAsiaTheme="minorEastAsia"/>
                <w:spacing w:val="-2"/>
                <w:sz w:val="20"/>
                <w:szCs w:val="20"/>
              </w:rPr>
              <w:t>号</w:t>
            </w:r>
          </w:p>
        </w:tc>
        <w:tc>
          <w:tcPr>
            <w:tcW w:w="2257" w:type="dxa"/>
            <w:gridSpan w:val="3"/>
            <w:tcBorders>
              <w:top w:val="single" w:color="auto" w:sz="4" w:space="0"/>
            </w:tcBorders>
          </w:tcPr>
          <w:p w14:paraId="42D6468F">
            <w:pPr>
              <w:spacing w:line="255" w:lineRule="auto"/>
              <w:rPr>
                <w:rFonts w:cs="宋体" w:asciiTheme="minorEastAsia" w:hAnsiTheme="minorEastAsia" w:eastAsiaTheme="minorEastAsia"/>
                <w:sz w:val="20"/>
                <w:szCs w:val="20"/>
              </w:rPr>
            </w:pPr>
          </w:p>
          <w:p w14:paraId="59D6FC5A">
            <w:pPr>
              <w:pStyle w:val="27"/>
              <w:spacing w:before="58" w:line="229" w:lineRule="auto"/>
              <w:ind w:left="675"/>
              <w:rPr>
                <w:rFonts w:asciiTheme="minorEastAsia" w:hAnsiTheme="minorEastAsia" w:eastAsiaTheme="minorEastAsia"/>
                <w:sz w:val="20"/>
                <w:szCs w:val="20"/>
              </w:rPr>
            </w:pPr>
            <w:r>
              <w:rPr>
                <w:rFonts w:hint="eastAsia" w:asciiTheme="minorEastAsia" w:hAnsiTheme="minorEastAsia" w:eastAsiaTheme="minorEastAsia"/>
                <w:spacing w:val="7"/>
                <w:sz w:val="20"/>
                <w:szCs w:val="20"/>
              </w:rPr>
              <w:t>评分内容</w:t>
            </w:r>
          </w:p>
        </w:tc>
        <w:tc>
          <w:tcPr>
            <w:tcW w:w="6051" w:type="dxa"/>
            <w:gridSpan w:val="2"/>
            <w:tcBorders>
              <w:top w:val="single" w:color="auto" w:sz="4" w:space="0"/>
            </w:tcBorders>
          </w:tcPr>
          <w:p w14:paraId="300710F1">
            <w:pPr>
              <w:spacing w:line="254" w:lineRule="auto"/>
              <w:rPr>
                <w:rFonts w:cs="宋体" w:asciiTheme="minorEastAsia" w:hAnsiTheme="minorEastAsia" w:eastAsiaTheme="minorEastAsia"/>
                <w:sz w:val="20"/>
                <w:szCs w:val="20"/>
              </w:rPr>
            </w:pPr>
          </w:p>
          <w:p w14:paraId="20688061">
            <w:pPr>
              <w:pStyle w:val="27"/>
              <w:spacing w:before="59" w:line="230" w:lineRule="auto"/>
              <w:ind w:left="3137"/>
              <w:rPr>
                <w:rFonts w:asciiTheme="minorEastAsia" w:hAnsiTheme="minorEastAsia" w:eastAsiaTheme="minorEastAsia"/>
                <w:sz w:val="20"/>
                <w:szCs w:val="20"/>
              </w:rPr>
            </w:pPr>
            <w:r>
              <w:rPr>
                <w:rFonts w:hint="eastAsia" w:asciiTheme="minorEastAsia" w:hAnsiTheme="minorEastAsia" w:eastAsiaTheme="minorEastAsia"/>
                <w:spacing w:val="7"/>
                <w:sz w:val="20"/>
                <w:szCs w:val="20"/>
              </w:rPr>
              <w:t>评分标准</w:t>
            </w:r>
          </w:p>
        </w:tc>
      </w:tr>
      <w:tr w14:paraId="3EEDF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jc w:val="center"/>
        </w:trPr>
        <w:tc>
          <w:tcPr>
            <w:tcW w:w="715" w:type="dxa"/>
            <w:tcBorders>
              <w:bottom w:val="single" w:color="auto" w:sz="4" w:space="0"/>
            </w:tcBorders>
          </w:tcPr>
          <w:p w14:paraId="761919E8">
            <w:pPr>
              <w:spacing w:line="305" w:lineRule="auto"/>
              <w:rPr>
                <w:rFonts w:cs="宋体" w:asciiTheme="minorEastAsia" w:hAnsiTheme="minorEastAsia" w:eastAsiaTheme="minorEastAsia"/>
                <w:sz w:val="20"/>
                <w:szCs w:val="20"/>
              </w:rPr>
            </w:pPr>
          </w:p>
          <w:p w14:paraId="268FC095">
            <w:pPr>
              <w:spacing w:line="306" w:lineRule="auto"/>
              <w:rPr>
                <w:rFonts w:cs="宋体" w:asciiTheme="minorEastAsia" w:hAnsiTheme="minorEastAsia" w:eastAsiaTheme="minorEastAsia"/>
                <w:sz w:val="20"/>
                <w:szCs w:val="20"/>
              </w:rPr>
            </w:pPr>
          </w:p>
          <w:p w14:paraId="642128F0">
            <w:pPr>
              <w:pStyle w:val="27"/>
              <w:spacing w:before="59" w:line="189" w:lineRule="auto"/>
              <w:ind w:left="117"/>
              <w:rPr>
                <w:rFonts w:asciiTheme="minorEastAsia" w:hAnsiTheme="minorEastAsia" w:eastAsiaTheme="minorEastAsia"/>
                <w:spacing w:val="3"/>
                <w:sz w:val="20"/>
                <w:szCs w:val="20"/>
              </w:rPr>
            </w:pPr>
          </w:p>
          <w:p w14:paraId="38A2D7EC">
            <w:pPr>
              <w:pStyle w:val="27"/>
              <w:spacing w:before="59" w:line="189" w:lineRule="auto"/>
              <w:ind w:left="117"/>
              <w:rPr>
                <w:rFonts w:asciiTheme="minorEastAsia" w:hAnsiTheme="minorEastAsia" w:eastAsiaTheme="minorEastAsia"/>
                <w:sz w:val="20"/>
                <w:szCs w:val="20"/>
              </w:rPr>
            </w:pPr>
            <w:r>
              <w:rPr>
                <w:rFonts w:hint="eastAsia" w:asciiTheme="minorEastAsia" w:hAnsiTheme="minorEastAsia" w:eastAsiaTheme="minorEastAsia"/>
                <w:spacing w:val="3"/>
                <w:sz w:val="20"/>
                <w:szCs w:val="20"/>
              </w:rPr>
              <w:t>2.2.1</w:t>
            </w:r>
          </w:p>
        </w:tc>
        <w:tc>
          <w:tcPr>
            <w:tcW w:w="955" w:type="dxa"/>
            <w:tcBorders>
              <w:bottom w:val="single" w:color="auto" w:sz="4" w:space="0"/>
            </w:tcBorders>
          </w:tcPr>
          <w:p w14:paraId="234A5775">
            <w:pPr>
              <w:spacing w:line="459" w:lineRule="auto"/>
              <w:rPr>
                <w:rFonts w:cs="宋体" w:asciiTheme="minorEastAsia" w:hAnsiTheme="minorEastAsia" w:eastAsiaTheme="minorEastAsia"/>
                <w:sz w:val="20"/>
                <w:szCs w:val="20"/>
              </w:rPr>
            </w:pPr>
          </w:p>
          <w:p w14:paraId="3406D613">
            <w:pPr>
              <w:pStyle w:val="27"/>
              <w:spacing w:before="58" w:line="242" w:lineRule="auto"/>
              <w:ind w:left="309" w:right="108" w:hanging="195"/>
              <w:jc w:val="center"/>
              <w:rPr>
                <w:rFonts w:asciiTheme="minorEastAsia" w:hAnsiTheme="minorEastAsia" w:eastAsiaTheme="minorEastAsia"/>
                <w:spacing w:val="-10"/>
                <w:sz w:val="20"/>
                <w:szCs w:val="20"/>
              </w:rPr>
            </w:pPr>
          </w:p>
          <w:p w14:paraId="2435E324">
            <w:pPr>
              <w:pStyle w:val="27"/>
              <w:spacing w:before="58" w:line="360" w:lineRule="auto"/>
              <w:ind w:right="183"/>
              <w:jc w:val="center"/>
              <w:rPr>
                <w:rFonts w:asciiTheme="minorEastAsia" w:hAnsiTheme="minorEastAsia" w:eastAsiaTheme="minorEastAsia"/>
                <w:sz w:val="20"/>
                <w:szCs w:val="20"/>
                <w:lang w:eastAsia="zh-CN"/>
              </w:rPr>
            </w:pPr>
            <w:r>
              <w:rPr>
                <w:rFonts w:hint="eastAsia" w:asciiTheme="minorEastAsia" w:hAnsiTheme="minorEastAsia" w:eastAsiaTheme="minorEastAsia"/>
                <w:spacing w:val="7"/>
                <w:sz w:val="20"/>
                <w:szCs w:val="20"/>
                <w:lang w:eastAsia="zh-CN"/>
              </w:rPr>
              <w:t>商务标</w:t>
            </w:r>
            <w:r>
              <w:rPr>
                <w:rFonts w:hint="eastAsia" w:asciiTheme="minorEastAsia" w:hAnsiTheme="minorEastAsia" w:eastAsiaTheme="minorEastAsia"/>
                <w:spacing w:val="-2"/>
                <w:sz w:val="20"/>
                <w:szCs w:val="20"/>
              </w:rPr>
              <w:t>（0分）</w:t>
            </w:r>
          </w:p>
        </w:tc>
        <w:tc>
          <w:tcPr>
            <w:tcW w:w="1302" w:type="dxa"/>
            <w:gridSpan w:val="2"/>
            <w:tcBorders>
              <w:bottom w:val="single" w:color="auto" w:sz="4" w:space="0"/>
            </w:tcBorders>
          </w:tcPr>
          <w:p w14:paraId="5D652D8D">
            <w:pPr>
              <w:spacing w:line="360" w:lineRule="auto"/>
              <w:rPr>
                <w:rFonts w:cs="宋体" w:asciiTheme="minorEastAsia" w:hAnsiTheme="minorEastAsia" w:eastAsiaTheme="minorEastAsia"/>
                <w:sz w:val="20"/>
                <w:szCs w:val="20"/>
              </w:rPr>
            </w:pPr>
          </w:p>
          <w:p w14:paraId="418611F0">
            <w:pPr>
              <w:pStyle w:val="27"/>
              <w:spacing w:before="58" w:line="360" w:lineRule="auto"/>
              <w:ind w:left="214" w:right="183" w:hanging="31"/>
              <w:jc w:val="center"/>
              <w:rPr>
                <w:rFonts w:asciiTheme="minorEastAsia" w:hAnsiTheme="minorEastAsia" w:eastAsiaTheme="minorEastAsia"/>
                <w:spacing w:val="7"/>
                <w:sz w:val="20"/>
                <w:szCs w:val="20"/>
              </w:rPr>
            </w:pPr>
          </w:p>
          <w:p w14:paraId="2A6CA0B4">
            <w:pPr>
              <w:pStyle w:val="27"/>
              <w:spacing w:before="58" w:line="360" w:lineRule="auto"/>
              <w:ind w:right="183"/>
              <w:jc w:val="center"/>
              <w:rPr>
                <w:rFonts w:asciiTheme="minorEastAsia" w:hAnsiTheme="minorEastAsia" w:eastAsiaTheme="minorEastAsia"/>
                <w:spacing w:val="7"/>
                <w:sz w:val="20"/>
                <w:szCs w:val="20"/>
              </w:rPr>
            </w:pPr>
            <w:r>
              <w:rPr>
                <w:rFonts w:hint="eastAsia" w:asciiTheme="minorEastAsia" w:hAnsiTheme="minorEastAsia" w:eastAsiaTheme="minorEastAsia"/>
                <w:spacing w:val="7"/>
                <w:sz w:val="20"/>
                <w:szCs w:val="20"/>
                <w:lang w:eastAsia="zh-CN"/>
              </w:rPr>
              <w:t xml:space="preserve"> </w:t>
            </w:r>
            <w:r>
              <w:rPr>
                <w:rFonts w:hint="eastAsia" w:asciiTheme="minorEastAsia" w:hAnsiTheme="minorEastAsia" w:eastAsiaTheme="minorEastAsia"/>
                <w:spacing w:val="7"/>
                <w:sz w:val="20"/>
                <w:szCs w:val="20"/>
              </w:rPr>
              <w:t>投标报价</w:t>
            </w:r>
          </w:p>
          <w:p w14:paraId="478296E6">
            <w:pPr>
              <w:pStyle w:val="27"/>
              <w:spacing w:before="58" w:line="360" w:lineRule="auto"/>
              <w:ind w:left="214" w:right="183" w:hanging="31"/>
              <w:jc w:val="center"/>
              <w:rPr>
                <w:rFonts w:asciiTheme="minorEastAsia" w:hAnsiTheme="minorEastAsia" w:eastAsiaTheme="minorEastAsia"/>
                <w:sz w:val="20"/>
                <w:szCs w:val="20"/>
              </w:rPr>
            </w:pPr>
            <w:r>
              <w:rPr>
                <w:rFonts w:hint="eastAsia" w:asciiTheme="minorEastAsia" w:hAnsiTheme="minorEastAsia" w:eastAsiaTheme="minorEastAsia"/>
                <w:spacing w:val="-2"/>
                <w:sz w:val="20"/>
                <w:szCs w:val="20"/>
              </w:rPr>
              <w:t>（0分）</w:t>
            </w:r>
          </w:p>
        </w:tc>
        <w:tc>
          <w:tcPr>
            <w:tcW w:w="6051" w:type="dxa"/>
            <w:gridSpan w:val="2"/>
            <w:tcBorders>
              <w:bottom w:val="single" w:color="auto" w:sz="4" w:space="0"/>
            </w:tcBorders>
          </w:tcPr>
          <w:p w14:paraId="5A0EF112">
            <w:pPr>
              <w:pStyle w:val="27"/>
              <w:spacing w:before="26" w:line="360" w:lineRule="auto"/>
              <w:ind w:right="108"/>
              <w:jc w:val="both"/>
              <w:rPr>
                <w:rFonts w:asciiTheme="minorEastAsia" w:hAnsiTheme="minorEastAsia" w:eastAsiaTheme="minorEastAsia"/>
                <w:sz w:val="20"/>
                <w:szCs w:val="20"/>
                <w:lang w:eastAsia="zh-CN"/>
              </w:rPr>
            </w:pPr>
            <w:r>
              <w:rPr>
                <w:rFonts w:hint="eastAsia" w:asciiTheme="minorEastAsia" w:hAnsiTheme="minorEastAsia" w:eastAsiaTheme="minorEastAsia"/>
                <w:color w:val="333333"/>
                <w:spacing w:val="14"/>
                <w:sz w:val="20"/>
                <w:szCs w:val="20"/>
                <w:lang w:eastAsia="zh-CN"/>
              </w:rPr>
              <w:t>根据教育部等十五部门联合印发的《农村义务教育学生营养改善</w:t>
            </w:r>
            <w:r>
              <w:rPr>
                <w:rFonts w:hint="eastAsia" w:asciiTheme="minorEastAsia" w:hAnsiTheme="minorEastAsia" w:eastAsiaTheme="minorEastAsia"/>
                <w:color w:val="333333"/>
                <w:spacing w:val="13"/>
                <w:sz w:val="20"/>
                <w:szCs w:val="20"/>
                <w:lang w:eastAsia="zh-CN"/>
              </w:rPr>
              <w:t>计划实施细</w:t>
            </w:r>
            <w:r>
              <w:rPr>
                <w:rFonts w:hint="eastAsia" w:asciiTheme="minorEastAsia" w:hAnsiTheme="minorEastAsia" w:eastAsiaTheme="minorEastAsia"/>
                <w:color w:val="333333"/>
                <w:sz w:val="20"/>
                <w:szCs w:val="20"/>
                <w:lang w:eastAsia="zh-CN"/>
              </w:rPr>
              <w:t xml:space="preserve"> </w:t>
            </w:r>
            <w:r>
              <w:rPr>
                <w:rFonts w:hint="eastAsia" w:asciiTheme="minorEastAsia" w:hAnsiTheme="minorEastAsia" w:eastAsiaTheme="minorEastAsia"/>
                <w:color w:val="333333"/>
                <w:spacing w:val="9"/>
                <w:sz w:val="20"/>
                <w:szCs w:val="20"/>
                <w:lang w:eastAsia="zh-CN"/>
              </w:rPr>
              <w:t>则》及河南省学生营养办关于进一步加强农村义务教育学生营养改善计划监督管理</w:t>
            </w:r>
            <w:r>
              <w:rPr>
                <w:rFonts w:hint="eastAsia" w:asciiTheme="minorEastAsia" w:hAnsiTheme="minorEastAsia" w:eastAsiaTheme="minorEastAsia"/>
                <w:color w:val="333333"/>
                <w:spacing w:val="8"/>
                <w:sz w:val="20"/>
                <w:szCs w:val="20"/>
                <w:lang w:eastAsia="zh-CN"/>
              </w:rPr>
              <w:t>工作的通知【河南省学生营养办〔2018〕6</w:t>
            </w:r>
            <w:r>
              <w:rPr>
                <w:rFonts w:hint="eastAsia" w:asciiTheme="minorEastAsia" w:hAnsiTheme="minorEastAsia" w:eastAsiaTheme="minorEastAsia"/>
                <w:color w:val="333333"/>
                <w:spacing w:val="-11"/>
                <w:sz w:val="20"/>
                <w:szCs w:val="20"/>
                <w:lang w:eastAsia="zh-CN"/>
              </w:rPr>
              <w:t xml:space="preserve"> </w:t>
            </w:r>
            <w:r>
              <w:rPr>
                <w:rFonts w:hint="eastAsia" w:asciiTheme="minorEastAsia" w:hAnsiTheme="minorEastAsia" w:eastAsiaTheme="minorEastAsia"/>
                <w:color w:val="333333"/>
                <w:spacing w:val="8"/>
                <w:sz w:val="20"/>
                <w:szCs w:val="20"/>
                <w:lang w:eastAsia="zh-CN"/>
              </w:rPr>
              <w:t>号】精神“严禁克扣和浪费，确保5元</w:t>
            </w:r>
            <w:r>
              <w:rPr>
                <w:rFonts w:hint="eastAsia" w:asciiTheme="minorEastAsia" w:hAnsiTheme="minorEastAsia" w:eastAsiaTheme="minorEastAsia"/>
                <w:color w:val="333333"/>
                <w:spacing w:val="5"/>
                <w:sz w:val="20"/>
                <w:szCs w:val="20"/>
                <w:lang w:eastAsia="zh-CN"/>
              </w:rPr>
              <w:t>膳食补助全部吃进学生嘴里”及中华人民共和国财政部第</w:t>
            </w:r>
            <w:r>
              <w:rPr>
                <w:rFonts w:hint="eastAsia" w:asciiTheme="minorEastAsia" w:hAnsiTheme="minorEastAsia" w:eastAsiaTheme="minorEastAsia"/>
                <w:color w:val="333333"/>
                <w:spacing w:val="-34"/>
                <w:sz w:val="20"/>
                <w:szCs w:val="20"/>
                <w:lang w:eastAsia="zh-CN"/>
              </w:rPr>
              <w:t xml:space="preserve"> </w:t>
            </w:r>
            <w:r>
              <w:rPr>
                <w:rFonts w:hint="eastAsia" w:asciiTheme="minorEastAsia" w:hAnsiTheme="minorEastAsia" w:eastAsiaTheme="minorEastAsia"/>
                <w:color w:val="333333"/>
                <w:spacing w:val="5"/>
                <w:sz w:val="20"/>
                <w:szCs w:val="20"/>
                <w:lang w:eastAsia="zh-CN"/>
              </w:rPr>
              <w:t>87</w:t>
            </w:r>
            <w:r>
              <w:rPr>
                <w:rFonts w:hint="eastAsia" w:asciiTheme="minorEastAsia" w:hAnsiTheme="minorEastAsia" w:eastAsiaTheme="minorEastAsia"/>
                <w:color w:val="333333"/>
                <w:spacing w:val="-28"/>
                <w:sz w:val="20"/>
                <w:szCs w:val="20"/>
                <w:lang w:eastAsia="zh-CN"/>
              </w:rPr>
              <w:t xml:space="preserve"> </w:t>
            </w:r>
            <w:r>
              <w:rPr>
                <w:rFonts w:hint="eastAsia" w:asciiTheme="minorEastAsia" w:hAnsiTheme="minorEastAsia" w:eastAsiaTheme="minorEastAsia"/>
                <w:color w:val="333333"/>
                <w:spacing w:val="5"/>
                <w:sz w:val="20"/>
                <w:szCs w:val="20"/>
                <w:lang w:eastAsia="zh-CN"/>
              </w:rPr>
              <w:t>号令-第</w:t>
            </w:r>
            <w:r>
              <w:rPr>
                <w:rFonts w:hint="eastAsia" w:asciiTheme="minorEastAsia" w:hAnsiTheme="minorEastAsia" w:eastAsiaTheme="minorEastAsia"/>
                <w:color w:val="333333"/>
                <w:spacing w:val="-31"/>
                <w:sz w:val="20"/>
                <w:szCs w:val="20"/>
                <w:lang w:eastAsia="zh-CN"/>
              </w:rPr>
              <w:t xml:space="preserve"> </w:t>
            </w:r>
            <w:r>
              <w:rPr>
                <w:rFonts w:hint="eastAsia" w:asciiTheme="minorEastAsia" w:hAnsiTheme="minorEastAsia" w:eastAsiaTheme="minorEastAsia"/>
                <w:color w:val="333333"/>
                <w:spacing w:val="5"/>
                <w:sz w:val="20"/>
                <w:szCs w:val="20"/>
                <w:lang w:eastAsia="zh-CN"/>
              </w:rPr>
              <w:t>55</w:t>
            </w:r>
            <w:r>
              <w:rPr>
                <w:rFonts w:hint="eastAsia" w:asciiTheme="minorEastAsia" w:hAnsiTheme="minorEastAsia" w:eastAsiaTheme="minorEastAsia"/>
                <w:color w:val="333333"/>
                <w:spacing w:val="-32"/>
                <w:sz w:val="20"/>
                <w:szCs w:val="20"/>
                <w:lang w:eastAsia="zh-CN"/>
              </w:rPr>
              <w:t xml:space="preserve"> </w:t>
            </w:r>
            <w:r>
              <w:rPr>
                <w:rFonts w:hint="eastAsia" w:asciiTheme="minorEastAsia" w:hAnsiTheme="minorEastAsia" w:eastAsiaTheme="minorEastAsia"/>
                <w:color w:val="333333"/>
                <w:spacing w:val="5"/>
                <w:sz w:val="20"/>
                <w:szCs w:val="20"/>
                <w:lang w:eastAsia="zh-CN"/>
              </w:rPr>
              <w:t>条规定“执</w:t>
            </w:r>
            <w:r>
              <w:rPr>
                <w:rFonts w:hint="eastAsia" w:asciiTheme="minorEastAsia" w:hAnsiTheme="minorEastAsia" w:eastAsiaTheme="minorEastAsia"/>
                <w:color w:val="333333"/>
                <w:spacing w:val="10"/>
                <w:sz w:val="20"/>
                <w:szCs w:val="20"/>
                <w:lang w:eastAsia="zh-CN"/>
              </w:rPr>
              <w:t>行国家统一定价标准和采用固定价格采购的项目，</w:t>
            </w:r>
            <w:r>
              <w:rPr>
                <w:rFonts w:hint="eastAsia" w:asciiTheme="minorEastAsia" w:hAnsiTheme="minorEastAsia" w:eastAsiaTheme="minorEastAsia"/>
                <w:color w:val="333333"/>
                <w:spacing w:val="9"/>
                <w:sz w:val="20"/>
                <w:szCs w:val="20"/>
                <w:lang w:eastAsia="zh-CN"/>
              </w:rPr>
              <w:t>其价格不列为评审因素。</w:t>
            </w:r>
            <w:r>
              <w:rPr>
                <w:rFonts w:hint="eastAsia" w:asciiTheme="minorEastAsia" w:hAnsiTheme="minorEastAsia" w:eastAsiaTheme="minorEastAsia"/>
                <w:color w:val="333333"/>
                <w:spacing w:val="9"/>
                <w:sz w:val="20"/>
                <w:szCs w:val="20"/>
              </w:rPr>
              <w:t>”</w:t>
            </w:r>
            <w:r>
              <w:rPr>
                <w:rFonts w:hint="eastAsia" w:asciiTheme="minorEastAsia" w:hAnsiTheme="minorEastAsia" w:eastAsiaTheme="minorEastAsia"/>
                <w:color w:val="333333"/>
                <w:spacing w:val="6"/>
                <w:sz w:val="20"/>
                <w:szCs w:val="20"/>
              </w:rPr>
              <w:t>本项目投标报价不列为评审因素</w:t>
            </w:r>
            <w:r>
              <w:rPr>
                <w:rFonts w:hint="eastAsia" w:asciiTheme="minorEastAsia" w:hAnsiTheme="minorEastAsia" w:eastAsiaTheme="minorEastAsia"/>
                <w:color w:val="333333"/>
                <w:spacing w:val="6"/>
                <w:sz w:val="20"/>
                <w:szCs w:val="20"/>
                <w:lang w:eastAsia="zh-CN"/>
              </w:rPr>
              <w:t>。</w:t>
            </w:r>
          </w:p>
        </w:tc>
      </w:tr>
      <w:tr w14:paraId="33E24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restart"/>
            <w:tcBorders>
              <w:top w:val="single" w:color="auto" w:sz="4" w:space="0"/>
              <w:left w:val="single" w:color="auto" w:sz="4" w:space="0"/>
              <w:bottom w:val="single" w:color="auto" w:sz="4" w:space="0"/>
              <w:right w:val="single" w:color="auto" w:sz="4" w:space="0"/>
            </w:tcBorders>
            <w:vAlign w:val="center"/>
          </w:tcPr>
          <w:p w14:paraId="716BAA14">
            <w:pPr>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2.2.2</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14:paraId="48F2BDA0">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技术标</w:t>
            </w:r>
          </w:p>
          <w:p w14:paraId="611AE094">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（90分）</w:t>
            </w: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37309AE3">
            <w:pPr>
              <w:pStyle w:val="27"/>
              <w:spacing w:before="20" w:line="360" w:lineRule="auto"/>
              <w:ind w:left="169"/>
              <w:jc w:val="center"/>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1.</w:t>
            </w:r>
            <w:r>
              <w:rPr>
                <w:rFonts w:hint="eastAsia" w:asciiTheme="minorEastAsia" w:hAnsiTheme="minorEastAsia" w:eastAsiaTheme="minorEastAsia"/>
                <w:sz w:val="20"/>
                <w:szCs w:val="20"/>
              </w:rPr>
              <w:t>管理体系制度或方案措施</w:t>
            </w:r>
          </w:p>
          <w:p w14:paraId="1F6EE096">
            <w:pPr>
              <w:pStyle w:val="27"/>
              <w:spacing w:before="20" w:line="360"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2EA343A4">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针对本项目供应商提供完善的食材来源制度、食材采购管理制度、验收管理制度、食品储藏、操作规范、卫生管理控制或管理方案（食品卫生，人员卫生，环境卫生，垃圾处理方案等）、检验制度（含留样制度）入库管理、工作防范措施；与学校、膳食委员会建立沟通机制，定期了解学校、膳食委员会对食材质量、品种的意见建议，及时改进服务机制等内容；</w:t>
            </w:r>
          </w:p>
          <w:p w14:paraId="21A5A50A">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第一档：内容完整详尽，内容非常清晰，具体实施方案科学合理、全面性可靠性高、切合采购人实际需求，计15分；</w:t>
            </w:r>
          </w:p>
          <w:p w14:paraId="796FB5D9">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第二档：内容和具体实施方案有一定的合理性，全面性、能够一定程度上满足采购人需求，计1</w:t>
            </w:r>
            <w:r>
              <w:rPr>
                <w:rFonts w:hint="eastAsia" w:cs="宋体" w:asciiTheme="minorEastAsia" w:hAnsiTheme="minorEastAsia" w:eastAsiaTheme="minorEastAsia"/>
                <w:color w:val="333333"/>
                <w:spacing w:val="14"/>
                <w:sz w:val="20"/>
                <w:szCs w:val="20"/>
                <w:highlight w:val="none"/>
                <w:lang w:val="en-US" w:eastAsia="zh-CN"/>
              </w:rPr>
              <w:t>1</w:t>
            </w:r>
            <w:r>
              <w:rPr>
                <w:rFonts w:hint="eastAsia" w:cs="宋体" w:asciiTheme="minorEastAsia" w:hAnsiTheme="minorEastAsia" w:eastAsiaTheme="minorEastAsia"/>
                <w:color w:val="333333"/>
                <w:spacing w:val="14"/>
                <w:sz w:val="20"/>
                <w:szCs w:val="20"/>
                <w:highlight w:val="none"/>
                <w:lang w:eastAsia="zh-CN"/>
              </w:rPr>
              <w:t>分；</w:t>
            </w:r>
          </w:p>
          <w:p w14:paraId="1E22D0E5">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第三档：内容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7</w:t>
            </w:r>
            <w:r>
              <w:rPr>
                <w:rFonts w:hint="eastAsia" w:cs="宋体" w:asciiTheme="minorEastAsia" w:hAnsiTheme="minorEastAsia" w:eastAsiaTheme="minorEastAsia"/>
                <w:color w:val="333333"/>
                <w:spacing w:val="14"/>
                <w:sz w:val="20"/>
                <w:szCs w:val="20"/>
                <w:highlight w:val="none"/>
                <w:lang w:eastAsia="zh-CN"/>
              </w:rPr>
              <w:t>分。</w:t>
            </w:r>
          </w:p>
          <w:p w14:paraId="267818EB">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w:t>
            </w:r>
            <w:r>
              <w:rPr>
                <w:rFonts w:hint="eastAsia" w:cs="宋体" w:asciiTheme="minorEastAsia" w:hAnsiTheme="minorEastAsia" w:eastAsiaTheme="minorEastAsia"/>
                <w:color w:val="333333"/>
                <w:spacing w:val="14"/>
                <w:sz w:val="20"/>
                <w:szCs w:val="20"/>
                <w:highlight w:val="none"/>
                <w:lang w:val="en-US" w:eastAsia="zh-CN"/>
              </w:rPr>
              <w:t>4</w:t>
            </w:r>
            <w:r>
              <w:rPr>
                <w:rFonts w:hint="eastAsia" w:cs="宋体" w:asciiTheme="minorEastAsia" w:hAnsiTheme="minorEastAsia" w:eastAsiaTheme="minorEastAsia"/>
                <w:color w:val="333333"/>
                <w:spacing w:val="14"/>
                <w:sz w:val="20"/>
                <w:szCs w:val="20"/>
                <w:highlight w:val="none"/>
                <w:lang w:eastAsia="zh-CN"/>
              </w:rPr>
              <w:t>分。</w:t>
            </w:r>
          </w:p>
          <w:p w14:paraId="31CD6E3E">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w:t>
            </w:r>
            <w:r>
              <w:rPr>
                <w:rFonts w:hint="eastAsia" w:cs="宋体" w:asciiTheme="minorEastAsia" w:hAnsiTheme="minorEastAsia" w:eastAsiaTheme="minorEastAsia"/>
                <w:color w:val="333333"/>
                <w:spacing w:val="14"/>
                <w:sz w:val="20"/>
                <w:szCs w:val="20"/>
                <w:highlight w:val="none"/>
                <w:lang w:val="en-US" w:eastAsia="zh-CN"/>
              </w:rPr>
              <w:t>1</w:t>
            </w:r>
            <w:r>
              <w:rPr>
                <w:rFonts w:hint="eastAsia" w:cs="宋体" w:asciiTheme="minorEastAsia" w:hAnsiTheme="minorEastAsia" w:eastAsiaTheme="minorEastAsia"/>
                <w:color w:val="333333"/>
                <w:spacing w:val="14"/>
                <w:sz w:val="20"/>
                <w:szCs w:val="20"/>
                <w:highlight w:val="none"/>
                <w:lang w:eastAsia="zh-CN"/>
              </w:rPr>
              <w:t>分。</w:t>
            </w:r>
          </w:p>
          <w:p w14:paraId="2D03E49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6CFE4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0286E0EB">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0F3308D3">
            <w:pPr>
              <w:spacing w:line="360" w:lineRule="auto"/>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0F40E2AB">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2.食材选购人员职责体系和管理措施</w:t>
            </w:r>
          </w:p>
          <w:p w14:paraId="3E2A5A73">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6C6F4663">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36CE76DA">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56B0094F">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315B5790">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3E50218E">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34CBDF5A">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53B86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66F7C240">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04761B67">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5562FF54">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3.食材的质量、安全管理制度与保障措施或方案</w:t>
            </w:r>
          </w:p>
          <w:p w14:paraId="6B1A0867">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096C33C8">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针对本项目供应商提供食材的质量、安全的保证措施及方案包括食品质量保障新鲜与调换措施，食品质量安全的保证措施或方案等内容。</w:t>
            </w:r>
          </w:p>
          <w:p w14:paraId="68276E00">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11128A01">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42F0346A">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46923D3D">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3C1E5C61">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6B759B8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0164E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16D55108">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1985EB91">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1135B27A">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4.食品安全事故的预防措施及方案及可能事故后的应急预案</w:t>
            </w:r>
          </w:p>
          <w:p w14:paraId="4E3DB9E6">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52D3BF59">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为防止食品安全事故发生的预防措施及可能事故后的应急预案、安全应急预案等，从人员救治、危害控制、事故调查、善后处理等的全面性、预见性综合分析。</w:t>
            </w:r>
          </w:p>
          <w:p w14:paraId="16278884">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53C2CD9D">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4F352D70">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1DA16005">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1F5200F7">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4D6247B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1189B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5775C5B0">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154D1335">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10C27CAA">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5.相关人员的培训方案或措施</w:t>
            </w:r>
          </w:p>
          <w:p w14:paraId="7F325D74">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75F91223">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为更好的服务好本此项目，所提供的相关人员培训方案或措施。</w:t>
            </w:r>
          </w:p>
          <w:p w14:paraId="476437BD">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47A8D232">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1484EF26">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26698A19">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57AEA7C3">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46FF1FA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1A2DB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4F0E099A">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08D9A6FE">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4C017CC7">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6.配送方案（人员、车辆、时间、计划等）及配送过</w:t>
            </w:r>
          </w:p>
          <w:p w14:paraId="3A4B1C35">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程中遇到紧急、突发问题的解决方案和现场与各部</w:t>
            </w:r>
          </w:p>
          <w:p w14:paraId="52F8D5CE">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门的协调管理计划措施方案（15分）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52247945">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供应商根据鲁山县农村义务教育的学校位置，提前规划好路线图，提供配送方案，保证配送的时间按时到达，保证在规定的时间前，将食材送到位。包含运送制度、车辆配备安排、线路安排、全流程时间安排、储存条件；供应商在配送过程中，遇到紧急、突发问题时后的解决措施方案，反应时间、应急配送人员技术能力、服务保障现场与各部门的协调措施方案等内容。</w:t>
            </w:r>
          </w:p>
          <w:p w14:paraId="25104B81">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第一档：内容完整详尽，内容非常清晰，具体实施方案科学合理、全面性可靠性高、切合采购人实际需求，计15分；</w:t>
            </w:r>
          </w:p>
          <w:p w14:paraId="4236CC78">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11</w:t>
            </w:r>
            <w:r>
              <w:rPr>
                <w:rFonts w:hint="eastAsia" w:cs="宋体" w:asciiTheme="minorEastAsia" w:hAnsiTheme="minorEastAsia" w:eastAsiaTheme="minorEastAsia"/>
                <w:color w:val="333333"/>
                <w:spacing w:val="14"/>
                <w:sz w:val="20"/>
                <w:szCs w:val="20"/>
                <w:highlight w:val="none"/>
                <w:lang w:eastAsia="zh-CN"/>
              </w:rPr>
              <w:t>分；</w:t>
            </w:r>
          </w:p>
          <w:p w14:paraId="34E3F34A">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7</w:t>
            </w:r>
            <w:r>
              <w:rPr>
                <w:rFonts w:hint="eastAsia" w:cs="宋体" w:asciiTheme="minorEastAsia" w:hAnsiTheme="minorEastAsia" w:eastAsiaTheme="minorEastAsia"/>
                <w:color w:val="333333"/>
                <w:spacing w:val="14"/>
                <w:sz w:val="20"/>
                <w:szCs w:val="20"/>
                <w:highlight w:val="none"/>
                <w:lang w:eastAsia="zh-CN"/>
              </w:rPr>
              <w:t>分。</w:t>
            </w:r>
          </w:p>
          <w:p w14:paraId="290BF844">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w:t>
            </w:r>
            <w:r>
              <w:rPr>
                <w:rFonts w:hint="eastAsia" w:cs="宋体" w:asciiTheme="minorEastAsia" w:hAnsiTheme="minorEastAsia" w:eastAsiaTheme="minorEastAsia"/>
                <w:color w:val="333333"/>
                <w:spacing w:val="14"/>
                <w:sz w:val="20"/>
                <w:szCs w:val="20"/>
                <w:highlight w:val="none"/>
                <w:lang w:val="en-US" w:eastAsia="zh-CN"/>
              </w:rPr>
              <w:t>4</w:t>
            </w:r>
            <w:r>
              <w:rPr>
                <w:rFonts w:hint="eastAsia" w:cs="宋体" w:asciiTheme="minorEastAsia" w:hAnsiTheme="minorEastAsia" w:eastAsiaTheme="minorEastAsia"/>
                <w:color w:val="333333"/>
                <w:spacing w:val="14"/>
                <w:sz w:val="20"/>
                <w:szCs w:val="20"/>
                <w:highlight w:val="none"/>
                <w:lang w:eastAsia="zh-CN"/>
              </w:rPr>
              <w:t>分。</w:t>
            </w:r>
          </w:p>
          <w:p w14:paraId="696FDEE2">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56408586">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18E66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503F7BC8">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31698076">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031AD70D">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7.配送到位后，配合好学校食堂做餐的措施方案</w:t>
            </w:r>
          </w:p>
          <w:p w14:paraId="5A4E1597">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63292FBD">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供应商在把食材配送到指定地点后，配合好学校食堂做餐的服务措施方案，更好的为学校食堂提供便捷服务，为学生吃上一顿及时、质量有保证的午餐。</w:t>
            </w:r>
          </w:p>
          <w:p w14:paraId="7F6DB18E">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37C7645A">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31F7D330">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20937656">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1AD1CF22">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398CBB93">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621C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4EFF7752">
            <w:pPr>
              <w:jc w:val="center"/>
              <w:rPr>
                <w:rFonts w:cs="宋体" w:asciiTheme="minorEastAsia" w:hAnsiTheme="minorEastAsia" w:eastAsiaTheme="minorEastAsia"/>
                <w:sz w:val="20"/>
                <w:szCs w:val="20"/>
                <w:lang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14:paraId="7C10D689">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125B7FE3">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8.突发应急方案和投诉处理方案</w:t>
            </w:r>
          </w:p>
          <w:p w14:paraId="3D409770">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1DAE96F5">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供应商针对本项目制定的突发事件应急处置方案包括但不限于食品安全事故、交通运输意外、紧急任务、重要节日、自然灾害等方面的应急措施；供应商针对本项目提供可能发生的投诉事件，及应对投诉的处理方案，妥善解决好投诉事件；</w:t>
            </w:r>
          </w:p>
          <w:p w14:paraId="469F7589">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第一档：内容完整详尽，内容非常清晰，具体实施方案科学合理、全面性可靠性高、切合采购人实际需求，计10分；</w:t>
            </w:r>
          </w:p>
          <w:p w14:paraId="51A9F737">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第二档：内容和具体实施方案有一定的合理性，全面性、能够一定程度上满足采购人需求，计</w:t>
            </w:r>
            <w:r>
              <w:rPr>
                <w:rFonts w:hint="eastAsia" w:cs="宋体" w:asciiTheme="minorEastAsia" w:hAnsiTheme="minorEastAsia" w:eastAsiaTheme="minorEastAsia"/>
                <w:color w:val="333333"/>
                <w:spacing w:val="14"/>
                <w:sz w:val="20"/>
                <w:szCs w:val="20"/>
                <w:highlight w:val="none"/>
                <w:lang w:val="en-US" w:eastAsia="zh-CN"/>
              </w:rPr>
              <w:t>8</w:t>
            </w:r>
            <w:r>
              <w:rPr>
                <w:rFonts w:hint="eastAsia" w:cs="宋体" w:asciiTheme="minorEastAsia" w:hAnsiTheme="minorEastAsia" w:eastAsiaTheme="minorEastAsia"/>
                <w:color w:val="333333"/>
                <w:spacing w:val="14"/>
                <w:sz w:val="20"/>
                <w:szCs w:val="20"/>
                <w:highlight w:val="none"/>
                <w:lang w:eastAsia="zh-CN"/>
              </w:rPr>
              <w:t>分；</w:t>
            </w:r>
          </w:p>
          <w:p w14:paraId="704F72CD">
            <w:pPr>
              <w:spacing w:line="360" w:lineRule="auto"/>
              <w:rPr>
                <w:rFonts w:hint="eastAsia"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三</w:t>
            </w:r>
            <w:r>
              <w:rPr>
                <w:rFonts w:hint="eastAsia" w:cs="宋体" w:asciiTheme="minorEastAsia" w:hAnsiTheme="minorEastAsia" w:eastAsiaTheme="minorEastAsia"/>
                <w:color w:val="333333"/>
                <w:spacing w:val="14"/>
                <w:sz w:val="20"/>
                <w:szCs w:val="20"/>
                <w:highlight w:val="none"/>
                <w:lang w:eastAsia="zh-CN"/>
              </w:rPr>
              <w:t>档：内容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，具体实施方案内容</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、全面性可靠性</w:t>
            </w:r>
            <w:r>
              <w:rPr>
                <w:rFonts w:hint="eastAsia" w:cs="宋体" w:asciiTheme="minorEastAsia" w:hAnsiTheme="minorEastAsia" w:eastAsiaTheme="minorEastAsia"/>
                <w:color w:val="333333"/>
                <w:spacing w:val="14"/>
                <w:sz w:val="20"/>
                <w:szCs w:val="20"/>
                <w:highlight w:val="none"/>
                <w:lang w:val="en-US" w:eastAsia="zh-CN"/>
              </w:rPr>
              <w:t>一般</w:t>
            </w:r>
            <w:r>
              <w:rPr>
                <w:rFonts w:hint="eastAsia" w:cs="宋体" w:asciiTheme="minorEastAsia" w:hAnsiTheme="minorEastAsia" w:eastAsiaTheme="minorEastAsia"/>
                <w:color w:val="333333"/>
                <w:spacing w:val="14"/>
                <w:sz w:val="20"/>
                <w:szCs w:val="20"/>
                <w:highlight w:val="none"/>
                <w:lang w:eastAsia="zh-CN"/>
              </w:rPr>
              <w:t>，方案内容</w:t>
            </w:r>
            <w:r>
              <w:rPr>
                <w:rFonts w:hint="eastAsia" w:cs="宋体" w:asciiTheme="minorEastAsia" w:hAnsiTheme="minorEastAsia" w:eastAsiaTheme="minorEastAsia"/>
                <w:color w:val="333333"/>
                <w:spacing w:val="14"/>
                <w:sz w:val="20"/>
                <w:szCs w:val="20"/>
                <w:highlight w:val="none"/>
                <w:lang w:val="en-US" w:eastAsia="zh-CN"/>
              </w:rPr>
              <w:t>一般性</w:t>
            </w:r>
            <w:r>
              <w:rPr>
                <w:rFonts w:hint="eastAsia" w:cs="宋体" w:asciiTheme="minorEastAsia" w:hAnsiTheme="minorEastAsia" w:eastAsiaTheme="minorEastAsia"/>
                <w:color w:val="333333"/>
                <w:spacing w:val="14"/>
                <w:sz w:val="20"/>
                <w:szCs w:val="20"/>
                <w:highlight w:val="none"/>
                <w:lang w:eastAsia="zh-CN"/>
              </w:rPr>
              <w:t>满足招标文件要求的，计</w:t>
            </w:r>
            <w:r>
              <w:rPr>
                <w:rFonts w:hint="eastAsia" w:cs="宋体" w:asciiTheme="minorEastAsia" w:hAnsiTheme="minorEastAsia" w:eastAsiaTheme="minorEastAsia"/>
                <w:color w:val="333333"/>
                <w:spacing w:val="14"/>
                <w:sz w:val="20"/>
                <w:szCs w:val="20"/>
                <w:highlight w:val="none"/>
                <w:lang w:val="en-US" w:eastAsia="zh-CN"/>
              </w:rPr>
              <w:t>6</w:t>
            </w:r>
            <w:r>
              <w:rPr>
                <w:rFonts w:hint="eastAsia" w:cs="宋体" w:asciiTheme="minorEastAsia" w:hAnsiTheme="minorEastAsia" w:eastAsiaTheme="minorEastAsia"/>
                <w:color w:val="333333"/>
                <w:spacing w:val="14"/>
                <w:sz w:val="20"/>
                <w:szCs w:val="20"/>
                <w:highlight w:val="none"/>
                <w:lang w:eastAsia="zh-CN"/>
              </w:rPr>
              <w:t>分。</w:t>
            </w:r>
          </w:p>
          <w:p w14:paraId="57CF34BA">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四</w:t>
            </w:r>
            <w:r>
              <w:rPr>
                <w:rFonts w:hint="eastAsia" w:cs="宋体" w:asciiTheme="minorEastAsia" w:hAnsiTheme="minorEastAsia" w:eastAsiaTheme="minorEastAsia"/>
                <w:color w:val="333333"/>
                <w:spacing w:val="14"/>
                <w:sz w:val="20"/>
                <w:szCs w:val="20"/>
                <w:highlight w:val="none"/>
                <w:lang w:eastAsia="zh-CN"/>
              </w:rPr>
              <w:t>档：内容笼统，具体实施方案内容笼统、全面性可靠性笼统，方案内容基本满足招标文件要求的，计4分。</w:t>
            </w:r>
          </w:p>
          <w:p w14:paraId="3FB3D060">
            <w:pPr>
              <w:spacing w:line="360" w:lineRule="auto"/>
              <w:rPr>
                <w:rFonts w:cs="宋体" w:asciiTheme="minorEastAsia" w:hAnsiTheme="minorEastAsia" w:eastAsiaTheme="minorEastAsia"/>
                <w:color w:val="333333"/>
                <w:spacing w:val="14"/>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五</w:t>
            </w:r>
            <w:r>
              <w:rPr>
                <w:rFonts w:hint="eastAsia" w:cs="宋体" w:asciiTheme="minorEastAsia" w:hAnsiTheme="minorEastAsia" w:eastAsiaTheme="minorEastAsia"/>
                <w:color w:val="333333"/>
                <w:spacing w:val="14"/>
                <w:sz w:val="20"/>
                <w:szCs w:val="20"/>
                <w:highlight w:val="none"/>
                <w:lang w:eastAsia="zh-CN"/>
              </w:rPr>
              <w:t>档：内容不完整，具体实施方案内容不完整、全面性可靠性不完整，计1分。</w:t>
            </w:r>
          </w:p>
          <w:p w14:paraId="5267087A">
            <w:pPr>
              <w:spacing w:line="360" w:lineRule="auto"/>
              <w:rPr>
                <w:rFonts w:asciiTheme="minorEastAsia" w:hAnsiTheme="minorEastAsia" w:eastAsiaTheme="minorEastAsia"/>
                <w:sz w:val="20"/>
                <w:szCs w:val="20"/>
                <w:highlight w:val="none"/>
                <w:lang w:eastAsia="zh-CN"/>
              </w:rPr>
            </w:pPr>
            <w:r>
              <w:rPr>
                <w:rFonts w:hint="eastAsia" w:cs="宋体" w:asciiTheme="minorEastAsia" w:hAnsiTheme="minorEastAsia" w:eastAsiaTheme="minorEastAsia"/>
                <w:color w:val="333333"/>
                <w:spacing w:val="14"/>
                <w:sz w:val="20"/>
                <w:szCs w:val="20"/>
                <w:highlight w:val="none"/>
                <w:lang w:eastAsia="zh-CN"/>
              </w:rPr>
              <w:t>第</w:t>
            </w:r>
            <w:r>
              <w:rPr>
                <w:rFonts w:hint="eastAsia" w:cs="宋体" w:asciiTheme="minorEastAsia" w:hAnsiTheme="minorEastAsia" w:eastAsiaTheme="minorEastAsia"/>
                <w:color w:val="333333"/>
                <w:spacing w:val="14"/>
                <w:sz w:val="20"/>
                <w:szCs w:val="20"/>
                <w:highlight w:val="none"/>
                <w:lang w:val="en-US" w:eastAsia="zh-CN"/>
              </w:rPr>
              <w:t>六</w:t>
            </w:r>
            <w:r>
              <w:rPr>
                <w:rFonts w:hint="eastAsia" w:cs="宋体" w:asciiTheme="minorEastAsia" w:hAnsiTheme="minorEastAsia" w:eastAsiaTheme="minorEastAsia"/>
                <w:color w:val="333333"/>
                <w:spacing w:val="14"/>
                <w:sz w:val="20"/>
                <w:szCs w:val="20"/>
                <w:highlight w:val="none"/>
                <w:lang w:eastAsia="zh-CN"/>
              </w:rPr>
              <w:t>档：缺项不得分。</w:t>
            </w:r>
          </w:p>
        </w:tc>
      </w:tr>
      <w:tr w14:paraId="468BE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715" w:type="dxa"/>
            <w:vMerge w:val="restart"/>
            <w:tcBorders>
              <w:top w:val="single" w:color="auto" w:sz="4" w:space="0"/>
              <w:left w:val="single" w:color="auto" w:sz="4" w:space="0"/>
              <w:right w:val="single" w:color="auto" w:sz="4" w:space="0"/>
            </w:tcBorders>
            <w:vAlign w:val="center"/>
          </w:tcPr>
          <w:p w14:paraId="4DA290C1">
            <w:pPr>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2.2.3</w:t>
            </w:r>
          </w:p>
        </w:tc>
        <w:tc>
          <w:tcPr>
            <w:tcW w:w="955" w:type="dxa"/>
            <w:vMerge w:val="restart"/>
            <w:tcBorders>
              <w:top w:val="single" w:color="auto" w:sz="4" w:space="0"/>
              <w:left w:val="single" w:color="auto" w:sz="4" w:space="0"/>
              <w:right w:val="single" w:color="auto" w:sz="4" w:space="0"/>
            </w:tcBorders>
            <w:vAlign w:val="center"/>
          </w:tcPr>
          <w:p w14:paraId="2E75F97C">
            <w:pPr>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综合标</w:t>
            </w:r>
          </w:p>
          <w:p w14:paraId="0D240124">
            <w:pPr>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（10分）</w:t>
            </w: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0BFAA8CD">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冷链配送车</w:t>
            </w:r>
          </w:p>
          <w:p w14:paraId="4F6096A7">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w:t>
            </w:r>
            <w:r>
              <w:rPr>
                <w:rFonts w:cs="宋体"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分）</w:t>
            </w:r>
          </w:p>
        </w:tc>
        <w:tc>
          <w:tcPr>
            <w:tcW w:w="6051" w:type="dxa"/>
            <w:gridSpan w:val="2"/>
            <w:tcBorders>
              <w:top w:val="single" w:color="auto" w:sz="4" w:space="0"/>
              <w:left w:val="single" w:color="auto" w:sz="4" w:space="0"/>
              <w:bottom w:val="single" w:color="auto" w:sz="4" w:space="0"/>
              <w:right w:val="single" w:color="auto" w:sz="4" w:space="0"/>
            </w:tcBorders>
          </w:tcPr>
          <w:p w14:paraId="2E96404D">
            <w:pPr>
              <w:pStyle w:val="27"/>
              <w:spacing w:before="29" w:line="360" w:lineRule="auto"/>
              <w:ind w:left="106" w:right="105"/>
              <w:jc w:val="both"/>
              <w:rPr>
                <w:rFonts w:asciiTheme="minorEastAsia" w:hAnsiTheme="minorEastAsia" w:eastAsiaTheme="minorEastAsia"/>
                <w:color w:val="333333"/>
                <w:spacing w:val="14"/>
                <w:sz w:val="20"/>
                <w:szCs w:val="20"/>
                <w:lang w:eastAsia="zh-CN"/>
              </w:rPr>
            </w:pPr>
            <w:r>
              <w:rPr>
                <w:rFonts w:hint="eastAsia" w:asciiTheme="minorEastAsia" w:hAnsiTheme="minorEastAsia" w:eastAsiaTheme="minorEastAsia"/>
                <w:color w:val="333333"/>
                <w:spacing w:val="14"/>
                <w:sz w:val="20"/>
                <w:szCs w:val="20"/>
                <w:lang w:eastAsia="zh-CN"/>
              </w:rPr>
              <w:t>投标人冷链配送车（自有或租赁）,需提供车辆照片（车牌号要清晰，不清晰者不得分）、车辆行驶证；车辆为供应商租赁的需另外提供租赁合同、自有的需另外提供购买发票；缺项或不提供不得分。（4分）</w:t>
            </w:r>
          </w:p>
        </w:tc>
      </w:tr>
      <w:tr w14:paraId="63AA6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left w:val="single" w:color="auto" w:sz="4" w:space="0"/>
              <w:right w:val="single" w:color="auto" w:sz="4" w:space="0"/>
            </w:tcBorders>
            <w:vAlign w:val="center"/>
          </w:tcPr>
          <w:p w14:paraId="2465DFB3">
            <w:pPr>
              <w:jc w:val="center"/>
              <w:rPr>
                <w:rFonts w:cs="宋体" w:asciiTheme="minorEastAsia" w:hAnsiTheme="minorEastAsia" w:eastAsiaTheme="minorEastAsia"/>
                <w:sz w:val="20"/>
                <w:szCs w:val="20"/>
                <w:lang w:eastAsia="zh-CN"/>
              </w:rPr>
            </w:pPr>
          </w:p>
        </w:tc>
        <w:tc>
          <w:tcPr>
            <w:tcW w:w="955" w:type="dxa"/>
            <w:vMerge w:val="continue"/>
            <w:tcBorders>
              <w:left w:val="single" w:color="auto" w:sz="4" w:space="0"/>
              <w:right w:val="single" w:color="auto" w:sz="4" w:space="0"/>
            </w:tcBorders>
            <w:vAlign w:val="center"/>
          </w:tcPr>
          <w:p w14:paraId="73F74985">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2FFDC422">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厢式配送车</w:t>
            </w:r>
          </w:p>
          <w:p w14:paraId="1AE155CA">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w:t>
            </w:r>
            <w:r>
              <w:rPr>
                <w:rFonts w:cs="宋体"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分）</w:t>
            </w:r>
          </w:p>
        </w:tc>
        <w:tc>
          <w:tcPr>
            <w:tcW w:w="6051" w:type="dxa"/>
            <w:gridSpan w:val="2"/>
            <w:tcBorders>
              <w:top w:val="single" w:color="auto" w:sz="4" w:space="0"/>
              <w:left w:val="single" w:color="auto" w:sz="4" w:space="0"/>
              <w:bottom w:val="single" w:color="auto" w:sz="4" w:space="0"/>
              <w:right w:val="single" w:color="auto" w:sz="4" w:space="0"/>
            </w:tcBorders>
          </w:tcPr>
          <w:p w14:paraId="3A31E73A">
            <w:pPr>
              <w:pStyle w:val="27"/>
              <w:spacing w:before="26" w:line="360" w:lineRule="auto"/>
              <w:ind w:left="106" w:right="105" w:firstLine="5"/>
              <w:jc w:val="both"/>
              <w:rPr>
                <w:rFonts w:asciiTheme="minorEastAsia" w:hAnsiTheme="minorEastAsia" w:eastAsiaTheme="minorEastAsia"/>
                <w:color w:val="333333"/>
                <w:spacing w:val="14"/>
                <w:sz w:val="20"/>
                <w:szCs w:val="20"/>
                <w:lang w:eastAsia="zh-CN"/>
              </w:rPr>
            </w:pPr>
            <w:r>
              <w:rPr>
                <w:rFonts w:hint="eastAsia" w:asciiTheme="minorEastAsia" w:hAnsiTheme="minorEastAsia" w:eastAsiaTheme="minorEastAsia"/>
                <w:color w:val="333333"/>
                <w:spacing w:val="14"/>
                <w:sz w:val="20"/>
                <w:szCs w:val="20"/>
                <w:lang w:eastAsia="zh-CN"/>
              </w:rPr>
              <w:t>投标人厢式配送车（自有或租赁）,需提供车辆照片（车牌号要清晰，不清晰者不得分）、车辆行驶证；车辆为供应商租赁的需另外提供租赁合同、自有的需另外提供购买发票；缺项或不提供不得分。（4分）</w:t>
            </w:r>
          </w:p>
        </w:tc>
      </w:tr>
      <w:tr w14:paraId="64CB3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715" w:type="dxa"/>
            <w:vMerge w:val="continue"/>
            <w:tcBorders>
              <w:left w:val="single" w:color="auto" w:sz="4" w:space="0"/>
              <w:right w:val="single" w:color="auto" w:sz="4" w:space="0"/>
            </w:tcBorders>
            <w:vAlign w:val="center"/>
          </w:tcPr>
          <w:p w14:paraId="46787157">
            <w:pPr>
              <w:jc w:val="center"/>
              <w:rPr>
                <w:rFonts w:cs="宋体" w:asciiTheme="minorEastAsia" w:hAnsiTheme="minorEastAsia" w:eastAsiaTheme="minorEastAsia"/>
                <w:sz w:val="20"/>
                <w:szCs w:val="20"/>
                <w:lang w:eastAsia="zh-CN"/>
              </w:rPr>
            </w:pPr>
          </w:p>
        </w:tc>
        <w:tc>
          <w:tcPr>
            <w:tcW w:w="955" w:type="dxa"/>
            <w:vMerge w:val="continue"/>
            <w:tcBorders>
              <w:left w:val="single" w:color="auto" w:sz="4" w:space="0"/>
              <w:right w:val="single" w:color="auto" w:sz="4" w:space="0"/>
            </w:tcBorders>
            <w:vAlign w:val="center"/>
          </w:tcPr>
          <w:p w14:paraId="6FFD8A95">
            <w:pPr>
              <w:jc w:val="center"/>
              <w:rPr>
                <w:rFonts w:cs="宋体" w:asciiTheme="minorEastAsia" w:hAnsiTheme="minorEastAsia" w:eastAsiaTheme="minorEastAsia"/>
                <w:sz w:val="20"/>
                <w:szCs w:val="20"/>
                <w:lang w:eastAsia="zh-CN"/>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14:paraId="0CEF6BA0">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业绩</w:t>
            </w:r>
          </w:p>
          <w:p w14:paraId="20B37B61">
            <w:pPr>
              <w:spacing w:line="360" w:lineRule="auto"/>
              <w:jc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14:paraId="46613A28">
            <w:pPr>
              <w:spacing w:line="360" w:lineRule="auto"/>
              <w:rPr>
                <w:rFonts w:cs="宋体" w:asciiTheme="minorEastAsia" w:hAnsiTheme="minorEastAsia" w:eastAsiaTheme="minorEastAsia"/>
                <w:color w:val="333333"/>
                <w:spacing w:val="14"/>
                <w:sz w:val="20"/>
                <w:szCs w:val="20"/>
                <w:lang w:eastAsia="zh-CN"/>
              </w:rPr>
            </w:pPr>
            <w:r>
              <w:rPr>
                <w:rFonts w:hint="eastAsia" w:cs="宋体" w:asciiTheme="minorEastAsia" w:hAnsiTheme="minorEastAsia" w:eastAsiaTheme="minorEastAsia"/>
                <w:color w:val="333333"/>
                <w:spacing w:val="14"/>
                <w:sz w:val="20"/>
                <w:szCs w:val="20"/>
                <w:lang w:eastAsia="zh-CN"/>
              </w:rPr>
              <w:t>供应商自202</w:t>
            </w:r>
            <w:r>
              <w:rPr>
                <w:rFonts w:hint="eastAsia" w:cs="宋体" w:asciiTheme="minorEastAsia" w:hAnsiTheme="minorEastAsia" w:eastAsiaTheme="minorEastAsia"/>
                <w:color w:val="333333"/>
                <w:spacing w:val="14"/>
                <w:sz w:val="20"/>
                <w:szCs w:val="20"/>
                <w:lang w:val="en-US" w:eastAsia="zh-CN"/>
              </w:rPr>
              <w:t>2</w:t>
            </w:r>
            <w:r>
              <w:rPr>
                <w:rFonts w:hint="eastAsia" w:cs="宋体" w:asciiTheme="minorEastAsia" w:hAnsiTheme="minorEastAsia" w:eastAsiaTheme="minorEastAsia"/>
                <w:color w:val="333333"/>
                <w:spacing w:val="14"/>
                <w:sz w:val="20"/>
                <w:szCs w:val="20"/>
                <w:lang w:eastAsia="zh-CN"/>
              </w:rPr>
              <w:t>年1月1日以来承担过1个类似项目，业绩需提供中标通知书和合同，具备齐全者得2分，否则不计分，本项最多得2分。（日期以合同签订日期为准）</w:t>
            </w:r>
          </w:p>
        </w:tc>
      </w:tr>
    </w:tbl>
    <w:p w14:paraId="2E137082">
      <w:pPr>
        <w:spacing w:line="328" w:lineRule="auto"/>
        <w:rPr>
          <w:rFonts w:asciiTheme="minorEastAsia" w:hAnsiTheme="minorEastAsia" w:eastAsiaTheme="minorEastAsia" w:cstheme="minorEastAsia"/>
          <w:lang w:eastAsia="zh-CN"/>
        </w:rPr>
      </w:pPr>
    </w:p>
    <w:p w14:paraId="10156FFE">
      <w:pPr>
        <w:rPr>
          <w:rFonts w:asciiTheme="minorEastAsia" w:hAnsiTheme="minorEastAsia" w:eastAsiaTheme="minorEastAsia" w:cstheme="minorEastAsia"/>
          <w:b/>
          <w:bCs/>
          <w:spacing w:val="-1"/>
          <w:sz w:val="31"/>
          <w:szCs w:val="31"/>
          <w:lang w:eastAsia="zh-CN"/>
        </w:rPr>
      </w:pPr>
      <w:bookmarkStart w:id="447" w:name="bookmark48"/>
      <w:bookmarkEnd w:id="447"/>
      <w:bookmarkStart w:id="448" w:name="bookmark47"/>
      <w:bookmarkEnd w:id="448"/>
      <w:r>
        <w:rPr>
          <w:rFonts w:hint="eastAsia" w:asciiTheme="minorEastAsia" w:hAnsiTheme="minorEastAsia" w:eastAsiaTheme="minorEastAsia" w:cstheme="minorEastAsia"/>
          <w:b/>
          <w:bCs/>
          <w:spacing w:val="-1"/>
          <w:sz w:val="31"/>
          <w:szCs w:val="31"/>
          <w:lang w:eastAsia="zh-CN"/>
        </w:rPr>
        <w:br w:type="page"/>
      </w:r>
    </w:p>
    <w:p w14:paraId="4E9B5CD7">
      <w:pPr>
        <w:pStyle w:val="6"/>
        <w:spacing w:line="360" w:lineRule="auto"/>
        <w:ind w:firstLine="618" w:firstLineChars="200"/>
        <w:outlineLvl w:val="1"/>
        <w:rPr>
          <w:rFonts w:asciiTheme="minorEastAsia" w:hAnsiTheme="minorEastAsia" w:eastAsiaTheme="minorEastAsia" w:cstheme="minorEastAsia"/>
          <w:sz w:val="31"/>
          <w:szCs w:val="31"/>
          <w:lang w:eastAsia="zh-CN"/>
        </w:rPr>
      </w:pPr>
      <w:bookmarkStart w:id="449" w:name="_Toc17980"/>
      <w:r>
        <w:rPr>
          <w:rFonts w:hint="eastAsia" w:asciiTheme="minorEastAsia" w:hAnsiTheme="minorEastAsia" w:eastAsiaTheme="minorEastAsia" w:cstheme="minorEastAsia"/>
          <w:b/>
          <w:bCs/>
          <w:spacing w:val="-1"/>
          <w:sz w:val="31"/>
          <w:szCs w:val="31"/>
          <w:lang w:eastAsia="zh-CN"/>
        </w:rPr>
        <w:t>1.评标方法</w:t>
      </w:r>
      <w:bookmarkEnd w:id="449"/>
    </w:p>
    <w:p w14:paraId="4AA21A05">
      <w:pPr>
        <w:pStyle w:val="6"/>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本次评标采用综合评估法。评标委员会对满足招标文</w:t>
      </w:r>
      <w:r>
        <w:rPr>
          <w:rFonts w:hint="eastAsia" w:asciiTheme="minorEastAsia" w:hAnsiTheme="minorEastAsia" w:eastAsiaTheme="minorEastAsia" w:cstheme="minorEastAsia"/>
          <w:spacing w:val="-1"/>
          <w:sz w:val="21"/>
          <w:szCs w:val="21"/>
          <w:lang w:eastAsia="zh-CN"/>
        </w:rPr>
        <w:t>件实质性要求的投标文件，按照本章第</w:t>
      </w:r>
      <w:r>
        <w:rPr>
          <w:rFonts w:hint="eastAsia" w:asciiTheme="minorEastAsia" w:hAnsiTheme="minorEastAsia" w:eastAsiaTheme="minorEastAsia" w:cstheme="minorEastAsia"/>
          <w:spacing w:val="-42"/>
          <w:sz w:val="21"/>
          <w:szCs w:val="21"/>
          <w:lang w:eastAsia="zh-CN"/>
        </w:rPr>
        <w:t xml:space="preserve"> </w:t>
      </w:r>
      <w:r>
        <w:rPr>
          <w:rFonts w:hint="eastAsia" w:asciiTheme="minorEastAsia" w:hAnsiTheme="minorEastAsia" w:eastAsiaTheme="minorEastAsia" w:cstheme="minorEastAsia"/>
          <w:spacing w:val="-1"/>
          <w:sz w:val="21"/>
          <w:szCs w:val="21"/>
          <w:lang w:eastAsia="zh-CN"/>
        </w:rPr>
        <w:t>2.2</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1"/>
          <w:sz w:val="21"/>
          <w:szCs w:val="21"/>
          <w:lang w:eastAsia="zh-CN"/>
        </w:rPr>
        <w:t>款规定的评分标准进行打分，并按得分由高到低顺序每标段推荐</w:t>
      </w:r>
      <w:r>
        <w:rPr>
          <w:rFonts w:hint="eastAsia" w:asciiTheme="minorEastAsia" w:hAnsiTheme="minorEastAsia" w:eastAsiaTheme="minorEastAsia" w:cstheme="minorEastAsia"/>
          <w:spacing w:val="-40"/>
          <w:sz w:val="21"/>
          <w:szCs w:val="21"/>
          <w:lang w:eastAsia="zh-CN"/>
        </w:rPr>
        <w:t xml:space="preserve"> </w:t>
      </w:r>
      <w:r>
        <w:rPr>
          <w:rFonts w:hint="eastAsia" w:asciiTheme="minorEastAsia" w:hAnsiTheme="minorEastAsia" w:eastAsiaTheme="minorEastAsia" w:cstheme="minorEastAsia"/>
          <w:spacing w:val="-2"/>
          <w:sz w:val="21"/>
          <w:szCs w:val="21"/>
          <w:lang w:eastAsia="zh-CN"/>
        </w:rPr>
        <w:t>3</w:t>
      </w:r>
      <w:r>
        <w:rPr>
          <w:rFonts w:hint="eastAsia" w:asciiTheme="minorEastAsia" w:hAnsiTheme="minorEastAsia" w:eastAsiaTheme="minorEastAsia" w:cstheme="minorEastAsia"/>
          <w:spacing w:val="-44"/>
          <w:sz w:val="21"/>
          <w:szCs w:val="21"/>
          <w:lang w:eastAsia="zh-CN"/>
        </w:rPr>
        <w:t xml:space="preserve"> </w:t>
      </w:r>
      <w:r>
        <w:rPr>
          <w:rFonts w:hint="eastAsia" w:asciiTheme="minorEastAsia" w:hAnsiTheme="minorEastAsia" w:eastAsiaTheme="minorEastAsia" w:cstheme="minorEastAsia"/>
          <w:spacing w:val="-2"/>
          <w:sz w:val="21"/>
          <w:szCs w:val="21"/>
          <w:lang w:eastAsia="zh-CN"/>
        </w:rPr>
        <w:t>名中标候选人。</w:t>
      </w:r>
    </w:p>
    <w:p w14:paraId="08180215">
      <w:pPr>
        <w:pStyle w:val="6"/>
        <w:spacing w:line="360" w:lineRule="auto"/>
        <w:ind w:firstLine="630" w:firstLineChars="200"/>
        <w:outlineLvl w:val="1"/>
        <w:rPr>
          <w:rFonts w:asciiTheme="minorEastAsia" w:hAnsiTheme="minorEastAsia" w:eastAsiaTheme="minorEastAsia" w:cstheme="minorEastAsia"/>
          <w:sz w:val="31"/>
          <w:szCs w:val="31"/>
          <w:lang w:eastAsia="zh-CN"/>
        </w:rPr>
      </w:pPr>
      <w:bookmarkStart w:id="450" w:name="bookmark49"/>
      <w:bookmarkEnd w:id="450"/>
      <w:bookmarkStart w:id="451" w:name="bookmark50"/>
      <w:bookmarkEnd w:id="451"/>
      <w:bookmarkStart w:id="452" w:name="_Toc6716"/>
      <w:r>
        <w:rPr>
          <w:rFonts w:hint="eastAsia" w:asciiTheme="minorEastAsia" w:hAnsiTheme="minorEastAsia" w:eastAsiaTheme="minorEastAsia" w:cstheme="minorEastAsia"/>
          <w:b/>
          <w:bCs/>
          <w:spacing w:val="2"/>
          <w:sz w:val="31"/>
          <w:szCs w:val="31"/>
          <w:lang w:eastAsia="zh-CN"/>
        </w:rPr>
        <w:t>2.评审标准</w:t>
      </w:r>
      <w:bookmarkEnd w:id="452"/>
    </w:p>
    <w:p w14:paraId="29EE66A7">
      <w:pPr>
        <w:pStyle w:val="6"/>
        <w:spacing w:line="360" w:lineRule="auto"/>
        <w:ind w:firstLine="638" w:firstLineChars="200"/>
        <w:outlineLvl w:val="2"/>
        <w:rPr>
          <w:rFonts w:asciiTheme="minorEastAsia" w:hAnsiTheme="minorEastAsia" w:eastAsiaTheme="minorEastAsia" w:cstheme="minorEastAsia"/>
          <w:sz w:val="31"/>
          <w:szCs w:val="31"/>
          <w:lang w:eastAsia="zh-CN"/>
        </w:rPr>
      </w:pPr>
      <w:bookmarkStart w:id="453" w:name="_Toc14722"/>
      <w:r>
        <w:rPr>
          <w:rFonts w:hint="eastAsia" w:asciiTheme="minorEastAsia" w:hAnsiTheme="minorEastAsia" w:eastAsiaTheme="minorEastAsia" w:cstheme="minorEastAsia"/>
          <w:b/>
          <w:bCs/>
          <w:spacing w:val="4"/>
          <w:sz w:val="31"/>
          <w:szCs w:val="31"/>
          <w:lang w:eastAsia="zh-CN"/>
        </w:rPr>
        <w:t>2.1</w:t>
      </w:r>
      <w:r>
        <w:rPr>
          <w:rFonts w:hint="eastAsia" w:asciiTheme="minorEastAsia" w:hAnsiTheme="minorEastAsia" w:eastAsiaTheme="minorEastAsia" w:cstheme="minorEastAsia"/>
          <w:spacing w:val="4"/>
          <w:sz w:val="31"/>
          <w:szCs w:val="31"/>
          <w:lang w:eastAsia="zh-CN"/>
        </w:rPr>
        <w:t xml:space="preserve"> </w:t>
      </w:r>
      <w:r>
        <w:rPr>
          <w:rFonts w:hint="eastAsia" w:asciiTheme="minorEastAsia" w:hAnsiTheme="minorEastAsia" w:eastAsiaTheme="minorEastAsia" w:cstheme="minorEastAsia"/>
          <w:b/>
          <w:bCs/>
          <w:spacing w:val="4"/>
          <w:sz w:val="31"/>
          <w:szCs w:val="31"/>
          <w:lang w:eastAsia="zh-CN"/>
        </w:rPr>
        <w:t>初步评审标准</w:t>
      </w:r>
      <w:bookmarkEnd w:id="453"/>
    </w:p>
    <w:p w14:paraId="5FEFAD19">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2.1.1 形式评审标准：见评标办法前附表。</w:t>
      </w:r>
    </w:p>
    <w:p w14:paraId="480AF193">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2.1.2 资格评审标准：资格评审按《中华人民共和国财政部令第</w:t>
      </w:r>
      <w:r>
        <w:rPr>
          <w:rFonts w:hint="eastAsia" w:asciiTheme="minorEastAsia" w:hAnsiTheme="minorEastAsia" w:eastAsiaTheme="minorEastAsia" w:cstheme="minorEastAsia"/>
          <w:spacing w:val="-14"/>
          <w:sz w:val="21"/>
          <w:szCs w:val="21"/>
          <w:lang w:eastAsia="zh-CN"/>
        </w:rPr>
        <w:t xml:space="preserve"> </w:t>
      </w:r>
      <w:r>
        <w:rPr>
          <w:rFonts w:hint="eastAsia" w:asciiTheme="minorEastAsia" w:hAnsiTheme="minorEastAsia" w:eastAsiaTheme="minorEastAsia" w:cstheme="minorEastAsia"/>
          <w:spacing w:val="-1"/>
          <w:sz w:val="21"/>
          <w:szCs w:val="21"/>
          <w:lang w:eastAsia="zh-CN"/>
        </w:rPr>
        <w:t>87 号--政府采购货物和服务招标投标管理办法》。“第四十四条”公开招标采购项目开标结束</w:t>
      </w:r>
      <w:r>
        <w:rPr>
          <w:rFonts w:hint="eastAsia" w:asciiTheme="minorEastAsia" w:hAnsiTheme="minorEastAsia" w:eastAsiaTheme="minorEastAsia" w:cstheme="minorEastAsia"/>
          <w:spacing w:val="-2"/>
          <w:sz w:val="21"/>
          <w:szCs w:val="21"/>
          <w:lang w:eastAsia="zh-CN"/>
        </w:rPr>
        <w:t>后，采购人或者采购代理机构应当依法对投标人的资格进行审查。合格投标人不足</w:t>
      </w:r>
      <w:r>
        <w:rPr>
          <w:rFonts w:hint="eastAsia" w:asciiTheme="minorEastAsia" w:hAnsiTheme="minorEastAsia" w:eastAsiaTheme="minorEastAsia" w:cstheme="minorEastAsia"/>
          <w:spacing w:val="-24"/>
          <w:sz w:val="21"/>
          <w:szCs w:val="21"/>
          <w:lang w:eastAsia="zh-CN"/>
        </w:rPr>
        <w:t xml:space="preserve"> </w:t>
      </w:r>
      <w:r>
        <w:rPr>
          <w:rFonts w:hint="eastAsia" w:asciiTheme="minorEastAsia" w:hAnsiTheme="minorEastAsia" w:eastAsiaTheme="minorEastAsia" w:cstheme="minorEastAsia"/>
          <w:spacing w:val="-2"/>
          <w:sz w:val="21"/>
          <w:szCs w:val="21"/>
          <w:lang w:eastAsia="zh-CN"/>
        </w:rPr>
        <w:t>3</w:t>
      </w:r>
      <w:r>
        <w:rPr>
          <w:rFonts w:hint="eastAsia" w:asciiTheme="minorEastAsia" w:hAnsiTheme="minorEastAsia" w:eastAsiaTheme="minorEastAsia" w:cstheme="minorEastAsia"/>
          <w:spacing w:val="-42"/>
          <w:sz w:val="21"/>
          <w:szCs w:val="21"/>
          <w:lang w:eastAsia="zh-CN"/>
        </w:rPr>
        <w:t xml:space="preserve"> </w:t>
      </w:r>
      <w:r>
        <w:rPr>
          <w:rFonts w:hint="eastAsia" w:asciiTheme="minorEastAsia" w:hAnsiTheme="minorEastAsia" w:eastAsiaTheme="minorEastAsia" w:cstheme="minorEastAsia"/>
          <w:spacing w:val="-2"/>
          <w:sz w:val="21"/>
          <w:szCs w:val="21"/>
          <w:lang w:eastAsia="zh-CN"/>
        </w:rPr>
        <w:t>家的，不得评标。</w:t>
      </w:r>
    </w:p>
    <w:p w14:paraId="22EA6999">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2.1.3</w:t>
      </w:r>
      <w:r>
        <w:rPr>
          <w:rFonts w:hint="eastAsia" w:asciiTheme="minorEastAsia" w:hAnsiTheme="minorEastAsia" w:eastAsiaTheme="minorEastAsia" w:cstheme="minorEastAsia"/>
          <w:spacing w:val="-31"/>
          <w:sz w:val="21"/>
          <w:szCs w:val="21"/>
          <w:lang w:eastAsia="zh-CN"/>
        </w:rPr>
        <w:t xml:space="preserve"> </w:t>
      </w:r>
      <w:r>
        <w:rPr>
          <w:rFonts w:hint="eastAsia" w:asciiTheme="minorEastAsia" w:hAnsiTheme="minorEastAsia" w:eastAsiaTheme="minorEastAsia" w:cstheme="minorEastAsia"/>
          <w:spacing w:val="-2"/>
          <w:sz w:val="21"/>
          <w:szCs w:val="21"/>
          <w:lang w:eastAsia="zh-CN"/>
        </w:rPr>
        <w:t>响应性评审标准：见评标办法前附表。</w:t>
      </w:r>
    </w:p>
    <w:p w14:paraId="6C208F96">
      <w:pPr>
        <w:pStyle w:val="6"/>
        <w:spacing w:line="360" w:lineRule="auto"/>
        <w:ind w:firstLine="642" w:firstLineChars="200"/>
        <w:outlineLvl w:val="2"/>
        <w:rPr>
          <w:rFonts w:asciiTheme="minorEastAsia" w:hAnsiTheme="minorEastAsia" w:eastAsiaTheme="minorEastAsia" w:cstheme="minorEastAsia"/>
          <w:sz w:val="31"/>
          <w:szCs w:val="31"/>
          <w:lang w:eastAsia="zh-CN"/>
        </w:rPr>
      </w:pPr>
      <w:bookmarkStart w:id="454" w:name="_Toc13329"/>
      <w:r>
        <w:rPr>
          <w:rFonts w:hint="eastAsia" w:asciiTheme="minorEastAsia" w:hAnsiTheme="minorEastAsia" w:eastAsiaTheme="minorEastAsia" w:cstheme="minorEastAsia"/>
          <w:b/>
          <w:bCs/>
          <w:spacing w:val="5"/>
          <w:sz w:val="31"/>
          <w:szCs w:val="31"/>
          <w:lang w:eastAsia="zh-CN"/>
        </w:rPr>
        <w:t>2.2</w:t>
      </w:r>
      <w:r>
        <w:rPr>
          <w:rFonts w:hint="eastAsia" w:asciiTheme="minorEastAsia" w:hAnsiTheme="minorEastAsia" w:eastAsiaTheme="minorEastAsia" w:cstheme="minorEastAsia"/>
          <w:spacing w:val="5"/>
          <w:sz w:val="31"/>
          <w:szCs w:val="31"/>
          <w:lang w:eastAsia="zh-CN"/>
        </w:rPr>
        <w:t xml:space="preserve"> </w:t>
      </w:r>
      <w:r>
        <w:rPr>
          <w:rFonts w:hint="eastAsia" w:asciiTheme="minorEastAsia" w:hAnsiTheme="minorEastAsia" w:eastAsiaTheme="minorEastAsia" w:cstheme="minorEastAsia"/>
          <w:b/>
          <w:bCs/>
          <w:spacing w:val="5"/>
          <w:sz w:val="31"/>
          <w:szCs w:val="31"/>
          <w:lang w:eastAsia="zh-CN"/>
        </w:rPr>
        <w:t>分值构成与评分标准</w:t>
      </w:r>
      <w:bookmarkEnd w:id="454"/>
    </w:p>
    <w:p w14:paraId="0A75DF23">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2.2.1 技术标：见评标办法前附表；</w:t>
      </w:r>
    </w:p>
    <w:p w14:paraId="1F5ACDC7">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2.2.2 商务标：见评标办法前附表；</w:t>
      </w:r>
    </w:p>
    <w:p w14:paraId="694879A7">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2.2.3 综合标：见评标办法前附表；</w:t>
      </w:r>
    </w:p>
    <w:p w14:paraId="29B5F1D7">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2.2.4 评分标准:见评标办法前附表；</w:t>
      </w:r>
    </w:p>
    <w:p w14:paraId="21BDA699">
      <w:pPr>
        <w:pStyle w:val="6"/>
        <w:spacing w:line="360" w:lineRule="auto"/>
        <w:ind w:firstLine="626" w:firstLineChars="200"/>
        <w:outlineLvl w:val="1"/>
        <w:rPr>
          <w:rFonts w:asciiTheme="minorEastAsia" w:hAnsiTheme="minorEastAsia" w:eastAsiaTheme="minorEastAsia" w:cstheme="minorEastAsia"/>
          <w:sz w:val="31"/>
          <w:szCs w:val="31"/>
          <w:lang w:eastAsia="zh-CN"/>
        </w:rPr>
      </w:pPr>
      <w:bookmarkStart w:id="455" w:name="bookmark51"/>
      <w:bookmarkEnd w:id="455"/>
      <w:bookmarkStart w:id="456" w:name="bookmark52"/>
      <w:bookmarkEnd w:id="456"/>
      <w:bookmarkStart w:id="457" w:name="_Toc31918"/>
      <w:r>
        <w:rPr>
          <w:rFonts w:hint="eastAsia" w:asciiTheme="minorEastAsia" w:hAnsiTheme="minorEastAsia" w:eastAsiaTheme="minorEastAsia" w:cstheme="minorEastAsia"/>
          <w:b/>
          <w:bCs/>
          <w:spacing w:val="1"/>
          <w:sz w:val="31"/>
          <w:szCs w:val="31"/>
          <w:lang w:eastAsia="zh-CN"/>
        </w:rPr>
        <w:t>3.评标程序</w:t>
      </w:r>
      <w:bookmarkEnd w:id="457"/>
    </w:p>
    <w:p w14:paraId="6773EB0B">
      <w:pPr>
        <w:pStyle w:val="6"/>
        <w:spacing w:line="360" w:lineRule="auto"/>
        <w:ind w:firstLine="634" w:firstLineChars="200"/>
        <w:outlineLvl w:val="2"/>
        <w:rPr>
          <w:rFonts w:asciiTheme="minorEastAsia" w:hAnsiTheme="minorEastAsia" w:eastAsiaTheme="minorEastAsia" w:cstheme="minorEastAsia"/>
          <w:sz w:val="31"/>
          <w:szCs w:val="31"/>
          <w:lang w:eastAsia="zh-CN"/>
        </w:rPr>
      </w:pPr>
      <w:bookmarkStart w:id="458" w:name="_Toc30118"/>
      <w:r>
        <w:rPr>
          <w:rFonts w:hint="eastAsia" w:asciiTheme="minorEastAsia" w:hAnsiTheme="minorEastAsia" w:eastAsiaTheme="minorEastAsia" w:cstheme="minorEastAsia"/>
          <w:b/>
          <w:bCs/>
          <w:spacing w:val="3"/>
          <w:sz w:val="31"/>
          <w:szCs w:val="31"/>
          <w:lang w:eastAsia="zh-CN"/>
        </w:rPr>
        <w:t>3.1</w:t>
      </w:r>
      <w:r>
        <w:rPr>
          <w:rFonts w:hint="eastAsia" w:asciiTheme="minorEastAsia" w:hAnsiTheme="minorEastAsia" w:eastAsiaTheme="minorEastAsia" w:cstheme="minorEastAsia"/>
          <w:spacing w:val="3"/>
          <w:sz w:val="31"/>
          <w:szCs w:val="31"/>
          <w:lang w:eastAsia="zh-CN"/>
        </w:rPr>
        <w:t xml:space="preserve"> </w:t>
      </w:r>
      <w:r>
        <w:rPr>
          <w:rFonts w:hint="eastAsia" w:asciiTheme="minorEastAsia" w:hAnsiTheme="minorEastAsia" w:eastAsiaTheme="minorEastAsia" w:cstheme="minorEastAsia"/>
          <w:b/>
          <w:bCs/>
          <w:spacing w:val="3"/>
          <w:sz w:val="31"/>
          <w:szCs w:val="31"/>
          <w:lang w:eastAsia="zh-CN"/>
        </w:rPr>
        <w:t>初步评审</w:t>
      </w:r>
      <w:bookmarkEnd w:id="458"/>
    </w:p>
    <w:p w14:paraId="08954767">
      <w:pPr>
        <w:pStyle w:val="6"/>
        <w:spacing w:line="360" w:lineRule="auto"/>
        <w:ind w:firstLine="424"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3.1.1 评标委员会依据本章第 2.1 款规定的标准对投标文件进行初步评审。有一</w:t>
      </w:r>
      <w:r>
        <w:rPr>
          <w:rFonts w:hint="eastAsia" w:asciiTheme="minorEastAsia" w:hAnsiTheme="minorEastAsia" w:eastAsiaTheme="minorEastAsia" w:cstheme="minorEastAsia"/>
          <w:sz w:val="21"/>
          <w:szCs w:val="21"/>
          <w:lang w:eastAsia="zh-CN"/>
        </w:rPr>
        <w:t xml:space="preserve">项不符合评审 </w:t>
      </w:r>
      <w:r>
        <w:rPr>
          <w:rFonts w:hint="eastAsia" w:asciiTheme="minorEastAsia" w:hAnsiTheme="minorEastAsia" w:eastAsiaTheme="minorEastAsia" w:cstheme="minorEastAsia"/>
          <w:spacing w:val="-1"/>
          <w:sz w:val="21"/>
          <w:szCs w:val="21"/>
          <w:lang w:eastAsia="zh-CN"/>
        </w:rPr>
        <w:t>标准的，否决其投标。</w:t>
      </w:r>
    </w:p>
    <w:p w14:paraId="1CADF93E">
      <w:pPr>
        <w:pStyle w:val="6"/>
        <w:spacing w:line="360" w:lineRule="auto"/>
        <w:ind w:firstLine="41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eastAsia="zh-CN"/>
        </w:rPr>
        <w:t xml:space="preserve">3.1.2 </w:t>
      </w:r>
      <w:r>
        <w:rPr>
          <w:rFonts w:hint="eastAsia" w:asciiTheme="minorEastAsia" w:hAnsiTheme="minorEastAsia" w:eastAsiaTheme="minorEastAsia" w:cstheme="minorEastAsia"/>
          <w:b/>
          <w:bCs/>
          <w:spacing w:val="-2"/>
          <w:sz w:val="21"/>
          <w:szCs w:val="21"/>
          <w:lang w:eastAsia="zh-CN"/>
        </w:rPr>
        <w:t>投标人有以下情形之一的，其投标将被否决：</w:t>
      </w:r>
    </w:p>
    <w:p w14:paraId="783F2B0C">
      <w:pPr>
        <w:pStyle w:val="6"/>
        <w:spacing w:line="360" w:lineRule="auto"/>
        <w:ind w:firstLine="40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pacing w:val="-4"/>
          <w:sz w:val="21"/>
          <w:szCs w:val="21"/>
          <w:lang w:eastAsia="zh-CN"/>
        </w:rPr>
        <w:t>(l）串通投标或弄虚作假或有其他违法行为的；</w:t>
      </w:r>
    </w:p>
    <w:p w14:paraId="33329002">
      <w:pPr>
        <w:pStyle w:val="6"/>
        <w:spacing w:line="360" w:lineRule="auto"/>
        <w:ind w:firstLine="402" w:firstLineChars="200"/>
        <w:rPr>
          <w:rFonts w:asciiTheme="minorEastAsia" w:hAnsiTheme="minorEastAsia" w:eastAsiaTheme="minorEastAsia" w:cstheme="minorEastAsia"/>
          <w:b/>
          <w:bCs/>
          <w:spacing w:val="-5"/>
          <w:sz w:val="21"/>
          <w:szCs w:val="21"/>
          <w:lang w:eastAsia="zh-CN"/>
        </w:rPr>
      </w:pPr>
      <w:r>
        <w:rPr>
          <w:rFonts w:hint="eastAsia" w:asciiTheme="minorEastAsia" w:hAnsiTheme="minorEastAsia" w:eastAsiaTheme="minorEastAsia" w:cstheme="minorEastAsia"/>
          <w:b/>
          <w:bCs/>
          <w:spacing w:val="-5"/>
          <w:sz w:val="21"/>
          <w:szCs w:val="21"/>
          <w:lang w:eastAsia="zh-CN"/>
        </w:rPr>
        <w:t>(2）不按评标委员会要求澄清、说明或补正的。</w:t>
      </w:r>
    </w:p>
    <w:p w14:paraId="6774144D">
      <w:pPr>
        <w:pStyle w:val="6"/>
        <w:spacing w:line="360" w:lineRule="auto"/>
        <w:ind w:firstLine="440" w:firstLineChars="200"/>
        <w:outlineLvl w:val="2"/>
        <w:rPr>
          <w:rFonts w:asciiTheme="minorEastAsia" w:hAnsiTheme="minorEastAsia" w:eastAsiaTheme="minorEastAsia" w:cstheme="minorEastAsia"/>
          <w:sz w:val="31"/>
          <w:szCs w:val="31"/>
          <w:lang w:eastAsia="zh-CN"/>
        </w:rPr>
      </w:pPr>
      <w:r>
        <w:rPr>
          <w:rFonts w:hint="eastAsia" w:asciiTheme="minorEastAsia" w:hAnsiTheme="minorEastAsia" w:eastAsiaTheme="minorEastAsia" w:cstheme="minorEastAsia"/>
          <w:spacing w:val="5"/>
          <w:sz w:val="21"/>
          <w:szCs w:val="21"/>
          <w:lang w:eastAsia="zh-CN"/>
        </w:rPr>
        <w:t xml:space="preserve"> </w:t>
      </w:r>
      <w:bookmarkStart w:id="459" w:name="_Toc24388"/>
      <w:r>
        <w:rPr>
          <w:rFonts w:hint="eastAsia" w:asciiTheme="minorEastAsia" w:hAnsiTheme="minorEastAsia" w:eastAsiaTheme="minorEastAsia" w:cstheme="minorEastAsia"/>
          <w:b/>
          <w:bCs/>
          <w:sz w:val="31"/>
          <w:szCs w:val="31"/>
          <w:lang w:eastAsia="zh-CN"/>
        </w:rPr>
        <w:t>3.2</w:t>
      </w:r>
      <w:r>
        <w:rPr>
          <w:rFonts w:hint="eastAsia" w:asciiTheme="minorEastAsia" w:hAnsiTheme="minorEastAsia" w:eastAsiaTheme="minorEastAsia" w:cstheme="minorEastAsia"/>
          <w:spacing w:val="26"/>
          <w:sz w:val="31"/>
          <w:szCs w:val="31"/>
          <w:lang w:eastAsia="zh-CN"/>
        </w:rPr>
        <w:t xml:space="preserve"> </w:t>
      </w:r>
      <w:r>
        <w:rPr>
          <w:rFonts w:hint="eastAsia" w:asciiTheme="minorEastAsia" w:hAnsiTheme="minorEastAsia" w:eastAsiaTheme="minorEastAsia" w:cstheme="minorEastAsia"/>
          <w:b/>
          <w:bCs/>
          <w:sz w:val="31"/>
          <w:szCs w:val="31"/>
          <w:lang w:eastAsia="zh-CN"/>
        </w:rPr>
        <w:t>详细评审</w:t>
      </w:r>
      <w:bookmarkEnd w:id="459"/>
    </w:p>
    <w:p w14:paraId="30BBF41E">
      <w:pPr>
        <w:pStyle w:val="6"/>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3.2.1 评标委员会按本章第</w:t>
      </w:r>
      <w:r>
        <w:rPr>
          <w:rFonts w:hint="eastAsia" w:asciiTheme="minorEastAsia" w:hAnsiTheme="minorEastAsia" w:eastAsiaTheme="minorEastAsia" w:cstheme="minorEastAsia"/>
          <w:spacing w:val="-41"/>
          <w:sz w:val="21"/>
          <w:szCs w:val="21"/>
          <w:lang w:eastAsia="zh-CN"/>
        </w:rPr>
        <w:t xml:space="preserve"> </w:t>
      </w:r>
      <w:r>
        <w:rPr>
          <w:rFonts w:hint="eastAsia" w:asciiTheme="minorEastAsia" w:hAnsiTheme="minorEastAsia" w:eastAsiaTheme="minorEastAsia" w:cstheme="minorEastAsia"/>
          <w:sz w:val="21"/>
          <w:szCs w:val="21"/>
          <w:lang w:eastAsia="zh-CN"/>
        </w:rPr>
        <w:t>2.2 款规定的量化因素</w:t>
      </w:r>
      <w:r>
        <w:rPr>
          <w:rFonts w:hint="eastAsia" w:asciiTheme="minorEastAsia" w:hAnsiTheme="minorEastAsia" w:eastAsiaTheme="minorEastAsia" w:cstheme="minorEastAsia"/>
          <w:spacing w:val="-1"/>
          <w:sz w:val="21"/>
          <w:szCs w:val="21"/>
          <w:lang w:eastAsia="zh-CN"/>
        </w:rPr>
        <w:t>和分值进行打分，并计算出综合评估得分。</w:t>
      </w:r>
    </w:p>
    <w:p w14:paraId="72E596D4">
      <w:pPr>
        <w:pStyle w:val="6"/>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3.2.2 评分分值计算保留小数点后两位，小数点后第三位</w:t>
      </w:r>
      <w:r>
        <w:rPr>
          <w:rFonts w:hint="eastAsia" w:asciiTheme="minorEastAsia" w:hAnsiTheme="minorEastAsia" w:eastAsiaTheme="minorEastAsia" w:cstheme="minorEastAsia"/>
          <w:spacing w:val="-1"/>
          <w:sz w:val="21"/>
          <w:szCs w:val="21"/>
          <w:lang w:eastAsia="zh-CN"/>
        </w:rPr>
        <w:t>“四舍五入”。</w:t>
      </w:r>
    </w:p>
    <w:p w14:paraId="6A082846">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3.2.3 最终得分为各个评委计分的算术平均值。</w:t>
      </w:r>
    </w:p>
    <w:p w14:paraId="10959DEF">
      <w:pPr>
        <w:pStyle w:val="6"/>
        <w:spacing w:line="360" w:lineRule="auto"/>
        <w:ind w:firstLine="642" w:firstLineChars="200"/>
        <w:outlineLvl w:val="2"/>
        <w:rPr>
          <w:rFonts w:asciiTheme="minorEastAsia" w:hAnsiTheme="minorEastAsia" w:eastAsiaTheme="minorEastAsia" w:cstheme="minorEastAsia"/>
          <w:sz w:val="31"/>
          <w:szCs w:val="31"/>
          <w:lang w:eastAsia="zh-CN"/>
        </w:rPr>
      </w:pPr>
      <w:bookmarkStart w:id="460" w:name="_Toc32267"/>
      <w:r>
        <w:rPr>
          <w:rFonts w:hint="eastAsia" w:asciiTheme="minorEastAsia" w:hAnsiTheme="minorEastAsia" w:eastAsiaTheme="minorEastAsia" w:cstheme="minorEastAsia"/>
          <w:b/>
          <w:bCs/>
          <w:spacing w:val="5"/>
          <w:sz w:val="31"/>
          <w:szCs w:val="31"/>
          <w:lang w:eastAsia="zh-CN"/>
        </w:rPr>
        <w:t>3.3</w:t>
      </w:r>
      <w:r>
        <w:rPr>
          <w:rFonts w:hint="eastAsia" w:asciiTheme="minorEastAsia" w:hAnsiTheme="minorEastAsia" w:eastAsiaTheme="minorEastAsia" w:cstheme="minorEastAsia"/>
          <w:spacing w:val="5"/>
          <w:sz w:val="31"/>
          <w:szCs w:val="31"/>
          <w:lang w:eastAsia="zh-CN"/>
        </w:rPr>
        <w:t xml:space="preserve"> </w:t>
      </w:r>
      <w:r>
        <w:rPr>
          <w:rFonts w:hint="eastAsia" w:asciiTheme="minorEastAsia" w:hAnsiTheme="minorEastAsia" w:eastAsiaTheme="minorEastAsia" w:cstheme="minorEastAsia"/>
          <w:b/>
          <w:bCs/>
          <w:spacing w:val="5"/>
          <w:sz w:val="31"/>
          <w:szCs w:val="31"/>
          <w:lang w:eastAsia="zh-CN"/>
        </w:rPr>
        <w:t>投标文件的澄清和补正</w:t>
      </w:r>
      <w:bookmarkEnd w:id="460"/>
    </w:p>
    <w:p w14:paraId="7DCBCEBF">
      <w:pPr>
        <w:spacing w:line="360" w:lineRule="auto"/>
        <w:ind w:firstLine="420" w:firstLineChars="200"/>
        <w:rPr>
          <w:rFonts w:asciiTheme="minorEastAsia" w:hAnsiTheme="minorEastAsia" w:eastAsiaTheme="minorEastAsia" w:cstheme="minorEastAsia"/>
          <w:lang w:eastAsia="zh-CN"/>
        </w:rPr>
      </w:pPr>
    </w:p>
    <w:p w14:paraId="7B290ADF">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3.3.1 在评标过程中，评标委员会可以书面形式要求投</w:t>
      </w:r>
      <w:r>
        <w:rPr>
          <w:rFonts w:hint="eastAsia" w:asciiTheme="minorEastAsia" w:hAnsiTheme="minorEastAsia" w:eastAsiaTheme="minorEastAsia" w:cstheme="minorEastAsia"/>
          <w:spacing w:val="-2"/>
          <w:sz w:val="21"/>
          <w:szCs w:val="21"/>
          <w:lang w:eastAsia="zh-CN"/>
        </w:rPr>
        <w:t>标人对所提交投标文件中不明确的内容进</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1"/>
          <w:sz w:val="21"/>
          <w:szCs w:val="21"/>
          <w:lang w:eastAsia="zh-CN"/>
        </w:rPr>
        <w:t>行书面澄清或说明，或者对细微偏差进行补正。评标委员会</w:t>
      </w:r>
      <w:r>
        <w:rPr>
          <w:rFonts w:hint="eastAsia" w:asciiTheme="minorEastAsia" w:hAnsiTheme="minorEastAsia" w:eastAsiaTheme="minorEastAsia" w:cstheme="minorEastAsia"/>
          <w:spacing w:val="-2"/>
          <w:sz w:val="21"/>
          <w:szCs w:val="21"/>
          <w:lang w:eastAsia="zh-CN"/>
        </w:rPr>
        <w:t>不接受投标人主动提出的澄清、说明或补</w:t>
      </w:r>
      <w:r>
        <w:rPr>
          <w:rFonts w:hint="eastAsia" w:asciiTheme="minorEastAsia" w:hAnsiTheme="minorEastAsia" w:eastAsiaTheme="minorEastAsia" w:cstheme="minorEastAsia"/>
          <w:spacing w:val="-10"/>
          <w:sz w:val="21"/>
          <w:szCs w:val="21"/>
          <w:lang w:eastAsia="zh-CN"/>
        </w:rPr>
        <w:t>正。</w:t>
      </w:r>
    </w:p>
    <w:p w14:paraId="3922D735">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3.3.2 澄清、说明和补正不得改变投标文件的实质性内</w:t>
      </w:r>
      <w:r>
        <w:rPr>
          <w:rFonts w:hint="eastAsia" w:asciiTheme="minorEastAsia" w:hAnsiTheme="minorEastAsia" w:eastAsiaTheme="minorEastAsia" w:cstheme="minorEastAsia"/>
          <w:spacing w:val="-2"/>
          <w:sz w:val="21"/>
          <w:szCs w:val="21"/>
          <w:lang w:eastAsia="zh-CN"/>
        </w:rPr>
        <w:t>容（算术性错误修正的除外）。投标人的</w:t>
      </w:r>
      <w:r>
        <w:rPr>
          <w:rFonts w:hint="eastAsia" w:asciiTheme="minorEastAsia" w:hAnsiTheme="minorEastAsia" w:eastAsiaTheme="minorEastAsia" w:cstheme="minorEastAsia"/>
          <w:spacing w:val="-1"/>
          <w:sz w:val="21"/>
          <w:szCs w:val="21"/>
          <w:lang w:eastAsia="zh-CN"/>
        </w:rPr>
        <w:t>书面澄清、说明和补正属于投标文件的组成部</w:t>
      </w:r>
      <w:r>
        <w:rPr>
          <w:rFonts w:hint="eastAsia" w:asciiTheme="minorEastAsia" w:hAnsiTheme="minorEastAsia" w:eastAsiaTheme="minorEastAsia" w:cstheme="minorEastAsia"/>
          <w:spacing w:val="-2"/>
          <w:sz w:val="21"/>
          <w:szCs w:val="21"/>
          <w:lang w:eastAsia="zh-CN"/>
        </w:rPr>
        <w:t>分。</w:t>
      </w:r>
    </w:p>
    <w:p w14:paraId="7AFF1326">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3.3.3 评标委员会对投标人提交的澄清、说明或补正有</w:t>
      </w:r>
      <w:r>
        <w:rPr>
          <w:rFonts w:hint="eastAsia" w:asciiTheme="minorEastAsia" w:hAnsiTheme="minorEastAsia" w:eastAsiaTheme="minorEastAsia" w:cstheme="minorEastAsia"/>
          <w:spacing w:val="-2"/>
          <w:sz w:val="21"/>
          <w:szCs w:val="21"/>
          <w:lang w:eastAsia="zh-CN"/>
        </w:rPr>
        <w:t>疑问的，可以要求投标人进一步澄清、说</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pacing w:val="-3"/>
          <w:sz w:val="21"/>
          <w:szCs w:val="21"/>
          <w:lang w:eastAsia="zh-CN"/>
        </w:rPr>
        <w:t>明或补正，直至满足评标委员会的要求。</w:t>
      </w:r>
    </w:p>
    <w:p w14:paraId="6EE26EBB">
      <w:pPr>
        <w:pStyle w:val="6"/>
        <w:spacing w:line="360" w:lineRule="auto"/>
        <w:ind w:firstLine="634" w:firstLineChars="200"/>
        <w:outlineLvl w:val="2"/>
        <w:rPr>
          <w:rFonts w:asciiTheme="minorEastAsia" w:hAnsiTheme="minorEastAsia" w:eastAsiaTheme="minorEastAsia" w:cstheme="minorEastAsia"/>
          <w:sz w:val="31"/>
          <w:szCs w:val="31"/>
          <w:lang w:eastAsia="zh-CN"/>
        </w:rPr>
      </w:pPr>
      <w:bookmarkStart w:id="461" w:name="_Toc17215"/>
      <w:r>
        <w:rPr>
          <w:rFonts w:hint="eastAsia" w:asciiTheme="minorEastAsia" w:hAnsiTheme="minorEastAsia" w:eastAsiaTheme="minorEastAsia" w:cstheme="minorEastAsia"/>
          <w:b/>
          <w:bCs/>
          <w:spacing w:val="3"/>
          <w:sz w:val="31"/>
          <w:szCs w:val="31"/>
          <w:lang w:eastAsia="zh-CN"/>
        </w:rPr>
        <w:t>3.4</w:t>
      </w:r>
      <w:r>
        <w:rPr>
          <w:rFonts w:hint="eastAsia" w:asciiTheme="minorEastAsia" w:hAnsiTheme="minorEastAsia" w:eastAsiaTheme="minorEastAsia" w:cstheme="minorEastAsia"/>
          <w:spacing w:val="3"/>
          <w:sz w:val="31"/>
          <w:szCs w:val="31"/>
          <w:lang w:eastAsia="zh-CN"/>
        </w:rPr>
        <w:t xml:space="preserve"> </w:t>
      </w:r>
      <w:r>
        <w:rPr>
          <w:rFonts w:hint="eastAsia" w:asciiTheme="minorEastAsia" w:hAnsiTheme="minorEastAsia" w:eastAsiaTheme="minorEastAsia" w:cstheme="minorEastAsia"/>
          <w:b/>
          <w:bCs/>
          <w:spacing w:val="3"/>
          <w:sz w:val="31"/>
          <w:szCs w:val="31"/>
          <w:lang w:eastAsia="zh-CN"/>
        </w:rPr>
        <w:t>评标结果</w:t>
      </w:r>
      <w:bookmarkEnd w:id="461"/>
    </w:p>
    <w:p w14:paraId="1031DFF2">
      <w:pPr>
        <w:pStyle w:val="6"/>
        <w:spacing w:line="360" w:lineRule="auto"/>
        <w:ind w:firstLine="416"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
          <w:sz w:val="21"/>
          <w:szCs w:val="21"/>
          <w:lang w:eastAsia="zh-CN"/>
        </w:rPr>
        <w:t>3.4.1 评标委员会按照得分由高到低的顺序每个标段</w:t>
      </w:r>
      <w:r>
        <w:rPr>
          <w:rFonts w:hint="eastAsia" w:asciiTheme="minorEastAsia" w:hAnsiTheme="minorEastAsia" w:eastAsiaTheme="minorEastAsia" w:cstheme="minorEastAsia"/>
          <w:spacing w:val="-2"/>
          <w:sz w:val="21"/>
          <w:szCs w:val="21"/>
          <w:lang w:eastAsia="zh-CN"/>
        </w:rPr>
        <w:t>推荐</w:t>
      </w:r>
      <w:r>
        <w:rPr>
          <w:rFonts w:hint="eastAsia" w:asciiTheme="minorEastAsia" w:hAnsiTheme="minorEastAsia" w:eastAsiaTheme="minorEastAsia" w:cstheme="minorEastAsia"/>
          <w:spacing w:val="-40"/>
          <w:sz w:val="21"/>
          <w:szCs w:val="21"/>
          <w:lang w:eastAsia="zh-CN"/>
        </w:rPr>
        <w:t xml:space="preserve"> </w:t>
      </w:r>
      <w:r>
        <w:rPr>
          <w:rFonts w:hint="eastAsia" w:asciiTheme="minorEastAsia" w:hAnsiTheme="minorEastAsia" w:eastAsiaTheme="minorEastAsia" w:cstheme="minorEastAsia"/>
          <w:spacing w:val="-2"/>
          <w:sz w:val="21"/>
          <w:szCs w:val="21"/>
          <w:lang w:eastAsia="zh-CN"/>
        </w:rPr>
        <w:t>3</w:t>
      </w:r>
      <w:r>
        <w:rPr>
          <w:rFonts w:hint="eastAsia" w:asciiTheme="minorEastAsia" w:hAnsiTheme="minorEastAsia" w:eastAsiaTheme="minorEastAsia" w:cstheme="minorEastAsia"/>
          <w:spacing w:val="-41"/>
          <w:sz w:val="21"/>
          <w:szCs w:val="21"/>
          <w:lang w:eastAsia="zh-CN"/>
        </w:rPr>
        <w:t xml:space="preserve"> </w:t>
      </w:r>
      <w:r>
        <w:rPr>
          <w:rFonts w:hint="eastAsia" w:asciiTheme="minorEastAsia" w:hAnsiTheme="minorEastAsia" w:eastAsiaTheme="minorEastAsia" w:cstheme="minorEastAsia"/>
          <w:spacing w:val="-2"/>
          <w:sz w:val="21"/>
          <w:szCs w:val="21"/>
          <w:lang w:eastAsia="zh-CN"/>
        </w:rPr>
        <w:t>名中标候选人。</w:t>
      </w:r>
    </w:p>
    <w:p w14:paraId="478FBD0B">
      <w:pPr>
        <w:pStyle w:val="6"/>
        <w:spacing w:line="360" w:lineRule="auto"/>
        <w:ind w:firstLine="41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1"/>
          <w:szCs w:val="21"/>
          <w:lang w:eastAsia="zh-CN"/>
        </w:rPr>
        <w:t>3.4.2 评标委员会完成评标后，应当向采购人提交书面评标报告。</w:t>
      </w:r>
    </w:p>
    <w:sectPr>
      <w:headerReference r:id="rId8" w:type="first"/>
      <w:footerReference r:id="rId10" w:type="first"/>
      <w:headerReference r:id="rId7" w:type="default"/>
      <w:footerReference r:id="rId9" w:type="default"/>
      <w:pgSz w:w="11907" w:h="16841"/>
      <w:pgMar w:top="1417" w:right="1417" w:bottom="1417" w:left="1417" w:header="863" w:footer="998" w:gutter="0"/>
      <w:pgBorders>
        <w:top w:val="none" w:sz="0" w:space="0"/>
        <w:left w:val="none" w:sz="0" w:space="0"/>
        <w:bottom w:val="none" w:sz="0" w:space="0"/>
        <w:right w:val="none" w:sz="0" w:space="0"/>
      </w:pgBorders>
      <w:pgNumType w:fmt="numberInDash" w:start="1"/>
      <w:cols w:space="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E66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279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CB21">
    <w:pPr>
      <w:pStyle w:val="12"/>
      <w:pBdr>
        <w:top w:val="single" w:color="000000" w:themeColor="text1" w:sz="18" w:space="1"/>
        <w:left w:val="none" w:color="auto" w:sz="0" w:space="4"/>
        <w:bottom w:val="none" w:color="auto" w:sz="0" w:space="1"/>
        <w:right w:val="none" w:color="auto" w:sz="0" w:space="4"/>
        <w:between w:val="none" w:color="auto" w:sz="0" w:space="0"/>
      </w:pBdr>
      <w:kinsoku w:val="0"/>
      <w:autoSpaceDE w:val="0"/>
      <w:autoSpaceDN w:val="0"/>
      <w:adjustRightInd w:val="0"/>
      <w:snapToGrid w:val="0"/>
      <w:textAlignment w:val="baseline"/>
      <w:rPr>
        <w:rFonts w:hint="default"/>
        <w:b/>
        <w:bCs/>
        <w:lang w:val="en-US"/>
      </w:rPr>
    </w:pPr>
    <w:r>
      <w:rPr>
        <w:b/>
        <w:bCs/>
        <w:sz w:val="18"/>
      </w:rPr>
      <w:pict>
        <v:shape id="_x0000_s2067" o:spid="_x0000_s2067" o:spt="202" type="#_x0000_t202" style="position:absolute;left:0pt;margin-left:218.8pt;margin-top:0pt;height:144pt;width:144p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643FD08">
                <w:pPr>
                  <w:pStyle w:val="12"/>
                </w:pPr>
                <w:r>
                  <w:fldChar w:fldCharType="begin"/>
                </w:r>
                <w:r>
                  <w:instrText xml:space="preserve"> PAGE  \* MERGEFORMAT </w:instrText>
                </w:r>
                <w:r>
                  <w:fldChar w:fldCharType="separate"/>
                </w:r>
                <w:r>
                  <w:t>- 1 -</w:t>
                </w:r>
                <w:r>
                  <w:fldChar w:fldCharType="end"/>
                </w:r>
              </w:p>
            </w:txbxContent>
          </v:textbox>
        </v:shape>
      </w:pict>
    </w:r>
    <w:r>
      <w:rPr>
        <w:rFonts w:hint="eastAsia" w:eastAsia="宋体"/>
        <w:b/>
        <w:bCs/>
        <w:lang w:val="en-US" w:eastAsia="zh-CN"/>
      </w:rPr>
      <w:t>河南润豫工程管理有限公司</w:t>
    </w:r>
  </w:p>
  <w:p w14:paraId="5FBDA0FD">
    <w:pPr>
      <w:pStyle w:val="12"/>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946E">
    <w:pPr>
      <w:pStyle w:val="12"/>
      <w:pBdr>
        <w:top w:val="single" w:color="000000" w:themeColor="text1" w:sz="18" w:space="1"/>
        <w:left w:val="none" w:color="auto" w:sz="0" w:space="4"/>
        <w:bottom w:val="none" w:color="auto" w:sz="0" w:space="1"/>
        <w:right w:val="none" w:color="auto" w:sz="0" w:space="4"/>
        <w:between w:val="none" w:color="auto" w:sz="0" w:space="0"/>
      </w:pBdr>
      <w:kinsoku w:val="0"/>
      <w:autoSpaceDE w:val="0"/>
      <w:autoSpaceDN w:val="0"/>
      <w:adjustRightInd w:val="0"/>
      <w:snapToGrid w:val="0"/>
      <w:textAlignment w:val="baseline"/>
      <w:rPr>
        <w:rFonts w:hint="default"/>
        <w:b/>
        <w:bCs/>
        <w:lang w:val="en-US"/>
      </w:rPr>
    </w:pPr>
    <w:r>
      <w:rPr>
        <w:b/>
        <w:bCs/>
        <w:sz w:val="18"/>
      </w:rPr>
      <w:pict>
        <v:shape id="_x0000_s2061" o:spid="_x0000_s206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4CF0C5F">
                <w:pPr>
                  <w:pStyle w:val="12"/>
                </w:pPr>
                <w:r>
                  <w:fldChar w:fldCharType="begin"/>
                </w:r>
                <w:r>
                  <w:instrText xml:space="preserve"> PAGE  \* MERGEFORMAT </w:instrText>
                </w:r>
                <w:r>
                  <w:fldChar w:fldCharType="separate"/>
                </w:r>
                <w:r>
                  <w:t>- 1 -</w:t>
                </w:r>
                <w:r>
                  <w:fldChar w:fldCharType="end"/>
                </w:r>
              </w:p>
            </w:txbxContent>
          </v:textbox>
        </v:shape>
      </w:pict>
    </w:r>
    <w:r>
      <w:rPr>
        <w:rFonts w:hint="eastAsia" w:eastAsia="宋体"/>
        <w:b/>
        <w:bCs/>
        <w:lang w:val="en-US" w:eastAsia="zh-CN"/>
      </w:rPr>
      <w:t>河南润豫工程管理有限公司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FF9D">
    <w:pPr>
      <w:pStyle w:val="6"/>
      <w:spacing w:before="16" w:line="219" w:lineRule="auto"/>
      <w:ind w:left="36"/>
      <w:rPr>
        <w:b/>
        <w:bCs/>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85C1">
    <w:pPr>
      <w:pStyle w:val="6"/>
      <w:spacing w:before="16" w:line="219" w:lineRule="auto"/>
      <w:ind w:left="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5245D">
    <w:pPr>
      <w:pStyle w:val="6"/>
      <w:spacing w:before="16" w:line="219" w:lineRule="auto"/>
      <w:ind w:left="36"/>
    </w:pPr>
    <w:r>
      <w:rPr>
        <w:rFonts w:hint="eastAsia"/>
        <w:b/>
        <w:bCs/>
        <w:sz w:val="18"/>
        <w:szCs w:val="18"/>
        <w:lang w:eastAsia="zh-CN"/>
      </w:rPr>
      <w:t>鲁山县教育体育局鲁山县农村义务教育学校营养改善计划食材采购项目</w:t>
    </w:r>
    <w:r>
      <w:rPr>
        <w:b/>
        <w:bCs/>
        <w:sz w:val="18"/>
        <w:szCs w:val="18"/>
        <w:lang w:eastAsia="zh-CN"/>
      </w:rPr>
      <w:pict>
        <v:rect id="_x0000_s2068" o:spid="_x0000_s2068" o:spt="1" style="position:absolute;left:0pt;margin-left:69.5pt;margin-top:55.3pt;height:3.6pt;width:462.2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rPr>
        <w:b/>
        <w:bCs/>
        <w:sz w:val="18"/>
        <w:szCs w:val="18"/>
        <w:lang w:eastAsia="zh-CN"/>
      </w:rPr>
      <w:t xml:space="preserve">               </w:t>
    </w:r>
    <w:r>
      <w:rPr>
        <w:rFonts w:hint="eastAsia"/>
        <w:b/>
        <w:bCs/>
        <w:sz w:val="18"/>
        <w:szCs w:val="18"/>
        <w:lang w:val="en-US" w:eastAsia="zh-CN"/>
      </w:rPr>
      <w:t xml:space="preserve">             </w:t>
    </w:r>
    <w:r>
      <w:rPr>
        <w:b/>
        <w:bCs/>
        <w:sz w:val="18"/>
        <w:szCs w:val="18"/>
        <w:lang w:eastAsia="zh-CN"/>
      </w:rPr>
      <w:t xml:space="preserve">  招标文件</w:t>
    </w:r>
  </w:p>
  <w:p w14:paraId="4A653B5C">
    <w:pPr>
      <w:pStyle w:val="6"/>
      <w:spacing w:before="16" w:line="219" w:lineRule="auto"/>
      <w:ind w:left="36"/>
      <w:rPr>
        <w:b/>
        <w:bCs/>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F99B1">
    <w:pPr>
      <w:pStyle w:val="6"/>
      <w:spacing w:before="16" w:line="219" w:lineRule="auto"/>
      <w:ind w:left="36"/>
    </w:pPr>
    <w:r>
      <w:rPr>
        <w:rFonts w:hint="eastAsia"/>
        <w:b/>
        <w:bCs/>
        <w:sz w:val="18"/>
        <w:szCs w:val="18"/>
        <w:lang w:eastAsia="zh-CN"/>
      </w:rPr>
      <w:t>鲁山县教育体育局鲁山县农村义务教育学校营养改善计划食材采购项目</w:t>
    </w:r>
    <w:r>
      <w:rPr>
        <w:b/>
        <w:bCs/>
        <w:sz w:val="18"/>
        <w:szCs w:val="18"/>
        <w:lang w:eastAsia="zh-CN"/>
      </w:rPr>
      <w:pict>
        <v:rect id="_x0000_s2066" o:spid="_x0000_s2066" o:spt="1" style="position:absolute;left:0pt;margin-left:69.5pt;margin-top:55.3pt;height:3.6pt;width:462.2pt;mso-position-horizontal-relative:page;mso-position-vertical-relative:page;z-index:251662336;mso-width-relative:page;mso-height-relative:page;" fillcolor="#000000" filled="t" stroked="f" coordsize="21600,21600" o:allowincell="f">
          <v:path/>
          <v:fill on="t" focussize="0,0"/>
          <v:stroke on="f"/>
          <v:imagedata o:title=""/>
          <o:lock v:ext="edit"/>
        </v:rect>
      </w:pict>
    </w:r>
    <w:r>
      <w:rPr>
        <w:b/>
        <w:bCs/>
        <w:sz w:val="18"/>
        <w:szCs w:val="18"/>
        <w:lang w:eastAsia="zh-CN"/>
      </w:rPr>
      <w:t xml:space="preserve">               </w:t>
    </w:r>
    <w:r>
      <w:rPr>
        <w:rFonts w:hint="eastAsia"/>
        <w:b/>
        <w:bCs/>
        <w:sz w:val="18"/>
        <w:szCs w:val="18"/>
        <w:lang w:val="en-US" w:eastAsia="zh-CN"/>
      </w:rPr>
      <w:t xml:space="preserve">             </w:t>
    </w:r>
    <w:r>
      <w:rPr>
        <w:b/>
        <w:bCs/>
        <w:sz w:val="18"/>
        <w:szCs w:val="18"/>
        <w:lang w:eastAsia="zh-CN"/>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efaultTabStop w:val="50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NiMTQ1ZTBkMWI3MTZhZDA3NzBhMmUwODU4NDBjZWMifQ=="/>
  </w:docVars>
  <w:rsids>
    <w:rsidRoot w:val="00172A27"/>
    <w:rsid w:val="0000040C"/>
    <w:rsid w:val="000035E4"/>
    <w:rsid w:val="00005160"/>
    <w:rsid w:val="00014B8D"/>
    <w:rsid w:val="0001672C"/>
    <w:rsid w:val="00016A26"/>
    <w:rsid w:val="000337CE"/>
    <w:rsid w:val="0004537C"/>
    <w:rsid w:val="00050958"/>
    <w:rsid w:val="00052D65"/>
    <w:rsid w:val="00053951"/>
    <w:rsid w:val="00070E7F"/>
    <w:rsid w:val="00073DD6"/>
    <w:rsid w:val="00093ECA"/>
    <w:rsid w:val="000941C2"/>
    <w:rsid w:val="0009757E"/>
    <w:rsid w:val="000C6D75"/>
    <w:rsid w:val="000E2196"/>
    <w:rsid w:val="000F407C"/>
    <w:rsid w:val="001000C4"/>
    <w:rsid w:val="0010278D"/>
    <w:rsid w:val="00103DFB"/>
    <w:rsid w:val="00110592"/>
    <w:rsid w:val="001115FE"/>
    <w:rsid w:val="0014330B"/>
    <w:rsid w:val="001536AC"/>
    <w:rsid w:val="0016577D"/>
    <w:rsid w:val="00172A27"/>
    <w:rsid w:val="00191353"/>
    <w:rsid w:val="001B0723"/>
    <w:rsid w:val="001B0E80"/>
    <w:rsid w:val="001B4E6D"/>
    <w:rsid w:val="001C5400"/>
    <w:rsid w:val="001C5565"/>
    <w:rsid w:val="001C5683"/>
    <w:rsid w:val="001D1751"/>
    <w:rsid w:val="001D5CED"/>
    <w:rsid w:val="001D6D72"/>
    <w:rsid w:val="001E0BE8"/>
    <w:rsid w:val="001E7479"/>
    <w:rsid w:val="00211305"/>
    <w:rsid w:val="002313D6"/>
    <w:rsid w:val="00237819"/>
    <w:rsid w:val="00240787"/>
    <w:rsid w:val="002444D8"/>
    <w:rsid w:val="002511C9"/>
    <w:rsid w:val="00270483"/>
    <w:rsid w:val="0029226A"/>
    <w:rsid w:val="00296481"/>
    <w:rsid w:val="002A1878"/>
    <w:rsid w:val="002B5E18"/>
    <w:rsid w:val="002C6D30"/>
    <w:rsid w:val="002E38B7"/>
    <w:rsid w:val="002F07FA"/>
    <w:rsid w:val="002F0F39"/>
    <w:rsid w:val="003103F6"/>
    <w:rsid w:val="00310ECF"/>
    <w:rsid w:val="00317350"/>
    <w:rsid w:val="00320A5D"/>
    <w:rsid w:val="00351AAA"/>
    <w:rsid w:val="00374149"/>
    <w:rsid w:val="00394D61"/>
    <w:rsid w:val="0039575A"/>
    <w:rsid w:val="003B1A0D"/>
    <w:rsid w:val="003B4A53"/>
    <w:rsid w:val="003E282C"/>
    <w:rsid w:val="003F0EA0"/>
    <w:rsid w:val="003F5530"/>
    <w:rsid w:val="00403C3F"/>
    <w:rsid w:val="0041162B"/>
    <w:rsid w:val="00416F26"/>
    <w:rsid w:val="00423D86"/>
    <w:rsid w:val="004448C7"/>
    <w:rsid w:val="00452D36"/>
    <w:rsid w:val="0045300E"/>
    <w:rsid w:val="0045352A"/>
    <w:rsid w:val="00456EBE"/>
    <w:rsid w:val="0048125C"/>
    <w:rsid w:val="00484CF7"/>
    <w:rsid w:val="004A5364"/>
    <w:rsid w:val="004B78A1"/>
    <w:rsid w:val="004E0E61"/>
    <w:rsid w:val="004E4823"/>
    <w:rsid w:val="004E63E2"/>
    <w:rsid w:val="004F7144"/>
    <w:rsid w:val="004F7CA0"/>
    <w:rsid w:val="0051049D"/>
    <w:rsid w:val="0051156C"/>
    <w:rsid w:val="00544E0F"/>
    <w:rsid w:val="00560CDD"/>
    <w:rsid w:val="0057389D"/>
    <w:rsid w:val="00587C7D"/>
    <w:rsid w:val="005979F7"/>
    <w:rsid w:val="005A38D2"/>
    <w:rsid w:val="005B751F"/>
    <w:rsid w:val="005D3D17"/>
    <w:rsid w:val="005F6465"/>
    <w:rsid w:val="00606F0F"/>
    <w:rsid w:val="0062203E"/>
    <w:rsid w:val="006241D2"/>
    <w:rsid w:val="006620A0"/>
    <w:rsid w:val="0066713C"/>
    <w:rsid w:val="006734E1"/>
    <w:rsid w:val="00675481"/>
    <w:rsid w:val="00686083"/>
    <w:rsid w:val="00695C5C"/>
    <w:rsid w:val="006A7F37"/>
    <w:rsid w:val="006B0E84"/>
    <w:rsid w:val="006B316A"/>
    <w:rsid w:val="006B6FF4"/>
    <w:rsid w:val="006D5367"/>
    <w:rsid w:val="006D737B"/>
    <w:rsid w:val="007104CC"/>
    <w:rsid w:val="00715591"/>
    <w:rsid w:val="00723F74"/>
    <w:rsid w:val="00730D4F"/>
    <w:rsid w:val="00753637"/>
    <w:rsid w:val="00753889"/>
    <w:rsid w:val="00756930"/>
    <w:rsid w:val="00764614"/>
    <w:rsid w:val="0076710A"/>
    <w:rsid w:val="00784F90"/>
    <w:rsid w:val="007869BA"/>
    <w:rsid w:val="0079683D"/>
    <w:rsid w:val="007C4912"/>
    <w:rsid w:val="007E2FBD"/>
    <w:rsid w:val="008162D7"/>
    <w:rsid w:val="00820E7A"/>
    <w:rsid w:val="0083110D"/>
    <w:rsid w:val="00837C49"/>
    <w:rsid w:val="008467C5"/>
    <w:rsid w:val="0086210C"/>
    <w:rsid w:val="00867D22"/>
    <w:rsid w:val="008B3727"/>
    <w:rsid w:val="008C04A9"/>
    <w:rsid w:val="008D17D9"/>
    <w:rsid w:val="008E5AD2"/>
    <w:rsid w:val="008F361E"/>
    <w:rsid w:val="00917138"/>
    <w:rsid w:val="00943113"/>
    <w:rsid w:val="00944A9A"/>
    <w:rsid w:val="0095134D"/>
    <w:rsid w:val="009536C7"/>
    <w:rsid w:val="00973301"/>
    <w:rsid w:val="0097722E"/>
    <w:rsid w:val="009A6205"/>
    <w:rsid w:val="009B39C1"/>
    <w:rsid w:val="009B73DB"/>
    <w:rsid w:val="009D009F"/>
    <w:rsid w:val="009D1AB1"/>
    <w:rsid w:val="009E4A75"/>
    <w:rsid w:val="009F4CF4"/>
    <w:rsid w:val="00A1182A"/>
    <w:rsid w:val="00A3736D"/>
    <w:rsid w:val="00A51503"/>
    <w:rsid w:val="00A65FA9"/>
    <w:rsid w:val="00A67CD7"/>
    <w:rsid w:val="00A75A73"/>
    <w:rsid w:val="00A82BE3"/>
    <w:rsid w:val="00A87F74"/>
    <w:rsid w:val="00AA032A"/>
    <w:rsid w:val="00AB6932"/>
    <w:rsid w:val="00AB77AC"/>
    <w:rsid w:val="00AD2B56"/>
    <w:rsid w:val="00AD56B3"/>
    <w:rsid w:val="00AD74D3"/>
    <w:rsid w:val="00AF7B21"/>
    <w:rsid w:val="00B222CE"/>
    <w:rsid w:val="00B3138C"/>
    <w:rsid w:val="00B4021D"/>
    <w:rsid w:val="00B52B41"/>
    <w:rsid w:val="00B57D17"/>
    <w:rsid w:val="00B70E2C"/>
    <w:rsid w:val="00B745C7"/>
    <w:rsid w:val="00BA5FE4"/>
    <w:rsid w:val="00BB3A5C"/>
    <w:rsid w:val="00BD04E1"/>
    <w:rsid w:val="00BE10E4"/>
    <w:rsid w:val="00BE7DE9"/>
    <w:rsid w:val="00BF12AC"/>
    <w:rsid w:val="00BF1D0F"/>
    <w:rsid w:val="00C020C8"/>
    <w:rsid w:val="00C371A0"/>
    <w:rsid w:val="00C4120C"/>
    <w:rsid w:val="00C62BAF"/>
    <w:rsid w:val="00C6467B"/>
    <w:rsid w:val="00C858A9"/>
    <w:rsid w:val="00C914B8"/>
    <w:rsid w:val="00C931C1"/>
    <w:rsid w:val="00CB5529"/>
    <w:rsid w:val="00CC2964"/>
    <w:rsid w:val="00CE1E46"/>
    <w:rsid w:val="00CE5330"/>
    <w:rsid w:val="00CF2196"/>
    <w:rsid w:val="00CF5557"/>
    <w:rsid w:val="00D03DE6"/>
    <w:rsid w:val="00D0420B"/>
    <w:rsid w:val="00D11D07"/>
    <w:rsid w:val="00D1204B"/>
    <w:rsid w:val="00D20F9A"/>
    <w:rsid w:val="00D3612F"/>
    <w:rsid w:val="00D50E26"/>
    <w:rsid w:val="00D5719F"/>
    <w:rsid w:val="00D61A23"/>
    <w:rsid w:val="00D64194"/>
    <w:rsid w:val="00D866BE"/>
    <w:rsid w:val="00D90C8A"/>
    <w:rsid w:val="00D92392"/>
    <w:rsid w:val="00DA2E4E"/>
    <w:rsid w:val="00DB5434"/>
    <w:rsid w:val="00DC5FF9"/>
    <w:rsid w:val="00DE0244"/>
    <w:rsid w:val="00DE20DE"/>
    <w:rsid w:val="00DF7BA8"/>
    <w:rsid w:val="00E06512"/>
    <w:rsid w:val="00E2068B"/>
    <w:rsid w:val="00E23D6E"/>
    <w:rsid w:val="00E246E9"/>
    <w:rsid w:val="00E334C0"/>
    <w:rsid w:val="00E45270"/>
    <w:rsid w:val="00E63031"/>
    <w:rsid w:val="00E67D34"/>
    <w:rsid w:val="00E709F2"/>
    <w:rsid w:val="00E7146C"/>
    <w:rsid w:val="00E71E50"/>
    <w:rsid w:val="00E922A3"/>
    <w:rsid w:val="00E93ED6"/>
    <w:rsid w:val="00E952A6"/>
    <w:rsid w:val="00EC45CF"/>
    <w:rsid w:val="00EC5BA9"/>
    <w:rsid w:val="00ED71EB"/>
    <w:rsid w:val="00EE12C8"/>
    <w:rsid w:val="00EF0C1B"/>
    <w:rsid w:val="00EF4AD6"/>
    <w:rsid w:val="00EF4E04"/>
    <w:rsid w:val="00F32656"/>
    <w:rsid w:val="00F3549A"/>
    <w:rsid w:val="00F50CC9"/>
    <w:rsid w:val="00F526C6"/>
    <w:rsid w:val="00F705B3"/>
    <w:rsid w:val="00F81EA0"/>
    <w:rsid w:val="00F908CB"/>
    <w:rsid w:val="00FA5C06"/>
    <w:rsid w:val="00FC15C6"/>
    <w:rsid w:val="00FC1AE8"/>
    <w:rsid w:val="00FF20A7"/>
    <w:rsid w:val="00FF3B34"/>
    <w:rsid w:val="00FF7B6A"/>
    <w:rsid w:val="01055032"/>
    <w:rsid w:val="01253372"/>
    <w:rsid w:val="012C369E"/>
    <w:rsid w:val="0132783D"/>
    <w:rsid w:val="013C0BA6"/>
    <w:rsid w:val="013D6280"/>
    <w:rsid w:val="015273BF"/>
    <w:rsid w:val="015D7DFD"/>
    <w:rsid w:val="01A87AFF"/>
    <w:rsid w:val="01D56040"/>
    <w:rsid w:val="01DF5C17"/>
    <w:rsid w:val="01EC4075"/>
    <w:rsid w:val="02145195"/>
    <w:rsid w:val="021C6A11"/>
    <w:rsid w:val="021F4265"/>
    <w:rsid w:val="02747437"/>
    <w:rsid w:val="0281282A"/>
    <w:rsid w:val="02881E0B"/>
    <w:rsid w:val="02963DFC"/>
    <w:rsid w:val="02A63DD7"/>
    <w:rsid w:val="02B01361"/>
    <w:rsid w:val="02BC1AB4"/>
    <w:rsid w:val="02C848FD"/>
    <w:rsid w:val="02DA090F"/>
    <w:rsid w:val="02DA1F3A"/>
    <w:rsid w:val="02EB05EB"/>
    <w:rsid w:val="02EB239A"/>
    <w:rsid w:val="03561F09"/>
    <w:rsid w:val="035A307B"/>
    <w:rsid w:val="035E2DD2"/>
    <w:rsid w:val="035E700F"/>
    <w:rsid w:val="03655CA8"/>
    <w:rsid w:val="0374413D"/>
    <w:rsid w:val="038F6958"/>
    <w:rsid w:val="039842CF"/>
    <w:rsid w:val="03BA2ABC"/>
    <w:rsid w:val="040A684F"/>
    <w:rsid w:val="04163446"/>
    <w:rsid w:val="042C03E1"/>
    <w:rsid w:val="0472779E"/>
    <w:rsid w:val="048A01A6"/>
    <w:rsid w:val="04AB3B8E"/>
    <w:rsid w:val="04CD3B26"/>
    <w:rsid w:val="04DC643E"/>
    <w:rsid w:val="04EA7B74"/>
    <w:rsid w:val="04FC43EA"/>
    <w:rsid w:val="05087233"/>
    <w:rsid w:val="05132F92"/>
    <w:rsid w:val="05450A86"/>
    <w:rsid w:val="05656433"/>
    <w:rsid w:val="056713C6"/>
    <w:rsid w:val="056A1C9B"/>
    <w:rsid w:val="058060BB"/>
    <w:rsid w:val="05AA6DC9"/>
    <w:rsid w:val="05E03D0C"/>
    <w:rsid w:val="06021ED4"/>
    <w:rsid w:val="060E0362"/>
    <w:rsid w:val="061B2F96"/>
    <w:rsid w:val="06383B48"/>
    <w:rsid w:val="064053F4"/>
    <w:rsid w:val="06712BB6"/>
    <w:rsid w:val="067B371F"/>
    <w:rsid w:val="06950CBD"/>
    <w:rsid w:val="06C947A0"/>
    <w:rsid w:val="07261BF2"/>
    <w:rsid w:val="072F6440"/>
    <w:rsid w:val="076072C9"/>
    <w:rsid w:val="0781507A"/>
    <w:rsid w:val="0797489E"/>
    <w:rsid w:val="07A82607"/>
    <w:rsid w:val="07C37441"/>
    <w:rsid w:val="07E15B19"/>
    <w:rsid w:val="07F76269"/>
    <w:rsid w:val="082779D0"/>
    <w:rsid w:val="082F2D28"/>
    <w:rsid w:val="086521EE"/>
    <w:rsid w:val="08DF1698"/>
    <w:rsid w:val="08E214E7"/>
    <w:rsid w:val="09174568"/>
    <w:rsid w:val="0922463B"/>
    <w:rsid w:val="09414AC1"/>
    <w:rsid w:val="095328C6"/>
    <w:rsid w:val="0956439C"/>
    <w:rsid w:val="0972111F"/>
    <w:rsid w:val="09734E97"/>
    <w:rsid w:val="0991353D"/>
    <w:rsid w:val="09C82A7E"/>
    <w:rsid w:val="0A0554B2"/>
    <w:rsid w:val="0A240A37"/>
    <w:rsid w:val="0A4B1DFF"/>
    <w:rsid w:val="0A656ED5"/>
    <w:rsid w:val="0A8C03F2"/>
    <w:rsid w:val="0A8C3F82"/>
    <w:rsid w:val="0A8C7FBE"/>
    <w:rsid w:val="0A976D65"/>
    <w:rsid w:val="0AA25A34"/>
    <w:rsid w:val="0AB1263B"/>
    <w:rsid w:val="0AC0410C"/>
    <w:rsid w:val="0AD32091"/>
    <w:rsid w:val="0AD45054"/>
    <w:rsid w:val="0AD876A7"/>
    <w:rsid w:val="0B083F4B"/>
    <w:rsid w:val="0B275F39"/>
    <w:rsid w:val="0B8E1704"/>
    <w:rsid w:val="0B974E6D"/>
    <w:rsid w:val="0BC809D9"/>
    <w:rsid w:val="0C061FF2"/>
    <w:rsid w:val="0C463BD6"/>
    <w:rsid w:val="0C48260B"/>
    <w:rsid w:val="0C5821E5"/>
    <w:rsid w:val="0C5C212C"/>
    <w:rsid w:val="0C654F6B"/>
    <w:rsid w:val="0C721436"/>
    <w:rsid w:val="0C7A4ABE"/>
    <w:rsid w:val="0C831895"/>
    <w:rsid w:val="0C8F1FE8"/>
    <w:rsid w:val="0C9168E5"/>
    <w:rsid w:val="0C9420F8"/>
    <w:rsid w:val="0C9D2956"/>
    <w:rsid w:val="0CAD06C0"/>
    <w:rsid w:val="0D0E73B0"/>
    <w:rsid w:val="0D1D6A45"/>
    <w:rsid w:val="0D354DA4"/>
    <w:rsid w:val="0D371D66"/>
    <w:rsid w:val="0D774F56"/>
    <w:rsid w:val="0D796C86"/>
    <w:rsid w:val="0D8B27AF"/>
    <w:rsid w:val="0D906017"/>
    <w:rsid w:val="0D961154"/>
    <w:rsid w:val="0DA745E5"/>
    <w:rsid w:val="0DAE649D"/>
    <w:rsid w:val="0DB0769E"/>
    <w:rsid w:val="0DBC6E0C"/>
    <w:rsid w:val="0DD56120"/>
    <w:rsid w:val="0DE25760"/>
    <w:rsid w:val="0DED6FC6"/>
    <w:rsid w:val="0E252C04"/>
    <w:rsid w:val="0E501060"/>
    <w:rsid w:val="0E697416"/>
    <w:rsid w:val="0E6B25E0"/>
    <w:rsid w:val="0E9067FE"/>
    <w:rsid w:val="0E9B08FE"/>
    <w:rsid w:val="0EF12AE6"/>
    <w:rsid w:val="0EF35394"/>
    <w:rsid w:val="0EF45971"/>
    <w:rsid w:val="0EFC384A"/>
    <w:rsid w:val="0F16079E"/>
    <w:rsid w:val="0F276507"/>
    <w:rsid w:val="0F4277E5"/>
    <w:rsid w:val="0F4946D0"/>
    <w:rsid w:val="0F4E10F7"/>
    <w:rsid w:val="0F566DED"/>
    <w:rsid w:val="0F5B4403"/>
    <w:rsid w:val="0F76123D"/>
    <w:rsid w:val="0F917E25"/>
    <w:rsid w:val="0FBD0C1A"/>
    <w:rsid w:val="0FD50659"/>
    <w:rsid w:val="0FFB76F3"/>
    <w:rsid w:val="101271B8"/>
    <w:rsid w:val="10127F12"/>
    <w:rsid w:val="10463305"/>
    <w:rsid w:val="105E064F"/>
    <w:rsid w:val="10BB33AB"/>
    <w:rsid w:val="10E2381E"/>
    <w:rsid w:val="10E70644"/>
    <w:rsid w:val="11217B56"/>
    <w:rsid w:val="11515ABE"/>
    <w:rsid w:val="118D733C"/>
    <w:rsid w:val="11A27AE4"/>
    <w:rsid w:val="11C158D4"/>
    <w:rsid w:val="12011292"/>
    <w:rsid w:val="12154D3D"/>
    <w:rsid w:val="1234146E"/>
    <w:rsid w:val="12380A00"/>
    <w:rsid w:val="123A3CC7"/>
    <w:rsid w:val="123A47A4"/>
    <w:rsid w:val="124D5570"/>
    <w:rsid w:val="12891287"/>
    <w:rsid w:val="12981CFB"/>
    <w:rsid w:val="129D771A"/>
    <w:rsid w:val="129E5CF1"/>
    <w:rsid w:val="12CC5D44"/>
    <w:rsid w:val="12D15108"/>
    <w:rsid w:val="12E7492B"/>
    <w:rsid w:val="130970C4"/>
    <w:rsid w:val="1318084E"/>
    <w:rsid w:val="132F322B"/>
    <w:rsid w:val="134C5509"/>
    <w:rsid w:val="1356385F"/>
    <w:rsid w:val="135F0966"/>
    <w:rsid w:val="138165B6"/>
    <w:rsid w:val="13873A19"/>
    <w:rsid w:val="13B660AC"/>
    <w:rsid w:val="13C91FE9"/>
    <w:rsid w:val="13DB6DF4"/>
    <w:rsid w:val="13EC5F71"/>
    <w:rsid w:val="13F015BE"/>
    <w:rsid w:val="14151024"/>
    <w:rsid w:val="14186D67"/>
    <w:rsid w:val="14237BE5"/>
    <w:rsid w:val="143376FC"/>
    <w:rsid w:val="14533175"/>
    <w:rsid w:val="14BE790E"/>
    <w:rsid w:val="14D273DE"/>
    <w:rsid w:val="14DC1B42"/>
    <w:rsid w:val="14E1184E"/>
    <w:rsid w:val="14E804E7"/>
    <w:rsid w:val="15325C06"/>
    <w:rsid w:val="15453B8B"/>
    <w:rsid w:val="15475B55"/>
    <w:rsid w:val="15495848"/>
    <w:rsid w:val="154A2F50"/>
    <w:rsid w:val="154D2A40"/>
    <w:rsid w:val="157D1577"/>
    <w:rsid w:val="15977BEB"/>
    <w:rsid w:val="1598015F"/>
    <w:rsid w:val="159C6C86"/>
    <w:rsid w:val="15D1722A"/>
    <w:rsid w:val="15EA64E1"/>
    <w:rsid w:val="1602382A"/>
    <w:rsid w:val="1606331B"/>
    <w:rsid w:val="16296C9F"/>
    <w:rsid w:val="16445BF1"/>
    <w:rsid w:val="16490B86"/>
    <w:rsid w:val="165F6C6C"/>
    <w:rsid w:val="16674575"/>
    <w:rsid w:val="16702E8A"/>
    <w:rsid w:val="168F3D98"/>
    <w:rsid w:val="16B94831"/>
    <w:rsid w:val="16DE1BA1"/>
    <w:rsid w:val="171812BA"/>
    <w:rsid w:val="171F21BA"/>
    <w:rsid w:val="17344377"/>
    <w:rsid w:val="1763479D"/>
    <w:rsid w:val="178B0081"/>
    <w:rsid w:val="178B04F8"/>
    <w:rsid w:val="17A032FB"/>
    <w:rsid w:val="17A70B2D"/>
    <w:rsid w:val="17AC1CA0"/>
    <w:rsid w:val="17C92852"/>
    <w:rsid w:val="17D905BB"/>
    <w:rsid w:val="18027B0E"/>
    <w:rsid w:val="18220702"/>
    <w:rsid w:val="18631AFF"/>
    <w:rsid w:val="18982224"/>
    <w:rsid w:val="189C4399"/>
    <w:rsid w:val="189C7F66"/>
    <w:rsid w:val="18B232E6"/>
    <w:rsid w:val="18C02600"/>
    <w:rsid w:val="18CF433A"/>
    <w:rsid w:val="18D66E49"/>
    <w:rsid w:val="18D72194"/>
    <w:rsid w:val="191C08DC"/>
    <w:rsid w:val="191D2D96"/>
    <w:rsid w:val="192835A8"/>
    <w:rsid w:val="196842EC"/>
    <w:rsid w:val="197B5DCD"/>
    <w:rsid w:val="19C57049"/>
    <w:rsid w:val="19C72DC1"/>
    <w:rsid w:val="19D91AA4"/>
    <w:rsid w:val="19DB686C"/>
    <w:rsid w:val="19EE1986"/>
    <w:rsid w:val="19F618F8"/>
    <w:rsid w:val="1A010F96"/>
    <w:rsid w:val="1A732F49"/>
    <w:rsid w:val="1A766595"/>
    <w:rsid w:val="1A9C424D"/>
    <w:rsid w:val="1AA475A6"/>
    <w:rsid w:val="1AA56D01"/>
    <w:rsid w:val="1AA9696A"/>
    <w:rsid w:val="1ABA0B77"/>
    <w:rsid w:val="1B010554"/>
    <w:rsid w:val="1B075976"/>
    <w:rsid w:val="1B23671D"/>
    <w:rsid w:val="1B6D3662"/>
    <w:rsid w:val="1B7C6776"/>
    <w:rsid w:val="1B903686"/>
    <w:rsid w:val="1B94018A"/>
    <w:rsid w:val="1B966EEF"/>
    <w:rsid w:val="1BEA069C"/>
    <w:rsid w:val="1BFA7D68"/>
    <w:rsid w:val="1C24690F"/>
    <w:rsid w:val="1C395ACC"/>
    <w:rsid w:val="1C4A7CD9"/>
    <w:rsid w:val="1C5B133C"/>
    <w:rsid w:val="1C5D17BA"/>
    <w:rsid w:val="1C775345"/>
    <w:rsid w:val="1C8568B5"/>
    <w:rsid w:val="1CCC6940"/>
    <w:rsid w:val="1CE974F2"/>
    <w:rsid w:val="1CEB11B0"/>
    <w:rsid w:val="1CF57C45"/>
    <w:rsid w:val="1D0E0D07"/>
    <w:rsid w:val="1D246914"/>
    <w:rsid w:val="1D262649"/>
    <w:rsid w:val="1D2D73DF"/>
    <w:rsid w:val="1D386337"/>
    <w:rsid w:val="1D491F5C"/>
    <w:rsid w:val="1D5721C3"/>
    <w:rsid w:val="1DAB1CCD"/>
    <w:rsid w:val="1DD563AA"/>
    <w:rsid w:val="1DEA52D0"/>
    <w:rsid w:val="1DEE23CB"/>
    <w:rsid w:val="1DF06B89"/>
    <w:rsid w:val="1DF13847"/>
    <w:rsid w:val="1DF63C75"/>
    <w:rsid w:val="1E1A15EF"/>
    <w:rsid w:val="1E1B36DB"/>
    <w:rsid w:val="1E1D5A5B"/>
    <w:rsid w:val="1E3E73CA"/>
    <w:rsid w:val="1E497C12"/>
    <w:rsid w:val="1E65704C"/>
    <w:rsid w:val="1E7E3DC6"/>
    <w:rsid w:val="1E8E20FF"/>
    <w:rsid w:val="1E9637BD"/>
    <w:rsid w:val="1EA5569B"/>
    <w:rsid w:val="1EBA2EF4"/>
    <w:rsid w:val="1ED756A7"/>
    <w:rsid w:val="1F0A4F00"/>
    <w:rsid w:val="1F14791D"/>
    <w:rsid w:val="1F1A1BE5"/>
    <w:rsid w:val="1F550E6F"/>
    <w:rsid w:val="1F5E3223"/>
    <w:rsid w:val="1F633121"/>
    <w:rsid w:val="1F7532BF"/>
    <w:rsid w:val="1F7B6F6A"/>
    <w:rsid w:val="1F811C64"/>
    <w:rsid w:val="1FA871F0"/>
    <w:rsid w:val="1FB21E1D"/>
    <w:rsid w:val="1FB913FE"/>
    <w:rsid w:val="1FC27080"/>
    <w:rsid w:val="1FCB1131"/>
    <w:rsid w:val="1FD6B9D8"/>
    <w:rsid w:val="1FD91AA0"/>
    <w:rsid w:val="20254CE5"/>
    <w:rsid w:val="202A22FB"/>
    <w:rsid w:val="203171E6"/>
    <w:rsid w:val="20476A09"/>
    <w:rsid w:val="205630F0"/>
    <w:rsid w:val="20731721"/>
    <w:rsid w:val="208B5B97"/>
    <w:rsid w:val="20994D8B"/>
    <w:rsid w:val="20C242E2"/>
    <w:rsid w:val="20D919B5"/>
    <w:rsid w:val="20EF79E3"/>
    <w:rsid w:val="213C22E6"/>
    <w:rsid w:val="21570ECE"/>
    <w:rsid w:val="216F7324"/>
    <w:rsid w:val="2181419D"/>
    <w:rsid w:val="218D2ED7"/>
    <w:rsid w:val="219C7E11"/>
    <w:rsid w:val="21AE2AB8"/>
    <w:rsid w:val="21AF394B"/>
    <w:rsid w:val="21B06830"/>
    <w:rsid w:val="21B6306A"/>
    <w:rsid w:val="21F266A7"/>
    <w:rsid w:val="2243252F"/>
    <w:rsid w:val="22484CBB"/>
    <w:rsid w:val="22561186"/>
    <w:rsid w:val="22617B2B"/>
    <w:rsid w:val="228644BC"/>
    <w:rsid w:val="22CC58EC"/>
    <w:rsid w:val="22DC376E"/>
    <w:rsid w:val="22E5075C"/>
    <w:rsid w:val="22FF7A6F"/>
    <w:rsid w:val="23216393"/>
    <w:rsid w:val="23264FFC"/>
    <w:rsid w:val="233F7E6C"/>
    <w:rsid w:val="2366493F"/>
    <w:rsid w:val="236B5495"/>
    <w:rsid w:val="238669E9"/>
    <w:rsid w:val="239A1546"/>
    <w:rsid w:val="23A45F21"/>
    <w:rsid w:val="23C445EF"/>
    <w:rsid w:val="23F549CE"/>
    <w:rsid w:val="2446347C"/>
    <w:rsid w:val="24792598"/>
    <w:rsid w:val="2492221D"/>
    <w:rsid w:val="24DD5B8E"/>
    <w:rsid w:val="24DD793C"/>
    <w:rsid w:val="24E24F53"/>
    <w:rsid w:val="24E44142"/>
    <w:rsid w:val="24F133E8"/>
    <w:rsid w:val="24FD1D8D"/>
    <w:rsid w:val="250027A3"/>
    <w:rsid w:val="25184E18"/>
    <w:rsid w:val="254A2AF8"/>
    <w:rsid w:val="254A43CB"/>
    <w:rsid w:val="255319AC"/>
    <w:rsid w:val="258C1362"/>
    <w:rsid w:val="258C4EBE"/>
    <w:rsid w:val="25A15482"/>
    <w:rsid w:val="25C048C7"/>
    <w:rsid w:val="25C24D84"/>
    <w:rsid w:val="25D0124F"/>
    <w:rsid w:val="25E116AE"/>
    <w:rsid w:val="25E66CC5"/>
    <w:rsid w:val="25ED1E01"/>
    <w:rsid w:val="25F520CF"/>
    <w:rsid w:val="25F969F8"/>
    <w:rsid w:val="26057D67"/>
    <w:rsid w:val="26084E8D"/>
    <w:rsid w:val="261A49D8"/>
    <w:rsid w:val="26405340"/>
    <w:rsid w:val="2677280B"/>
    <w:rsid w:val="267F67D1"/>
    <w:rsid w:val="26B96187"/>
    <w:rsid w:val="26CA3EF0"/>
    <w:rsid w:val="26D7660D"/>
    <w:rsid w:val="26E10B6B"/>
    <w:rsid w:val="26E8081A"/>
    <w:rsid w:val="271C6E91"/>
    <w:rsid w:val="273E668C"/>
    <w:rsid w:val="2751016E"/>
    <w:rsid w:val="27624129"/>
    <w:rsid w:val="2787049A"/>
    <w:rsid w:val="27904839"/>
    <w:rsid w:val="27CC45A3"/>
    <w:rsid w:val="27F74710"/>
    <w:rsid w:val="27FE1675"/>
    <w:rsid w:val="282011E6"/>
    <w:rsid w:val="283E6AA2"/>
    <w:rsid w:val="2844309B"/>
    <w:rsid w:val="285048C9"/>
    <w:rsid w:val="286F2FA1"/>
    <w:rsid w:val="286F3F95"/>
    <w:rsid w:val="289447B6"/>
    <w:rsid w:val="2894790D"/>
    <w:rsid w:val="289C7B0E"/>
    <w:rsid w:val="28B6351A"/>
    <w:rsid w:val="28C13D8E"/>
    <w:rsid w:val="28E86CDC"/>
    <w:rsid w:val="291C15CF"/>
    <w:rsid w:val="292F44DF"/>
    <w:rsid w:val="29695C42"/>
    <w:rsid w:val="2987431B"/>
    <w:rsid w:val="298760C9"/>
    <w:rsid w:val="29954C89"/>
    <w:rsid w:val="299D3D9D"/>
    <w:rsid w:val="29A9603F"/>
    <w:rsid w:val="29D30788"/>
    <w:rsid w:val="29DB6414"/>
    <w:rsid w:val="29FF6315"/>
    <w:rsid w:val="2A3D0E7D"/>
    <w:rsid w:val="2A4D2ACD"/>
    <w:rsid w:val="2A7D06D5"/>
    <w:rsid w:val="2A7E6069"/>
    <w:rsid w:val="2A846AAC"/>
    <w:rsid w:val="2AA86103"/>
    <w:rsid w:val="2AB94FB3"/>
    <w:rsid w:val="2AD0584D"/>
    <w:rsid w:val="2AE412F9"/>
    <w:rsid w:val="2AF4735D"/>
    <w:rsid w:val="2AF90B75"/>
    <w:rsid w:val="2AFC4894"/>
    <w:rsid w:val="2B485D2C"/>
    <w:rsid w:val="2B4F38F7"/>
    <w:rsid w:val="2B5E554F"/>
    <w:rsid w:val="2B647096"/>
    <w:rsid w:val="2B673AE7"/>
    <w:rsid w:val="2B7E5D28"/>
    <w:rsid w:val="2B940F71"/>
    <w:rsid w:val="2BBD4024"/>
    <w:rsid w:val="2C1005F7"/>
    <w:rsid w:val="2C11611D"/>
    <w:rsid w:val="2C2C73FB"/>
    <w:rsid w:val="2C5A5D16"/>
    <w:rsid w:val="2CC97ED5"/>
    <w:rsid w:val="2CF03F85"/>
    <w:rsid w:val="2CF6236B"/>
    <w:rsid w:val="2D790198"/>
    <w:rsid w:val="2D880661"/>
    <w:rsid w:val="2D8D3346"/>
    <w:rsid w:val="2D9576BA"/>
    <w:rsid w:val="2DAA05D8"/>
    <w:rsid w:val="2DBB3E7C"/>
    <w:rsid w:val="2DD41AF8"/>
    <w:rsid w:val="2DD438A6"/>
    <w:rsid w:val="2E00469C"/>
    <w:rsid w:val="2E0E6DB8"/>
    <w:rsid w:val="2E1C748A"/>
    <w:rsid w:val="2E204329"/>
    <w:rsid w:val="2E313B0F"/>
    <w:rsid w:val="2E432391"/>
    <w:rsid w:val="2E440A2C"/>
    <w:rsid w:val="2E836087"/>
    <w:rsid w:val="2EC67693"/>
    <w:rsid w:val="2ECD5F69"/>
    <w:rsid w:val="2EE31FF3"/>
    <w:rsid w:val="2EEA7450"/>
    <w:rsid w:val="2EF51D5D"/>
    <w:rsid w:val="2F0E760F"/>
    <w:rsid w:val="2F1F0B51"/>
    <w:rsid w:val="2F236C64"/>
    <w:rsid w:val="2F773ADD"/>
    <w:rsid w:val="2F8D1F5F"/>
    <w:rsid w:val="2FA01C92"/>
    <w:rsid w:val="2FAA0D63"/>
    <w:rsid w:val="2FBC525A"/>
    <w:rsid w:val="2FCD7BD2"/>
    <w:rsid w:val="2FD64419"/>
    <w:rsid w:val="30000983"/>
    <w:rsid w:val="30030473"/>
    <w:rsid w:val="30087837"/>
    <w:rsid w:val="300E30A0"/>
    <w:rsid w:val="30252571"/>
    <w:rsid w:val="302D729E"/>
    <w:rsid w:val="303C1183"/>
    <w:rsid w:val="30416AFF"/>
    <w:rsid w:val="30470360"/>
    <w:rsid w:val="30550CCF"/>
    <w:rsid w:val="3058256D"/>
    <w:rsid w:val="30647164"/>
    <w:rsid w:val="309C68FD"/>
    <w:rsid w:val="30A15A78"/>
    <w:rsid w:val="30D62D39"/>
    <w:rsid w:val="30D87443"/>
    <w:rsid w:val="30FE2DDD"/>
    <w:rsid w:val="3109525D"/>
    <w:rsid w:val="3162252D"/>
    <w:rsid w:val="316B2774"/>
    <w:rsid w:val="316B4522"/>
    <w:rsid w:val="31717031"/>
    <w:rsid w:val="317404E9"/>
    <w:rsid w:val="317C04DD"/>
    <w:rsid w:val="317E3945"/>
    <w:rsid w:val="31AA329C"/>
    <w:rsid w:val="31CF5D0D"/>
    <w:rsid w:val="31D433D1"/>
    <w:rsid w:val="320504D2"/>
    <w:rsid w:val="32186458"/>
    <w:rsid w:val="324048F2"/>
    <w:rsid w:val="324E3C27"/>
    <w:rsid w:val="3258433F"/>
    <w:rsid w:val="327F3A40"/>
    <w:rsid w:val="32A7158A"/>
    <w:rsid w:val="32A95302"/>
    <w:rsid w:val="32AE10DC"/>
    <w:rsid w:val="32BD2B5B"/>
    <w:rsid w:val="32D103B5"/>
    <w:rsid w:val="32D51FB3"/>
    <w:rsid w:val="32F81DE5"/>
    <w:rsid w:val="32FE6971"/>
    <w:rsid w:val="330257C9"/>
    <w:rsid w:val="334B1F47"/>
    <w:rsid w:val="33500DAC"/>
    <w:rsid w:val="335214F5"/>
    <w:rsid w:val="33707BCD"/>
    <w:rsid w:val="33811DDB"/>
    <w:rsid w:val="338910C0"/>
    <w:rsid w:val="338A1BB6"/>
    <w:rsid w:val="33923FE8"/>
    <w:rsid w:val="33A8380B"/>
    <w:rsid w:val="33BA52ED"/>
    <w:rsid w:val="33CD3272"/>
    <w:rsid w:val="33E83269"/>
    <w:rsid w:val="33FD75CB"/>
    <w:rsid w:val="34190265"/>
    <w:rsid w:val="3428494C"/>
    <w:rsid w:val="34480B4A"/>
    <w:rsid w:val="3456587C"/>
    <w:rsid w:val="345B2B40"/>
    <w:rsid w:val="346911EC"/>
    <w:rsid w:val="347F4209"/>
    <w:rsid w:val="3482405C"/>
    <w:rsid w:val="349618B6"/>
    <w:rsid w:val="34D523DE"/>
    <w:rsid w:val="34F55457"/>
    <w:rsid w:val="34FB5BBD"/>
    <w:rsid w:val="350418BE"/>
    <w:rsid w:val="350D41BE"/>
    <w:rsid w:val="35137050"/>
    <w:rsid w:val="3518051D"/>
    <w:rsid w:val="351C625F"/>
    <w:rsid w:val="352D1D99"/>
    <w:rsid w:val="355F439E"/>
    <w:rsid w:val="35645176"/>
    <w:rsid w:val="357A6B39"/>
    <w:rsid w:val="357D65D2"/>
    <w:rsid w:val="35AD6EB7"/>
    <w:rsid w:val="35B00755"/>
    <w:rsid w:val="35BA10E4"/>
    <w:rsid w:val="35DD2AFA"/>
    <w:rsid w:val="35DD75FE"/>
    <w:rsid w:val="35F5085E"/>
    <w:rsid w:val="35F745D6"/>
    <w:rsid w:val="36070CBD"/>
    <w:rsid w:val="363B44C3"/>
    <w:rsid w:val="363E0457"/>
    <w:rsid w:val="36657792"/>
    <w:rsid w:val="366C2586"/>
    <w:rsid w:val="36AF122B"/>
    <w:rsid w:val="36B85B13"/>
    <w:rsid w:val="36C73FA8"/>
    <w:rsid w:val="36CA5847"/>
    <w:rsid w:val="36F405E0"/>
    <w:rsid w:val="37030562"/>
    <w:rsid w:val="371B60A2"/>
    <w:rsid w:val="372E2279"/>
    <w:rsid w:val="374970B3"/>
    <w:rsid w:val="37971BCD"/>
    <w:rsid w:val="379876F3"/>
    <w:rsid w:val="37A8268A"/>
    <w:rsid w:val="37B409D1"/>
    <w:rsid w:val="37BE35FD"/>
    <w:rsid w:val="37D270A9"/>
    <w:rsid w:val="37D50947"/>
    <w:rsid w:val="37E562C3"/>
    <w:rsid w:val="37EB7469"/>
    <w:rsid w:val="38591578"/>
    <w:rsid w:val="385C0D8F"/>
    <w:rsid w:val="388C36FB"/>
    <w:rsid w:val="3894610C"/>
    <w:rsid w:val="389C7F90"/>
    <w:rsid w:val="38D539D2"/>
    <w:rsid w:val="38DE382B"/>
    <w:rsid w:val="38F265F2"/>
    <w:rsid w:val="38FE0D31"/>
    <w:rsid w:val="39044F76"/>
    <w:rsid w:val="392576AC"/>
    <w:rsid w:val="39335925"/>
    <w:rsid w:val="39382F3B"/>
    <w:rsid w:val="393D68F9"/>
    <w:rsid w:val="39447B32"/>
    <w:rsid w:val="395D4BD0"/>
    <w:rsid w:val="39627FB8"/>
    <w:rsid w:val="39754190"/>
    <w:rsid w:val="39897C3B"/>
    <w:rsid w:val="39974106"/>
    <w:rsid w:val="39EC3F23"/>
    <w:rsid w:val="39F21EAE"/>
    <w:rsid w:val="3A1A0893"/>
    <w:rsid w:val="3A6B7341"/>
    <w:rsid w:val="3A804B9A"/>
    <w:rsid w:val="3A881CA1"/>
    <w:rsid w:val="3A96260F"/>
    <w:rsid w:val="3AA27206"/>
    <w:rsid w:val="3AA73EFB"/>
    <w:rsid w:val="3ADC46EA"/>
    <w:rsid w:val="3AEC4556"/>
    <w:rsid w:val="3AF15A98"/>
    <w:rsid w:val="3AF70BD4"/>
    <w:rsid w:val="3B0635D1"/>
    <w:rsid w:val="3B0752BB"/>
    <w:rsid w:val="3B192AA3"/>
    <w:rsid w:val="3B1D063B"/>
    <w:rsid w:val="3B20637D"/>
    <w:rsid w:val="3B506C62"/>
    <w:rsid w:val="3B514788"/>
    <w:rsid w:val="3B5F0C53"/>
    <w:rsid w:val="3B9518B6"/>
    <w:rsid w:val="3BBD1E1E"/>
    <w:rsid w:val="3BC82A00"/>
    <w:rsid w:val="3C094170"/>
    <w:rsid w:val="3C097069"/>
    <w:rsid w:val="3C241E9D"/>
    <w:rsid w:val="3C3E4D0D"/>
    <w:rsid w:val="3C530DD9"/>
    <w:rsid w:val="3C634773"/>
    <w:rsid w:val="3C6D55F2"/>
    <w:rsid w:val="3C74072E"/>
    <w:rsid w:val="3C8A7F52"/>
    <w:rsid w:val="3C8C1F1C"/>
    <w:rsid w:val="3C8C2C34"/>
    <w:rsid w:val="3C916221"/>
    <w:rsid w:val="3CA52FDE"/>
    <w:rsid w:val="3CAC3CAF"/>
    <w:rsid w:val="3CB37786"/>
    <w:rsid w:val="3CCC056A"/>
    <w:rsid w:val="3CD1741C"/>
    <w:rsid w:val="3CD218F9"/>
    <w:rsid w:val="3CD70CBD"/>
    <w:rsid w:val="3D432DCD"/>
    <w:rsid w:val="3D4445A5"/>
    <w:rsid w:val="3D522A89"/>
    <w:rsid w:val="3D6C7658"/>
    <w:rsid w:val="3D793B23"/>
    <w:rsid w:val="3D806EB0"/>
    <w:rsid w:val="3DC5629B"/>
    <w:rsid w:val="3DD66984"/>
    <w:rsid w:val="3DDA28D3"/>
    <w:rsid w:val="3DDE716B"/>
    <w:rsid w:val="3DE03515"/>
    <w:rsid w:val="3E081DAF"/>
    <w:rsid w:val="3E1E34BB"/>
    <w:rsid w:val="3E210442"/>
    <w:rsid w:val="3E272EAA"/>
    <w:rsid w:val="3E341073"/>
    <w:rsid w:val="3E491747"/>
    <w:rsid w:val="3E4D56DB"/>
    <w:rsid w:val="3E636CAD"/>
    <w:rsid w:val="3E88226F"/>
    <w:rsid w:val="3EB968CD"/>
    <w:rsid w:val="3ED656D0"/>
    <w:rsid w:val="3EDA6843"/>
    <w:rsid w:val="3EEF0540"/>
    <w:rsid w:val="3EF20610"/>
    <w:rsid w:val="3F71076A"/>
    <w:rsid w:val="3F80563C"/>
    <w:rsid w:val="3F9E5AC2"/>
    <w:rsid w:val="3FA30CEF"/>
    <w:rsid w:val="3FCE0156"/>
    <w:rsid w:val="3FD6525C"/>
    <w:rsid w:val="3FE179E2"/>
    <w:rsid w:val="3FEC2CD2"/>
    <w:rsid w:val="3FEF631E"/>
    <w:rsid w:val="4004626D"/>
    <w:rsid w:val="40073D9C"/>
    <w:rsid w:val="400D3374"/>
    <w:rsid w:val="405368AD"/>
    <w:rsid w:val="40666E18"/>
    <w:rsid w:val="40CB28E7"/>
    <w:rsid w:val="40CF687B"/>
    <w:rsid w:val="40F75126"/>
    <w:rsid w:val="41061B71"/>
    <w:rsid w:val="41391F47"/>
    <w:rsid w:val="415D3E87"/>
    <w:rsid w:val="41854125"/>
    <w:rsid w:val="419378A9"/>
    <w:rsid w:val="419B675D"/>
    <w:rsid w:val="41A970CC"/>
    <w:rsid w:val="41F63994"/>
    <w:rsid w:val="41FA1643"/>
    <w:rsid w:val="421D51E8"/>
    <w:rsid w:val="421E7BDA"/>
    <w:rsid w:val="42240501"/>
    <w:rsid w:val="4230334A"/>
    <w:rsid w:val="423B3A9C"/>
    <w:rsid w:val="424F08BB"/>
    <w:rsid w:val="426B6130"/>
    <w:rsid w:val="428606C1"/>
    <w:rsid w:val="429A4C67"/>
    <w:rsid w:val="429C0B37"/>
    <w:rsid w:val="42A72EE0"/>
    <w:rsid w:val="42DF267A"/>
    <w:rsid w:val="43030A5E"/>
    <w:rsid w:val="4320600B"/>
    <w:rsid w:val="43615785"/>
    <w:rsid w:val="439A3786"/>
    <w:rsid w:val="43CA332A"/>
    <w:rsid w:val="43E91A02"/>
    <w:rsid w:val="43ED0DC6"/>
    <w:rsid w:val="43F860E9"/>
    <w:rsid w:val="43FD36FF"/>
    <w:rsid w:val="44054362"/>
    <w:rsid w:val="44134CD1"/>
    <w:rsid w:val="44550E45"/>
    <w:rsid w:val="44592D30"/>
    <w:rsid w:val="447036E5"/>
    <w:rsid w:val="447119F7"/>
    <w:rsid w:val="447B2820"/>
    <w:rsid w:val="4492209A"/>
    <w:rsid w:val="44E3512B"/>
    <w:rsid w:val="44EE129A"/>
    <w:rsid w:val="44EF4B92"/>
    <w:rsid w:val="450E7246"/>
    <w:rsid w:val="453B44DF"/>
    <w:rsid w:val="455A6FF1"/>
    <w:rsid w:val="456C6BC7"/>
    <w:rsid w:val="4588524B"/>
    <w:rsid w:val="45FB3C6E"/>
    <w:rsid w:val="461A4D0F"/>
    <w:rsid w:val="4665733A"/>
    <w:rsid w:val="468B4FF2"/>
    <w:rsid w:val="46A41C10"/>
    <w:rsid w:val="46AC4F69"/>
    <w:rsid w:val="46AE6F33"/>
    <w:rsid w:val="46B04A59"/>
    <w:rsid w:val="46BB51AC"/>
    <w:rsid w:val="46C01F5A"/>
    <w:rsid w:val="46FA2178"/>
    <w:rsid w:val="471054F8"/>
    <w:rsid w:val="47153499"/>
    <w:rsid w:val="4731621B"/>
    <w:rsid w:val="4732227C"/>
    <w:rsid w:val="473311E6"/>
    <w:rsid w:val="47665118"/>
    <w:rsid w:val="477E4B57"/>
    <w:rsid w:val="478077BD"/>
    <w:rsid w:val="479723E9"/>
    <w:rsid w:val="47B666DF"/>
    <w:rsid w:val="47BE6D02"/>
    <w:rsid w:val="47C7611D"/>
    <w:rsid w:val="47CA60B4"/>
    <w:rsid w:val="47D017F8"/>
    <w:rsid w:val="47D25CD1"/>
    <w:rsid w:val="47D439C1"/>
    <w:rsid w:val="47E04ECA"/>
    <w:rsid w:val="47E32C0C"/>
    <w:rsid w:val="47ED5839"/>
    <w:rsid w:val="481C6EE1"/>
    <w:rsid w:val="4820176A"/>
    <w:rsid w:val="48403A5C"/>
    <w:rsid w:val="48456D36"/>
    <w:rsid w:val="484D6C28"/>
    <w:rsid w:val="485B7B54"/>
    <w:rsid w:val="48644510"/>
    <w:rsid w:val="48735221"/>
    <w:rsid w:val="48AD3BDC"/>
    <w:rsid w:val="48CA7928"/>
    <w:rsid w:val="48D12A65"/>
    <w:rsid w:val="48E00EFA"/>
    <w:rsid w:val="48E54C80"/>
    <w:rsid w:val="48F21359"/>
    <w:rsid w:val="48FA020D"/>
    <w:rsid w:val="491068C2"/>
    <w:rsid w:val="49136163"/>
    <w:rsid w:val="492217BE"/>
    <w:rsid w:val="492A6EC0"/>
    <w:rsid w:val="493D6429"/>
    <w:rsid w:val="496A437B"/>
    <w:rsid w:val="498920D0"/>
    <w:rsid w:val="498975CF"/>
    <w:rsid w:val="49A95790"/>
    <w:rsid w:val="49AE2DA6"/>
    <w:rsid w:val="49B93C25"/>
    <w:rsid w:val="49C763A9"/>
    <w:rsid w:val="49D16325"/>
    <w:rsid w:val="49E54A1A"/>
    <w:rsid w:val="49E862B8"/>
    <w:rsid w:val="4A0B07AE"/>
    <w:rsid w:val="4A227A1C"/>
    <w:rsid w:val="4A260593"/>
    <w:rsid w:val="4A3E237C"/>
    <w:rsid w:val="4A5E18B0"/>
    <w:rsid w:val="4A633B90"/>
    <w:rsid w:val="4A6E0B49"/>
    <w:rsid w:val="4A810C9E"/>
    <w:rsid w:val="4A914BA1"/>
    <w:rsid w:val="4ABA40F8"/>
    <w:rsid w:val="4AD14F9E"/>
    <w:rsid w:val="4B180E1F"/>
    <w:rsid w:val="4B3814C1"/>
    <w:rsid w:val="4B502367"/>
    <w:rsid w:val="4B627422"/>
    <w:rsid w:val="4B7342A7"/>
    <w:rsid w:val="4B9422CC"/>
    <w:rsid w:val="4BBF107F"/>
    <w:rsid w:val="4BD50ABE"/>
    <w:rsid w:val="4BDA272A"/>
    <w:rsid w:val="4BDF36EB"/>
    <w:rsid w:val="4BFC24EE"/>
    <w:rsid w:val="4C4023DB"/>
    <w:rsid w:val="4C7C4B97"/>
    <w:rsid w:val="4C8C14A2"/>
    <w:rsid w:val="4C972C2F"/>
    <w:rsid w:val="4CFF6962"/>
    <w:rsid w:val="4D27359B"/>
    <w:rsid w:val="4D382228"/>
    <w:rsid w:val="4D491763"/>
    <w:rsid w:val="4D520B07"/>
    <w:rsid w:val="4D534390"/>
    <w:rsid w:val="4D7A7B6F"/>
    <w:rsid w:val="4D83114A"/>
    <w:rsid w:val="4D8E7176"/>
    <w:rsid w:val="4D9246E7"/>
    <w:rsid w:val="4DBF5001"/>
    <w:rsid w:val="4DD70B1D"/>
    <w:rsid w:val="4DDE2092"/>
    <w:rsid w:val="4E2A5C26"/>
    <w:rsid w:val="4E355844"/>
    <w:rsid w:val="4E417537"/>
    <w:rsid w:val="4E48180D"/>
    <w:rsid w:val="4E4A234A"/>
    <w:rsid w:val="4E7D7917"/>
    <w:rsid w:val="4EA67CCD"/>
    <w:rsid w:val="4EB9774A"/>
    <w:rsid w:val="4ED11A10"/>
    <w:rsid w:val="4EE00BA7"/>
    <w:rsid w:val="4EE400F6"/>
    <w:rsid w:val="4EF37BD9"/>
    <w:rsid w:val="4F22226C"/>
    <w:rsid w:val="4F4A531F"/>
    <w:rsid w:val="4F4E12B3"/>
    <w:rsid w:val="4F500B6B"/>
    <w:rsid w:val="4F5D5052"/>
    <w:rsid w:val="4F820F5D"/>
    <w:rsid w:val="4FD86DCF"/>
    <w:rsid w:val="4FE439C5"/>
    <w:rsid w:val="4FE87012"/>
    <w:rsid w:val="50151DD1"/>
    <w:rsid w:val="501A61F2"/>
    <w:rsid w:val="503C7AAB"/>
    <w:rsid w:val="505446A7"/>
    <w:rsid w:val="5060304C"/>
    <w:rsid w:val="50BB0282"/>
    <w:rsid w:val="50DD0010"/>
    <w:rsid w:val="50E53551"/>
    <w:rsid w:val="50EB4717"/>
    <w:rsid w:val="510F6820"/>
    <w:rsid w:val="511D0F3D"/>
    <w:rsid w:val="512A0C17"/>
    <w:rsid w:val="514C1822"/>
    <w:rsid w:val="51622DF4"/>
    <w:rsid w:val="516A1CA8"/>
    <w:rsid w:val="516F72BF"/>
    <w:rsid w:val="517D19C3"/>
    <w:rsid w:val="519D3E2C"/>
    <w:rsid w:val="51CA1EC8"/>
    <w:rsid w:val="51CA2298"/>
    <w:rsid w:val="51DB43E6"/>
    <w:rsid w:val="51DE34F3"/>
    <w:rsid w:val="520308E4"/>
    <w:rsid w:val="52171E30"/>
    <w:rsid w:val="522D22E4"/>
    <w:rsid w:val="522E717A"/>
    <w:rsid w:val="52350508"/>
    <w:rsid w:val="52422C24"/>
    <w:rsid w:val="524E1185"/>
    <w:rsid w:val="525C5A95"/>
    <w:rsid w:val="526130AB"/>
    <w:rsid w:val="52744039"/>
    <w:rsid w:val="52976ACD"/>
    <w:rsid w:val="52A81EB5"/>
    <w:rsid w:val="53130849"/>
    <w:rsid w:val="533048AF"/>
    <w:rsid w:val="533068D6"/>
    <w:rsid w:val="534215FF"/>
    <w:rsid w:val="537D1D1C"/>
    <w:rsid w:val="538F5B83"/>
    <w:rsid w:val="53963229"/>
    <w:rsid w:val="53CB25BE"/>
    <w:rsid w:val="53F00B8B"/>
    <w:rsid w:val="5415657A"/>
    <w:rsid w:val="541D1254"/>
    <w:rsid w:val="542603BD"/>
    <w:rsid w:val="542813F0"/>
    <w:rsid w:val="543C792C"/>
    <w:rsid w:val="544A6CFB"/>
    <w:rsid w:val="548E5CAE"/>
    <w:rsid w:val="549459BA"/>
    <w:rsid w:val="54971006"/>
    <w:rsid w:val="54A13C33"/>
    <w:rsid w:val="54C31DFB"/>
    <w:rsid w:val="551958DD"/>
    <w:rsid w:val="552825CC"/>
    <w:rsid w:val="554D5B69"/>
    <w:rsid w:val="5552317F"/>
    <w:rsid w:val="5560764A"/>
    <w:rsid w:val="556D2EE9"/>
    <w:rsid w:val="55770846"/>
    <w:rsid w:val="558B71F0"/>
    <w:rsid w:val="55B547CE"/>
    <w:rsid w:val="55CB39DB"/>
    <w:rsid w:val="55DB13C7"/>
    <w:rsid w:val="55DF58B9"/>
    <w:rsid w:val="55ED715E"/>
    <w:rsid w:val="55F01C4F"/>
    <w:rsid w:val="5613290E"/>
    <w:rsid w:val="562E14F6"/>
    <w:rsid w:val="564C41FC"/>
    <w:rsid w:val="565C42B5"/>
    <w:rsid w:val="56666EE2"/>
    <w:rsid w:val="56982E14"/>
    <w:rsid w:val="569A6B8C"/>
    <w:rsid w:val="56A1616C"/>
    <w:rsid w:val="56A26EBD"/>
    <w:rsid w:val="56A51578"/>
    <w:rsid w:val="56B91708"/>
    <w:rsid w:val="56BC6B02"/>
    <w:rsid w:val="56C43C09"/>
    <w:rsid w:val="57190D8C"/>
    <w:rsid w:val="572A0ECA"/>
    <w:rsid w:val="575B27BF"/>
    <w:rsid w:val="577D0B9E"/>
    <w:rsid w:val="579B0E0D"/>
    <w:rsid w:val="57DA616B"/>
    <w:rsid w:val="580A1AEF"/>
    <w:rsid w:val="583B7EFB"/>
    <w:rsid w:val="58B33F35"/>
    <w:rsid w:val="58C223CA"/>
    <w:rsid w:val="58DC4DB7"/>
    <w:rsid w:val="58EB7325"/>
    <w:rsid w:val="59130187"/>
    <w:rsid w:val="593B28A8"/>
    <w:rsid w:val="596C6687"/>
    <w:rsid w:val="597D18F3"/>
    <w:rsid w:val="59955907"/>
    <w:rsid w:val="59A246D5"/>
    <w:rsid w:val="59AC7302"/>
    <w:rsid w:val="59B44408"/>
    <w:rsid w:val="59C12681"/>
    <w:rsid w:val="59C24CD2"/>
    <w:rsid w:val="59D70C41"/>
    <w:rsid w:val="59E720E8"/>
    <w:rsid w:val="59F842F5"/>
    <w:rsid w:val="5A3B2434"/>
    <w:rsid w:val="5A686BE6"/>
    <w:rsid w:val="5A751DEA"/>
    <w:rsid w:val="5A7F2242"/>
    <w:rsid w:val="5AA61FA3"/>
    <w:rsid w:val="5AAB75B9"/>
    <w:rsid w:val="5AAC50E0"/>
    <w:rsid w:val="5AAE0E58"/>
    <w:rsid w:val="5AC71F19"/>
    <w:rsid w:val="5AEC372E"/>
    <w:rsid w:val="5AF2003F"/>
    <w:rsid w:val="5B422E2E"/>
    <w:rsid w:val="5B721E85"/>
    <w:rsid w:val="5B9E0ECC"/>
    <w:rsid w:val="5BA069F2"/>
    <w:rsid w:val="5BA46599"/>
    <w:rsid w:val="5BAC79A6"/>
    <w:rsid w:val="5BCD17B1"/>
    <w:rsid w:val="5BD14DFE"/>
    <w:rsid w:val="5BD82630"/>
    <w:rsid w:val="5C0F0319"/>
    <w:rsid w:val="5C351C48"/>
    <w:rsid w:val="5C417F38"/>
    <w:rsid w:val="5C45759A"/>
    <w:rsid w:val="5C531CB7"/>
    <w:rsid w:val="5C61579B"/>
    <w:rsid w:val="5C7F0CFE"/>
    <w:rsid w:val="5C8C57E9"/>
    <w:rsid w:val="5CED3EB9"/>
    <w:rsid w:val="5D17501F"/>
    <w:rsid w:val="5D2C42B6"/>
    <w:rsid w:val="5D2E6280"/>
    <w:rsid w:val="5D8D2142"/>
    <w:rsid w:val="5D9117E4"/>
    <w:rsid w:val="5D937351"/>
    <w:rsid w:val="5DAF5613"/>
    <w:rsid w:val="5DD76917"/>
    <w:rsid w:val="5DD9443E"/>
    <w:rsid w:val="5DE66B5A"/>
    <w:rsid w:val="5E005E6E"/>
    <w:rsid w:val="5E0F60B1"/>
    <w:rsid w:val="5E231B5D"/>
    <w:rsid w:val="5E3C5C66"/>
    <w:rsid w:val="5E4B0F37"/>
    <w:rsid w:val="5E4E4E2C"/>
    <w:rsid w:val="5E51291A"/>
    <w:rsid w:val="5E653F23"/>
    <w:rsid w:val="5E6F03E6"/>
    <w:rsid w:val="5E714676"/>
    <w:rsid w:val="5E826883"/>
    <w:rsid w:val="5E9D34E8"/>
    <w:rsid w:val="5EC953EE"/>
    <w:rsid w:val="5EE17C8E"/>
    <w:rsid w:val="5EFF1C82"/>
    <w:rsid w:val="5F125E59"/>
    <w:rsid w:val="5F1C2834"/>
    <w:rsid w:val="5F243723"/>
    <w:rsid w:val="5F2B2A77"/>
    <w:rsid w:val="5F5E6BD8"/>
    <w:rsid w:val="5F700DD2"/>
    <w:rsid w:val="5F712636"/>
    <w:rsid w:val="5F7B589B"/>
    <w:rsid w:val="5F906D7E"/>
    <w:rsid w:val="5F9F5ABD"/>
    <w:rsid w:val="5FA647F3"/>
    <w:rsid w:val="5FB92B44"/>
    <w:rsid w:val="5FCF78A6"/>
    <w:rsid w:val="5FDD57D0"/>
    <w:rsid w:val="600E6913"/>
    <w:rsid w:val="600E7C10"/>
    <w:rsid w:val="601D6342"/>
    <w:rsid w:val="60433DF0"/>
    <w:rsid w:val="606A5821"/>
    <w:rsid w:val="607406B8"/>
    <w:rsid w:val="607E307A"/>
    <w:rsid w:val="60E23609"/>
    <w:rsid w:val="61025A59"/>
    <w:rsid w:val="6109503A"/>
    <w:rsid w:val="610C0686"/>
    <w:rsid w:val="610E43FE"/>
    <w:rsid w:val="61145C9C"/>
    <w:rsid w:val="61151C31"/>
    <w:rsid w:val="612A5DDF"/>
    <w:rsid w:val="6131633F"/>
    <w:rsid w:val="613F0A5C"/>
    <w:rsid w:val="619959F1"/>
    <w:rsid w:val="620F48D2"/>
    <w:rsid w:val="62113437"/>
    <w:rsid w:val="629127A7"/>
    <w:rsid w:val="62966DA1"/>
    <w:rsid w:val="62970456"/>
    <w:rsid w:val="62A76B9B"/>
    <w:rsid w:val="62CD7867"/>
    <w:rsid w:val="62F678DE"/>
    <w:rsid w:val="63175E87"/>
    <w:rsid w:val="63274D56"/>
    <w:rsid w:val="6333174D"/>
    <w:rsid w:val="63506F50"/>
    <w:rsid w:val="63612F0B"/>
    <w:rsid w:val="63754C08"/>
    <w:rsid w:val="637C5F97"/>
    <w:rsid w:val="637D216D"/>
    <w:rsid w:val="637E6A4D"/>
    <w:rsid w:val="63B52B1D"/>
    <w:rsid w:val="63F43D7F"/>
    <w:rsid w:val="64342B64"/>
    <w:rsid w:val="64501908"/>
    <w:rsid w:val="64583414"/>
    <w:rsid w:val="647E5D3F"/>
    <w:rsid w:val="6488096B"/>
    <w:rsid w:val="64946C8F"/>
    <w:rsid w:val="64BF421D"/>
    <w:rsid w:val="64C03613"/>
    <w:rsid w:val="64D4595F"/>
    <w:rsid w:val="650D73AC"/>
    <w:rsid w:val="65451723"/>
    <w:rsid w:val="656F7435"/>
    <w:rsid w:val="65761AB1"/>
    <w:rsid w:val="65827493"/>
    <w:rsid w:val="658459C1"/>
    <w:rsid w:val="658B4EE7"/>
    <w:rsid w:val="65A11CE5"/>
    <w:rsid w:val="65BB267B"/>
    <w:rsid w:val="65D96141"/>
    <w:rsid w:val="662F5543"/>
    <w:rsid w:val="66504F95"/>
    <w:rsid w:val="66725C36"/>
    <w:rsid w:val="668B3D4F"/>
    <w:rsid w:val="669E4476"/>
    <w:rsid w:val="66BB0B84"/>
    <w:rsid w:val="66BE2423"/>
    <w:rsid w:val="670859D2"/>
    <w:rsid w:val="67136C12"/>
    <w:rsid w:val="6717075E"/>
    <w:rsid w:val="673F17B5"/>
    <w:rsid w:val="674345C6"/>
    <w:rsid w:val="67541624"/>
    <w:rsid w:val="67726912"/>
    <w:rsid w:val="67B04461"/>
    <w:rsid w:val="67C779FD"/>
    <w:rsid w:val="67C9107F"/>
    <w:rsid w:val="67DD7FA5"/>
    <w:rsid w:val="6809606D"/>
    <w:rsid w:val="680B1697"/>
    <w:rsid w:val="680C5410"/>
    <w:rsid w:val="681A1182"/>
    <w:rsid w:val="686F3C52"/>
    <w:rsid w:val="686F7E78"/>
    <w:rsid w:val="688651C2"/>
    <w:rsid w:val="68925915"/>
    <w:rsid w:val="68926B02"/>
    <w:rsid w:val="68F47A32"/>
    <w:rsid w:val="690031C6"/>
    <w:rsid w:val="692112C9"/>
    <w:rsid w:val="693C61FA"/>
    <w:rsid w:val="696077C1"/>
    <w:rsid w:val="696F3EA8"/>
    <w:rsid w:val="697274F4"/>
    <w:rsid w:val="69866CCF"/>
    <w:rsid w:val="69992CD3"/>
    <w:rsid w:val="69A41DA4"/>
    <w:rsid w:val="69B0699A"/>
    <w:rsid w:val="69BF098B"/>
    <w:rsid w:val="69E0792C"/>
    <w:rsid w:val="69F0323B"/>
    <w:rsid w:val="69F119A2"/>
    <w:rsid w:val="6A010FA4"/>
    <w:rsid w:val="6A1D3904"/>
    <w:rsid w:val="6A4C3825"/>
    <w:rsid w:val="6A4E7F61"/>
    <w:rsid w:val="6A7D07B7"/>
    <w:rsid w:val="6A8C2CC7"/>
    <w:rsid w:val="6A9040D6"/>
    <w:rsid w:val="6A975464"/>
    <w:rsid w:val="6AB53B26"/>
    <w:rsid w:val="6ACA583A"/>
    <w:rsid w:val="6AE01721"/>
    <w:rsid w:val="6B20545A"/>
    <w:rsid w:val="6B2667E8"/>
    <w:rsid w:val="6B2A0087"/>
    <w:rsid w:val="6B2C02A3"/>
    <w:rsid w:val="6B2C2051"/>
    <w:rsid w:val="6B2F7D93"/>
    <w:rsid w:val="6B3112FA"/>
    <w:rsid w:val="6B3A720F"/>
    <w:rsid w:val="6B3B04E6"/>
    <w:rsid w:val="6B7439F8"/>
    <w:rsid w:val="6B8230D4"/>
    <w:rsid w:val="6B930322"/>
    <w:rsid w:val="6BA02A3F"/>
    <w:rsid w:val="6C0E11BB"/>
    <w:rsid w:val="6C3C2767"/>
    <w:rsid w:val="6C3D203B"/>
    <w:rsid w:val="6C3E2441"/>
    <w:rsid w:val="6C5773B6"/>
    <w:rsid w:val="6C776A3F"/>
    <w:rsid w:val="6CD2501E"/>
    <w:rsid w:val="6CF03552"/>
    <w:rsid w:val="6CF3094C"/>
    <w:rsid w:val="6CF5724A"/>
    <w:rsid w:val="6CF63649"/>
    <w:rsid w:val="6D2231F1"/>
    <w:rsid w:val="6D582FEE"/>
    <w:rsid w:val="6D741A8D"/>
    <w:rsid w:val="6DA76501"/>
    <w:rsid w:val="6DB81974"/>
    <w:rsid w:val="6DBB590E"/>
    <w:rsid w:val="6DC412AC"/>
    <w:rsid w:val="6DDD3839"/>
    <w:rsid w:val="6E001573"/>
    <w:rsid w:val="6E027099"/>
    <w:rsid w:val="6E1833D1"/>
    <w:rsid w:val="6E5F0929"/>
    <w:rsid w:val="6E647D53"/>
    <w:rsid w:val="6E83612F"/>
    <w:rsid w:val="6EA91C0A"/>
    <w:rsid w:val="6EAB1E23"/>
    <w:rsid w:val="6ECB657E"/>
    <w:rsid w:val="6ED70525"/>
    <w:rsid w:val="6EDF6CBC"/>
    <w:rsid w:val="6EE113A4"/>
    <w:rsid w:val="6EE36ECA"/>
    <w:rsid w:val="6F0B6421"/>
    <w:rsid w:val="6F255DD2"/>
    <w:rsid w:val="6F305E09"/>
    <w:rsid w:val="6F51652A"/>
    <w:rsid w:val="6F5C30DD"/>
    <w:rsid w:val="6F654CF8"/>
    <w:rsid w:val="6F6A0833"/>
    <w:rsid w:val="6F8166E3"/>
    <w:rsid w:val="6F896567"/>
    <w:rsid w:val="6FB90E41"/>
    <w:rsid w:val="6FE612E2"/>
    <w:rsid w:val="6FEC2194"/>
    <w:rsid w:val="6FFF2778"/>
    <w:rsid w:val="70115FB7"/>
    <w:rsid w:val="701B2694"/>
    <w:rsid w:val="705B6F34"/>
    <w:rsid w:val="707C1807"/>
    <w:rsid w:val="70850C8B"/>
    <w:rsid w:val="70C0343B"/>
    <w:rsid w:val="70DB393E"/>
    <w:rsid w:val="70E76A1A"/>
    <w:rsid w:val="70EB475C"/>
    <w:rsid w:val="70F33611"/>
    <w:rsid w:val="71072C18"/>
    <w:rsid w:val="71083AF3"/>
    <w:rsid w:val="7143236C"/>
    <w:rsid w:val="71445C1A"/>
    <w:rsid w:val="71463740"/>
    <w:rsid w:val="71752972"/>
    <w:rsid w:val="719B7F30"/>
    <w:rsid w:val="719E5573"/>
    <w:rsid w:val="71D271CF"/>
    <w:rsid w:val="72181581"/>
    <w:rsid w:val="722E2B52"/>
    <w:rsid w:val="722E78BF"/>
    <w:rsid w:val="72380C91"/>
    <w:rsid w:val="72446667"/>
    <w:rsid w:val="725421F9"/>
    <w:rsid w:val="725B146D"/>
    <w:rsid w:val="72742D1A"/>
    <w:rsid w:val="7298621E"/>
    <w:rsid w:val="72C20CD7"/>
    <w:rsid w:val="72D52FCE"/>
    <w:rsid w:val="72E25FD8"/>
    <w:rsid w:val="732E6B82"/>
    <w:rsid w:val="734737A0"/>
    <w:rsid w:val="73522870"/>
    <w:rsid w:val="735B1A95"/>
    <w:rsid w:val="73752023"/>
    <w:rsid w:val="737A4711"/>
    <w:rsid w:val="739764D5"/>
    <w:rsid w:val="739F6DEE"/>
    <w:rsid w:val="73A77042"/>
    <w:rsid w:val="73AD7D7E"/>
    <w:rsid w:val="73CC268A"/>
    <w:rsid w:val="73D239B1"/>
    <w:rsid w:val="73D9089C"/>
    <w:rsid w:val="73E3171A"/>
    <w:rsid w:val="73E86D31"/>
    <w:rsid w:val="73F263DF"/>
    <w:rsid w:val="73F676A0"/>
    <w:rsid w:val="740873D3"/>
    <w:rsid w:val="740C0C71"/>
    <w:rsid w:val="740F42BD"/>
    <w:rsid w:val="742C11FC"/>
    <w:rsid w:val="742E508B"/>
    <w:rsid w:val="742F670E"/>
    <w:rsid w:val="744A3547"/>
    <w:rsid w:val="74671F38"/>
    <w:rsid w:val="74942A15"/>
    <w:rsid w:val="74AA72BF"/>
    <w:rsid w:val="74AC5FB0"/>
    <w:rsid w:val="74DA48CB"/>
    <w:rsid w:val="74DB0643"/>
    <w:rsid w:val="75061AC9"/>
    <w:rsid w:val="75092519"/>
    <w:rsid w:val="751002ED"/>
    <w:rsid w:val="75412B9C"/>
    <w:rsid w:val="75437428"/>
    <w:rsid w:val="75587EE6"/>
    <w:rsid w:val="757765BE"/>
    <w:rsid w:val="757C5983"/>
    <w:rsid w:val="757F5473"/>
    <w:rsid w:val="75954C96"/>
    <w:rsid w:val="75956A44"/>
    <w:rsid w:val="75CB06B8"/>
    <w:rsid w:val="75DC28C5"/>
    <w:rsid w:val="75FE6CDF"/>
    <w:rsid w:val="761E2EDE"/>
    <w:rsid w:val="7620726A"/>
    <w:rsid w:val="76391AC6"/>
    <w:rsid w:val="764C4EDD"/>
    <w:rsid w:val="764D731F"/>
    <w:rsid w:val="76582B84"/>
    <w:rsid w:val="76676633"/>
    <w:rsid w:val="76856AB9"/>
    <w:rsid w:val="768947FB"/>
    <w:rsid w:val="76944F4E"/>
    <w:rsid w:val="76A55AC8"/>
    <w:rsid w:val="76C07AF1"/>
    <w:rsid w:val="76C21ABB"/>
    <w:rsid w:val="76D872C4"/>
    <w:rsid w:val="76D92566"/>
    <w:rsid w:val="77145600"/>
    <w:rsid w:val="7748213F"/>
    <w:rsid w:val="775D419B"/>
    <w:rsid w:val="776500DC"/>
    <w:rsid w:val="777032C5"/>
    <w:rsid w:val="77732816"/>
    <w:rsid w:val="77762633"/>
    <w:rsid w:val="779A12DA"/>
    <w:rsid w:val="77A80CB1"/>
    <w:rsid w:val="77DF669D"/>
    <w:rsid w:val="77E51300"/>
    <w:rsid w:val="780103C1"/>
    <w:rsid w:val="782F44E1"/>
    <w:rsid w:val="7856250B"/>
    <w:rsid w:val="78827754"/>
    <w:rsid w:val="78C37D6C"/>
    <w:rsid w:val="78E513CA"/>
    <w:rsid w:val="79075EAB"/>
    <w:rsid w:val="79167E9C"/>
    <w:rsid w:val="792A3948"/>
    <w:rsid w:val="79342270"/>
    <w:rsid w:val="79532E9E"/>
    <w:rsid w:val="79B4611B"/>
    <w:rsid w:val="79BC1425"/>
    <w:rsid w:val="79DC10E6"/>
    <w:rsid w:val="79F3642F"/>
    <w:rsid w:val="7A066163"/>
    <w:rsid w:val="7A214D4A"/>
    <w:rsid w:val="7A4B1DC7"/>
    <w:rsid w:val="7A5E1AFB"/>
    <w:rsid w:val="7A682979"/>
    <w:rsid w:val="7A7C01D3"/>
    <w:rsid w:val="7A7E344B"/>
    <w:rsid w:val="7A9814B1"/>
    <w:rsid w:val="7A9F4E9E"/>
    <w:rsid w:val="7AAD4924"/>
    <w:rsid w:val="7ABA32DC"/>
    <w:rsid w:val="7AD93877"/>
    <w:rsid w:val="7AE244DA"/>
    <w:rsid w:val="7AEA15E0"/>
    <w:rsid w:val="7AF95CC7"/>
    <w:rsid w:val="7B022DCE"/>
    <w:rsid w:val="7B6B19F4"/>
    <w:rsid w:val="7B6E2211"/>
    <w:rsid w:val="7B787C37"/>
    <w:rsid w:val="7B841A35"/>
    <w:rsid w:val="7B8A287E"/>
    <w:rsid w:val="7B8C08E9"/>
    <w:rsid w:val="7B963516"/>
    <w:rsid w:val="7B9D2AF7"/>
    <w:rsid w:val="7BB35E76"/>
    <w:rsid w:val="7BB816DF"/>
    <w:rsid w:val="7BB85A2F"/>
    <w:rsid w:val="7BC97448"/>
    <w:rsid w:val="7BCE2CB0"/>
    <w:rsid w:val="7BDC361F"/>
    <w:rsid w:val="7BEE704C"/>
    <w:rsid w:val="7BFD0CC1"/>
    <w:rsid w:val="7C05739D"/>
    <w:rsid w:val="7C084414"/>
    <w:rsid w:val="7C1877D9"/>
    <w:rsid w:val="7C336FB7"/>
    <w:rsid w:val="7C353720"/>
    <w:rsid w:val="7C3C010D"/>
    <w:rsid w:val="7C607919"/>
    <w:rsid w:val="7C6B6751"/>
    <w:rsid w:val="7C9A0DE4"/>
    <w:rsid w:val="7CB3691A"/>
    <w:rsid w:val="7CB830BD"/>
    <w:rsid w:val="7CE704CD"/>
    <w:rsid w:val="7D1B0177"/>
    <w:rsid w:val="7D324F51"/>
    <w:rsid w:val="7D657644"/>
    <w:rsid w:val="7D920A88"/>
    <w:rsid w:val="7DAA351E"/>
    <w:rsid w:val="7E066731"/>
    <w:rsid w:val="7E12157A"/>
    <w:rsid w:val="7E1626EC"/>
    <w:rsid w:val="7E286F6A"/>
    <w:rsid w:val="7E413C0D"/>
    <w:rsid w:val="7E465B77"/>
    <w:rsid w:val="7E4C5CB5"/>
    <w:rsid w:val="7E4C610E"/>
    <w:rsid w:val="7E77762F"/>
    <w:rsid w:val="7E7A0ECD"/>
    <w:rsid w:val="7E977CD1"/>
    <w:rsid w:val="7EA85A3A"/>
    <w:rsid w:val="7EB20667"/>
    <w:rsid w:val="7EC42148"/>
    <w:rsid w:val="7EDD2876"/>
    <w:rsid w:val="7EE47335"/>
    <w:rsid w:val="7F0A04A3"/>
    <w:rsid w:val="7F0FD475"/>
    <w:rsid w:val="7F485CBA"/>
    <w:rsid w:val="7F6851CA"/>
    <w:rsid w:val="7F6A7194"/>
    <w:rsid w:val="7F8664A3"/>
    <w:rsid w:val="7F875650"/>
    <w:rsid w:val="7F947D6D"/>
    <w:rsid w:val="7FA74399"/>
    <w:rsid w:val="7FC428A5"/>
    <w:rsid w:val="7FDDD619"/>
    <w:rsid w:val="7FEA3E31"/>
    <w:rsid w:val="7FEC5DFB"/>
    <w:rsid w:val="7FFB521F"/>
    <w:rsid w:val="7FFD1DB6"/>
    <w:rsid w:val="99C38B65"/>
    <w:rsid w:val="FFCDE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5">
    <w:name w:val="Document Map"/>
    <w:basedOn w:val="1"/>
    <w:link w:val="35"/>
    <w:qFormat/>
    <w:uiPriority w:val="0"/>
    <w:rPr>
      <w:rFonts w:ascii="宋体" w:eastAsia="宋体"/>
      <w:sz w:val="18"/>
      <w:szCs w:val="18"/>
    </w:rPr>
  </w:style>
  <w:style w:type="paragraph" w:styleId="6">
    <w:name w:val="Body Text"/>
    <w:basedOn w:val="1"/>
    <w:semiHidden/>
    <w:qFormat/>
    <w:uiPriority w:val="0"/>
    <w:rPr>
      <w:rFonts w:ascii="宋体" w:hAnsi="宋体" w:eastAsia="宋体" w:cs="宋体"/>
      <w:sz w:val="30"/>
      <w:szCs w:val="30"/>
    </w:rPr>
  </w:style>
  <w:style w:type="paragraph" w:styleId="7">
    <w:name w:val="Body Text Indent"/>
    <w:basedOn w:val="6"/>
    <w:qFormat/>
    <w:uiPriority w:val="0"/>
    <w:pPr>
      <w:spacing w:line="360" w:lineRule="auto"/>
      <w:ind w:firstLine="540" w:firstLineChars="225"/>
    </w:pPr>
    <w:rPr>
      <w:rFonts w:ascii="Times New Roman" w:hAnsi="Times New Roman"/>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Theme="minorEastAsia" w:cstheme="minorBidi"/>
      <w:szCs w:val="22"/>
    </w:rPr>
  </w:style>
  <w:style w:type="paragraph" w:styleId="10">
    <w:name w:val="Body Text Indent 2"/>
    <w:basedOn w:val="1"/>
    <w:qFormat/>
    <w:uiPriority w:val="0"/>
    <w:pPr>
      <w:spacing w:line="360" w:lineRule="auto"/>
      <w:ind w:left="360" w:firstLine="600"/>
    </w:pPr>
    <w:rPr>
      <w:b/>
      <w:sz w:val="24"/>
      <w:szCs w:val="20"/>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0"/>
  </w:style>
  <w:style w:type="paragraph" w:styleId="15">
    <w:name w:val="Body Text Indent 3"/>
    <w:basedOn w:val="1"/>
    <w:qFormat/>
    <w:uiPriority w:val="0"/>
    <w:pPr>
      <w:spacing w:line="500" w:lineRule="exact"/>
      <w:ind w:firstLine="360" w:firstLineChars="150"/>
    </w:pPr>
    <w:rPr>
      <w:sz w:val="24"/>
      <w:szCs w:val="20"/>
    </w:rPr>
  </w:style>
  <w:style w:type="paragraph" w:styleId="16">
    <w:name w:val="toc 2"/>
    <w:basedOn w:val="1"/>
    <w:next w:val="1"/>
    <w:qFormat/>
    <w:uiPriority w:val="0"/>
    <w:pPr>
      <w:ind w:left="420" w:leftChars="200"/>
    </w:pPr>
  </w:style>
  <w:style w:type="paragraph" w:styleId="17">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8">
    <w:name w:val="Normal (Web)"/>
    <w:basedOn w:val="1"/>
    <w:qFormat/>
    <w:uiPriority w:val="0"/>
    <w:pPr>
      <w:spacing w:beforeAutospacing="1" w:afterAutospacing="1"/>
    </w:pPr>
    <w:rPr>
      <w:rFonts w:cs="Times New Roman"/>
      <w:sz w:val="24"/>
      <w:lang w:eastAsia="zh-CN"/>
    </w:rPr>
  </w:style>
  <w:style w:type="paragraph" w:styleId="19">
    <w:name w:val="Body Text First Indent"/>
    <w:basedOn w:val="6"/>
    <w:next w:val="20"/>
    <w:unhideWhenUsed/>
    <w:qFormat/>
    <w:uiPriority w:val="99"/>
    <w:pPr>
      <w:ind w:firstLine="420" w:firstLineChars="100"/>
    </w:pPr>
    <w:rPr>
      <w:rFonts w:ascii="Times New Roman" w:hAnsi="Times New Roman"/>
    </w:rPr>
  </w:style>
  <w:style w:type="paragraph" w:styleId="20">
    <w:name w:val="Body Text First Indent 2"/>
    <w:basedOn w:val="7"/>
    <w:next w:val="4"/>
    <w:unhideWhenUsed/>
    <w:qFormat/>
    <w:uiPriority w:val="99"/>
    <w:pPr>
      <w:ind w:firstLine="420" w:firstLineChars="200"/>
    </w:pPr>
    <w:rPr>
      <w:szCs w:val="24"/>
    </w:rPr>
  </w:style>
  <w:style w:type="character" w:styleId="23">
    <w:name w:val="Strong"/>
    <w:basedOn w:val="22"/>
    <w:qFormat/>
    <w:uiPriority w:val="0"/>
    <w:rPr>
      <w:b/>
    </w:rPr>
  </w:style>
  <w:style w:type="character" w:styleId="24">
    <w:name w:val="page number"/>
    <w:qFormat/>
    <w:uiPriority w:val="0"/>
  </w:style>
  <w:style w:type="paragraph" w:customStyle="1" w:styleId="25">
    <w:name w:val="段"/>
    <w:next w:val="1"/>
    <w:qFormat/>
    <w:uiPriority w:val="0"/>
    <w:pPr>
      <w:autoSpaceDE w:val="0"/>
      <w:autoSpaceDN w:val="0"/>
      <w:ind w:firstLine="200" w:firstLineChars="200"/>
      <w:jc w:val="both"/>
    </w:pPr>
    <w:rPr>
      <w:rFonts w:ascii="宋体" w:hAnsi="Calibri" w:eastAsia="Times New Roman" w:cs="Times New Roman"/>
      <w:sz w:val="21"/>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rPr>
  </w:style>
  <w:style w:type="paragraph" w:styleId="28">
    <w:name w:val="List Paragraph"/>
    <w:basedOn w:val="1"/>
    <w:qFormat/>
    <w:uiPriority w:val="34"/>
    <w:pPr>
      <w:ind w:firstLine="420" w:firstLineChars="200"/>
    </w:pPr>
  </w:style>
  <w:style w:type="paragraph" w:customStyle="1" w:styleId="29">
    <w:name w:val="Table Paragraph"/>
    <w:basedOn w:val="1"/>
    <w:qFormat/>
    <w:uiPriority w:val="1"/>
    <w:pPr>
      <w:spacing w:before="81"/>
      <w:ind w:left="108"/>
    </w:pPr>
    <w:rPr>
      <w:rFonts w:ascii="宋体" w:hAnsi="宋体" w:cs="宋体"/>
      <w:sz w:val="22"/>
      <w:lang w:val="zh-CN" w:bidi="zh-CN"/>
    </w:rPr>
  </w:style>
  <w:style w:type="paragraph" w:customStyle="1" w:styleId="30">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批注框文本 Char"/>
    <w:basedOn w:val="22"/>
    <w:link w:val="11"/>
    <w:qFormat/>
    <w:uiPriority w:val="0"/>
    <w:rPr>
      <w:rFonts w:ascii="Arial" w:hAnsi="Arial" w:eastAsia="Arial" w:cs="Arial"/>
      <w:snapToGrid w:val="0"/>
      <w:color w:val="000000"/>
      <w:sz w:val="18"/>
      <w:szCs w:val="18"/>
      <w:lang w:eastAsia="en-US"/>
    </w:rPr>
  </w:style>
  <w:style w:type="character" w:customStyle="1" w:styleId="35">
    <w:name w:val="文档结构图 Char"/>
    <w:basedOn w:val="22"/>
    <w:link w:val="5"/>
    <w:qFormat/>
    <w:uiPriority w:val="0"/>
    <w:rPr>
      <w:rFonts w:ascii="宋体" w:hAnsi="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8"/>
    <customShpInfo spid="_x0000_s2066"/>
    <customShpInfo spid="_x0000_s2067" textRotate="1"/>
    <customShpInfo spid="_x0000_s206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3930</Words>
  <Characters>4596</Characters>
  <Lines>232</Lines>
  <Paragraphs>65</Paragraphs>
  <TotalTime>43</TotalTime>
  <ScaleCrop>false</ScaleCrop>
  <LinksUpToDate>false</LinksUpToDate>
  <CharactersWithSpaces>4812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2019-07-14T08:46:00Z</dcterms:created>
  <dc:creator>yhx</dc:creator>
  <cp:lastModifiedBy>Acer</cp:lastModifiedBy>
  <cp:lastPrinted>2025-07-22T08:46:00Z</cp:lastPrinted>
  <dcterms:modified xsi:type="dcterms:W3CDTF">2025-07-23T01:48:50Z</dcterms:modified>
  <dc:title>光山县政府采购年新增农村饮水安全工程PVC—U给水管材供应项目</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2024-07-08T14:56:04Z</vt:filetime>
  </property>
  <property fmtid="{D5CDD505-2E9C-101B-9397-08002B2CF9AE}" pid="4" name="KSOProductBuildVer">
    <vt:lpwstr>2052-12.1.0.21541</vt:lpwstr>
  </property>
  <property fmtid="{D5CDD505-2E9C-101B-9397-08002B2CF9AE}" pid="5" name="ICV">
    <vt:lpwstr>FCD8C6B006434875AE381368E001A34C_12</vt:lpwstr>
  </property>
  <property fmtid="{D5CDD505-2E9C-101B-9397-08002B2CF9AE}" pid="6" name="KSOTemplateDocerSaveRecord">
    <vt:lpwstr>eyJoZGlkIjoiZjg0NzdhYTg5MDkzZjRjNWNjM2QzNzI3MDA2MGFhMmIifQ==</vt:lpwstr>
  </property>
</Properties>
</file>