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D1DB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</w:p>
    <w:p w14:paraId="28443E1E">
      <w:r>
        <w:drawing>
          <wp:inline distT="0" distB="0" distL="114300" distR="114300">
            <wp:extent cx="5265420" cy="14014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7B03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3F2A31"/>
    <w:rsid w:val="00592C46"/>
    <w:rsid w:val="00900FBF"/>
    <w:rsid w:val="00AB396D"/>
    <w:rsid w:val="00C823D1"/>
    <w:rsid w:val="00CB0248"/>
    <w:rsid w:val="00EA413D"/>
    <w:rsid w:val="1CA1326D"/>
    <w:rsid w:val="3D1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uiPriority w:val="1"/>
  </w:style>
  <w:style w:type="table" w:default="1" w:styleId="7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33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2025-06-10T06:08:41Z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7BA00A43BC8544E281DFD9D6ABD38FA2_12</vt:lpwstr>
  </property>
</Properties>
</file>