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BF648">
      <w:pPr>
        <w:pStyle w:val="6"/>
        <w:numPr>
          <w:ilvl w:val="0"/>
          <w:numId w:val="1"/>
        </w:numPr>
        <w:spacing w:before="156" w:beforeLines="50" w:after="156" w:afterLines="50" w:line="600" w:lineRule="exact"/>
        <w:ind w:left="57"/>
        <w:jc w:val="center"/>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bookmarkStart w:id="0" w:name="_Toc4655"/>
      <w:r>
        <w:rPr>
          <w:rFonts w:hint="eastAsia" w:ascii="仿宋_GB2312" w:hAnsi="仿宋_GB2312" w:eastAsia="仿宋_GB2312" w:cs="仿宋_GB2312"/>
          <w:b/>
          <w:bCs/>
          <w:color w:val="auto"/>
          <w:sz w:val="32"/>
          <w:szCs w:val="32"/>
          <w:highlight w:val="none"/>
        </w:rPr>
        <w:t>采购需求</w:t>
      </w:r>
      <w:bookmarkEnd w:id="0"/>
    </w:p>
    <w:p w14:paraId="4A336AA9">
      <w:pPr>
        <w:pStyle w:val="4"/>
        <w:pageBreakBefore w:val="0"/>
        <w:kinsoku/>
        <w:wordWrap/>
        <w:overflowPunct/>
        <w:topLinePunct w:val="0"/>
        <w:autoSpaceDE/>
        <w:autoSpaceDN/>
        <w:bidi w:val="0"/>
        <w:spacing w:line="360" w:lineRule="auto"/>
        <w:ind w:firstLine="210" w:firstLineChars="100"/>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一、采购内容：平安家园治安家财保险服务</w:t>
      </w:r>
    </w:p>
    <w:p w14:paraId="427E5A7C">
      <w:pPr>
        <w:pStyle w:val="4"/>
        <w:pageBreakBefore w:val="0"/>
        <w:kinsoku/>
        <w:wordWrap/>
        <w:overflowPunct/>
        <w:topLinePunct w:val="0"/>
        <w:autoSpaceDE/>
        <w:autoSpaceDN/>
        <w:bidi w:val="0"/>
        <w:spacing w:line="360" w:lineRule="auto"/>
        <w:ind w:firstLine="210" w:firstLineChars="100"/>
        <w:jc w:val="both"/>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二、资金来源：财政资金，已落实；预算服务费用每年50万元，服务期限3年，合计150万元。（本项目预算价及最高限价为150万元，投标人自主报价，不得超出最高限价。）</w:t>
      </w:r>
    </w:p>
    <w:p w14:paraId="086EBB7C">
      <w:pPr>
        <w:pStyle w:val="4"/>
        <w:pageBreakBefore w:val="0"/>
        <w:kinsoku/>
        <w:wordWrap/>
        <w:overflowPunct/>
        <w:topLinePunct w:val="0"/>
        <w:autoSpaceDE/>
        <w:autoSpaceDN/>
        <w:bidi w:val="0"/>
        <w:spacing w:line="360" w:lineRule="auto"/>
        <w:ind w:firstLine="210" w:firstLineChars="100"/>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三、服务期限：3年</w:t>
      </w:r>
    </w:p>
    <w:p w14:paraId="35713D3A">
      <w:pPr>
        <w:pStyle w:val="4"/>
        <w:pageBreakBefore w:val="0"/>
        <w:kinsoku/>
        <w:wordWrap/>
        <w:overflowPunct/>
        <w:topLinePunct w:val="0"/>
        <w:autoSpaceDE/>
        <w:autoSpaceDN/>
        <w:bidi w:val="0"/>
        <w:spacing w:line="360" w:lineRule="auto"/>
        <w:ind w:firstLine="210" w:firstLineChars="100"/>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四、服务要求：达到国家及行业相关服务规定合格标准</w:t>
      </w:r>
    </w:p>
    <w:p w14:paraId="115B8412">
      <w:pPr>
        <w:pStyle w:val="4"/>
        <w:pageBreakBefore w:val="0"/>
        <w:kinsoku/>
        <w:wordWrap/>
        <w:overflowPunct/>
        <w:topLinePunct w:val="0"/>
        <w:autoSpaceDE/>
        <w:autoSpaceDN/>
        <w:bidi w:val="0"/>
        <w:spacing w:line="360" w:lineRule="auto"/>
        <w:ind w:firstLine="210" w:firstLineChars="100"/>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五、保险范围</w:t>
      </w:r>
    </w:p>
    <w:p w14:paraId="725D84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kern w:val="2"/>
          <w:sz w:val="21"/>
          <w:szCs w:val="21"/>
          <w:highlight w:val="none"/>
          <w:lang w:val="en-US" w:eastAsia="zh-CN" w:bidi="ar-SA"/>
        </w:rPr>
        <w:t>人员范围：平顶山宝丰县户籍在册人员（含农业和非农业人口）,具有平顶山市宝丰县户籍的自然人；本辖区务工人员；与本辖区居住户籍居民结婚后，但未取得本辖区户籍的人员；与本辖区户籍居民结婚后，生育的子女尚未取得户籍的；户籍不在本辖区，但在本辖区内党政机关、社会团体、企事业单位上班的人员；本辖区内的</w:t>
      </w:r>
      <w:r>
        <w:rPr>
          <w:rFonts w:hint="eastAsia" w:ascii="仿宋_GB2312" w:hAnsi="仿宋_GB2312" w:eastAsia="仿宋_GB2312" w:cs="仿宋_GB2312"/>
          <w:b w:val="0"/>
          <w:bCs/>
          <w:color w:val="auto"/>
          <w:sz w:val="21"/>
          <w:szCs w:val="21"/>
          <w:highlight w:val="none"/>
          <w:lang w:eastAsia="zh-CN"/>
        </w:rPr>
        <w:t>未成年在校学生；</w:t>
      </w:r>
      <w:r>
        <w:rPr>
          <w:rFonts w:hint="eastAsia" w:ascii="仿宋_GB2312" w:hAnsi="仿宋_GB2312" w:eastAsia="仿宋_GB2312" w:cs="仿宋_GB2312"/>
          <w:b w:val="0"/>
          <w:bCs/>
          <w:color w:val="auto"/>
          <w:sz w:val="21"/>
          <w:szCs w:val="21"/>
          <w:highlight w:val="none"/>
          <w:lang w:val="en-US" w:eastAsia="zh-CN"/>
        </w:rPr>
        <w:t>户籍不在本辖区，但在承保区域范围的所有人员</w:t>
      </w:r>
      <w:r>
        <w:rPr>
          <w:rFonts w:hint="eastAsia" w:ascii="仿宋_GB2312" w:hAnsi="仿宋_GB2312" w:eastAsia="仿宋_GB2312" w:cs="仿宋_GB2312"/>
          <w:b w:val="0"/>
          <w:bCs/>
          <w:color w:val="auto"/>
          <w:sz w:val="21"/>
          <w:szCs w:val="21"/>
          <w:highlight w:val="none"/>
          <w:lang w:eastAsia="zh-CN"/>
        </w:rPr>
        <w:t>。</w:t>
      </w:r>
    </w:p>
    <w:p w14:paraId="39B15D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rPr>
        <w:t>财产范</w:t>
      </w:r>
      <w:r>
        <w:rPr>
          <w:rFonts w:hint="eastAsia" w:ascii="仿宋_GB2312" w:hAnsi="仿宋_GB2312" w:eastAsia="仿宋_GB2312" w:cs="仿宋_GB2312"/>
          <w:b w:val="0"/>
          <w:bCs/>
          <w:color w:val="auto"/>
          <w:sz w:val="21"/>
          <w:szCs w:val="21"/>
          <w:highlight w:val="none"/>
          <w:lang w:eastAsia="zh-CN"/>
        </w:rPr>
        <w:t>围：辖区内全部常住人口所有且有人长期居住的居民房屋、室内相关财产、电动（两轮、三轮）车等</w:t>
      </w:r>
      <w:r>
        <w:rPr>
          <w:rFonts w:hint="eastAsia" w:ascii="仿宋_GB2312" w:hAnsi="仿宋_GB2312" w:eastAsia="仿宋_GB2312" w:cs="仿宋_GB2312"/>
          <w:b w:val="0"/>
          <w:bCs/>
          <w:color w:val="auto"/>
          <w:sz w:val="21"/>
          <w:szCs w:val="21"/>
          <w:highlight w:val="none"/>
          <w:lang w:val="en-US" w:eastAsia="zh-CN"/>
        </w:rPr>
        <w:t>包括户籍不在本辖区，但在承保区域范围的所有人员财产</w:t>
      </w:r>
      <w:r>
        <w:rPr>
          <w:rFonts w:hint="eastAsia" w:ascii="仿宋_GB2312" w:hAnsi="仿宋_GB2312" w:eastAsia="仿宋_GB2312" w:cs="仿宋_GB2312"/>
          <w:b w:val="0"/>
          <w:bCs/>
          <w:color w:val="auto"/>
          <w:sz w:val="21"/>
          <w:szCs w:val="21"/>
          <w:highlight w:val="none"/>
          <w:lang w:eastAsia="zh-CN"/>
        </w:rPr>
        <w:t>；</w:t>
      </w:r>
    </w:p>
    <w:p w14:paraId="43F7D1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eastAsia="zh-CN"/>
        </w:rPr>
        <w:t>承保</w:t>
      </w:r>
      <w:r>
        <w:rPr>
          <w:rFonts w:hint="eastAsia" w:ascii="仿宋_GB2312" w:hAnsi="仿宋_GB2312" w:eastAsia="仿宋_GB2312" w:cs="仿宋_GB2312"/>
          <w:b w:val="0"/>
          <w:bCs/>
          <w:color w:val="auto"/>
          <w:sz w:val="21"/>
          <w:szCs w:val="21"/>
          <w:highlight w:val="none"/>
        </w:rPr>
        <w:t>区域范围：</w:t>
      </w:r>
      <w:r>
        <w:rPr>
          <w:rFonts w:hint="eastAsia" w:ascii="仿宋_GB2312" w:hAnsi="仿宋_GB2312" w:eastAsia="仿宋_GB2312" w:cs="仿宋_GB2312"/>
          <w:b w:val="0"/>
          <w:bCs/>
          <w:color w:val="auto"/>
          <w:sz w:val="21"/>
          <w:szCs w:val="21"/>
          <w:highlight w:val="none"/>
          <w:lang w:eastAsia="zh-CN"/>
        </w:rPr>
        <w:t>平顶山市宝丰县区域内</w:t>
      </w:r>
      <w:r>
        <w:rPr>
          <w:rFonts w:hint="eastAsia" w:ascii="仿宋_GB2312" w:hAnsi="仿宋_GB2312" w:eastAsia="仿宋_GB2312" w:cs="仿宋_GB2312"/>
          <w:b w:val="0"/>
          <w:bCs/>
          <w:color w:val="auto"/>
          <w:sz w:val="21"/>
          <w:szCs w:val="21"/>
          <w:highlight w:val="none"/>
        </w:rPr>
        <w:t>。</w:t>
      </w:r>
    </w:p>
    <w:p w14:paraId="043B74BF">
      <w:pPr>
        <w:pStyle w:val="4"/>
        <w:pageBreakBefore w:val="0"/>
        <w:kinsoku/>
        <w:wordWrap/>
        <w:overflowPunct/>
        <w:topLinePunct w:val="0"/>
        <w:autoSpaceDE/>
        <w:autoSpaceDN/>
        <w:bidi w:val="0"/>
        <w:spacing w:line="360" w:lineRule="auto"/>
        <w:ind w:firstLine="210" w:firstLineChars="100"/>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六、保险内容</w:t>
      </w:r>
    </w:p>
    <w:tbl>
      <w:tblPr>
        <w:tblStyle w:val="8"/>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375"/>
        <w:gridCol w:w="1561"/>
        <w:gridCol w:w="3710"/>
      </w:tblGrid>
      <w:tr w14:paraId="7D7E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68" w:type="dxa"/>
            <w:gridSpan w:val="4"/>
            <w:noWrap w:val="0"/>
            <w:vAlign w:val="center"/>
          </w:tcPr>
          <w:p w14:paraId="70EB7A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险种：平安家园治安家财保险</w:t>
            </w:r>
          </w:p>
        </w:tc>
      </w:tr>
      <w:tr w14:paraId="7386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622" w:type="dxa"/>
            <w:noWrap w:val="0"/>
            <w:vAlign w:val="center"/>
          </w:tcPr>
          <w:p w14:paraId="393F55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居住地</w:t>
            </w:r>
          </w:p>
        </w:tc>
        <w:tc>
          <w:tcPr>
            <w:tcW w:w="2375" w:type="dxa"/>
            <w:noWrap w:val="0"/>
            <w:vAlign w:val="center"/>
          </w:tcPr>
          <w:p w14:paraId="0219CD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保障内容</w:t>
            </w:r>
          </w:p>
        </w:tc>
        <w:tc>
          <w:tcPr>
            <w:tcW w:w="1561" w:type="dxa"/>
            <w:noWrap w:val="0"/>
            <w:vAlign w:val="center"/>
          </w:tcPr>
          <w:p w14:paraId="56E290A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每份保障金额/责任限额（元）</w:t>
            </w:r>
          </w:p>
        </w:tc>
        <w:tc>
          <w:tcPr>
            <w:tcW w:w="3710" w:type="dxa"/>
            <w:noWrap w:val="0"/>
            <w:vAlign w:val="center"/>
          </w:tcPr>
          <w:p w14:paraId="33A7B4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352" w:firstLineChars="644"/>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保险责任</w:t>
            </w:r>
          </w:p>
        </w:tc>
      </w:tr>
      <w:tr w14:paraId="6D3A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622" w:type="dxa"/>
            <w:vMerge w:val="restart"/>
            <w:noWrap w:val="0"/>
            <w:vAlign w:val="center"/>
          </w:tcPr>
          <w:p w14:paraId="25CE975C">
            <w:pPr>
              <w:keepNext w:val="0"/>
              <w:keepLines w:val="0"/>
              <w:pageBreakBefore w:val="0"/>
              <w:widowControl w:val="0"/>
              <w:kinsoku/>
              <w:wordWrap/>
              <w:overflowPunct/>
              <w:topLinePunct w:val="0"/>
              <w:autoSpaceDE/>
              <w:autoSpaceDN/>
              <w:bidi w:val="0"/>
              <w:adjustRightInd/>
              <w:snapToGrid/>
              <w:spacing w:line="360" w:lineRule="auto"/>
              <w:ind w:right="0" w:rightChars="0" w:firstLine="210" w:firstLineChars="10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城镇居民</w:t>
            </w:r>
          </w:p>
        </w:tc>
        <w:tc>
          <w:tcPr>
            <w:tcW w:w="2375" w:type="dxa"/>
            <w:noWrap w:val="0"/>
            <w:vAlign w:val="center"/>
          </w:tcPr>
          <w:p w14:paraId="72171DD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室内财产：（包括：家用电器及</w:t>
            </w:r>
            <w:r>
              <w:rPr>
                <w:rFonts w:hint="eastAsia" w:ascii="仿宋_GB2312" w:hAnsi="仿宋_GB2312" w:eastAsia="仿宋_GB2312" w:cs="仿宋_GB2312"/>
                <w:b w:val="0"/>
                <w:bCs/>
                <w:color w:val="auto"/>
                <w:sz w:val="21"/>
                <w:szCs w:val="21"/>
                <w:highlight w:val="none"/>
                <w:lang w:val="en-US" w:eastAsia="zh-CN"/>
              </w:rPr>
              <w:t>文</w:t>
            </w:r>
            <w:r>
              <w:rPr>
                <w:rFonts w:hint="eastAsia" w:ascii="仿宋_GB2312" w:hAnsi="仿宋_GB2312" w:eastAsia="仿宋_GB2312" w:cs="仿宋_GB2312"/>
                <w:b w:val="0"/>
                <w:bCs/>
                <w:color w:val="auto"/>
                <w:sz w:val="21"/>
                <w:szCs w:val="21"/>
                <w:highlight w:val="none"/>
                <w:lang w:eastAsia="zh-CN"/>
              </w:rPr>
              <w:t>体娱乐用品，衣物和床上用品，家具及其他生活用品）</w:t>
            </w:r>
          </w:p>
        </w:tc>
        <w:tc>
          <w:tcPr>
            <w:tcW w:w="1561" w:type="dxa"/>
            <w:noWrap w:val="0"/>
            <w:vAlign w:val="center"/>
          </w:tcPr>
          <w:p w14:paraId="67D09D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3000</w:t>
            </w:r>
          </w:p>
        </w:tc>
        <w:tc>
          <w:tcPr>
            <w:tcW w:w="3710" w:type="dxa"/>
            <w:noWrap w:val="0"/>
            <w:vAlign w:val="center"/>
          </w:tcPr>
          <w:p w14:paraId="1835F3DB">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(一)火灾、爆炸;</w:t>
            </w:r>
          </w:p>
          <w:p w14:paraId="4956358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(二)雷击、台风、龙卷风、暴风、暴雨、洪水、</w:t>
            </w:r>
            <w:r>
              <w:rPr>
                <w:rFonts w:hint="eastAsia" w:ascii="仿宋_GB2312" w:hAnsi="仿宋_GB2312" w:eastAsia="仿宋_GB2312" w:cs="仿宋_GB2312"/>
                <w:b w:val="0"/>
                <w:bCs/>
                <w:color w:val="auto"/>
                <w:sz w:val="21"/>
                <w:szCs w:val="21"/>
                <w:highlight w:val="none"/>
                <w:lang w:val="en-US" w:eastAsia="zh-CN"/>
              </w:rPr>
              <w:t>暴雪/</w:t>
            </w:r>
            <w:r>
              <w:rPr>
                <w:rFonts w:hint="eastAsia" w:ascii="仿宋_GB2312" w:hAnsi="仿宋_GB2312" w:eastAsia="仿宋_GB2312" w:cs="仿宋_GB2312"/>
                <w:b w:val="0"/>
                <w:bCs/>
                <w:color w:val="auto"/>
                <w:sz w:val="21"/>
                <w:szCs w:val="21"/>
                <w:highlight w:val="none"/>
                <w:lang w:eastAsia="zh-CN"/>
              </w:rPr>
              <w:t>雪灾、</w:t>
            </w:r>
            <w:r>
              <w:rPr>
                <w:rFonts w:hint="eastAsia" w:ascii="仿宋_GB2312" w:hAnsi="仿宋_GB2312" w:eastAsia="仿宋_GB2312" w:cs="仿宋_GB2312"/>
                <w:b w:val="0"/>
                <w:bCs/>
                <w:color w:val="auto"/>
                <w:sz w:val="21"/>
                <w:szCs w:val="21"/>
                <w:highlight w:val="none"/>
                <w:lang w:val="en-US" w:eastAsia="zh-CN"/>
              </w:rPr>
              <w:t>冰雹/</w:t>
            </w:r>
            <w:r>
              <w:rPr>
                <w:rFonts w:hint="eastAsia" w:ascii="仿宋_GB2312" w:hAnsi="仿宋_GB2312" w:eastAsia="仿宋_GB2312" w:cs="仿宋_GB2312"/>
                <w:b w:val="0"/>
                <w:bCs/>
                <w:color w:val="auto"/>
                <w:sz w:val="21"/>
                <w:szCs w:val="21"/>
                <w:highlight w:val="none"/>
                <w:lang w:eastAsia="zh-CN"/>
              </w:rPr>
              <w:t>雹灾、冰凌、泥石流、崖崩、突发性滑坡、地面突然下陷。</w:t>
            </w:r>
          </w:p>
        </w:tc>
      </w:tr>
      <w:tr w14:paraId="1A5B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2" w:type="dxa"/>
            <w:vMerge w:val="continue"/>
            <w:noWrap w:val="0"/>
            <w:vAlign w:val="center"/>
          </w:tcPr>
          <w:p w14:paraId="2B61C9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22766C2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电动车盗抢保险（两轮、三轮）</w:t>
            </w:r>
          </w:p>
        </w:tc>
        <w:tc>
          <w:tcPr>
            <w:tcW w:w="1561" w:type="dxa"/>
            <w:noWrap w:val="0"/>
            <w:vAlign w:val="center"/>
          </w:tcPr>
          <w:p w14:paraId="3F4C41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1500</w:t>
            </w:r>
          </w:p>
        </w:tc>
        <w:tc>
          <w:tcPr>
            <w:tcW w:w="3710" w:type="dxa"/>
            <w:noWrap w:val="0"/>
            <w:vAlign w:val="center"/>
          </w:tcPr>
          <w:p w14:paraId="3A1F3D6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遭受盗抢，经公安部门确认的直接损失，一辆电动车的赔偿标准：3个月以内的1500元；一年以内的1000元；一年以上（含一年）800元，无购车发票或收据，也无合格证或保修卡的，最高赔偿500元。</w:t>
            </w:r>
          </w:p>
        </w:tc>
      </w:tr>
      <w:tr w14:paraId="0225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22" w:type="dxa"/>
            <w:vMerge w:val="continue"/>
            <w:noWrap w:val="0"/>
            <w:vAlign w:val="center"/>
          </w:tcPr>
          <w:p w14:paraId="52AB7C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68568E8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附加室内财产盗抢保险</w:t>
            </w:r>
          </w:p>
        </w:tc>
        <w:tc>
          <w:tcPr>
            <w:tcW w:w="1561" w:type="dxa"/>
            <w:noWrap w:val="0"/>
            <w:vAlign w:val="center"/>
          </w:tcPr>
          <w:p w14:paraId="045CED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2000</w:t>
            </w:r>
          </w:p>
        </w:tc>
        <w:tc>
          <w:tcPr>
            <w:tcW w:w="3710" w:type="dxa"/>
            <w:noWrap w:val="0"/>
            <w:vAlign w:val="center"/>
          </w:tcPr>
          <w:p w14:paraId="7EB51617">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遭受外来人员盗抢或抢劫，并经公安部门确认为盗抢行为所致的直接损失</w:t>
            </w:r>
          </w:p>
        </w:tc>
      </w:tr>
      <w:tr w14:paraId="041C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restart"/>
            <w:noWrap w:val="0"/>
            <w:vAlign w:val="center"/>
          </w:tcPr>
          <w:p w14:paraId="7B9E74C6">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农村居民</w:t>
            </w:r>
          </w:p>
        </w:tc>
        <w:tc>
          <w:tcPr>
            <w:tcW w:w="2375" w:type="dxa"/>
            <w:noWrap w:val="0"/>
            <w:vAlign w:val="center"/>
          </w:tcPr>
          <w:p w14:paraId="6FF0121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室内财产：（包括：家用电器及主体娱乐用品，衣物和床上用品，家具及其他生活用品）</w:t>
            </w:r>
          </w:p>
        </w:tc>
        <w:tc>
          <w:tcPr>
            <w:tcW w:w="1561" w:type="dxa"/>
            <w:noWrap w:val="0"/>
            <w:vAlign w:val="center"/>
          </w:tcPr>
          <w:p w14:paraId="2CE93D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3000</w:t>
            </w:r>
          </w:p>
        </w:tc>
        <w:tc>
          <w:tcPr>
            <w:tcW w:w="3710" w:type="dxa"/>
            <w:noWrap w:val="0"/>
            <w:vAlign w:val="center"/>
          </w:tcPr>
          <w:p w14:paraId="5E40BCA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(一)火灾、爆炸;</w:t>
            </w:r>
          </w:p>
          <w:p w14:paraId="6A98BAC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(二)雷击、台风、龙卷风、暴风、暴雨、洪水、</w:t>
            </w:r>
            <w:r>
              <w:rPr>
                <w:rFonts w:hint="eastAsia" w:ascii="仿宋_GB2312" w:hAnsi="仿宋_GB2312" w:eastAsia="仿宋_GB2312" w:cs="仿宋_GB2312"/>
                <w:b w:val="0"/>
                <w:bCs/>
                <w:color w:val="auto"/>
                <w:sz w:val="21"/>
                <w:szCs w:val="21"/>
                <w:highlight w:val="none"/>
                <w:lang w:val="en-US" w:eastAsia="zh-CN"/>
              </w:rPr>
              <w:t>暴雪/</w:t>
            </w:r>
            <w:r>
              <w:rPr>
                <w:rFonts w:hint="eastAsia" w:ascii="仿宋_GB2312" w:hAnsi="仿宋_GB2312" w:eastAsia="仿宋_GB2312" w:cs="仿宋_GB2312"/>
                <w:b w:val="0"/>
                <w:bCs/>
                <w:color w:val="auto"/>
                <w:sz w:val="21"/>
                <w:szCs w:val="21"/>
                <w:highlight w:val="none"/>
                <w:lang w:eastAsia="zh-CN"/>
              </w:rPr>
              <w:t>雪灾、</w:t>
            </w:r>
            <w:r>
              <w:rPr>
                <w:rFonts w:hint="eastAsia" w:ascii="仿宋_GB2312" w:hAnsi="仿宋_GB2312" w:eastAsia="仿宋_GB2312" w:cs="仿宋_GB2312"/>
                <w:b w:val="0"/>
                <w:bCs/>
                <w:color w:val="auto"/>
                <w:sz w:val="21"/>
                <w:szCs w:val="21"/>
                <w:highlight w:val="none"/>
                <w:lang w:val="en-US" w:eastAsia="zh-CN"/>
              </w:rPr>
              <w:t>冰雹/</w:t>
            </w:r>
            <w:r>
              <w:rPr>
                <w:rFonts w:hint="eastAsia" w:ascii="仿宋_GB2312" w:hAnsi="仿宋_GB2312" w:eastAsia="仿宋_GB2312" w:cs="仿宋_GB2312"/>
                <w:b w:val="0"/>
                <w:bCs/>
                <w:color w:val="auto"/>
                <w:sz w:val="21"/>
                <w:szCs w:val="21"/>
                <w:highlight w:val="none"/>
                <w:lang w:eastAsia="zh-CN"/>
              </w:rPr>
              <w:t>雹灾、冰凌、泥石流、崖崩、突发性滑坡、地面突然下陷</w:t>
            </w:r>
          </w:p>
        </w:tc>
      </w:tr>
      <w:tr w14:paraId="0A2F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4DD07B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7A7C54A9">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电动车盗抢保险（两轮、三轮）</w:t>
            </w:r>
          </w:p>
        </w:tc>
        <w:tc>
          <w:tcPr>
            <w:tcW w:w="1561" w:type="dxa"/>
            <w:noWrap w:val="0"/>
            <w:vAlign w:val="center"/>
          </w:tcPr>
          <w:p w14:paraId="7A6FAC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1500</w:t>
            </w:r>
          </w:p>
        </w:tc>
        <w:tc>
          <w:tcPr>
            <w:tcW w:w="3710" w:type="dxa"/>
            <w:noWrap w:val="0"/>
            <w:vAlign w:val="center"/>
          </w:tcPr>
          <w:p w14:paraId="48306589">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遭受盗抢，经公安部门确认的直接损失，一辆电动车的赔偿标准：3个月以内的1500元；一年以内的1000元；一年以上（含一年）800元，无购车发票或收据，也无合格证或保修卡的，最高赔偿500元。</w:t>
            </w:r>
          </w:p>
        </w:tc>
      </w:tr>
      <w:tr w14:paraId="793E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4526CB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027A33D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猪牛羊</w:t>
            </w:r>
          </w:p>
        </w:tc>
        <w:tc>
          <w:tcPr>
            <w:tcW w:w="1561" w:type="dxa"/>
            <w:noWrap w:val="0"/>
            <w:vAlign w:val="center"/>
          </w:tcPr>
          <w:p w14:paraId="192B3B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1500</w:t>
            </w:r>
          </w:p>
        </w:tc>
        <w:tc>
          <w:tcPr>
            <w:tcW w:w="3710" w:type="dxa"/>
            <w:noWrap w:val="0"/>
            <w:vAlign w:val="center"/>
          </w:tcPr>
          <w:p w14:paraId="691BEF12">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家庭饲养的猪，牛，羊在院内被盗抢（猪，羊每头最高赔偿金额500元，牛每头最高赔偿金额1000元）</w:t>
            </w:r>
          </w:p>
        </w:tc>
      </w:tr>
      <w:tr w14:paraId="2382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47EC00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29042C8B">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粮食及经济作物</w:t>
            </w:r>
          </w:p>
        </w:tc>
        <w:tc>
          <w:tcPr>
            <w:tcW w:w="1561" w:type="dxa"/>
            <w:noWrap w:val="0"/>
            <w:vAlign w:val="center"/>
          </w:tcPr>
          <w:p w14:paraId="5E7204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1000</w:t>
            </w:r>
          </w:p>
        </w:tc>
        <w:tc>
          <w:tcPr>
            <w:tcW w:w="3710" w:type="dxa"/>
            <w:noWrap w:val="0"/>
            <w:vAlign w:val="center"/>
          </w:tcPr>
          <w:p w14:paraId="05FD8FC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室内院内</w:t>
            </w:r>
            <w:r>
              <w:rPr>
                <w:rFonts w:hint="eastAsia" w:ascii="仿宋_GB2312" w:hAnsi="仿宋_GB2312" w:eastAsia="仿宋_GB2312" w:cs="仿宋_GB2312"/>
                <w:b w:val="0"/>
                <w:bCs/>
                <w:color w:val="auto"/>
                <w:sz w:val="21"/>
                <w:szCs w:val="21"/>
                <w:highlight w:val="none"/>
                <w:lang w:val="en-US" w:eastAsia="zh-CN"/>
              </w:rPr>
              <w:t>日用的</w:t>
            </w:r>
            <w:r>
              <w:rPr>
                <w:rFonts w:hint="eastAsia" w:ascii="仿宋_GB2312" w:hAnsi="仿宋_GB2312" w:eastAsia="仿宋_GB2312" w:cs="仿宋_GB2312"/>
                <w:b w:val="0"/>
                <w:bCs/>
                <w:color w:val="auto"/>
                <w:sz w:val="21"/>
                <w:szCs w:val="21"/>
                <w:highlight w:val="none"/>
                <w:lang w:eastAsia="zh-CN"/>
              </w:rPr>
              <w:t>粮食（</w:t>
            </w:r>
            <w:r>
              <w:rPr>
                <w:rFonts w:hint="eastAsia" w:ascii="仿宋_GB2312" w:hAnsi="仿宋_GB2312" w:eastAsia="仿宋_GB2312" w:cs="仿宋_GB2312"/>
                <w:b w:val="0"/>
                <w:bCs/>
                <w:color w:val="auto"/>
                <w:sz w:val="21"/>
                <w:szCs w:val="21"/>
                <w:highlight w:val="none"/>
                <w:lang w:val="en-US" w:eastAsia="zh-CN"/>
              </w:rPr>
              <w:t>非商品</w:t>
            </w:r>
            <w:r>
              <w:rPr>
                <w:rFonts w:hint="eastAsia" w:ascii="仿宋_GB2312" w:hAnsi="仿宋_GB2312" w:eastAsia="仿宋_GB2312" w:cs="仿宋_GB2312"/>
                <w:b w:val="0"/>
                <w:bCs/>
                <w:color w:val="auto"/>
                <w:sz w:val="21"/>
                <w:szCs w:val="21"/>
                <w:highlight w:val="none"/>
                <w:lang w:eastAsia="zh-CN"/>
              </w:rPr>
              <w:t>），农机</w:t>
            </w:r>
            <w:r>
              <w:rPr>
                <w:rFonts w:hint="eastAsia" w:ascii="仿宋_GB2312" w:hAnsi="仿宋_GB2312" w:eastAsia="仿宋_GB2312" w:cs="仿宋_GB2312"/>
                <w:b w:val="0"/>
                <w:bCs/>
                <w:color w:val="auto"/>
                <w:sz w:val="21"/>
                <w:szCs w:val="21"/>
                <w:highlight w:val="none"/>
                <w:lang w:val="en-US" w:eastAsia="zh-CN"/>
              </w:rPr>
              <w:t>具</w:t>
            </w:r>
            <w:r>
              <w:rPr>
                <w:rFonts w:hint="eastAsia" w:ascii="仿宋_GB2312" w:hAnsi="仿宋_GB2312" w:eastAsia="仿宋_GB2312" w:cs="仿宋_GB2312"/>
                <w:b w:val="0"/>
                <w:bCs/>
                <w:color w:val="auto"/>
                <w:sz w:val="21"/>
                <w:szCs w:val="21"/>
                <w:highlight w:val="none"/>
                <w:lang w:eastAsia="zh-CN"/>
              </w:rPr>
              <w:t>及农用生产资料保险，粮食及经济作物仅指已收获及储蓄在被保险人标的地址内，限室内或院内被盗抢</w:t>
            </w:r>
          </w:p>
        </w:tc>
      </w:tr>
      <w:tr w14:paraId="622C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4A3BE7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p>
        </w:tc>
        <w:tc>
          <w:tcPr>
            <w:tcW w:w="2375" w:type="dxa"/>
            <w:noWrap w:val="0"/>
            <w:vAlign w:val="center"/>
          </w:tcPr>
          <w:p w14:paraId="6FDF26E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附加室内财产盗抢保险</w:t>
            </w:r>
          </w:p>
        </w:tc>
        <w:tc>
          <w:tcPr>
            <w:tcW w:w="1561" w:type="dxa"/>
            <w:noWrap w:val="0"/>
            <w:vAlign w:val="center"/>
          </w:tcPr>
          <w:p w14:paraId="6654BC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2000</w:t>
            </w:r>
          </w:p>
        </w:tc>
        <w:tc>
          <w:tcPr>
            <w:tcW w:w="3710" w:type="dxa"/>
            <w:noWrap w:val="0"/>
            <w:vAlign w:val="center"/>
          </w:tcPr>
          <w:p w14:paraId="37D26D0B">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遭受外来人员盗抢或抢劫，并经公安部门确认为盗抢行为所致的直接损失</w:t>
            </w:r>
          </w:p>
        </w:tc>
      </w:tr>
      <w:tr w14:paraId="343A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restart"/>
            <w:noWrap w:val="0"/>
            <w:vAlign w:val="center"/>
          </w:tcPr>
          <w:p w14:paraId="14E1D6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其他</w:t>
            </w:r>
          </w:p>
        </w:tc>
        <w:tc>
          <w:tcPr>
            <w:tcW w:w="2375" w:type="dxa"/>
            <w:noWrap w:val="0"/>
            <w:vAlign w:val="center"/>
          </w:tcPr>
          <w:p w14:paraId="41DFD55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户外抢夺抢劫保险</w:t>
            </w:r>
          </w:p>
        </w:tc>
        <w:tc>
          <w:tcPr>
            <w:tcW w:w="1561" w:type="dxa"/>
            <w:noWrap w:val="0"/>
            <w:vAlign w:val="center"/>
          </w:tcPr>
          <w:p w14:paraId="0AD50B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2000</w:t>
            </w:r>
          </w:p>
        </w:tc>
        <w:tc>
          <w:tcPr>
            <w:tcW w:w="3710" w:type="dxa"/>
            <w:noWrap w:val="0"/>
            <w:vAlign w:val="center"/>
          </w:tcPr>
          <w:p w14:paraId="5140775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被保险人在户外活动时遭受第三者抢夺或抢劫导致随身携带的现金，手机等财产的损失</w:t>
            </w:r>
          </w:p>
        </w:tc>
      </w:tr>
      <w:tr w14:paraId="2097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22584C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p>
        </w:tc>
        <w:tc>
          <w:tcPr>
            <w:tcW w:w="2375" w:type="dxa"/>
            <w:noWrap w:val="0"/>
            <w:vAlign w:val="center"/>
          </w:tcPr>
          <w:p w14:paraId="6E810BA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少儿走失保险</w:t>
            </w:r>
          </w:p>
        </w:tc>
        <w:tc>
          <w:tcPr>
            <w:tcW w:w="1561" w:type="dxa"/>
            <w:noWrap w:val="0"/>
            <w:vAlign w:val="center"/>
          </w:tcPr>
          <w:p w14:paraId="5829FD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8000</w:t>
            </w:r>
          </w:p>
        </w:tc>
        <w:tc>
          <w:tcPr>
            <w:tcW w:w="3710" w:type="dxa"/>
            <w:noWrap w:val="0"/>
            <w:vAlign w:val="center"/>
          </w:tcPr>
          <w:p w14:paraId="5BE33DC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年龄在12周岁（含）以下的子女在国内（不含港澳台）走丢后自公安立案起，下落不明超过30日，用于找寻过程中发生的食宿，交通费。</w:t>
            </w:r>
          </w:p>
        </w:tc>
      </w:tr>
      <w:tr w14:paraId="74C3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79A338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p>
        </w:tc>
        <w:tc>
          <w:tcPr>
            <w:tcW w:w="2375" w:type="dxa"/>
            <w:noWrap w:val="0"/>
            <w:vAlign w:val="center"/>
          </w:tcPr>
          <w:p w14:paraId="3DB51BFB">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高等院校入学补助金</w:t>
            </w:r>
          </w:p>
        </w:tc>
        <w:tc>
          <w:tcPr>
            <w:tcW w:w="1561" w:type="dxa"/>
            <w:noWrap w:val="0"/>
            <w:vAlign w:val="center"/>
          </w:tcPr>
          <w:p w14:paraId="740C6C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3000</w:t>
            </w:r>
          </w:p>
        </w:tc>
        <w:tc>
          <w:tcPr>
            <w:tcW w:w="3710" w:type="dxa"/>
            <w:noWrap w:val="0"/>
            <w:vAlign w:val="center"/>
          </w:tcPr>
          <w:p w14:paraId="5D46BC77">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贫困户及脱贫享受政策和低保户，政府认定的贫困家庭中，被保险人在当年参加高考被全日制大专以上高等院校录取入学给予一次性补助金</w:t>
            </w:r>
          </w:p>
        </w:tc>
      </w:tr>
      <w:tr w14:paraId="7AD7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167F20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p>
        </w:tc>
        <w:tc>
          <w:tcPr>
            <w:tcW w:w="2375" w:type="dxa"/>
            <w:noWrap w:val="0"/>
            <w:vAlign w:val="center"/>
          </w:tcPr>
          <w:p w14:paraId="0A38F49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见义勇为</w:t>
            </w:r>
          </w:p>
        </w:tc>
        <w:tc>
          <w:tcPr>
            <w:tcW w:w="1561" w:type="dxa"/>
            <w:noWrap w:val="0"/>
            <w:vAlign w:val="center"/>
          </w:tcPr>
          <w:p w14:paraId="1C4C134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5</w:t>
            </w:r>
            <w:r>
              <w:rPr>
                <w:rFonts w:hint="eastAsia" w:ascii="仿宋_GB2312" w:hAnsi="仿宋_GB2312" w:eastAsia="仿宋_GB2312" w:cs="仿宋_GB2312"/>
                <w:b w:val="0"/>
                <w:bCs/>
                <w:color w:val="auto"/>
                <w:sz w:val="21"/>
                <w:szCs w:val="21"/>
                <w:highlight w:val="none"/>
                <w:lang w:eastAsia="zh-CN"/>
              </w:rPr>
              <w:t>0000</w:t>
            </w:r>
          </w:p>
        </w:tc>
        <w:tc>
          <w:tcPr>
            <w:tcW w:w="3710" w:type="dxa"/>
            <w:noWrap w:val="0"/>
            <w:vAlign w:val="center"/>
          </w:tcPr>
          <w:p w14:paraId="601D4EC5">
            <w:pP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在保险期间内，被保险人因见义勇为行为导致人身伤亡，且被县级(含)以上人民政府授予见义勇为荣誉称号的，保险人根据本附加险合同的约定给付伤亡补偿金。（</w:t>
            </w:r>
            <w:r>
              <w:rPr>
                <w:rFonts w:hint="eastAsia" w:ascii="仿宋_GB2312" w:hAnsi="仿宋_GB2312" w:eastAsia="仿宋_GB2312" w:cs="仿宋_GB2312"/>
                <w:b w:val="0"/>
                <w:bCs/>
                <w:color w:val="auto"/>
                <w:sz w:val="21"/>
                <w:szCs w:val="21"/>
                <w:highlight w:val="none"/>
                <w:lang w:val="en-US" w:eastAsia="zh-CN"/>
              </w:rPr>
              <w:t>涉及伤残人员，按照伤残级别比例对应的保额进行赔付。</w:t>
            </w:r>
            <w:r>
              <w:rPr>
                <w:rFonts w:hint="eastAsia" w:ascii="仿宋_GB2312" w:hAnsi="仿宋_GB2312" w:eastAsia="仿宋_GB2312" w:cs="仿宋_GB2312"/>
                <w:color w:val="auto"/>
                <w:sz w:val="21"/>
                <w:szCs w:val="24"/>
                <w:highlight w:val="none"/>
              </w:rPr>
              <w:t>永久丧失工作能力或一级</w:t>
            </w:r>
            <w:r>
              <w:rPr>
                <w:rFonts w:hint="eastAsia" w:ascii="仿宋_GB2312" w:hAnsi="仿宋_GB2312" w:eastAsia="仿宋_GB2312" w:cs="仿宋_GB2312"/>
                <w:color w:val="auto"/>
                <w:sz w:val="21"/>
                <w:szCs w:val="24"/>
                <w:highlight w:val="none"/>
                <w:lang w:val="en-US" w:eastAsia="zh-CN"/>
              </w:rPr>
              <w:t>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100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赔付。二级伤残，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90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赔付。三级伤残，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80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赔付。四级伤残，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70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赔付，五级伤残，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60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赔付，六级伤残，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50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赔付。七级伤残，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40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赔付。八级伤残，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30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赔付。九级伤残，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20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赔付。十级伤残，</w:t>
            </w:r>
            <w:r>
              <w:rPr>
                <w:rFonts w:hint="eastAsia" w:ascii="仿宋_GB2312" w:hAnsi="仿宋_GB2312" w:eastAsia="仿宋_GB2312" w:cs="仿宋_GB2312"/>
                <w:color w:val="auto"/>
                <w:sz w:val="21"/>
                <w:szCs w:val="24"/>
                <w:highlight w:val="none"/>
              </w:rPr>
              <w:t>按赔偿金额的</w:t>
            </w:r>
            <w:r>
              <w:rPr>
                <w:rFonts w:hint="eastAsia" w:ascii="仿宋_GB2312" w:hAnsi="仿宋_GB2312" w:eastAsia="仿宋_GB2312" w:cs="仿宋_GB2312"/>
                <w:color w:val="auto"/>
                <w:sz w:val="21"/>
                <w:szCs w:val="24"/>
                <w:highlight w:val="none"/>
                <w:lang w:val="en-US" w:eastAsia="zh-CN"/>
              </w:rPr>
              <w:t>10</w:t>
            </w:r>
            <w:r>
              <w:rPr>
                <w:rFonts w:hint="eastAsia" w:ascii="仿宋_GB2312" w:hAnsi="仿宋_GB2312" w:eastAsia="仿宋_GB2312" w:cs="仿宋_GB2312"/>
                <w:color w:val="auto"/>
                <w:sz w:val="21"/>
                <w:szCs w:val="24"/>
                <w:highlight w:val="none"/>
              </w:rPr>
              <w:t>%</w:t>
            </w:r>
            <w:r>
              <w:rPr>
                <w:rFonts w:hint="eastAsia" w:ascii="仿宋_GB2312" w:hAnsi="仿宋_GB2312" w:eastAsia="仿宋_GB2312" w:cs="仿宋_GB2312"/>
                <w:color w:val="auto"/>
                <w:sz w:val="21"/>
                <w:szCs w:val="24"/>
                <w:highlight w:val="none"/>
                <w:lang w:val="en-US" w:eastAsia="zh-CN"/>
              </w:rPr>
              <w:t>赔付。</w:t>
            </w:r>
            <w:r>
              <w:rPr>
                <w:rFonts w:hint="eastAsia" w:ascii="仿宋_GB2312" w:hAnsi="仿宋_GB2312" w:eastAsia="仿宋_GB2312" w:cs="仿宋_GB2312"/>
                <w:b w:val="0"/>
                <w:bCs/>
                <w:color w:val="auto"/>
                <w:sz w:val="21"/>
                <w:szCs w:val="21"/>
                <w:highlight w:val="none"/>
                <w:lang w:val="en-US" w:eastAsia="zh-CN"/>
              </w:rPr>
              <w:t>)</w:t>
            </w:r>
          </w:p>
        </w:tc>
      </w:tr>
      <w:tr w14:paraId="6E9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22" w:type="dxa"/>
            <w:vMerge w:val="continue"/>
            <w:noWrap w:val="0"/>
            <w:vAlign w:val="center"/>
          </w:tcPr>
          <w:p w14:paraId="10404D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val="en-US" w:eastAsia="zh-CN"/>
              </w:rPr>
            </w:pPr>
          </w:p>
        </w:tc>
        <w:tc>
          <w:tcPr>
            <w:tcW w:w="2375" w:type="dxa"/>
            <w:noWrap w:val="0"/>
            <w:vAlign w:val="center"/>
          </w:tcPr>
          <w:p w14:paraId="6E26D3F4">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农村家庭财产保险附加果木及成材树木恶意破坏保险</w:t>
            </w:r>
          </w:p>
        </w:tc>
        <w:tc>
          <w:tcPr>
            <w:tcW w:w="1561" w:type="dxa"/>
            <w:noWrap w:val="0"/>
            <w:vAlign w:val="center"/>
          </w:tcPr>
          <w:p w14:paraId="51D223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4" w:firstLineChars="245"/>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500</w:t>
            </w:r>
          </w:p>
        </w:tc>
        <w:tc>
          <w:tcPr>
            <w:tcW w:w="3710" w:type="dxa"/>
            <w:noWrap w:val="0"/>
            <w:vAlign w:val="center"/>
          </w:tcPr>
          <w:p w14:paraId="481B6F3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保险期间内，被保险人栽种于保险合同载明地点范围内的院前、院后或房前、屋后的果木及其他成材树木(非商业性)，因遭受恶意破坏行为造成的损毁，保险人按照本保险合同的约定负责赔偿。</w:t>
            </w:r>
          </w:p>
        </w:tc>
      </w:tr>
    </w:tbl>
    <w:p w14:paraId="2A5AE104">
      <w:pPr>
        <w:pStyle w:val="10"/>
        <w:rPr>
          <w:rFonts w:hint="eastAsia" w:ascii="仿宋_GB2312" w:hAnsi="仿宋_GB2312" w:eastAsia="仿宋_GB2312" w:cs="仿宋_GB2312"/>
          <w:color w:val="auto"/>
          <w:highlight w:val="non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DAF7"/>
    <w:multiLevelType w:val="singleLevel"/>
    <w:tmpl w:val="9BBBDAF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GYxZTU2MDVkZDIwYWVjNzcxOGVlZjk1NjdjMjgifQ=="/>
  </w:docVars>
  <w:rsids>
    <w:rsidRoot w:val="2BE46CD8"/>
    <w:rsid w:val="2BE46CD8"/>
    <w:rsid w:val="35706D9F"/>
    <w:rsid w:val="3A453176"/>
    <w:rsid w:val="55F3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line="360" w:lineRule="auto"/>
      <w:outlineLvl w:val="2"/>
    </w:pPr>
    <w:rPr>
      <w:rFonts w:cs="Times New Roman"/>
      <w:b/>
      <w:bC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99"/>
    <w:pPr>
      <w:adjustRightInd w:val="0"/>
      <w:spacing w:after="60" w:line="360" w:lineRule="atLeast"/>
      <w:ind w:left="72" w:leftChars="30" w:right="30" w:rightChars="30"/>
      <w:jc w:val="center"/>
      <w:textAlignment w:val="baseline"/>
    </w:pPr>
    <w:rPr>
      <w:rFonts w:ascii="Calibri" w:hAnsi="Calibri" w:eastAsia="宋体" w:cs="Times New Roman"/>
      <w:szCs w:val="22"/>
    </w:rPr>
  </w:style>
  <w:style w:type="paragraph" w:styleId="5">
    <w:name w:val="toc 5"/>
    <w:basedOn w:val="1"/>
    <w:next w:val="1"/>
    <w:unhideWhenUsed/>
    <w:qFormat/>
    <w:uiPriority w:val="99"/>
    <w:pPr>
      <w:spacing w:before="100" w:beforeAutospacing="1" w:after="100" w:afterAutospacing="1"/>
      <w:ind w:left="1680" w:leftChars="800"/>
    </w:pPr>
  </w:style>
  <w:style w:type="paragraph" w:styleId="6">
    <w:name w:val="Plain Text"/>
    <w:basedOn w:val="1"/>
    <w:next w:val="5"/>
    <w:unhideWhenUsed/>
    <w:uiPriority w:val="99"/>
    <w:rPr>
      <w:rFonts w:ascii="宋体" w:hAnsi="Courier New" w:eastAsia="宋体"/>
      <w:kern w:val="2"/>
      <w:sz w:val="19"/>
      <w:lang w:val="en-US" w:eastAsia="zh-CN" w:bidi="ar-SA"/>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270</Words>
  <Characters>270</Characters>
  <Lines>0</Lines>
  <Paragraphs>0</Paragraphs>
  <TotalTime>0</TotalTime>
  <ScaleCrop>false</ScaleCrop>
  <LinksUpToDate>false</LinksUpToDate>
  <CharactersWithSpaces>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2024-08-28T07:25:00Z</dcterms:created>
  <dc:creator>龍少曾经回来过</dc:creator>
  <cp:lastModifiedBy>zsq44</cp:lastModifiedBy>
  <dcterms:modified xsi:type="dcterms:W3CDTF">2025-05-29T08:41:21Z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0E3FB75CDB534E79B2D792EA20AEF09F_11</vt:lpwstr>
  </property>
  <property fmtid="{D5CDD505-2E9C-101B-9397-08002B2CF9AE}" pid="4" name="KSOTemplateDocerSaveRecord">
    <vt:lpwstr>eyJoZGlkIjoiZjFmZWIzNDg2MmIzZjExOTIzMmViNTBmYTMwYTk0ZWYifQ==</vt:lpwstr>
  </property>
</Properties>
</file>