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79AB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AFA584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3E529F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5658ECEB">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A22006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D3CE53A">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7DBCE7AA">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178EE1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221BE23">
      <w:pPr>
        <w:keepNext w:val="0"/>
        <w:keepLines w:val="0"/>
        <w:pageBreakBefore w:val="0"/>
        <w:widowControl/>
        <w:kinsoku/>
        <w:wordWrap w:val="0"/>
        <w:overflowPunct/>
        <w:topLinePunct w:val="0"/>
        <w:autoSpaceDE w:val="0"/>
        <w:autoSpaceDN w:val="0"/>
        <w:bidi w:val="0"/>
        <w:adjustRightInd w:val="0"/>
        <w:snapToGrid w:val="0"/>
        <w:spacing w:line="360" w:lineRule="auto"/>
        <w:ind w:left="2713" w:leftChars="608" w:hanging="1436" w:hangingChars="5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南阳市第二中学校（七全校区）  </w:t>
      </w:r>
    </w:p>
    <w:p w14:paraId="195E410A">
      <w:pPr>
        <w:keepNext w:val="0"/>
        <w:keepLines w:val="0"/>
        <w:pageBreakBefore w:val="0"/>
        <w:widowControl/>
        <w:kinsoku/>
        <w:wordWrap w:val="0"/>
        <w:overflowPunct/>
        <w:topLinePunct w:val="0"/>
        <w:autoSpaceDE w:val="0"/>
        <w:autoSpaceDN w:val="0"/>
        <w:bidi w:val="0"/>
        <w:adjustRightInd w:val="0"/>
        <w:snapToGrid w:val="0"/>
        <w:spacing w:line="360" w:lineRule="auto"/>
        <w:ind w:firstLine="2873" w:firstLineChars="10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        物业保洁服务采购项目      </w:t>
      </w:r>
    </w:p>
    <w:p w14:paraId="30DE24F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南阳政采公开-2025-55         </w:t>
      </w:r>
    </w:p>
    <w:p w14:paraId="75B0633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南阳政采公开-2025-55-1       </w:t>
      </w:r>
    </w:p>
    <w:p w14:paraId="61AE964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南阳市第二中学校         </w:t>
      </w:r>
    </w:p>
    <w:p w14:paraId="13E1BB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2DB8D79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373144D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FE88CBC">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AAB173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F979A1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11735C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FEE98A5">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10D1D07E">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1014415">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53A4BE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115B817A">
      <w:pPr>
        <w:pStyle w:val="9"/>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1FF8CFC5">
          <w:pPr>
            <w:pStyle w:val="9"/>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224D1FEB">
          <w:pPr>
            <w:pStyle w:val="9"/>
            <w:keepNext w:val="0"/>
            <w:keepLines w:val="0"/>
            <w:pageBreakBefore w:val="0"/>
            <w:kinsoku/>
            <w:wordWrap w:val="0"/>
            <w:overflowPunct/>
            <w:topLinePunct w:val="0"/>
            <w:bidi w:val="0"/>
            <w:jc w:val="both"/>
            <w:rPr>
              <w:rFonts w:hint="eastAsia"/>
              <w:shd w:val="clear" w:color="FFFFFF" w:fill="D9D9D9"/>
            </w:rPr>
          </w:pPr>
        </w:p>
        <w:p w14:paraId="7A9E5EC9">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07473A6">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084F7C7">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51FB7B7F">
          <w:pPr>
            <w:pStyle w:val="9"/>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391EDD26">
          <w:pPr>
            <w:pStyle w:val="9"/>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25AD4694">
          <w:pPr>
            <w:pStyle w:val="9"/>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7B750B7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26C784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2F6F32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6234B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DFD243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108453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FE648E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165DDC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EBC4041">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EA95C10">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91CEAA">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3A99F55">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D9DB140">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730401">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05FAC6D">
      <w:pPr>
        <w:pStyle w:val="9"/>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33180B5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4556D14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192BAE3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0DE717A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南阳政采公开-2025-55</w:t>
      </w:r>
    </w:p>
    <w:p w14:paraId="6F0B16E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2.项目名称：南阳市第二中学校（七全校区）物业保洁服务采购项目</w:t>
      </w:r>
    </w:p>
    <w:p w14:paraId="5F85FB7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216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216 </w:t>
      </w:r>
      <w:r>
        <w:rPr>
          <w:rFonts w:hint="eastAsia" w:asciiTheme="minorEastAsia" w:hAnsiTheme="minorEastAsia" w:eastAsiaTheme="minorEastAsia" w:cstheme="minorEastAsia"/>
          <w:spacing w:val="-14"/>
          <w:sz w:val="24"/>
          <w:szCs w:val="24"/>
        </w:rPr>
        <w:t>万元</w:t>
      </w:r>
    </w:p>
    <w:p w14:paraId="71995EA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0AE7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3562FDF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2040462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161A81B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5A4ED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1E5DE6CE">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南阳政采公开-2025-55-</w:t>
            </w:r>
            <w:r>
              <w:rPr>
                <w:rFonts w:hint="eastAsia" w:asciiTheme="minorEastAsia" w:hAnsiTheme="minorEastAsia" w:eastAsiaTheme="minorEastAsia" w:cstheme="minorEastAsia"/>
                <w:spacing w:val="14"/>
                <w:sz w:val="24"/>
                <w:szCs w:val="24"/>
              </w:rPr>
              <w:t>1</w:t>
            </w:r>
          </w:p>
        </w:tc>
        <w:tc>
          <w:tcPr>
            <w:tcW w:w="4215" w:type="dxa"/>
            <w:vAlign w:val="center"/>
          </w:tcPr>
          <w:p w14:paraId="6B57124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南阳市第二中学校（七全校区）物业保洁服务采购项目</w:t>
            </w:r>
          </w:p>
        </w:tc>
        <w:tc>
          <w:tcPr>
            <w:tcW w:w="2321" w:type="dxa"/>
            <w:vAlign w:val="center"/>
          </w:tcPr>
          <w:p w14:paraId="29A25DDD">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2160000</w:t>
            </w:r>
          </w:p>
        </w:tc>
      </w:tr>
    </w:tbl>
    <w:p w14:paraId="3AD1BC0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C7D90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南阳市第二中学校两个校区：南阳市中州路28号和高新区第七完全学校校区的保洁、水电、绿化、勤杂等物业服务。</w:t>
      </w:r>
    </w:p>
    <w:p w14:paraId="25AE1B9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7F6F438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6B78006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67C25C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5B2C250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283495F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A19FFE6">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2AFFE0A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543A0655">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60AB2C5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4EB61E">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7B65F8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lang w:eastAsia="zh-CN"/>
        </w:rPr>
        <w:t>企业声明函。</w:t>
      </w:r>
    </w:p>
    <w:p w14:paraId="4D9D732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D741CD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595C7C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C737BA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highlight w:val="none"/>
        </w:rPr>
        <w:t>即：</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供的货物全部由符合政策要求的中小</w:t>
      </w:r>
      <w:r>
        <w:rPr>
          <w:rFonts w:hint="eastAsia" w:asciiTheme="minorEastAsia" w:hAnsiTheme="minorEastAsia" w:eastAsiaTheme="minorEastAsia" w:cstheme="minorEastAsia"/>
          <w:spacing w:val="1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企业制造、服务全部由符合政策要求的中小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w:t>
      </w:r>
    </w:p>
    <w:p w14:paraId="5A912AE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7795F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CE2005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3C949EE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DAB260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0E7B2D1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7F5FA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1D8CF71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14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458A1E4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sz w:val="24"/>
          <w:szCs w:val="24"/>
        </w:rPr>
        <w:t>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8C6E0D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44FD4A3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7E5545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2A0A3AD">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141DE1F">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7002DA6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2CACFB9A">
      <w:pPr>
        <w:pStyle w:val="25"/>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5BB27F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5F48516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0C733A0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65E679A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地点：不见面开标大厅（https://ggzyjy.nanyang.gov.cn/BidOpening/bidopeninghallaction/hall/login）。</w:t>
      </w:r>
    </w:p>
    <w:p w14:paraId="256B76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B4213B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324BCA5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highlight w:val="none"/>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14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highlight w:val="none"/>
          <w:lang w:eastAsia="zh-CN"/>
        </w:rPr>
        <w:t>。</w:t>
      </w:r>
    </w:p>
    <w:p w14:paraId="41226A7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812BF5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41DA77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084062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4BC64E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C67289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4F839F5B">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南阳市第二中学校</w:t>
      </w:r>
    </w:p>
    <w:p w14:paraId="48CC81B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南阳市卧龙区中州路142号</w:t>
      </w:r>
    </w:p>
    <w:p w14:paraId="1EBC5F2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联系人：郭华轩</w:t>
      </w:r>
    </w:p>
    <w:p w14:paraId="4EE160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17513775305</w:t>
      </w:r>
    </w:p>
    <w:p w14:paraId="291AB9B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2EFB330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E2FC31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color w:val="auto"/>
          <w:spacing w:val="-15"/>
          <w:sz w:val="24"/>
          <w:szCs w:val="24"/>
          <w:highlight w:val="none"/>
          <w:lang w:val="en-US" w:eastAsia="zh-CN"/>
        </w:rPr>
        <w:t>南阳市范蠡东路与南都路交叉口市民服务中心中区3号楼5楼</w:t>
      </w:r>
    </w:p>
    <w:p w14:paraId="4258565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5CB5C34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2FEBD7E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5CE95DB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F5B3FEF">
      <w:pPr>
        <w:pStyle w:val="9"/>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869662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CFB97B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30 </w:t>
      </w:r>
      <w:r>
        <w:rPr>
          <w:rFonts w:hint="eastAsia" w:asciiTheme="minorEastAsia" w:hAnsiTheme="minorEastAsia" w:eastAsiaTheme="minorEastAsia" w:cstheme="minorEastAsia"/>
          <w:spacing w:val="-13"/>
          <w:sz w:val="24"/>
          <w:szCs w:val="24"/>
        </w:rPr>
        <w:t>日</w:t>
      </w:r>
    </w:p>
    <w:p w14:paraId="7611F94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BB1729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4D0B20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12FFCE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9D02FA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DB4D3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531DA0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5BD5A8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82515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E9F851F">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BA6A4BD">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F5CE1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1A3F94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62F62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10A9B5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7684FF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07C2D8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5103B7B">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南阳市第二中学校两个校区位于中州路28号和第七完全学校，本次物业采购服务即南阳市第二中学校物业服务采购，服务期限三年。具体范围界定和要求如下：</w:t>
      </w:r>
    </w:p>
    <w:p w14:paraId="5D5CE896">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一</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物业管理服务范围</w:t>
      </w:r>
    </w:p>
    <w:p w14:paraId="74E3304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1、保洁：</w:t>
      </w:r>
    </w:p>
    <w:p w14:paraId="3F89581B">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七全校区保洁范围包括：①南院内所有地面及道牙上面清扫。②1#、2#教学楼：卫生间、茶水炉、连廊走廊顶部灰尘及玻璃；1#、2#、3#教学楼：一楼连廊及连廊顶部灰尘。3#楼不用楼层每月保洁一次；③图文信息楼：走廊、楼梯、电梯、卫生间；不用的楼层每月保洁一次。④实验楼：一楼走廊、连廊。不用的楼层走廊、连廊、楼梯、门窗、卫生间每月保洁一次。⑤国际部：1-3楼，楼层走廊、连廊、楼梯、门窗。不用的楼层每月保洁一次。⑥宣传栏、信报箱、垃圾筒、消防设施，每周一次，保持整洁。⑦艺体楼。每月一次，保持整洁。</w:t>
      </w:r>
    </w:p>
    <w:p w14:paraId="2A0DAFB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（2）中州路校区保洁范围包括：①南、北教学楼卫生间；②办公楼6个卫生间及楼梯连廊；③科技楼：1-12楼卫生间及7-12楼走廊；④单身楼、医务楼、图书楼。</w:t>
      </w:r>
    </w:p>
    <w:p w14:paraId="1BF41C7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水电：中州路、七全校区水电工作任务范围：负责两个校区的正常供电、供水。需要24小时值班。（1）七全校区：南北两个校园所有范围内的水电供应，及所有建筑内外水电的日常维修、安全巡检。（2）中州路校区内全部公共区域教学楼、实验楼、科技楼、办公楼、学生公寓、单身楼、图书楼、食堂的所有建筑内外日常水电维修；家属区公共范围内水电维修（不包括居民自有房屋内水电）。</w:t>
      </w:r>
    </w:p>
    <w:p w14:paraId="769A00A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3、绿化：</w:t>
      </w:r>
    </w:p>
    <w:p w14:paraId="0148329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（1）区域：七全校区、中州路校区树木、花草、绿化带、教研楼南部西部区域等所有绿植（包含中州路校区食堂房顶绿植）。</w:t>
      </w:r>
    </w:p>
    <w:p w14:paraId="267C06F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（2）任务：日常浇水、除杂草及非绿化种植树木、打药、清理枯枝叶、修剪绿植、清理绿化带内垃圾。保证绿植正常生长，不出现干枯死亡现象。</w:t>
      </w:r>
    </w:p>
    <w:p w14:paraId="21DAAA6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4、勤杂：</w:t>
      </w:r>
    </w:p>
    <w:p w14:paraId="4F6E7441">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（1）中州路校区：</w:t>
      </w:r>
    </w:p>
    <w:p w14:paraId="226B811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①每天负责学校各项杂活零工，清理学校6栋家属楼的垃圾桶，单身楼卫生，负责校园垃圾清运和卫生保洁。   </w:t>
      </w:r>
    </w:p>
    <w:p w14:paraId="2BF2E5DD">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②日常校园维修：门窗木工、玻璃、教室门口班级番号牌、各种门及门锁的维修：大型考试期间钟表挂、收等日杂工作。                               （2）七全校区：负责各项杂活及后勤各项维修杂务。              </w:t>
      </w:r>
    </w:p>
    <w:p w14:paraId="6222385D">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5、</w:t>
      </w:r>
      <w:r>
        <w:rPr>
          <w:rFonts w:hint="eastAsia" w:asciiTheme="minorEastAsia" w:hAnsiTheme="minorEastAsia" w:eastAsiaTheme="minorEastAsia" w:cstheme="minorEastAsia"/>
          <w:spacing w:val="-1"/>
          <w:sz w:val="24"/>
          <w:szCs w:val="24"/>
        </w:rPr>
        <w:t>在特殊时期或特殊情况下，因工作需要甲方临时安排的突击工作。</w:t>
      </w:r>
    </w:p>
    <w:p w14:paraId="2079B968">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楷体" w:hAnsi="楷体" w:eastAsia="楷体" w:cs="楷体"/>
          <w:spacing w:val="-1"/>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二</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服务标准</w:t>
      </w:r>
    </w:p>
    <w:p w14:paraId="06EDBA86">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1、保洁：流程及标准：</w:t>
      </w:r>
    </w:p>
    <w:p w14:paraId="6FFDA3AE">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1E88D11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每天上午、下午对保洁范围内的区域分两次清理保洁，然后进行不定时巡视保洁，保持干净整洁。</w:t>
      </w:r>
    </w:p>
    <w:p w14:paraId="6E12349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每日清倒垃圾筒，内外洗净后放回原处。</w:t>
      </w:r>
    </w:p>
    <w:p w14:paraId="347983FB">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用干毛巾和不锈钢油轻抹各种不锈钢制品，包括门柱、镶字、宣传栏、窗框、防火门、消防栓柜、指示牌、信报箱等。</w:t>
      </w:r>
    </w:p>
    <w:p w14:paraId="4427D925">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w:t>
      </w:r>
    </w:p>
    <w:p w14:paraId="7992B7A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保洁区域内无烟头、纸屑、果皮等杂物，无污渍。</w:t>
      </w:r>
    </w:p>
    <w:p w14:paraId="3CA1C6F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公共设施表面无明显灰尘。不锈钢表面光亮无污迹</w:t>
      </w:r>
    </w:p>
    <w:p w14:paraId="2FA97B8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玻璃门无水迹、手印、污迹。</w:t>
      </w:r>
    </w:p>
    <w:p w14:paraId="51F8E77E">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2、公用卫生间的保洁</w:t>
      </w:r>
    </w:p>
    <w:p w14:paraId="0AA0A1AD">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52E086E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每天上午、下午分两次重点清理公用卫生间，上班后巡视保洁。打开门窗通风，用水冲洗大小便器，用夹子夹出小便器内的烟头等杂物。从上到下屋顶、墙面清洁除尘、瓷砖面擦抹，清扫地面垃圾，清倒垃圾篓，换新垃圾袋后放回原位。将洁厕水倒入水勺内，用厕所刷沾洁厕水刷洗大、小便器、水池，然后用清水冲净。用湿拖把拖干净地面，然后用干拖把拖干。点燃卫生香和空气清新剂，小便斗内放入卫生球（樟脑丸）。及时巡视保洁数次，冲刷大小便池，池内底部要经常清洗，清理地面垃圾、积水等，保证厕所无明显异味。</w:t>
      </w:r>
    </w:p>
    <w:p w14:paraId="1BF25666">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w:t>
      </w:r>
    </w:p>
    <w:p w14:paraId="756525F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卫生间区域洁净无污渍，地面无烟头、污渍、积水、纸屑、果皮、池底无大小便凝结累积痕迹，无明显臭味。</w:t>
      </w:r>
    </w:p>
    <w:p w14:paraId="1BBC2DD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3、楼道楼梯、扶手、墙面、信报箱、消防栓箱、楼道门窗、楼道灯开关及灯具的清洁的工作流程、标准。</w:t>
      </w:r>
    </w:p>
    <w:p w14:paraId="30EADF9E">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20CC26A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从顶层到底层自上而下清扫楼道梯级，将果皮、烟头、纸屑收集倒入垃圾箱；用胶桶装清水，洗净拖把，从顶层往下逐级拖抹梯级，拖抹时，清洗拖把数次。每天保持清洁。上班后及时巡视楼道内外卫生，将广告纸、烟头、果皮、垃圾清扫干净。</w:t>
      </w:r>
    </w:p>
    <w:p w14:paraId="36947DD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w:t>
      </w:r>
    </w:p>
    <w:p w14:paraId="5875E23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每天重点清扫、拖抹两次，并及时巡视保洁数次，保持干净。</w:t>
      </w:r>
    </w:p>
    <w:p w14:paraId="02712395">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目视楼道：无烟头、果皮、纸屑、广告纸、蜘蛛网、积尘、污迹等。</w:t>
      </w:r>
    </w:p>
    <w:p w14:paraId="7F645B8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4、瓷砖、喷涂墙面的保洁</w:t>
      </w:r>
    </w:p>
    <w:p w14:paraId="6974E4E1">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6D95865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用铲刀、刀片轻轻刮掉墙面的污垢、脏渍。把毛巾浸入放有洗洁精的水盆，沿着墙壁从上往下来回擦抹。有污迹的地方，再用短柄刷刷洗。换清水后，将毛巾浸透后，用力拧干，再清找一遍。用干拖把拖干地面。墙面清抹每周一次，墙面清洗每月一次，视其情况增加次数。</w:t>
      </w:r>
    </w:p>
    <w:p w14:paraId="05A1710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工作标准：目视墙面干净整洁无污迹。</w:t>
      </w:r>
    </w:p>
    <w:p w14:paraId="30306FFC">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5、乳胶漆墙面的保洁：</w:t>
      </w:r>
    </w:p>
    <w:p w14:paraId="3ACCA2E5">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服务区内楼梯、走道等处的乳胶漆墙面及天棚面。</w:t>
      </w:r>
    </w:p>
    <w:p w14:paraId="4E62C6F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61ED7F5A">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关闭局部要清洁处的门窗，在地面上淋些水。用鸡毛掸子或干净的扫把轻轻掸去墙面及天棚上灰尘。用干毛巾清擦墙面的污迹，擦不掉的污迹用细砂纸轻轻擦掉。用铲刀铲掉墙面上粘附的泥沙、痰迹。扫净地面灰尘，再用拖把拖干净地面。上述工作每月做一次，视其情况增加次数。</w:t>
      </w:r>
    </w:p>
    <w:p w14:paraId="5BD5F28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w:t>
      </w:r>
    </w:p>
    <w:p w14:paraId="35BE888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目视墙面洁净无污迹、无粘附物、无灰尘、无蜘蛛网等。</w:t>
      </w:r>
    </w:p>
    <w:p w14:paraId="16E3AF5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6、一楼连廊的保洁：</w:t>
      </w:r>
    </w:p>
    <w:p w14:paraId="42D307A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工作流程：每天上午、下午院上班前分两次用扫把拖把对连廊地面清扫拖抹干净；院上班后及时巡视保洁数次。用长柄手刷沾去污粉对污迹较重的通道地面彻底清刷，再用拧干的湿毛巾，抹净墙根部分踢脚线。</w:t>
      </w:r>
    </w:p>
    <w:p w14:paraId="23448E4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 地面目视干净无杂物、无污迹。</w:t>
      </w:r>
    </w:p>
    <w:p w14:paraId="726D1305">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7、不锈钢的保洁保养：护栏、标牌、宣传栏、扶手。</w:t>
      </w:r>
    </w:p>
    <w:p w14:paraId="7F873838">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1488A3F1">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先用兑有中性清洁剂的溶液抹不锈钢表面。</w:t>
      </w:r>
    </w:p>
    <w:p w14:paraId="1A4B49D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然后用无绒毛巾抹净不锈钢表面上的水珠。</w:t>
      </w:r>
    </w:p>
    <w:p w14:paraId="386C668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置少许不锈钢油于无绒毛巾上，对不锈钢表面进行拭抹。</w:t>
      </w:r>
    </w:p>
    <w:p w14:paraId="0041FA9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表面面积大的可用手动喷雾枪将不锈钢油喷于不锈钢表面，然后用无绒干毛巾拭抹。</w:t>
      </w:r>
    </w:p>
    <w:p w14:paraId="000245F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w:t>
      </w:r>
    </w:p>
    <w:p w14:paraId="665A47B5">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亚光面不锈钢表面无污迹、无灰尘。</w:t>
      </w:r>
    </w:p>
    <w:p w14:paraId="1898EF0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镜面不锈钢表面光亮，三米内能清晰映出人物影象。</w:t>
      </w:r>
    </w:p>
    <w:p w14:paraId="7E1E6A3A">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8、垃圾桶（箱）的保洁：</w:t>
      </w:r>
    </w:p>
    <w:p w14:paraId="55A70CF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工作流程：</w:t>
      </w:r>
    </w:p>
    <w:p w14:paraId="13485F5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清理出的垃圾按指定位置堆放。清除垃圾桶（箱）的垃圾后，将桶（箱）搬到有水源的地方，先用水冲洗一遍，然后对污迹处倒少许去污粉擦洗，再用水冲洗干净，搬到原处放好。</w:t>
      </w:r>
    </w:p>
    <w:p w14:paraId="51B5F18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工作标准：</w:t>
      </w:r>
    </w:p>
    <w:p w14:paraId="5A7C6D1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目视无污迹，无广告纸，每天清运、清洗一次，垃圾桶和箱每周用去污粉清洁一次。</w:t>
      </w:r>
    </w:p>
    <w:p w14:paraId="19012368">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垃圾桶周围不积污水，位置摆放合理，桶盖闭合，外观干净清洁。</w:t>
      </w:r>
    </w:p>
    <w:p w14:paraId="789DD52E">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9、会议室的保洁：</w:t>
      </w:r>
    </w:p>
    <w:p w14:paraId="360DA3A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会议室门面、门把手、表面无尘土、无污渍、手印。</w:t>
      </w:r>
    </w:p>
    <w:p w14:paraId="1A59B95D">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桌椅摆放整齐，干净无尘土、无毛发。</w:t>
      </w:r>
    </w:p>
    <w:p w14:paraId="60A51AF1">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墙面、布面无尘土、无污渍、悬挂摆放的各种饰品干净，摆放整齐。垃圾桶及时清倒、内外干净。地面先清扫，再用拖把清拖干净、无污渍、无杂物。检查照明、空调等设施，确保正常工作。</w:t>
      </w:r>
    </w:p>
    <w:p w14:paraId="7DA559AE">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10、保洁工具由中标人自带，如洗涤用品、清洁用品等。</w:t>
      </w:r>
    </w:p>
    <w:p w14:paraId="6F2A1EF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11、绿化服务</w:t>
      </w:r>
    </w:p>
    <w:p w14:paraId="0856DF9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服务区域内所有草坪、乔木、灌木、地面植物和其它植物。</w:t>
      </w:r>
    </w:p>
    <w:p w14:paraId="73AC39A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每天捡拾地面上白色垃圾及杂物，保证草坪干净。</w:t>
      </w:r>
    </w:p>
    <w:p w14:paraId="460CC0D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及时除草、打药、施肥、浇水保证草坪常绿，无杂草、无旱死枯死现象发生。</w:t>
      </w:r>
    </w:p>
    <w:p w14:paraId="50D44D87">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灌木根据不同季节，修剪、整理、浇水并及时清理修剪后的树干，保证树木整齐美观。</w:t>
      </w:r>
    </w:p>
    <w:p w14:paraId="78E46EE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树木美观造型，做到出院内四季常青，三季月花，树木茂盛。</w:t>
      </w:r>
    </w:p>
    <w:p w14:paraId="2ADBC685">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12、水电维修</w:t>
      </w:r>
    </w:p>
    <w:p w14:paraId="6BD69FB6">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（1）负责整个区域范围内的办公大楼、地下配电室、配水室、院内供电、供水设备及灯、管、线的日常管理和维修。</w:t>
      </w:r>
    </w:p>
    <w:p w14:paraId="480A782F">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（2）对配电室、配水室及水电管网、上下水管道经常检查，确保上下水管道无堵塞，设备正常运行无事故。</w:t>
      </w:r>
    </w:p>
    <w:p w14:paraId="3C9955E6">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（3）水电维修人员负责对各设备按时保养维护，确保设备良好运行，及时做好每日巡查记录。</w:t>
      </w:r>
    </w:p>
    <w:p w14:paraId="337AED0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人员要求：</w:t>
      </w:r>
    </w:p>
    <w:p w14:paraId="13871071">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水电标准：保证安全情况下确保两个校区的正常供电、供水，校园内全部公共区域的所有建筑内外日常水电维修、巡检。需要24小时值班。</w:t>
      </w:r>
    </w:p>
    <w:p w14:paraId="30C8970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13、</w:t>
      </w:r>
      <w:r>
        <w:rPr>
          <w:rFonts w:hint="eastAsia" w:asciiTheme="minorEastAsia" w:hAnsiTheme="minorEastAsia" w:eastAsiaTheme="minorEastAsia" w:cstheme="minorEastAsia"/>
          <w:spacing w:val="-1"/>
          <w:sz w:val="24"/>
          <w:szCs w:val="24"/>
        </w:rPr>
        <w:t>勤杂标准：保证按时完成分配的各项勤杂任务。</w:t>
      </w:r>
    </w:p>
    <w:p w14:paraId="4A1D418B">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楷体" w:hAnsi="楷体" w:eastAsia="楷体" w:cs="楷体"/>
          <w:spacing w:val="-1"/>
          <w:sz w:val="24"/>
          <w:szCs w:val="24"/>
        </w:rPr>
      </w:pPr>
      <w:r>
        <w:rPr>
          <w:rFonts w:hint="eastAsia" w:ascii="楷体" w:hAnsi="楷体" w:eastAsia="楷体" w:cs="楷体"/>
          <w:snapToGrid w:val="0"/>
          <w:color w:val="000000"/>
          <w:spacing w:val="-1"/>
          <w:kern w:val="0"/>
          <w:sz w:val="24"/>
          <w:szCs w:val="24"/>
          <w:lang w:val="en-US" w:eastAsia="zh-CN" w:bidi="ar-SA"/>
        </w:rPr>
        <w:t>（三）</w:t>
      </w:r>
      <w:r>
        <w:rPr>
          <w:rFonts w:hint="eastAsia" w:ascii="楷体" w:hAnsi="楷体" w:eastAsia="楷体" w:cs="楷体"/>
          <w:spacing w:val="-1"/>
          <w:sz w:val="24"/>
          <w:szCs w:val="24"/>
        </w:rPr>
        <w:t>人员要求</w:t>
      </w:r>
    </w:p>
    <w:p w14:paraId="6E24227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1、人员配备情况：</w:t>
      </w:r>
    </w:p>
    <w:p w14:paraId="790C664C">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保洁人员不低于13人；绿化人员不低于3人；水电工不低于4人；勤杂及管理不低于5人。共需不低于25人。</w:t>
      </w:r>
    </w:p>
    <w:p w14:paraId="7FC7795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2、拟派人员具有中华人民共和国国籍，拥护中华人民共和国宪法，拥护党的路线、方针、政策，遵守国家法律和社会公德，作风正派，品行端正。</w:t>
      </w:r>
    </w:p>
    <w:p w14:paraId="41AA863C">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3、拟派人员年龄不应超过55岁，身体健康、无不良嗜好，无违法犯罪记录。 </w:t>
      </w:r>
    </w:p>
    <w:p w14:paraId="70F560D9">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4、拟派的水电工须具有上岗证书。</w:t>
      </w:r>
    </w:p>
    <w:p w14:paraId="41567530">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5、拟派人员在工作期间及上下班途中如果发生安全及其它意外事故、疾病等，由成交供应商负全责。</w:t>
      </w:r>
    </w:p>
    <w:p w14:paraId="174D3772">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楷体" w:hAnsi="楷体" w:eastAsia="楷体" w:cs="楷体"/>
          <w:spacing w:val="-1"/>
          <w:sz w:val="24"/>
          <w:szCs w:val="24"/>
        </w:rPr>
      </w:pPr>
      <w:r>
        <w:rPr>
          <w:rFonts w:hint="eastAsia" w:ascii="楷体" w:hAnsi="楷体" w:eastAsia="楷体" w:cs="楷体"/>
          <w:spacing w:val="-1"/>
          <w:sz w:val="24"/>
          <w:szCs w:val="24"/>
          <w:lang w:eastAsia="zh-CN"/>
        </w:rPr>
        <w:t>（</w:t>
      </w:r>
      <w:r>
        <w:rPr>
          <w:rFonts w:hint="eastAsia" w:ascii="楷体" w:hAnsi="楷体" w:eastAsia="楷体" w:cs="楷体"/>
          <w:spacing w:val="-1"/>
          <w:sz w:val="24"/>
          <w:szCs w:val="24"/>
          <w:lang w:val="en-US" w:eastAsia="zh-CN"/>
        </w:rPr>
        <w:t>四</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完成采购人交待的临时任务。</w:t>
      </w:r>
    </w:p>
    <w:p w14:paraId="1645CC3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CCC695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A806D2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E16B30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w:t>
      </w:r>
      <w:r>
        <w:rPr>
          <w:rFonts w:hint="eastAsia" w:asciiTheme="minorEastAsia" w:hAnsiTheme="minorEastAsia" w:eastAsiaTheme="minorEastAsia" w:cstheme="minorEastAsia"/>
          <w:spacing w:val="-5"/>
          <w:sz w:val="24"/>
          <w:szCs w:val="24"/>
          <w:lang w:val="en-US" w:eastAsia="zh-CN"/>
        </w:rPr>
        <w:t>（合同一年一签）</w:t>
      </w:r>
    </w:p>
    <w:p w14:paraId="5E07125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南阳市第二中学校</w:t>
      </w:r>
    </w:p>
    <w:p w14:paraId="00B8814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3.付款方式：采购人以季度为单位根考核结果向中标单位支付上个季度的物业服务费，实际支付金额以实际服务期限为准，乙方应当向甲方开具相应金额的增值税发票。</w:t>
      </w:r>
    </w:p>
    <w:p w14:paraId="7E3809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4.服务质量：满足采购人要求及国家或行业相关标准</w:t>
      </w:r>
    </w:p>
    <w:p w14:paraId="37A0D15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5.参与本项目的供应商需提供项目整体服务方案、拟投入设备、项目管理制度、环境卫生管理方案、水电维修方案、绿化养护方案及措施、应急预案。</w:t>
      </w:r>
    </w:p>
    <w:p w14:paraId="231C6B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lang w:val="en-US" w:eastAsia="zh-CN"/>
        </w:rPr>
      </w:pPr>
      <w:r>
        <w:rPr>
          <w:rFonts w:hint="eastAsia" w:asciiTheme="minorEastAsia" w:hAnsiTheme="minorEastAsia" w:eastAsiaTheme="minorEastAsia" w:cstheme="minorEastAsia"/>
          <w:spacing w:val="-2"/>
          <w:sz w:val="24"/>
          <w:szCs w:val="24"/>
          <w:lang w:val="en-US" w:eastAsia="zh-CN"/>
        </w:rPr>
        <w:t>6.参与本项目的供应商需明确人员配备并提供相关信息。</w:t>
      </w:r>
    </w:p>
    <w:p w14:paraId="17CB45FC">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5BB71E7C">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8FDE3D6">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58CB9E8">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F976BC5">
      <w:pPr>
        <w:pStyle w:val="25"/>
        <w:rPr>
          <w:rFonts w:hint="eastAsia"/>
          <w:lang w:val="en-US" w:eastAsia="zh-CN"/>
        </w:rPr>
      </w:pPr>
    </w:p>
    <w:p w14:paraId="017794DC">
      <w:pPr>
        <w:pStyle w:val="9"/>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C19D600">
      <w:pPr>
        <w:pStyle w:val="9"/>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7E6198F2">
      <w:pPr>
        <w:pStyle w:val="9"/>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47D75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2A51DEE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17FAE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5AE41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4181A94">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B70C824">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48301BF">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094D0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27F7A2D">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698D6F8">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4B31DEE8">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FCDE399">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3F8C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2C4DE0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377A0B6">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48A61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A1D137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16D953D">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78C6A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8F7A5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D1543FD">
            <w:pPr>
              <w:pStyle w:val="2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02E21A2A">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ind w:firstLine="268" w:firstLineChars="10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4CD5406B">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0230E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66EE2F02">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940D79D">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4172302D">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032CD6B">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64DF6A1D">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7DAF3BD">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5DEE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CB35C3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2862C3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216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3B53A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4BDD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81061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44B10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81FB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42D12D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0BA52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27B371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B3A5D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21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0C64F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0A307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7E1191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21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5FB21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A86370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F3B4D2D">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本项目不适用核心产品</w:t>
            </w:r>
          </w:p>
        </w:tc>
      </w:tr>
      <w:tr w14:paraId="27CB6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DCB920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CB1324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1EABD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CFC535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750D28">
            <w:pPr>
              <w:pStyle w:val="27"/>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5101C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AD7405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20557D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68274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249F5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47A288A">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6157E74">
      <w:pPr>
        <w:pStyle w:val="9"/>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20784D">
      <w:pPr>
        <w:pStyle w:val="9"/>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42E1C96">
      <w:pPr>
        <w:pStyle w:val="9"/>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06679099">
      <w:pPr>
        <w:pStyle w:val="9"/>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9D2D9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4E35FD5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32144C3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0F156E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2AAB42C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08B8E2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216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2595D6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7FD2211B">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38E888C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59E5545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58AE0A0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5BC8F10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45A1EB2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1E89DD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3EF2E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492271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143301F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6A1649F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257D2DC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5816826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2F05E9F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4115F0F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436999C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7061C3A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07E9005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035FA5E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0F3BE2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C65AD6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82CDA6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5CF040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76F305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4A19D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27EB6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DE6F41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5BD2B0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14A50DC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7E93A9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6358C2A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网络安全专用产品</w:t>
      </w:r>
    </w:p>
    <w:p w14:paraId="38AEC73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1D9468A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4 </w:t>
      </w:r>
      <w:r>
        <w:rPr>
          <w:rFonts w:hint="eastAsia" w:asciiTheme="minorEastAsia" w:hAnsiTheme="minorEastAsia" w:eastAsiaTheme="minorEastAsia" w:cstheme="minorEastAsia"/>
          <w:spacing w:val="2"/>
          <w:sz w:val="24"/>
          <w:szCs w:val="24"/>
        </w:rPr>
        <w:t>采购需求标准</w:t>
      </w:r>
    </w:p>
    <w:p w14:paraId="73CC253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72F140A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A630F7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4E2D39C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74B4ED9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A906914">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3D956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B2806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7D97F7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学校物业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66FB3E1A">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088D953">
      <w:pPr>
        <w:pStyle w:val="9"/>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4BC58F8B">
      <w:pPr>
        <w:pStyle w:val="9"/>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63C0FE9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2C4F4A8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4E4B42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16E5339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1691984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68EB92E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380A6DF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1B467C7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6075597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736A76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77B897D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099F94A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1C4F4BE2">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7118034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698210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0600AAD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45C5ACB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2D61AD6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21CC961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6EA3659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BE886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2AE89013">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55F415B0">
      <w:pPr>
        <w:pStyle w:val="34"/>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6F94EFF6">
      <w:pPr>
        <w:pStyle w:val="34"/>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5AC8D22D">
      <w:pPr>
        <w:pStyle w:val="34"/>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01F194C2">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7DAA20F">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37BF995D">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0D744937">
      <w:pPr>
        <w:pStyle w:val="34"/>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2F40EE94">
      <w:pPr>
        <w:pStyle w:val="34"/>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176144A8">
      <w:pPr>
        <w:pStyle w:val="34"/>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4323CD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3D30D2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1F1FE7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0DBED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6F52A5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76A265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732638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74B9E6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B05DD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1E89861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391093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0395A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06E0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C55AA6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AF277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343C88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3512B0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16B955F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564E48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02A53E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28D53E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336B20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985611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29C6B2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07818C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39EED0C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3299C29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3F8783B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4FB7E14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A449803">
      <w:pPr>
        <w:pStyle w:val="9"/>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1F44A52E">
      <w:pPr>
        <w:pStyle w:val="9"/>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907FA8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EC0C8F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222CA65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6B2E3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67E7D4B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18B9F4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47A90A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0B71D2C9">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181C5B45">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A64CDB5">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331F07DD">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51DB05CF">
      <w:pPr>
        <w:pStyle w:val="25"/>
        <w:rPr>
          <w:rFonts w:hint="eastAsia"/>
          <w:lang w:val="en-US" w:eastAsia="zh-CN"/>
        </w:rPr>
      </w:pPr>
    </w:p>
    <w:p w14:paraId="6FED33D6">
      <w:pPr>
        <w:pStyle w:val="9"/>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00F42244">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EA2F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7F64D47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7C28FE">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664EFF7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2B742B3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B5CF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07616D0">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D1A18CD">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3948708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08E3B2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11095CB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37B6B7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090E615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5417814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71D9CFC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1CD4EBE">
            <w:pPr>
              <w:keepNext w:val="0"/>
              <w:keepLines w:val="0"/>
              <w:pageBreakBefore w:val="0"/>
              <w:kinsoku/>
              <w:wordWrap w:val="0"/>
              <w:overflowPunct/>
              <w:topLinePunct w:val="0"/>
              <w:autoSpaceDE/>
              <w:autoSpaceDN/>
              <w:bidi w:val="0"/>
              <w:adjustRightInd/>
              <w:snapToGrid/>
              <w:spacing w:line="360" w:lineRule="auto"/>
              <w:ind w:firstLine="472"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90CF3C0">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lang w:eastAsia="zh-CN"/>
              </w:rPr>
              <w:t>企业声明函。</w:t>
            </w:r>
          </w:p>
          <w:p w14:paraId="448496D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p>
        </w:tc>
        <w:tc>
          <w:tcPr>
            <w:tcW w:w="2967" w:type="dxa"/>
            <w:vAlign w:val="top"/>
          </w:tcPr>
          <w:p w14:paraId="214BD0D4">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0104F63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45E2CE82">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2FC1269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6D98D03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852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6554CCA5">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0A8B65D2">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49DDB7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66873BC">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D55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5A81B2CC">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34F2CBC">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41A05C3">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09621A7">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624A389">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22E33DA">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56F1720">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F63462">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F772AA5">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443897A">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282BB8D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4BC8F8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0305DA8">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C6DA54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4604793">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DD2E78">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45E11">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62C638F">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6A9FDB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72DE737">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5F07561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6CBD4C24">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45296B3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3F6FBFFD">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EC6A52E">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0101BF">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9856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BB7BB1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96B692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25169D8">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7ECAC3C">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210F4D3">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EE530F7">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019C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76C4F478">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56AD0FFD">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5D54A584">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899C1DA">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B0AAAEB">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719EB1E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2F7C748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5212A0E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3E812A3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0EC2888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75F02D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E0AF9F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2EE8FAB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03C6AD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19C278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02AD9C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35309A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422CFB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63CBF3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2A11289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D7CBA6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34F7414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2A3B495B">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1280F5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367865A4">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1C3712AF">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27DC49C">
      <w:pPr>
        <w:pStyle w:val="9"/>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7BDB51A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68B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11C108B">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69C68D17">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1BF40F64">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32DD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11B2F76">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264CD242">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334FF8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3C914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28452A5F">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7E1B33ED">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218EFCD">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37C2821">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2AE5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A2449EC">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23B056C">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4B05F2BE">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4543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E3332A4">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CBD7F8E">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51FA9FE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26B6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DA4E795">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2BA84B13">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5353B6D">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614D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6B3B92E">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283AE25">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6B881626">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6A10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D5F1C1A">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2B0994EF">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4C044F6">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36031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22D6C3A">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21DC7763">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3D3F70BC">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0B249F4F">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3B2273CC">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7B718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DFA33B6">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6A6EC631">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58B0606C">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D93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51BA488">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3A4FC49F">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0BA8E8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D0AF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73E0FB0C">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2A261606">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215DE331">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2BF42D55">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4AE6E888">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0687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4FC973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04BC9A1">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E0EA9C6">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4786985D">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24F0649">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498E4007">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6E3FB3">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470D1AF7">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683BED9A">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13B958DA">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1363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33EC196">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54B4E5B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7A42532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9A5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8B17A71">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F990D1C">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012BCD72">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7E3E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03D0F236">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1976351">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21A31802">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56BF7BA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29131C01">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☑服务类，审查整体服务方案、拟投入设备、项目管理制度、环境卫生管理方案、水电维修方案、绿化养护方案及措施、应急预案等是否符合招标要求。</w:t>
      </w:r>
    </w:p>
    <w:p w14:paraId="08346A2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6095960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0B4754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706914B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21D5BDB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506BF23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3CAA9EC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80C355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26D5738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35507391">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82C556D">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605DA71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45A31F12">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890628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0C7C2BD3">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B9F97A5">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3EE6C034">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728640EB">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A59DF67">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15AC8F72">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266B1E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7BE81A51">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5B04C30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2507BC13">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06BCD991">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09CF149E">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4AF9775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2096C5A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57EFA74D">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122D3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5228D4D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21D4A8F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B7EC50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327C2F9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0A30EA15">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04910D1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581D5824">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3D607F2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2D813296">
      <w:pPr>
        <w:pStyle w:val="16"/>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2752DA6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5BD1407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56E4211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68BC63F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FB2431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2999C3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2D56DDC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10362C3">
      <w:pPr>
        <w:pStyle w:val="9"/>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69D4D8CE">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581"/>
        <w:gridCol w:w="1073"/>
        <w:gridCol w:w="5008"/>
      </w:tblGrid>
      <w:tr w14:paraId="1507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73" w:type="dxa"/>
            <w:vAlign w:val="top"/>
          </w:tcPr>
          <w:p w14:paraId="289E4E0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81" w:type="dxa"/>
            <w:vAlign w:val="top"/>
          </w:tcPr>
          <w:p w14:paraId="0466118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73" w:type="dxa"/>
            <w:vAlign w:val="top"/>
          </w:tcPr>
          <w:p w14:paraId="30CC757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008" w:type="dxa"/>
            <w:vAlign w:val="top"/>
          </w:tcPr>
          <w:p w14:paraId="247D51E4">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7B53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673" w:type="dxa"/>
            <w:vAlign w:val="center"/>
          </w:tcPr>
          <w:p w14:paraId="6014690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3C960E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581" w:type="dxa"/>
            <w:vAlign w:val="center"/>
          </w:tcPr>
          <w:p w14:paraId="5F18FB8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rPr>
            </w:pPr>
          </w:p>
          <w:p w14:paraId="45748F3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78A91AE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（满分15分）</w:t>
            </w:r>
          </w:p>
        </w:tc>
        <w:tc>
          <w:tcPr>
            <w:tcW w:w="1073" w:type="dxa"/>
            <w:vAlign w:val="center"/>
          </w:tcPr>
          <w:p w14:paraId="59E2924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22ED5769">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（15分）</w:t>
            </w:r>
          </w:p>
        </w:tc>
        <w:tc>
          <w:tcPr>
            <w:tcW w:w="5008" w:type="dxa"/>
            <w:vAlign w:val="top"/>
          </w:tcPr>
          <w:p w14:paraId="79D06FF5">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23C91DAF">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w:t>
            </w:r>
            <w:r>
              <w:rPr>
                <w:rFonts w:hint="eastAsia" w:asciiTheme="minorEastAsia" w:hAnsiTheme="minorEastAsia" w:eastAsiaTheme="minorEastAsia" w:cstheme="minorEastAsia"/>
                <w:spacing w:val="-12"/>
                <w:sz w:val="24"/>
                <w:szCs w:val="24"/>
              </w:rPr>
              <w:t>。</w:t>
            </w:r>
          </w:p>
        </w:tc>
      </w:tr>
      <w:tr w14:paraId="130D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restart"/>
            <w:vAlign w:val="center"/>
          </w:tcPr>
          <w:p w14:paraId="68A3DCB2">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81" w:type="dxa"/>
            <w:vMerge w:val="restart"/>
            <w:vAlign w:val="center"/>
          </w:tcPr>
          <w:p w14:paraId="69E92AC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4F636B81">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（满分60分）</w:t>
            </w:r>
          </w:p>
        </w:tc>
        <w:tc>
          <w:tcPr>
            <w:tcW w:w="1073" w:type="dxa"/>
            <w:vAlign w:val="center"/>
          </w:tcPr>
          <w:p w14:paraId="504DF6A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2A786DC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008" w:type="dxa"/>
            <w:vAlign w:val="top"/>
          </w:tcPr>
          <w:p w14:paraId="6331AB8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根据供应商提供的针对本项目服务特点、难点进行分析的总体服务方案进行评审：</w:t>
            </w:r>
          </w:p>
          <w:p w14:paraId="668D2A1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1.供应商提供的整体服务方案全面，内容完整，实施方案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合理、规范，可操作性强，完全满足采购文件的要求得9分；</w:t>
            </w:r>
          </w:p>
          <w:p w14:paraId="77AF7478">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2.供应商提供的整体服务方案内容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完整，实施方案较为合理</w:t>
            </w:r>
            <w:r>
              <w:rPr>
                <w:rFonts w:hint="eastAsia" w:asciiTheme="minorEastAsia" w:hAnsiTheme="minorEastAsia" w:eastAsiaTheme="minorEastAsia" w:cstheme="minorEastAsia"/>
                <w:snapToGrid w:val="0"/>
                <w:color w:val="000000"/>
                <w:spacing w:val="-13"/>
                <w:kern w:val="0"/>
                <w:sz w:val="24"/>
                <w:szCs w:val="24"/>
                <w:lang w:val="en-US" w:eastAsia="zh-CN" w:bidi="ar-SA"/>
              </w:rPr>
              <w:t>规范</w:t>
            </w:r>
            <w:r>
              <w:rPr>
                <w:rFonts w:hint="eastAsia" w:asciiTheme="minorEastAsia" w:hAnsiTheme="minorEastAsia" w:eastAsiaTheme="minorEastAsia" w:cstheme="minorEastAsia"/>
                <w:snapToGrid w:val="0"/>
                <w:color w:val="000000"/>
                <w:spacing w:val="-13"/>
                <w:kern w:val="0"/>
                <w:sz w:val="24"/>
                <w:szCs w:val="24"/>
                <w:lang w:val="en-US" w:eastAsia="en-US" w:bidi="ar-SA"/>
              </w:rPr>
              <w:t>，有</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可操作性，能满足采购文件要求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47D3934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.供应商提供的整体服务方案不全面，方案不够合理、规范，可行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性差</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不能满足采购文件要求的，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F54D12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135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2468100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vAlign w:val="center"/>
          </w:tcPr>
          <w:p w14:paraId="79024AB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5FB7525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拟投入的设备</w:t>
            </w:r>
          </w:p>
          <w:p w14:paraId="3251007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008" w:type="dxa"/>
            <w:vAlign w:val="top"/>
          </w:tcPr>
          <w:p w14:paraId="77781F9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根据供应商拟投入本项目的设备状况、设备数量等的科学性、合理性进行评审：</w:t>
            </w:r>
          </w:p>
          <w:p w14:paraId="5EC57F1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1.拟投入设备种类、数量齐全、配置合理，完全满足采购需求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得9分；</w:t>
            </w:r>
          </w:p>
          <w:p w14:paraId="0CCAD3A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2.拟投入设备种类、数量较齐全、配置基本合理，基本满足采购需求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7E5C15A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3.拟投入设备种类、数量有欠缺，分配不够合理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不能完全满足采购需求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021ABD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5B341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53439A7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vAlign w:val="center"/>
          </w:tcPr>
          <w:p w14:paraId="325AEC3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572F1AC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管理制度</w:t>
            </w:r>
          </w:p>
          <w:p w14:paraId="0C54CC3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008" w:type="dxa"/>
            <w:vAlign w:val="top"/>
          </w:tcPr>
          <w:p w14:paraId="2AD4401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根据供应商提供管理制度（包含人员的岗前培训计划、管理措施等情况内容)进行评审：</w:t>
            </w:r>
          </w:p>
          <w:p w14:paraId="0452982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1.制度健全</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，具有合理性</w:t>
            </w:r>
            <w:r>
              <w:rPr>
                <w:rFonts w:hint="eastAsia" w:asciiTheme="minorEastAsia" w:hAnsiTheme="minorEastAsia" w:eastAsiaTheme="minorEastAsia" w:cstheme="minorEastAsia"/>
                <w:snapToGrid w:val="0"/>
                <w:color w:val="000000"/>
                <w:spacing w:val="-13"/>
                <w:kern w:val="0"/>
                <w:sz w:val="24"/>
                <w:szCs w:val="24"/>
                <w:lang w:val="en-US" w:eastAsia="zh-CN" w:bidi="ar-SA"/>
              </w:rPr>
              <w:t>、可操作性，</w:t>
            </w:r>
            <w:r>
              <w:rPr>
                <w:rFonts w:hint="eastAsia" w:asciiTheme="minorEastAsia" w:hAnsiTheme="minorEastAsia" w:eastAsiaTheme="minorEastAsia" w:cstheme="minorEastAsia"/>
                <w:snapToGrid w:val="0"/>
                <w:color w:val="000000"/>
                <w:spacing w:val="-13"/>
                <w:kern w:val="0"/>
                <w:sz w:val="24"/>
                <w:szCs w:val="24"/>
                <w:lang w:val="en-US" w:eastAsia="en-US" w:bidi="ar-SA"/>
              </w:rPr>
              <w:t>制度完善，条理清晰的，得9分；</w:t>
            </w:r>
          </w:p>
          <w:p w14:paraId="01A1435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2.制度基本健全可行，基本具有合理性，制度完善，条理基本清晰的，得6分；</w:t>
            </w:r>
          </w:p>
          <w:p w14:paraId="0A464F9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3.制度基本简单粗略，内容不</w:t>
            </w:r>
            <w:r>
              <w:rPr>
                <w:rFonts w:hint="eastAsia" w:asciiTheme="minorEastAsia" w:hAnsiTheme="minorEastAsia" w:eastAsiaTheme="minorEastAsia" w:cstheme="minorEastAsia"/>
                <w:snapToGrid w:val="0"/>
                <w:color w:val="000000"/>
                <w:spacing w:val="-13"/>
                <w:kern w:val="0"/>
                <w:sz w:val="24"/>
                <w:szCs w:val="24"/>
                <w:lang w:val="en-US" w:eastAsia="zh-CN" w:bidi="ar-SA"/>
              </w:rPr>
              <w:t>健全</w:t>
            </w:r>
            <w:r>
              <w:rPr>
                <w:rFonts w:hint="eastAsia" w:asciiTheme="minorEastAsia" w:hAnsiTheme="minorEastAsia" w:eastAsiaTheme="minorEastAsia" w:cstheme="minorEastAsia"/>
                <w:snapToGrid w:val="0"/>
                <w:color w:val="000000"/>
                <w:spacing w:val="-13"/>
                <w:kern w:val="0"/>
                <w:sz w:val="24"/>
                <w:szCs w:val="24"/>
                <w:lang w:val="en-US" w:eastAsia="en-US" w:bidi="ar-SA"/>
              </w:rPr>
              <w:t>，合理性一般</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6671AA1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4C21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4B7570A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vAlign w:val="center"/>
          </w:tcPr>
          <w:p w14:paraId="78E1773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29F0942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环境卫生管理方案</w:t>
            </w:r>
          </w:p>
          <w:p w14:paraId="71CBC49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008" w:type="dxa"/>
            <w:vAlign w:val="top"/>
          </w:tcPr>
          <w:p w14:paraId="2AD0B12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根据供应商提供的环境卫生管理方案进行评审：</w:t>
            </w:r>
          </w:p>
          <w:p w14:paraId="62F13F0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1.供应商提供的环境卫生管理方案内容完整，实施方案合理、规范，可操作性强，完全满足采购文件要求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得9分；</w:t>
            </w:r>
          </w:p>
          <w:p w14:paraId="151A40B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2.供应商提供的环境卫生管理方案内容较完整，实施方案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规范</w:t>
            </w:r>
            <w:r>
              <w:rPr>
                <w:rFonts w:hint="eastAsia" w:asciiTheme="minorEastAsia" w:hAnsiTheme="minorEastAsia" w:eastAsiaTheme="minorEastAsia" w:cstheme="minorEastAsia"/>
                <w:snapToGrid w:val="0"/>
                <w:color w:val="000000"/>
                <w:spacing w:val="-13"/>
                <w:kern w:val="0"/>
                <w:sz w:val="24"/>
                <w:szCs w:val="24"/>
                <w:lang w:val="en-US" w:eastAsia="en-US" w:bidi="ar-SA"/>
              </w:rPr>
              <w:t>，有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可操作性，能满足采购文件要求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034B4D2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.供应商提供的环境卫生管理方案不够全面，方案不够合理、规范，可行</w:t>
            </w:r>
            <w:r>
              <w:rPr>
                <w:rFonts w:hint="eastAsia" w:asciiTheme="minorEastAsia" w:hAnsiTheme="minorEastAsia" w:eastAsiaTheme="minorEastAsia" w:cstheme="minorEastAsia"/>
                <w:snapToGrid w:val="0"/>
                <w:color w:val="000000"/>
                <w:spacing w:val="-13"/>
                <w:kern w:val="0"/>
                <w:sz w:val="24"/>
                <w:szCs w:val="24"/>
                <w:lang w:val="en-US" w:eastAsia="zh-CN" w:bidi="ar-SA"/>
              </w:rPr>
              <w:t>性较差的</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50BD45B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6719D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3765EA9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vAlign w:val="center"/>
          </w:tcPr>
          <w:p w14:paraId="6BA8A44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3FFB027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水电维修方案</w:t>
            </w:r>
          </w:p>
          <w:p w14:paraId="7DF3571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008" w:type="dxa"/>
            <w:vAlign w:val="top"/>
          </w:tcPr>
          <w:p w14:paraId="0A4CA30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根据供应商提供的水电维修方案进行评审：</w:t>
            </w:r>
          </w:p>
          <w:p w14:paraId="145D868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.供应商提供的水电维修方案内容完整，实施方案合理、规范，可操作性强，完全满足采购文件要求的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911E0A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2.供应商提供的水电维修方案内容较完整，实施方案较为合理，有可操作性，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B31FF1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.供应商提供的水电维修方案不全面，方案不够合理，可行</w:t>
            </w:r>
            <w:r>
              <w:rPr>
                <w:rFonts w:hint="eastAsia" w:asciiTheme="minorEastAsia" w:hAnsiTheme="minorEastAsia" w:eastAsiaTheme="minorEastAsia" w:cstheme="minorEastAsia"/>
                <w:snapToGrid w:val="0"/>
                <w:color w:val="000000"/>
                <w:spacing w:val="-13"/>
                <w:kern w:val="0"/>
                <w:sz w:val="24"/>
                <w:szCs w:val="24"/>
                <w:lang w:val="en-US" w:eastAsia="zh-CN" w:bidi="ar-SA"/>
              </w:rPr>
              <w:t>性较差</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难以满足采购文件要求的，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7728E1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CAE1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158A161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vAlign w:val="center"/>
          </w:tcPr>
          <w:p w14:paraId="6B1B140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6BCC3D3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绿化养护方案及措施</w:t>
            </w:r>
          </w:p>
          <w:p w14:paraId="5A888BB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008" w:type="dxa"/>
            <w:vAlign w:val="top"/>
          </w:tcPr>
          <w:p w14:paraId="64BC176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根据供应商提供的安全、文明操作措施进行评审：</w:t>
            </w:r>
          </w:p>
          <w:p w14:paraId="56301C0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1.供应商提供的绿化养护方案及措施内容完整，实施方案合理、规范，可操作性强，完全满足采购文件要求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得8分；</w:t>
            </w:r>
          </w:p>
          <w:p w14:paraId="404FEA5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2.供应商提供的绿化养护方案及措施内容较完整，实施方案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合理，有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可操作性，能满足采购文件要求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FA9C51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.供应商提供的绿化养护方案及措施不全面，方案不合理、规范，不够可行，</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难以满足采购文件要求的，</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1D0DC07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E46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53EAE72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vAlign w:val="center"/>
          </w:tcPr>
          <w:p w14:paraId="5ACAD4E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4455465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p>
          <w:p w14:paraId="2B849B5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08" w:type="dxa"/>
            <w:vAlign w:val="top"/>
          </w:tcPr>
          <w:p w14:paraId="0C8C6ED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根据供应商针对本项目提供的关于重大活动、突发事件应急预案和保障措施的科学性、合理性、可行性进行评审：</w:t>
            </w:r>
          </w:p>
          <w:p w14:paraId="419179F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1.供应商提供的应急方案内容全面完整，方案合理、规范，可操作性强，完全满足采购文件要求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5FB7B6C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2.供应商提供的应急方案内容较全面，方案较为合理，有可操作性，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F76204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.供应商提供的应急方案不够全面，内容不够完整、合理，可行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性差，无法满足采购文件要求的，</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52BA68D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FB32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restart"/>
            <w:vAlign w:val="center"/>
          </w:tcPr>
          <w:p w14:paraId="72F97AF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4"/>
                <w:szCs w:val="24"/>
                <w:lang w:val="en-US" w:eastAsia="zh-CN"/>
              </w:rPr>
              <w:t>3</w:t>
            </w:r>
          </w:p>
        </w:tc>
        <w:tc>
          <w:tcPr>
            <w:tcW w:w="1581" w:type="dxa"/>
            <w:vMerge w:val="restart"/>
            <w:vAlign w:val="center"/>
          </w:tcPr>
          <w:p w14:paraId="33A98EC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综合部分（满分25分）</w:t>
            </w:r>
          </w:p>
        </w:tc>
        <w:tc>
          <w:tcPr>
            <w:tcW w:w="1073" w:type="dxa"/>
            <w:vAlign w:val="center"/>
          </w:tcPr>
          <w:p w14:paraId="52B45F6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人员配备</w:t>
            </w: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008" w:type="dxa"/>
            <w:vAlign w:val="top"/>
          </w:tcPr>
          <w:p w14:paraId="0432863F">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根据供应商拟投入本项目的人员安排、从业人员岗位分配、时间安排等方面进行评审：</w:t>
            </w:r>
          </w:p>
          <w:p w14:paraId="0FE04165">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1.人员安排合理，配备专门服务团队，组织架构完整、人员分工明确、完全满足采购需求得9分；</w:t>
            </w:r>
          </w:p>
          <w:p w14:paraId="3E191630">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2.人员安排较合理，分工较明确、可行，基本满足采购需求得6分；</w:t>
            </w:r>
          </w:p>
          <w:p w14:paraId="01F7FB34">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3.人员安排及分工缺乏针对性，不能完全满足采购需求得4分；</w:t>
            </w:r>
          </w:p>
          <w:p w14:paraId="6CCD6499">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4.人员安排不够合理，分工不够明确、无法满足采购需求得2分；</w:t>
            </w:r>
          </w:p>
          <w:p w14:paraId="4A15B9E1">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5.缺项不得分。</w:t>
            </w:r>
          </w:p>
        </w:tc>
      </w:tr>
      <w:tr w14:paraId="3DF36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3B30DCB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shd w:val="clear" w:color="auto" w:fill="auto"/>
            <w:vAlign w:val="top"/>
          </w:tcPr>
          <w:p w14:paraId="403E54ED">
            <w:pPr>
              <w:pStyle w:val="27"/>
              <w:keepNext w:val="0"/>
              <w:keepLines w:val="0"/>
              <w:pageBreakBefore w:val="0"/>
              <w:kinsoku/>
              <w:wordWrap w:val="0"/>
              <w:overflowPunct/>
              <w:topLinePunct w:val="0"/>
              <w:bidi w:val="0"/>
              <w:spacing w:before="33" w:line="235" w:lineRule="auto"/>
              <w:ind w:left="76" w:leftChars="0" w:right="23" w:rightChars="0" w:firstLine="2" w:firstLineChars="0"/>
              <w:jc w:val="both"/>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0F8D950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业绩</w:t>
            </w:r>
          </w:p>
          <w:p w14:paraId="0E296D2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008" w:type="dxa"/>
            <w:vAlign w:val="top"/>
          </w:tcPr>
          <w:p w14:paraId="60D469C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供应商提供2022年1月1日以来类似（物业服务类）项目业绩的，每提供一份业绩合同得2分，本项最多得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分。（时间以合同签订时间为准）</w:t>
            </w:r>
          </w:p>
        </w:tc>
      </w:tr>
      <w:tr w14:paraId="77F9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0768C551">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shd w:val="clear" w:color="auto" w:fill="auto"/>
            <w:vAlign w:val="top"/>
          </w:tcPr>
          <w:p w14:paraId="667358D4">
            <w:pPr>
              <w:pStyle w:val="27"/>
              <w:keepNext w:val="0"/>
              <w:keepLines w:val="0"/>
              <w:pageBreakBefore w:val="0"/>
              <w:kinsoku/>
              <w:wordWrap w:val="0"/>
              <w:overflowPunct/>
              <w:topLinePunct w:val="0"/>
              <w:bidi w:val="0"/>
              <w:spacing w:before="33" w:line="235" w:lineRule="auto"/>
              <w:ind w:left="76" w:leftChars="0" w:right="23" w:rightChars="0" w:firstLine="2" w:firstLineChars="0"/>
              <w:jc w:val="both"/>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0A337FD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服务承诺</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008" w:type="dxa"/>
            <w:vAlign w:val="top"/>
          </w:tcPr>
          <w:p w14:paraId="3086723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评委根据供应商针对项目的特点和要求，结合自身的条件，有利于提高服务质量等方面的承诺进行评分：</w:t>
            </w:r>
          </w:p>
          <w:p w14:paraId="2C2E205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1.方案详细，科学合理、可操作性强的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得8分；</w:t>
            </w:r>
          </w:p>
          <w:p w14:paraId="78A58298">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.方案较详细，</w:t>
            </w:r>
            <w:r>
              <w:rPr>
                <w:rFonts w:hint="eastAsia" w:asciiTheme="minorEastAsia" w:hAnsiTheme="minorEastAsia" w:eastAsiaTheme="minorEastAsia" w:cstheme="minorEastAsia"/>
                <w:snapToGrid w:val="0"/>
                <w:color w:val="000000"/>
                <w:spacing w:val="-13"/>
                <w:kern w:val="0"/>
                <w:sz w:val="24"/>
                <w:szCs w:val="24"/>
                <w:lang w:val="en-US" w:eastAsia="zh-CN" w:bidi="ar-SA"/>
              </w:rPr>
              <w:t>具备</w:t>
            </w:r>
            <w:r>
              <w:rPr>
                <w:rFonts w:hint="eastAsia" w:asciiTheme="minorEastAsia" w:hAnsiTheme="minorEastAsia" w:eastAsiaTheme="minorEastAsia" w:cstheme="minorEastAsia"/>
                <w:snapToGrid w:val="0"/>
                <w:color w:val="000000"/>
                <w:spacing w:val="-13"/>
                <w:kern w:val="0"/>
                <w:sz w:val="24"/>
                <w:szCs w:val="24"/>
                <w:lang w:val="en-US" w:eastAsia="en-US" w:bidi="ar-SA"/>
              </w:rPr>
              <w:t>科学性、合理性</w:t>
            </w:r>
            <w:r>
              <w:rPr>
                <w:rFonts w:hint="eastAsia" w:asciiTheme="minorEastAsia" w:hAnsiTheme="minorEastAsia" w:eastAsiaTheme="minorEastAsia" w:cstheme="minorEastAsia"/>
                <w:snapToGrid w:val="0"/>
                <w:color w:val="000000"/>
                <w:spacing w:val="-13"/>
                <w:kern w:val="0"/>
                <w:sz w:val="24"/>
                <w:szCs w:val="24"/>
                <w:lang w:val="en-US" w:eastAsia="zh-CN" w:bidi="ar-SA"/>
              </w:rPr>
              <w:t>，能够提升项目服务质量</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A94D99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，不</w:t>
            </w:r>
            <w:r>
              <w:rPr>
                <w:rFonts w:hint="eastAsia" w:asciiTheme="minorEastAsia" w:hAnsiTheme="minorEastAsia" w:eastAsiaTheme="minorEastAsia" w:cstheme="minorEastAsia"/>
                <w:snapToGrid w:val="0"/>
                <w:color w:val="000000"/>
                <w:spacing w:val="-13"/>
                <w:kern w:val="0"/>
                <w:sz w:val="24"/>
                <w:szCs w:val="24"/>
                <w:lang w:val="en-US" w:eastAsia="zh-CN" w:bidi="ar-SA"/>
              </w:rPr>
              <w:t>具备</w:t>
            </w:r>
            <w:r>
              <w:rPr>
                <w:rFonts w:hint="eastAsia" w:asciiTheme="minorEastAsia" w:hAnsiTheme="minorEastAsia" w:eastAsiaTheme="minorEastAsia" w:cstheme="minorEastAsia"/>
                <w:snapToGrid w:val="0"/>
                <w:color w:val="000000"/>
                <w:spacing w:val="-13"/>
                <w:kern w:val="0"/>
                <w:sz w:val="24"/>
                <w:szCs w:val="24"/>
                <w:lang w:val="en-US" w:eastAsia="en-US" w:bidi="ar-SA"/>
              </w:rPr>
              <w:t>科学合理</w:t>
            </w:r>
            <w:r>
              <w:rPr>
                <w:rFonts w:hint="eastAsia"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可操作性差</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55D2D42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DE0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3" w:type="dxa"/>
            <w:vMerge w:val="continue"/>
            <w:vAlign w:val="center"/>
          </w:tcPr>
          <w:p w14:paraId="17F0BC06">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581" w:type="dxa"/>
            <w:vMerge w:val="continue"/>
            <w:shd w:val="clear" w:color="auto" w:fill="auto"/>
            <w:vAlign w:val="top"/>
          </w:tcPr>
          <w:p w14:paraId="6C01D653">
            <w:pPr>
              <w:pStyle w:val="27"/>
              <w:keepNext w:val="0"/>
              <w:keepLines w:val="0"/>
              <w:pageBreakBefore w:val="0"/>
              <w:kinsoku/>
              <w:wordWrap w:val="0"/>
              <w:overflowPunct/>
              <w:topLinePunct w:val="0"/>
              <w:bidi w:val="0"/>
              <w:spacing w:before="33" w:line="235" w:lineRule="auto"/>
              <w:ind w:left="76" w:leftChars="0" w:right="23" w:rightChars="0" w:firstLine="2" w:firstLineChars="0"/>
              <w:jc w:val="both"/>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73" w:type="dxa"/>
            <w:vAlign w:val="center"/>
          </w:tcPr>
          <w:p w14:paraId="11EA063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w:t>
            </w: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008" w:type="dxa"/>
            <w:vAlign w:val="top"/>
          </w:tcPr>
          <w:p w14:paraId="7601B9C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4538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54" w:type="dxa"/>
            <w:gridSpan w:val="2"/>
            <w:vAlign w:val="top"/>
          </w:tcPr>
          <w:p w14:paraId="584842BD">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73" w:type="dxa"/>
            <w:vAlign w:val="top"/>
          </w:tcPr>
          <w:p w14:paraId="2576690B">
            <w:pPr>
              <w:pStyle w:val="27"/>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008" w:type="dxa"/>
            <w:vAlign w:val="top"/>
          </w:tcPr>
          <w:p w14:paraId="367577E3">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AEFB7A8">
      <w:pPr>
        <w:pStyle w:val="16"/>
        <w:rPr>
          <w:rFonts w:hint="default"/>
          <w:lang w:val="en-US" w:eastAsia="zh-CN"/>
        </w:rPr>
      </w:pPr>
    </w:p>
    <w:p w14:paraId="490E1230">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2949A70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355D4BBE">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03782D0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0920E6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61E530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1197CAF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D70EC3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0EB4C2F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57D3243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E3F7C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59076D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4D4DC4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5628BE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72C088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065B682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1604BB8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0669C5E">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580FB5B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3F00B84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3FFF3AE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1668768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1D1CA5E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0DFD29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5E1DCB1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E2F3CFC">
      <w:pPr>
        <w:pStyle w:val="16"/>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19471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AA830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7655B3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970D29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B6383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E89698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2F2A53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428573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2F738C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70B57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818CB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DE71AC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B51A30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75E0818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962BA5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5492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70765A6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39A72F1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A8E5545">
      <w:pPr>
        <w:pStyle w:val="25"/>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6B0EB3F6">
      <w:pPr>
        <w:pStyle w:val="9"/>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521FF426">
      <w:pPr>
        <w:pStyle w:val="25"/>
        <w:jc w:val="both"/>
        <w:rPr>
          <w:rFonts w:hint="eastAsia"/>
        </w:rPr>
      </w:pPr>
    </w:p>
    <w:p w14:paraId="43A24D6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53E5C39">
      <w:pPr>
        <w:jc w:val="center"/>
        <w:rPr>
          <w:rFonts w:hint="eastAsia" w:ascii="仿宋" w:hAnsi="仿宋" w:eastAsia="仿宋"/>
          <w:b/>
          <w:bCs/>
          <w:sz w:val="32"/>
        </w:rPr>
      </w:pPr>
      <w:r>
        <w:rPr>
          <w:rFonts w:hint="eastAsia" w:ascii="仿宋" w:hAnsi="仿宋" w:eastAsia="仿宋"/>
          <w:b/>
          <w:bCs/>
          <w:sz w:val="32"/>
        </w:rPr>
        <w:t>南阳市</w:t>
      </w:r>
      <w:r>
        <w:rPr>
          <w:rFonts w:hint="eastAsia" w:ascii="仿宋" w:hAnsi="仿宋" w:eastAsia="仿宋"/>
          <w:b/>
          <w:bCs/>
          <w:sz w:val="32"/>
          <w:lang w:val="en-US" w:eastAsia="zh-CN"/>
        </w:rPr>
        <w:t>第二中学校</w:t>
      </w:r>
      <w:r>
        <w:rPr>
          <w:rFonts w:hint="eastAsia" w:ascii="仿宋" w:hAnsi="仿宋" w:eastAsia="仿宋"/>
          <w:b/>
          <w:bCs/>
          <w:sz w:val="32"/>
        </w:rPr>
        <w:t>物业管理服务合同</w:t>
      </w:r>
    </w:p>
    <w:p w14:paraId="47C3E8D8">
      <w:pPr>
        <w:jc w:val="left"/>
        <w:rPr>
          <w:rFonts w:hint="eastAsia" w:ascii="仿宋" w:hAnsi="仿宋" w:eastAsia="仿宋"/>
          <w:b/>
          <w:bCs/>
          <w:sz w:val="32"/>
        </w:rPr>
      </w:pPr>
    </w:p>
    <w:p w14:paraId="75D5AFBE">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项目编号：</w:t>
      </w:r>
    </w:p>
    <w:p w14:paraId="0D9D83B0">
      <w:pPr>
        <w:ind w:firstLine="640" w:firstLineChars="200"/>
        <w:jc w:val="left"/>
        <w:rPr>
          <w:rFonts w:hint="eastAsia" w:ascii="仿宋" w:hAnsi="仿宋" w:eastAsia="仿宋"/>
          <w:b/>
          <w:bCs/>
          <w:sz w:val="32"/>
          <w:lang w:val="en-US" w:eastAsia="zh-CN"/>
        </w:rPr>
      </w:pPr>
      <w:r>
        <w:rPr>
          <w:rFonts w:hint="eastAsia" w:ascii="仿宋" w:hAnsi="仿宋" w:eastAsia="仿宋" w:cs="仿宋"/>
          <w:b w:val="0"/>
          <w:bCs w:val="0"/>
          <w:sz w:val="32"/>
        </w:rPr>
        <w:t>甲方：</w:t>
      </w:r>
      <w:r>
        <w:rPr>
          <w:rFonts w:hint="eastAsia" w:ascii="仿宋" w:hAnsi="仿宋" w:eastAsia="仿宋"/>
          <w:b/>
          <w:bCs/>
          <w:sz w:val="32"/>
        </w:rPr>
        <w:t>南阳市</w:t>
      </w:r>
      <w:r>
        <w:rPr>
          <w:rFonts w:hint="eastAsia" w:ascii="仿宋" w:hAnsi="仿宋" w:eastAsia="仿宋"/>
          <w:b/>
          <w:bCs/>
          <w:sz w:val="32"/>
          <w:lang w:val="en-US" w:eastAsia="zh-CN"/>
        </w:rPr>
        <w:t>第二中学校</w:t>
      </w:r>
    </w:p>
    <w:p w14:paraId="36072C0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乙方：</w:t>
      </w:r>
    </w:p>
    <w:p w14:paraId="2E740D89">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lang w:val="en-US" w:eastAsia="zh-CN"/>
        </w:rPr>
        <w:t>根据《中华人民共和国政府采购法》及相关法律法规、按照平等、自愿、公平和诚实守信的原则,经</w:t>
      </w:r>
      <w:r>
        <w:rPr>
          <w:rFonts w:hint="eastAsia" w:ascii="仿宋" w:hAnsi="仿宋" w:eastAsia="仿宋"/>
          <w:b/>
          <w:bCs/>
          <w:sz w:val="32"/>
        </w:rPr>
        <w:t>南阳市</w:t>
      </w:r>
      <w:r>
        <w:rPr>
          <w:rFonts w:hint="eastAsia" w:ascii="仿宋" w:hAnsi="仿宋" w:eastAsia="仿宋"/>
          <w:b/>
          <w:bCs/>
          <w:sz w:val="32"/>
          <w:lang w:val="en-US" w:eastAsia="zh-CN"/>
        </w:rPr>
        <w:t>第二中学校</w:t>
      </w:r>
      <w:r>
        <w:rPr>
          <w:rFonts w:hint="eastAsia" w:ascii="仿宋" w:hAnsi="仿宋" w:eastAsia="仿宋" w:cs="仿宋"/>
          <w:b w:val="0"/>
          <w:bCs w:val="0"/>
          <w:sz w:val="32"/>
          <w:lang w:val="en-US" w:eastAsia="zh-CN"/>
        </w:rPr>
        <w:t>(以下简称甲方)和(以下简称乙方)协商一致，约定以下合同条款，共同遵守，全面履行。</w:t>
      </w:r>
    </w:p>
    <w:p w14:paraId="52BD65C0">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一、合同金额</w:t>
      </w:r>
    </w:p>
    <w:p w14:paraId="5568ADA9">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合同金额为(大写</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w:t>
      </w:r>
      <w:r>
        <w:rPr>
          <w:rFonts w:hint="eastAsia" w:ascii="宋体" w:hAnsi="宋体" w:eastAsia="宋体" w:cs="宋体"/>
          <w:b w:val="0"/>
          <w:bCs w:val="0"/>
          <w:sz w:val="32"/>
        </w:rPr>
        <w:t>¥</w:t>
      </w:r>
      <w:r>
        <w:rPr>
          <w:rFonts w:hint="eastAsia" w:ascii="宋体" w:hAnsi="宋体" w:eastAsia="宋体" w:cs="宋体"/>
          <w:b w:val="0"/>
          <w:bCs w:val="0"/>
          <w:sz w:val="32"/>
          <w:lang w:val="en-US" w:eastAsia="zh-CN"/>
        </w:rPr>
        <w:t xml:space="preserve">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w:t>
      </w:r>
    </w:p>
    <w:p w14:paraId="04CC2731">
      <w:pPr>
        <w:ind w:firstLine="640" w:firstLineChars="200"/>
        <w:jc w:val="left"/>
        <w:rPr>
          <w:rFonts w:hint="eastAsia" w:ascii="仿宋" w:hAnsi="仿宋" w:eastAsia="仿宋" w:cs="仿宋"/>
          <w:b w:val="0"/>
          <w:bCs w:val="0"/>
          <w:sz w:val="32"/>
          <w:lang w:val="en-US" w:eastAsia="zh-CN"/>
        </w:rPr>
      </w:pPr>
      <w:r>
        <w:rPr>
          <w:rFonts w:hint="eastAsia" w:ascii="仿宋" w:hAnsi="仿宋" w:eastAsia="仿宋" w:cs="仿宋"/>
          <w:b w:val="0"/>
          <w:bCs w:val="0"/>
          <w:sz w:val="32"/>
        </w:rPr>
        <w:t>二、服务范围</w:t>
      </w:r>
    </w:p>
    <w:p w14:paraId="7040C606">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乙方提供以下服务：</w:t>
      </w:r>
    </w:p>
    <w:p w14:paraId="260E7636">
      <w:pPr>
        <w:numPr>
          <w:ilvl w:val="0"/>
          <w:numId w:val="2"/>
        </w:num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服务区域</w:t>
      </w:r>
    </w:p>
    <w:p w14:paraId="1D836CCE">
      <w:pPr>
        <w:ind w:firstLine="640" w:firstLineChars="200"/>
        <w:jc w:val="left"/>
        <w:rPr>
          <w:rFonts w:hint="default" w:ascii="仿宋" w:hAnsi="仿宋" w:eastAsia="仿宋" w:cs="仿宋"/>
          <w:b w:val="0"/>
          <w:bCs w:val="0"/>
          <w:sz w:val="32"/>
          <w:lang w:val="en-US" w:eastAsia="zh-CN"/>
        </w:rPr>
      </w:pPr>
      <w:r>
        <w:rPr>
          <w:rFonts w:hint="eastAsia" w:ascii="仿宋" w:hAnsi="仿宋" w:eastAsia="仿宋" w:cs="仿宋"/>
          <w:b w:val="0"/>
          <w:bCs w:val="0"/>
          <w:sz w:val="32"/>
          <w:lang w:val="en-US" w:eastAsia="zh-CN"/>
        </w:rPr>
        <w:t>1、保洁：（1）七全校区保洁范围包括：：</w:t>
      </w:r>
      <w:r>
        <w:rPr>
          <w:rFonts w:hint="default" w:ascii="仿宋" w:hAnsi="仿宋" w:eastAsia="仿宋" w:cs="仿宋"/>
          <w:b w:val="0"/>
          <w:bCs w:val="0"/>
          <w:sz w:val="32"/>
          <w:lang w:val="en-US" w:eastAsia="zh-CN"/>
        </w:rPr>
        <w:t>①</w:t>
      </w:r>
      <w:r>
        <w:rPr>
          <w:rFonts w:hint="eastAsia" w:ascii="仿宋" w:hAnsi="仿宋" w:eastAsia="仿宋" w:cs="仿宋"/>
          <w:b w:val="0"/>
          <w:bCs w:val="0"/>
          <w:sz w:val="32"/>
          <w:lang w:eastAsia="zh-CN"/>
        </w:rPr>
        <w:t>院</w:t>
      </w:r>
      <w:r>
        <w:rPr>
          <w:rFonts w:hint="eastAsia" w:ascii="仿宋" w:hAnsi="仿宋" w:eastAsia="仿宋" w:cs="仿宋"/>
          <w:b w:val="0"/>
          <w:bCs w:val="0"/>
          <w:sz w:val="32"/>
          <w:lang w:val="en-US" w:eastAsia="zh-CN"/>
        </w:rPr>
        <w:t>内清扫（除食堂北、南、西马路道牙上面）；</w:t>
      </w:r>
      <w:r>
        <w:rPr>
          <w:rFonts w:hint="default" w:ascii="仿宋" w:hAnsi="仿宋" w:eastAsia="仿宋" w:cs="仿宋"/>
          <w:b w:val="0"/>
          <w:bCs w:val="0"/>
          <w:sz w:val="32"/>
          <w:lang w:val="en-US" w:eastAsia="zh-CN"/>
        </w:rPr>
        <w:t>②</w:t>
      </w:r>
      <w:r>
        <w:rPr>
          <w:rFonts w:hint="eastAsia" w:ascii="仿宋" w:hAnsi="仿宋" w:eastAsia="仿宋" w:cs="仿宋"/>
          <w:b w:val="0"/>
          <w:bCs w:val="0"/>
          <w:sz w:val="32"/>
          <w:lang w:val="en-US" w:eastAsia="zh-CN"/>
        </w:rPr>
        <w:t>1#、2#教学楼：卫生间、茶水炉；1#、2#、3#教学楼：一楼连廊；</w:t>
      </w:r>
      <w:r>
        <w:rPr>
          <w:rFonts w:hint="default" w:ascii="仿宋" w:hAnsi="仿宋" w:eastAsia="仿宋" w:cs="仿宋"/>
          <w:b w:val="0"/>
          <w:bCs w:val="0"/>
          <w:sz w:val="32"/>
          <w:lang w:val="en-US" w:eastAsia="zh-CN"/>
        </w:rPr>
        <w:t>③</w:t>
      </w:r>
      <w:r>
        <w:rPr>
          <w:rFonts w:hint="eastAsia" w:ascii="仿宋" w:hAnsi="仿宋" w:eastAsia="仿宋" w:cs="仿宋"/>
          <w:b w:val="0"/>
          <w:bCs w:val="0"/>
          <w:sz w:val="32"/>
          <w:lang w:val="en-US" w:eastAsia="zh-CN"/>
        </w:rPr>
        <w:t>图文信息楼：大厅、卫生间、走廊、楼梯、电梯；3楼走廊、楼梯、卫生间；④国际部楼：走廊、步梯、卫生间；⑤实验楼：一楼走廊、连廊。⑥艺体楼：一楼走廊。⑦</w:t>
      </w:r>
      <w:r>
        <w:rPr>
          <w:rFonts w:hint="eastAsia" w:ascii="仿宋" w:hAnsi="仿宋" w:eastAsia="仿宋" w:cs="仿宋"/>
          <w:b w:val="0"/>
          <w:bCs w:val="0"/>
          <w:sz w:val="32"/>
        </w:rPr>
        <w:t>宣传</w:t>
      </w:r>
      <w:r>
        <w:rPr>
          <w:rFonts w:hint="eastAsia" w:ascii="仿宋" w:hAnsi="仿宋" w:eastAsia="仿宋" w:cs="仿宋"/>
          <w:b w:val="0"/>
          <w:bCs w:val="0"/>
          <w:sz w:val="32"/>
          <w:lang w:val="en-US" w:eastAsia="zh-CN"/>
        </w:rPr>
        <w:t>栏</w:t>
      </w:r>
      <w:r>
        <w:rPr>
          <w:rFonts w:hint="eastAsia" w:ascii="仿宋" w:hAnsi="仿宋" w:eastAsia="仿宋" w:cs="仿宋"/>
          <w:b w:val="0"/>
          <w:bCs w:val="0"/>
          <w:sz w:val="32"/>
        </w:rPr>
        <w:t>、信报箱、垃圾筒、消防设施</w:t>
      </w:r>
      <w:r>
        <w:rPr>
          <w:rFonts w:hint="eastAsia" w:ascii="仿宋" w:hAnsi="仿宋" w:eastAsia="仿宋" w:cs="仿宋"/>
          <w:b w:val="0"/>
          <w:bCs w:val="0"/>
          <w:sz w:val="32"/>
          <w:lang w:eastAsia="zh-CN"/>
        </w:rPr>
        <w:t>。</w:t>
      </w:r>
      <w:r>
        <w:rPr>
          <w:rFonts w:hint="eastAsia" w:ascii="仿宋" w:hAnsi="仿宋" w:eastAsia="仿宋" w:cs="仿宋"/>
          <w:sz w:val="32"/>
          <w:szCs w:val="32"/>
          <w:u w:val="none"/>
          <w:lang w:val="en-US" w:eastAsia="zh-CN"/>
        </w:rPr>
        <w:t>⑧教研楼。</w:t>
      </w:r>
      <w:r>
        <w:rPr>
          <w:rFonts w:hint="eastAsia" w:ascii="仿宋" w:hAnsi="仿宋" w:eastAsia="仿宋" w:cs="仿宋"/>
          <w:b w:val="0"/>
          <w:bCs w:val="0"/>
          <w:sz w:val="32"/>
          <w:lang w:val="en-US" w:eastAsia="zh-CN"/>
        </w:rPr>
        <w:t>不用的楼层每月保洁一次。</w:t>
      </w:r>
    </w:p>
    <w:p w14:paraId="20BA5E00">
      <w:pPr>
        <w:ind w:firstLine="640" w:firstLineChars="200"/>
        <w:jc w:val="left"/>
        <w:rPr>
          <w:rFonts w:hint="eastAsia" w:ascii="仿宋" w:hAnsi="仿宋" w:eastAsia="仿宋" w:cs="仿宋"/>
          <w:b w:val="0"/>
          <w:bCs w:val="0"/>
          <w:sz w:val="32"/>
          <w:lang w:val="en-US" w:eastAsia="zh-CN"/>
        </w:rPr>
      </w:pPr>
      <w:r>
        <w:rPr>
          <w:rFonts w:hint="eastAsia" w:ascii="仿宋" w:hAnsi="仿宋" w:eastAsia="仿宋" w:cs="仿宋"/>
          <w:b w:val="0"/>
          <w:bCs w:val="0"/>
          <w:sz w:val="32"/>
          <w:lang w:val="en-US" w:eastAsia="zh-CN"/>
        </w:rPr>
        <w:t>（2）中州路校区保洁范围包括：南、北教学楼连廊卫生间；办公楼6个卫生间及楼梯连廊；科技楼：1-12楼卫生间及7-12楼走廊；</w:t>
      </w:r>
      <w:r>
        <w:rPr>
          <w:rFonts w:hint="eastAsia" w:ascii="仿宋" w:hAnsi="仿宋" w:eastAsia="仿宋" w:cs="仿宋"/>
          <w:color w:val="000000"/>
          <w:kern w:val="0"/>
          <w:sz w:val="32"/>
          <w:szCs w:val="32"/>
          <w:highlight w:val="none"/>
          <w:lang w:val="en-US" w:eastAsia="zh-CN" w:bidi="ar"/>
        </w:rPr>
        <w:t>单身楼及医务楼、图书楼。</w:t>
      </w:r>
    </w:p>
    <w:p w14:paraId="144A6876">
      <w:pPr>
        <w:ind w:firstLine="640" w:firstLineChars="200"/>
        <w:jc w:val="left"/>
        <w:rPr>
          <w:rFonts w:hint="eastAsia" w:ascii="仿宋" w:hAnsi="仿宋" w:eastAsia="仿宋" w:cs="仿宋"/>
          <w:b w:val="0"/>
          <w:bCs w:val="0"/>
          <w:sz w:val="32"/>
          <w:lang w:val="en-US" w:eastAsia="zh-CN"/>
        </w:rPr>
      </w:pPr>
      <w:r>
        <w:rPr>
          <w:rFonts w:hint="eastAsia" w:ascii="仿宋" w:hAnsi="仿宋" w:eastAsia="仿宋" w:cs="仿宋"/>
          <w:b w:val="0"/>
          <w:bCs w:val="0"/>
          <w:sz w:val="32"/>
          <w:lang w:val="en-US" w:eastAsia="zh-CN"/>
        </w:rPr>
        <w:t>2、水电：中州路、七全校区水电工作任务范围：负责两个校区的正常供电、供水。需要24小时值班、巡检。（1）七全校区：南北两个校园所有范围内的水电供应，及所有建筑内外水电的日常维修。（2）中州路校区内全部公共区域教学楼、实验楼、科技楼、办公楼、学生公寓、单身楼、图书楼、食堂的所有建筑内外日常水电维修；家属区公共范围内水电维修（不包括居民自有房屋内水电）。</w:t>
      </w:r>
    </w:p>
    <w:p w14:paraId="398B3D72">
      <w:pPr>
        <w:pStyle w:val="12"/>
        <w:numPr>
          <w:ilvl w:val="0"/>
          <w:numId w:val="0"/>
        </w:numPr>
        <w:ind w:firstLine="640" w:firstLineChars="200"/>
        <w:rPr>
          <w:rFonts w:hint="eastAsia"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3、绿化：</w:t>
      </w:r>
    </w:p>
    <w:p w14:paraId="3E3C64D9">
      <w:pPr>
        <w:pStyle w:val="12"/>
        <w:numPr>
          <w:ilvl w:val="0"/>
          <w:numId w:val="0"/>
        </w:numPr>
        <w:ind w:firstLine="640" w:firstLineChars="200"/>
        <w:rPr>
          <w:rFonts w:hint="eastAsia"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（1）区域：七全校区、中州路校区（包含食堂房顶绿植）树木、花草等所有绿植。</w:t>
      </w:r>
    </w:p>
    <w:p w14:paraId="4770D092">
      <w:pPr>
        <w:pStyle w:val="12"/>
        <w:numPr>
          <w:ilvl w:val="0"/>
          <w:numId w:val="0"/>
        </w:numPr>
        <w:ind w:firstLine="640" w:firstLineChars="200"/>
        <w:rPr>
          <w:rFonts w:hint="eastAsia"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（2）任务：日常维护：浇水、除杂草及非绿化种植树木、打药、清理枯枝叶、修剪、补种、栽种绿植、清理绿化带内垃圾。保证绿植正常生长，不出现干枯死亡现象。</w:t>
      </w:r>
    </w:p>
    <w:p w14:paraId="5B91E8E0">
      <w:pPr>
        <w:numPr>
          <w:ilvl w:val="0"/>
          <w:numId w:val="0"/>
        </w:numPr>
        <w:rPr>
          <w:rFonts w:hint="eastAsia"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4、勤杂：</w:t>
      </w:r>
    </w:p>
    <w:p w14:paraId="32F320FB">
      <w:pPr>
        <w:pStyle w:val="12"/>
        <w:ind w:left="0" w:leftChars="0" w:firstLine="0" w:firstLineChars="0"/>
        <w:rPr>
          <w:rFonts w:hint="default"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（1）中州路校区：</w:t>
      </w:r>
    </w:p>
    <w:p w14:paraId="7F8EB2CD">
      <w:pPr>
        <w:numPr>
          <w:ilvl w:val="0"/>
          <w:numId w:val="0"/>
        </w:numPr>
        <w:rPr>
          <w:rFonts w:hint="eastAsia" w:ascii="仿宋" w:hAnsi="仿宋" w:eastAsia="仿宋" w:cs="仿宋"/>
          <w:b w:val="0"/>
          <w:bCs w:val="0"/>
          <w:kern w:val="2"/>
          <w:sz w:val="32"/>
          <w:lang w:val="en-US" w:eastAsia="zh-CN" w:bidi="ar-SA"/>
        </w:rPr>
      </w:pPr>
      <w:r>
        <w:rPr>
          <w:rFonts w:hint="default" w:ascii="仿宋" w:hAnsi="仿宋" w:eastAsia="仿宋" w:cs="仿宋"/>
          <w:b w:val="0"/>
          <w:bCs w:val="0"/>
          <w:kern w:val="2"/>
          <w:sz w:val="32"/>
          <w:lang w:val="en-US" w:eastAsia="zh-CN" w:bidi="ar-SA"/>
        </w:rPr>
        <w:t>①</w:t>
      </w:r>
      <w:r>
        <w:rPr>
          <w:rFonts w:hint="eastAsia" w:ascii="仿宋" w:hAnsi="仿宋" w:eastAsia="仿宋" w:cs="仿宋"/>
          <w:b w:val="0"/>
          <w:bCs w:val="0"/>
          <w:kern w:val="2"/>
          <w:sz w:val="32"/>
          <w:lang w:val="en-US" w:eastAsia="zh-CN" w:bidi="ar-SA"/>
        </w:rPr>
        <w:t xml:space="preserve">每天负责学校各项杂活零工，清理学校6栋家属楼的垃圾桶，单身楼卫生，负责校园垃圾清运和卫生保洁。    </w:t>
      </w:r>
    </w:p>
    <w:p w14:paraId="639348C8">
      <w:pPr>
        <w:numPr>
          <w:ilvl w:val="0"/>
          <w:numId w:val="0"/>
        </w:numPr>
        <w:rPr>
          <w:rFonts w:hint="default" w:ascii="仿宋" w:hAnsi="仿宋" w:eastAsia="仿宋" w:cs="仿宋"/>
          <w:b w:val="0"/>
          <w:bCs w:val="0"/>
          <w:kern w:val="2"/>
          <w:sz w:val="32"/>
          <w:lang w:val="en-US" w:eastAsia="zh-CN" w:bidi="ar-SA"/>
        </w:rPr>
      </w:pPr>
      <w:r>
        <w:rPr>
          <w:rFonts w:hint="default" w:ascii="仿宋" w:hAnsi="仿宋" w:eastAsia="仿宋" w:cs="仿宋"/>
          <w:b w:val="0"/>
          <w:bCs w:val="0"/>
          <w:kern w:val="2"/>
          <w:sz w:val="32"/>
          <w:lang w:val="en-US" w:eastAsia="zh-CN" w:bidi="ar-SA"/>
        </w:rPr>
        <w:t>②</w:t>
      </w:r>
      <w:r>
        <w:rPr>
          <w:rFonts w:hint="eastAsia" w:ascii="仿宋" w:hAnsi="仿宋" w:eastAsia="仿宋" w:cs="仿宋"/>
          <w:b w:val="0"/>
          <w:bCs w:val="0"/>
          <w:kern w:val="2"/>
          <w:sz w:val="32"/>
          <w:lang w:val="en-US" w:eastAsia="zh-CN" w:bidi="ar-SA"/>
        </w:rPr>
        <w:t xml:space="preserve">日常校园维修：门窗木工、玻璃、教室门口班级番号牌、各种门及门锁的维修：大型考试期间钟表挂、收等日杂工作，                                  </w:t>
      </w:r>
    </w:p>
    <w:p w14:paraId="259D5F47">
      <w:pPr>
        <w:pStyle w:val="12"/>
        <w:numPr>
          <w:ilvl w:val="0"/>
          <w:numId w:val="0"/>
        </w:numPr>
        <w:rPr>
          <w:rFonts w:hint="default"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 xml:space="preserve">（2）七全校区：负责各项杂活及后勤各项维修杂务。                 </w:t>
      </w:r>
    </w:p>
    <w:p w14:paraId="7BD841D6">
      <w:pPr>
        <w:widowControl/>
        <w:numPr>
          <w:ilvl w:val="0"/>
          <w:numId w:val="0"/>
        </w:numPr>
        <w:tabs>
          <w:tab w:val="left" w:pos="0"/>
        </w:tabs>
        <w:snapToGrid w:val="0"/>
        <w:spacing w:line="360" w:lineRule="auto"/>
        <w:ind w:firstLine="640" w:firstLineChars="200"/>
        <w:outlineLvl w:val="1"/>
        <w:rPr>
          <w:rFonts w:hint="eastAsia" w:ascii="仿宋" w:hAnsi="仿宋" w:eastAsia="仿宋" w:cs="仿宋"/>
          <w:b w:val="0"/>
          <w:bCs w:val="0"/>
          <w:kern w:val="2"/>
          <w:sz w:val="32"/>
          <w:lang w:val="en-US" w:eastAsia="zh-CN" w:bidi="ar-SA"/>
        </w:rPr>
      </w:pPr>
      <w:r>
        <w:rPr>
          <w:rFonts w:hint="eastAsia" w:ascii="仿宋" w:hAnsi="仿宋" w:eastAsia="仿宋" w:cs="仿宋"/>
          <w:b w:val="0"/>
          <w:bCs w:val="0"/>
          <w:kern w:val="2"/>
          <w:sz w:val="32"/>
          <w:lang w:val="en-US" w:eastAsia="zh-CN" w:bidi="ar-SA"/>
        </w:rPr>
        <w:t>在特殊时期或特殊情况下，因工作需要甲方临时安排的小型突击工作。</w:t>
      </w:r>
    </w:p>
    <w:p w14:paraId="7EE7F635">
      <w:pPr>
        <w:ind w:firstLine="320" w:firstLineChars="100"/>
        <w:jc w:val="left"/>
        <w:rPr>
          <w:rFonts w:hint="eastAsia" w:ascii="仿宋" w:hAnsi="仿宋" w:eastAsia="仿宋" w:cs="仿宋"/>
          <w:b w:val="0"/>
          <w:bCs w:val="0"/>
          <w:sz w:val="32"/>
        </w:rPr>
      </w:pPr>
      <w:r>
        <w:rPr>
          <w:rFonts w:hint="eastAsia" w:ascii="仿宋" w:hAnsi="仿宋" w:eastAsia="仿宋" w:cs="仿宋"/>
          <w:b w:val="0"/>
          <w:bCs w:val="0"/>
          <w:sz w:val="32"/>
        </w:rPr>
        <w:t>(二)保洁管理服务范围与内容</w:t>
      </w:r>
    </w:p>
    <w:p w14:paraId="5C5E6004">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1.服务区域内全部环境的卫生保洁、环境消毒工作；</w:t>
      </w:r>
    </w:p>
    <w:p w14:paraId="0CE5EC0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2.服务区域内供电、照明、电梯、消防、供排水等各类系统全部设施的管护、使用、维保和一般故障排除等工作。</w:t>
      </w:r>
    </w:p>
    <w:p w14:paraId="1DA8817F">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w:t>
      </w:r>
      <w:r>
        <w:rPr>
          <w:rFonts w:hint="eastAsia" w:ascii="仿宋" w:hAnsi="仿宋" w:eastAsia="仿宋" w:cs="仿宋"/>
          <w:b w:val="0"/>
          <w:bCs w:val="0"/>
          <w:sz w:val="32"/>
          <w:lang w:val="en-US" w:eastAsia="zh-CN"/>
        </w:rPr>
        <w:t>三</w:t>
      </w:r>
      <w:r>
        <w:rPr>
          <w:rFonts w:hint="eastAsia" w:ascii="仿宋" w:hAnsi="仿宋" w:eastAsia="仿宋" w:cs="仿宋"/>
          <w:b w:val="0"/>
          <w:bCs w:val="0"/>
          <w:sz w:val="32"/>
        </w:rPr>
        <w:t>)维护维修服务范围与内容</w:t>
      </w:r>
    </w:p>
    <w:p w14:paraId="61652625">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1.服务区域内各类保障日常办公设施的日常维护维修工作；</w:t>
      </w:r>
    </w:p>
    <w:p w14:paraId="646335EC">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2.服务区域内水、电、管、网等设施设备的管护、操作、保养、维修等工作。</w:t>
      </w:r>
    </w:p>
    <w:p w14:paraId="1E728C3B">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三、服务人员及岗位职责</w:t>
      </w:r>
    </w:p>
    <w:p w14:paraId="7344ECAA">
      <w:pPr>
        <w:ind w:firstLine="640" w:firstLineChars="200"/>
        <w:jc w:val="left"/>
        <w:rPr>
          <w:rFonts w:hint="default" w:ascii="仿宋" w:hAnsi="仿宋" w:eastAsia="仿宋" w:cs="仿宋"/>
          <w:b w:val="0"/>
          <w:bCs w:val="0"/>
          <w:sz w:val="32"/>
          <w:lang w:val="en-US" w:eastAsia="zh-CN"/>
        </w:rPr>
      </w:pPr>
      <w:r>
        <w:rPr>
          <w:rFonts w:hint="eastAsia" w:ascii="仿宋" w:hAnsi="仿宋" w:eastAsia="仿宋" w:cs="仿宋"/>
          <w:b w:val="0"/>
          <w:bCs w:val="0"/>
          <w:sz w:val="32"/>
          <w:lang w:val="en-US" w:eastAsia="zh-CN"/>
        </w:rPr>
        <w:t>1</w:t>
      </w:r>
      <w:r>
        <w:rPr>
          <w:rFonts w:hint="eastAsia" w:ascii="仿宋" w:hAnsi="仿宋" w:eastAsia="仿宋" w:cs="仿宋"/>
          <w:b w:val="0"/>
          <w:bCs w:val="0"/>
          <w:sz w:val="32"/>
        </w:rPr>
        <w:t>.保洁服务人员配备(按</w:t>
      </w:r>
      <w:r>
        <w:rPr>
          <w:rFonts w:hint="eastAsia" w:ascii="仿宋" w:hAnsi="仿宋" w:eastAsia="仿宋" w:cs="仿宋"/>
          <w:b w:val="0"/>
          <w:bCs w:val="0"/>
          <w:sz w:val="32"/>
          <w:lang w:val="en-US" w:eastAsia="zh-CN"/>
        </w:rPr>
        <w:t>不低于13人配备）</w:t>
      </w:r>
    </w:p>
    <w:p w14:paraId="56B0ED4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负责服务区域和特定区域卫生清洁、环境消毒工作，安排专人每周至少一次对办公区进行消杀。84消毒液、洁厕剂、污物袋等保洁消耗物品及所有保洁工具，由乙方负责保障，费用乙方承担。</w:t>
      </w:r>
    </w:p>
    <w:p w14:paraId="65343821">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①</w:t>
      </w:r>
      <w:r>
        <w:rPr>
          <w:rFonts w:hint="eastAsia" w:ascii="仿宋" w:hAnsi="仿宋" w:eastAsia="仿宋" w:cs="仿宋"/>
          <w:b w:val="0"/>
          <w:bCs w:val="0"/>
          <w:sz w:val="32"/>
          <w:lang w:val="en-US" w:eastAsia="zh-CN"/>
        </w:rPr>
        <w:t>本部办公楼</w:t>
      </w:r>
      <w:r>
        <w:rPr>
          <w:rFonts w:hint="eastAsia" w:ascii="仿宋" w:hAnsi="仿宋" w:eastAsia="仿宋" w:cs="仿宋"/>
          <w:b w:val="0"/>
          <w:bCs w:val="0"/>
          <w:sz w:val="32"/>
        </w:rPr>
        <w:t>楼梯清洁</w:t>
      </w:r>
    </w:p>
    <w:p w14:paraId="3BA62B94">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每天上午、下午上班前各打扫一遍。保证扶手光洁如新，楼梯上无污渍、杂物，不留死角。并在上班期间巡视，捡拾随意丢弃的杂物，随时进行局部保洁，经常保持楼道及电梯内的清洁。</w:t>
      </w:r>
    </w:p>
    <w:p w14:paraId="65365166">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②卫生间的清洁</w:t>
      </w:r>
    </w:p>
    <w:p w14:paraId="5D407ECB">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地面用干净的拖布拖擦，便池用高效清洁剂刷洗。每天刷洗两次，可视情况予以增减。夏季每天喷洒空气清新剂一次，清洁时间在早、午上班前或下午下班后进行。保证卫生间地面干净；便池清洁、无污点、无异味，办公楼上下管道畅通无阻，遇到特殊情况及时处理。</w:t>
      </w:r>
    </w:p>
    <w:p w14:paraId="15738D3A">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③公共区域的清洁</w:t>
      </w:r>
    </w:p>
    <w:p w14:paraId="1324F8B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平时经常巡捡维护，院内道路和地面每天清扫并随时保持清洁。</w:t>
      </w:r>
    </w:p>
    <w:p w14:paraId="4D1F2D41">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2.水电维修人员(按</w:t>
      </w:r>
      <w:r>
        <w:rPr>
          <w:rFonts w:hint="eastAsia" w:ascii="仿宋" w:hAnsi="仿宋" w:eastAsia="仿宋" w:cs="仿宋"/>
          <w:b w:val="0"/>
          <w:bCs w:val="0"/>
          <w:sz w:val="32"/>
          <w:lang w:val="en-US" w:eastAsia="zh-CN"/>
        </w:rPr>
        <w:t>不低于4人配备）</w:t>
      </w:r>
    </w:p>
    <w:p w14:paraId="519709B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负责</w:t>
      </w:r>
      <w:r>
        <w:rPr>
          <w:rFonts w:hint="eastAsia" w:ascii="仿宋" w:hAnsi="仿宋" w:eastAsia="仿宋" w:cs="仿宋"/>
          <w:b w:val="0"/>
          <w:bCs w:val="0"/>
          <w:sz w:val="32"/>
          <w:lang w:val="en-US" w:eastAsia="zh-CN"/>
        </w:rPr>
        <w:t>区域内</w:t>
      </w:r>
      <w:r>
        <w:rPr>
          <w:rFonts w:hint="eastAsia" w:ascii="仿宋" w:hAnsi="仿宋" w:eastAsia="仿宋" w:cs="仿宋"/>
          <w:b w:val="0"/>
          <w:bCs w:val="0"/>
          <w:sz w:val="32"/>
        </w:rPr>
        <w:t>供水、供电设备及灯、管、线的日常管理和维护</w:t>
      </w:r>
      <w:r>
        <w:rPr>
          <w:rFonts w:hint="eastAsia" w:ascii="仿宋" w:hAnsi="仿宋" w:eastAsia="仿宋" w:cs="仿宋"/>
          <w:b w:val="0"/>
          <w:bCs w:val="0"/>
          <w:sz w:val="32"/>
          <w:lang w:eastAsia="zh-CN"/>
        </w:rPr>
        <w:t>，</w:t>
      </w:r>
      <w:r>
        <w:rPr>
          <w:rFonts w:hint="eastAsia" w:ascii="仿宋" w:hAnsi="仿宋" w:eastAsia="仿宋" w:cs="仿宋"/>
          <w:b w:val="0"/>
          <w:bCs w:val="0"/>
          <w:sz w:val="32"/>
        </w:rPr>
        <w:t>水电故障要及时回应，第一时间安排人员维修。</w:t>
      </w:r>
    </w:p>
    <w:p w14:paraId="7AAE5B78">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对配电室、配水室及水电管网、上下水管道经常检查，确保上下水管道无堵塞，尤其是对下水口经常进行清理和打扫。遇有阴雨天气，对重点部位进行专人巡查看护，设备正常运行无事故。检查一次，发现问题及时处理。</w:t>
      </w:r>
    </w:p>
    <w:p w14:paraId="3030D64C">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水电设备管理人员，必须符合国家规定的有上岗资格且有三级以上(水电专业)资格证书。</w:t>
      </w:r>
    </w:p>
    <w:p w14:paraId="5862F4C2">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水电管理人员必须政治可靠，责任心强，业务熟练，上班佩戴水、电工标记；除应遵守乙方的管理规定外，应服从甲方管理，遵守甲方的管理规定。乙方人员不遵守甲方安排的，甲方有权要求乙方重新调换人员。</w:t>
      </w:r>
    </w:p>
    <w:p w14:paraId="232DB80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水电管理人员必须对各项设备按时保养维护，严格按操作规程进行操作，确保设备良好运行。配电室内经常打扫，保持清洁整齐。确保无鼠虫进入室内损坏线路。如遇大的事故，及时上报双方领导，共同分析原因，属甲方设备造成的事故，由甲方承担维修费用；因乙方工人操作失误造成的事故，乙方承担维修费用，并追究责任人的责任。</w:t>
      </w:r>
    </w:p>
    <w:p w14:paraId="7245AE0B">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维修所需材料，乙方提供维修项目清单，甲方依据清单提供材料，乙方应做好材料使用登记和维修记录，并由甲方相关人员签字确认。凡因水电管理人员维修不及时被投诉的，每次罚款50元。违规操作设备造成设备损坏的，由乙方赔偿损失，并对相关责任人予以辞退。</w:t>
      </w:r>
    </w:p>
    <w:p w14:paraId="4B728DFF">
      <w:pPr>
        <w:pStyle w:val="2"/>
        <w:tabs>
          <w:tab w:val="left" w:pos="0"/>
        </w:tabs>
        <w:rPr>
          <w:rFonts w:hint="eastAsia"/>
        </w:rPr>
      </w:pPr>
    </w:p>
    <w:p w14:paraId="2153CD2A">
      <w:pPr>
        <w:ind w:firstLine="320" w:firstLineChars="100"/>
        <w:jc w:val="left"/>
        <w:rPr>
          <w:rFonts w:hint="eastAsia" w:ascii="仿宋" w:hAnsi="仿宋" w:eastAsia="仿宋" w:cs="仿宋"/>
          <w:b w:val="0"/>
          <w:bCs w:val="0"/>
          <w:sz w:val="32"/>
        </w:rPr>
      </w:pPr>
      <w:r>
        <w:rPr>
          <w:rFonts w:hint="eastAsia" w:ascii="仿宋" w:hAnsi="仿宋" w:eastAsia="仿宋" w:cs="仿宋"/>
          <w:b w:val="0"/>
          <w:bCs w:val="0"/>
          <w:sz w:val="32"/>
          <w:lang w:val="en-US" w:eastAsia="zh-CN"/>
        </w:rPr>
        <w:t>3</w:t>
      </w:r>
      <w:r>
        <w:rPr>
          <w:rFonts w:hint="eastAsia" w:ascii="仿宋" w:hAnsi="仿宋" w:eastAsia="仿宋" w:cs="仿宋"/>
          <w:b w:val="0"/>
          <w:bCs w:val="0"/>
          <w:sz w:val="32"/>
        </w:rPr>
        <w:t>.绿化服务人员(按</w:t>
      </w:r>
      <w:r>
        <w:rPr>
          <w:rFonts w:hint="eastAsia" w:ascii="仿宋" w:hAnsi="仿宋" w:eastAsia="仿宋" w:cs="仿宋"/>
          <w:b w:val="0"/>
          <w:bCs w:val="0"/>
          <w:sz w:val="32"/>
          <w:lang w:val="en-US" w:eastAsia="zh-CN"/>
        </w:rPr>
        <w:t>不低于3人配备）</w:t>
      </w:r>
    </w:p>
    <w:p w14:paraId="32221A30">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负责院内的绿化养护，保证院内干净、整洁。保证院内绿化草木、树木正常生长，树茂叶绿，无病虫害，无杂草。</w:t>
      </w:r>
    </w:p>
    <w:p w14:paraId="6E5CB3F2">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绿化服务人员要增强责任心，确保负责范围内花草树木生长旺盛，凡出现非正常枯萎或死亡的，乙方负责更换(费用乙方承担),甲方视情况对乙方每次罚款10-50元。</w:t>
      </w:r>
    </w:p>
    <w:p w14:paraId="5F25D380">
      <w:pPr>
        <w:ind w:firstLine="320" w:firstLineChars="100"/>
        <w:jc w:val="left"/>
        <w:rPr>
          <w:rFonts w:hint="eastAsia" w:ascii="仿宋" w:hAnsi="仿宋" w:eastAsia="仿宋" w:cs="仿宋"/>
          <w:b w:val="0"/>
          <w:bCs w:val="0"/>
          <w:sz w:val="32"/>
        </w:rPr>
      </w:pPr>
      <w:r>
        <w:rPr>
          <w:rFonts w:hint="eastAsia" w:ascii="仿宋" w:hAnsi="仿宋" w:eastAsia="仿宋" w:cs="仿宋"/>
          <w:b w:val="0"/>
          <w:bCs w:val="0"/>
          <w:sz w:val="32"/>
          <w:lang w:val="en-US" w:eastAsia="zh-CN"/>
        </w:rPr>
        <w:t>4</w:t>
      </w:r>
      <w:r>
        <w:rPr>
          <w:rFonts w:hint="eastAsia" w:ascii="仿宋" w:hAnsi="仿宋" w:eastAsia="仿宋" w:cs="仿宋"/>
          <w:b w:val="0"/>
          <w:bCs w:val="0"/>
          <w:sz w:val="32"/>
        </w:rPr>
        <w:t>.</w:t>
      </w:r>
      <w:r>
        <w:rPr>
          <w:rFonts w:hint="eastAsia" w:ascii="仿宋" w:hAnsi="仿宋" w:eastAsia="仿宋" w:cs="仿宋"/>
          <w:sz w:val="32"/>
          <w:szCs w:val="32"/>
          <w:u w:val="none"/>
          <w:lang w:val="en-US" w:eastAsia="zh-CN"/>
        </w:rPr>
        <w:t>勤杂及管理</w:t>
      </w:r>
      <w:r>
        <w:rPr>
          <w:rFonts w:hint="eastAsia" w:ascii="仿宋" w:hAnsi="仿宋" w:eastAsia="仿宋" w:cs="仿宋"/>
          <w:b w:val="0"/>
          <w:bCs w:val="0"/>
          <w:sz w:val="32"/>
        </w:rPr>
        <w:t>(按</w:t>
      </w:r>
      <w:r>
        <w:rPr>
          <w:rFonts w:hint="eastAsia" w:ascii="仿宋" w:hAnsi="仿宋" w:eastAsia="仿宋" w:cs="仿宋"/>
          <w:b w:val="0"/>
          <w:bCs w:val="0"/>
          <w:sz w:val="32"/>
          <w:lang w:val="en-US" w:eastAsia="zh-CN"/>
        </w:rPr>
        <w:t>不低于5人配备）</w:t>
      </w:r>
    </w:p>
    <w:p w14:paraId="3F623D7A">
      <w:pPr>
        <w:ind w:firstLine="640" w:firstLineChars="200"/>
        <w:jc w:val="left"/>
        <w:rPr>
          <w:rFonts w:hint="eastAsia" w:ascii="仿宋" w:hAnsi="仿宋" w:eastAsia="仿宋" w:cs="仿宋"/>
          <w:b w:val="0"/>
          <w:bCs w:val="0"/>
          <w:sz w:val="32"/>
          <w:lang w:val="en-US" w:eastAsia="zh-CN"/>
        </w:rPr>
      </w:pPr>
      <w:r>
        <w:rPr>
          <w:rFonts w:hint="eastAsia" w:ascii="仿宋" w:hAnsi="仿宋" w:eastAsia="仿宋" w:cs="仿宋"/>
          <w:sz w:val="32"/>
          <w:szCs w:val="32"/>
          <w:u w:val="none"/>
          <w:lang w:val="en-US" w:eastAsia="zh-CN"/>
        </w:rPr>
        <w:t>负责各项杂活及后勤各项维修杂务。</w:t>
      </w:r>
    </w:p>
    <w:p w14:paraId="2B5B9434">
      <w:pPr>
        <w:ind w:firstLine="320" w:firstLineChars="100"/>
        <w:jc w:val="left"/>
        <w:rPr>
          <w:rFonts w:hint="eastAsia" w:ascii="仿宋" w:hAnsi="仿宋" w:eastAsia="仿宋" w:cs="仿宋"/>
          <w:b w:val="0"/>
          <w:bCs w:val="0"/>
          <w:sz w:val="32"/>
        </w:rPr>
      </w:pPr>
      <w:r>
        <w:rPr>
          <w:rFonts w:hint="eastAsia" w:ascii="仿宋" w:hAnsi="仿宋" w:eastAsia="仿宋" w:cs="仿宋"/>
          <w:b w:val="0"/>
          <w:bCs w:val="0"/>
          <w:sz w:val="32"/>
        </w:rPr>
        <w:t>三、甲方乙方的权利和义务</w:t>
      </w:r>
    </w:p>
    <w:p w14:paraId="4ED6FAB9">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1.甲方的权利和义务</w:t>
      </w:r>
    </w:p>
    <w:p w14:paraId="11EE2078">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①甲方有对乙方提出改进服务意见的权利，监督乙方工作。</w:t>
      </w:r>
    </w:p>
    <w:p w14:paraId="266FDA80">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②甲方负责协助乙方做好一切外部事物的处理与协调工作。</w:t>
      </w:r>
    </w:p>
    <w:p w14:paraId="1D882360">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③乙方在工作中需要甲方工作人员协助的，甲方应积极配合。</w:t>
      </w:r>
    </w:p>
    <w:p w14:paraId="0F05BC38">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2.乙方的权利和义务</w:t>
      </w:r>
    </w:p>
    <w:p w14:paraId="2ABF85F9">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①乙方应根据有关法律法规及本合同约定，制定具体服务管理制度。</w:t>
      </w:r>
    </w:p>
    <w:p w14:paraId="24FFD353">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②乙方应接受甲方的监督和考核，遵守甲方的规章制度，根据合同约定，服从甲方安排。</w:t>
      </w:r>
    </w:p>
    <w:p w14:paraId="6FDD9FBE">
      <w:pPr>
        <w:ind w:firstLine="640" w:firstLineChars="200"/>
        <w:jc w:val="left"/>
        <w:rPr>
          <w:rFonts w:hint="eastAsia" w:ascii="仿宋" w:hAnsi="仿宋" w:eastAsia="仿宋" w:cs="仿宋"/>
          <w:b w:val="0"/>
          <w:bCs w:val="0"/>
          <w:sz w:val="32"/>
          <w:lang w:val="en-US" w:eastAsia="zh-CN"/>
        </w:rPr>
      </w:pPr>
      <w:r>
        <w:rPr>
          <w:rFonts w:hint="eastAsia" w:ascii="仿宋" w:hAnsi="仿宋" w:eastAsia="仿宋" w:cs="仿宋"/>
          <w:b w:val="0"/>
          <w:bCs w:val="0"/>
          <w:sz w:val="32"/>
        </w:rPr>
        <w:t>③在</w:t>
      </w:r>
      <w:r>
        <w:rPr>
          <w:rFonts w:hint="eastAsia" w:ascii="仿宋" w:hAnsi="仿宋" w:eastAsia="仿宋" w:cs="仿宋"/>
          <w:b w:val="0"/>
          <w:bCs w:val="0"/>
          <w:sz w:val="32"/>
          <w:lang w:val="en-US" w:eastAsia="zh-CN"/>
        </w:rPr>
        <w:t>合同服务期限内及</w:t>
      </w:r>
      <w:r>
        <w:rPr>
          <w:rFonts w:hint="eastAsia" w:ascii="仿宋" w:hAnsi="仿宋" w:eastAsia="仿宋" w:cs="仿宋"/>
          <w:b w:val="0"/>
          <w:bCs w:val="0"/>
          <w:sz w:val="32"/>
        </w:rPr>
        <w:t>工作区域内</w:t>
      </w:r>
      <w:r>
        <w:rPr>
          <w:rFonts w:hint="eastAsia" w:ascii="仿宋" w:hAnsi="仿宋" w:eastAsia="仿宋" w:cs="仿宋"/>
          <w:b w:val="0"/>
          <w:bCs w:val="0"/>
          <w:sz w:val="32"/>
          <w:lang w:eastAsia="zh-CN"/>
        </w:rPr>
        <w:t>，</w:t>
      </w:r>
      <w:r>
        <w:rPr>
          <w:rFonts w:hint="eastAsia" w:ascii="仿宋" w:hAnsi="仿宋" w:eastAsia="仿宋" w:cs="仿宋"/>
          <w:b w:val="0"/>
          <w:bCs w:val="0"/>
          <w:sz w:val="32"/>
        </w:rPr>
        <w:t>乙方人员提供管理服务过程中，因乙方人员的故意或过失，造成甲乙双方或任何第三方的人身损害或财产损失，乙方承担一切法律责任与赔偿</w:t>
      </w:r>
      <w:r>
        <w:rPr>
          <w:rFonts w:hint="eastAsia" w:ascii="仿宋" w:hAnsi="仿宋" w:eastAsia="仿宋" w:cs="仿宋"/>
          <w:b w:val="0"/>
          <w:bCs w:val="0"/>
          <w:sz w:val="32"/>
          <w:lang w:val="en-US" w:eastAsia="zh-CN"/>
        </w:rPr>
        <w:t>责任</w:t>
      </w:r>
      <w:r>
        <w:rPr>
          <w:rFonts w:hint="eastAsia" w:ascii="仿宋" w:hAnsi="仿宋" w:eastAsia="仿宋" w:cs="仿宋"/>
          <w:b w:val="0"/>
          <w:bCs w:val="0"/>
          <w:sz w:val="32"/>
        </w:rPr>
        <w:t>。</w:t>
      </w:r>
    </w:p>
    <w:p w14:paraId="4581E911">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四、服务期限</w:t>
      </w:r>
    </w:p>
    <w:p w14:paraId="4E6A12A2">
      <w:pPr>
        <w:ind w:firstLine="640" w:firstLineChars="200"/>
        <w:jc w:val="left"/>
        <w:rPr>
          <w:rFonts w:hint="eastAsia" w:ascii="仿宋" w:hAnsi="仿宋" w:eastAsia="仿宋" w:cs="仿宋"/>
          <w:b w:val="0"/>
          <w:bCs w:val="0"/>
          <w:sz w:val="32"/>
          <w:highlight w:val="none"/>
        </w:rPr>
      </w:pPr>
      <w:r>
        <w:rPr>
          <w:rFonts w:hint="eastAsia" w:ascii="仿宋" w:hAnsi="仿宋" w:eastAsia="仿宋" w:cs="仿宋"/>
          <w:b w:val="0"/>
          <w:bCs w:val="0"/>
          <w:sz w:val="32"/>
          <w:highlight w:val="none"/>
        </w:rPr>
        <w:t>委托服务期限自       年    月     日至       年       月      日止。</w:t>
      </w:r>
      <w:r>
        <w:rPr>
          <w:rFonts w:hint="eastAsia" w:ascii="仿宋" w:hAnsi="仿宋" w:eastAsia="仿宋" w:cs="仿宋"/>
          <w:b w:val="0"/>
          <w:bCs w:val="0"/>
          <w:sz w:val="32"/>
          <w:highlight w:val="none"/>
          <w:lang w:val="en-US" w:eastAsia="zh-CN"/>
        </w:rPr>
        <w:t>每年</w:t>
      </w:r>
      <w:r>
        <w:rPr>
          <w:rFonts w:hint="eastAsia" w:ascii="仿宋" w:hAnsi="仿宋" w:eastAsia="仿宋" w:cs="仿宋"/>
          <w:b w:val="0"/>
          <w:bCs w:val="0"/>
          <w:sz w:val="32"/>
          <w:highlight w:val="none"/>
        </w:rPr>
        <w:t>合同到期</w:t>
      </w:r>
      <w:r>
        <w:rPr>
          <w:rFonts w:hint="eastAsia" w:ascii="仿宋" w:hAnsi="仿宋" w:eastAsia="仿宋" w:cs="仿宋"/>
          <w:b w:val="0"/>
          <w:bCs w:val="0"/>
          <w:sz w:val="32"/>
          <w:highlight w:val="none"/>
          <w:lang w:val="en-US" w:eastAsia="zh-CN"/>
        </w:rPr>
        <w:t>后</w:t>
      </w:r>
      <w:r>
        <w:rPr>
          <w:rFonts w:hint="eastAsia" w:ascii="仿宋" w:hAnsi="仿宋" w:eastAsia="仿宋" w:cs="仿宋"/>
          <w:b w:val="0"/>
          <w:bCs w:val="0"/>
          <w:sz w:val="32"/>
          <w:highlight w:val="none"/>
        </w:rPr>
        <w:t>，服务良好</w:t>
      </w:r>
      <w:r>
        <w:rPr>
          <w:rFonts w:hint="eastAsia" w:ascii="仿宋" w:hAnsi="仿宋" w:eastAsia="仿宋" w:cs="仿宋"/>
          <w:b w:val="0"/>
          <w:bCs w:val="0"/>
          <w:sz w:val="32"/>
          <w:highlight w:val="none"/>
          <w:lang w:eastAsia="zh-CN"/>
        </w:rPr>
        <w:t>、</w:t>
      </w:r>
      <w:r>
        <w:rPr>
          <w:rFonts w:hint="eastAsia" w:ascii="仿宋" w:hAnsi="仿宋" w:eastAsia="仿宋" w:cs="仿宋"/>
          <w:b w:val="0"/>
          <w:bCs w:val="0"/>
          <w:sz w:val="32"/>
          <w:highlight w:val="none"/>
          <w:lang w:val="en-US" w:eastAsia="zh-CN"/>
        </w:rPr>
        <w:t>考核合格</w:t>
      </w:r>
      <w:r>
        <w:rPr>
          <w:rFonts w:hint="eastAsia" w:ascii="仿宋" w:hAnsi="仿宋" w:eastAsia="仿宋" w:cs="仿宋"/>
          <w:b w:val="0"/>
          <w:bCs w:val="0"/>
          <w:sz w:val="32"/>
          <w:highlight w:val="none"/>
        </w:rPr>
        <w:t>，可续签</w:t>
      </w:r>
      <w:r>
        <w:rPr>
          <w:rFonts w:hint="eastAsia" w:ascii="仿宋" w:hAnsi="仿宋" w:eastAsia="仿宋" w:cs="仿宋"/>
          <w:b w:val="0"/>
          <w:bCs w:val="0"/>
          <w:sz w:val="32"/>
          <w:highlight w:val="none"/>
          <w:lang w:val="en-US" w:eastAsia="zh-CN"/>
        </w:rPr>
        <w:t>下一年合同，直至三年结束。如果当年考核不合格，则不再续签下一年合同，合约结束。</w:t>
      </w:r>
      <w:r>
        <w:rPr>
          <w:rFonts w:hint="eastAsia" w:ascii="仿宋" w:hAnsi="仿宋" w:eastAsia="仿宋" w:cs="仿宋"/>
          <w:b w:val="0"/>
          <w:bCs w:val="0"/>
          <w:sz w:val="32"/>
          <w:highlight w:val="none"/>
        </w:rPr>
        <w:t>未尽事宜，双方可协商增补条款或细则。</w:t>
      </w:r>
    </w:p>
    <w:p w14:paraId="68970862">
      <w:pPr>
        <w:ind w:firstLine="640" w:firstLineChars="200"/>
        <w:jc w:val="left"/>
        <w:rPr>
          <w:rFonts w:hint="eastAsia" w:ascii="仿宋" w:hAnsi="仿宋" w:eastAsia="仿宋" w:cs="仿宋"/>
          <w:b w:val="0"/>
          <w:bCs w:val="0"/>
          <w:sz w:val="32"/>
          <w:highlight w:val="none"/>
        </w:rPr>
      </w:pPr>
      <w:r>
        <w:rPr>
          <w:rFonts w:hint="eastAsia" w:ascii="仿宋" w:hAnsi="仿宋" w:eastAsia="仿宋" w:cs="仿宋"/>
          <w:b w:val="0"/>
          <w:bCs w:val="0"/>
          <w:sz w:val="32"/>
          <w:highlight w:val="none"/>
        </w:rPr>
        <w:t>五、付款方式</w:t>
      </w:r>
    </w:p>
    <w:p w14:paraId="0583D0AD">
      <w:pPr>
        <w:ind w:firstLine="640" w:firstLineChars="200"/>
        <w:jc w:val="left"/>
        <w:rPr>
          <w:rFonts w:hint="eastAsia" w:ascii="仿宋" w:hAnsi="仿宋" w:eastAsia="仿宋" w:cs="仿宋"/>
          <w:b w:val="0"/>
          <w:bCs w:val="0"/>
          <w:sz w:val="32"/>
          <w:highlight w:val="none"/>
        </w:rPr>
      </w:pPr>
      <w:r>
        <w:rPr>
          <w:rFonts w:hint="eastAsia" w:ascii="仿宋" w:hAnsi="仿宋" w:eastAsia="仿宋" w:cs="仿宋"/>
          <w:b w:val="0"/>
          <w:bCs w:val="0"/>
          <w:sz w:val="32"/>
          <w:highlight w:val="none"/>
        </w:rPr>
        <w:t>本合同以人民币付款，每</w:t>
      </w:r>
      <w:r>
        <w:rPr>
          <w:rFonts w:hint="eastAsia" w:ascii="仿宋" w:hAnsi="仿宋" w:eastAsia="仿宋" w:cs="仿宋"/>
          <w:b w:val="0"/>
          <w:bCs w:val="0"/>
          <w:sz w:val="32"/>
          <w:highlight w:val="none"/>
          <w:lang w:val="en-US" w:eastAsia="zh-CN"/>
        </w:rPr>
        <w:t>季度</w:t>
      </w:r>
      <w:r>
        <w:rPr>
          <w:rFonts w:hint="eastAsia" w:ascii="仿宋" w:hAnsi="仿宋" w:eastAsia="仿宋" w:cs="仿宋"/>
          <w:b w:val="0"/>
          <w:bCs w:val="0"/>
          <w:sz w:val="32"/>
          <w:highlight w:val="none"/>
        </w:rPr>
        <w:t>结算一次，(大写):</w:t>
      </w:r>
      <w:r>
        <w:rPr>
          <w:rFonts w:hint="eastAsia" w:ascii="仿宋" w:hAnsi="仿宋" w:eastAsia="仿宋" w:cs="仿宋"/>
          <w:b w:val="0"/>
          <w:bCs w:val="0"/>
          <w:sz w:val="32"/>
          <w:highlight w:val="none"/>
          <w:lang w:val="en-US" w:eastAsia="zh-CN"/>
        </w:rPr>
        <w:t xml:space="preserve">     </w:t>
      </w:r>
      <w:r>
        <w:rPr>
          <w:rFonts w:hint="eastAsia" w:ascii="仿宋" w:hAnsi="仿宋" w:eastAsia="仿宋" w:cs="仿宋"/>
          <w:b w:val="0"/>
          <w:bCs w:val="0"/>
          <w:sz w:val="32"/>
          <w:highlight w:val="none"/>
        </w:rPr>
        <w:t>(¥</w:t>
      </w:r>
      <w:r>
        <w:rPr>
          <w:rFonts w:hint="eastAsia" w:ascii="仿宋" w:hAnsi="仿宋" w:eastAsia="仿宋" w:cs="仿宋"/>
          <w:b w:val="0"/>
          <w:bCs w:val="0"/>
          <w:sz w:val="32"/>
          <w:highlight w:val="none"/>
          <w:lang w:val="en-US" w:eastAsia="zh-CN"/>
        </w:rPr>
        <w:t xml:space="preserve">  </w:t>
      </w:r>
      <w:r>
        <w:rPr>
          <w:rFonts w:hint="eastAsia" w:ascii="仿宋" w:hAnsi="仿宋" w:eastAsia="仿宋" w:cs="仿宋"/>
          <w:b w:val="0"/>
          <w:bCs w:val="0"/>
          <w:sz w:val="32"/>
          <w:highlight w:val="none"/>
        </w:rPr>
        <w:t>)。支付方式：甲方依据乙方开具发票对公转账。</w:t>
      </w:r>
    </w:p>
    <w:p w14:paraId="7A5EC338">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lang w:val="en-US" w:eastAsia="en-US"/>
        </w:rPr>
        <w:t>六、</w:t>
      </w:r>
      <w:r>
        <w:rPr>
          <w:rFonts w:hint="eastAsia" w:ascii="仿宋" w:hAnsi="仿宋" w:eastAsia="仿宋" w:cs="仿宋"/>
          <w:b w:val="0"/>
          <w:bCs w:val="0"/>
          <w:sz w:val="32"/>
        </w:rPr>
        <w:t>违约责任</w:t>
      </w:r>
    </w:p>
    <w:p w14:paraId="4605FD6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1.甲方违反本合同的约定，使乙方不能完成服务目标，乙方有权要求甲方在一定期限内解决，逾期未解决的乙方有权终止合同；造成乙方经济损失的，甲方应给予乙方经济赔偿。</w:t>
      </w:r>
    </w:p>
    <w:p w14:paraId="57C277E6">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2.乙方违反本合同的约定，不能完成服务目标，甲方有权要求乙方限期整改，逾期未整改或不能达到服务目标，甲方有权单方终止合同；造成甲方经济损失的，乙方应给予甲方经济赔偿。</w:t>
      </w:r>
    </w:p>
    <w:p w14:paraId="1BF73ED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3.甲乙双方任何一方无法律依据提前终止本合同的，违约方应赔偿对方百分之十的违约金，造成对方经济损失的，应给予经济赔偿。</w:t>
      </w:r>
    </w:p>
    <w:p w14:paraId="6C152967">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七、不可抗力</w:t>
      </w:r>
    </w:p>
    <w:p w14:paraId="4EC13CF6">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任何一方由于不可抗力原因不能履行合同时，应在不可抗力事件结束后2日内向对方通报，以减轻可能给对方造成的损失，在取得有关机构的不可抗力证明或双方谅解确认后，允许延期履行或修订合同，并根据情况可部分或全部免于承担违约责任</w:t>
      </w:r>
    </w:p>
    <w:p w14:paraId="2E674C83">
      <w:pPr>
        <w:ind w:firstLine="640" w:firstLineChars="200"/>
        <w:jc w:val="left"/>
        <w:rPr>
          <w:rFonts w:hint="default" w:ascii="仿宋" w:hAnsi="仿宋" w:eastAsia="仿宋" w:cs="仿宋"/>
          <w:b w:val="0"/>
          <w:bCs w:val="0"/>
          <w:sz w:val="32"/>
          <w:lang w:val="en-US" w:eastAsia="zh-CN"/>
        </w:rPr>
      </w:pPr>
      <w:r>
        <w:rPr>
          <w:rFonts w:hint="eastAsia" w:ascii="仿宋" w:hAnsi="仿宋" w:eastAsia="仿宋" w:cs="仿宋"/>
          <w:b w:val="0"/>
          <w:bCs w:val="0"/>
          <w:sz w:val="32"/>
        </w:rPr>
        <w:t>八、税费</w:t>
      </w:r>
      <w:r>
        <w:rPr>
          <w:rFonts w:hint="eastAsia" w:ascii="仿宋" w:hAnsi="仿宋" w:eastAsia="仿宋" w:cs="仿宋"/>
          <w:b w:val="0"/>
          <w:bCs w:val="0"/>
          <w:sz w:val="32"/>
          <w:lang w:eastAsia="zh-CN"/>
        </w:rPr>
        <w:t>、</w:t>
      </w:r>
      <w:r>
        <w:rPr>
          <w:rFonts w:hint="eastAsia" w:ascii="仿宋" w:hAnsi="仿宋" w:eastAsia="仿宋" w:cs="仿宋"/>
          <w:b w:val="0"/>
          <w:bCs w:val="0"/>
          <w:sz w:val="32"/>
          <w:lang w:val="en-US" w:eastAsia="zh-CN"/>
        </w:rPr>
        <w:t>保险</w:t>
      </w:r>
    </w:p>
    <w:p w14:paraId="296F790E">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本合同执行有关的一切税费</w:t>
      </w:r>
      <w:r>
        <w:rPr>
          <w:rFonts w:hint="eastAsia" w:ascii="仿宋" w:hAnsi="仿宋" w:eastAsia="仿宋" w:cs="仿宋"/>
          <w:b w:val="0"/>
          <w:bCs w:val="0"/>
          <w:sz w:val="32"/>
          <w:lang w:eastAsia="zh-CN"/>
        </w:rPr>
        <w:t>、</w:t>
      </w:r>
      <w:r>
        <w:rPr>
          <w:rFonts w:hint="eastAsia" w:ascii="仿宋" w:hAnsi="仿宋" w:eastAsia="仿宋" w:cs="仿宋"/>
          <w:b w:val="0"/>
          <w:bCs w:val="0"/>
          <w:sz w:val="32"/>
          <w:lang w:val="en-US" w:eastAsia="zh-CN"/>
        </w:rPr>
        <w:t>保险</w:t>
      </w:r>
      <w:r>
        <w:rPr>
          <w:rFonts w:hint="eastAsia" w:ascii="仿宋" w:hAnsi="仿宋" w:eastAsia="仿宋" w:cs="仿宋"/>
          <w:b w:val="0"/>
          <w:bCs w:val="0"/>
          <w:sz w:val="32"/>
        </w:rPr>
        <w:t>均由乙方负担。</w:t>
      </w:r>
    </w:p>
    <w:p w14:paraId="5F3F3BF7">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九、其他事项</w:t>
      </w:r>
    </w:p>
    <w:p w14:paraId="4E54CE0D">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1.合同执行期内，甲乙双方均不得随意变更或解除合同。合同如有未尽事宜，须经双方共同协商，做出补充规定，补充规定与本合同具有同等效力，也可按照《</w:t>
      </w:r>
      <w:r>
        <w:rPr>
          <w:rFonts w:hint="eastAsia" w:ascii="仿宋" w:hAnsi="仿宋" w:eastAsia="仿宋" w:cs="仿宋"/>
          <w:b w:val="0"/>
          <w:bCs w:val="0"/>
          <w:sz w:val="32"/>
          <w:lang w:val="en-US" w:eastAsia="zh-CN"/>
        </w:rPr>
        <w:t>中华人民共和国</w:t>
      </w:r>
      <w:r>
        <w:rPr>
          <w:rFonts w:hint="eastAsia" w:ascii="仿宋" w:hAnsi="仿宋" w:eastAsia="仿宋" w:cs="仿宋"/>
          <w:b w:val="0"/>
          <w:bCs w:val="0"/>
          <w:sz w:val="32"/>
        </w:rPr>
        <w:t>民法典》的规定执行。</w:t>
      </w:r>
    </w:p>
    <w:p w14:paraId="31A8A9FC">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2.本合同执行期间，如遇不可抗力，致使合同无法履行时，双方按有关法律规定及时协商处理。</w:t>
      </w:r>
    </w:p>
    <w:p w14:paraId="420D2779">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3.本合同如发生纠纷，当事人双方应当及时协商解决，协商不成时，任何一方均可向合同签订地有管辖权的人民法院起诉。</w:t>
      </w:r>
    </w:p>
    <w:p w14:paraId="245C3CC2">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4.甲乙双方必须严格按照磋商文件、响应文件及有关承诺签订采购合同，不得擅自变更，合同风险由双方自行承担。</w:t>
      </w:r>
    </w:p>
    <w:p w14:paraId="1ACE0F8E">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十、合同生效</w:t>
      </w:r>
    </w:p>
    <w:p w14:paraId="695DD813">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1.本合同在甲乙双方法人代表或其授权代表签字盖章后生效。</w:t>
      </w:r>
    </w:p>
    <w:p w14:paraId="64D8A696">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2.合同一式两份，甲乙双方各壹份。</w:t>
      </w:r>
    </w:p>
    <w:p w14:paraId="11856261">
      <w:pPr>
        <w:ind w:firstLine="640" w:firstLineChars="200"/>
        <w:jc w:val="left"/>
        <w:rPr>
          <w:rFonts w:hint="eastAsia" w:ascii="仿宋" w:hAnsi="仿宋" w:eastAsia="仿宋" w:cs="仿宋"/>
          <w:b w:val="0"/>
          <w:bCs w:val="0"/>
          <w:sz w:val="32"/>
        </w:rPr>
      </w:pPr>
    </w:p>
    <w:p w14:paraId="1F0E7E07">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甲   方：                         乙    方：</w:t>
      </w:r>
    </w:p>
    <w:p w14:paraId="22A08B98">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单位名称（盖章）：                单位名称（盖章）：</w:t>
      </w:r>
    </w:p>
    <w:p w14:paraId="04769FF3">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单位地址：                        单位地址：</w:t>
      </w:r>
    </w:p>
    <w:p w14:paraId="5BC94158">
      <w:pPr>
        <w:ind w:firstLine="640" w:firstLineChars="200"/>
        <w:jc w:val="left"/>
        <w:rPr>
          <w:rFonts w:hint="eastAsia" w:ascii="仿宋" w:hAnsi="仿宋" w:eastAsia="仿宋" w:cs="仿宋"/>
          <w:b w:val="0"/>
          <w:bCs w:val="0"/>
          <w:sz w:val="32"/>
          <w:lang w:val="en-US" w:eastAsia="zh-CN"/>
        </w:rPr>
      </w:pPr>
      <w:r>
        <w:rPr>
          <w:rFonts w:hint="eastAsia" w:ascii="仿宋" w:hAnsi="仿宋" w:eastAsia="仿宋" w:cs="仿宋"/>
          <w:b w:val="0"/>
          <w:bCs w:val="0"/>
          <w:sz w:val="32"/>
        </w:rPr>
        <w:t>法定代表人或</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法定代表人或</w:t>
      </w:r>
    </w:p>
    <w:p w14:paraId="19D1B182">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 xml:space="preserve">授权代表（签名）：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授权代表（签名）：</w:t>
      </w:r>
    </w:p>
    <w:p w14:paraId="56ADC0B0">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联 系 人：                        联 系 人：</w:t>
      </w:r>
    </w:p>
    <w:p w14:paraId="33BAA2DE">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电    话：                        电    话：</w:t>
      </w:r>
    </w:p>
    <w:p w14:paraId="4E07BD20">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传    真：                        传    真：</w:t>
      </w:r>
    </w:p>
    <w:p w14:paraId="3FC25A91">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邮政编码：                        邮政编码：</w:t>
      </w:r>
    </w:p>
    <w:p w14:paraId="1CAB9FFB">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 xml:space="preserve">开户银行：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开户银行：</w:t>
      </w:r>
    </w:p>
    <w:p w14:paraId="10D431D6">
      <w:pPr>
        <w:ind w:firstLine="640" w:firstLineChars="200"/>
        <w:jc w:val="left"/>
        <w:rPr>
          <w:rFonts w:hint="eastAsia" w:ascii="仿宋" w:hAnsi="仿宋" w:eastAsia="仿宋" w:cs="仿宋"/>
          <w:b w:val="0"/>
          <w:bCs w:val="0"/>
          <w:sz w:val="32"/>
        </w:rPr>
      </w:pPr>
      <w:r>
        <w:rPr>
          <w:rFonts w:hint="eastAsia" w:ascii="仿宋" w:hAnsi="仿宋" w:eastAsia="仿宋" w:cs="仿宋"/>
          <w:b w:val="0"/>
          <w:bCs w:val="0"/>
          <w:sz w:val="32"/>
        </w:rPr>
        <w:t>账    号：                        账    号：</w:t>
      </w:r>
    </w:p>
    <w:p w14:paraId="29B5241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BBB558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2A128E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69847E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8B28238"/>
    <w:p w14:paraId="17AC2FE6">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48167E15">
      <w:pPr>
        <w:pStyle w:val="9"/>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35029816">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7D0193BB">
      <w:pPr>
        <w:pStyle w:val="9"/>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E6CA8E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22A6959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017FDD9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5EF88FFC">
      <w:pPr>
        <w:pStyle w:val="9"/>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5D04E1E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2803D9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8E99A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7BB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CFFFE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4052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F98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6C7FE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32A46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3DC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EEEAB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54F33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8DD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0C0F4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D0A40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5F80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03D7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2014B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78A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EE497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BE5FD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C14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F9156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D3415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7BF6D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50EE4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64632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157F2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0A70A5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B4003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3FA1A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D6499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3695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CD7E8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80D1B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78C44AD4">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3290BD1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26262B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33A8B7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6D46D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65909A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0939D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A557D5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1B76996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C7B85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2666E6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3C00A5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1507E9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7F1D59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74F674E6">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51A947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679D4A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3F878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2CEA02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0315F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FAB5E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7CF16B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60BA5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2BAB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605C6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7FFCD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FA63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5E825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30086A5">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78047E0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75D00018">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1194B52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7E8343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6BBEC92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792AAC0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6D11A9C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19985A2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E1DF48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ABC336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E78CD2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495C2DE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1D0501A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6FE574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F74B1E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2DF718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271BEC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A8A7CE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A81950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643769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D2D12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30B8D10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01A732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431AD1EB">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D5FC7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E0F3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548FB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5C216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4B9DE3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7D2896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3FD7E7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5F93C1A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1980C8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2E5274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F486A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CC78B53">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883CC2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C4AD8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E370D32">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65790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93EC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2E5D64C">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09667F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683F2F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2D18DE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173CB06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56F4FF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0A86E2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FF8ED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44E86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DA703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0EFF9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27E0F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4B596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8DBB6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D28FA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FDB7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E67F9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09A9D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39E5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71ADF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764AC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C15B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617C9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2B26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AADA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9F6AD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709FB0B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6613C5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BC4B8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2DA203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491F3ED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73FB06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3B77AD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BF2D1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4CDA1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3B7A14C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7B3859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1CBAA705">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355562E">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0F27C53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50E4DC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2E67842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1FFAFDB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143E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1A9E825">
      <w:pPr>
        <w:pStyle w:val="9"/>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8D9ECB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F384E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877B2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8F792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22C9026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13C6A4B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3EF52B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21C09D9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3E05A6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286DDE6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1D0785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1CF25F1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68DD3DF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A8917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0E56316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79F2582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7BBCC484">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F02C34A">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66B2AAC8">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F5DEF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3E3E5588">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4587CE2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13733BB2">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6B5177B3">
      <w:pPr>
        <w:pStyle w:val="16"/>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FFDE2A3">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二、方案部分（暗标）</w:t>
      </w:r>
    </w:p>
    <w:p w14:paraId="2588AF9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1.整体服务方案</w:t>
      </w:r>
    </w:p>
    <w:p w14:paraId="5654985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2.拟投入设备</w:t>
      </w:r>
    </w:p>
    <w:p w14:paraId="103849C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3.项目管理制度</w:t>
      </w:r>
    </w:p>
    <w:p w14:paraId="7293456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4.环境卫生管理方案</w:t>
      </w:r>
    </w:p>
    <w:p w14:paraId="570FA84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5.水电维修方案</w:t>
      </w:r>
    </w:p>
    <w:p w14:paraId="1D0E964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6.绿化养护方案及措施</w:t>
      </w:r>
    </w:p>
    <w:p w14:paraId="51400FB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7.应急预案</w:t>
      </w:r>
    </w:p>
    <w:p w14:paraId="1FC2D36D">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BF2F95E">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735F587">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F430CF4">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645B033">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7A4352">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DDBDB63">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9D7B455">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FC8EE1E">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220D94F">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5D7733">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A005B3">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E2EAA46">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65DB58">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EA60100">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9F0F82E">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DB15D7C">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13DE4AB">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0871F6B">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3604A79">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E66F35E">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89490C">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0BAC425">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D348B48">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A2B402B">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D92810">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558DEC">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C88735E">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BC9618">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5F7C5AA">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90CD33A">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0BDAC08">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FA69008">
      <w:pPr>
        <w:pStyle w:val="16"/>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52C04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2C34796E">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1B52C0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17C4F9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C6C35F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1C7616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60296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2266B1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2AA3AD3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0149701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0E56314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618E8FE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4F66D4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1BF2E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244A4D4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0A1F8E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0EBE293D">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日</w:t>
      </w:r>
    </w:p>
    <w:p w14:paraId="350781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451BE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5F14D28">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3CEDAF2E">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23FD8D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C39C5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8EB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56AAA0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5C0BA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6D5369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5AAF8A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FE63B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28F0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0A20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58721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DFE27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FA33C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0696AA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52D4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62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FD20D8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5E86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5BFB9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9F662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8463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19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70AE6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974AA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6D52B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76405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D54C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C9E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8B139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92DAA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62AD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AF784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BC8F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CCB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40C7D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B64D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6258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F0FDC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DA3FE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25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EE88B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16D87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C7C62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236B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B8533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F74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3F36E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064C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6227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948F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897D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DBC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C0C36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6F1B1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11C8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DA160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1CEF7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301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C97E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92672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DE90C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741B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917E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E1F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001A7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99618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90BC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8F59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2AE2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33A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725AB3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AB8770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698C8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5CFB6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F06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1C2C2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756A14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2B1CFF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D587AA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7EE79F1">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3.项目人员配备</w:t>
      </w:r>
    </w:p>
    <w:p w14:paraId="75437A51">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w:t>
      </w:r>
      <w:r>
        <w:rPr>
          <w:rFonts w:hint="eastAsia" w:asciiTheme="minorEastAsia" w:hAnsiTheme="minorEastAsia" w:eastAsiaTheme="minorEastAsia" w:cstheme="minorEastAsia"/>
          <w:b/>
          <w:sz w:val="24"/>
          <w:szCs w:val="24"/>
          <w:lang w:eastAsia="zh-CN"/>
        </w:rPr>
        <w:t>投标人业绩</w:t>
      </w:r>
    </w:p>
    <w:p w14:paraId="48C66D9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5.服务承诺</w:t>
      </w:r>
    </w:p>
    <w:p w14:paraId="3FB36CE8">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78D8753">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7051258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807ED7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38574E0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C6CCF2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014CEB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7A9D46F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682FC60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4D016CE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A5D51E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305238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6C89B09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1462FE1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30E58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87BBDF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5BAFA28E">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B6050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C374D6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13B750C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112C3FE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12F395B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C9093D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D563C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EC81C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4DF0996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00C37E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6F4A911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1B1D3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E4CB4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F13BF46">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0D540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4209AE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8B89C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5E369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836C7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107B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31F01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55E52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DF09AA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C027B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F0995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22D04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C239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C7047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7D9394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0B279E8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C86BB29">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FF0DF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C20B">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252D">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33BBF">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33BBF">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F2A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571DC">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1571DC">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A68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B2868">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3CB2868">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658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ADF83">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4FADF83">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313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E207E">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A2E207E">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57477">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62247">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5E62247">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9FCE">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006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7761">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365B">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7A73">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FE2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00357"/>
    <w:multiLevelType w:val="singleLevel"/>
    <w:tmpl w:val="14A00357"/>
    <w:lvl w:ilvl="0" w:tentative="0">
      <w:start w:val="1"/>
      <w:numFmt w:val="chineseCounting"/>
      <w:lvlText w:val="(%1)"/>
      <w:lvlJc w:val="left"/>
      <w:pPr>
        <w:tabs>
          <w:tab w:val="left" w:pos="312"/>
        </w:tabs>
      </w:pPr>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DVhOGJiNDg2ZjdhYjQwZGI4MzFmNWUxMWY5NTYwNzY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5B6F27"/>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D12A5A"/>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52653F"/>
    <w:rsid w:val="446F3136"/>
    <w:rsid w:val="44790C24"/>
    <w:rsid w:val="453A628D"/>
    <w:rsid w:val="45CF0C25"/>
    <w:rsid w:val="45DD7715"/>
    <w:rsid w:val="46D13EAE"/>
    <w:rsid w:val="47503B46"/>
    <w:rsid w:val="476F2CBE"/>
    <w:rsid w:val="47C562E2"/>
    <w:rsid w:val="47C81344"/>
    <w:rsid w:val="480A1F47"/>
    <w:rsid w:val="483B0352"/>
    <w:rsid w:val="488A3088"/>
    <w:rsid w:val="48DF1625"/>
    <w:rsid w:val="48F078C5"/>
    <w:rsid w:val="49320965"/>
    <w:rsid w:val="49AC2E6D"/>
    <w:rsid w:val="4A3F3154"/>
    <w:rsid w:val="4A4562D3"/>
    <w:rsid w:val="4A52328E"/>
    <w:rsid w:val="4A6A5660"/>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1C80FDD"/>
    <w:rsid w:val="525210BA"/>
    <w:rsid w:val="52A90328"/>
    <w:rsid w:val="52DC3333"/>
    <w:rsid w:val="53036690"/>
    <w:rsid w:val="53376A7B"/>
    <w:rsid w:val="533D001D"/>
    <w:rsid w:val="537441A1"/>
    <w:rsid w:val="53AA13EB"/>
    <w:rsid w:val="53B1020C"/>
    <w:rsid w:val="54065481"/>
    <w:rsid w:val="557169CF"/>
    <w:rsid w:val="557D5D2A"/>
    <w:rsid w:val="55A41C2D"/>
    <w:rsid w:val="56682D63"/>
    <w:rsid w:val="56905D0D"/>
    <w:rsid w:val="56FA50E4"/>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8B5473"/>
    <w:rsid w:val="5D902A97"/>
    <w:rsid w:val="5E3606EF"/>
    <w:rsid w:val="5EDA32DC"/>
    <w:rsid w:val="5F321771"/>
    <w:rsid w:val="5F3A0F0C"/>
    <w:rsid w:val="5F412CC2"/>
    <w:rsid w:val="5FBA6598"/>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5F44EB"/>
    <w:rsid w:val="6E8E7670"/>
    <w:rsid w:val="6EEB0447"/>
    <w:rsid w:val="6F900FF5"/>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kern w:val="2"/>
      <w:sz w:val="28"/>
      <w:lang w:eastAsia="zh-CN" w:bidi="ar-SA"/>
    </w:rPr>
  </w:style>
  <w:style w:type="paragraph" w:styleId="3">
    <w:name w:val="Body Text Indent"/>
    <w:basedOn w:val="1"/>
    <w:next w:val="4"/>
    <w:qFormat/>
    <w:uiPriority w:val="99"/>
    <w:pPr>
      <w:spacing w:after="120" w:afterLines="0"/>
      <w:ind w:left="420" w:leftChars="200"/>
    </w:pPr>
    <w:rPr>
      <w:kern w:val="2"/>
      <w:sz w:val="21"/>
      <w:lang w:eastAsia="zh-CN" w:bidi="ar-SA"/>
    </w:rPr>
  </w:style>
  <w:style w:type="paragraph" w:customStyle="1" w:styleId="4">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8">
    <w:name w:val="annotation text"/>
    <w:basedOn w:val="1"/>
    <w:qFormat/>
    <w:uiPriority w:val="0"/>
    <w:pPr>
      <w:jc w:val="left"/>
    </w:pPr>
  </w:style>
  <w:style w:type="paragraph" w:styleId="9">
    <w:name w:val="Body Text"/>
    <w:basedOn w:val="1"/>
    <w:next w:val="1"/>
    <w:qFormat/>
    <w:uiPriority w:val="0"/>
    <w:rPr>
      <w:rFonts w:ascii="宋体" w:hAnsi="宋体" w:eastAsia="宋体" w:cs="宋体"/>
      <w:sz w:val="31"/>
      <w:szCs w:val="31"/>
      <w:lang w:val="en-US" w:eastAsia="en-US" w:bidi="ar-SA"/>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kern w:val="2"/>
      <w:sz w:val="21"/>
      <w:lang w:eastAsia="zh-CN" w:bidi="ar-SA"/>
    </w:rPr>
  </w:style>
  <w:style w:type="paragraph" w:styleId="12">
    <w:name w:val="Body Text Indent 2"/>
    <w:basedOn w:val="1"/>
    <w:qFormat/>
    <w:uiPriority w:val="99"/>
    <w:pPr>
      <w:ind w:firstLine="570"/>
    </w:pPr>
    <w:rPr>
      <w:sz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note text"/>
    <w:basedOn w:val="1"/>
    <w:qFormat/>
    <w:uiPriority w:val="0"/>
    <w:pPr>
      <w:snapToGrid w:val="0"/>
      <w:jc w:val="left"/>
    </w:pPr>
    <w:rPr>
      <w:sz w:val="18"/>
      <w:szCs w:val="18"/>
    </w:rPr>
  </w:style>
  <w:style w:type="paragraph" w:styleId="17">
    <w:name w:val="Body Text 2"/>
    <w:basedOn w:val="1"/>
    <w:qFormat/>
    <w:uiPriority w:val="0"/>
    <w:pPr>
      <w:spacing w:after="120" w:line="480" w:lineRule="auto"/>
    </w:pPr>
    <w:rPr>
      <w:rFonts w:ascii="Tahoma" w:hAnsi="Tahoma"/>
    </w:r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2">
    <w:name w:val="FollowedHyperlink"/>
    <w:basedOn w:val="21"/>
    <w:qFormat/>
    <w:uiPriority w:val="0"/>
    <w:rPr>
      <w:color w:val="444444"/>
      <w:sz w:val="16"/>
      <w:szCs w:val="16"/>
      <w:u w:val="none"/>
    </w:rPr>
  </w:style>
  <w:style w:type="character" w:styleId="23">
    <w:name w:val="Hyperlink"/>
    <w:basedOn w:val="21"/>
    <w:qFormat/>
    <w:uiPriority w:val="0"/>
    <w:rPr>
      <w:color w:val="0000FF"/>
      <w:u w:val="singl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Char Char10 Char Char Char Char"/>
    <w:basedOn w:val="1"/>
    <w:next w:val="29"/>
    <w:qFormat/>
    <w:uiPriority w:val="99"/>
    <w:pPr>
      <w:autoSpaceDE w:val="0"/>
      <w:autoSpaceDN w:val="0"/>
      <w:jc w:val="left"/>
    </w:pPr>
    <w:rPr>
      <w:rFonts w:ascii="宋体" w:hAnsi="宋体" w:cs="宋体"/>
      <w:lang w:val="zh-CN" w:bidi="zh-CN"/>
    </w:rPr>
  </w:style>
  <w:style w:type="paragraph" w:customStyle="1" w:styleId="29">
    <w:name w:val="xl87"/>
    <w:basedOn w:val="1"/>
    <w:next w:val="30"/>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1"/>
    <w:qFormat/>
    <w:uiPriority w:val="0"/>
  </w:style>
  <w:style w:type="paragraph" w:customStyle="1" w:styleId="33">
    <w:name w:val="列出段落1"/>
    <w:basedOn w:val="1"/>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9809</Words>
  <Characters>10459</Characters>
  <TotalTime>18</TotalTime>
  <ScaleCrop>false</ScaleCrop>
  <LinksUpToDate>false</LinksUpToDate>
  <CharactersWithSpaces>10817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2025-09-30T01:23:35Z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D90ED0F552C84C8FA3875C7D387568E5_13</vt:lpwstr>
  </property>
  <property fmtid="{D5CDD505-2E9C-101B-9397-08002B2CF9AE}" pid="6" name="KSOTemplateDocerSaveRecord">
    <vt:lpwstr>eyJoZGlkIjoiYTUyM2UwYjBmYzc3YmM3ZjI1ODg2NTk3ZGJhZGNiNGIiLCJ1c2VySWQiOiI0MTY3MTE2MDgifQ==</vt:lpwstr>
  </property>
</Properties>
</file>