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A772E">
      <w:pPr>
        <w:kinsoku/>
        <w:wordWrap w:val="0"/>
        <w:spacing w:line="360" w:lineRule="auto"/>
        <w:jc w:val="center"/>
        <w:outlineLvl w:val="0"/>
        <w:rPr>
          <w:rFonts w:hint="eastAsia" w:asciiTheme="minorEastAsia" w:hAnsiTheme="minorEastAsia" w:eastAsiaTheme="minorEastAsia" w:cstheme="minorEastAsia"/>
          <w:spacing w:val="-2"/>
          <w:sz w:val="52"/>
          <w:szCs w:val="52"/>
          <w:lang w:eastAsia="zh-CN"/>
        </w:rPr>
      </w:pPr>
    </w:p>
    <w:p w14:paraId="78DD5782">
      <w:pPr>
        <w:kinsoku/>
        <w:wordWrap w:val="0"/>
        <w:spacing w:line="360" w:lineRule="auto"/>
        <w:jc w:val="center"/>
        <w:outlineLvl w:val="0"/>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rPr>
        <w:t>南阳市</w:t>
      </w:r>
      <w:r>
        <w:rPr>
          <w:rFonts w:hint="eastAsia" w:asciiTheme="minorEastAsia" w:hAnsiTheme="minorEastAsia" w:eastAsiaTheme="minorEastAsia" w:cstheme="minorEastAsia"/>
          <w:spacing w:val="-2"/>
          <w:sz w:val="52"/>
          <w:szCs w:val="52"/>
        </w:rPr>
        <w:t>政府采购项目</w:t>
      </w:r>
    </w:p>
    <w:p w14:paraId="57FC639C">
      <w:pPr>
        <w:kinsoku/>
        <w:wordWrap w:val="0"/>
        <w:spacing w:line="360" w:lineRule="auto"/>
        <w:jc w:val="center"/>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rPr>
        <w:t>公开招标文件</w:t>
      </w:r>
    </w:p>
    <w:p w14:paraId="6C2D0342">
      <w:pPr>
        <w:kinsoku/>
        <w:wordWrap w:val="0"/>
        <w:spacing w:line="316" w:lineRule="auto"/>
        <w:jc w:val="both"/>
        <w:rPr>
          <w:rFonts w:asciiTheme="minorEastAsia" w:hAnsiTheme="minorEastAsia" w:eastAsiaTheme="minorEastAsia" w:cstheme="minorEastAsia"/>
        </w:rPr>
      </w:pPr>
    </w:p>
    <w:p w14:paraId="406EA7C5">
      <w:pPr>
        <w:kinsoku/>
        <w:wordWrap w:val="0"/>
        <w:spacing w:line="316" w:lineRule="auto"/>
        <w:jc w:val="both"/>
        <w:rPr>
          <w:rFonts w:asciiTheme="minorEastAsia" w:hAnsiTheme="minorEastAsia" w:eastAsiaTheme="minorEastAsia" w:cstheme="minorEastAsia"/>
        </w:rPr>
      </w:pPr>
    </w:p>
    <w:p w14:paraId="1B701DD4">
      <w:pPr>
        <w:kinsoku/>
        <w:wordWrap w:val="0"/>
        <w:spacing w:line="317" w:lineRule="auto"/>
        <w:jc w:val="both"/>
        <w:rPr>
          <w:rFonts w:asciiTheme="minorEastAsia" w:hAnsiTheme="minorEastAsia" w:eastAsiaTheme="minorEastAsia" w:cstheme="minorEastAsia"/>
        </w:rPr>
      </w:pPr>
    </w:p>
    <w:p w14:paraId="56A47D31">
      <w:pPr>
        <w:kinsoku/>
        <w:wordWrap w:val="0"/>
        <w:spacing w:line="360" w:lineRule="auto"/>
        <w:jc w:val="both"/>
        <w:rPr>
          <w:rFonts w:asciiTheme="minorEastAsia" w:hAnsiTheme="minorEastAsia" w:eastAsiaTheme="minorEastAsia" w:cstheme="minorEastAsia"/>
          <w:b/>
          <w:bCs/>
          <w:spacing w:val="-17"/>
          <w:sz w:val="36"/>
          <w:szCs w:val="36"/>
        </w:rPr>
      </w:pPr>
    </w:p>
    <w:p w14:paraId="3F55BDD2">
      <w:pPr>
        <w:kinsoku/>
        <w:wordWrap w:val="0"/>
        <w:spacing w:line="360" w:lineRule="auto"/>
        <w:jc w:val="both"/>
        <w:rPr>
          <w:rFonts w:asciiTheme="minorEastAsia" w:hAnsiTheme="minorEastAsia" w:eastAsiaTheme="minorEastAsia" w:cstheme="minorEastAsia"/>
          <w:b/>
          <w:bCs/>
          <w:spacing w:val="-17"/>
          <w:sz w:val="36"/>
          <w:szCs w:val="36"/>
        </w:rPr>
      </w:pPr>
    </w:p>
    <w:p w14:paraId="36AB1284">
      <w:pPr>
        <w:wordWrap w:val="0"/>
        <w:spacing w:line="249" w:lineRule="auto"/>
        <w:jc w:val="both"/>
        <w:rPr>
          <w:lang w:eastAsia="zh-CN"/>
        </w:rPr>
      </w:pPr>
    </w:p>
    <w:p w14:paraId="6EDB57E0">
      <w:pPr>
        <w:wordWrap w:val="0"/>
        <w:spacing w:line="249" w:lineRule="auto"/>
        <w:jc w:val="both"/>
        <w:rPr>
          <w:lang w:eastAsia="zh-CN"/>
        </w:rPr>
      </w:pPr>
    </w:p>
    <w:p w14:paraId="4673B6ED">
      <w:pPr>
        <w:pStyle w:val="6"/>
        <w:wordWrap w:val="0"/>
        <w:spacing w:line="360" w:lineRule="auto"/>
        <w:ind w:firstLine="287" w:firstLineChars="100"/>
        <w:jc w:val="both"/>
        <w:rPr>
          <w:rFonts w:hint="default"/>
          <w:b w:val="0"/>
          <w:bCs w:val="0"/>
          <w:spacing w:val="-15"/>
          <w:sz w:val="24"/>
          <w:szCs w:val="24"/>
          <w:u w:val="single"/>
          <w:lang w:val="en-US" w:eastAsia="zh-CN"/>
        </w:rPr>
      </w:pPr>
      <w:r>
        <w:rPr>
          <w:rFonts w:hint="eastAsia"/>
          <w:b/>
          <w:bCs/>
          <w:spacing w:val="-17"/>
          <w:sz w:val="32"/>
          <w:szCs w:val="32"/>
          <w:lang w:eastAsia="zh-CN"/>
        </w:rPr>
        <w:t>项目名称：</w:t>
      </w:r>
      <w:r>
        <w:rPr>
          <w:rFonts w:hint="eastAsia"/>
          <w:b w:val="0"/>
          <w:bCs w:val="0"/>
          <w:spacing w:val="-17"/>
          <w:sz w:val="32"/>
          <w:szCs w:val="32"/>
          <w:u w:val="single"/>
          <w:lang w:eastAsia="zh-CN"/>
        </w:rPr>
        <w:t>南阳市政务服务中心智慧化管理系统</w:t>
      </w:r>
      <w:r>
        <w:rPr>
          <w:rFonts w:hint="eastAsia"/>
          <w:b w:val="0"/>
          <w:bCs w:val="0"/>
          <w:spacing w:val="-17"/>
          <w:sz w:val="32"/>
          <w:szCs w:val="32"/>
          <w:u w:val="single"/>
          <w:lang w:val="en-US" w:eastAsia="zh-CN"/>
        </w:rPr>
        <w:t>项目</w:t>
      </w:r>
    </w:p>
    <w:p w14:paraId="377E9D85">
      <w:pPr>
        <w:wordWrap w:val="0"/>
        <w:spacing w:line="360" w:lineRule="auto"/>
        <w:ind w:firstLine="287" w:firstLineChars="100"/>
        <w:jc w:val="both"/>
        <w:rPr>
          <w:rFonts w:ascii="宋体" w:hAnsi="宋体" w:eastAsia="宋体" w:cs="宋体"/>
          <w:spacing w:val="-15"/>
          <w:sz w:val="24"/>
          <w:szCs w:val="24"/>
          <w:lang w:eastAsia="zh-CN"/>
        </w:rPr>
      </w:pPr>
      <w:r>
        <w:rPr>
          <w:rFonts w:hint="eastAsia" w:ascii="宋体" w:hAnsi="宋体" w:eastAsia="宋体" w:cs="宋体"/>
          <w:b/>
          <w:bCs/>
          <w:spacing w:val="-17"/>
          <w:sz w:val="32"/>
          <w:szCs w:val="32"/>
          <w:lang w:eastAsia="zh-CN"/>
        </w:rPr>
        <w:t>项目编号：</w:t>
      </w:r>
      <w:r>
        <w:rPr>
          <w:rFonts w:hint="eastAsia" w:ascii="宋体" w:hAnsi="宋体" w:eastAsia="宋体" w:cs="宋体"/>
          <w:spacing w:val="-17"/>
          <w:sz w:val="32"/>
          <w:szCs w:val="32"/>
          <w:u w:val="single"/>
          <w:lang w:eastAsia="zh-CN"/>
        </w:rPr>
        <w:t xml:space="preserve"> </w:t>
      </w:r>
      <w:r>
        <w:rPr>
          <w:rFonts w:hint="eastAsia" w:ascii="宋体" w:hAnsi="宋体" w:eastAsia="宋体" w:cs="宋体"/>
          <w:spacing w:val="-17"/>
          <w:sz w:val="32"/>
          <w:szCs w:val="32"/>
          <w:u w:val="single"/>
          <w:lang w:val="en-US" w:eastAsia="zh-CN"/>
        </w:rPr>
        <w:t xml:space="preserve"> </w:t>
      </w:r>
      <w:r>
        <w:rPr>
          <w:rFonts w:hint="eastAsia" w:ascii="宋体" w:hAnsi="宋体" w:eastAsia="宋体" w:cs="宋体"/>
          <w:spacing w:val="-17"/>
          <w:sz w:val="32"/>
          <w:szCs w:val="32"/>
          <w:u w:val="single"/>
          <w:lang w:eastAsia="zh-CN"/>
        </w:rPr>
        <w:t>南阳政采公开-2025-</w:t>
      </w:r>
      <w:r>
        <w:rPr>
          <w:rFonts w:hint="eastAsia" w:ascii="宋体" w:hAnsi="宋体" w:eastAsia="宋体" w:cs="宋体"/>
          <w:spacing w:val="-17"/>
          <w:sz w:val="32"/>
          <w:szCs w:val="32"/>
          <w:u w:val="single"/>
          <w:lang w:val="en-US" w:eastAsia="zh-CN"/>
        </w:rPr>
        <w:t xml:space="preserve">42   </w:t>
      </w:r>
      <w:r>
        <w:rPr>
          <w:rFonts w:hint="eastAsia" w:ascii="宋体" w:hAnsi="宋体" w:eastAsia="宋体" w:cs="宋体"/>
          <w:b/>
          <w:bCs/>
          <w:spacing w:val="-17"/>
          <w:sz w:val="32"/>
          <w:szCs w:val="32"/>
          <w:lang w:eastAsia="zh-CN"/>
        </w:rPr>
        <w:t xml:space="preserve">  </w:t>
      </w:r>
      <w:r>
        <w:rPr>
          <w:rFonts w:hint="eastAsia" w:ascii="宋体" w:hAnsi="宋体" w:eastAsia="宋体" w:cs="宋体"/>
          <w:spacing w:val="-15"/>
          <w:sz w:val="24"/>
          <w:szCs w:val="24"/>
          <w:lang w:eastAsia="zh-CN"/>
        </w:rPr>
        <w:t xml:space="preserve">               </w:t>
      </w:r>
    </w:p>
    <w:p w14:paraId="660ADD05">
      <w:pPr>
        <w:wordWrap w:val="0"/>
        <w:spacing w:line="360" w:lineRule="auto"/>
        <w:ind w:firstLine="287" w:firstLineChars="100"/>
        <w:jc w:val="both"/>
        <w:rPr>
          <w:rFonts w:ascii="宋体" w:hAnsi="宋体" w:eastAsia="宋体" w:cs="宋体"/>
          <w:b/>
          <w:bCs/>
          <w:spacing w:val="-17"/>
          <w:sz w:val="32"/>
          <w:szCs w:val="32"/>
          <w:lang w:eastAsia="zh-CN"/>
        </w:rPr>
      </w:pPr>
      <w:r>
        <w:rPr>
          <w:rFonts w:hint="eastAsia" w:ascii="宋体" w:hAnsi="宋体" w:eastAsia="宋体" w:cs="宋体"/>
          <w:b/>
          <w:bCs/>
          <w:spacing w:val="-17"/>
          <w:sz w:val="32"/>
          <w:szCs w:val="32"/>
          <w:lang w:eastAsia="zh-CN"/>
        </w:rPr>
        <w:t>采 购 人：</w:t>
      </w:r>
      <w:r>
        <w:rPr>
          <w:rFonts w:hint="eastAsia" w:ascii="宋体" w:hAnsi="宋体" w:eastAsia="宋体" w:cs="宋体"/>
          <w:b w:val="0"/>
          <w:bCs w:val="0"/>
          <w:spacing w:val="-17"/>
          <w:sz w:val="32"/>
          <w:szCs w:val="32"/>
          <w:u w:val="single"/>
          <w:lang w:val="en-US" w:eastAsia="zh-CN"/>
        </w:rPr>
        <w:t>南阳市行政审批和政务信息管理局</w:t>
      </w:r>
      <w:r>
        <w:rPr>
          <w:rFonts w:hint="eastAsia" w:ascii="宋体" w:hAnsi="宋体" w:eastAsia="宋体" w:cs="宋体"/>
          <w:spacing w:val="-15"/>
          <w:sz w:val="24"/>
          <w:szCs w:val="24"/>
          <w:lang w:eastAsia="zh-CN"/>
        </w:rPr>
        <w:t xml:space="preserve">                </w:t>
      </w:r>
    </w:p>
    <w:p w14:paraId="1BBCBA93">
      <w:pPr>
        <w:pStyle w:val="6"/>
        <w:wordWrap w:val="0"/>
        <w:spacing w:line="360" w:lineRule="auto"/>
        <w:ind w:firstLine="287" w:firstLineChars="100"/>
        <w:jc w:val="both"/>
        <w:outlineLvl w:val="1"/>
        <w:rPr>
          <w:spacing w:val="-17"/>
          <w:sz w:val="32"/>
          <w:szCs w:val="32"/>
          <w:lang w:eastAsia="zh-CN"/>
        </w:rPr>
      </w:pPr>
      <w:r>
        <w:rPr>
          <w:rFonts w:hint="eastAsia"/>
          <w:b/>
          <w:bCs/>
          <w:spacing w:val="-17"/>
          <w:sz w:val="32"/>
          <w:szCs w:val="32"/>
          <w:lang w:eastAsia="zh-CN"/>
        </w:rPr>
        <w:t>采购代理机构：</w:t>
      </w:r>
      <w:r>
        <w:rPr>
          <w:rFonts w:hint="eastAsia"/>
          <w:spacing w:val="-17"/>
          <w:sz w:val="32"/>
          <w:szCs w:val="32"/>
          <w:u w:val="single"/>
          <w:lang w:eastAsia="zh-CN"/>
        </w:rPr>
        <w:t>南阳市公共资源交易中心</w:t>
      </w:r>
    </w:p>
    <w:p w14:paraId="16DC4453">
      <w:pPr>
        <w:wordWrap w:val="0"/>
        <w:spacing w:line="360" w:lineRule="auto"/>
        <w:jc w:val="both"/>
        <w:rPr>
          <w:rFonts w:ascii="宋体" w:hAnsi="宋体" w:eastAsia="宋体" w:cs="宋体"/>
          <w:b/>
          <w:bCs/>
          <w:spacing w:val="-17"/>
          <w:sz w:val="32"/>
          <w:szCs w:val="32"/>
          <w:u w:val="single"/>
          <w:lang w:eastAsia="zh-CN"/>
        </w:rPr>
      </w:pPr>
    </w:p>
    <w:p w14:paraId="160EF897">
      <w:pPr>
        <w:wordWrap w:val="0"/>
        <w:spacing w:line="360" w:lineRule="auto"/>
        <w:jc w:val="both"/>
        <w:rPr>
          <w:rFonts w:ascii="宋体" w:hAnsi="宋体" w:eastAsia="宋体" w:cs="宋体"/>
          <w:b/>
          <w:bCs/>
          <w:spacing w:val="-17"/>
          <w:sz w:val="32"/>
          <w:szCs w:val="32"/>
          <w:u w:val="single"/>
          <w:lang w:eastAsia="zh-CN"/>
        </w:rPr>
      </w:pPr>
    </w:p>
    <w:p w14:paraId="4A2D626D">
      <w:pPr>
        <w:pStyle w:val="33"/>
        <w:ind w:firstLine="3186" w:firstLineChars="900"/>
        <w:rPr>
          <w:rFonts w:hint="eastAsia"/>
          <w:color w:val="auto"/>
          <w:spacing w:val="-3"/>
          <w:sz w:val="36"/>
          <w:szCs w:val="36"/>
          <w:highlight w:val="none"/>
          <w:lang w:val="en-US" w:eastAsia="zh-CN"/>
        </w:rPr>
      </w:pPr>
    </w:p>
    <w:p w14:paraId="5575DEBC">
      <w:pPr>
        <w:pStyle w:val="33"/>
        <w:ind w:firstLine="3186" w:firstLineChars="900"/>
        <w:rPr>
          <w:rFonts w:hint="default"/>
          <w:color w:val="auto"/>
          <w:highlight w:val="none"/>
          <w:lang w:val="en-US"/>
        </w:rPr>
        <w:sectPr>
          <w:pgSz w:w="11907" w:h="16840"/>
          <w:pgMar w:top="1440" w:right="1800" w:bottom="1440" w:left="1800" w:header="878" w:footer="0" w:gutter="0"/>
          <w:cols w:space="720" w:num="1"/>
        </w:sectPr>
      </w:pPr>
      <w:r>
        <w:rPr>
          <w:rFonts w:hint="eastAsia"/>
          <w:color w:val="auto"/>
          <w:spacing w:val="-3"/>
          <w:sz w:val="36"/>
          <w:szCs w:val="36"/>
          <w:highlight w:val="none"/>
          <w:lang w:val="en-US" w:eastAsia="zh-CN"/>
        </w:rPr>
        <w:t>2025年8月</w:t>
      </w:r>
    </w:p>
    <w:p w14:paraId="00C6F441">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113AF773">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42A880AC">
          <w:pPr>
            <w:pStyle w:val="6"/>
            <w:keepNext w:val="0"/>
            <w:keepLines w:val="0"/>
            <w:pageBreakBefore w:val="0"/>
            <w:kinsoku/>
            <w:wordWrap w:val="0"/>
            <w:overflowPunct/>
            <w:topLinePunct w:val="0"/>
            <w:bidi w:val="0"/>
            <w:jc w:val="both"/>
            <w:rPr>
              <w:rFonts w:hint="eastAsia"/>
              <w:shd w:val="clear" w:color="FFFFFF" w:fill="D9D9D9"/>
            </w:rPr>
          </w:pPr>
        </w:p>
        <w:p w14:paraId="1DF897FB">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77DD6BEE">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7814569D">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07AE2760">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179BE81A">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15BD0DEE">
          <w:pPr>
            <w:pStyle w:val="6"/>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3A8BF79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09E880E4">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47CDF2B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E38BF3F">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79E7A0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4308658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163758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ACF03E6">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2674E6E9">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E7F8E3C">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75E3B81">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8F54BD4">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A4E1E35">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E2D7313">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1F413DE">
      <w:pPr>
        <w:pStyle w:val="6"/>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3683367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042655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09CB52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59433B9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25"/>
          <w:sz w:val="24"/>
          <w:szCs w:val="24"/>
        </w:rPr>
        <w:t>1.项目编号：</w:t>
      </w:r>
      <w:r>
        <w:rPr>
          <w:rFonts w:hint="eastAsia" w:asciiTheme="minorEastAsia" w:hAnsiTheme="minorEastAsia" w:eastAsiaTheme="minorEastAsia" w:cstheme="minorEastAsia"/>
          <w:color w:val="auto"/>
          <w:spacing w:val="-25"/>
          <w:sz w:val="24"/>
          <w:szCs w:val="24"/>
          <w:lang w:val="en-US" w:eastAsia="zh-CN"/>
        </w:rPr>
        <w:t>南阳政采公开-2025-42</w:t>
      </w:r>
    </w:p>
    <w:p w14:paraId="0197C98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pacing w:val="-24"/>
          <w:sz w:val="24"/>
          <w:szCs w:val="24"/>
          <w:lang w:val="en-US"/>
        </w:rPr>
      </w:pPr>
      <w:r>
        <w:rPr>
          <w:rFonts w:hint="eastAsia" w:asciiTheme="minorEastAsia" w:hAnsiTheme="minorEastAsia" w:eastAsiaTheme="minorEastAsia" w:cstheme="minorEastAsia"/>
          <w:color w:val="auto"/>
          <w:spacing w:val="-24"/>
          <w:sz w:val="24"/>
          <w:szCs w:val="24"/>
        </w:rPr>
        <w:t>2.项目名称：</w:t>
      </w:r>
      <w:r>
        <w:rPr>
          <w:rFonts w:hint="eastAsia" w:asciiTheme="minorEastAsia" w:hAnsiTheme="minorEastAsia" w:eastAsiaTheme="minorEastAsia" w:cstheme="minorEastAsia"/>
          <w:color w:val="auto"/>
          <w:spacing w:val="-24"/>
          <w:sz w:val="24"/>
          <w:szCs w:val="24"/>
          <w:lang w:eastAsia="zh-CN"/>
        </w:rPr>
        <w:t>南阳市政务服务中心智慧化管理系统</w:t>
      </w:r>
      <w:r>
        <w:rPr>
          <w:rFonts w:hint="eastAsia" w:asciiTheme="minorEastAsia" w:hAnsiTheme="minorEastAsia" w:eastAsiaTheme="minorEastAsia" w:cstheme="minorEastAsia"/>
          <w:color w:val="auto"/>
          <w:spacing w:val="-24"/>
          <w:sz w:val="24"/>
          <w:szCs w:val="24"/>
          <w:lang w:val="en-US" w:eastAsia="zh-CN"/>
        </w:rPr>
        <w:t>项目</w:t>
      </w:r>
    </w:p>
    <w:p w14:paraId="48FC70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3.项目预算金额：</w:t>
      </w:r>
      <w:r>
        <w:rPr>
          <w:rFonts w:hint="eastAsia" w:asciiTheme="minorEastAsia" w:hAnsiTheme="minorEastAsia" w:eastAsiaTheme="minorEastAsia" w:cstheme="minorEastAsia"/>
          <w:color w:val="auto"/>
          <w:spacing w:val="-14"/>
          <w:sz w:val="24"/>
          <w:szCs w:val="24"/>
          <w:u w:val="single"/>
          <w:lang w:val="en-US" w:eastAsia="zh-CN"/>
        </w:rPr>
        <w:t xml:space="preserve"> 295  </w:t>
      </w:r>
      <w:r>
        <w:rPr>
          <w:rFonts w:hint="eastAsia" w:asciiTheme="minorEastAsia" w:hAnsiTheme="minorEastAsia" w:eastAsiaTheme="minorEastAsia" w:cstheme="minorEastAsia"/>
          <w:color w:val="auto"/>
          <w:spacing w:val="-14"/>
          <w:sz w:val="24"/>
          <w:szCs w:val="24"/>
        </w:rPr>
        <w:t>万元、项目最高限价（如有</w:t>
      </w:r>
      <w:r>
        <w:rPr>
          <w:rFonts w:hint="eastAsia" w:asciiTheme="minorEastAsia" w:hAnsiTheme="minorEastAsia" w:eastAsiaTheme="minorEastAsia" w:cstheme="minorEastAsia"/>
          <w:color w:val="auto"/>
          <w:spacing w:val="5"/>
          <w:sz w:val="24"/>
          <w:szCs w:val="24"/>
        </w:rPr>
        <w:t>）：</w:t>
      </w:r>
      <w:r>
        <w:rPr>
          <w:rFonts w:hint="eastAsia" w:asciiTheme="minorEastAsia" w:hAnsiTheme="minorEastAsia" w:eastAsiaTheme="minorEastAsia" w:cstheme="minorEastAsia"/>
          <w:color w:val="auto"/>
          <w:spacing w:val="5"/>
          <w:sz w:val="24"/>
          <w:szCs w:val="24"/>
          <w:u w:val="single"/>
          <w:lang w:val="en-US" w:eastAsia="zh-CN"/>
        </w:rPr>
        <w:t xml:space="preserve"> 295  </w:t>
      </w:r>
      <w:r>
        <w:rPr>
          <w:rFonts w:hint="eastAsia" w:asciiTheme="minorEastAsia" w:hAnsiTheme="minorEastAsia" w:eastAsiaTheme="minorEastAsia" w:cstheme="minorEastAsia"/>
          <w:color w:val="auto"/>
          <w:spacing w:val="-14"/>
          <w:sz w:val="24"/>
          <w:szCs w:val="24"/>
        </w:rPr>
        <w:t>万元</w:t>
      </w:r>
    </w:p>
    <w:p w14:paraId="550E51E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31"/>
        <w:tblW w:w="7857" w:type="dxa"/>
        <w:tblInd w:w="3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4261"/>
        <w:gridCol w:w="2321"/>
      </w:tblGrid>
      <w:tr w14:paraId="27C22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275" w:type="dxa"/>
            <w:vAlign w:val="center"/>
          </w:tcPr>
          <w:p w14:paraId="4F5E855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61" w:type="dxa"/>
            <w:vAlign w:val="center"/>
          </w:tcPr>
          <w:p w14:paraId="5754732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名称</w:t>
            </w:r>
          </w:p>
        </w:tc>
        <w:tc>
          <w:tcPr>
            <w:tcW w:w="2321" w:type="dxa"/>
            <w:vAlign w:val="center"/>
          </w:tcPr>
          <w:p w14:paraId="176C39C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1F163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275" w:type="dxa"/>
            <w:vAlign w:val="top"/>
          </w:tcPr>
          <w:p w14:paraId="2E55A852">
            <w:pPr>
              <w:pStyle w:val="32"/>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南阳政采公开-2025-</w:t>
            </w:r>
            <w:r>
              <w:rPr>
                <w:rFonts w:hint="eastAsia" w:asciiTheme="minorEastAsia" w:hAnsiTheme="minorEastAsia" w:eastAsiaTheme="minorEastAsia" w:cstheme="minorEastAsia"/>
                <w:sz w:val="24"/>
                <w:szCs w:val="24"/>
                <w:lang w:val="en-US" w:eastAsia="zh-CN"/>
              </w:rPr>
              <w:t>42</w:t>
            </w:r>
          </w:p>
        </w:tc>
        <w:tc>
          <w:tcPr>
            <w:tcW w:w="4261" w:type="dxa"/>
            <w:vAlign w:val="top"/>
          </w:tcPr>
          <w:p w14:paraId="39F26D63">
            <w:pPr>
              <w:pStyle w:val="32"/>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pacing w:val="-24"/>
                <w:sz w:val="24"/>
                <w:szCs w:val="24"/>
                <w:lang w:eastAsia="zh-CN"/>
              </w:rPr>
              <w:t>南阳市政务服务中心智慧化管理系统</w:t>
            </w:r>
            <w:r>
              <w:rPr>
                <w:rFonts w:hint="eastAsia" w:asciiTheme="minorEastAsia" w:hAnsiTheme="minorEastAsia" w:eastAsiaTheme="minorEastAsia" w:cstheme="minorEastAsia"/>
                <w:color w:val="auto"/>
                <w:spacing w:val="-24"/>
                <w:sz w:val="24"/>
                <w:szCs w:val="24"/>
                <w:lang w:val="en-US" w:eastAsia="zh-CN"/>
              </w:rPr>
              <w:t>项目</w:t>
            </w:r>
          </w:p>
        </w:tc>
        <w:tc>
          <w:tcPr>
            <w:tcW w:w="2321" w:type="dxa"/>
            <w:vAlign w:val="top"/>
          </w:tcPr>
          <w:p w14:paraId="57391A63">
            <w:pPr>
              <w:pStyle w:val="3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2950000</w:t>
            </w:r>
          </w:p>
        </w:tc>
      </w:tr>
    </w:tbl>
    <w:p w14:paraId="100806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tbl>
      <w:tblPr>
        <w:tblStyle w:val="23"/>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242"/>
        <w:gridCol w:w="754"/>
        <w:gridCol w:w="1840"/>
      </w:tblGrid>
      <w:tr w14:paraId="2CE4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083" w:type="dxa"/>
            <w:noWrap w:val="0"/>
            <w:vAlign w:val="center"/>
          </w:tcPr>
          <w:p w14:paraId="7DD38FC9">
            <w:pPr>
              <w:spacing w:line="5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4242" w:type="dxa"/>
            <w:noWrap w:val="0"/>
            <w:vAlign w:val="center"/>
          </w:tcPr>
          <w:p w14:paraId="4C2DED79">
            <w:pPr>
              <w:spacing w:line="5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标的名称</w:t>
            </w:r>
          </w:p>
        </w:tc>
        <w:tc>
          <w:tcPr>
            <w:tcW w:w="754" w:type="dxa"/>
            <w:noWrap w:val="0"/>
            <w:vAlign w:val="center"/>
          </w:tcPr>
          <w:p w14:paraId="246BE653">
            <w:pPr>
              <w:spacing w:line="5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数量</w:t>
            </w:r>
          </w:p>
        </w:tc>
        <w:tc>
          <w:tcPr>
            <w:tcW w:w="1840" w:type="dxa"/>
            <w:noWrap w:val="0"/>
            <w:vAlign w:val="center"/>
          </w:tcPr>
          <w:p w14:paraId="5D50F8C4">
            <w:pPr>
              <w:spacing w:line="5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是否进口</w:t>
            </w:r>
          </w:p>
        </w:tc>
      </w:tr>
      <w:tr w14:paraId="158B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083" w:type="dxa"/>
            <w:noWrap w:val="0"/>
            <w:vAlign w:val="center"/>
          </w:tcPr>
          <w:p w14:paraId="1A6B7DB0">
            <w:pPr>
              <w:adjustRightInd w:val="0"/>
              <w:snapToGrid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242" w:type="dxa"/>
            <w:noWrap w:val="0"/>
            <w:vAlign w:val="center"/>
          </w:tcPr>
          <w:p w14:paraId="58F69528">
            <w:pPr>
              <w:adjustRightInd w:val="0"/>
              <w:snapToGrid w:val="0"/>
              <w:spacing w:line="240" w:lineRule="auto"/>
              <w:jc w:val="center"/>
              <w:rPr>
                <w:rFonts w:hint="eastAsia" w:ascii="宋体" w:hAnsi="宋体" w:eastAsia="宋体" w:cs="宋体"/>
                <w:i/>
                <w:sz w:val="24"/>
                <w:szCs w:val="24"/>
                <w:u w:val="single"/>
                <w:lang w:val="en-US" w:eastAsia="zh-CN"/>
              </w:rPr>
            </w:pPr>
            <w:r>
              <w:rPr>
                <w:rFonts w:hint="eastAsia" w:ascii="宋体" w:hAnsi="宋体" w:eastAsia="宋体" w:cs="宋体"/>
                <w:i w:val="0"/>
                <w:iCs/>
                <w:sz w:val="24"/>
                <w:szCs w:val="24"/>
                <w:u w:val="none"/>
                <w:lang w:val="en-US" w:eastAsia="zh-CN"/>
              </w:rPr>
              <w:t>南阳市政务服务中心智慧化管理系统</w:t>
            </w:r>
            <w:r>
              <w:rPr>
                <w:rFonts w:hint="eastAsia" w:asciiTheme="minorEastAsia" w:hAnsiTheme="minorEastAsia" w:eastAsiaTheme="minorEastAsia" w:cstheme="minorEastAsia"/>
                <w:color w:val="auto"/>
                <w:spacing w:val="-24"/>
                <w:sz w:val="24"/>
                <w:szCs w:val="24"/>
                <w:lang w:val="en-US" w:eastAsia="zh-CN"/>
              </w:rPr>
              <w:t>项目</w:t>
            </w:r>
          </w:p>
        </w:tc>
        <w:tc>
          <w:tcPr>
            <w:tcW w:w="754" w:type="dxa"/>
            <w:noWrap w:val="0"/>
            <w:vAlign w:val="center"/>
          </w:tcPr>
          <w:p w14:paraId="1D92F7B1">
            <w:pPr>
              <w:adjustRightInd w:val="0"/>
              <w:snapToGrid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40" w:type="dxa"/>
            <w:noWrap w:val="0"/>
            <w:vAlign w:val="center"/>
          </w:tcPr>
          <w:p w14:paraId="68C26B2F">
            <w:pPr>
              <w:adjustRightInd w:val="0"/>
              <w:snapToGrid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bl>
    <w:p w14:paraId="7960AA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5.1 质量要求：系统稳定运行，在服务期内对系统安全、稳定负责，达到等保三级标准。</w:t>
      </w:r>
    </w:p>
    <w:p w14:paraId="0B48B38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5.2 质保期：提供为期3年的技术支持服务（7*24小时电话响应，每年不低于2次定期巡检，4小时内提供远程技术支持，重大问题24小时内现场处理）</w:t>
      </w:r>
    </w:p>
    <w:p w14:paraId="769686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5.3 交货时间：合同签订后</w:t>
      </w:r>
      <w:r>
        <w:rPr>
          <w:rFonts w:hint="eastAsia" w:asciiTheme="minorEastAsia" w:hAnsiTheme="minorEastAsia" w:eastAsiaTheme="minorEastAsia" w:cstheme="minorEastAsia"/>
          <w:spacing w:val="-5"/>
          <w:sz w:val="24"/>
          <w:szCs w:val="24"/>
          <w:highlight w:val="none"/>
          <w:lang w:val="en-US" w:eastAsia="zh-CN"/>
        </w:rPr>
        <w:t>60个</w:t>
      </w:r>
      <w:r>
        <w:rPr>
          <w:rFonts w:hint="eastAsia" w:asciiTheme="minorEastAsia" w:hAnsiTheme="minorEastAsia" w:eastAsiaTheme="minorEastAsia" w:cstheme="minorEastAsia"/>
          <w:spacing w:val="-5"/>
          <w:sz w:val="24"/>
          <w:szCs w:val="24"/>
          <w:lang w:val="en-US" w:eastAsia="zh-CN"/>
        </w:rPr>
        <w:t>工作日内。</w:t>
      </w:r>
    </w:p>
    <w:p w14:paraId="35C845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lang w:val="en-US" w:eastAsia="zh-CN"/>
        </w:rPr>
      </w:pPr>
      <w:r>
        <w:rPr>
          <w:rFonts w:hint="eastAsia" w:asciiTheme="minorEastAsia" w:hAnsiTheme="minorEastAsia" w:eastAsiaTheme="minorEastAsia" w:cstheme="minorEastAsia"/>
          <w:spacing w:val="-5"/>
          <w:sz w:val="24"/>
          <w:szCs w:val="24"/>
          <w:lang w:val="en-US" w:eastAsia="zh-CN"/>
        </w:rPr>
        <w:t>5.4 交货地点：南阳地区内采购人指定地点</w:t>
      </w:r>
    </w:p>
    <w:p w14:paraId="2C2911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color w:val="auto"/>
          <w:spacing w:val="-2"/>
          <w:sz w:val="24"/>
          <w:szCs w:val="24"/>
        </w:rPr>
        <w:t>本项目是否接受联合体投标：</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是</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否</w:t>
      </w:r>
      <w:r>
        <w:rPr>
          <w:rFonts w:hint="eastAsia" w:asciiTheme="minorEastAsia" w:hAnsiTheme="minorEastAsia" w:eastAsiaTheme="minorEastAsia" w:cstheme="minorEastAsia"/>
          <w:spacing w:val="-2"/>
          <w:sz w:val="24"/>
          <w:szCs w:val="24"/>
        </w:rPr>
        <w:t>。</w:t>
      </w:r>
    </w:p>
    <w:p w14:paraId="7CB5CCB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A73DF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0C0808B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76EBDA40">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D848640">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1BAAB7B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46EF19F0">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1371B74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D491E56">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0FDBF2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16FC571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7F753DE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1.</w:t>
      </w:r>
      <w:r>
        <w:rPr>
          <w:rFonts w:hint="eastAsia" w:asciiTheme="minorEastAsia" w:hAnsiTheme="minorEastAsia" w:eastAsiaTheme="minorEastAsia" w:cstheme="minorEastAsia"/>
          <w:color w:val="auto"/>
          <w:spacing w:val="1"/>
          <w:sz w:val="24"/>
          <w:szCs w:val="24"/>
        </w:rPr>
        <w:t>中小企业政策</w:t>
      </w:r>
    </w:p>
    <w:p w14:paraId="0402E5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本项目不专门面向中小企业预留采购份额</w:t>
      </w:r>
      <w:r>
        <w:rPr>
          <w:rFonts w:hint="eastAsia" w:asciiTheme="minorEastAsia" w:hAnsiTheme="minorEastAsia" w:eastAsiaTheme="minorEastAsia" w:cstheme="minorEastAsia"/>
          <w:color w:val="auto"/>
          <w:spacing w:val="1"/>
          <w:sz w:val="24"/>
          <w:szCs w:val="24"/>
          <w:highlight w:val="none"/>
        </w:rPr>
        <w:t>。</w:t>
      </w:r>
    </w:p>
    <w:p w14:paraId="14F94B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12"/>
          <w:position w:val="17"/>
          <w:sz w:val="24"/>
          <w:szCs w:val="24"/>
          <w:lang w:eastAsia="zh-CN"/>
        </w:rPr>
        <w:t>□</w:t>
      </w:r>
      <w:r>
        <w:rPr>
          <w:rFonts w:hint="eastAsia" w:asciiTheme="minorEastAsia" w:hAnsiTheme="minorEastAsia" w:eastAsiaTheme="minorEastAsia" w:cstheme="minorEastAsia"/>
          <w:color w:val="auto"/>
          <w:spacing w:val="12"/>
          <w:position w:val="17"/>
          <w:sz w:val="24"/>
          <w:szCs w:val="24"/>
        </w:rPr>
        <w:t>本项目专门面向中小企业采购。</w:t>
      </w:r>
      <w:r>
        <w:rPr>
          <w:rFonts w:hint="eastAsia" w:asciiTheme="minorEastAsia" w:hAnsiTheme="minorEastAsia" w:eastAsiaTheme="minorEastAsia" w:cstheme="minorEastAsia"/>
          <w:color w:val="auto"/>
          <w:spacing w:val="-2"/>
          <w:position w:val="17"/>
          <w:sz w:val="24"/>
          <w:szCs w:val="24"/>
        </w:rPr>
        <w:t>即：</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供的货物全部由符合政策要求的中小</w:t>
      </w:r>
      <w:r>
        <w:rPr>
          <w:rFonts w:hint="eastAsia" w:asciiTheme="minorEastAsia" w:hAnsiTheme="minorEastAsia" w:eastAsiaTheme="minorEastAsia" w:cstheme="minorEastAsia"/>
          <w:color w:val="auto"/>
          <w:spacing w:val="1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企业制造、服务全部由符合政策要求的中小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w:t>
      </w:r>
    </w:p>
    <w:p w14:paraId="3BC2DCB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2"/>
          <w:position w:val="17"/>
          <w:sz w:val="24"/>
          <w:szCs w:val="24"/>
          <w:lang w:eastAsia="zh-CN"/>
        </w:rPr>
        <w:t>□</w:t>
      </w:r>
      <w:r>
        <w:rPr>
          <w:rFonts w:hint="eastAsia" w:asciiTheme="minorEastAsia" w:hAnsiTheme="minorEastAsia" w:eastAsiaTheme="minorEastAsia" w:cstheme="minorEastAsia"/>
          <w:color w:val="auto"/>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企业承接。预留份额通过以下措施进行：</w:t>
      </w:r>
      <w:r>
        <w:rPr>
          <w:rFonts w:hint="eastAsia" w:asciiTheme="minorEastAsia" w:hAnsiTheme="minorEastAsia" w:eastAsiaTheme="minorEastAsia" w:cstheme="minorEastAsia"/>
          <w:color w:val="auto"/>
          <w:spacing w:val="-2"/>
          <w:position w:val="17"/>
          <w:sz w:val="24"/>
          <w:szCs w:val="24"/>
          <w:lang w:val="en-US" w:eastAsia="zh-CN"/>
        </w:rPr>
        <w:t>预留金额</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万元或预留</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%份额</w:t>
      </w:r>
      <w:r>
        <w:rPr>
          <w:rFonts w:hint="eastAsia" w:asciiTheme="minorEastAsia" w:hAnsiTheme="minorEastAsia" w:eastAsiaTheme="minorEastAsia" w:cstheme="minorEastAsia"/>
          <w:color w:val="auto"/>
          <w:spacing w:val="-2"/>
          <w:position w:val="17"/>
          <w:sz w:val="24"/>
          <w:szCs w:val="24"/>
        </w:rPr>
        <w:t>。</w:t>
      </w:r>
    </w:p>
    <w:p w14:paraId="5BA6FA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AC313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6829E7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4064AE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color w:val="auto"/>
          <w:spacing w:val="-2"/>
          <w:position w:val="17"/>
          <w:sz w:val="24"/>
          <w:szCs w:val="24"/>
          <w:lang w:eastAsia="zh-CN"/>
        </w:rPr>
        <w:t>☑</w:t>
      </w:r>
      <w:r>
        <w:rPr>
          <w:rFonts w:hint="eastAsia" w:asciiTheme="minorEastAsia" w:hAnsiTheme="minorEastAsia" w:eastAsiaTheme="minorEastAsia" w:cstheme="minorEastAsia"/>
          <w:color w:val="auto"/>
          <w:spacing w:val="-2"/>
          <w:position w:val="17"/>
          <w:sz w:val="24"/>
          <w:szCs w:val="24"/>
          <w:lang w:val="en-US" w:eastAsia="zh-CN"/>
        </w:rPr>
        <w:t>不</w:t>
      </w:r>
      <w:r>
        <w:rPr>
          <w:rFonts w:hint="eastAsia" w:asciiTheme="minorEastAsia" w:hAnsiTheme="minorEastAsia" w:eastAsiaTheme="minorEastAsia" w:cstheme="minorEastAsia"/>
          <w:color w:val="auto"/>
          <w:spacing w:val="-2"/>
          <w:position w:val="17"/>
          <w:sz w:val="24"/>
          <w:szCs w:val="24"/>
          <w:lang w:eastAsia="zh-CN"/>
        </w:rPr>
        <w:t>接受进口产品</w:t>
      </w:r>
    </w:p>
    <w:p w14:paraId="0C23D3E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2601009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60DEB2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1F1E782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pacing w:val="-13"/>
          <w:sz w:val="24"/>
          <w:szCs w:val="24"/>
        </w:rPr>
        <w:t>1.</w:t>
      </w:r>
      <w:r>
        <w:rPr>
          <w:rFonts w:hint="eastAsia" w:asciiTheme="minorEastAsia" w:hAnsiTheme="minorEastAsia" w:eastAsiaTheme="minorEastAsia" w:cstheme="minorEastAsia"/>
          <w:color w:val="auto"/>
          <w:spacing w:val="-13"/>
          <w:sz w:val="24"/>
          <w:szCs w:val="24"/>
          <w:highlight w:val="none"/>
        </w:rPr>
        <w:t>时间：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8</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8</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14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4"/>
          <w:sz w:val="24"/>
          <w:szCs w:val="24"/>
          <w:highlight w:val="none"/>
        </w:rPr>
        <w:t>每天上午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，下午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23:59 </w:t>
      </w:r>
      <w:r>
        <w:rPr>
          <w:rFonts w:hint="eastAsia" w:asciiTheme="minorEastAsia" w:hAnsiTheme="minorEastAsia" w:eastAsiaTheme="minorEastAsia" w:cstheme="minorEastAsia"/>
          <w:color w:val="auto"/>
          <w:spacing w:val="-14"/>
          <w:sz w:val="24"/>
          <w:szCs w:val="24"/>
          <w:highlight w:val="none"/>
        </w:rPr>
        <w:t>（北京时</w:t>
      </w:r>
      <w:r>
        <w:rPr>
          <w:rFonts w:hint="eastAsia" w:asciiTheme="minorEastAsia" w:hAnsiTheme="minorEastAsia" w:eastAsiaTheme="minorEastAsia" w:cstheme="minorEastAsia"/>
          <w:color w:val="auto"/>
          <w:spacing w:val="-15"/>
          <w:sz w:val="24"/>
          <w:szCs w:val="24"/>
          <w:highlight w:val="none"/>
        </w:rPr>
        <w:t>间，法定节假日除外）。</w:t>
      </w:r>
    </w:p>
    <w:p w14:paraId="7A99387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2.地点：全国公共资源交易平台(河南省·南阳市)（https://ggzyjy.nanyang.gov.cn）</w:t>
      </w:r>
    </w:p>
    <w:p w14:paraId="0116621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3.方式：使用普通电子交易系统，登录全国公共资源交易平台(河南省·南阳市)</w:t>
      </w:r>
    </w:p>
    <w:p w14:paraId="64D697B2">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https://ggzyjy.nanyang.gov.cn），注册后凭办理的企业身份认证锁（CA数字证书）登录会员系统按网上提示下载招标文件(*.nyzf格式)及资料（操作程序详见全国公共资源交易平台(河南省·南阳市)网站下载专区），电子交易系统技术支持电话：400-998-0000，CA数字证书技术支持：https://ggzyjy.nanyang.gov.cn/ptdl/011009/single.html。</w:t>
      </w:r>
    </w:p>
    <w:p w14:paraId="7DDF1FF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4.售价：0元。</w:t>
      </w:r>
    </w:p>
    <w:p w14:paraId="38CCE6F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448DAE8">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6D2FDDC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使用普通电子交易系统。投标人须上传加密电子投标文件，电子投标文件需要使用投标文件制作工具制作，制作工具及操作手册可在全国公共资源交易平台(河南省·南阳市)“下载专区”中下载。加密电子投标文件应在招标文件规定的投标截止时间前到达交易系统。逾期到达交易系统的电子投标文件视为放弃本次投标。</w:t>
      </w:r>
    </w:p>
    <w:p w14:paraId="2B5DA8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因投标人无需现场参与开标，所有准备工作需要自行到位。开标过程中如遇到紧急事项，可在不见面开标大厅中进行提出异议或文字交流，严重问题可拨打技术支持电话0377-61176137。不见面开标过程中，如因投标人准备不到位、网络问题等情况（30分钟内）无法及时解密，造成开标无法继续的，视为该投标人自动放弃投标，将被退回投标文件”。电子交易系统技术支持电话：400-998-0000。</w:t>
      </w:r>
    </w:p>
    <w:p w14:paraId="451F729F">
      <w:pPr>
        <w:pStyle w:val="30"/>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7FEF631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7B5AC89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pacing w:val="-14"/>
          <w:sz w:val="24"/>
          <w:szCs w:val="24"/>
          <w:highlight w:val="none"/>
        </w:rPr>
        <w:t>投标截止时间、开标时间：</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8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28</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分</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（北</w:t>
      </w:r>
      <w:r>
        <w:rPr>
          <w:rFonts w:hint="eastAsia" w:asciiTheme="minorEastAsia" w:hAnsiTheme="minorEastAsia" w:eastAsiaTheme="minorEastAsia" w:cstheme="minorEastAsia"/>
          <w:color w:val="auto"/>
          <w:spacing w:val="-15"/>
          <w:sz w:val="24"/>
          <w:szCs w:val="24"/>
          <w:highlight w:val="none"/>
        </w:rPr>
        <w:t>京时间）。</w:t>
      </w:r>
    </w:p>
    <w:p w14:paraId="39D04735">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开标方式：不见面开标</w:t>
      </w:r>
    </w:p>
    <w:p w14:paraId="6FD3275C">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地点：本项目使用不见面开标，投标人无需前往现场来参与投标。具体操作流程详见南阳市公共资源交易中心下载专区栏发布的南阳不见面开标-操作手册（投标人）。</w:t>
      </w:r>
    </w:p>
    <w:p w14:paraId="37BD280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4F658D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609045E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u w:val="single"/>
          <w:lang w:val="en-US" w:eastAsia="zh-CN"/>
        </w:rPr>
        <w:t xml:space="preserve">8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2025</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8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u w:val="single"/>
          <w:lang w:val="en-US" w:eastAsia="zh-CN"/>
        </w:rPr>
        <w:t xml:space="preserve">14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3"/>
          <w:sz w:val="24"/>
          <w:szCs w:val="24"/>
          <w:highlight w:val="none"/>
          <w:lang w:eastAsia="zh-CN"/>
        </w:rPr>
        <w:t>。</w:t>
      </w:r>
    </w:p>
    <w:p w14:paraId="4CFA35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165BEA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658EB2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宋体" w:hAnsi="宋体" w:cs="宋体"/>
          <w:sz w:val="24"/>
          <w:szCs w:val="24"/>
        </w:rPr>
        <w:t>本项目采用</w:t>
      </w:r>
      <w:r>
        <w:rPr>
          <w:rFonts w:hint="eastAsia" w:ascii="宋体" w:hAnsi="宋体" w:cs="宋体"/>
          <w:b/>
          <w:bCs/>
          <w:color w:val="auto"/>
          <w:sz w:val="24"/>
          <w:szCs w:val="24"/>
        </w:rPr>
        <w:t>“暗标”评审</w:t>
      </w:r>
      <w:r>
        <w:rPr>
          <w:rFonts w:hint="eastAsia" w:ascii="宋体" w:hAnsi="宋体" w:cs="宋体"/>
          <w:sz w:val="24"/>
          <w:szCs w:val="24"/>
        </w:rPr>
        <w:t>。供应商应按照</w:t>
      </w:r>
      <w:r>
        <w:rPr>
          <w:rFonts w:hint="eastAsia" w:cs="宋体"/>
          <w:sz w:val="24"/>
          <w:szCs w:val="24"/>
          <w:lang w:val="en-US" w:eastAsia="zh-CN"/>
        </w:rPr>
        <w:t>招标</w:t>
      </w:r>
      <w:r>
        <w:rPr>
          <w:rFonts w:hint="eastAsia" w:ascii="宋体" w:hAnsi="宋体" w:cs="宋体"/>
          <w:sz w:val="24"/>
          <w:szCs w:val="24"/>
        </w:rPr>
        <w:t>文件要求制作投标文件。</w:t>
      </w:r>
    </w:p>
    <w:p w14:paraId="015603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60CBBA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47B5A5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5D8E14B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名称：</w:t>
      </w:r>
      <w:r>
        <w:rPr>
          <w:rFonts w:hint="eastAsia" w:asciiTheme="minorEastAsia" w:hAnsiTheme="minorEastAsia" w:eastAsiaTheme="minorEastAsia" w:cstheme="minorEastAsia"/>
          <w:color w:val="auto"/>
          <w:spacing w:val="-15"/>
          <w:sz w:val="24"/>
          <w:szCs w:val="24"/>
          <w:highlight w:val="none"/>
          <w:lang w:val="en-US" w:eastAsia="zh-CN"/>
        </w:rPr>
        <w:t>南阳市行政审批和政务信息管理局</w:t>
      </w:r>
    </w:p>
    <w:p w14:paraId="308434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地址：</w:t>
      </w:r>
      <w:r>
        <w:rPr>
          <w:rFonts w:hint="eastAsia" w:asciiTheme="minorEastAsia" w:hAnsiTheme="minorEastAsia" w:eastAsiaTheme="minorEastAsia" w:cstheme="minorEastAsia"/>
          <w:color w:val="auto"/>
          <w:spacing w:val="-15"/>
          <w:sz w:val="24"/>
          <w:szCs w:val="24"/>
          <w:highlight w:val="none"/>
          <w:lang w:val="en-US" w:eastAsia="zh-CN"/>
        </w:rPr>
        <w:t>南阳市宛城区范蠡东路1666号市民服务中心北区1号楼</w:t>
      </w:r>
    </w:p>
    <w:p w14:paraId="342C4B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联系人：万江</w:t>
      </w:r>
    </w:p>
    <w:p w14:paraId="50D1C0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color w:val="auto"/>
          <w:spacing w:val="4"/>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联系方式：</w:t>
      </w:r>
      <w:r>
        <w:rPr>
          <w:rFonts w:hint="eastAsia" w:asciiTheme="minorEastAsia" w:hAnsiTheme="minorEastAsia" w:eastAsiaTheme="minorEastAsia" w:cstheme="minorEastAsia"/>
          <w:color w:val="auto"/>
          <w:spacing w:val="-15"/>
          <w:sz w:val="24"/>
          <w:szCs w:val="24"/>
          <w:highlight w:val="none"/>
          <w:lang w:val="en-US" w:eastAsia="zh-CN"/>
        </w:rPr>
        <w:t>63390877</w:t>
      </w:r>
    </w:p>
    <w:p w14:paraId="2715E02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076272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6A02387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宋体" w:hAnsi="宋体" w:eastAsia="宋体" w:cs="宋体"/>
          <w:sz w:val="24"/>
          <w:szCs w:val="24"/>
          <w:u w:val="none"/>
          <w:lang w:eastAsia="zh-CN"/>
        </w:rPr>
        <w:t>南阳市范蠡东路与南都路交叉口市民服务中心中区3号楼5楼</w:t>
      </w:r>
    </w:p>
    <w:p w14:paraId="5B4F28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联系人：蔡有良</w:t>
      </w:r>
    </w:p>
    <w:p w14:paraId="0CB74F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61176188</w:t>
      </w:r>
    </w:p>
    <w:p w14:paraId="35F14C4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AE167C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4"/>
          <w:sz w:val="24"/>
          <w:szCs w:val="24"/>
          <w:lang w:val="en-US" w:eastAsia="zh-CN"/>
          <w14:textOutline w14:w="1537" w14:cap="flat" w14:cmpd="sng">
            <w14:solidFill>
              <w14:srgbClr w14:val="000000"/>
            </w14:solidFill>
            <w14:prstDash w14:val="solid"/>
            <w14:miter w14:val="0"/>
          </w14:textOutline>
        </w:rPr>
        <w:t>网址：</w:t>
      </w:r>
      <w:r>
        <w:rPr>
          <w:rFonts w:hint="eastAsia" w:asciiTheme="minorEastAsia" w:hAnsiTheme="minorEastAsia" w:eastAsiaTheme="minorEastAsia" w:cstheme="minorEastAsia"/>
          <w:color w:val="auto"/>
          <w:spacing w:val="-15"/>
          <w:sz w:val="24"/>
          <w:szCs w:val="24"/>
          <w:lang w:val="en-US" w:eastAsia="zh-CN"/>
        </w:rPr>
        <w:fldChar w:fldCharType="begin"/>
      </w:r>
      <w:r>
        <w:rPr>
          <w:rFonts w:hint="eastAsia" w:asciiTheme="minorEastAsia" w:hAnsiTheme="minorEastAsia" w:eastAsiaTheme="minorEastAsia" w:cstheme="minorEastAsia"/>
          <w:color w:val="auto"/>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color w:val="auto"/>
          <w:spacing w:val="-15"/>
          <w:sz w:val="24"/>
          <w:szCs w:val="24"/>
          <w:lang w:val="en-US" w:eastAsia="zh-CN"/>
        </w:rPr>
        <w:fldChar w:fldCharType="separate"/>
      </w:r>
      <w:r>
        <w:rPr>
          <w:rStyle w:val="27"/>
          <w:rFonts w:hint="eastAsia" w:asciiTheme="minorEastAsia" w:hAnsiTheme="minorEastAsia" w:eastAsiaTheme="minorEastAsia" w:cstheme="minorEastAsia"/>
          <w:color w:val="auto"/>
          <w:spacing w:val="-15"/>
          <w:sz w:val="24"/>
          <w:szCs w:val="24"/>
          <w:lang w:val="en-US" w:eastAsia="zh-CN"/>
        </w:rPr>
        <w:t>https://ggzyjy.nanyang.gov.cn</w:t>
      </w:r>
      <w:r>
        <w:rPr>
          <w:rFonts w:hint="eastAsia" w:asciiTheme="minorEastAsia" w:hAnsiTheme="minorEastAsia" w:eastAsiaTheme="minorEastAsia" w:cstheme="minorEastAsia"/>
          <w:color w:val="auto"/>
          <w:spacing w:val="-15"/>
          <w:sz w:val="24"/>
          <w:szCs w:val="24"/>
          <w:lang w:val="en-US" w:eastAsia="zh-CN"/>
        </w:rPr>
        <w:fldChar w:fldCharType="end"/>
      </w:r>
      <w:r>
        <w:rPr>
          <w:rFonts w:hint="eastAsia" w:asciiTheme="minorEastAsia" w:hAnsiTheme="minorEastAsia" w:eastAsiaTheme="minorEastAsia" w:cstheme="minorEastAsia"/>
          <w:color w:val="auto"/>
          <w:spacing w:val="-15"/>
          <w:sz w:val="24"/>
          <w:szCs w:val="24"/>
          <w:lang w:val="en-US" w:eastAsia="zh-CN"/>
        </w:rPr>
        <w:t xml:space="preserve"> </w:t>
      </w:r>
      <w:r>
        <w:rPr>
          <w:rFonts w:hint="eastAsia" w:asciiTheme="minorEastAsia" w:hAnsiTheme="minorEastAsia" w:eastAsiaTheme="minorEastAsia" w:cstheme="minorEastAsia"/>
          <w:spacing w:val="-15"/>
          <w:sz w:val="24"/>
          <w:szCs w:val="24"/>
          <w:lang w:val="en-US" w:eastAsia="zh-CN"/>
        </w:rPr>
        <w:t xml:space="preserve">  E-mail:nyszfcgzx@126.com</w:t>
      </w:r>
    </w:p>
    <w:p w14:paraId="230713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p>
    <w:p w14:paraId="13DB2807">
      <w:pPr>
        <w:pStyle w:val="6"/>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1D9137D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spacing w:val="-15"/>
          <w:sz w:val="24"/>
          <w:szCs w:val="24"/>
          <w:lang w:val="en-US" w:eastAsia="zh-CN"/>
        </w:rPr>
      </w:pPr>
    </w:p>
    <w:p w14:paraId="121A4C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b w:val="0"/>
          <w:bCs w:val="0"/>
          <w:color w:val="auto"/>
          <w:spacing w:val="-15"/>
          <w:sz w:val="24"/>
          <w:szCs w:val="24"/>
          <w:lang w:val="en-US" w:eastAsia="zh-CN"/>
        </w:rPr>
      </w:pPr>
    </w:p>
    <w:p w14:paraId="455E955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b w:val="0"/>
          <w:bCs w:val="0"/>
          <w:color w:val="auto"/>
          <w:spacing w:val="-15"/>
          <w:sz w:val="24"/>
          <w:szCs w:val="24"/>
          <w:lang w:val="en-US" w:eastAsia="zh-CN"/>
        </w:rPr>
      </w:pPr>
      <w:r>
        <w:rPr>
          <w:rFonts w:hint="eastAsia" w:asciiTheme="minorEastAsia" w:hAnsiTheme="minorEastAsia" w:eastAsiaTheme="minorEastAsia" w:cstheme="minorEastAsia"/>
          <w:b w:val="0"/>
          <w:bCs w:val="0"/>
          <w:color w:val="auto"/>
          <w:spacing w:val="-15"/>
          <w:sz w:val="24"/>
          <w:szCs w:val="24"/>
          <w:lang w:val="en-US" w:eastAsia="zh-CN"/>
        </w:rPr>
        <w:t>南阳市公共资源交易中心</w:t>
      </w:r>
    </w:p>
    <w:p w14:paraId="12AAC9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136" w:firstLineChars="2400"/>
        <w:jc w:val="both"/>
        <w:textAlignment w:val="baseline"/>
        <w:outlineLvl w:val="1"/>
        <w:rPr>
          <w:rFonts w:hint="default" w:asciiTheme="minorEastAsia" w:hAnsiTheme="minorEastAsia" w:eastAsiaTheme="minorEastAsia" w:cstheme="minorEastAsia"/>
          <w:b w:val="0"/>
          <w:bCs w:val="0"/>
          <w:color w:val="auto"/>
          <w:spacing w:val="-15"/>
          <w:sz w:val="24"/>
          <w:szCs w:val="24"/>
          <w:highlight w:val="yellow"/>
          <w:lang w:val="en-US" w:eastAsia="zh-CN"/>
        </w:rPr>
      </w:pP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b w:val="0"/>
          <w:bCs w:val="0"/>
          <w:color w:val="auto"/>
          <w:spacing w:val="-13"/>
          <w:sz w:val="24"/>
          <w:szCs w:val="24"/>
          <w:highlight w:val="none"/>
        </w:rPr>
        <w:t>年</w:t>
      </w: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 8 </w:t>
      </w:r>
      <w:r>
        <w:rPr>
          <w:rFonts w:hint="eastAsia" w:asciiTheme="minorEastAsia" w:hAnsiTheme="minorEastAsia" w:eastAsiaTheme="minorEastAsia" w:cstheme="minorEastAsia"/>
          <w:b w:val="0"/>
          <w:bCs w:val="0"/>
          <w:color w:val="auto"/>
          <w:spacing w:val="-13"/>
          <w:sz w:val="24"/>
          <w:szCs w:val="24"/>
          <w:highlight w:val="none"/>
        </w:rPr>
        <w:t>月</w:t>
      </w: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 7 </w:t>
      </w:r>
      <w:r>
        <w:rPr>
          <w:rFonts w:hint="eastAsia" w:asciiTheme="minorEastAsia" w:hAnsiTheme="minorEastAsia" w:eastAsiaTheme="minorEastAsia" w:cstheme="minorEastAsia"/>
          <w:b w:val="0"/>
          <w:bCs w:val="0"/>
          <w:color w:val="auto"/>
          <w:spacing w:val="-13"/>
          <w:sz w:val="24"/>
          <w:szCs w:val="24"/>
          <w:highlight w:val="none"/>
        </w:rPr>
        <w:t>日</w:t>
      </w:r>
    </w:p>
    <w:p w14:paraId="3DB3A0A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708448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28A2838">
      <w:pPr>
        <w:pStyle w:val="6"/>
        <w:keepNext w:val="0"/>
        <w:keepLines w:val="0"/>
        <w:pageBreakBefore w:val="0"/>
        <w:widowControl/>
        <w:numPr>
          <w:ilvl w:val="0"/>
          <w:numId w:val="2"/>
        </w:numPr>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37033AD0">
      <w:pPr>
        <w:rPr>
          <w:rFonts w:hint="eastAsia"/>
          <w:sz w:val="36"/>
          <w:szCs w:val="36"/>
        </w:rPr>
      </w:pPr>
    </w:p>
    <w:p w14:paraId="5B1BFA48">
      <w:pPr>
        <w:numPr>
          <w:ilvl w:val="0"/>
          <w:numId w:val="0"/>
        </w:numPr>
        <w:rPr>
          <w:rFonts w:hint="eastAsia"/>
        </w:rPr>
      </w:pPr>
    </w:p>
    <w:p w14:paraId="0805C052">
      <w:pPr>
        <w:pStyle w:val="6"/>
        <w:keepNext w:val="0"/>
        <w:keepLines w:val="0"/>
        <w:pageBreakBefore w:val="0"/>
        <w:widowControl/>
        <w:numPr>
          <w:ilvl w:val="0"/>
          <w:numId w:val="3"/>
        </w:numPr>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16B8557C">
      <w:pPr>
        <w:numPr>
          <w:ilvl w:val="0"/>
          <w:numId w:val="4"/>
        </w:numP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采购货物需求及数量</w:t>
      </w:r>
    </w:p>
    <w:tbl>
      <w:tblPr>
        <w:tblStyle w:val="23"/>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4000"/>
        <w:gridCol w:w="898"/>
        <w:gridCol w:w="1804"/>
      </w:tblGrid>
      <w:tr w14:paraId="601E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062" w:type="dxa"/>
            <w:noWrap w:val="0"/>
            <w:vAlign w:val="center"/>
          </w:tcPr>
          <w:p w14:paraId="478FAF63">
            <w:pPr>
              <w:spacing w:line="560" w:lineRule="exact"/>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4000" w:type="dxa"/>
            <w:noWrap w:val="0"/>
            <w:vAlign w:val="center"/>
          </w:tcPr>
          <w:p w14:paraId="7EA485C9">
            <w:pPr>
              <w:spacing w:line="560" w:lineRule="exact"/>
              <w:jc w:val="center"/>
              <w:rPr>
                <w:rFonts w:hint="eastAsia" w:ascii="宋体" w:hAnsi="宋体" w:eastAsia="宋体" w:cs="宋体"/>
                <w:b/>
                <w:sz w:val="28"/>
                <w:szCs w:val="28"/>
              </w:rPr>
            </w:pPr>
            <w:r>
              <w:rPr>
                <w:rFonts w:hint="eastAsia" w:ascii="宋体" w:hAnsi="宋体" w:eastAsia="宋体" w:cs="宋体"/>
                <w:b/>
                <w:sz w:val="28"/>
                <w:szCs w:val="28"/>
              </w:rPr>
              <w:t>标的名称</w:t>
            </w:r>
          </w:p>
        </w:tc>
        <w:tc>
          <w:tcPr>
            <w:tcW w:w="898" w:type="dxa"/>
            <w:noWrap w:val="0"/>
            <w:vAlign w:val="center"/>
          </w:tcPr>
          <w:p w14:paraId="4A5E29E1">
            <w:pPr>
              <w:spacing w:line="560" w:lineRule="exact"/>
              <w:jc w:val="center"/>
              <w:rPr>
                <w:rFonts w:hint="eastAsia" w:ascii="宋体" w:hAnsi="宋体" w:eastAsia="宋体" w:cs="宋体"/>
                <w:b/>
                <w:sz w:val="28"/>
                <w:szCs w:val="28"/>
              </w:rPr>
            </w:pPr>
            <w:r>
              <w:rPr>
                <w:rFonts w:hint="eastAsia" w:ascii="宋体" w:hAnsi="宋体" w:eastAsia="宋体" w:cs="宋体"/>
                <w:b/>
                <w:sz w:val="28"/>
                <w:szCs w:val="28"/>
              </w:rPr>
              <w:t>数量</w:t>
            </w:r>
          </w:p>
        </w:tc>
        <w:tc>
          <w:tcPr>
            <w:tcW w:w="1804" w:type="dxa"/>
            <w:noWrap w:val="0"/>
            <w:vAlign w:val="center"/>
          </w:tcPr>
          <w:p w14:paraId="6BA5C647">
            <w:pPr>
              <w:spacing w:line="560" w:lineRule="exact"/>
              <w:jc w:val="center"/>
              <w:rPr>
                <w:rFonts w:hint="eastAsia" w:ascii="宋体" w:hAnsi="宋体" w:eastAsia="宋体" w:cs="宋体"/>
                <w:b/>
                <w:sz w:val="28"/>
                <w:szCs w:val="28"/>
              </w:rPr>
            </w:pPr>
            <w:r>
              <w:rPr>
                <w:rFonts w:hint="eastAsia" w:ascii="宋体" w:hAnsi="宋体" w:eastAsia="宋体" w:cs="宋体"/>
                <w:b/>
                <w:sz w:val="28"/>
                <w:szCs w:val="28"/>
              </w:rPr>
              <w:t>是否进口</w:t>
            </w:r>
          </w:p>
        </w:tc>
      </w:tr>
      <w:tr w14:paraId="26FA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62" w:type="dxa"/>
            <w:noWrap w:val="0"/>
            <w:vAlign w:val="center"/>
          </w:tcPr>
          <w:p w14:paraId="12B79A64">
            <w:pPr>
              <w:adjustRightInd w:val="0"/>
              <w:snapToGrid w:val="0"/>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00" w:type="dxa"/>
            <w:noWrap w:val="0"/>
            <w:vAlign w:val="center"/>
          </w:tcPr>
          <w:p w14:paraId="1780A992">
            <w:pPr>
              <w:adjustRightInd w:val="0"/>
              <w:snapToGrid w:val="0"/>
              <w:spacing w:line="240" w:lineRule="auto"/>
              <w:jc w:val="center"/>
              <w:rPr>
                <w:rFonts w:hint="eastAsia" w:ascii="宋体" w:hAnsi="宋体" w:eastAsia="宋体" w:cs="宋体"/>
                <w:i/>
                <w:sz w:val="28"/>
                <w:szCs w:val="28"/>
                <w:u w:val="single"/>
                <w:lang w:val="en-US" w:eastAsia="zh-CN"/>
              </w:rPr>
            </w:pPr>
            <w:r>
              <w:rPr>
                <w:rFonts w:hint="eastAsia" w:ascii="宋体" w:hAnsi="宋体" w:eastAsia="宋体" w:cs="宋体"/>
                <w:i w:val="0"/>
                <w:iCs/>
                <w:sz w:val="28"/>
                <w:szCs w:val="28"/>
                <w:u w:val="none"/>
                <w:lang w:val="en-US" w:eastAsia="zh-CN"/>
              </w:rPr>
              <w:t>南阳市政务服务中心智慧化管理系统</w:t>
            </w:r>
          </w:p>
        </w:tc>
        <w:tc>
          <w:tcPr>
            <w:tcW w:w="898" w:type="dxa"/>
            <w:noWrap w:val="0"/>
            <w:vAlign w:val="center"/>
          </w:tcPr>
          <w:p w14:paraId="34D8F658">
            <w:pPr>
              <w:adjustRightInd w:val="0"/>
              <w:snapToGrid w:val="0"/>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804" w:type="dxa"/>
            <w:noWrap w:val="0"/>
            <w:vAlign w:val="center"/>
          </w:tcPr>
          <w:p w14:paraId="69E14C5D">
            <w:pPr>
              <w:adjustRightInd w:val="0"/>
              <w:snapToGrid w:val="0"/>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否</w:t>
            </w:r>
          </w:p>
        </w:tc>
      </w:tr>
    </w:tbl>
    <w:p w14:paraId="4B6F13E6">
      <w:pPr>
        <w:pStyle w:val="13"/>
        <w:numPr>
          <w:ilvl w:val="0"/>
          <w:numId w:val="0"/>
        </w:numPr>
        <w:kinsoku w:val="0"/>
        <w:autoSpaceDE w:val="0"/>
        <w:autoSpaceDN w:val="0"/>
        <w:adjustRightInd w:val="0"/>
        <w:snapToGrid w:val="0"/>
        <w:spacing w:line="360" w:lineRule="auto"/>
        <w:jc w:val="left"/>
        <w:textAlignment w:val="baseline"/>
        <w:rPr>
          <w:rFonts w:hint="default"/>
          <w:b/>
          <w:bCs/>
          <w:lang w:val="en-US" w:eastAsia="zh-CN"/>
        </w:rPr>
      </w:pPr>
    </w:p>
    <w:p w14:paraId="55669AFF">
      <w:pPr>
        <w:pStyle w:val="13"/>
        <w:numPr>
          <w:ilvl w:val="0"/>
          <w:numId w:val="0"/>
        </w:numPr>
        <w:kinsoku w:val="0"/>
        <w:autoSpaceDE w:val="0"/>
        <w:autoSpaceDN w:val="0"/>
        <w:adjustRightInd w:val="0"/>
        <w:snapToGrid w:val="0"/>
        <w:spacing w:line="360" w:lineRule="auto"/>
        <w:jc w:val="left"/>
        <w:textAlignment w:val="baseline"/>
        <w:rPr>
          <w:rFonts w:hint="default"/>
          <w:b/>
          <w:bCs/>
          <w:lang w:val="en-US" w:eastAsia="zh-CN"/>
        </w:rPr>
      </w:pPr>
    </w:p>
    <w:tbl>
      <w:tblPr>
        <w:tblStyle w:val="23"/>
        <w:tblW w:w="78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66"/>
        <w:gridCol w:w="4734"/>
        <w:gridCol w:w="1016"/>
      </w:tblGrid>
      <w:tr w14:paraId="0F97E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F9C8A38">
            <w:pPr>
              <w:widowControl/>
              <w:snapToGrid/>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序号</w:t>
            </w:r>
          </w:p>
        </w:tc>
        <w:tc>
          <w:tcPr>
            <w:tcW w:w="1266" w:type="dxa"/>
            <w:tcBorders>
              <w:top w:val="single" w:color="auto" w:sz="4" w:space="0"/>
              <w:left w:val="single" w:color="auto" w:sz="4" w:space="0"/>
              <w:bottom w:val="single" w:color="auto" w:sz="4" w:space="0"/>
              <w:right w:val="single" w:color="auto" w:sz="4" w:space="0"/>
            </w:tcBorders>
            <w:vAlign w:val="center"/>
          </w:tcPr>
          <w:p w14:paraId="72725633">
            <w:pPr>
              <w:widowControl/>
              <w:snapToGrid/>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系统名称</w:t>
            </w:r>
          </w:p>
        </w:tc>
        <w:tc>
          <w:tcPr>
            <w:tcW w:w="4734" w:type="dxa"/>
            <w:tcBorders>
              <w:top w:val="single" w:color="auto" w:sz="4" w:space="0"/>
              <w:left w:val="single" w:color="auto" w:sz="4" w:space="0"/>
              <w:bottom w:val="single" w:color="auto" w:sz="4" w:space="0"/>
              <w:right w:val="single" w:color="auto" w:sz="4" w:space="0"/>
            </w:tcBorders>
            <w:vAlign w:val="center"/>
          </w:tcPr>
          <w:p w14:paraId="3A0D3289">
            <w:pPr>
              <w:widowControl/>
              <w:snapToGrid/>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服务参数</w:t>
            </w:r>
          </w:p>
        </w:tc>
        <w:tc>
          <w:tcPr>
            <w:tcW w:w="1016" w:type="dxa"/>
            <w:tcBorders>
              <w:top w:val="single" w:color="auto" w:sz="4" w:space="0"/>
              <w:left w:val="single" w:color="auto" w:sz="4" w:space="0"/>
              <w:bottom w:val="single" w:color="auto" w:sz="4" w:space="0"/>
              <w:right w:val="single" w:color="auto" w:sz="4" w:space="0"/>
            </w:tcBorders>
            <w:vAlign w:val="center"/>
          </w:tcPr>
          <w:p w14:paraId="2F1F460C">
            <w:pPr>
              <w:widowControl/>
              <w:snapToGrid/>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数量</w:t>
            </w:r>
          </w:p>
        </w:tc>
      </w:tr>
      <w:tr w14:paraId="0D99A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820" w:type="dxa"/>
            <w:tcBorders>
              <w:top w:val="single" w:color="auto" w:sz="4" w:space="0"/>
              <w:left w:val="single" w:color="auto" w:sz="4" w:space="0"/>
              <w:right w:val="single" w:color="auto" w:sz="4" w:space="0"/>
            </w:tcBorders>
            <w:shd w:val="clear" w:color="auto" w:fill="auto"/>
            <w:noWrap/>
            <w:vAlign w:val="center"/>
          </w:tcPr>
          <w:p w14:paraId="2492A3C4">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c>
          <w:tcPr>
            <w:tcW w:w="1266" w:type="dxa"/>
            <w:tcBorders>
              <w:top w:val="single" w:color="auto" w:sz="4" w:space="0"/>
              <w:left w:val="single" w:color="auto" w:sz="4" w:space="0"/>
              <w:right w:val="single" w:color="auto" w:sz="4" w:space="0"/>
            </w:tcBorders>
            <w:shd w:val="clear" w:color="auto" w:fill="auto"/>
            <w:noWrap/>
            <w:vAlign w:val="center"/>
          </w:tcPr>
          <w:p w14:paraId="329517E1">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排队叫号系统</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7A94689C">
            <w:pPr>
              <w:widowControl/>
              <w:snapToGrid/>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排队取号机结合窗口智能交互终端、排队信息显示屏等硬件设备搭载智能排队叫号系统，支持现场取号、人证比对、预约取号等，同时支持语音方式呼叫提醒，能很好地解决群众在服务中所遇到的排队、等候、拥挤等问题，为群众办事带来极大的方便和愉悦，保障政务大厅秩序井然；同时数据在归集、汇总过程中完成自动分类，为管理层进一步决策提供依据。</w:t>
            </w:r>
          </w:p>
        </w:tc>
        <w:tc>
          <w:tcPr>
            <w:tcW w:w="1016" w:type="dxa"/>
            <w:tcBorders>
              <w:top w:val="single" w:color="auto" w:sz="4" w:space="0"/>
              <w:left w:val="single" w:color="auto" w:sz="4" w:space="0"/>
              <w:right w:val="single" w:color="auto" w:sz="4" w:space="0"/>
            </w:tcBorders>
            <w:shd w:val="clear" w:color="auto" w:fill="auto"/>
            <w:vAlign w:val="center"/>
          </w:tcPr>
          <w:p w14:paraId="0B71D14C">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r>
      <w:tr w14:paraId="6A8FD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20" w:type="dxa"/>
            <w:tcBorders>
              <w:top w:val="single" w:color="auto" w:sz="4" w:space="0"/>
              <w:left w:val="single" w:color="auto" w:sz="4" w:space="0"/>
              <w:right w:val="single" w:color="auto" w:sz="4" w:space="0"/>
            </w:tcBorders>
            <w:shd w:val="clear" w:color="auto" w:fill="auto"/>
            <w:vAlign w:val="center"/>
          </w:tcPr>
          <w:p w14:paraId="00079B10">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p>
        </w:tc>
        <w:tc>
          <w:tcPr>
            <w:tcW w:w="1266" w:type="dxa"/>
            <w:tcBorders>
              <w:top w:val="single" w:color="auto" w:sz="4" w:space="0"/>
              <w:left w:val="single" w:color="auto" w:sz="4" w:space="0"/>
              <w:right w:val="single" w:color="auto" w:sz="4" w:space="0"/>
            </w:tcBorders>
            <w:shd w:val="clear" w:color="auto" w:fill="auto"/>
            <w:vAlign w:val="center"/>
          </w:tcPr>
          <w:p w14:paraId="661AF364">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预约系统</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124FBF67">
            <w:pPr>
              <w:widowControl/>
              <w:snapToGrid/>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集成网上预约系统、排队取号等系统，结合群众当前办事环节，所在位置，提供网上预约、申请、去大厅、取号、办事等“一条龙”服务，精准推送所需信息，让预约办事智能化。</w:t>
            </w:r>
          </w:p>
        </w:tc>
        <w:tc>
          <w:tcPr>
            <w:tcW w:w="1016" w:type="dxa"/>
            <w:tcBorders>
              <w:top w:val="single" w:color="auto" w:sz="4" w:space="0"/>
              <w:left w:val="single" w:color="auto" w:sz="4" w:space="0"/>
              <w:right w:val="single" w:color="auto" w:sz="4" w:space="0"/>
            </w:tcBorders>
            <w:shd w:val="clear" w:color="auto" w:fill="auto"/>
            <w:vAlign w:val="center"/>
          </w:tcPr>
          <w:p w14:paraId="6596ED15">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r>
      <w:tr w14:paraId="7B684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820" w:type="dxa"/>
            <w:tcBorders>
              <w:top w:val="single" w:color="auto" w:sz="4" w:space="0"/>
              <w:left w:val="single" w:color="auto" w:sz="4" w:space="0"/>
              <w:right w:val="single" w:color="auto" w:sz="4" w:space="0"/>
            </w:tcBorders>
            <w:shd w:val="clear" w:color="auto" w:fill="auto"/>
            <w:vAlign w:val="center"/>
          </w:tcPr>
          <w:p w14:paraId="6C164BE3">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p>
        </w:tc>
        <w:tc>
          <w:tcPr>
            <w:tcW w:w="1266" w:type="dxa"/>
            <w:tcBorders>
              <w:top w:val="single" w:color="auto" w:sz="4" w:space="0"/>
              <w:left w:val="single" w:color="auto" w:sz="4" w:space="0"/>
              <w:right w:val="single" w:color="auto" w:sz="4" w:space="0"/>
            </w:tcBorders>
            <w:shd w:val="clear" w:color="auto" w:fill="auto"/>
            <w:vAlign w:val="center"/>
          </w:tcPr>
          <w:p w14:paraId="6BE3D9CD">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大厅管理系统</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481D82E9">
            <w:pPr>
              <w:widowControl/>
              <w:snapToGrid/>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整合中心部门信息、人员信息管理、考勤管理、请销假管理、工位管理、窗口信息管理、房间信息管理、分区管理、设备管理等综合管理，实现政务服务中心人、财、物的一体化统一管理和科学测评。</w:t>
            </w:r>
          </w:p>
        </w:tc>
        <w:tc>
          <w:tcPr>
            <w:tcW w:w="1016" w:type="dxa"/>
            <w:tcBorders>
              <w:top w:val="single" w:color="auto" w:sz="4" w:space="0"/>
              <w:left w:val="single" w:color="auto" w:sz="4" w:space="0"/>
              <w:right w:val="single" w:color="auto" w:sz="4" w:space="0"/>
            </w:tcBorders>
            <w:shd w:val="clear" w:color="auto" w:fill="auto"/>
            <w:vAlign w:val="center"/>
          </w:tcPr>
          <w:p w14:paraId="3904136A">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r>
      <w:tr w14:paraId="362E8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4" w:hRule="atLeast"/>
          <w:jc w:val="center"/>
        </w:trPr>
        <w:tc>
          <w:tcPr>
            <w:tcW w:w="820" w:type="dxa"/>
            <w:tcBorders>
              <w:top w:val="single" w:color="auto" w:sz="4" w:space="0"/>
              <w:left w:val="single" w:color="auto" w:sz="4" w:space="0"/>
              <w:right w:val="single" w:color="auto" w:sz="4" w:space="0"/>
            </w:tcBorders>
            <w:shd w:val="clear" w:color="auto" w:fill="auto"/>
            <w:vAlign w:val="center"/>
          </w:tcPr>
          <w:p w14:paraId="0E1C3C9D">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w:t>
            </w:r>
          </w:p>
        </w:tc>
        <w:tc>
          <w:tcPr>
            <w:tcW w:w="1266" w:type="dxa"/>
            <w:tcBorders>
              <w:top w:val="single" w:color="auto" w:sz="4" w:space="0"/>
              <w:left w:val="single" w:color="auto" w:sz="4" w:space="0"/>
              <w:right w:val="single" w:color="auto" w:sz="4" w:space="0"/>
            </w:tcBorders>
            <w:shd w:val="clear" w:color="auto" w:fill="auto"/>
            <w:vAlign w:val="center"/>
          </w:tcPr>
          <w:p w14:paraId="297F19A5">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政务大厅数据对接系统</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0413AF9C">
            <w:pPr>
              <w:widowControl/>
              <w:snapToGrid/>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为各县区提供政务大厅数据接入的接口和凭证，并为各县区的业务系统按照省网标准定义并提供供接入的基础元数据，同一群众同批次办理的业务产生的事前事中事后的政务数据通过申报码进行串联，形成完整链路并汇总至政务大厅数据对接系统，系统接收数据后会对十张表的数据进行逻辑正确性进行质检（例如窗口信息表中的部门信息是否正确，专区信息表中的大厅信息是否正确等），对数据的完整性的进行分析，在质检成功后，设定交换传输频率，然后再统一汇总至数据共享交换平台。</w:t>
            </w:r>
          </w:p>
        </w:tc>
        <w:tc>
          <w:tcPr>
            <w:tcW w:w="1016" w:type="dxa"/>
            <w:tcBorders>
              <w:top w:val="single" w:color="auto" w:sz="4" w:space="0"/>
              <w:left w:val="single" w:color="auto" w:sz="4" w:space="0"/>
              <w:right w:val="single" w:color="auto" w:sz="4" w:space="0"/>
            </w:tcBorders>
            <w:shd w:val="clear" w:color="auto" w:fill="auto"/>
            <w:vAlign w:val="center"/>
          </w:tcPr>
          <w:p w14:paraId="738B4A3C">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r>
      <w:tr w14:paraId="354D2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820" w:type="dxa"/>
            <w:tcBorders>
              <w:left w:val="single" w:color="auto" w:sz="4" w:space="0"/>
              <w:right w:val="single" w:color="auto" w:sz="4" w:space="0"/>
            </w:tcBorders>
            <w:shd w:val="clear" w:color="auto" w:fill="auto"/>
            <w:vAlign w:val="center"/>
          </w:tcPr>
          <w:p w14:paraId="72B921B6">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w:t>
            </w:r>
          </w:p>
        </w:tc>
        <w:tc>
          <w:tcPr>
            <w:tcW w:w="1266" w:type="dxa"/>
            <w:tcBorders>
              <w:left w:val="single" w:color="auto" w:sz="4" w:space="0"/>
              <w:right w:val="single" w:color="auto" w:sz="4" w:space="0"/>
            </w:tcBorders>
            <w:shd w:val="clear" w:color="auto" w:fill="auto"/>
            <w:vAlign w:val="center"/>
          </w:tcPr>
          <w:p w14:paraId="0E7D8942">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线上帮办系统</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1CF0FBC1">
            <w:pPr>
              <w:widowControl/>
              <w:snapToGrid/>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通过在线操作、材料上传、屏幕共享、远程视频、即时信息、协助办理等功能，实现线上线下帮办代办体系的健全完善，提升帮办代办响应率、解决率和满意度，减少群众跑动距离和跑趟次数，进一步提升线上线下一体化服务水平。</w:t>
            </w:r>
          </w:p>
        </w:tc>
        <w:tc>
          <w:tcPr>
            <w:tcW w:w="1016" w:type="dxa"/>
            <w:tcBorders>
              <w:left w:val="single" w:color="auto" w:sz="4" w:space="0"/>
              <w:right w:val="single" w:color="auto" w:sz="4" w:space="0"/>
            </w:tcBorders>
            <w:shd w:val="clear" w:color="auto" w:fill="auto"/>
            <w:vAlign w:val="center"/>
          </w:tcPr>
          <w:p w14:paraId="52C354EF">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r>
      <w:tr w14:paraId="2A66D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20" w:type="dxa"/>
            <w:tcBorders>
              <w:left w:val="single" w:color="auto" w:sz="4" w:space="0"/>
              <w:right w:val="single" w:color="auto" w:sz="4" w:space="0"/>
            </w:tcBorders>
            <w:shd w:val="clear" w:color="auto" w:fill="auto"/>
            <w:vAlign w:val="center"/>
          </w:tcPr>
          <w:p w14:paraId="279C63CA">
            <w:pPr>
              <w:widowControl/>
              <w:snapToGrid/>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w:t>
            </w:r>
          </w:p>
        </w:tc>
        <w:tc>
          <w:tcPr>
            <w:tcW w:w="1266" w:type="dxa"/>
            <w:tcBorders>
              <w:left w:val="single" w:color="auto" w:sz="4" w:space="0"/>
              <w:right w:val="single" w:color="auto" w:sz="4" w:space="0"/>
            </w:tcBorders>
            <w:shd w:val="clear" w:color="auto" w:fill="auto"/>
            <w:vAlign w:val="center"/>
          </w:tcPr>
          <w:p w14:paraId="4E4E22AF">
            <w:pPr>
              <w:widowControl/>
              <w:snapToGrid/>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统计分析系统</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6388E6D4">
            <w:pPr>
              <w:widowControl/>
              <w:snapToGrid/>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基于政务服务大厅排队叫号系统数据进行数据综合汇聚，从取号量、大厅取号办件情况、办件效率等多角度进行综合分析展示，为领导决策分析提供数据支撑。</w:t>
            </w:r>
          </w:p>
        </w:tc>
        <w:tc>
          <w:tcPr>
            <w:tcW w:w="1016" w:type="dxa"/>
            <w:tcBorders>
              <w:left w:val="single" w:color="auto" w:sz="4" w:space="0"/>
              <w:right w:val="single" w:color="auto" w:sz="4" w:space="0"/>
            </w:tcBorders>
            <w:shd w:val="clear" w:color="auto" w:fill="auto"/>
            <w:vAlign w:val="center"/>
          </w:tcPr>
          <w:p w14:paraId="0BA0AC66">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r>
      <w:tr w14:paraId="5B88C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tcBorders>
              <w:left w:val="single" w:color="auto" w:sz="4" w:space="0"/>
              <w:right w:val="single" w:color="auto" w:sz="4" w:space="0"/>
            </w:tcBorders>
            <w:shd w:val="clear" w:color="auto" w:fill="auto"/>
            <w:vAlign w:val="center"/>
          </w:tcPr>
          <w:p w14:paraId="46EEF799">
            <w:pPr>
              <w:widowControl/>
              <w:snapToGrid/>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w:t>
            </w:r>
          </w:p>
        </w:tc>
        <w:tc>
          <w:tcPr>
            <w:tcW w:w="1266" w:type="dxa"/>
            <w:tcBorders>
              <w:left w:val="single" w:color="auto" w:sz="4" w:space="0"/>
              <w:right w:val="single" w:color="auto" w:sz="4" w:space="0"/>
            </w:tcBorders>
            <w:shd w:val="clear" w:color="auto" w:fill="auto"/>
            <w:vAlign w:val="center"/>
          </w:tcPr>
          <w:p w14:paraId="2015E45B">
            <w:pPr>
              <w:widowControl/>
              <w:snapToGrid/>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视频联网监管平台</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338E18AD">
            <w:pPr>
              <w:widowControl/>
              <w:snapToGrid/>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搭建视频联网监管平台，汇聚各区县及市级政务服务大厅监控设备，按照升级要求对接共享，</w:t>
            </w:r>
            <w:r>
              <w:rPr>
                <w:rFonts w:hint="eastAsia" w:asciiTheme="minorEastAsia" w:hAnsiTheme="minorEastAsia" w:eastAsiaTheme="minorEastAsia" w:cstheme="minorEastAsia"/>
                <w:snapToGrid w:val="0"/>
                <w:spacing w:val="2"/>
                <w:kern w:val="0"/>
                <w:sz w:val="22"/>
                <w:szCs w:val="22"/>
              </w:rPr>
              <w:t>实现对窗口工作人员服务规范和企业群众办事情况的实时监管，确保服务质量和效率</w:t>
            </w:r>
          </w:p>
        </w:tc>
        <w:tc>
          <w:tcPr>
            <w:tcW w:w="1016" w:type="dxa"/>
            <w:tcBorders>
              <w:left w:val="single" w:color="auto" w:sz="4" w:space="0"/>
              <w:right w:val="single" w:color="auto" w:sz="4" w:space="0"/>
            </w:tcBorders>
            <w:shd w:val="clear" w:color="auto" w:fill="auto"/>
            <w:vAlign w:val="center"/>
          </w:tcPr>
          <w:p w14:paraId="3CEAB821">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r>
      <w:tr w14:paraId="179F6F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tcBorders>
              <w:left w:val="single" w:color="auto" w:sz="4" w:space="0"/>
              <w:right w:val="single" w:color="auto" w:sz="4" w:space="0"/>
            </w:tcBorders>
            <w:shd w:val="clear" w:color="auto" w:fill="auto"/>
            <w:vAlign w:val="center"/>
          </w:tcPr>
          <w:p w14:paraId="1A0577DF">
            <w:pPr>
              <w:widowControl/>
              <w:snapToGrid/>
              <w:jc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8</w:t>
            </w:r>
          </w:p>
        </w:tc>
        <w:tc>
          <w:tcPr>
            <w:tcW w:w="1266" w:type="dxa"/>
            <w:tcBorders>
              <w:left w:val="single" w:color="auto" w:sz="4" w:space="0"/>
              <w:right w:val="single" w:color="auto" w:sz="4" w:space="0"/>
            </w:tcBorders>
            <w:shd w:val="clear" w:color="auto" w:fill="auto"/>
            <w:vAlign w:val="center"/>
          </w:tcPr>
          <w:p w14:paraId="4075AE60">
            <w:pPr>
              <w:widowControl/>
              <w:snapToGrid/>
              <w:jc w:val="center"/>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排队取号机</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4C081160">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 主机配置：工业级主板及电源</w:t>
            </w:r>
          </w:p>
          <w:p w14:paraId="441905BF">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 xml:space="preserve"> 平均无故障时间（MTBF）：不低于50,000小时；</w:t>
            </w:r>
          </w:p>
          <w:p w14:paraId="4A0BE01F">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 xml:space="preserve"> 背光灯管寿命（Typ）：不小于50,000小时；</w:t>
            </w:r>
          </w:p>
          <w:p w14:paraId="7FE5F911">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4</w:t>
            </w:r>
            <w:r>
              <w:rPr>
                <w:rFonts w:hint="eastAsia" w:ascii="宋体" w:hAnsi="宋体" w:cs="宋体"/>
                <w:color w:val="000000"/>
                <w:kern w:val="0"/>
                <w:sz w:val="21"/>
                <w:szCs w:val="21"/>
                <w:lang w:bidi="ar"/>
              </w:rPr>
              <w:t xml:space="preserve"> 触摸屏：触摸响应时间不超过10ms；</w:t>
            </w:r>
          </w:p>
          <w:p w14:paraId="3CC50DDE">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5</w:t>
            </w:r>
            <w:r>
              <w:rPr>
                <w:rFonts w:hint="eastAsia" w:ascii="宋体" w:hAnsi="宋体" w:cs="宋体"/>
                <w:color w:val="000000"/>
                <w:kern w:val="0"/>
                <w:sz w:val="21"/>
                <w:szCs w:val="21"/>
                <w:lang w:bidi="ar"/>
              </w:rPr>
              <w:t xml:space="preserve"> 音响系统：语音播报覆盖范围不低于5m；</w:t>
            </w:r>
          </w:p>
          <w:p w14:paraId="2CBDD860">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6</w:t>
            </w:r>
            <w:r>
              <w:rPr>
                <w:rFonts w:hint="eastAsia" w:ascii="宋体" w:hAnsi="宋体" w:cs="宋体"/>
                <w:color w:val="000000"/>
                <w:kern w:val="0"/>
                <w:sz w:val="21"/>
                <w:szCs w:val="21"/>
                <w:lang w:bidi="ar"/>
              </w:rPr>
              <w:t xml:space="preserve"> 热敏打印机性能：自动切纸热敏打印单元；切刀寿命：≥100万次（全切/半切可选）</w:t>
            </w:r>
          </w:p>
          <w:p w14:paraId="47FEC0B8">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7</w:t>
            </w:r>
            <w:r>
              <w:rPr>
                <w:rFonts w:hint="eastAsia" w:ascii="宋体" w:hAnsi="宋体" w:cs="宋体"/>
                <w:color w:val="000000"/>
                <w:kern w:val="0"/>
                <w:sz w:val="21"/>
                <w:szCs w:val="21"/>
                <w:lang w:bidi="ar"/>
              </w:rPr>
              <w:t xml:space="preserve"> 身份证读卡器性能：射频技术符合ISO14443 Type B标准，以及《台式居民身份证阅读器通用技术要求》；符合USB2.0标准；</w:t>
            </w:r>
          </w:p>
          <w:p w14:paraId="25DAD7BB">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8</w:t>
            </w:r>
            <w:r>
              <w:rPr>
                <w:rFonts w:hint="eastAsia" w:ascii="宋体" w:hAnsi="宋体" w:cs="宋体"/>
                <w:color w:val="000000"/>
                <w:kern w:val="0"/>
                <w:sz w:val="21"/>
                <w:szCs w:val="21"/>
                <w:lang w:bidi="ar"/>
              </w:rPr>
              <w:t xml:space="preserve"> 双目摄像头：</w:t>
            </w:r>
            <w:r>
              <w:rPr>
                <w:rFonts w:hint="eastAsia" w:ascii="宋体" w:hAnsi="宋体" w:cs="宋体"/>
                <w:color w:val="000000"/>
                <w:kern w:val="0"/>
                <w:sz w:val="21"/>
                <w:szCs w:val="21"/>
                <w:lang w:val="en-US" w:eastAsia="zh-CN" w:bidi="ar"/>
              </w:rPr>
              <w:t>不低于</w:t>
            </w:r>
            <w:r>
              <w:rPr>
                <w:rFonts w:hint="eastAsia" w:ascii="宋体" w:hAnsi="宋体" w:cs="宋体"/>
                <w:color w:val="000000"/>
                <w:kern w:val="0"/>
                <w:sz w:val="21"/>
                <w:szCs w:val="21"/>
                <w:lang w:bidi="ar"/>
              </w:rPr>
              <w:t>200万双目摄像头；</w:t>
            </w:r>
          </w:p>
          <w:p w14:paraId="4FC2AAF3">
            <w:pPr>
              <w:widowControl/>
              <w:snapToGrid/>
              <w:jc w:val="left"/>
              <w:rPr>
                <w:rFonts w:hint="eastAsia" w:eastAsia="宋体" w:asciiTheme="minorEastAsia" w:hAnsiTheme="minorEastAsia" w:cstheme="minorEastAsia"/>
                <w:kern w:val="0"/>
                <w:sz w:val="22"/>
                <w:szCs w:val="22"/>
                <w:lang w:eastAsia="zh-CN"/>
              </w:rPr>
            </w:pPr>
            <w:r>
              <w:rPr>
                <w:rFonts w:hint="eastAsia" w:ascii="宋体" w:hAnsi="宋体" w:cs="宋体"/>
                <w:color w:val="000000"/>
                <w:kern w:val="0"/>
                <w:sz w:val="21"/>
                <w:szCs w:val="21"/>
                <w:lang w:val="en-US" w:eastAsia="zh-CN" w:bidi="ar"/>
              </w:rPr>
              <w:t>9</w:t>
            </w:r>
            <w:r>
              <w:rPr>
                <w:rFonts w:hint="eastAsia" w:ascii="宋体" w:hAnsi="宋体" w:cs="宋体"/>
                <w:color w:val="000000"/>
                <w:kern w:val="0"/>
                <w:sz w:val="21"/>
                <w:szCs w:val="21"/>
                <w:lang w:bidi="ar"/>
              </w:rPr>
              <w:t xml:space="preserve"> 无人值守系统：可作为无人值守的自助服务终端，确保在无人照看的情况下，准时启动和关闭</w:t>
            </w:r>
          </w:p>
        </w:tc>
        <w:tc>
          <w:tcPr>
            <w:tcW w:w="1016" w:type="dxa"/>
            <w:tcBorders>
              <w:left w:val="single" w:color="auto" w:sz="4" w:space="0"/>
              <w:right w:val="single" w:color="auto" w:sz="4" w:space="0"/>
            </w:tcBorders>
            <w:shd w:val="clear" w:color="auto" w:fill="auto"/>
            <w:vAlign w:val="center"/>
          </w:tcPr>
          <w:p w14:paraId="681DAC32">
            <w:pPr>
              <w:widowControl/>
              <w:spacing w:after="120"/>
              <w:jc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3</w:t>
            </w:r>
          </w:p>
        </w:tc>
      </w:tr>
      <w:tr w14:paraId="1CF25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tcBorders>
              <w:left w:val="single" w:color="auto" w:sz="4" w:space="0"/>
              <w:right w:val="single" w:color="auto" w:sz="4" w:space="0"/>
            </w:tcBorders>
            <w:shd w:val="clear" w:color="auto" w:fill="auto"/>
            <w:vAlign w:val="center"/>
          </w:tcPr>
          <w:p w14:paraId="1E64C548">
            <w:pPr>
              <w:widowControl/>
              <w:snapToGrid/>
              <w:jc w:val="center"/>
              <w:rPr>
                <w:rFonts w:hint="default"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9</w:t>
            </w:r>
          </w:p>
        </w:tc>
        <w:tc>
          <w:tcPr>
            <w:tcW w:w="1266" w:type="dxa"/>
            <w:tcBorders>
              <w:left w:val="single" w:color="auto" w:sz="4" w:space="0"/>
              <w:right w:val="single" w:color="auto" w:sz="4" w:space="0"/>
            </w:tcBorders>
            <w:shd w:val="clear" w:color="auto" w:fill="auto"/>
            <w:vAlign w:val="center"/>
          </w:tcPr>
          <w:p w14:paraId="00AFA46E">
            <w:pPr>
              <w:widowControl/>
              <w:snapToGrid/>
              <w:jc w:val="center"/>
              <w:rPr>
                <w:rFonts w:hint="default"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键盘呼叫器</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23094BB0">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支持显示至少</w:t>
            </w:r>
            <w:r>
              <w:rPr>
                <w:rFonts w:hint="eastAsia" w:ascii="宋体" w:hAnsi="宋体" w:cs="宋体"/>
                <w:color w:val="000000"/>
                <w:kern w:val="0"/>
                <w:sz w:val="21"/>
                <w:szCs w:val="21"/>
                <w:lang w:bidi="ar"/>
              </w:rPr>
              <w:t>2位等待人数、4位排队号码</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按键寿命大于50万次。内置无线传输模块。</w:t>
            </w:r>
          </w:p>
          <w:p w14:paraId="40D62A1E">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在视距情况下，天线位置&gt;3米，可靠传输距离不低于300m；</w:t>
            </w:r>
          </w:p>
          <w:p w14:paraId="7063A886">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提供透明的数据接口，接口波特率为1200∽19200，格式为8N1/8E1/8O1；无线波特率为1200∽19200，</w:t>
            </w:r>
          </w:p>
          <w:p w14:paraId="5F764C49">
            <w:pPr>
              <w:widowControl/>
              <w:snapToGrid/>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bidi="ar"/>
              </w:rPr>
              <w:t>标准配置提供不少于20个信道</w:t>
            </w:r>
          </w:p>
        </w:tc>
        <w:tc>
          <w:tcPr>
            <w:tcW w:w="1016" w:type="dxa"/>
            <w:tcBorders>
              <w:left w:val="single" w:color="auto" w:sz="4" w:space="0"/>
              <w:right w:val="single" w:color="auto" w:sz="4" w:space="0"/>
            </w:tcBorders>
            <w:shd w:val="clear" w:color="auto" w:fill="auto"/>
            <w:vAlign w:val="center"/>
          </w:tcPr>
          <w:p w14:paraId="76C22040">
            <w:pPr>
              <w:widowControl/>
              <w:spacing w:after="120"/>
              <w:jc w:val="center"/>
              <w:rPr>
                <w:rFonts w:hint="default"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50</w:t>
            </w:r>
          </w:p>
        </w:tc>
      </w:tr>
      <w:tr w14:paraId="31A02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tcBorders>
              <w:left w:val="single" w:color="auto" w:sz="4" w:space="0"/>
              <w:right w:val="single" w:color="auto" w:sz="4" w:space="0"/>
            </w:tcBorders>
            <w:shd w:val="clear" w:color="auto" w:fill="auto"/>
            <w:vAlign w:val="center"/>
          </w:tcPr>
          <w:p w14:paraId="71BEA104">
            <w:pPr>
              <w:widowControl/>
              <w:snapToGrid/>
              <w:jc w:val="center"/>
              <w:rPr>
                <w:rFonts w:hint="default"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10</w:t>
            </w:r>
          </w:p>
        </w:tc>
        <w:tc>
          <w:tcPr>
            <w:tcW w:w="1266" w:type="dxa"/>
            <w:tcBorders>
              <w:left w:val="single" w:color="auto" w:sz="4" w:space="0"/>
              <w:right w:val="single" w:color="auto" w:sz="4" w:space="0"/>
            </w:tcBorders>
            <w:shd w:val="clear" w:color="auto" w:fill="auto"/>
            <w:vAlign w:val="center"/>
          </w:tcPr>
          <w:p w14:paraId="005445F7">
            <w:pPr>
              <w:widowControl/>
              <w:snapToGrid/>
              <w:jc w:val="center"/>
              <w:rPr>
                <w:rFonts w:hint="default"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摄像头</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0B8E02FE">
            <w:pPr>
              <w:widowControl/>
              <w:snapToGrid/>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不低于</w:t>
            </w:r>
            <w:r>
              <w:rPr>
                <w:rFonts w:hint="eastAsia" w:ascii="宋体" w:hAnsi="宋体" w:cs="宋体"/>
                <w:color w:val="000000"/>
                <w:kern w:val="0"/>
                <w:sz w:val="21"/>
                <w:szCs w:val="21"/>
                <w:lang w:bidi="ar"/>
              </w:rPr>
              <w:t>200万</w:t>
            </w:r>
            <w:r>
              <w:rPr>
                <w:rFonts w:hint="eastAsia" w:ascii="宋体" w:hAnsi="宋体" w:cs="宋体"/>
                <w:color w:val="000000"/>
                <w:kern w:val="0"/>
                <w:sz w:val="21"/>
                <w:szCs w:val="21"/>
                <w:lang w:val="en-US" w:eastAsia="zh-CN" w:bidi="ar"/>
              </w:rPr>
              <w:t>双目摄像头</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val="en-US" w:eastAsia="zh-CN" w:bidi="ar"/>
              </w:rPr>
              <w:t>用于</w:t>
            </w:r>
            <w:r>
              <w:rPr>
                <w:rFonts w:hint="eastAsia" w:ascii="宋体" w:hAnsi="宋体" w:cs="宋体"/>
                <w:color w:val="000000"/>
                <w:kern w:val="0"/>
                <w:sz w:val="21"/>
                <w:szCs w:val="21"/>
                <w:lang w:bidi="ar"/>
              </w:rPr>
              <w:t>人脸识别</w:t>
            </w:r>
          </w:p>
        </w:tc>
        <w:tc>
          <w:tcPr>
            <w:tcW w:w="1016" w:type="dxa"/>
            <w:tcBorders>
              <w:left w:val="single" w:color="auto" w:sz="4" w:space="0"/>
              <w:right w:val="single" w:color="auto" w:sz="4" w:space="0"/>
            </w:tcBorders>
            <w:shd w:val="clear" w:color="auto" w:fill="auto"/>
            <w:vAlign w:val="center"/>
          </w:tcPr>
          <w:p w14:paraId="1957398D">
            <w:pPr>
              <w:widowControl/>
              <w:spacing w:after="120"/>
              <w:jc w:val="center"/>
              <w:rPr>
                <w:rFonts w:hint="default"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w:t>
            </w:r>
          </w:p>
        </w:tc>
      </w:tr>
    </w:tbl>
    <w:p w14:paraId="30127E92">
      <w:pPr>
        <w:pStyle w:val="13"/>
        <w:numPr>
          <w:ilvl w:val="0"/>
          <w:numId w:val="0"/>
        </w:numPr>
        <w:kinsoku w:val="0"/>
        <w:autoSpaceDE w:val="0"/>
        <w:autoSpaceDN w:val="0"/>
        <w:adjustRightInd w:val="0"/>
        <w:snapToGrid w:val="0"/>
        <w:spacing w:line="360" w:lineRule="auto"/>
        <w:jc w:val="left"/>
        <w:textAlignment w:val="baseline"/>
        <w:rPr>
          <w:rFonts w:hint="default"/>
          <w:b/>
          <w:bCs/>
          <w:lang w:val="en-US" w:eastAsia="zh-CN"/>
        </w:rPr>
      </w:pPr>
    </w:p>
    <w:p w14:paraId="15D94694">
      <w:pPr>
        <w:pStyle w:val="13"/>
        <w:numPr>
          <w:ilvl w:val="0"/>
          <w:numId w:val="0"/>
        </w:numPr>
        <w:kinsoku w:val="0"/>
        <w:autoSpaceDE w:val="0"/>
        <w:autoSpaceDN w:val="0"/>
        <w:adjustRightInd w:val="0"/>
        <w:snapToGrid w:val="0"/>
        <w:spacing w:line="360" w:lineRule="auto"/>
        <w:jc w:val="left"/>
        <w:textAlignment w:val="baseline"/>
        <w:rPr>
          <w:rFonts w:hint="default"/>
          <w:lang w:val="en-US" w:eastAsia="zh-CN"/>
        </w:rPr>
      </w:pPr>
    </w:p>
    <w:p w14:paraId="251DF6F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lang w:val="en-US" w:eastAsia="zh-CN"/>
        </w:rPr>
        <w:t>2.</w:t>
      </w:r>
      <w:r>
        <w:rPr>
          <w:rFonts w:hint="eastAsia" w:asciiTheme="minorEastAsia" w:hAnsiTheme="minorEastAsia" w:eastAsiaTheme="minorEastAsia" w:cstheme="minorEastAsia"/>
          <w:b/>
          <w:bCs/>
          <w:spacing w:val="-1"/>
          <w:sz w:val="24"/>
          <w:szCs w:val="24"/>
        </w:rPr>
        <w:t>核心产品</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关于核心产品本项目/包不适用。</w:t>
      </w:r>
    </w:p>
    <w:p w14:paraId="6C2133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本项目/包为单一产品采购项目。</w:t>
      </w:r>
    </w:p>
    <w:p w14:paraId="35DCE7B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highlight w:val="none"/>
          <w:u w:val="single"/>
          <w:lang w:val="en-US" w:eastAsia="zh-CN"/>
        </w:rPr>
      </w:pPr>
      <w:r>
        <w:rPr>
          <w:rFonts w:hint="eastAsia" w:asciiTheme="minorEastAsia" w:hAnsiTheme="minorEastAsia" w:eastAsiaTheme="minorEastAsia" w:cstheme="minorEastAsia"/>
          <w:b/>
          <w:bCs/>
          <w:spacing w:val="-1"/>
          <w:sz w:val="24"/>
          <w:szCs w:val="24"/>
          <w:highlight w:val="none"/>
          <w:lang w:eastAsia="zh-CN"/>
        </w:rPr>
        <w:t>☑</w:t>
      </w:r>
      <w:r>
        <w:rPr>
          <w:rFonts w:hint="eastAsia" w:asciiTheme="minorEastAsia" w:hAnsiTheme="minorEastAsia" w:eastAsiaTheme="minorEastAsia" w:cstheme="minorEastAsia"/>
          <w:b w:val="0"/>
          <w:bCs w:val="0"/>
          <w:spacing w:val="-1"/>
          <w:sz w:val="24"/>
          <w:szCs w:val="24"/>
          <w:highlight w:val="none"/>
        </w:rPr>
        <w:t>本项目/包为非单一产品采购项目，</w:t>
      </w:r>
      <w:r>
        <w:rPr>
          <w:rFonts w:hint="eastAsia" w:asciiTheme="minorEastAsia" w:hAnsiTheme="minorEastAsia" w:eastAsiaTheme="minorEastAsia" w:cstheme="minorEastAsia"/>
          <w:b/>
          <w:bCs/>
          <w:spacing w:val="-1"/>
          <w:sz w:val="24"/>
          <w:szCs w:val="24"/>
          <w:highlight w:val="none"/>
        </w:rPr>
        <w:t>核心产品为</w:t>
      </w:r>
      <w:r>
        <w:rPr>
          <w:rFonts w:hint="eastAsia" w:asciiTheme="minorEastAsia" w:hAnsiTheme="minorEastAsia" w:eastAsiaTheme="minorEastAsia" w:cstheme="minorEastAsia"/>
          <w:b/>
          <w:bCs/>
          <w:spacing w:val="-1"/>
          <w:sz w:val="24"/>
          <w:szCs w:val="24"/>
          <w:highlight w:val="none"/>
          <w:lang w:eastAsia="zh-CN"/>
        </w:rPr>
        <w:t>：</w:t>
      </w:r>
      <w:r>
        <w:rPr>
          <w:rFonts w:hint="eastAsia" w:asciiTheme="minorEastAsia" w:hAnsiTheme="minorEastAsia" w:eastAsiaTheme="minorEastAsia" w:cstheme="minorEastAsia"/>
          <w:b/>
          <w:bCs/>
          <w:spacing w:val="-1"/>
          <w:sz w:val="24"/>
          <w:szCs w:val="24"/>
          <w:highlight w:val="none"/>
          <w:u w:val="single"/>
          <w:lang w:eastAsia="zh-CN"/>
        </w:rPr>
        <w:t>排队叫号系统</w:t>
      </w:r>
    </w:p>
    <w:p w14:paraId="21AD97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239" w:firstLineChars="100"/>
        <w:jc w:val="both"/>
        <w:textAlignment w:val="baseline"/>
        <w:outlineLvl w:val="9"/>
        <w:rPr>
          <w:rFonts w:hint="eastAsia" w:asciiTheme="minorEastAsia" w:hAnsiTheme="minorEastAsia" w:eastAsiaTheme="minorEastAsia" w:cstheme="minorEastAsia"/>
          <w:b/>
          <w:bCs/>
          <w:color w:val="auto"/>
          <w:spacing w:val="-1"/>
          <w:sz w:val="24"/>
          <w:szCs w:val="24"/>
          <w:lang w:eastAsia="zh-CN"/>
        </w:rPr>
      </w:pPr>
      <w:r>
        <w:rPr>
          <w:rFonts w:hint="eastAsia" w:asciiTheme="minorEastAsia" w:hAnsiTheme="minorEastAsia" w:eastAsiaTheme="minorEastAsia" w:cstheme="minorEastAsia"/>
          <w:b/>
          <w:bCs/>
          <w:color w:val="auto"/>
          <w:spacing w:val="-1"/>
          <w:sz w:val="24"/>
          <w:szCs w:val="24"/>
          <w:highlight w:val="none"/>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b/>
          <w:bCs/>
          <w:color w:val="auto"/>
          <w:spacing w:val="-1"/>
          <w:sz w:val="24"/>
          <w:szCs w:val="24"/>
          <w:highlight w:val="none"/>
          <w:lang w:eastAsia="zh-CN"/>
        </w:rPr>
        <w:t>。</w:t>
      </w:r>
    </w:p>
    <w:p w14:paraId="000242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C0ECC0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961AE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08B9E3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93915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41E713BA">
      <w:pPr>
        <w:pStyle w:val="6"/>
        <w:keepNext w:val="0"/>
        <w:keepLines w:val="0"/>
        <w:pageBreakBefore w:val="0"/>
        <w:widowControl w:val="0"/>
        <w:kinsoku/>
        <w:wordWrap/>
        <w:overflowPunct/>
        <w:topLinePunct w:val="0"/>
        <w:autoSpaceDE/>
        <w:autoSpaceDN/>
        <w:bidi w:val="0"/>
        <w:adjustRightInd/>
        <w:snapToGrid/>
        <w:spacing w:line="50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rPr>
        <w:t>1.</w:t>
      </w:r>
      <w:r>
        <w:rPr>
          <w:rFonts w:hint="eastAsia" w:ascii="宋体" w:hAnsi="宋体" w:eastAsia="宋体" w:cs="宋体"/>
          <w:spacing w:val="-1"/>
          <w:sz w:val="24"/>
          <w:szCs w:val="24"/>
          <w:lang w:eastAsia="zh-CN"/>
        </w:rPr>
        <w:t>交货要求</w:t>
      </w:r>
    </w:p>
    <w:p w14:paraId="584A88A1">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pacing w:val="-1"/>
          <w:sz w:val="24"/>
          <w:szCs w:val="24"/>
          <w:highlight w:val="none"/>
          <w:lang w:eastAsia="zh-CN"/>
        </w:rPr>
      </w:pPr>
      <w:r>
        <w:rPr>
          <w:rFonts w:hint="eastAsia" w:ascii="宋体" w:hAnsi="宋体" w:eastAsia="宋体" w:cs="宋体"/>
          <w:sz w:val="24"/>
          <w:szCs w:val="24"/>
          <w:highlight w:val="none"/>
          <w:lang w:eastAsia="zh-CN"/>
        </w:rPr>
        <w:t>1.1交货时间：</w:t>
      </w:r>
      <w:r>
        <w:rPr>
          <w:rFonts w:hint="eastAsia" w:ascii="宋体" w:hAnsi="宋体" w:eastAsia="宋体" w:cs="宋体"/>
          <w:color w:val="auto"/>
          <w:sz w:val="24"/>
          <w:szCs w:val="24"/>
          <w:highlight w:val="none"/>
          <w:lang w:eastAsia="zh-CN"/>
        </w:rPr>
        <w:t>合</w:t>
      </w:r>
      <w:r>
        <w:rPr>
          <w:rFonts w:hint="eastAsia" w:ascii="Times New Roman" w:hAnsi="Times New Roman" w:cs="Times New Roman"/>
          <w:color w:val="auto"/>
          <w:sz w:val="24"/>
          <w:szCs w:val="24"/>
          <w:highlight w:val="none"/>
          <w:lang w:eastAsia="zh-CN"/>
        </w:rPr>
        <w:t>同签订后</w:t>
      </w:r>
      <w:r>
        <w:rPr>
          <w:rFonts w:hint="eastAsia" w:ascii="Times New Roman" w:hAnsi="Times New Roman" w:cs="Times New Roman"/>
          <w:b/>
          <w:bCs/>
          <w:color w:val="auto"/>
          <w:sz w:val="24"/>
          <w:szCs w:val="24"/>
          <w:highlight w:val="none"/>
          <w:u w:val="single"/>
          <w:lang w:val="en-US" w:eastAsia="zh-CN"/>
        </w:rPr>
        <w:t>60</w:t>
      </w:r>
      <w:r>
        <w:rPr>
          <w:rFonts w:hint="eastAsia" w:ascii="Times New Roman" w:hAnsi="Times New Roman" w:cs="Times New Roman"/>
          <w:b/>
          <w:bCs/>
          <w:color w:val="auto"/>
          <w:sz w:val="24"/>
          <w:szCs w:val="24"/>
          <w:highlight w:val="none"/>
          <w:u w:val="single"/>
          <w:lang w:eastAsia="zh-CN"/>
        </w:rPr>
        <w:t>日历天内</w:t>
      </w:r>
      <w:r>
        <w:rPr>
          <w:rFonts w:hint="eastAsia" w:ascii="Times New Roman" w:hAnsi="Times New Roman" w:cs="Times New Roman"/>
          <w:color w:val="auto"/>
          <w:sz w:val="24"/>
          <w:szCs w:val="24"/>
          <w:highlight w:val="none"/>
          <w:lang w:eastAsia="zh-CN"/>
        </w:rPr>
        <w:t>供货完毕并申请验收；</w:t>
      </w:r>
    </w:p>
    <w:p w14:paraId="5935A8F8">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1.2交货地点：</w:t>
      </w:r>
      <w:r>
        <w:rPr>
          <w:rFonts w:hint="eastAsia" w:ascii="宋体" w:hAnsi="宋体" w:eastAsia="宋体" w:cs="宋体"/>
          <w:color w:val="auto"/>
          <w:sz w:val="24"/>
          <w:szCs w:val="24"/>
          <w:highlight w:val="none"/>
          <w:lang w:val="en-US" w:eastAsia="zh-CN"/>
        </w:rPr>
        <w:t>甲方指定</w:t>
      </w:r>
      <w:r>
        <w:rPr>
          <w:rFonts w:hint="eastAsia" w:ascii="宋体" w:hAnsi="宋体" w:eastAsia="宋体" w:cs="宋体"/>
          <w:color w:val="auto"/>
          <w:sz w:val="24"/>
          <w:szCs w:val="24"/>
          <w:highlight w:val="none"/>
          <w:lang w:eastAsia="zh-CN"/>
        </w:rPr>
        <w:t>；</w:t>
      </w:r>
    </w:p>
    <w:p w14:paraId="17444DF4">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highlight w:val="yellow"/>
          <w:lang w:eastAsia="zh-CN"/>
        </w:rPr>
      </w:pPr>
      <w:r>
        <w:rPr>
          <w:rFonts w:hint="eastAsia" w:ascii="宋体" w:hAnsi="宋体" w:eastAsia="宋体" w:cs="宋体"/>
          <w:spacing w:val="-2"/>
          <w:sz w:val="24"/>
          <w:szCs w:val="24"/>
          <w:lang w:eastAsia="zh-CN"/>
        </w:rPr>
        <w:t>2.付款方式：</w:t>
      </w:r>
      <w:r>
        <w:rPr>
          <w:rFonts w:hint="eastAsia" w:ascii="宋体" w:hAnsi="宋体" w:eastAsia="宋体" w:cs="宋体"/>
          <w:spacing w:val="-2"/>
          <w:sz w:val="24"/>
          <w:szCs w:val="24"/>
          <w:highlight w:val="none"/>
          <w:lang w:val="en-US" w:eastAsia="zh-CN"/>
        </w:rPr>
        <w:t>乙方完成建设内容，甲方验收合格后，乙方提供本合同等额正式发票，甲方在财政资金到位后一次性支付给乙方；</w:t>
      </w:r>
    </w:p>
    <w:p w14:paraId="0222A7F7">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3.包装和运输（须满足财政部《关于印发〈商品包装政府采购需求标准（试行）〉、〈快递包装政府采购需求标准（试行）〉的通知》（财办库﹝2020﹞123 号）。</w:t>
      </w:r>
    </w:p>
    <w:p w14:paraId="045B8B16">
      <w:pPr>
        <w:pStyle w:val="6"/>
        <w:keepNext w:val="0"/>
        <w:keepLines w:val="0"/>
        <w:pageBreakBefore w:val="0"/>
        <w:widowControl w:val="0"/>
        <w:kinsoku/>
        <w:wordWrap/>
        <w:overflowPunct/>
        <w:topLinePunct w:val="0"/>
        <w:autoSpaceDE/>
        <w:autoSpaceDN/>
        <w:bidi w:val="0"/>
        <w:adjustRightInd/>
        <w:snapToGrid/>
        <w:spacing w:line="500" w:lineRule="exact"/>
        <w:ind w:firstLine="448" w:firstLineChars="200"/>
        <w:textAlignment w:val="auto"/>
        <w:rPr>
          <w:rFonts w:ascii="宋体" w:hAnsi="宋体" w:eastAsia="宋体" w:cs="宋体"/>
          <w:spacing w:val="-8"/>
          <w:sz w:val="24"/>
          <w:szCs w:val="24"/>
          <w:lang w:eastAsia="zh-CN"/>
        </w:rPr>
      </w:pPr>
      <w:r>
        <w:rPr>
          <w:rFonts w:hint="eastAsia" w:ascii="宋体" w:hAnsi="宋体" w:eastAsia="宋体" w:cs="宋体"/>
          <w:spacing w:val="-8"/>
          <w:sz w:val="24"/>
          <w:szCs w:val="24"/>
          <w:lang w:eastAsia="zh-CN"/>
        </w:rPr>
        <w:t>4.质保期</w:t>
      </w:r>
    </w:p>
    <w:p w14:paraId="5E5F7849">
      <w:pPr>
        <w:pStyle w:val="6"/>
        <w:keepNext w:val="0"/>
        <w:keepLines w:val="0"/>
        <w:pageBreakBefore w:val="0"/>
        <w:widowControl w:val="0"/>
        <w:kinsoku/>
        <w:wordWrap/>
        <w:overflowPunct/>
        <w:topLinePunct w:val="0"/>
        <w:autoSpaceDE/>
        <w:autoSpaceDN/>
        <w:bidi w:val="0"/>
        <w:adjustRightInd/>
        <w:snapToGrid/>
        <w:spacing w:line="500" w:lineRule="exact"/>
        <w:ind w:firstLine="448" w:firstLineChars="200"/>
        <w:textAlignment w:val="auto"/>
        <w:rPr>
          <w:rFonts w:ascii="宋体" w:hAnsi="宋体" w:eastAsia="宋体" w:cs="宋体"/>
          <w:spacing w:val="-5"/>
          <w:sz w:val="24"/>
          <w:szCs w:val="24"/>
          <w:highlight w:val="none"/>
          <w:lang w:eastAsia="zh-CN"/>
        </w:rPr>
      </w:pPr>
      <w:r>
        <w:rPr>
          <w:rFonts w:hint="eastAsia" w:ascii="宋体" w:hAnsi="宋体" w:eastAsia="宋体" w:cs="宋体"/>
          <w:spacing w:val="-8"/>
          <w:sz w:val="24"/>
          <w:szCs w:val="24"/>
          <w:highlight w:val="none"/>
          <w:lang w:eastAsia="zh-CN"/>
        </w:rPr>
        <w:t>4.1</w:t>
      </w:r>
      <w:r>
        <w:rPr>
          <w:rFonts w:hint="eastAsia"/>
          <w:color w:val="auto"/>
          <w:sz w:val="24"/>
          <w:szCs w:val="24"/>
          <w:highlight w:val="none"/>
          <w:lang w:eastAsia="zh-CN"/>
        </w:rPr>
        <w:t>质量保证期为</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3</w:t>
      </w:r>
      <w:r>
        <w:rPr>
          <w:rFonts w:hint="eastAsia"/>
          <w:color w:val="auto"/>
          <w:sz w:val="24"/>
          <w:szCs w:val="24"/>
          <w:highlight w:val="none"/>
          <w:u w:val="single"/>
          <w:lang w:eastAsia="zh-CN"/>
        </w:rPr>
        <w:t xml:space="preserve"> </w:t>
      </w:r>
      <w:r>
        <w:rPr>
          <w:rFonts w:hint="eastAsia"/>
          <w:color w:val="auto"/>
          <w:sz w:val="24"/>
          <w:szCs w:val="24"/>
          <w:highlight w:val="none"/>
          <w:lang w:eastAsia="zh-CN"/>
        </w:rPr>
        <w:t>年</w:t>
      </w:r>
      <w:r>
        <w:rPr>
          <w:rFonts w:hint="eastAsia" w:ascii="宋体" w:hAnsi="宋体" w:eastAsia="宋体" w:cs="宋体"/>
          <w:color w:val="auto"/>
          <w:spacing w:val="-5"/>
          <w:sz w:val="24"/>
          <w:szCs w:val="24"/>
          <w:highlight w:val="none"/>
          <w:lang w:eastAsia="zh-CN"/>
        </w:rPr>
        <w:t>自验收合格之日起开始计算。</w:t>
      </w:r>
    </w:p>
    <w:p w14:paraId="44F846EC">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eastAsia="zh-CN"/>
        </w:rPr>
        <w:t>4.2质保期内投标人提供免费售后服务。服务期间，提供7*24小时服务响应热线电话，提供4小时故障响应，24小时解决故障服务</w:t>
      </w:r>
      <w:r>
        <w:rPr>
          <w:rFonts w:hint="eastAsia" w:cs="宋体"/>
          <w:spacing w:val="-5"/>
          <w:sz w:val="24"/>
          <w:szCs w:val="24"/>
          <w:highlight w:val="none"/>
          <w:lang w:eastAsia="zh-CN"/>
        </w:rPr>
        <w:t>。</w:t>
      </w:r>
    </w:p>
    <w:p w14:paraId="67CEF4C8">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5"/>
          <w:sz w:val="24"/>
          <w:szCs w:val="24"/>
          <w:lang w:eastAsia="zh-CN"/>
        </w:rPr>
      </w:pPr>
      <w:r>
        <w:rPr>
          <w:rFonts w:hint="eastAsia" w:ascii="宋体" w:hAnsi="宋体" w:eastAsia="宋体" w:cs="宋体"/>
          <w:spacing w:val="-2"/>
          <w:sz w:val="24"/>
          <w:szCs w:val="24"/>
          <w:lang w:eastAsia="zh-CN"/>
        </w:rPr>
        <w:t>5.</w:t>
      </w:r>
      <w:r>
        <w:rPr>
          <w:rFonts w:hint="eastAsia" w:ascii="宋体" w:hAnsi="宋体" w:eastAsia="宋体" w:cs="宋体"/>
          <w:spacing w:val="-5"/>
          <w:sz w:val="24"/>
          <w:szCs w:val="24"/>
          <w:lang w:eastAsia="zh-CN"/>
        </w:rPr>
        <w:t>关于强制节能产品的要求：</w:t>
      </w:r>
    </w:p>
    <w:p w14:paraId="4A939CF8">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宋体" w:hAnsi="宋体" w:eastAsia="宋体" w:cs="宋体"/>
          <w:spacing w:val="-5"/>
          <w:sz w:val="24"/>
          <w:szCs w:val="24"/>
          <w:lang w:eastAsia="zh-CN"/>
        </w:rPr>
      </w:pPr>
      <w:r>
        <w:rPr>
          <w:rFonts w:hint="eastAsia" w:ascii="宋体" w:hAnsi="宋体" w:eastAsia="宋体" w:cs="宋体"/>
          <w:spacing w:val="-5"/>
          <w:sz w:val="24"/>
          <w:szCs w:val="24"/>
          <w:lang w:eastAsia="zh-CN"/>
        </w:rPr>
        <w:t>5.</w:t>
      </w:r>
      <w:r>
        <w:rPr>
          <w:rFonts w:hint="eastAsia" w:ascii="宋体" w:hAnsi="宋体" w:cs="宋体"/>
          <w:spacing w:val="-5"/>
          <w:sz w:val="24"/>
          <w:szCs w:val="24"/>
          <w:lang w:val="en-US" w:eastAsia="zh-CN"/>
        </w:rPr>
        <w:t>1</w:t>
      </w:r>
      <w:r>
        <w:rPr>
          <w:rFonts w:hint="eastAsia" w:ascii="宋体" w:hAnsi="宋体" w:eastAsia="宋体" w:cs="宋体"/>
          <w:spacing w:val="-5"/>
          <w:sz w:val="24"/>
          <w:szCs w:val="24"/>
          <w:lang w:eastAsia="zh-CN"/>
        </w:rPr>
        <w:t>强制采购的节能产品:</w:t>
      </w:r>
      <w:r>
        <w:rPr>
          <w:rFonts w:hint="eastAsia" w:ascii="宋体" w:hAnsi="宋体" w:cs="宋体"/>
          <w:spacing w:val="-5"/>
          <w:sz w:val="24"/>
          <w:szCs w:val="24"/>
          <w:lang w:val="en-US" w:eastAsia="zh-CN"/>
        </w:rPr>
        <w:t>计算机、打印机、显示器</w:t>
      </w:r>
      <w:r>
        <w:rPr>
          <w:rFonts w:hint="eastAsia" w:ascii="宋体" w:hAnsi="宋体" w:eastAsia="宋体" w:cs="宋体"/>
          <w:spacing w:val="-5"/>
          <w:sz w:val="24"/>
          <w:szCs w:val="24"/>
          <w:lang w:eastAsia="zh-CN"/>
        </w:rPr>
        <w:t xml:space="preserve">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 </w:t>
      </w:r>
    </w:p>
    <w:p w14:paraId="1735C8F9">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宋体" w:hAnsi="宋体" w:eastAsia="宋体" w:cs="宋体"/>
          <w:spacing w:val="-5"/>
          <w:sz w:val="24"/>
          <w:szCs w:val="24"/>
          <w:lang w:eastAsia="zh-CN"/>
        </w:rPr>
      </w:pPr>
      <w:r>
        <w:rPr>
          <w:rFonts w:hint="eastAsia" w:ascii="宋体" w:hAnsi="宋体" w:eastAsia="宋体" w:cs="宋体"/>
          <w:spacing w:val="-5"/>
          <w:sz w:val="24"/>
          <w:szCs w:val="24"/>
          <w:lang w:eastAsia="zh-CN"/>
        </w:rPr>
        <w:t>5.3投标人所投产品如属于政府优先节能产品或环境标志产品或无线局域网产品，应提供处于有效期之内认证证书等相关证明，在评标时予以优先采购。</w:t>
      </w:r>
    </w:p>
    <w:p w14:paraId="1F433A27">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sz w:val="24"/>
          <w:szCs w:val="24"/>
          <w:lang w:eastAsia="zh-CN"/>
        </w:rPr>
      </w:pPr>
      <w:r>
        <w:rPr>
          <w:rFonts w:hint="eastAsia" w:ascii="宋体" w:hAnsi="宋体" w:eastAsia="宋体" w:cs="宋体"/>
          <w:spacing w:val="-5"/>
          <w:sz w:val="24"/>
          <w:szCs w:val="24"/>
          <w:lang w:eastAsia="zh-CN"/>
        </w:rPr>
        <w:t>上述政策以国家发布最新为准，未尽事宜，按国家有关规定执行。</w:t>
      </w:r>
    </w:p>
    <w:p w14:paraId="1B1A3134">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6.验收标准及方式：</w:t>
      </w:r>
    </w:p>
    <w:p w14:paraId="7D5C6E7A">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6.1验收小组应由采购人、使用单位、受邀的第三方组成。</w:t>
      </w:r>
    </w:p>
    <w:p w14:paraId="3708EE78">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6.2货物验收：</w:t>
      </w:r>
    </w:p>
    <w:p w14:paraId="068AEB07">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货物到场后，中标人应向验收小组发出申请，验收小组依招投标文件及国家相关标准为依据，对货物进行</w:t>
      </w:r>
      <w:r>
        <w:rPr>
          <w:rFonts w:hint="eastAsia" w:cs="宋体"/>
          <w:spacing w:val="-2"/>
          <w:sz w:val="24"/>
          <w:szCs w:val="24"/>
          <w:lang w:val="en-US" w:eastAsia="zh-CN"/>
        </w:rPr>
        <w:t>签</w:t>
      </w:r>
      <w:r>
        <w:rPr>
          <w:rFonts w:hint="eastAsia" w:ascii="宋体" w:hAnsi="宋体" w:eastAsia="宋体" w:cs="宋体"/>
          <w:spacing w:val="-2"/>
          <w:sz w:val="24"/>
          <w:szCs w:val="24"/>
          <w:lang w:eastAsia="zh-CN"/>
        </w:rPr>
        <w:t>收。验收小组对不符合验收条件的货物拒收，并限期提供合格货物。</w:t>
      </w:r>
    </w:p>
    <w:p w14:paraId="5F7BFE0C">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6.3安装验收：</w:t>
      </w:r>
    </w:p>
    <w:p w14:paraId="29BC68B2">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货物及组装材料验收合格后方可进行安装调试，安装调试应以达到采购人正常使用为标准。中标人向验收小组发出全面验收邀请。</w:t>
      </w:r>
    </w:p>
    <w:p w14:paraId="0B757657">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6.4</w:t>
      </w:r>
      <w:r>
        <w:rPr>
          <w:rFonts w:hint="eastAsia"/>
          <w:sz w:val="24"/>
          <w:szCs w:val="24"/>
          <w:lang w:eastAsia="zh-CN"/>
        </w:rPr>
        <w:t>中标人在要求期限内不能履行合同的，采购人有权终止合同，由此造成的经济损失及社会负面影响均有中标人承担，并依法报请南阳市政府采购监督管理部门处理。</w:t>
      </w:r>
    </w:p>
    <w:p w14:paraId="642535F3">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w:t>
      </w:r>
      <w:r>
        <w:rPr>
          <w:rFonts w:hint="eastAsia" w:ascii="宋体" w:hAnsi="宋体" w:eastAsia="宋体" w:cs="宋体"/>
          <w:spacing w:val="30"/>
          <w:sz w:val="24"/>
          <w:szCs w:val="24"/>
          <w:lang w:eastAsia="zh-CN"/>
        </w:rPr>
        <w:t>□有</w:t>
      </w:r>
      <w:r>
        <w:rPr>
          <w:rFonts w:hint="eastAsia" w:ascii="宋体" w:hAnsi="宋体" w:eastAsia="宋体" w:cs="宋体"/>
          <w:sz w:val="24"/>
          <w:szCs w:val="24"/>
          <w:lang w:eastAsia="zh-CN"/>
        </w:rPr>
        <w:t>样品，样品提供要求、方式、摆放时间及地点</w:t>
      </w:r>
    </w:p>
    <w:p w14:paraId="40D77F04">
      <w:pPr>
        <w:pStyle w:val="6"/>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eastAsia="宋体" w:cs="宋体"/>
          <w:sz w:val="24"/>
          <w:szCs w:val="24"/>
          <w:lang w:eastAsia="zh-CN"/>
        </w:rPr>
      </w:pPr>
      <w:r>
        <w:rPr>
          <w:rFonts w:hint="eastAsia" w:ascii="宋体" w:hAnsi="宋体" w:eastAsia="宋体" w:cs="宋体"/>
          <w:spacing w:val="30"/>
          <w:sz w:val="24"/>
          <w:szCs w:val="24"/>
          <w:lang w:eastAsia="zh-CN"/>
        </w:rPr>
        <w:t>☑无</w:t>
      </w:r>
      <w:r>
        <w:rPr>
          <w:rFonts w:hint="eastAsia" w:ascii="宋体" w:hAnsi="宋体" w:eastAsia="宋体" w:cs="宋体"/>
          <w:sz w:val="24"/>
          <w:szCs w:val="24"/>
          <w:lang w:eastAsia="zh-CN"/>
        </w:rPr>
        <w:t>样品。</w:t>
      </w:r>
    </w:p>
    <w:p w14:paraId="6E7D42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.质量要求：满足采购人需求，符合国家及行业相关标准。</w:t>
      </w:r>
    </w:p>
    <w:p w14:paraId="679E2D94">
      <w:pPr>
        <w:keepNext w:val="0"/>
        <w:keepLines w:val="0"/>
        <w:pageBreakBefore w:val="0"/>
        <w:widowControl w:val="0"/>
        <w:kinsoku/>
        <w:wordWrap/>
        <w:overflowPunct/>
        <w:topLinePunct w:val="0"/>
        <w:autoSpaceDE/>
        <w:autoSpaceDN/>
        <w:bidi w:val="0"/>
        <w:adjustRightInd/>
        <w:snapToGrid/>
        <w:spacing w:line="50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lang w:eastAsia="zh-CN"/>
        </w:rPr>
        <w:t>其他要求：中标人在供货安装调试过程中，如对采购人原设备、物品有损坏的应无偿恢复。</w:t>
      </w:r>
    </w:p>
    <w:p w14:paraId="732D48AB">
      <w:pPr>
        <w:pStyle w:val="18"/>
        <w:rPr>
          <w:rFonts w:hint="eastAsia"/>
          <w:lang w:val="en-US" w:eastAsia="zh-CN"/>
        </w:rPr>
      </w:pPr>
    </w:p>
    <w:p w14:paraId="1E5C7E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lang w:val="en-US" w:eastAsia="zh-CN"/>
        </w:rPr>
      </w:pPr>
    </w:p>
    <w:p w14:paraId="01194F9A">
      <w:pPr>
        <w:pStyle w:val="6"/>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671C978B">
      <w:pPr>
        <w:pStyle w:val="6"/>
        <w:keepNext w:val="0"/>
        <w:keepLines w:val="0"/>
        <w:pageBreakBefore w:val="0"/>
        <w:numPr>
          <w:ilvl w:val="0"/>
          <w:numId w:val="0"/>
        </w:numPr>
        <w:kinsoku/>
        <w:wordWrap w:val="0"/>
        <w:overflowPunct/>
        <w:topLinePunct w:val="0"/>
        <w:bidi w:val="0"/>
        <w:spacing w:before="352" w:line="690" w:lineRule="exact"/>
        <w:ind w:firstLine="2148" w:firstLineChars="600"/>
        <w:jc w:val="both"/>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137D2772">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23"/>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9"/>
        <w:gridCol w:w="7188"/>
      </w:tblGrid>
      <w:tr w14:paraId="1298A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12" w:space="0"/>
              <w:left w:val="single" w:color="auto" w:sz="12" w:space="0"/>
              <w:bottom w:val="single" w:color="auto" w:sz="6" w:space="0"/>
              <w:right w:val="single" w:color="auto" w:sz="6" w:space="0"/>
            </w:tcBorders>
            <w:noWrap w:val="0"/>
            <w:vAlign w:val="center"/>
          </w:tcPr>
          <w:p w14:paraId="2929BA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188" w:type="dxa"/>
            <w:tcBorders>
              <w:top w:val="single" w:color="auto" w:sz="12" w:space="0"/>
              <w:left w:val="single" w:color="auto" w:sz="6" w:space="0"/>
              <w:bottom w:val="single" w:color="auto" w:sz="6" w:space="0"/>
              <w:right w:val="single" w:color="auto" w:sz="12" w:space="0"/>
            </w:tcBorders>
            <w:noWrap w:val="0"/>
            <w:vAlign w:val="center"/>
          </w:tcPr>
          <w:p w14:paraId="3D572E9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123B9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39AF60A">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C8B0BE6">
            <w:pPr>
              <w:pStyle w:val="32"/>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572723DB">
            <w:pPr>
              <w:pStyle w:val="32"/>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4A085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506217F">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03D4154E">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3F0F9707">
            <w:pPr>
              <w:pStyle w:val="32"/>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04295DC6">
            <w:pPr>
              <w:pStyle w:val="32"/>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7E5C0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330979A3">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549B26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035D7263">
            <w:pPr>
              <w:pStyle w:val="32"/>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58996ED9">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lang w:eastAsia="zh-CN"/>
              </w:rPr>
              <w:t>□</w:t>
            </w:r>
            <w:r>
              <w:rPr>
                <w:rFonts w:hint="eastAsia" w:asciiTheme="minorEastAsia" w:hAnsiTheme="minorEastAsia" w:eastAsiaTheme="minorEastAsia" w:cstheme="minorEastAsia"/>
                <w:color w:val="auto"/>
                <w:spacing w:val="-12"/>
                <w:sz w:val="24"/>
                <w:szCs w:val="24"/>
              </w:rPr>
              <w:t>组织，考察时间：</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年</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月</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日</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点</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分</w:t>
            </w:r>
          </w:p>
          <w:p w14:paraId="47DAD0D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BC11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5AA8C24">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408E4918">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588CF411">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231C2CBC">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855B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0B326A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49535ED">
            <w:pPr>
              <w:pStyle w:val="32"/>
              <w:keepNext w:val="0"/>
              <w:keepLines w:val="0"/>
              <w:pageBreakBefore w:val="0"/>
              <w:widowControl/>
              <w:numPr>
                <w:ilvl w:val="0"/>
                <w:numId w:val="5"/>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本项目采购标的按照中小企业划分标准属于：</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制造业 </w:t>
            </w:r>
          </w:p>
          <w:p w14:paraId="28160BFA">
            <w:pPr>
              <w:pStyle w:val="32"/>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□本项目专门面向中小企业采购。</w:t>
            </w:r>
          </w:p>
          <w:p w14:paraId="17E4B253">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本项目小微企业价格折扣比例</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15 </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w:t>
            </w:r>
          </w:p>
          <w:p w14:paraId="22635D9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4B77F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627208A6">
            <w:pPr>
              <w:pStyle w:val="32"/>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12674468">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B067019">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3A2808AD">
            <w:pPr>
              <w:pStyle w:val="32"/>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591DD3C3">
            <w:pPr>
              <w:pStyle w:val="32"/>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23AD767C">
            <w:pPr>
              <w:pStyle w:val="32"/>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00FF7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53E511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45FFE5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b/>
                <w:bCs/>
                <w:color w:val="auto"/>
                <w:spacing w:val="-12"/>
                <w:sz w:val="24"/>
                <w:szCs w:val="24"/>
                <w:u w:val="single"/>
                <w:lang w:val="en-US" w:eastAsia="zh-CN"/>
              </w:rPr>
              <w:t xml:space="preserve">295 </w:t>
            </w:r>
            <w:r>
              <w:rPr>
                <w:rFonts w:hint="eastAsia" w:asciiTheme="minorEastAsia" w:hAnsiTheme="minorEastAsia" w:eastAsiaTheme="minorEastAsia" w:cstheme="minorEastAsia"/>
                <w:b/>
                <w:bCs/>
                <w:snapToGrid w:val="0"/>
                <w:color w:val="auto"/>
                <w:spacing w:val="29"/>
                <w:kern w:val="0"/>
                <w:sz w:val="24"/>
                <w:szCs w:val="24"/>
                <w:lang w:val="en-US" w:eastAsia="zh-CN" w:bidi="ar-SA"/>
              </w:rPr>
              <w:t>万元</w:t>
            </w:r>
          </w:p>
        </w:tc>
      </w:tr>
      <w:tr w14:paraId="15C32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F42BCF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F511D1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65F13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3C3FA4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433261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09F23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3D334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5A9524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lang w:val="en-US" w:eastAsia="zh-CN"/>
              </w:rPr>
              <w:t xml:space="preserve"> </w:t>
            </w:r>
            <w:r>
              <w:rPr>
                <w:rFonts w:hint="eastAsia" w:asciiTheme="minorEastAsia" w:hAnsiTheme="minorEastAsia" w:eastAsiaTheme="minorEastAsia" w:cstheme="minorEastAsia"/>
                <w:color w:val="auto"/>
                <w:spacing w:val="-12"/>
                <w:sz w:val="24"/>
                <w:szCs w:val="24"/>
                <w:highlight w:val="none"/>
                <w:u w:val="single"/>
                <w:lang w:val="en-US" w:eastAsia="zh-CN"/>
              </w:rPr>
              <w:t xml:space="preserve">28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14181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6E286B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5B9F0F8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lang w:val="en-US" w:eastAsia="zh-CN"/>
              </w:rPr>
              <w:t xml:space="preserve"> </w:t>
            </w:r>
            <w:r>
              <w:rPr>
                <w:rFonts w:hint="eastAsia" w:asciiTheme="minorEastAsia" w:hAnsiTheme="minorEastAsia" w:eastAsiaTheme="minorEastAsia" w:cstheme="minorEastAsia"/>
                <w:color w:val="auto"/>
                <w:spacing w:val="-12"/>
                <w:sz w:val="24"/>
                <w:szCs w:val="24"/>
                <w:highlight w:val="none"/>
                <w:u w:val="single"/>
                <w:lang w:val="en-US" w:eastAsia="zh-CN"/>
              </w:rPr>
              <w:t xml:space="preserve">28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2BD8E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6F9EA2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2976665">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b/>
                <w:bCs/>
                <w:spacing w:val="-1"/>
                <w:sz w:val="24"/>
                <w:szCs w:val="24"/>
                <w:highlight w:val="none"/>
                <w:u w:val="single"/>
                <w:lang w:eastAsia="zh-CN"/>
              </w:rPr>
              <w:t>排队叫号系统</w:t>
            </w:r>
          </w:p>
        </w:tc>
      </w:tr>
      <w:tr w14:paraId="63906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BB0BD4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FA6145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56076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FFE8C04">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是否采用“暗标”评审</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B7D5DCF">
            <w:pPr>
              <w:pStyle w:val="32"/>
              <w:keepNext w:val="0"/>
              <w:keepLines w:val="0"/>
              <w:pageBreakBefore w:val="0"/>
              <w:kinsoku/>
              <w:wordWrap w:val="0"/>
              <w:overflowPunct/>
              <w:topLinePunct w:val="0"/>
              <w:bidi w:val="0"/>
              <w:spacing w:line="223"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 xml:space="preserve">否 </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是，具体要求详见投标人须知</w:t>
            </w:r>
          </w:p>
        </w:tc>
      </w:tr>
      <w:tr w14:paraId="66C94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FFC421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B3E8A6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lang w:eastAsia="zh-CN"/>
              </w:rPr>
              <w:t>是否委托评标委员会直接确定中标人：</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pacing w:val="14"/>
                <w:sz w:val="24"/>
                <w:szCs w:val="24"/>
                <w:lang w:val="en-US" w:eastAsia="zh-CN"/>
              </w:rPr>
              <w:t>否</w:t>
            </w:r>
          </w:p>
        </w:tc>
      </w:tr>
      <w:tr w14:paraId="04B98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86E03B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4932624">
            <w:pPr>
              <w:pStyle w:val="32"/>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02DE5ABF">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020CF2A9">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57B168BF">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4D759CC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72E1F14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70CFB3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2EE0424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336637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409D972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color w:val="auto"/>
          <w:spacing w:val="7"/>
          <w:sz w:val="24"/>
          <w:szCs w:val="24"/>
        </w:rPr>
        <w:t>资金来源为财政性资金</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u w:val="single"/>
          <w:lang w:val="en-US" w:eastAsia="zh-CN"/>
        </w:rPr>
        <w:t>295</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u w:val="none"/>
          <w:lang w:val="en-US" w:eastAsia="zh-CN"/>
        </w:rPr>
        <w:t>万元</w:t>
      </w:r>
    </w:p>
    <w:p w14:paraId="7A78AC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7E1DE7B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47EA4D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1FFE35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4EFD9B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5C091F9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3E8A57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2221B7C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53405A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77AECE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4ED983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57BB19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1F316BB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4EB1244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2A2AF47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7F0552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385762F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546B97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7B4035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276EF44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074BE6A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37D6B1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6F6E1A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073E061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0C8D994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1A1741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1AD1D8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697E2A1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C14A2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82231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0C1F7EE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0B27D6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20CB75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CF05D1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46E89B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2AB8F1C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61174F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230C249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4294FF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52A3B2B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01D808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344B18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78FA8B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5ABD7B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68978AB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2E8C22E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758D2CC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260177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19062E3A">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5C51C5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6AB9C76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613681D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highlight w:val="yellow"/>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南阳市政务服务中心智慧化管理系统项目。</w:t>
      </w:r>
    </w:p>
    <w:p w14:paraId="07DB5EE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6.4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安装及售后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0B98CAC4">
      <w:pPr>
        <w:pStyle w:val="30"/>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07D26B46">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4BDC0540">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2F09A368">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61B6D1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2912F3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4198B92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1B58361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61CF906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2A5F38A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7D5118D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04B615D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2303DD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3C74D1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1B7B90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591CF2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27AD24FE">
      <w:pPr>
        <w:keepNext w:val="0"/>
        <w:keepLines w:val="0"/>
        <w:pageBreakBefore w:val="0"/>
        <w:widowControl/>
        <w:overflowPunct/>
        <w:topLinePunct w:val="0"/>
        <w:autoSpaceDE w:val="0"/>
        <w:autoSpaceDN w:val="0"/>
        <w:bidi w:val="0"/>
        <w:adjustRightInd w:val="0"/>
        <w:snapToGrid w:val="0"/>
        <w:spacing w:line="400" w:lineRule="exact"/>
        <w:ind w:firstLine="450" w:firstLineChars="200"/>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napToGrid w:val="0"/>
          <w:color w:val="000000"/>
          <w:spacing w:val="-8"/>
          <w:kern w:val="0"/>
          <w:sz w:val="24"/>
          <w:szCs w:val="24"/>
          <w:lang w:val="en-US" w:eastAsia="zh-CN" w:bidi="ar-SA"/>
        </w:rPr>
        <w:t>全国公共资源交易平台(河南省·南阳市)</w:t>
      </w:r>
      <w:r>
        <w:rPr>
          <w:rFonts w:hint="eastAsia" w:asciiTheme="minorEastAsia" w:hAnsiTheme="minorEastAsia" w:eastAsiaTheme="minorEastAsia" w:cstheme="minorEastAsia"/>
          <w:b/>
          <w:bCs/>
          <w:spacing w:val="-8"/>
          <w:sz w:val="24"/>
          <w:szCs w:val="24"/>
          <w:lang w:val="en-US" w:eastAsia="zh-CN"/>
        </w:rPr>
        <w:t>”发布，请潜在投标供应商随时查询有关公告信息。若因潜在投标供应商没有及时查看到公告信息而造成的投标失误，责任自负。</w:t>
      </w:r>
    </w:p>
    <w:p w14:paraId="1CC89D42">
      <w:pPr>
        <w:pStyle w:val="6"/>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1043E4B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3101F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1DF326F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5BF6A8B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08D1381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67C3B01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D92A45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14593CDB">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《商务</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557B5D3E">
      <w:pPr>
        <w:pStyle w:val="4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06D20282">
      <w:pPr>
        <w:pStyle w:val="40"/>
        <w:snapToGrid w:val="0"/>
        <w:spacing w:line="360" w:lineRule="auto"/>
        <w:ind w:firstLine="480" w:firstLineChars="200"/>
        <w:textAlignment w:val="auto"/>
        <w:rPr>
          <w:rFonts w:hint="eastAsia" w:hAnsi="宋体" w:cs="宋体"/>
          <w:sz w:val="24"/>
          <w:szCs w:val="24"/>
        </w:rPr>
      </w:pPr>
      <w:r>
        <w:rPr>
          <w:rFonts w:hint="eastAsia" w:asciiTheme="minorEastAsia" w:hAnsiTheme="minorEastAsia" w:eastAsiaTheme="minorEastAsia" w:cstheme="minorEastAsia"/>
          <w:sz w:val="24"/>
          <w:szCs w:val="24"/>
          <w:lang w:val="en-US" w:eastAsia="zh-CN"/>
        </w:rPr>
        <w:t>10.3</w:t>
      </w:r>
      <w:r>
        <w:rPr>
          <w:rFonts w:hint="eastAsia" w:hAnsi="宋体" w:cs="宋体"/>
          <w:sz w:val="24"/>
          <w:szCs w:val="24"/>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59065BC7">
      <w:pPr>
        <w:pStyle w:val="40"/>
        <w:snapToGrid w:val="0"/>
        <w:spacing w:line="360" w:lineRule="auto"/>
        <w:ind w:firstLine="480"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10.4技术标文件制作要求：</w:t>
      </w:r>
    </w:p>
    <w:p w14:paraId="46214095">
      <w:pPr>
        <w:pStyle w:val="40"/>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.1版面要求：A4纸张大小</w:t>
      </w:r>
      <w:r>
        <w:rPr>
          <w:rFonts w:hint="default" w:hAnsi="宋体" w:cs="宋体"/>
          <w:b/>
          <w:bCs/>
          <w:sz w:val="24"/>
          <w:szCs w:val="24"/>
        </w:rPr>
        <w:t>，纵向排版</w:t>
      </w:r>
      <w:r>
        <w:rPr>
          <w:rFonts w:hint="eastAsia" w:hAnsi="宋体" w:cs="宋体"/>
          <w:b/>
          <w:bCs/>
          <w:sz w:val="24"/>
          <w:szCs w:val="24"/>
        </w:rPr>
        <w:t xml:space="preserve">。 </w:t>
      </w:r>
    </w:p>
    <w:p w14:paraId="37E11755">
      <w:pPr>
        <w:pStyle w:val="40"/>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.2颜色要求：所有文字、图表均为黑色。 </w:t>
      </w:r>
    </w:p>
    <w:p w14:paraId="7EA4EA93">
      <w:pPr>
        <w:pStyle w:val="40"/>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.3字体要求：标题及正文部分所用文字均采用“宋体”四号“常规”字；图、表内的字体及字号不作要求；全部使用中文标点；所有字体均不得出现加粗、加色、倾斜、下划线等标记。 </w:t>
      </w:r>
    </w:p>
    <w:p w14:paraId="423DA64F">
      <w:pPr>
        <w:pStyle w:val="40"/>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.4</w:t>
      </w:r>
      <w:r>
        <w:rPr>
          <w:rFonts w:hint="eastAsia" w:hAnsi="宋体" w:eastAsia="宋体" w:cs="宋体"/>
          <w:b/>
          <w:bCs/>
          <w:sz w:val="24"/>
          <w:szCs w:val="24"/>
          <w:lang w:val="en-US" w:eastAsia="zh-CN"/>
        </w:rPr>
        <w:t xml:space="preserve"> </w:t>
      </w:r>
      <w:r>
        <w:rPr>
          <w:rFonts w:hint="eastAsia" w:hAnsi="宋体" w:cs="宋体"/>
          <w:b/>
          <w:bCs/>
          <w:sz w:val="24"/>
          <w:szCs w:val="24"/>
        </w:rPr>
        <w:t>排版要求：页边距要求上</w:t>
      </w:r>
      <w:r>
        <w:rPr>
          <w:rFonts w:hint="eastAsia" w:hAnsi="宋体" w:eastAsia="宋体" w:cs="宋体"/>
          <w:b/>
          <w:bCs/>
          <w:sz w:val="24"/>
          <w:szCs w:val="24"/>
          <w:lang w:eastAsia="zh-CN"/>
        </w:rPr>
        <w:t>、</w:t>
      </w:r>
      <w:r>
        <w:rPr>
          <w:rFonts w:hint="eastAsia" w:hAnsi="宋体" w:eastAsia="宋体" w:cs="宋体"/>
          <w:b/>
          <w:bCs/>
          <w:sz w:val="24"/>
          <w:szCs w:val="24"/>
          <w:lang w:val="en-US" w:eastAsia="zh-CN"/>
        </w:rPr>
        <w:t>下</w:t>
      </w:r>
      <w:r>
        <w:rPr>
          <w:rFonts w:hint="eastAsia" w:hAnsi="宋体" w:cs="宋体"/>
          <w:b/>
          <w:bCs/>
          <w:sz w:val="24"/>
          <w:szCs w:val="24"/>
        </w:rPr>
        <w:t>边距</w:t>
      </w:r>
      <w:r>
        <w:rPr>
          <w:rFonts w:hint="eastAsia" w:hAnsi="宋体" w:eastAsia="宋体" w:cs="宋体"/>
          <w:b/>
          <w:bCs/>
          <w:sz w:val="24"/>
          <w:szCs w:val="24"/>
          <w:lang w:val="en-US" w:eastAsia="zh-CN"/>
        </w:rPr>
        <w:t>3</w:t>
      </w:r>
      <w:r>
        <w:rPr>
          <w:rFonts w:hint="eastAsia" w:hAnsi="宋体" w:cs="宋体"/>
          <w:b/>
          <w:bCs/>
          <w:sz w:val="24"/>
          <w:szCs w:val="24"/>
        </w:rPr>
        <w:t>厘米，</w:t>
      </w:r>
      <w:r>
        <w:rPr>
          <w:rFonts w:hint="eastAsia" w:hAnsi="宋体" w:eastAsia="宋体" w:cs="宋体"/>
          <w:b/>
          <w:bCs/>
          <w:sz w:val="24"/>
          <w:szCs w:val="24"/>
          <w:lang w:val="en-US" w:eastAsia="zh-CN"/>
        </w:rPr>
        <w:t>左、右页边距2厘米</w:t>
      </w:r>
      <w:r>
        <w:rPr>
          <w:rFonts w:hint="eastAsia" w:hAnsi="宋体" w:cs="宋体"/>
          <w:b/>
          <w:bCs/>
          <w:sz w:val="24"/>
          <w:szCs w:val="24"/>
        </w:rPr>
        <w:t>；不得设置目录；正文行间距为固定值</w:t>
      </w:r>
      <w:r>
        <w:rPr>
          <w:rFonts w:hint="eastAsia" w:hAnsi="宋体" w:eastAsia="宋体" w:cs="宋体"/>
          <w:b/>
          <w:bCs/>
          <w:sz w:val="24"/>
          <w:szCs w:val="24"/>
          <w:lang w:val="en-US" w:eastAsia="zh-CN"/>
        </w:rPr>
        <w:t>25</w:t>
      </w:r>
      <w:r>
        <w:rPr>
          <w:rFonts w:hint="eastAsia" w:hAnsi="宋体" w:cs="宋体"/>
          <w:b/>
          <w:bCs/>
          <w:sz w:val="24"/>
          <w:szCs w:val="24"/>
        </w:rPr>
        <w:t>磅；文字内容（含正文标题、正文及表格标题）统一设为左对齐；首行缩进2字符，不得有空格；段落前后不设置空行；不得设置页眉、页脚和页码；图、表部分对齐形式统一设为居中对齐。</w:t>
      </w:r>
    </w:p>
    <w:p w14:paraId="78DD5B6D">
      <w:pPr>
        <w:pStyle w:val="40"/>
        <w:snapToGrid w:val="0"/>
        <w:spacing w:line="360" w:lineRule="auto"/>
        <w:ind w:firstLine="490" w:firstLineChars="200"/>
        <w:textAlignment w:val="auto"/>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2E71BB51">
      <w:pPr>
        <w:pStyle w:val="40"/>
        <w:snapToGrid w:val="0"/>
        <w:spacing w:line="360" w:lineRule="auto"/>
        <w:ind w:firstLine="490" w:firstLineChars="200"/>
        <w:textAlignment w:val="auto"/>
        <w:rPr>
          <w:rFonts w:hint="default" w:hAnsi="宋体" w:cs="宋体"/>
          <w:b/>
          <w:bCs/>
          <w:sz w:val="24"/>
          <w:szCs w:val="24"/>
          <w:lang w:val="en-US"/>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10.4.6编写软件及版本要求:MicrosoftWord2007或以上。</w:t>
      </w:r>
    </w:p>
    <w:p w14:paraId="53C3483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010D11E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703B2A9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44995A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8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7C2D717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10.9 </w:t>
      </w:r>
      <w:r>
        <w:rPr>
          <w:rFonts w:hint="eastAsia" w:asciiTheme="minorEastAsia" w:hAnsiTheme="minorEastAsia" w:eastAsiaTheme="minorEastAsia" w:cstheme="minorEastAsia"/>
          <w:sz w:val="24"/>
          <w:szCs w:val="24"/>
          <w:lang w:eastAsia="zh-CN"/>
        </w:rPr>
        <w:t>投标人认为应附的其他材料。</w:t>
      </w:r>
    </w:p>
    <w:p w14:paraId="701C13C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FA64A5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19BDABE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2CEB239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7B03B46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7B8333B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209DAB1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6E6B7BA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1B5DB47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E6E04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055CEF5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4065D7E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7C8FC02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248BBCF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28232B4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5F28A50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0FBAA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3AD30DF9">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314BEC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253C7E2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111F9F1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42A9F8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60AD52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533FE54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3CD3CCA6">
      <w:pPr>
        <w:pStyle w:val="6"/>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F078A4C">
      <w:pPr>
        <w:pStyle w:val="17"/>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98E0C85">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9DEE191">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F0FF78F">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640D5C3">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00FAA59">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B629F60">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89B73B3">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A02AC7F">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E49A84C">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D4DC12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B213996">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5C655F4">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1CA09A2">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B7C955D">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9952E9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7895C8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2FCC5D2">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11F2673">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01BA3E9">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8D17760">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F6989B0">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91839CA">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61B33B3C">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14CB9D6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746436DE">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4F2D6F5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634E857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3FA7B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3E1884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05F6FB2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07C2857C">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4AF49C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536022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15FF35F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787BA1CD">
      <w:pPr>
        <w:pStyle w:val="30"/>
        <w:rPr>
          <w:rFonts w:hint="eastAsia"/>
          <w:lang w:val="en-US" w:eastAsia="zh-CN"/>
        </w:rPr>
      </w:pPr>
    </w:p>
    <w:p w14:paraId="17F92533">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7A197105">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0FA7DB0F">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4B10DEA">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0D27F47B">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835988E">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0E59806B">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0D44562A">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5EB592C7">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31"/>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3521D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0772E8B7">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1A41C11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683D3490">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61FC666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47FCF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5FC4761F">
            <w:pPr>
              <w:pStyle w:val="32"/>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32ADEB31">
            <w:pPr>
              <w:pStyle w:val="32"/>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9E18B5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0EE17DE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1375FA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03A0C5F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6C23B46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4C3FFDB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2274DA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8F1C8B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1A8B403C">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5652A5CF">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16786221">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27DA7697">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39B65B32">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563D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395BC722">
            <w:pPr>
              <w:pStyle w:val="32"/>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D6E5F1D">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3403CC0F">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26F5C707">
            <w:pPr>
              <w:pStyle w:val="32"/>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6649D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2D2C5D22">
            <w:pPr>
              <w:pStyle w:val="3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F20CF97">
            <w:pPr>
              <w:pStyle w:val="3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5BD6AE7">
            <w:pPr>
              <w:pStyle w:val="3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00CC5E7">
            <w:pPr>
              <w:pStyle w:val="3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40439C3">
            <w:pPr>
              <w:pStyle w:val="3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E9EFF8C">
            <w:pPr>
              <w:pStyle w:val="32"/>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2E84B33">
            <w:pPr>
              <w:pStyle w:val="32"/>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537BCAC">
            <w:pPr>
              <w:pStyle w:val="32"/>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D1C3AE5">
            <w:pPr>
              <w:pStyle w:val="32"/>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43E2080A">
            <w:pPr>
              <w:pStyle w:val="32"/>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62476F14">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B5315E7">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CC99693">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2A93E02">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DE22B13">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61F8E5D">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52910F2">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00422ED8">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B276944">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8D7D2E8">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5CE9AA5B">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6DB876EA">
            <w:pPr>
              <w:pStyle w:val="32"/>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776E097F">
            <w:pPr>
              <w:pStyle w:val="32"/>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5DF0BFD1">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E324218">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19B25D3">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A339D98">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FEF58CB">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8C72D5C">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AD4C4C9">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94C6956">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A4CEE36">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1BD7219">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25DEF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42A380FE">
            <w:pPr>
              <w:pStyle w:val="32"/>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5F448273">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0E90C8E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7D51C93E">
            <w:pPr>
              <w:pStyle w:val="32"/>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3AB7923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59A76289">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3BCEC894">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69B6AF0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3B595CD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227A3EC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B921A0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66F5DA8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07C5A82A">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8ED12A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339EC40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5C6F5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05D936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0F4D403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0B32B62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0F80222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1F51B9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5CD47F7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73385F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42839E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w:t>
      </w:r>
    </w:p>
    <w:p w14:paraId="069BDBE1">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确定其</w:t>
      </w:r>
      <w:r>
        <w:rPr>
          <w:rFonts w:hint="eastAsia" w:asciiTheme="minorEastAsia" w:hAnsiTheme="minorEastAsia" w:eastAsiaTheme="minorEastAsia" w:cstheme="minorEastAsia"/>
          <w:spacing w:val="-3"/>
          <w:sz w:val="24"/>
          <w:szCs w:val="24"/>
        </w:rPr>
        <w:t>是否满足招标文件的实质性要求。</w:t>
      </w:r>
    </w:p>
    <w:p w14:paraId="07669B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130DAADD">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3391CCC3">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31"/>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18150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6F05D6BF">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7EC23049">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6E7AB3B5">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4BF05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6EC4A86">
            <w:pPr>
              <w:pStyle w:val="32"/>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39095618">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354EF24E">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1D544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2F00C6A1">
            <w:pPr>
              <w:pStyle w:val="32"/>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03734E2A">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14484CB5">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7CF11F64">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35E2F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70228C79">
            <w:pPr>
              <w:pStyle w:val="32"/>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0559A4C5">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51C3A896">
            <w:pPr>
              <w:pStyle w:val="32"/>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7B1E3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81D51EA">
            <w:pPr>
              <w:pStyle w:val="32"/>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D9DD9F3">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10B2C69">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3C245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4536A3E5">
            <w:pPr>
              <w:pStyle w:val="32"/>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7D407713">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224F2A82">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32F7D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DC4F797">
            <w:pPr>
              <w:pStyle w:val="32"/>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2090C39F">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2E4442B8">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1C4A0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7D5769E3">
            <w:pPr>
              <w:pStyle w:val="32"/>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46FC461C">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75F371D1">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6AEAC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4FAF354B">
            <w:pPr>
              <w:pStyle w:val="32"/>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0CCA16ED">
            <w:pPr>
              <w:pStyle w:val="32"/>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7DD75991">
            <w:pPr>
              <w:pStyle w:val="32"/>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197CCA48">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368A027B">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36C3E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5F09C03A">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2266F8D3">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26B6AF88">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602671BC">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7C425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065DCE07">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4D5250C6">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28CB8EA0">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5F5FD43E">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4D73D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4745A1B3">
            <w:pPr>
              <w:pStyle w:val="32"/>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28E0E9A2">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2A50A6F1">
            <w:pPr>
              <w:pStyle w:val="32"/>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E44764E">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5F9B7E2F">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1A689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F14813A">
            <w:pPr>
              <w:pStyle w:val="3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2210C3F1">
            <w:pPr>
              <w:pStyle w:val="3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50955AAD">
            <w:pPr>
              <w:pStyle w:val="3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6CDBAC98">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7D53D0A0">
            <w:pPr>
              <w:pStyle w:val="32"/>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6C992762">
            <w:pPr>
              <w:pStyle w:val="32"/>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2C3AC036">
            <w:pPr>
              <w:pStyle w:val="32"/>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470A9F1D">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3A81CD2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3D8988A">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59438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442BBD14">
            <w:pPr>
              <w:pStyle w:val="32"/>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00478AEB">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48BDBB4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6F09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377346E">
            <w:pPr>
              <w:pStyle w:val="32"/>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57F1B1F2">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3808FC3E">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1F69B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0AD51B3D">
            <w:pPr>
              <w:pStyle w:val="32"/>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C1803CC">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B1F819A">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5FC2AC47">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4E053211">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审查投标设备的技术指标、技术性能及产品技术说明等：</w:t>
      </w:r>
    </w:p>
    <w:p w14:paraId="7D2BC8AE">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2.1投标人应提供主要产品的技术参数、技术性能说明；中标人应向采购人提供全方位及时而有效的技术支持和服务。</w:t>
      </w:r>
    </w:p>
    <w:p w14:paraId="5D90ADD5">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2.2  审查投标人提供的技术配置方案、社会化网点接入方案、软硬件运行环境建设方案、系统运行安全建设方案、部署迁移方案等是否符合招标要求。</w:t>
      </w:r>
    </w:p>
    <w:p w14:paraId="06C3FFB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3BE5E5A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275766F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1ADAD43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0512660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9EB1A8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4096105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A6F0B8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F9B1E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576B2A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C1305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5AF4B0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065A1C1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1679EB9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1BB945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2D46ECE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778B32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026C36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52167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35EA86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yellow"/>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优先选择报价低的   。</w:t>
      </w:r>
    </w:p>
    <w:p w14:paraId="29CFE5C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207F31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4FCA9D1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734619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本项目（采购包）评标委</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候选人。</w:t>
      </w:r>
    </w:p>
    <w:p w14:paraId="3A46E8A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98ACF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6E6374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06335F2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□根据采购人授权，评委会根据排名顺序直接确定排名第一的中标候选人为中标人。</w:t>
      </w:r>
    </w:p>
    <w:p w14:paraId="696571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yellow"/>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☑采购人应当在收到评标报告之日起5个工作日内，在评标报告确定的中标候选人名单中按顺序确定中标人。</w:t>
      </w:r>
    </w:p>
    <w:p w14:paraId="3F404855">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579CBA2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1794E91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22983B0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1283CF6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2EA9FC6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1CE2E9E3">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74DB48CA">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03AD3EC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651606AA">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53B464D1">
      <w:pPr>
        <w:pStyle w:val="17"/>
        <w:ind w:firstLine="490" w:firstLineChars="200"/>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未按</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暗标</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要求编写技术或方案部分的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1D37E3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7CCAF6E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1415BDA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4D9C3CE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1C8194E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5072C96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4760AAED">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3D4A2AEE">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2288EDE4">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66BD0C13">
      <w:pPr>
        <w:pStyle w:val="7"/>
        <w:numPr>
          <w:ilvl w:val="2"/>
          <w:numId w:val="0"/>
        </w:numPr>
        <w:ind w:leftChars="0"/>
        <w:rPr>
          <w:rFonts w:hint="eastAsia"/>
        </w:rPr>
      </w:pPr>
    </w:p>
    <w:p w14:paraId="2FC74E21">
      <w:pPr>
        <w:pStyle w:val="9"/>
        <w:rPr>
          <w:rFonts w:hint="eastAsia"/>
        </w:rPr>
      </w:pPr>
    </w:p>
    <w:p w14:paraId="65CFE70E">
      <w:pPr>
        <w:rPr>
          <w:rFonts w:hint="eastAsia"/>
        </w:rPr>
      </w:pPr>
    </w:p>
    <w:p w14:paraId="0EADCBB4">
      <w:pPr>
        <w:rPr>
          <w:rFonts w:hint="eastAsia"/>
        </w:rPr>
      </w:pPr>
    </w:p>
    <w:p w14:paraId="77E54850">
      <w:pPr>
        <w:rPr>
          <w:rFonts w:hint="eastAsia"/>
        </w:rPr>
      </w:pPr>
    </w:p>
    <w:p w14:paraId="3F5DC77B">
      <w:pPr>
        <w:rPr>
          <w:rFonts w:hint="eastAsia"/>
        </w:rPr>
      </w:pPr>
    </w:p>
    <w:p w14:paraId="129153B7">
      <w:pPr>
        <w:rPr>
          <w:rFonts w:hint="eastAsia"/>
        </w:rPr>
      </w:pPr>
    </w:p>
    <w:p w14:paraId="4CE7AA23">
      <w:pPr>
        <w:pStyle w:val="9"/>
        <w:rPr>
          <w:rFonts w:hint="eastAsia"/>
        </w:rPr>
      </w:pPr>
    </w:p>
    <w:p w14:paraId="14D02A62">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10C12953">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099462CD">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245CE0B8">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2F92A30E">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360CBA62">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3E9FC44F">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6FEF2633">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z w:val="40"/>
          <w:szCs w:val="40"/>
          <w:highlight w:val="none"/>
        </w:rPr>
      </w:pPr>
      <w:r>
        <w:rPr>
          <w:rFonts w:hint="eastAsia" w:asciiTheme="minorEastAsia" w:hAnsiTheme="minorEastAsia" w:eastAsiaTheme="minorEastAsia" w:cstheme="minorEastAsia"/>
          <w:spacing w:val="-2"/>
          <w:sz w:val="36"/>
          <w:szCs w:val="36"/>
          <w:highlight w:val="none"/>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36"/>
          <w:szCs w:val="36"/>
          <w:highlight w:val="none"/>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36"/>
          <w:szCs w:val="36"/>
          <w:highlight w:val="none"/>
          <w14:textOutline w14:w="1537" w14:cap="flat" w14:cmpd="sng">
            <w14:solidFill>
              <w14:srgbClr w14:val="000000"/>
            </w14:solidFill>
            <w14:prstDash w14:val="solid"/>
            <w14:miter w14:val="0"/>
          </w14:textOutline>
        </w:rPr>
        <w:t>标准</w:t>
      </w:r>
    </w:p>
    <w:p w14:paraId="40FCA085">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highlight w:val="none"/>
        </w:rPr>
      </w:pPr>
    </w:p>
    <w:p w14:paraId="68417D58">
      <w:pPr>
        <w:pStyle w:val="6"/>
        <w:keepNext w:val="0"/>
        <w:keepLines w:val="0"/>
        <w:pageBreakBefore w:val="0"/>
        <w:kinsoku/>
        <w:wordWrap w:val="0"/>
        <w:overflowPunct/>
        <w:topLinePunct w:val="0"/>
        <w:bidi w:val="0"/>
        <w:spacing w:before="78" w:line="221" w:lineRule="auto"/>
        <w:jc w:val="center"/>
        <w:outlineLvl w:val="2"/>
        <w:rPr>
          <w:rFonts w:hint="eastAsia" w:ascii="宋体" w:hAnsi="宋体" w:eastAsia="宋体" w:cs="宋体"/>
        </w:rPr>
      </w:pPr>
      <w:r>
        <w:rPr>
          <w:rFonts w:hint="eastAsia" w:ascii="宋体" w:hAnsi="宋体" w:eastAsia="宋体" w:cs="宋体"/>
          <w:spacing w:val="-2"/>
          <w:sz w:val="24"/>
          <w:szCs w:val="24"/>
        </w:rPr>
        <w:t>评</w:t>
      </w:r>
      <w:r>
        <w:rPr>
          <w:rFonts w:hint="eastAsia" w:ascii="宋体" w:hAnsi="宋体" w:eastAsia="宋体" w:cs="宋体"/>
          <w:spacing w:val="-2"/>
          <w:sz w:val="24"/>
          <w:szCs w:val="24"/>
          <w:lang w:val="en-US" w:eastAsia="zh-CN"/>
        </w:rPr>
        <w:t>分</w:t>
      </w:r>
      <w:r>
        <w:rPr>
          <w:rFonts w:hint="eastAsia" w:ascii="宋体" w:hAnsi="宋体" w:eastAsia="宋体" w:cs="宋体"/>
          <w:spacing w:val="-2"/>
          <w:sz w:val="24"/>
          <w:szCs w:val="24"/>
        </w:rPr>
        <w:t>标准</w:t>
      </w:r>
    </w:p>
    <w:p w14:paraId="4AEE76AF">
      <w:pPr>
        <w:keepNext w:val="0"/>
        <w:keepLines w:val="0"/>
        <w:pageBreakBefore w:val="0"/>
        <w:kinsoku/>
        <w:wordWrap w:val="0"/>
        <w:overflowPunct/>
        <w:topLinePunct w:val="0"/>
        <w:bidi w:val="0"/>
        <w:spacing w:before="39"/>
        <w:jc w:val="center"/>
        <w:rPr>
          <w:rFonts w:hint="eastAsia" w:ascii="宋体" w:hAnsi="宋体" w:eastAsia="宋体" w:cs="宋体"/>
        </w:rPr>
      </w:pPr>
    </w:p>
    <w:tbl>
      <w:tblPr>
        <w:tblStyle w:val="31"/>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147"/>
        <w:gridCol w:w="780"/>
        <w:gridCol w:w="2002"/>
        <w:gridCol w:w="3567"/>
      </w:tblGrid>
      <w:tr w14:paraId="5C363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noWrap w:val="0"/>
            <w:vAlign w:val="top"/>
          </w:tcPr>
          <w:p w14:paraId="42683ED0">
            <w:pPr>
              <w:keepNext w:val="0"/>
              <w:keepLines w:val="0"/>
              <w:pageBreakBefore w:val="0"/>
              <w:kinsoku/>
              <w:wordWrap w:val="0"/>
              <w:overflowPunct/>
              <w:topLinePunct w:val="0"/>
              <w:bidi w:val="0"/>
              <w:spacing w:before="40" w:line="208" w:lineRule="auto"/>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1147" w:type="dxa"/>
            <w:noWrap w:val="0"/>
            <w:vAlign w:val="top"/>
          </w:tcPr>
          <w:p w14:paraId="60F42B4C">
            <w:pPr>
              <w:keepNext w:val="0"/>
              <w:keepLines w:val="0"/>
              <w:pageBreakBefore w:val="0"/>
              <w:kinsoku/>
              <w:wordWrap w:val="0"/>
              <w:overflowPunct/>
              <w:topLinePunct w:val="0"/>
              <w:bidi w:val="0"/>
              <w:spacing w:before="40" w:line="208" w:lineRule="auto"/>
              <w:jc w:val="center"/>
              <w:rPr>
                <w:rFonts w:hint="eastAsia" w:ascii="宋体" w:hAnsi="宋体" w:eastAsia="宋体" w:cs="宋体"/>
                <w:sz w:val="24"/>
                <w:szCs w:val="24"/>
              </w:rPr>
            </w:pPr>
            <w:r>
              <w:rPr>
                <w:rFonts w:hint="eastAsia" w:ascii="宋体" w:hAnsi="宋体" w:eastAsia="宋体" w:cs="宋体"/>
                <w:spacing w:val="-2"/>
                <w:sz w:val="24"/>
                <w:szCs w:val="24"/>
              </w:rPr>
              <w:t>评分因素</w:t>
            </w:r>
          </w:p>
        </w:tc>
        <w:tc>
          <w:tcPr>
            <w:tcW w:w="780" w:type="dxa"/>
            <w:noWrap w:val="0"/>
            <w:vAlign w:val="top"/>
          </w:tcPr>
          <w:p w14:paraId="6612B789">
            <w:pPr>
              <w:keepNext w:val="0"/>
              <w:keepLines w:val="0"/>
              <w:pageBreakBefore w:val="0"/>
              <w:kinsoku/>
              <w:wordWrap w:val="0"/>
              <w:overflowPunct/>
              <w:topLinePunct w:val="0"/>
              <w:bidi w:val="0"/>
              <w:spacing w:before="40" w:line="208" w:lineRule="auto"/>
              <w:jc w:val="center"/>
              <w:rPr>
                <w:rFonts w:hint="eastAsia" w:ascii="宋体" w:hAnsi="宋体" w:eastAsia="宋体" w:cs="宋体"/>
                <w:sz w:val="24"/>
                <w:szCs w:val="24"/>
              </w:rPr>
            </w:pPr>
            <w:r>
              <w:rPr>
                <w:rFonts w:hint="eastAsia" w:ascii="宋体" w:hAnsi="宋体" w:eastAsia="宋体" w:cs="宋体"/>
                <w:spacing w:val="-4"/>
                <w:sz w:val="24"/>
                <w:szCs w:val="24"/>
              </w:rPr>
              <w:t>分值</w:t>
            </w:r>
          </w:p>
        </w:tc>
        <w:tc>
          <w:tcPr>
            <w:tcW w:w="2002" w:type="dxa"/>
            <w:noWrap w:val="0"/>
            <w:vAlign w:val="top"/>
          </w:tcPr>
          <w:p w14:paraId="62ECEAEE">
            <w:pPr>
              <w:keepNext w:val="0"/>
              <w:keepLines w:val="0"/>
              <w:pageBreakBefore w:val="0"/>
              <w:kinsoku/>
              <w:wordWrap w:val="0"/>
              <w:overflowPunct/>
              <w:topLinePunct w:val="0"/>
              <w:bidi w:val="0"/>
              <w:spacing w:before="40" w:line="208" w:lineRule="auto"/>
              <w:jc w:val="center"/>
              <w:rPr>
                <w:rFonts w:hint="eastAsia" w:ascii="宋体" w:hAnsi="宋体" w:eastAsia="宋体" w:cs="宋体"/>
                <w:sz w:val="24"/>
                <w:szCs w:val="24"/>
              </w:rPr>
            </w:pPr>
            <w:r>
              <w:rPr>
                <w:rFonts w:hint="eastAsia" w:ascii="宋体" w:hAnsi="宋体" w:eastAsia="宋体" w:cs="宋体"/>
                <w:spacing w:val="-2"/>
                <w:sz w:val="24"/>
                <w:szCs w:val="24"/>
              </w:rPr>
              <w:t>评分标准</w:t>
            </w:r>
          </w:p>
        </w:tc>
        <w:tc>
          <w:tcPr>
            <w:tcW w:w="3567" w:type="dxa"/>
            <w:noWrap w:val="0"/>
            <w:vAlign w:val="top"/>
          </w:tcPr>
          <w:p w14:paraId="0B6E2AA7">
            <w:pPr>
              <w:keepNext w:val="0"/>
              <w:keepLines w:val="0"/>
              <w:pageBreakBefore w:val="0"/>
              <w:kinsoku/>
              <w:wordWrap w:val="0"/>
              <w:overflowPunct/>
              <w:topLinePunct w:val="0"/>
              <w:bidi w:val="0"/>
              <w:spacing w:before="40" w:line="208" w:lineRule="auto"/>
              <w:jc w:val="center"/>
              <w:rPr>
                <w:rFonts w:hint="eastAsia" w:ascii="宋体" w:hAnsi="宋体" w:eastAsia="宋体" w:cs="宋体"/>
                <w:sz w:val="24"/>
                <w:szCs w:val="24"/>
              </w:rPr>
            </w:pPr>
            <w:r>
              <w:rPr>
                <w:rFonts w:hint="eastAsia" w:ascii="宋体" w:hAnsi="宋体" w:eastAsia="宋体" w:cs="宋体"/>
                <w:spacing w:val="-4"/>
                <w:sz w:val="24"/>
                <w:szCs w:val="24"/>
              </w:rPr>
              <w:t>说明</w:t>
            </w:r>
          </w:p>
        </w:tc>
      </w:tr>
      <w:tr w14:paraId="64120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9" w:type="dxa"/>
            <w:noWrap w:val="0"/>
            <w:vAlign w:val="center"/>
          </w:tcPr>
          <w:p w14:paraId="36057DDC">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6F48F8FF">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62AE821A">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793FB236">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316D2C71">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39BB1CA2">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48C4BD47">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74BA997D">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4F7C2A68">
            <w:pPr>
              <w:pStyle w:val="32"/>
              <w:keepNext w:val="0"/>
              <w:keepLines w:val="0"/>
              <w:pageBreakBefore w:val="0"/>
              <w:kinsoku/>
              <w:wordWrap w:val="0"/>
              <w:overflowPunct/>
              <w:topLinePunct w:val="0"/>
              <w:bidi w:val="0"/>
              <w:jc w:val="center"/>
              <w:rPr>
                <w:rFonts w:hint="default" w:ascii="宋体" w:hAnsi="宋体" w:eastAsia="宋体" w:cs="宋体"/>
                <w:lang w:val="en-US" w:eastAsia="zh-CN"/>
              </w:rPr>
            </w:pPr>
            <w:r>
              <w:rPr>
                <w:rFonts w:hint="eastAsia" w:ascii="宋体" w:hAnsi="宋体" w:eastAsia="宋体" w:cs="宋体"/>
                <w:lang w:val="en-US" w:eastAsia="zh-CN"/>
              </w:rPr>
              <w:t>1</w:t>
            </w:r>
          </w:p>
          <w:p w14:paraId="7D84C157">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796DA578">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0E18EAF1">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0F1267A2">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2A754301">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086C4A08">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52CFD9CD">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47CD1404">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1BEE8FFC">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tc>
        <w:tc>
          <w:tcPr>
            <w:tcW w:w="1147" w:type="dxa"/>
            <w:noWrap w:val="0"/>
            <w:vAlign w:val="center"/>
          </w:tcPr>
          <w:p w14:paraId="0FE84A50">
            <w:pPr>
              <w:pStyle w:val="32"/>
              <w:keepNext w:val="0"/>
              <w:keepLines w:val="0"/>
              <w:pageBreakBefore w:val="0"/>
              <w:kinsoku/>
              <w:wordWrap w:val="0"/>
              <w:overflowPunct/>
              <w:topLinePunct w:val="0"/>
              <w:bidi w:val="0"/>
              <w:spacing w:line="295" w:lineRule="auto"/>
              <w:jc w:val="center"/>
              <w:rPr>
                <w:rFonts w:hint="eastAsia" w:ascii="宋体" w:hAnsi="宋体" w:eastAsia="宋体" w:cs="宋体"/>
              </w:rPr>
            </w:pPr>
          </w:p>
          <w:p w14:paraId="53CEC4DC">
            <w:pPr>
              <w:pStyle w:val="32"/>
              <w:keepNext w:val="0"/>
              <w:keepLines w:val="0"/>
              <w:pageBreakBefore w:val="0"/>
              <w:kinsoku/>
              <w:wordWrap w:val="0"/>
              <w:overflowPunct/>
              <w:topLinePunct w:val="0"/>
              <w:bidi w:val="0"/>
              <w:spacing w:line="296" w:lineRule="auto"/>
              <w:jc w:val="center"/>
              <w:rPr>
                <w:rFonts w:hint="eastAsia" w:ascii="宋体" w:hAnsi="宋体" w:eastAsia="宋体" w:cs="宋体"/>
              </w:rPr>
            </w:pPr>
          </w:p>
          <w:p w14:paraId="40C47681">
            <w:pPr>
              <w:pStyle w:val="32"/>
              <w:keepNext w:val="0"/>
              <w:keepLines w:val="0"/>
              <w:pageBreakBefore w:val="0"/>
              <w:kinsoku/>
              <w:wordWrap w:val="0"/>
              <w:overflowPunct/>
              <w:topLinePunct w:val="0"/>
              <w:bidi w:val="0"/>
              <w:spacing w:line="296" w:lineRule="auto"/>
              <w:jc w:val="center"/>
              <w:rPr>
                <w:rFonts w:hint="eastAsia" w:ascii="宋体" w:hAnsi="宋体" w:eastAsia="宋体" w:cs="宋体"/>
              </w:rPr>
            </w:pPr>
          </w:p>
          <w:p w14:paraId="08E3B24B">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19E4D300">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00B9BE88">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219D0F4E">
            <w:pPr>
              <w:keepNext w:val="0"/>
              <w:keepLines w:val="0"/>
              <w:pageBreakBefore w:val="0"/>
              <w:kinsoku/>
              <w:wordWrap w:val="0"/>
              <w:overflowPunct/>
              <w:topLinePunct w:val="0"/>
              <w:bidi w:val="0"/>
              <w:spacing w:before="78" w:line="219"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投标报价</w:t>
            </w:r>
          </w:p>
          <w:p w14:paraId="56053060">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2559870A">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6232F2FE">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78CFAF03">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35245BB6">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0417DDCA">
            <w:pPr>
              <w:keepNext w:val="0"/>
              <w:keepLines w:val="0"/>
              <w:pageBreakBefore w:val="0"/>
              <w:kinsoku/>
              <w:wordWrap w:val="0"/>
              <w:overflowPunct/>
              <w:topLinePunct w:val="0"/>
              <w:bidi w:val="0"/>
              <w:spacing w:before="78" w:line="219" w:lineRule="auto"/>
              <w:ind w:firstLine="234" w:firstLineChars="100"/>
              <w:jc w:val="center"/>
              <w:rPr>
                <w:rFonts w:hint="eastAsia" w:ascii="宋体" w:hAnsi="宋体" w:eastAsia="宋体" w:cs="宋体"/>
                <w:spacing w:val="-3"/>
                <w:sz w:val="24"/>
                <w:szCs w:val="24"/>
              </w:rPr>
            </w:pPr>
          </w:p>
          <w:p w14:paraId="22D2FA2F">
            <w:pPr>
              <w:keepNext w:val="0"/>
              <w:keepLines w:val="0"/>
              <w:pageBreakBefore w:val="0"/>
              <w:kinsoku/>
              <w:wordWrap w:val="0"/>
              <w:overflowPunct/>
              <w:topLinePunct w:val="0"/>
              <w:bidi w:val="0"/>
              <w:spacing w:before="78" w:line="219" w:lineRule="auto"/>
              <w:ind w:firstLine="240" w:firstLineChars="100"/>
              <w:jc w:val="center"/>
              <w:rPr>
                <w:rFonts w:hint="eastAsia" w:ascii="宋体" w:hAnsi="宋体" w:eastAsia="宋体" w:cs="宋体"/>
                <w:sz w:val="24"/>
                <w:szCs w:val="24"/>
              </w:rPr>
            </w:pPr>
          </w:p>
        </w:tc>
        <w:tc>
          <w:tcPr>
            <w:tcW w:w="780" w:type="dxa"/>
            <w:noWrap w:val="0"/>
            <w:vAlign w:val="top"/>
          </w:tcPr>
          <w:p w14:paraId="6319B7E8">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11E0A868">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1DE82293">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6176197C">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7D757DC8">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44DA7BE1">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72547DE8">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08DCEC80">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7249C056">
            <w:pPr>
              <w:pStyle w:val="32"/>
              <w:keepNext w:val="0"/>
              <w:keepLines w:val="0"/>
              <w:pageBreakBefore w:val="0"/>
              <w:kinsoku/>
              <w:wordWrap w:val="0"/>
              <w:overflowPunct/>
              <w:topLinePunct w:val="0"/>
              <w:bidi w:val="0"/>
              <w:jc w:val="center"/>
              <w:rPr>
                <w:rFonts w:hint="default" w:ascii="宋体" w:hAnsi="宋体" w:eastAsia="宋体" w:cs="宋体"/>
                <w:lang w:val="en-US" w:eastAsia="zh-CN"/>
              </w:rPr>
            </w:pPr>
            <w:r>
              <w:rPr>
                <w:rFonts w:hint="eastAsia" w:ascii="宋体" w:hAnsi="宋体" w:eastAsia="宋体" w:cs="宋体"/>
                <w:lang w:val="en-US" w:eastAsia="zh-CN"/>
              </w:rPr>
              <w:t>20分</w:t>
            </w:r>
          </w:p>
        </w:tc>
        <w:tc>
          <w:tcPr>
            <w:tcW w:w="2002" w:type="dxa"/>
            <w:noWrap w:val="0"/>
            <w:vAlign w:val="center"/>
          </w:tcPr>
          <w:p w14:paraId="1A2E4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满足招标文件要求且投标价格最低的投标报价为评标基准价，其价格分为满分。其他投标人的价格分统一按照下列公式计算：</w:t>
            </w:r>
          </w:p>
          <w:p w14:paraId="76877202">
            <w:pPr>
              <w:pStyle w:val="32"/>
              <w:keepNext w:val="0"/>
              <w:keepLines w:val="0"/>
              <w:pageBreakBefore w:val="0"/>
              <w:kinsoku/>
              <w:wordWrap w:val="0"/>
              <w:overflowPunct/>
              <w:topLinePunct w:val="0"/>
              <w:bidi w:val="0"/>
              <w:spacing w:before="26" w:line="228" w:lineRule="auto"/>
              <w:ind w:left="111" w:right="103" w:firstLine="4"/>
              <w:jc w:val="center"/>
              <w:rPr>
                <w:rFonts w:hint="eastAsia" w:ascii="宋体" w:hAnsi="宋体" w:eastAsia="宋体" w:cs="宋体"/>
                <w:sz w:val="24"/>
                <w:szCs w:val="24"/>
              </w:rPr>
            </w:pPr>
            <w:r>
              <w:rPr>
                <w:rFonts w:hint="eastAsia" w:ascii="Times New Roman" w:hAnsi="Times New Roman" w:eastAsia="宋体" w:cs="Times New Roman"/>
                <w:highlight w:val="none"/>
              </w:rPr>
              <w:t>投标报价得分＝（评标基准价/投标报价）×分值</w:t>
            </w:r>
          </w:p>
        </w:tc>
        <w:tc>
          <w:tcPr>
            <w:tcW w:w="3567" w:type="dxa"/>
            <w:noWrap w:val="0"/>
            <w:vAlign w:val="top"/>
          </w:tcPr>
          <w:p w14:paraId="0A9C8C4A">
            <w:pPr>
              <w:keepNext w:val="0"/>
              <w:keepLines w:val="0"/>
              <w:pageBreakBefore w:val="0"/>
              <w:kinsoku/>
              <w:wordWrap w:val="0"/>
              <w:overflowPunct/>
              <w:topLinePunct w:val="0"/>
              <w:bidi w:val="0"/>
              <w:spacing w:before="191" w:line="235" w:lineRule="auto"/>
              <w:ind w:left="113" w:right="103"/>
              <w:jc w:val="center"/>
              <w:rPr>
                <w:rFonts w:hint="eastAsia" w:ascii="宋体" w:hAnsi="宋体" w:eastAsia="宋体" w:cs="宋体"/>
                <w:sz w:val="24"/>
                <w:szCs w:val="24"/>
              </w:rPr>
            </w:pPr>
            <w:r>
              <w:rPr>
                <w:rFonts w:hint="eastAsia" w:ascii="Times New Roman" w:hAnsi="Times New Roman" w:eastAsia="Arial" w:cs="Arial"/>
                <w:b w:val="0"/>
                <w:bCs w:val="0"/>
                <w:snapToGrid w:val="0"/>
                <w:color w:val="000000"/>
                <w:kern w:val="0"/>
                <w:sz w:val="21"/>
                <w:szCs w:val="21"/>
                <w:highlight w:val="none"/>
                <w:lang w:val="en-US" w:eastAsia="zh-CN" w:bidi="ar-SA"/>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  1</w:t>
            </w:r>
            <w:r>
              <w:rPr>
                <w:rFonts w:hint="eastAsia" w:ascii="Times New Roman" w:hAnsi="Times New Roman" w:cs="Arial"/>
                <w:b w:val="0"/>
                <w:bCs w:val="0"/>
                <w:snapToGrid w:val="0"/>
                <w:color w:val="000000"/>
                <w:kern w:val="0"/>
                <w:sz w:val="21"/>
                <w:szCs w:val="21"/>
                <w:highlight w:val="none"/>
                <w:lang w:val="en-US" w:eastAsia="zh-CN" w:bidi="ar-SA"/>
              </w:rPr>
              <w:t>5</w:t>
            </w:r>
            <w:r>
              <w:rPr>
                <w:rFonts w:hint="eastAsia" w:ascii="Times New Roman" w:hAnsi="Times New Roman" w:eastAsia="Arial" w:cs="Arial"/>
                <w:b w:val="0"/>
                <w:bCs w:val="0"/>
                <w:snapToGrid w:val="0"/>
                <w:color w:val="000000"/>
                <w:kern w:val="0"/>
                <w:sz w:val="21"/>
                <w:szCs w:val="21"/>
                <w:highlight w:val="none"/>
                <w:lang w:val="en-US" w:eastAsia="zh-CN" w:bidi="ar-SA"/>
              </w:rPr>
              <w:t xml:space="preserve"> %后参与评审。对于同时属于小微企业、监狱企业或残疾人福利性单位的，不重复进行投标报价扣除。（专门面向中小企业的项目除外）</w:t>
            </w:r>
          </w:p>
        </w:tc>
      </w:tr>
      <w:tr w14:paraId="459B5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839" w:type="dxa"/>
            <w:vMerge w:val="restart"/>
            <w:noWrap w:val="0"/>
            <w:vAlign w:val="center"/>
          </w:tcPr>
          <w:p w14:paraId="26607154">
            <w:pPr>
              <w:pStyle w:val="32"/>
              <w:keepNext w:val="0"/>
              <w:keepLines w:val="0"/>
              <w:pageBreakBefore w:val="0"/>
              <w:kinsoku/>
              <w:wordWrap w:val="0"/>
              <w:overflowPunct/>
              <w:topLinePunct w:val="0"/>
              <w:bidi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2</w:t>
            </w:r>
          </w:p>
        </w:tc>
        <w:tc>
          <w:tcPr>
            <w:tcW w:w="1147" w:type="dxa"/>
            <w:vMerge w:val="restart"/>
            <w:noWrap w:val="0"/>
            <w:vAlign w:val="center"/>
          </w:tcPr>
          <w:p w14:paraId="1CDA74D0">
            <w:pPr>
              <w:keepNext w:val="0"/>
              <w:keepLines w:val="0"/>
              <w:pageBreakBefore w:val="0"/>
              <w:kinsoku/>
              <w:wordWrap w:val="0"/>
              <w:overflowPunct/>
              <w:topLinePunct w:val="0"/>
              <w:bidi w:val="0"/>
              <w:spacing w:before="78" w:line="219" w:lineRule="auto"/>
              <w:jc w:val="center"/>
              <w:rPr>
                <w:rFonts w:hint="eastAsia"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技术方案</w:t>
            </w:r>
          </w:p>
        </w:tc>
        <w:tc>
          <w:tcPr>
            <w:tcW w:w="780" w:type="dxa"/>
            <w:vMerge w:val="restart"/>
            <w:noWrap w:val="0"/>
            <w:vAlign w:val="top"/>
          </w:tcPr>
          <w:p w14:paraId="3C370674">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0123B039">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58F13E49">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7EE6AE84">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44704F9A">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5E81859C">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457D4342">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71F49649">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712EB111">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3DA203C0">
            <w:pPr>
              <w:pStyle w:val="32"/>
              <w:keepNext w:val="0"/>
              <w:keepLines w:val="0"/>
              <w:pageBreakBefore w:val="0"/>
              <w:kinsoku/>
              <w:wordWrap w:val="0"/>
              <w:overflowPunct/>
              <w:topLinePunct w:val="0"/>
              <w:bidi w:val="0"/>
              <w:ind w:firstLine="214" w:firstLineChars="10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50分</w:t>
            </w:r>
          </w:p>
        </w:tc>
        <w:tc>
          <w:tcPr>
            <w:tcW w:w="2002" w:type="dxa"/>
            <w:noWrap w:val="0"/>
            <w:vAlign w:val="center"/>
          </w:tcPr>
          <w:p w14:paraId="0482FE68">
            <w:pPr>
              <w:spacing w:line="300" w:lineRule="exact"/>
              <w:jc w:val="center"/>
              <w:rPr>
                <w:rFonts w:ascii="Times New Roman" w:hAnsi="Times New Roman"/>
                <w:highlight w:val="none"/>
              </w:rPr>
            </w:pPr>
            <w:r>
              <w:rPr>
                <w:rFonts w:hint="eastAsia" w:ascii="Times New Roman" w:hAnsi="Times New Roman"/>
                <w:highlight w:val="none"/>
              </w:rPr>
              <w:t>技术设计方案</w:t>
            </w:r>
          </w:p>
          <w:p w14:paraId="2F684763">
            <w:pPr>
              <w:pStyle w:val="32"/>
              <w:keepNext w:val="0"/>
              <w:keepLines w:val="0"/>
              <w:pageBreakBefore w:val="0"/>
              <w:kinsoku/>
              <w:wordWrap w:val="0"/>
              <w:overflowPunct/>
              <w:topLinePunct w:val="0"/>
              <w:bidi w:val="0"/>
              <w:spacing w:before="26" w:line="228" w:lineRule="auto"/>
              <w:ind w:left="111" w:right="103" w:firstLine="4"/>
              <w:jc w:val="center"/>
              <w:rPr>
                <w:rFonts w:hint="eastAsia" w:ascii="宋体" w:hAnsi="宋体" w:eastAsia="宋体" w:cs="宋体"/>
                <w:snapToGrid w:val="0"/>
                <w:color w:val="000000"/>
                <w:spacing w:val="-13"/>
                <w:kern w:val="0"/>
                <w:sz w:val="24"/>
                <w:szCs w:val="24"/>
                <w:lang w:val="en-US" w:eastAsia="en-US" w:bidi="ar-SA"/>
              </w:rPr>
            </w:pPr>
            <w:r>
              <w:rPr>
                <w:rFonts w:hint="eastAsia" w:ascii="Times New Roman" w:hAnsi="Times New Roman"/>
                <w:highlight w:val="none"/>
              </w:rPr>
              <w:t>（</w:t>
            </w:r>
            <w:r>
              <w:rPr>
                <w:rFonts w:hint="eastAsia" w:ascii="Times New Roman" w:hAnsi="Times New Roman" w:eastAsia="宋体"/>
                <w:highlight w:val="none"/>
                <w:lang w:val="en-US" w:eastAsia="zh-CN"/>
              </w:rPr>
              <w:t>20</w:t>
            </w:r>
            <w:r>
              <w:rPr>
                <w:rFonts w:hint="eastAsia" w:ascii="Times New Roman" w:hAnsi="Times New Roman"/>
                <w:highlight w:val="none"/>
              </w:rPr>
              <w:t>分）</w:t>
            </w:r>
          </w:p>
        </w:tc>
        <w:tc>
          <w:tcPr>
            <w:tcW w:w="3567" w:type="dxa"/>
            <w:noWrap w:val="0"/>
            <w:vAlign w:val="top"/>
          </w:tcPr>
          <w:p w14:paraId="3686864B">
            <w:pPr>
              <w:pStyle w:val="2"/>
              <w:keepNext w:val="0"/>
              <w:keepLines w:val="0"/>
              <w:widowControl/>
              <w:suppressLineNumbers w:val="0"/>
              <w:spacing w:before="0" w:beforeAutospacing="0" w:after="0" w:afterAutospacing="0"/>
              <w:ind w:left="0" w:right="0"/>
              <w:jc w:val="center"/>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zh-CN" w:bidi="ar-SA"/>
              </w:rPr>
              <w:t>投标人根据用户实际需求，提供完整的技术设计方案；方案需逐一响应7个系统的功能需求（详见采购内容及需求），每缺1个系统的详细设计扣5分。</w:t>
            </w:r>
          </w:p>
        </w:tc>
      </w:tr>
      <w:tr w14:paraId="36912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0" w:hRule="atLeast"/>
        </w:trPr>
        <w:tc>
          <w:tcPr>
            <w:tcW w:w="839" w:type="dxa"/>
            <w:vMerge w:val="continue"/>
            <w:noWrap w:val="0"/>
            <w:vAlign w:val="center"/>
          </w:tcPr>
          <w:p w14:paraId="37429AF8">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tc>
        <w:tc>
          <w:tcPr>
            <w:tcW w:w="1147" w:type="dxa"/>
            <w:vMerge w:val="continue"/>
            <w:noWrap w:val="0"/>
            <w:vAlign w:val="center"/>
          </w:tcPr>
          <w:p w14:paraId="67E01B93">
            <w:pPr>
              <w:keepNext w:val="0"/>
              <w:keepLines w:val="0"/>
              <w:pageBreakBefore w:val="0"/>
              <w:kinsoku/>
              <w:wordWrap w:val="0"/>
              <w:overflowPunct/>
              <w:topLinePunct w:val="0"/>
              <w:bidi w:val="0"/>
              <w:spacing w:before="78" w:line="219" w:lineRule="auto"/>
              <w:jc w:val="center"/>
              <w:rPr>
                <w:rFonts w:hint="eastAsia" w:ascii="宋体" w:hAnsi="宋体" w:eastAsia="宋体" w:cs="宋体"/>
                <w:snapToGrid w:val="0"/>
                <w:color w:val="000000"/>
                <w:spacing w:val="-13"/>
                <w:kern w:val="0"/>
                <w:sz w:val="24"/>
                <w:szCs w:val="24"/>
                <w:lang w:val="en-US" w:eastAsia="zh-CN" w:bidi="ar-SA"/>
              </w:rPr>
            </w:pPr>
          </w:p>
        </w:tc>
        <w:tc>
          <w:tcPr>
            <w:tcW w:w="780" w:type="dxa"/>
            <w:vMerge w:val="continue"/>
            <w:noWrap w:val="0"/>
            <w:vAlign w:val="top"/>
          </w:tcPr>
          <w:p w14:paraId="32054FB4">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en-US" w:bidi="ar-SA"/>
              </w:rPr>
            </w:pPr>
          </w:p>
        </w:tc>
        <w:tc>
          <w:tcPr>
            <w:tcW w:w="2002" w:type="dxa"/>
            <w:noWrap w:val="0"/>
            <w:vAlign w:val="center"/>
          </w:tcPr>
          <w:p w14:paraId="69780294">
            <w:pPr>
              <w:spacing w:line="300" w:lineRule="exact"/>
              <w:jc w:val="center"/>
              <w:rPr>
                <w:rFonts w:hint="eastAsia" w:ascii="Times New Roman" w:hAnsi="Times New Roman"/>
                <w:highlight w:val="none"/>
              </w:rPr>
            </w:pPr>
            <w:r>
              <w:rPr>
                <w:rFonts w:hint="eastAsia" w:ascii="Times New Roman" w:hAnsi="Times New Roman"/>
                <w:highlight w:val="none"/>
              </w:rPr>
              <w:t>项目实施方案</w:t>
            </w:r>
          </w:p>
          <w:p w14:paraId="2802D516">
            <w:pPr>
              <w:spacing w:line="300" w:lineRule="exact"/>
              <w:jc w:val="center"/>
              <w:rPr>
                <w:rFonts w:hint="eastAsia" w:ascii="Times New Roman" w:hAnsi="Times New Roman"/>
                <w:highlight w:val="none"/>
                <w:lang w:val="en-US" w:eastAsia="en-US"/>
              </w:rPr>
            </w:pPr>
            <w:r>
              <w:rPr>
                <w:rFonts w:hint="eastAsia" w:ascii="Times New Roman" w:hAnsi="Times New Roman"/>
                <w:highlight w:val="none"/>
              </w:rPr>
              <w:t>（</w:t>
            </w:r>
            <w:r>
              <w:rPr>
                <w:rFonts w:hint="eastAsia" w:ascii="Times New Roman" w:hAnsi="Times New Roman"/>
                <w:highlight w:val="none"/>
                <w:lang w:val="en-US" w:eastAsia="zh-CN"/>
              </w:rPr>
              <w:t>15</w:t>
            </w:r>
            <w:r>
              <w:rPr>
                <w:rFonts w:hint="eastAsia" w:ascii="Times New Roman" w:hAnsi="Times New Roman"/>
                <w:highlight w:val="none"/>
              </w:rPr>
              <w:t>分）</w:t>
            </w:r>
          </w:p>
        </w:tc>
        <w:tc>
          <w:tcPr>
            <w:tcW w:w="3567" w:type="dxa"/>
            <w:noWrap w:val="0"/>
            <w:vAlign w:val="top"/>
          </w:tcPr>
          <w:p w14:paraId="78E913CF">
            <w:pPr>
              <w:pStyle w:val="2"/>
              <w:keepNext w:val="0"/>
              <w:keepLines w:val="0"/>
              <w:widowControl/>
              <w:suppressLineNumbers w:val="0"/>
              <w:spacing w:before="0" w:beforeAutospacing="0" w:after="0" w:afterAutospacing="0"/>
              <w:ind w:left="0" w:right="0"/>
              <w:jc w:val="center"/>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zh-CN" w:bidi="ar-SA"/>
              </w:rPr>
              <w:t>投标人承担所投产品的安装部署和配置任务，负责原有系统与新建系统的对接、联调、优化升级，提供的项目实施方案进行横向对比。方案详实，科学先进，比较符合现场条件及客户需求的得15分；方案较详细，可行，符合现场条件及客户需求的得10分；方案详细，基本可行，基本符合现场条件及客户需求的得5分；否则不得分</w:t>
            </w:r>
          </w:p>
        </w:tc>
      </w:tr>
      <w:tr w14:paraId="16420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9" w:hRule="atLeast"/>
        </w:trPr>
        <w:tc>
          <w:tcPr>
            <w:tcW w:w="839" w:type="dxa"/>
            <w:vMerge w:val="continue"/>
            <w:noWrap w:val="0"/>
            <w:vAlign w:val="center"/>
          </w:tcPr>
          <w:p w14:paraId="69F1E12D">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tc>
        <w:tc>
          <w:tcPr>
            <w:tcW w:w="1147" w:type="dxa"/>
            <w:vMerge w:val="continue"/>
            <w:noWrap w:val="0"/>
            <w:vAlign w:val="center"/>
          </w:tcPr>
          <w:p w14:paraId="2E403CC8">
            <w:pPr>
              <w:keepNext w:val="0"/>
              <w:keepLines w:val="0"/>
              <w:pageBreakBefore w:val="0"/>
              <w:kinsoku/>
              <w:wordWrap w:val="0"/>
              <w:overflowPunct/>
              <w:topLinePunct w:val="0"/>
              <w:bidi w:val="0"/>
              <w:spacing w:before="78" w:line="219" w:lineRule="auto"/>
              <w:jc w:val="center"/>
              <w:rPr>
                <w:rFonts w:hint="eastAsia" w:ascii="宋体" w:hAnsi="宋体" w:eastAsia="宋体" w:cs="宋体"/>
                <w:snapToGrid w:val="0"/>
                <w:color w:val="000000"/>
                <w:spacing w:val="-13"/>
                <w:kern w:val="0"/>
                <w:sz w:val="24"/>
                <w:szCs w:val="24"/>
                <w:lang w:val="en-US" w:eastAsia="zh-CN" w:bidi="ar-SA"/>
              </w:rPr>
            </w:pPr>
          </w:p>
        </w:tc>
        <w:tc>
          <w:tcPr>
            <w:tcW w:w="780" w:type="dxa"/>
            <w:vMerge w:val="continue"/>
            <w:noWrap w:val="0"/>
            <w:vAlign w:val="top"/>
          </w:tcPr>
          <w:p w14:paraId="0E3582AB">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en-US" w:bidi="ar-SA"/>
              </w:rPr>
            </w:pPr>
          </w:p>
        </w:tc>
        <w:tc>
          <w:tcPr>
            <w:tcW w:w="2002" w:type="dxa"/>
            <w:noWrap w:val="0"/>
            <w:vAlign w:val="center"/>
          </w:tcPr>
          <w:p w14:paraId="533FBA5D">
            <w:pPr>
              <w:spacing w:line="300" w:lineRule="exact"/>
              <w:jc w:val="center"/>
              <w:rPr>
                <w:rFonts w:hint="eastAsia" w:ascii="Times New Roman" w:hAnsi="Times New Roman"/>
                <w:highlight w:val="none"/>
                <w:lang w:val="en-US" w:eastAsia="zh-CN"/>
              </w:rPr>
            </w:pPr>
            <w:r>
              <w:rPr>
                <w:rFonts w:hint="eastAsia" w:ascii="Times New Roman" w:hAnsi="Times New Roman"/>
                <w:highlight w:val="none"/>
                <w:lang w:val="en-US" w:eastAsia="zh-CN"/>
              </w:rPr>
              <w:t>质量保障措施</w:t>
            </w:r>
          </w:p>
          <w:p w14:paraId="345BB815">
            <w:pPr>
              <w:spacing w:line="300" w:lineRule="exact"/>
              <w:jc w:val="center"/>
              <w:rPr>
                <w:rFonts w:hint="eastAsia" w:ascii="Times New Roman" w:hAnsi="Times New Roman"/>
                <w:highlight w:val="none"/>
              </w:rPr>
            </w:pPr>
            <w:r>
              <w:rPr>
                <w:rFonts w:hint="eastAsia" w:ascii="Times New Roman" w:hAnsi="Times New Roman"/>
                <w:highlight w:val="none"/>
                <w:lang w:val="en-US" w:eastAsia="zh-CN"/>
              </w:rPr>
              <w:t>（15分）</w:t>
            </w:r>
          </w:p>
        </w:tc>
        <w:tc>
          <w:tcPr>
            <w:tcW w:w="3567" w:type="dxa"/>
            <w:noWrap w:val="0"/>
            <w:vAlign w:val="center"/>
          </w:tcPr>
          <w:p w14:paraId="2F361DFA">
            <w:pPr>
              <w:pStyle w:val="2"/>
              <w:keepNext w:val="0"/>
              <w:keepLines w:val="0"/>
              <w:widowControl/>
              <w:suppressLineNumbers w:val="0"/>
              <w:spacing w:before="0" w:beforeAutospacing="0" w:after="0" w:afterAutospacing="0"/>
              <w:ind w:left="0" w:right="0"/>
              <w:jc w:val="center"/>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根据投标人提供的质量保障措施的全面性、合理性、可行性进行综合分析比较评分：措施详细、合理、可行性强，能保质保</w:t>
            </w:r>
            <w:bookmarkStart w:id="0" w:name="_GoBack"/>
            <w:bookmarkEnd w:id="0"/>
            <w:r>
              <w:rPr>
                <w:rFonts w:hint="eastAsia" w:ascii="Times New Roman" w:hAnsi="Times New Roman" w:eastAsia="Arial" w:cs="Arial"/>
                <w:b w:val="0"/>
                <w:bCs w:val="0"/>
                <w:snapToGrid w:val="0"/>
                <w:color w:val="000000"/>
                <w:kern w:val="0"/>
                <w:sz w:val="21"/>
                <w:szCs w:val="21"/>
                <w:highlight w:val="none"/>
                <w:lang w:val="en-US" w:eastAsia="zh-CN" w:bidi="ar-SA"/>
              </w:rPr>
              <w:t>量地保证项目的顺利实施的得20分；措施较为详细，可行性一般，基本能保证项目的顺利实施的得10分；措施不够详细，操作性不强的得5分；注：无此项的不得分。</w:t>
            </w:r>
          </w:p>
        </w:tc>
      </w:tr>
      <w:tr w14:paraId="77639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noWrap w:val="0"/>
            <w:vAlign w:val="center"/>
          </w:tcPr>
          <w:p w14:paraId="3FD80DF8">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lang w:val="en-US" w:eastAsia="zh-CN"/>
              </w:rPr>
              <w:t>3</w:t>
            </w:r>
          </w:p>
        </w:tc>
        <w:tc>
          <w:tcPr>
            <w:tcW w:w="1147" w:type="dxa"/>
            <w:vMerge w:val="restart"/>
            <w:noWrap w:val="0"/>
            <w:vAlign w:val="center"/>
          </w:tcPr>
          <w:p w14:paraId="149841AF">
            <w:pPr>
              <w:keepNext w:val="0"/>
              <w:keepLines w:val="0"/>
              <w:pageBreakBefore w:val="0"/>
              <w:kinsoku/>
              <w:wordWrap w:val="0"/>
              <w:overflowPunct/>
              <w:topLinePunct w:val="0"/>
              <w:bidi w:val="0"/>
              <w:spacing w:before="157" w:line="220"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2"/>
                <w:sz w:val="24"/>
                <w:szCs w:val="24"/>
                <w:lang w:val="en-US" w:eastAsia="zh-CN"/>
              </w:rPr>
              <w:t>综合实力</w:t>
            </w:r>
          </w:p>
        </w:tc>
        <w:tc>
          <w:tcPr>
            <w:tcW w:w="780" w:type="dxa"/>
            <w:vMerge w:val="restart"/>
            <w:noWrap w:val="0"/>
            <w:vAlign w:val="top"/>
          </w:tcPr>
          <w:p w14:paraId="217B1A4C">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3352C358">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1E1129BC">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2D5FC248">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4DC93718">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49BB547C">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20FA9740">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0E21B3FD">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704FB2E9">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7A253C47">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41278942">
            <w:pPr>
              <w:pStyle w:val="32"/>
              <w:keepNext w:val="0"/>
              <w:keepLines w:val="0"/>
              <w:pageBreakBefore w:val="0"/>
              <w:kinsoku/>
              <w:wordWrap w:val="0"/>
              <w:overflowPunct/>
              <w:topLinePunct w:val="0"/>
              <w:bidi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10分</w:t>
            </w:r>
          </w:p>
        </w:tc>
        <w:tc>
          <w:tcPr>
            <w:tcW w:w="2002" w:type="dxa"/>
            <w:noWrap w:val="0"/>
            <w:vAlign w:val="center"/>
          </w:tcPr>
          <w:p w14:paraId="2020D44B">
            <w:pPr>
              <w:spacing w:line="300" w:lineRule="exact"/>
              <w:ind w:firstLine="210" w:firstLineChars="100"/>
              <w:jc w:val="center"/>
              <w:rPr>
                <w:rFonts w:hint="eastAsia" w:ascii="Times New Roman" w:hAnsi="Times New Roman"/>
                <w:highlight w:val="yellow"/>
                <w:lang w:val="en-US" w:eastAsia="en-US"/>
              </w:rPr>
            </w:pPr>
            <w:r>
              <w:rPr>
                <w:rFonts w:hint="eastAsia" w:ascii="Times New Roman" w:hAnsi="Times New Roman"/>
                <w:highlight w:val="none"/>
              </w:rPr>
              <w:t>信用评价（2分）</w:t>
            </w:r>
          </w:p>
        </w:tc>
        <w:tc>
          <w:tcPr>
            <w:tcW w:w="3567" w:type="dxa"/>
            <w:noWrap w:val="0"/>
            <w:vAlign w:val="top"/>
          </w:tcPr>
          <w:p w14:paraId="1BC0C7D4">
            <w:pPr>
              <w:pStyle w:val="2"/>
              <w:keepNext w:val="0"/>
              <w:keepLines w:val="0"/>
              <w:widowControl/>
              <w:suppressLineNumbers w:val="0"/>
              <w:spacing w:before="0" w:beforeAutospacing="0" w:after="0" w:afterAutospacing="0"/>
              <w:ind w:left="0" w:right="0"/>
              <w:jc w:val="both"/>
              <w:rPr>
                <w:rFonts w:hint="default"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投标人</w:t>
            </w:r>
            <w:r>
              <w:rPr>
                <w:rFonts w:hint="default" w:ascii="Times New Roman" w:hAnsi="Times New Roman" w:eastAsia="Arial" w:cs="Arial"/>
                <w:b w:val="0"/>
                <w:bCs w:val="0"/>
                <w:snapToGrid w:val="0"/>
                <w:color w:val="000000"/>
                <w:kern w:val="0"/>
                <w:sz w:val="21"/>
                <w:szCs w:val="21"/>
                <w:highlight w:val="none"/>
                <w:lang w:val="en-US" w:eastAsia="zh-CN" w:bidi="ar-SA"/>
              </w:rPr>
              <w:t>在参加南阳市本级的政府采购活动时，享受政策支持，在采用综合评分法的项目中，诚信评价为满分的得 2 分，90-99 分（不含 90 分）之间 得 1 分，90 分以下的不得分；在采用最低评标价法的项目中， 诚信评价为满分的给予报价 2%的价格扣除，90-99 分（不含90 分）之间的给予报价 1%的价格扣除，90 分以下的不得享 受价格扣除。</w:t>
            </w:r>
            <w:r>
              <w:rPr>
                <w:rFonts w:hint="eastAsia" w:ascii="Times New Roman" w:hAnsi="Times New Roman" w:eastAsia="Arial" w:cs="Arial"/>
                <w:b w:val="0"/>
                <w:bCs w:val="0"/>
                <w:snapToGrid w:val="0"/>
                <w:color w:val="000000"/>
                <w:kern w:val="0"/>
                <w:sz w:val="21"/>
                <w:szCs w:val="21"/>
                <w:highlight w:val="none"/>
                <w:lang w:val="en-US" w:eastAsia="zh-CN" w:bidi="ar-SA"/>
              </w:rPr>
              <w:t>投标人</w:t>
            </w:r>
            <w:r>
              <w:rPr>
                <w:rFonts w:hint="default" w:ascii="Times New Roman" w:hAnsi="Times New Roman" w:eastAsia="Arial" w:cs="Arial"/>
                <w:b w:val="0"/>
                <w:bCs w:val="0"/>
                <w:snapToGrid w:val="0"/>
                <w:color w:val="000000"/>
                <w:kern w:val="0"/>
                <w:sz w:val="21"/>
                <w:szCs w:val="21"/>
                <w:highlight w:val="none"/>
                <w:lang w:val="en-US" w:eastAsia="zh-CN" w:bidi="ar-SA"/>
              </w:rPr>
              <w:t>可在公告发布之日到投标截止期间，登 录“南阳市政府采购信用管理系统”在线打印《南阳市政府 采购供应商信用记录表》，作为投标(响应)文件的组成部分提交，评审时作为享受政策支持的依据</w:t>
            </w:r>
            <w:r>
              <w:rPr>
                <w:rFonts w:hint="eastAsia" w:ascii="Times New Roman" w:hAnsi="Times New Roman" w:eastAsia="Arial" w:cs="Arial"/>
                <w:b w:val="0"/>
                <w:bCs w:val="0"/>
                <w:snapToGrid w:val="0"/>
                <w:color w:val="000000"/>
                <w:kern w:val="0"/>
                <w:sz w:val="21"/>
                <w:szCs w:val="21"/>
                <w:highlight w:val="none"/>
                <w:lang w:val="en-US" w:eastAsia="zh-CN" w:bidi="ar-SA"/>
              </w:rPr>
              <w:t>。</w:t>
            </w:r>
          </w:p>
          <w:p w14:paraId="5DACA288">
            <w:pPr>
              <w:pStyle w:val="2"/>
              <w:keepNext w:val="0"/>
              <w:keepLines w:val="0"/>
              <w:widowControl/>
              <w:suppressLineNumbers w:val="0"/>
              <w:spacing w:before="0" w:beforeAutospacing="0" w:after="0" w:afterAutospacing="0"/>
              <w:ind w:left="0" w:right="0"/>
              <w:jc w:val="center"/>
              <w:rPr>
                <w:rFonts w:hint="default" w:ascii="Times New Roman" w:hAnsi="Times New Roman" w:eastAsia="Arial" w:cs="Arial"/>
                <w:b w:val="0"/>
                <w:bCs w:val="0"/>
                <w:snapToGrid w:val="0"/>
                <w:color w:val="000000"/>
                <w:kern w:val="0"/>
                <w:sz w:val="21"/>
                <w:szCs w:val="21"/>
                <w:highlight w:val="yellow"/>
                <w:lang w:val="en-US" w:eastAsia="zh-CN" w:bidi="ar-SA"/>
              </w:rPr>
            </w:pPr>
          </w:p>
        </w:tc>
      </w:tr>
      <w:tr w14:paraId="17D90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noWrap w:val="0"/>
            <w:vAlign w:val="center"/>
          </w:tcPr>
          <w:p w14:paraId="649B096C">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tc>
        <w:tc>
          <w:tcPr>
            <w:tcW w:w="1147" w:type="dxa"/>
            <w:vMerge w:val="continue"/>
            <w:noWrap w:val="0"/>
            <w:vAlign w:val="center"/>
          </w:tcPr>
          <w:p w14:paraId="538D945A">
            <w:pPr>
              <w:keepNext w:val="0"/>
              <w:keepLines w:val="0"/>
              <w:pageBreakBefore w:val="0"/>
              <w:kinsoku/>
              <w:wordWrap w:val="0"/>
              <w:overflowPunct/>
              <w:topLinePunct w:val="0"/>
              <w:bidi w:val="0"/>
              <w:spacing w:before="157" w:line="220" w:lineRule="auto"/>
              <w:jc w:val="center"/>
              <w:rPr>
                <w:rFonts w:hint="eastAsia" w:ascii="宋体" w:hAnsi="宋体" w:eastAsia="宋体" w:cs="宋体"/>
                <w:spacing w:val="-2"/>
                <w:sz w:val="24"/>
                <w:szCs w:val="24"/>
                <w:lang w:val="en-US" w:eastAsia="zh-CN"/>
              </w:rPr>
            </w:pPr>
          </w:p>
        </w:tc>
        <w:tc>
          <w:tcPr>
            <w:tcW w:w="780" w:type="dxa"/>
            <w:vMerge w:val="continue"/>
            <w:noWrap w:val="0"/>
            <w:vAlign w:val="top"/>
          </w:tcPr>
          <w:p w14:paraId="5AEA8922">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en-US" w:bidi="ar-SA"/>
              </w:rPr>
            </w:pPr>
          </w:p>
        </w:tc>
        <w:tc>
          <w:tcPr>
            <w:tcW w:w="2002" w:type="dxa"/>
            <w:noWrap w:val="0"/>
            <w:vAlign w:val="center"/>
          </w:tcPr>
          <w:p w14:paraId="72DDD304">
            <w:pPr>
              <w:spacing w:line="300" w:lineRule="exact"/>
              <w:jc w:val="center"/>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zh-CN" w:bidi="ar-SA"/>
              </w:rPr>
              <w:t>企业实力（3分）</w:t>
            </w:r>
          </w:p>
        </w:tc>
        <w:tc>
          <w:tcPr>
            <w:tcW w:w="3567" w:type="dxa"/>
            <w:noWrap w:val="0"/>
            <w:vAlign w:val="top"/>
          </w:tcPr>
          <w:p w14:paraId="6C2AE0A1">
            <w:pPr>
              <w:keepNext w:val="0"/>
              <w:keepLines w:val="0"/>
              <w:pageBreakBefore w:val="0"/>
              <w:widowControl w:val="0"/>
              <w:numPr>
                <w:ilvl w:val="0"/>
                <w:numId w:val="0"/>
              </w:numPr>
              <w:kinsoku/>
              <w:wordWrap/>
              <w:overflowPunct/>
              <w:topLinePunct w:val="0"/>
              <w:autoSpaceDE/>
              <w:autoSpaceDN/>
              <w:bidi w:val="0"/>
              <w:adjustRightInd/>
              <w:snapToGrid/>
              <w:spacing w:line="572" w:lineRule="exact"/>
              <w:jc w:val="center"/>
              <w:textAlignment w:val="auto"/>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cs="Times New Roman"/>
                <w:highlight w:val="none"/>
                <w:lang w:val="en-US" w:eastAsia="zh-CN"/>
              </w:rPr>
              <w:t>投标人</w:t>
            </w:r>
            <w:r>
              <w:rPr>
                <w:rFonts w:hint="eastAsia" w:ascii="Times New Roman" w:hAnsi="Times New Roman" w:eastAsia="宋体" w:cs="Times New Roman"/>
                <w:highlight w:val="none"/>
                <w:lang w:val="en-US" w:eastAsia="zh-CN"/>
              </w:rPr>
              <w:t>具有ISO27001信息安全管理体系证书得</w:t>
            </w:r>
            <w:r>
              <w:rPr>
                <w:rFonts w:hint="eastAsia" w:cs="Times New Roman"/>
                <w:highlight w:val="none"/>
                <w:lang w:val="en-US" w:eastAsia="zh-CN"/>
              </w:rPr>
              <w:t>3</w:t>
            </w:r>
            <w:r>
              <w:rPr>
                <w:rFonts w:hint="eastAsia" w:ascii="Times New Roman" w:hAnsi="Times New Roman" w:eastAsia="宋体" w:cs="Times New Roman"/>
                <w:highlight w:val="none"/>
                <w:lang w:val="en-US" w:eastAsia="zh-CN"/>
              </w:rPr>
              <w:t>分。</w:t>
            </w:r>
          </w:p>
        </w:tc>
      </w:tr>
      <w:tr w14:paraId="0C63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noWrap w:val="0"/>
            <w:vAlign w:val="center"/>
          </w:tcPr>
          <w:p w14:paraId="03E7EBCE">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tc>
        <w:tc>
          <w:tcPr>
            <w:tcW w:w="1147" w:type="dxa"/>
            <w:vMerge w:val="continue"/>
            <w:noWrap w:val="0"/>
            <w:vAlign w:val="center"/>
          </w:tcPr>
          <w:p w14:paraId="6A1ED667">
            <w:pPr>
              <w:keepNext w:val="0"/>
              <w:keepLines w:val="0"/>
              <w:pageBreakBefore w:val="0"/>
              <w:kinsoku/>
              <w:wordWrap w:val="0"/>
              <w:overflowPunct/>
              <w:topLinePunct w:val="0"/>
              <w:bidi w:val="0"/>
              <w:spacing w:before="157" w:line="220" w:lineRule="auto"/>
              <w:jc w:val="center"/>
              <w:rPr>
                <w:rFonts w:hint="eastAsia" w:ascii="宋体" w:hAnsi="宋体" w:eastAsia="宋体" w:cs="宋体"/>
                <w:spacing w:val="-2"/>
                <w:sz w:val="24"/>
                <w:szCs w:val="24"/>
                <w:lang w:val="en-US" w:eastAsia="zh-CN"/>
              </w:rPr>
            </w:pPr>
          </w:p>
        </w:tc>
        <w:tc>
          <w:tcPr>
            <w:tcW w:w="780" w:type="dxa"/>
            <w:vMerge w:val="continue"/>
            <w:noWrap w:val="0"/>
            <w:vAlign w:val="top"/>
          </w:tcPr>
          <w:p w14:paraId="1373C2B6">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en-US" w:bidi="ar-SA"/>
              </w:rPr>
            </w:pPr>
          </w:p>
        </w:tc>
        <w:tc>
          <w:tcPr>
            <w:tcW w:w="2002" w:type="dxa"/>
            <w:noWrap w:val="0"/>
            <w:vAlign w:val="center"/>
          </w:tcPr>
          <w:p w14:paraId="42C970F5">
            <w:pPr>
              <w:spacing w:line="300" w:lineRule="exact"/>
              <w:jc w:val="center"/>
              <w:rPr>
                <w:rFonts w:hint="eastAsia" w:ascii="宋体" w:hAnsi="宋体" w:eastAsia="宋体" w:cs="宋体"/>
                <w:snapToGrid w:val="0"/>
                <w:color w:val="000000"/>
                <w:spacing w:val="-13"/>
                <w:kern w:val="0"/>
                <w:sz w:val="22"/>
                <w:szCs w:val="22"/>
                <w:lang w:val="en-US" w:eastAsia="en-US" w:bidi="ar-SA"/>
              </w:rPr>
            </w:pPr>
            <w:r>
              <w:rPr>
                <w:rFonts w:hint="eastAsia" w:ascii="宋体" w:hAnsi="宋体" w:eastAsia="宋体" w:cs="宋体"/>
                <w:snapToGrid w:val="0"/>
                <w:color w:val="000000"/>
                <w:spacing w:val="-13"/>
                <w:kern w:val="0"/>
                <w:sz w:val="22"/>
                <w:szCs w:val="22"/>
                <w:lang w:val="en-US" w:eastAsia="en-US" w:bidi="ar-SA"/>
              </w:rPr>
              <w:t>投标文件总体评价</w:t>
            </w:r>
          </w:p>
          <w:p w14:paraId="3E5FD5F9">
            <w:pPr>
              <w:spacing w:line="300" w:lineRule="exact"/>
              <w:jc w:val="center"/>
              <w:rPr>
                <w:rFonts w:hint="eastAsia"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val="en-US" w:eastAsia="zh-CN"/>
              </w:rPr>
              <w:t>5</w:t>
            </w:r>
            <w:r>
              <w:rPr>
                <w:rFonts w:hint="eastAsia" w:ascii="Times New Roman" w:hAnsi="Times New Roman"/>
                <w:highlight w:val="none"/>
              </w:rPr>
              <w:t>分）</w:t>
            </w:r>
          </w:p>
        </w:tc>
        <w:tc>
          <w:tcPr>
            <w:tcW w:w="3567" w:type="dxa"/>
            <w:noWrap w:val="0"/>
            <w:vAlign w:val="top"/>
          </w:tcPr>
          <w:p w14:paraId="2E1C0C55">
            <w:pPr>
              <w:pStyle w:val="2"/>
              <w:keepNext w:val="0"/>
              <w:keepLines w:val="0"/>
              <w:widowControl/>
              <w:suppressLineNumbers w:val="0"/>
              <w:spacing w:before="0" w:beforeAutospacing="0" w:after="0" w:afterAutospacing="0"/>
              <w:ind w:left="0" w:right="0"/>
              <w:jc w:val="center"/>
              <w:rPr>
                <w:rFonts w:hint="default" w:ascii="Times New Roman" w:hAnsi="Times New Roman" w:eastAsia="宋体"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投标人</w:t>
            </w:r>
            <w:r>
              <w:rPr>
                <w:rFonts w:hint="eastAsia" w:ascii="Times New Roman" w:hAnsi="Times New Roman" w:eastAsia="Arial" w:cs="Arial"/>
                <w:b w:val="0"/>
                <w:bCs w:val="0"/>
                <w:snapToGrid w:val="0"/>
                <w:color w:val="000000"/>
                <w:kern w:val="0"/>
                <w:sz w:val="21"/>
                <w:szCs w:val="21"/>
                <w:highlight w:val="none"/>
                <w:lang w:val="en-US" w:eastAsia="en-US" w:bidi="ar-SA"/>
              </w:rPr>
              <w:t>的投标文件完整性，商务响应及技术应答具体、详实</w:t>
            </w:r>
            <w:r>
              <w:rPr>
                <w:rFonts w:hint="eastAsia" w:ascii="Times New Roman" w:hAnsi="Times New Roman" w:eastAsia="Arial" w:cs="Arial"/>
                <w:b w:val="0"/>
                <w:bCs w:val="0"/>
                <w:snapToGrid w:val="0"/>
                <w:color w:val="000000"/>
                <w:kern w:val="0"/>
                <w:sz w:val="21"/>
                <w:szCs w:val="21"/>
                <w:highlight w:val="none"/>
                <w:lang w:val="en-US" w:eastAsia="zh-CN" w:bidi="ar-SA"/>
              </w:rPr>
              <w:t>得5分；投标文件完成，</w:t>
            </w:r>
            <w:r>
              <w:rPr>
                <w:rFonts w:hint="eastAsia" w:ascii="Times New Roman" w:hAnsi="Times New Roman" w:eastAsia="Arial" w:cs="Arial"/>
                <w:b w:val="0"/>
                <w:bCs w:val="0"/>
                <w:snapToGrid w:val="0"/>
                <w:color w:val="000000"/>
                <w:kern w:val="0"/>
                <w:sz w:val="21"/>
                <w:szCs w:val="21"/>
                <w:highlight w:val="none"/>
                <w:lang w:val="en-US" w:eastAsia="en-US" w:bidi="ar-SA"/>
              </w:rPr>
              <w:t>商务响应及技术应答</w:t>
            </w:r>
            <w:r>
              <w:rPr>
                <w:rFonts w:hint="eastAsia" w:ascii="Times New Roman" w:hAnsi="Times New Roman" w:eastAsia="Arial" w:cs="Arial"/>
                <w:b w:val="0"/>
                <w:bCs w:val="0"/>
                <w:snapToGrid w:val="0"/>
                <w:color w:val="000000"/>
                <w:kern w:val="0"/>
                <w:sz w:val="21"/>
                <w:szCs w:val="21"/>
                <w:highlight w:val="none"/>
                <w:lang w:val="en-US" w:eastAsia="zh-CN" w:bidi="ar-SA"/>
              </w:rPr>
              <w:t>基本</w:t>
            </w:r>
            <w:r>
              <w:rPr>
                <w:rFonts w:hint="eastAsia" w:ascii="Times New Roman" w:hAnsi="Times New Roman" w:eastAsia="Arial" w:cs="Arial"/>
                <w:b w:val="0"/>
                <w:bCs w:val="0"/>
                <w:snapToGrid w:val="0"/>
                <w:color w:val="000000"/>
                <w:kern w:val="0"/>
                <w:sz w:val="21"/>
                <w:szCs w:val="21"/>
                <w:highlight w:val="none"/>
                <w:lang w:val="en-US" w:eastAsia="en-US" w:bidi="ar-SA"/>
              </w:rPr>
              <w:t>详实</w:t>
            </w:r>
            <w:r>
              <w:rPr>
                <w:rFonts w:hint="eastAsia" w:ascii="Times New Roman" w:hAnsi="Times New Roman" w:eastAsia="Arial" w:cs="Arial"/>
                <w:b w:val="0"/>
                <w:bCs w:val="0"/>
                <w:snapToGrid w:val="0"/>
                <w:color w:val="000000"/>
                <w:kern w:val="0"/>
                <w:sz w:val="21"/>
                <w:szCs w:val="21"/>
                <w:highlight w:val="none"/>
                <w:lang w:val="en-US" w:eastAsia="zh-CN" w:bidi="ar-SA"/>
              </w:rPr>
              <w:t>得3分；否则不得分。</w:t>
            </w:r>
          </w:p>
        </w:tc>
      </w:tr>
      <w:tr w14:paraId="37B03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noWrap w:val="0"/>
            <w:vAlign w:val="center"/>
          </w:tcPr>
          <w:p w14:paraId="4432161C">
            <w:pPr>
              <w:pStyle w:val="32"/>
              <w:keepNext w:val="0"/>
              <w:keepLines w:val="0"/>
              <w:pageBreakBefore w:val="0"/>
              <w:kinsoku/>
              <w:wordWrap w:val="0"/>
              <w:overflowPunct/>
              <w:topLinePunct w:val="0"/>
              <w:bidi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4</w:t>
            </w:r>
          </w:p>
        </w:tc>
        <w:tc>
          <w:tcPr>
            <w:tcW w:w="1147" w:type="dxa"/>
            <w:vMerge w:val="restart"/>
            <w:noWrap w:val="0"/>
            <w:vAlign w:val="center"/>
          </w:tcPr>
          <w:p w14:paraId="77AD9B5F">
            <w:pPr>
              <w:keepNext w:val="0"/>
              <w:keepLines w:val="0"/>
              <w:pageBreakBefore w:val="0"/>
              <w:kinsoku/>
              <w:wordWrap w:val="0"/>
              <w:overflowPunct/>
              <w:topLinePunct w:val="0"/>
              <w:bidi w:val="0"/>
              <w:spacing w:before="78" w:line="219" w:lineRule="auto"/>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售后服务或其他</w:t>
            </w:r>
          </w:p>
        </w:tc>
        <w:tc>
          <w:tcPr>
            <w:tcW w:w="780" w:type="dxa"/>
            <w:vMerge w:val="restart"/>
            <w:noWrap w:val="0"/>
            <w:vAlign w:val="top"/>
          </w:tcPr>
          <w:p w14:paraId="0972999D">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04D02618">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2BA435D1">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68E1AAE1">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37D32344">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49E54A45">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0560C229">
            <w:pPr>
              <w:pStyle w:val="32"/>
              <w:keepNext w:val="0"/>
              <w:keepLines w:val="0"/>
              <w:pageBreakBefore w:val="0"/>
              <w:kinsoku/>
              <w:wordWrap w:val="0"/>
              <w:overflowPunct/>
              <w:topLinePunct w:val="0"/>
              <w:bidi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20分</w:t>
            </w:r>
          </w:p>
        </w:tc>
        <w:tc>
          <w:tcPr>
            <w:tcW w:w="2002" w:type="dxa"/>
            <w:noWrap w:val="0"/>
            <w:vAlign w:val="center"/>
          </w:tcPr>
          <w:p w14:paraId="24037DF8">
            <w:pPr>
              <w:spacing w:line="300" w:lineRule="exact"/>
              <w:jc w:val="center"/>
              <w:rPr>
                <w:rFonts w:hint="eastAsia" w:ascii="Times New Roman" w:hAnsi="Times New Roman"/>
                <w:highlight w:val="none"/>
              </w:rPr>
            </w:pPr>
            <w:r>
              <w:rPr>
                <w:rFonts w:hint="eastAsia" w:ascii="Times New Roman" w:hAnsi="Times New Roman"/>
                <w:highlight w:val="none"/>
              </w:rPr>
              <w:t>售后服务方案</w:t>
            </w:r>
          </w:p>
          <w:p w14:paraId="6CC747AB">
            <w:pPr>
              <w:spacing w:line="300" w:lineRule="exact"/>
              <w:jc w:val="center"/>
              <w:rPr>
                <w:rFonts w:hint="eastAsia" w:ascii="Times New Roman" w:hAnsi="Times New Roman"/>
                <w:highlight w:val="none"/>
                <w:lang w:val="en-US" w:eastAsia="en-US"/>
              </w:rPr>
            </w:pPr>
            <w:r>
              <w:rPr>
                <w:rFonts w:hint="eastAsia" w:ascii="Times New Roman" w:hAnsi="Times New Roman"/>
                <w:highlight w:val="none"/>
              </w:rPr>
              <w:t>（</w:t>
            </w:r>
            <w:r>
              <w:rPr>
                <w:rFonts w:hint="eastAsia" w:ascii="Times New Roman" w:hAnsi="Times New Roman" w:eastAsia="宋体"/>
                <w:highlight w:val="none"/>
                <w:lang w:val="en-US" w:eastAsia="zh-CN"/>
              </w:rPr>
              <w:t>10</w:t>
            </w:r>
            <w:r>
              <w:rPr>
                <w:rFonts w:hint="eastAsia" w:ascii="Times New Roman" w:hAnsi="Times New Roman"/>
                <w:highlight w:val="none"/>
              </w:rPr>
              <w:t>分）</w:t>
            </w:r>
          </w:p>
        </w:tc>
        <w:tc>
          <w:tcPr>
            <w:tcW w:w="3567" w:type="dxa"/>
            <w:noWrap w:val="0"/>
            <w:vAlign w:val="top"/>
          </w:tcPr>
          <w:p w14:paraId="297119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10分：提供7×24小时技术支持，故障响应时间≤1小时，线上或线下解决时间≤4小时，每年上门维护≥4次；</w:t>
            </w:r>
          </w:p>
          <w:p w14:paraId="62BF6A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5分：提供5×8小时技术支持，故障响应时间≤2小时，线上或线下解决时间≤8小时，每年上门维护≥2次；</w:t>
            </w:r>
          </w:p>
          <w:p w14:paraId="43F138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2分：仅提供电话支持，无明确响应时间；</w:t>
            </w:r>
          </w:p>
          <w:p w14:paraId="318AA4F4">
            <w:pPr>
              <w:pStyle w:val="2"/>
              <w:keepNext w:val="0"/>
              <w:keepLines w:val="0"/>
              <w:widowControl/>
              <w:suppressLineNumbers w:val="0"/>
              <w:spacing w:before="0" w:beforeAutospacing="0" w:after="0" w:afterAutospacing="0"/>
              <w:ind w:left="0" w:right="0"/>
              <w:jc w:val="center"/>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zh-CN" w:bidi="ar-SA"/>
              </w:rPr>
              <w:t>0分：无方案。</w:t>
            </w:r>
          </w:p>
        </w:tc>
      </w:tr>
      <w:tr w14:paraId="43935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noWrap w:val="0"/>
            <w:vAlign w:val="center"/>
          </w:tcPr>
          <w:p w14:paraId="379C16DA">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tc>
        <w:tc>
          <w:tcPr>
            <w:tcW w:w="1147" w:type="dxa"/>
            <w:vMerge w:val="continue"/>
            <w:noWrap w:val="0"/>
            <w:vAlign w:val="center"/>
          </w:tcPr>
          <w:p w14:paraId="18FA228F">
            <w:pPr>
              <w:keepNext w:val="0"/>
              <w:keepLines w:val="0"/>
              <w:pageBreakBefore w:val="0"/>
              <w:kinsoku/>
              <w:wordWrap w:val="0"/>
              <w:overflowPunct/>
              <w:topLinePunct w:val="0"/>
              <w:bidi w:val="0"/>
              <w:spacing w:before="78" w:line="219" w:lineRule="auto"/>
              <w:jc w:val="center"/>
              <w:rPr>
                <w:rFonts w:hint="eastAsia" w:ascii="宋体" w:hAnsi="宋体" w:eastAsia="宋体" w:cs="宋体"/>
                <w:snapToGrid w:val="0"/>
                <w:color w:val="000000"/>
                <w:spacing w:val="-13"/>
                <w:kern w:val="0"/>
                <w:sz w:val="24"/>
                <w:szCs w:val="24"/>
                <w:lang w:val="en-US" w:eastAsia="zh-CN" w:bidi="ar-SA"/>
              </w:rPr>
            </w:pPr>
          </w:p>
        </w:tc>
        <w:tc>
          <w:tcPr>
            <w:tcW w:w="780" w:type="dxa"/>
            <w:vMerge w:val="continue"/>
            <w:noWrap w:val="0"/>
            <w:vAlign w:val="top"/>
          </w:tcPr>
          <w:p w14:paraId="4C0D4DEB">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en-US" w:bidi="ar-SA"/>
              </w:rPr>
            </w:pPr>
          </w:p>
        </w:tc>
        <w:tc>
          <w:tcPr>
            <w:tcW w:w="2002" w:type="dxa"/>
            <w:noWrap w:val="0"/>
            <w:vAlign w:val="top"/>
          </w:tcPr>
          <w:p w14:paraId="5424F9A6">
            <w:pPr>
              <w:spacing w:line="300" w:lineRule="exact"/>
              <w:jc w:val="center"/>
              <w:rPr>
                <w:rFonts w:hint="eastAsia" w:ascii="Times New Roman" w:hAnsi="Times New Roman" w:eastAsia="宋体"/>
                <w:highlight w:val="none"/>
                <w:lang w:val="en-US" w:eastAsia="zh-CN"/>
              </w:rPr>
            </w:pPr>
          </w:p>
          <w:p w14:paraId="1F315138">
            <w:pPr>
              <w:spacing w:line="300" w:lineRule="exact"/>
              <w:jc w:val="center"/>
              <w:rPr>
                <w:rFonts w:hint="eastAsia" w:ascii="Times New Roman" w:hAnsi="Times New Roman" w:eastAsia="宋体"/>
                <w:highlight w:val="none"/>
                <w:lang w:val="en-US" w:eastAsia="zh-CN"/>
              </w:rPr>
            </w:pPr>
          </w:p>
          <w:p w14:paraId="66244D2C">
            <w:pPr>
              <w:spacing w:line="300" w:lineRule="exact"/>
              <w:jc w:val="center"/>
              <w:rPr>
                <w:rFonts w:hint="eastAsia" w:ascii="Times New Roman" w:hAnsi="Times New Roman"/>
                <w:highlight w:val="none"/>
              </w:rPr>
            </w:pPr>
            <w:r>
              <w:rPr>
                <w:rFonts w:hint="eastAsia" w:ascii="Times New Roman" w:hAnsi="Times New Roman"/>
                <w:highlight w:val="none"/>
              </w:rPr>
              <w:t>培训方案</w:t>
            </w:r>
          </w:p>
          <w:p w14:paraId="127ED816">
            <w:pPr>
              <w:spacing w:line="300" w:lineRule="exact"/>
              <w:jc w:val="center"/>
              <w:rPr>
                <w:rFonts w:hint="eastAsia" w:ascii="Times New Roman" w:hAnsi="Times New Roman"/>
                <w:highlight w:val="none"/>
                <w:lang w:val="en-US" w:eastAsia="en-US"/>
              </w:rPr>
            </w:pPr>
            <w:r>
              <w:rPr>
                <w:rFonts w:hint="eastAsia" w:ascii="Times New Roman" w:hAnsi="Times New Roman"/>
                <w:highlight w:val="none"/>
              </w:rPr>
              <w:t>（</w:t>
            </w:r>
            <w:r>
              <w:rPr>
                <w:rFonts w:hint="eastAsia" w:ascii="Times New Roman" w:hAnsi="Times New Roman" w:eastAsia="宋体"/>
                <w:highlight w:val="none"/>
                <w:lang w:val="en-US" w:eastAsia="zh-CN"/>
              </w:rPr>
              <w:t>10</w:t>
            </w:r>
            <w:r>
              <w:rPr>
                <w:rFonts w:hint="eastAsia" w:ascii="Times New Roman" w:hAnsi="Times New Roman"/>
                <w:highlight w:val="none"/>
              </w:rPr>
              <w:t>分）</w:t>
            </w:r>
          </w:p>
        </w:tc>
        <w:tc>
          <w:tcPr>
            <w:tcW w:w="3567" w:type="dxa"/>
            <w:noWrap w:val="0"/>
            <w:vAlign w:val="top"/>
          </w:tcPr>
          <w:p w14:paraId="7A53DB42">
            <w:pPr>
              <w:pStyle w:val="2"/>
              <w:keepNext w:val="0"/>
              <w:keepLines w:val="0"/>
              <w:widowControl/>
              <w:suppressLineNumbers w:val="0"/>
              <w:spacing w:before="0" w:beforeAutospacing="0" w:after="0" w:afterAutospacing="0"/>
              <w:ind w:left="0" w:right="0"/>
              <w:jc w:val="center"/>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zh-CN" w:bidi="ar-SA"/>
              </w:rPr>
              <w:t>投标人提供的培训方案可行性及合理性进行横向对比。投标人方案详实，科学先进，符合现场条件及客户需求的得10分；方案详细，合理可行，基本符合现场条件及客户需求的得5分；方案不够详细，基本可行的得2分；否则不得分。</w:t>
            </w:r>
          </w:p>
        </w:tc>
      </w:tr>
      <w:tr w14:paraId="548D7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86" w:type="dxa"/>
            <w:gridSpan w:val="2"/>
            <w:noWrap w:val="0"/>
            <w:vAlign w:val="top"/>
          </w:tcPr>
          <w:p w14:paraId="2AB5809E">
            <w:pPr>
              <w:keepNext w:val="0"/>
              <w:keepLines w:val="0"/>
              <w:pageBreakBefore w:val="0"/>
              <w:kinsoku/>
              <w:wordWrap w:val="0"/>
              <w:overflowPunct/>
              <w:topLinePunct w:val="0"/>
              <w:bidi w:val="0"/>
              <w:spacing w:before="42" w:line="206" w:lineRule="auto"/>
              <w:ind w:left="932"/>
              <w:jc w:val="center"/>
              <w:rPr>
                <w:rFonts w:hint="eastAsia" w:ascii="宋体" w:hAnsi="宋体" w:eastAsia="宋体" w:cs="宋体"/>
                <w:sz w:val="24"/>
                <w:szCs w:val="24"/>
              </w:rPr>
            </w:pPr>
            <w:r>
              <w:rPr>
                <w:rFonts w:hint="eastAsia" w:ascii="宋体" w:hAnsi="宋体" w:eastAsia="宋体" w:cs="宋体"/>
                <w:spacing w:val="-3"/>
                <w:sz w:val="24"/>
                <w:szCs w:val="24"/>
              </w:rPr>
              <w:t>合计</w:t>
            </w:r>
          </w:p>
        </w:tc>
        <w:tc>
          <w:tcPr>
            <w:tcW w:w="780" w:type="dxa"/>
            <w:noWrap w:val="0"/>
            <w:vAlign w:val="top"/>
          </w:tcPr>
          <w:p w14:paraId="70B3ACD6">
            <w:pPr>
              <w:pStyle w:val="32"/>
              <w:keepNext w:val="0"/>
              <w:keepLines w:val="0"/>
              <w:pageBreakBefore w:val="0"/>
              <w:kinsoku/>
              <w:wordWrap w:val="0"/>
              <w:overflowPunct/>
              <w:topLinePunct w:val="0"/>
              <w:bidi w:val="0"/>
              <w:spacing w:before="59" w:line="202" w:lineRule="auto"/>
              <w:ind w:left="265"/>
              <w:jc w:val="center"/>
              <w:rPr>
                <w:rFonts w:hint="eastAsia" w:ascii="宋体" w:hAnsi="宋体" w:eastAsia="宋体" w:cs="宋体"/>
                <w:sz w:val="24"/>
                <w:szCs w:val="24"/>
              </w:rPr>
            </w:pPr>
            <w:r>
              <w:rPr>
                <w:rFonts w:hint="eastAsia" w:ascii="宋体" w:hAnsi="宋体" w:eastAsia="宋体" w:cs="宋体"/>
                <w:spacing w:val="9"/>
                <w:sz w:val="24"/>
                <w:szCs w:val="24"/>
              </w:rPr>
              <w:t>100</w:t>
            </w:r>
          </w:p>
        </w:tc>
        <w:tc>
          <w:tcPr>
            <w:tcW w:w="5569" w:type="dxa"/>
            <w:gridSpan w:val="2"/>
            <w:noWrap w:val="0"/>
            <w:vAlign w:val="top"/>
          </w:tcPr>
          <w:p w14:paraId="05272DB7">
            <w:pPr>
              <w:pStyle w:val="32"/>
              <w:keepNext w:val="0"/>
              <w:keepLines w:val="0"/>
              <w:pageBreakBefore w:val="0"/>
              <w:kinsoku/>
              <w:wordWrap w:val="0"/>
              <w:overflowPunct/>
              <w:topLinePunct w:val="0"/>
              <w:bidi w:val="0"/>
              <w:jc w:val="center"/>
              <w:rPr>
                <w:rFonts w:hint="eastAsia" w:ascii="宋体" w:hAnsi="宋体" w:eastAsia="宋体" w:cs="宋体"/>
              </w:rPr>
            </w:pPr>
          </w:p>
        </w:tc>
      </w:tr>
    </w:tbl>
    <w:p w14:paraId="38AA9888">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7AF6CB1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75046B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66BA285B">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648FB391">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中标人被正式确定后，将在“河南省政府采购网”和“全国公共资源交易平台（河南省</w:t>
      </w:r>
      <w:r>
        <w:rPr>
          <w:rFonts w:hint="eastAsia" w:ascii="微软雅黑" w:hAnsi="微软雅黑" w:eastAsia="微软雅黑" w:cs="微软雅黑"/>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南阳市）”上公告中标结果，同时向中标人发出《中标通知书》。</w:t>
      </w:r>
    </w:p>
    <w:p w14:paraId="3ED3E89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4F1E979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0C287EDA">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421F5611">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45236AE6">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09494B9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954A64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236DC52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4ED7C43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786DDF4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6BDD3C2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57A1694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72B32F4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21017B60">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4F50D5A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0182E5F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04E2EC1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775A824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0A32A49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3AD611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4CCE603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2B61C3E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9799A8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E59C5E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416161E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500D9CE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12F6AA3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660F5A7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716F126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5CEDE6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0F39888A">
      <w:pPr>
        <w:pStyle w:val="30"/>
        <w:keepNext w:val="0"/>
        <w:keepLines w:val="0"/>
        <w:pageBreakBefore w:val="0"/>
        <w:kinsoku/>
        <w:wordWrap w:val="0"/>
        <w:overflowPunct/>
        <w:topLinePunct w:val="0"/>
        <w:bidi w:val="0"/>
        <w:jc w:val="both"/>
        <w:rPr>
          <w:rFonts w:hint="eastAsia"/>
          <w:lang w:val="en-US" w:eastAsia="zh-CN"/>
        </w:rPr>
        <w:sectPr>
          <w:headerReference r:id="rId5" w:type="default"/>
          <w:footerReference r:id="rId6" w:type="default"/>
          <w:pgSz w:w="11907" w:h="16840"/>
          <w:pgMar w:top="1440" w:right="1800" w:bottom="1440" w:left="1800" w:header="878" w:footer="886" w:gutter="0"/>
          <w:pgNumType w:fmt="decimal" w:start="1"/>
          <w:cols w:space="720" w:num="1"/>
        </w:sectPr>
      </w:pPr>
    </w:p>
    <w:p w14:paraId="1E968628">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649DDE45">
      <w:pPr>
        <w:pStyle w:val="30"/>
        <w:jc w:val="both"/>
        <w:rPr>
          <w:rFonts w:hint="eastAsia"/>
        </w:rPr>
      </w:pPr>
    </w:p>
    <w:p w14:paraId="02CAD6CF">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7156452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33BCCB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4A70C8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625919AD">
      <w:pPr>
        <w:pStyle w:val="6"/>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14:paraId="3C08E5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22E7B3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309F4A0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0C8FED9B">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5D52EC1C">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0F639F35">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FFC467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9A4F99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58DA41A">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80A9F5E"/>
    <w:p w14:paraId="5F83E10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7" w:type="default"/>
          <w:footerReference r:id="rId8" w:type="default"/>
          <w:pgSz w:w="11907" w:h="16840"/>
          <w:pgMar w:top="1440" w:right="1800" w:bottom="1440" w:left="1800" w:header="878" w:footer="886" w:gutter="0"/>
          <w:pgNumType w:fmt="decimal"/>
          <w:cols w:space="720" w:num="1"/>
        </w:sectPr>
      </w:pPr>
    </w:p>
    <w:p w14:paraId="298FB83E">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2093506D">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249771A7">
      <w:pPr>
        <w:pStyle w:val="6"/>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337A0B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1C988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1DBDA37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pgNumType w:fmt="decimal"/>
          <w:cols w:space="720" w:num="1"/>
        </w:sectPr>
      </w:pPr>
    </w:p>
    <w:p w14:paraId="7FCD4872">
      <w:pPr>
        <w:pStyle w:val="6"/>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32FFD83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1.开标一览表格式</w:t>
      </w:r>
    </w:p>
    <w:p w14:paraId="36CB21A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82BC7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23"/>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6A05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C86F9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36EC50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21E5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452E1D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023FD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49BC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4FDAC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CC057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E08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E4EE11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866D3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0A31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1839EAC">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质量要求</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84066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6BF9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E6337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F7B256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7EC9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584E180">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交货安装地点</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3D33F3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79F0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12A66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EE3CD5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14:paraId="4D54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1FD1A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8B1D7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14:paraId="3B0480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2E9CC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5EBB97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3EBC8EA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14CFFB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p>
    <w:p w14:paraId="4F7B602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3A26C9AA">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023CDA2E">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42F309A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7FA1DC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06A261B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5D06D96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2D1831D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5790077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D5A7564">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31FF849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4934386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27BE572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60C88C8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1DDD3BE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373CD36A">
      <w:pPr>
        <w:pStyle w:val="22"/>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0A17E36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422ECF9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34A9B1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3F01F27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9FB96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24DB8BD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4C3A6E2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3F2BC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C7C353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723DAE4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F698C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1E8614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172977B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52CDB43">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0905D43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44E5E632">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E94E4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24F3666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BACDF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53B0D0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999290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4BC88C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580B02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6E8F812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5A99F43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7507F8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2474C59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4932152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FCE05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64005C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647896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9432C5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0A0DE3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8"/>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3081F68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1590B5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1CADC05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479C4BB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61BD34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2CDF45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79D70EE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692B040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2B4B0B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31B3CCB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2929E1F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013429F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0828486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2886267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016E9DB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43FF203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57F1CFAB">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B91B7E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16D83F11">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2E17B5F8">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42354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695A9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F556568">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67D43B2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263E53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5B185DA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25C4E73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691AD7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86BCC1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B2AD4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C613B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EAC61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EE474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A70F87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9C7EF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B2D4A8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6D524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37F5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58455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F3AB5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79754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5DE73C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512CE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1C88BA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FBC01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FE5F1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3E2BDE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5CA77F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417C1CB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25EFD54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678B776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FC516C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0A057B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CB5706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C61343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38A5DB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0306ECE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4780F8C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10D2EBE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24DD2A48">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F298B9A">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40DDFC8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4B985D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124EB91">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3C0FB120">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7452B1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56BCFE9A">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5F57644E">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3ADDB81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1F6A599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44C7211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3387967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08019DF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1F5F526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7855D8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273D83A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3B95F3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6A93879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6FE3E60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63CC506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07C900F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7F5922C7">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3FFE05C9">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2DE57F6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2D22BD4B">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F797EA1">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8C50DE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5CB305BF">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51DB3C9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6DC98895">
      <w:pPr>
        <w:rPr>
          <w:rFonts w:hint="eastAsia"/>
          <w:lang w:val="zh-CN" w:eastAsia="zh-CN"/>
        </w:rPr>
        <w:sectPr>
          <w:headerReference r:id="rId13" w:type="default"/>
          <w:footerReference r:id="rId14"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napToGrid w:val="0"/>
          <w:color w:val="000000"/>
          <w:kern w:val="0"/>
          <w:sz w:val="24"/>
          <w:szCs w:val="24"/>
          <w:lang w:val="zh-CN" w:eastAsia="zh-CN" w:bidi="ar-SA"/>
        </w:rPr>
        <w:br w:type="page"/>
      </w:r>
    </w:p>
    <w:p w14:paraId="60D5401A">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snapToGrid w:val="0"/>
          <w:color w:val="000000"/>
          <w:kern w:val="0"/>
          <w:sz w:val="24"/>
          <w:szCs w:val="24"/>
          <w:lang w:val="zh-CN" w:eastAsia="zh-CN" w:bidi="ar-SA"/>
        </w:rPr>
        <w:t>二、</w:t>
      </w:r>
      <w:r>
        <w:rPr>
          <w:rFonts w:hint="eastAsia" w:asciiTheme="minorEastAsia" w:hAnsiTheme="minorEastAsia" w:eastAsiaTheme="minorEastAsia" w:cstheme="minorEastAsia"/>
          <w:b/>
          <w:bCs/>
          <w:sz w:val="24"/>
          <w:szCs w:val="24"/>
          <w:lang w:val="zh-CN" w:eastAsia="zh-CN"/>
        </w:rPr>
        <w:t>技术文件格式（</w:t>
      </w:r>
      <w:r>
        <w:rPr>
          <w:rFonts w:hint="eastAsia" w:asciiTheme="minorEastAsia" w:hAnsiTheme="minorEastAsia" w:eastAsiaTheme="minorEastAsia" w:cstheme="minorEastAsia"/>
          <w:b/>
          <w:bCs/>
          <w:sz w:val="24"/>
          <w:szCs w:val="24"/>
          <w:lang w:val="en-US" w:eastAsia="zh-CN"/>
        </w:rPr>
        <w:t>暗标</w:t>
      </w:r>
      <w:r>
        <w:rPr>
          <w:rFonts w:hint="eastAsia" w:asciiTheme="minorEastAsia" w:hAnsiTheme="minorEastAsia" w:eastAsiaTheme="minorEastAsia" w:cstheme="minorEastAsia"/>
          <w:b/>
          <w:bCs/>
          <w:sz w:val="24"/>
          <w:szCs w:val="24"/>
          <w:lang w:val="zh-CN" w:eastAsia="zh-CN"/>
        </w:rPr>
        <w:t>）</w:t>
      </w:r>
    </w:p>
    <w:p w14:paraId="38052E9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highlight w:val="yellow"/>
          <w:lang w:eastAsia="zh-CN"/>
        </w:rPr>
      </w:pPr>
      <w:r>
        <w:rPr>
          <w:rFonts w:hint="eastAsia" w:asciiTheme="minorEastAsia" w:hAnsiTheme="minorEastAsia" w:eastAsiaTheme="minorEastAsia" w:cstheme="minorEastAsia"/>
          <w:b/>
          <w:bCs w:val="0"/>
          <w:sz w:val="24"/>
          <w:szCs w:val="24"/>
          <w:highlight w:val="none"/>
          <w:lang w:val="en-US" w:eastAsia="zh-CN"/>
        </w:rPr>
        <w:t>1.</w:t>
      </w:r>
      <w:r>
        <w:rPr>
          <w:rFonts w:hint="eastAsia" w:asciiTheme="minorEastAsia" w:hAnsiTheme="minorEastAsia" w:eastAsiaTheme="minorEastAsia" w:cstheme="minorEastAsia"/>
          <w:b/>
          <w:bCs w:val="0"/>
          <w:sz w:val="24"/>
          <w:szCs w:val="24"/>
          <w:highlight w:val="none"/>
          <w:lang w:eastAsia="zh-CN"/>
        </w:rPr>
        <w:t>技术配置方案</w:t>
      </w:r>
    </w:p>
    <w:p w14:paraId="2E35BE17">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1B433BD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636E3C0B">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6B8A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691C085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5F0BFE4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5C40A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02DD21D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3B17C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B8ECFE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2E92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0117D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4C7824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EA67A3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61DC8B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9C0C7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91AF51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23D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DC5CA0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B5D2ED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E264F6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3D3157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75F641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5464B0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B75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34E34A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3B3275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C6E17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8E00B8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344932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D160C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102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D9465A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5DA152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86C4AE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A150BD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B8B192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F04BBD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53B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D69F03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3B1B9E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9D0710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A191FF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A8817C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57CF40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D20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8DFE78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B2D2D9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B95872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DD74C0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A38AD1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520988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6BF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1D87A7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857625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89FFF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65D13A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06A79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E3B30E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190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53AA5C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9E88C3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5593E3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F9DBCD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4FFB09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F2E4E9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04B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5FF0A2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9E65A5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87BEA1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88FFD8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846A63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C13290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54C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E68021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789A68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F87A27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3F2FF0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66079D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1E9C8C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95E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11F8AD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99F0D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983FAD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1D968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B4804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9EB3B1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979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B3FDE0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4D35C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AC5FDA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CB7CC0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08FB01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8F3DC1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BC4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3B20B7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10A6E2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D0FC65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E90960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8A540A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73FFFB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6CC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A5FFED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2E0601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33054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96C144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F5DFFF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03E731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023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A125CB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8375B4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BABB5F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34080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EB7A9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BC0C03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3E5B96FA">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5F628BA8">
      <w:pPr>
        <w:keepNext w:val="0"/>
        <w:keepLines w:val="0"/>
        <w:pageBreakBefore w:val="0"/>
        <w:numPr>
          <w:ilvl w:val="0"/>
          <w:numId w:val="0"/>
        </w:numPr>
        <w:kinsoku/>
        <w:wordWrap w:val="0"/>
        <w:overflowPunct/>
        <w:topLinePunct w:val="0"/>
        <w:bidi w:val="0"/>
        <w:spacing w:line="360" w:lineRule="auto"/>
        <w:jc w:val="both"/>
        <w:rPr>
          <w:rFonts w:hint="default" w:asciiTheme="minorEastAsia" w:hAnsiTheme="minorEastAsia" w:eastAsiaTheme="minorEastAsia" w:cstheme="minorEastAsia"/>
          <w:b/>
          <w:bCs w:val="0"/>
          <w:color w:val="000000"/>
          <w:sz w:val="24"/>
          <w:szCs w:val="24"/>
          <w:highlight w:val="yellow"/>
          <w:lang w:val="en-US" w:eastAsia="zh-CN"/>
        </w:rPr>
      </w:pPr>
      <w:r>
        <w:rPr>
          <w:rFonts w:hint="eastAsia" w:asciiTheme="minorEastAsia" w:hAnsiTheme="minorEastAsia" w:eastAsiaTheme="minorEastAsia" w:cstheme="minorEastAsia"/>
          <w:b/>
          <w:bCs w:val="0"/>
          <w:sz w:val="24"/>
          <w:szCs w:val="24"/>
          <w:lang w:val="en-US" w:eastAsia="zh-CN"/>
        </w:rPr>
        <w:t>2.</w:t>
      </w:r>
      <w:r>
        <w:rPr>
          <w:rFonts w:hint="eastAsia" w:asciiTheme="minorEastAsia" w:hAnsiTheme="minorEastAsia" w:eastAsiaTheme="minorEastAsia" w:cstheme="minorEastAsia"/>
          <w:b/>
          <w:bCs w:val="0"/>
          <w:sz w:val="24"/>
          <w:szCs w:val="24"/>
          <w:highlight w:val="none"/>
          <w:lang w:eastAsia="zh-CN"/>
        </w:rPr>
        <w:t>社会化网点接入方案、软硬件运行环境建设方案、系统运行安全建设方案、部署迁移方案等。</w:t>
      </w:r>
    </w:p>
    <w:p w14:paraId="08BA19BC">
      <w:pP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rPr>
        <w:br w:type="page"/>
      </w:r>
    </w:p>
    <w:p w14:paraId="19A06D4B">
      <w:pPr>
        <w:pStyle w:val="17"/>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三、商务文件格式</w:t>
      </w:r>
    </w:p>
    <w:p w14:paraId="69EB88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1A049AC0">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12DFC9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4F7DB20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1B18E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7620BFA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技术文件第1至</w:t>
      </w:r>
      <w:r>
        <w:rPr>
          <w:rFonts w:hint="eastAsia" w:asciiTheme="minorEastAsia" w:hAnsiTheme="minorEastAsia" w:eastAsiaTheme="minorEastAsia" w:cstheme="minorEastAsia"/>
          <w:b w:val="0"/>
          <w:bCs w:val="0"/>
          <w:sz w:val="24"/>
          <w:szCs w:val="24"/>
          <w:u w:val="single"/>
          <w:lang w:val="en-US" w:eastAsia="zh-CN"/>
        </w:rPr>
        <w:t xml:space="preserve">   项</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lang w:eastAsia="zh-CN"/>
        </w:rPr>
        <w:t>商务文件第1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611C18E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A47DBF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6684B52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76AED19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49008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4DF2E3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262B8F7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0D33AA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19505C1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2A506F0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1942A7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p>
    <w:p w14:paraId="6730B11A">
      <w:pPr>
        <w:pStyle w:val="17"/>
        <w:numPr>
          <w:ilvl w:val="0"/>
          <w:numId w:val="0"/>
        </w:numPr>
        <w:kinsoku w:val="0"/>
        <w:autoSpaceDE w:val="0"/>
        <w:autoSpaceDN w:val="0"/>
        <w:adjustRightInd w:val="0"/>
        <w:snapToGrid w:val="0"/>
        <w:spacing w:line="240" w:lineRule="auto"/>
        <w:jc w:val="left"/>
        <w:textAlignment w:val="baseline"/>
        <w:rPr>
          <w:rFonts w:hint="default" w:ascii="宋体" w:hAnsi="宋体"/>
          <w:b/>
          <w:sz w:val="24"/>
          <w:szCs w:val="24"/>
          <w:lang w:val="en-US" w:eastAsia="zh-CN"/>
        </w:rPr>
      </w:pPr>
      <w:r>
        <w:rPr>
          <w:rFonts w:hint="eastAsia" w:asciiTheme="minorEastAsia" w:hAnsiTheme="minorEastAsia" w:eastAsiaTheme="minorEastAsia" w:cstheme="minorEastAsia"/>
          <w:b/>
          <w:bCs w:val="0"/>
          <w:sz w:val="24"/>
          <w:szCs w:val="24"/>
          <w:highlight w:val="none"/>
          <w:lang w:val="en-US" w:eastAsia="zh-CN"/>
        </w:rPr>
        <w:t>2.</w:t>
      </w:r>
      <w:r>
        <w:rPr>
          <w:rFonts w:hint="eastAsia" w:asciiTheme="minorEastAsia" w:hAnsiTheme="minorEastAsia" w:eastAsiaTheme="minorEastAsia" w:cstheme="minorEastAsia"/>
          <w:b/>
          <w:bCs w:val="0"/>
          <w:sz w:val="24"/>
          <w:szCs w:val="24"/>
          <w:highlight w:val="none"/>
          <w:lang w:eastAsia="zh-CN"/>
        </w:rPr>
        <w:t>主要设备技术指标、技术性能说明</w:t>
      </w:r>
      <w:r>
        <w:rPr>
          <w:rFonts w:hint="eastAsia" w:asciiTheme="minorEastAsia" w:hAnsiTheme="minorEastAsia" w:eastAsiaTheme="minorEastAsia" w:cstheme="minorEastAsia"/>
          <w:b/>
          <w:bCs w:val="0"/>
          <w:sz w:val="24"/>
          <w:szCs w:val="24"/>
          <w:highlight w:val="none"/>
          <w:lang w:val="en-US" w:eastAsia="zh-CN"/>
        </w:rPr>
        <w:t>及相关证明文件</w:t>
      </w:r>
    </w:p>
    <w:p w14:paraId="551CCAE8">
      <w:pPr>
        <w:keepNext w:val="0"/>
        <w:keepLines w:val="0"/>
        <w:pageBreakBefore w:val="0"/>
        <w:kinsoku/>
        <w:wordWrap w:val="0"/>
        <w:overflowPunct/>
        <w:topLinePunct w:val="0"/>
        <w:bidi w:val="0"/>
        <w:jc w:val="both"/>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lang w:eastAsia="zh-CN"/>
        </w:rPr>
        <w:t>投标分项报价一览表</w:t>
      </w:r>
    </w:p>
    <w:p w14:paraId="49FA2075">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23"/>
        <w:tblpPr w:leftFromText="180" w:rightFromText="180" w:vertAnchor="text" w:horzAnchor="page" w:tblpXSpec="center" w:tblpY="348"/>
        <w:tblOverlap w:val="never"/>
        <w:tblW w:w="0" w:type="auto"/>
        <w:jc w:val="center"/>
        <w:tblLayout w:type="fixed"/>
        <w:tblCellMar>
          <w:top w:w="0" w:type="dxa"/>
          <w:left w:w="108" w:type="dxa"/>
          <w:bottom w:w="0" w:type="dxa"/>
          <w:right w:w="108" w:type="dxa"/>
        </w:tblCellMar>
      </w:tblPr>
      <w:tblGrid>
        <w:gridCol w:w="710"/>
        <w:gridCol w:w="1241"/>
        <w:gridCol w:w="1276"/>
        <w:gridCol w:w="850"/>
        <w:gridCol w:w="709"/>
        <w:gridCol w:w="284"/>
        <w:gridCol w:w="566"/>
        <w:gridCol w:w="993"/>
        <w:gridCol w:w="1134"/>
        <w:gridCol w:w="141"/>
        <w:gridCol w:w="1418"/>
        <w:gridCol w:w="284"/>
        <w:gridCol w:w="1559"/>
      </w:tblGrid>
      <w:tr w14:paraId="07605A96">
        <w:tblPrEx>
          <w:tblCellMar>
            <w:top w:w="0" w:type="dxa"/>
            <w:left w:w="108" w:type="dxa"/>
            <w:bottom w:w="0" w:type="dxa"/>
            <w:right w:w="108" w:type="dxa"/>
          </w:tblCellMar>
        </w:tblPrEx>
        <w:trPr>
          <w:gridAfter w:val="1"/>
          <w:wAfter w:w="1559" w:type="dxa"/>
          <w:trHeight w:val="522" w:hRule="exact"/>
          <w:jc w:val="center"/>
        </w:trPr>
        <w:tc>
          <w:tcPr>
            <w:tcW w:w="3227" w:type="dxa"/>
            <w:gridSpan w:val="3"/>
            <w:tcBorders>
              <w:top w:val="nil"/>
              <w:left w:val="nil"/>
              <w:bottom w:val="single" w:color="auto" w:sz="4" w:space="0"/>
              <w:right w:val="nil"/>
            </w:tcBorders>
            <w:noWrap w:val="0"/>
            <w:vAlign w:val="center"/>
          </w:tcPr>
          <w:p w14:paraId="6F8E98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72E1734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gridSpan w:val="2"/>
            <w:tcBorders>
              <w:top w:val="nil"/>
              <w:left w:val="nil"/>
              <w:bottom w:val="single" w:color="auto" w:sz="4" w:space="0"/>
              <w:right w:val="nil"/>
            </w:tcBorders>
            <w:noWrap w:val="0"/>
            <w:vAlign w:val="center"/>
          </w:tcPr>
          <w:p w14:paraId="5BF84CE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3"/>
            <w:tcBorders>
              <w:top w:val="nil"/>
              <w:left w:val="nil"/>
              <w:bottom w:val="single" w:color="auto" w:sz="4" w:space="0"/>
              <w:right w:val="nil"/>
            </w:tcBorders>
            <w:noWrap w:val="0"/>
            <w:vAlign w:val="center"/>
          </w:tcPr>
          <w:p w14:paraId="7CAA9723">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gridSpan w:val="3"/>
            <w:tcBorders>
              <w:top w:val="nil"/>
              <w:left w:val="nil"/>
              <w:bottom w:val="single" w:color="auto" w:sz="4" w:space="0"/>
              <w:right w:val="nil"/>
            </w:tcBorders>
            <w:noWrap w:val="0"/>
            <w:vAlign w:val="center"/>
          </w:tcPr>
          <w:p w14:paraId="4A1A66A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7BBC32DB">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5D1A5A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35862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3D706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5F5B65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42108AC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B06084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09A138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A963F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7CB14EA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5544E010">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B23D50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F8D0AC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EE4909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4555C84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318BC87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354318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7169BCD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E6D6D2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3F3BA61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0D36104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7521A04">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4721D1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C7EF0F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C709B0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121EF4A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5454B75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F2C117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5BB7E08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2D0D00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1ACE61F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47C8E7D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0F09C296">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93D6B1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214CA56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38452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596CBAA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6B08664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6DDA53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104A5F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F978A0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22BD10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01B3C52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C94B222">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2675B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6E3282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1E26C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0E0D58D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4E59A4E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908F1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3894ED8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1CB955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1CF1DB4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D1039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AD19BB7">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676F7B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3F59D0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CEDC3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4119C4A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07AAC1A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E7707E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18252AC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D3965D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78993F7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1AF0AFF1">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83A922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E102F1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0CAEA9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5AE4852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0221EC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97633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4FEE02C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CEDE89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2D37194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0B3D65F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71D37A2D">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A5320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65F2D2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9A715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5149850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0B1F730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567084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611A530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0CC15E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0C7CA63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bl>
    <w:p w14:paraId="5E791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57E9BA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21B9B5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60C988A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65EB21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0A7D7C0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71DF65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02216A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36D68B7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7BCF014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78C0DA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542C27A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2166EBD3">
      <w:pPr>
        <w:keepNext w:val="0"/>
        <w:keepLines w:val="0"/>
        <w:pageBreakBefore w:val="0"/>
        <w:kinsoku/>
        <w:wordWrap w:val="0"/>
        <w:overflowPunct/>
        <w:topLinePunct w:val="0"/>
        <w:bidi w:val="0"/>
        <w:spacing w:line="360" w:lineRule="auto"/>
        <w:ind w:firstLine="1440" w:firstLineChars="6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8F21FBD">
      <w:pPr>
        <w:pStyle w:val="17"/>
        <w:numPr>
          <w:ilvl w:val="0"/>
          <w:numId w:val="0"/>
        </w:numPr>
        <w:kinsoku w:val="0"/>
        <w:autoSpaceDE w:val="0"/>
        <w:autoSpaceDN w:val="0"/>
        <w:adjustRightInd w:val="0"/>
        <w:snapToGrid w:val="0"/>
        <w:spacing w:line="240" w:lineRule="auto"/>
        <w:jc w:val="left"/>
        <w:textAlignment w:val="baseline"/>
        <w:rPr>
          <w:rFonts w:hint="eastAsia"/>
          <w:lang w:val="zh-CN" w:eastAsia="zh-CN"/>
        </w:rPr>
        <w:sectPr>
          <w:pgSz w:w="16840" w:h="11907" w:orient="landscape"/>
          <w:pgMar w:top="1800" w:right="1440" w:bottom="1800" w:left="1440" w:header="878" w:footer="886" w:gutter="0"/>
          <w:pgNumType w:fmt="decimal"/>
          <w:cols w:space="720" w:num="1"/>
        </w:sectPr>
      </w:pPr>
    </w:p>
    <w:p w14:paraId="1BB02E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lang w:eastAsia="zh-CN"/>
        </w:rPr>
        <w:t>商务偏差表格式</w:t>
      </w:r>
    </w:p>
    <w:p w14:paraId="31BD78E0">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5A80DA86">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4460CE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1841997">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0B3A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1FC19F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34B070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0D1901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73AC94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4F6240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DB2673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7C32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373103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85A8A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BFE15B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4ADB23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D45D6F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DC1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120C670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200143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0E9D78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F7CFC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CE1A3C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4A7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0C6BA5A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90BDCB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B98D68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0A681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F1D203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C9D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46A78F3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40D815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F91CD0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CAE20E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5075CB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03B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1AF7BD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7757C7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DFE2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01A627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7B2408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BD7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081B5DF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4F9D0C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CF31FC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9BE50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0956AE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A4C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20DB244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8C36A6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C630D1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B9E6C5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C1C1C5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CCA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5068197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470937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3C007B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5A21D8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643BD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487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7AD4515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95876A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7A1C5E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476448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9936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6AD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4C6916D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569231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A238A5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B3BE2B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3C1FD7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F5F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4A6DCA3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3AF245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18792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518BC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9AB750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694864C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2CDE942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3BF8A456">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DD5C9D8">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1AA9085E">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5.售</w:t>
      </w:r>
      <w:r>
        <w:rPr>
          <w:rFonts w:hint="eastAsia" w:asciiTheme="minorEastAsia" w:hAnsiTheme="minorEastAsia" w:eastAsiaTheme="minorEastAsia" w:cstheme="minorEastAsia"/>
          <w:b/>
          <w:sz w:val="24"/>
          <w:szCs w:val="24"/>
          <w:highlight w:val="none"/>
          <w:lang w:eastAsia="zh-CN"/>
        </w:rPr>
        <w:t>后服务</w:t>
      </w:r>
      <w:r>
        <w:rPr>
          <w:rFonts w:hint="eastAsia" w:asciiTheme="minorEastAsia" w:hAnsiTheme="minorEastAsia" w:eastAsiaTheme="minorEastAsia" w:cstheme="minorEastAsia"/>
          <w:b/>
          <w:sz w:val="24"/>
          <w:szCs w:val="24"/>
          <w:highlight w:val="none"/>
          <w:lang w:val="en-US" w:eastAsia="zh-CN"/>
        </w:rPr>
        <w:t>方案</w:t>
      </w:r>
    </w:p>
    <w:p w14:paraId="0D93C91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6.</w:t>
      </w:r>
      <w:r>
        <w:rPr>
          <w:rFonts w:hint="eastAsia" w:asciiTheme="minorEastAsia" w:hAnsiTheme="minorEastAsia" w:eastAsiaTheme="minorEastAsia" w:cstheme="minorEastAsia"/>
          <w:b/>
          <w:sz w:val="24"/>
          <w:szCs w:val="24"/>
          <w:highlight w:val="none"/>
          <w:lang w:eastAsia="zh-CN"/>
        </w:rPr>
        <w:t>投标人业绩</w:t>
      </w:r>
    </w:p>
    <w:p w14:paraId="75C3274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7.调研证明</w:t>
      </w:r>
    </w:p>
    <w:p w14:paraId="09A2F42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highlight w:val="none"/>
          <w:lang w:val="en-US" w:eastAsia="zh-CN"/>
        </w:rPr>
        <w:t>8</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lang w:eastAsia="zh-CN"/>
        </w:rPr>
        <w:t>节能产品、环境标志产品明细表</w:t>
      </w:r>
    </w:p>
    <w:p w14:paraId="0FD6727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327F847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23A9413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0151667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110"/>
        <w:gridCol w:w="1380"/>
        <w:gridCol w:w="780"/>
        <w:gridCol w:w="720"/>
        <w:gridCol w:w="705"/>
      </w:tblGrid>
      <w:tr w14:paraId="631E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1B96DF2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171F461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2E3EE6C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3AC29FB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0AEC791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17917F1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351CE4D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049E0F3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59B6EC6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4809614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1183024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229F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1381ECF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638F820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828394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5FB748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DDFF13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3948A9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9EA7F7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10E5FC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F7D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72A4BBD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027BFF8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9BE87E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2D2499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63F57E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63A480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A78FBA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FF5DE2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B7C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198C6A1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124879E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B89457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78C8D6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5208F8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56C129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985D68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E411E5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3D65B63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26BE6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78425A0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6A65D3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125"/>
        <w:gridCol w:w="1380"/>
        <w:gridCol w:w="750"/>
        <w:gridCol w:w="720"/>
        <w:gridCol w:w="705"/>
      </w:tblGrid>
      <w:tr w14:paraId="6EA8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1E0E625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3B2C01F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5C0E18A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5C77BDF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477D98C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65B5059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6C6F2CB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177BFC7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143BFD6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3389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2D3F324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523EBC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0CD7E7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44129B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552DC3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2AB8C02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806285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1A7862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4DD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67EF866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3DC080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998FA7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325EEB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5B39F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1017843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3B12D0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58CD3F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1626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45E1DA9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5A7CCF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FA77E3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B51E5B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4B3F80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98DFB0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218EFB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1A1B50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290426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96AB4C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3A74E04A">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32676211">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5E754F8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65555C76">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312F8927">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75C0572A">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0879DDD">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79D93A8">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F7A92AA">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5439D5B">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703BA2A">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E98F9D4">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22731C6">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707C9AE">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ECF0FF5">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4290B4C">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3C90DB4">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709794A">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06B3F05">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1C65231">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1F479B8">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9FBEECE">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17D7115">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04B2725">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AC8E6A5">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74ACD7E">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7427F17">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4DE14AB">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9B36B1B">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B10B39B">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46F4B74">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F7D96DB">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8C16F11">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B48F6A1">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45FFEF8">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9209611">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272E198">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953FB7C">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BC75C08">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AE43306">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BF24340">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6A6F61DE">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7B5ADDCD">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eastAsia="Arial" w:cs="Arial"/>
          <w:b/>
          <w:snapToGrid w:val="0"/>
          <w:color w:val="000000"/>
          <w:kern w:val="0"/>
          <w:sz w:val="24"/>
          <w:szCs w:val="24"/>
          <w:lang w:val="en-US" w:eastAsia="zh-CN" w:bidi="ar-SA"/>
        </w:rPr>
        <w:t>9.</w:t>
      </w:r>
      <w:r>
        <w:rPr>
          <w:rFonts w:hint="eastAsia" w:ascii="宋体" w:hAnsi="宋体" w:eastAsia="Arial" w:cs="Arial"/>
          <w:b/>
          <w:snapToGrid w:val="0"/>
          <w:color w:val="000000"/>
          <w:kern w:val="0"/>
          <w:sz w:val="24"/>
          <w:szCs w:val="24"/>
          <w:lang w:val="en-US" w:eastAsia="zh-CN" w:bidi="ar-SA"/>
        </w:rPr>
        <w:t>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527B7D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4A625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14:paraId="3E3A9CA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FF982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352AF7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784FD6B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69D315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924201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104F75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54A9FC8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5044E1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03C409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F1683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50BFD89E">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537BE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14:paraId="6F9DF43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5BF0A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14:paraId="210DB4D7">
      <w:pPr>
        <w:pStyle w:val="30"/>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3745AE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77AE773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E0841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773674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3C88160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0C7DDA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24BFEF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74F52B9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FE031E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6EFC4D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47155B2F">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CC31EE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10E1045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37CF15C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FE5B74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6C1048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84E74E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F54CD9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52F86E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3B28C2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B30578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D6A8BF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14E2A9E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06EBA62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7539F47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585EB89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2CAB9DC0">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18EB4827">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F20B72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pPr>
    </w:p>
    <w:p w14:paraId="57A2667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10.招标文件要求的其它材料及投标人认为有必要提供的材料。</w:t>
      </w:r>
    </w:p>
    <w:sectPr>
      <w:headerReference r:id="rId15" w:type="default"/>
      <w:footerReference r:id="rId16"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D325">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309BF">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5309BF">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478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BAB4C">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4BAB4C">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053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DE044">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98DE044">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222A">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61D0B">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D361D0B">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B5B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9C670">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779C670">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0A8D">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FB430">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42FB430">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D117B">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8B61">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6E08C">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077D9">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F4CDA">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7A7F">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F1BBA"/>
    <w:multiLevelType w:val="singleLevel"/>
    <w:tmpl w:val="A27F1BBA"/>
    <w:lvl w:ilvl="0" w:tentative="0">
      <w:start w:val="2"/>
      <w:numFmt w:val="chineseCounting"/>
      <w:suff w:val="space"/>
      <w:lvlText w:val="第%1章"/>
      <w:lvlJc w:val="left"/>
      <w:rPr>
        <w:rFonts w:hint="eastAsia"/>
      </w:rPr>
    </w:lvl>
  </w:abstractNum>
  <w:abstractNum w:abstractNumId="1">
    <w:nsid w:val="3CFF97C4"/>
    <w:multiLevelType w:val="singleLevel"/>
    <w:tmpl w:val="3CFF97C4"/>
    <w:lvl w:ilvl="0" w:tentative="0">
      <w:start w:val="1"/>
      <w:numFmt w:val="chineseCounting"/>
      <w:suff w:val="nothing"/>
      <w:lvlText w:val="%1、"/>
      <w:lvlJc w:val="left"/>
      <w:rPr>
        <w:rFonts w:hint="eastAsia"/>
      </w:rPr>
    </w:lvl>
  </w:abstractNum>
  <w:abstractNum w:abstractNumId="2">
    <w:nsid w:val="5D7BE5FA"/>
    <w:multiLevelType w:val="singleLevel"/>
    <w:tmpl w:val="5D7BE5FA"/>
    <w:lvl w:ilvl="0" w:tentative="0">
      <w:start w:val="1"/>
      <w:numFmt w:val="decimal"/>
      <w:suff w:val="nothing"/>
      <w:lvlText w:val="%1、"/>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8"/>
      <w:suff w:val="nothing"/>
      <w:lvlText w:val="%1%2　"/>
      <w:lvlJc w:val="left"/>
      <w:pPr>
        <w:ind w:left="0" w:firstLine="0"/>
      </w:pPr>
      <w:rPr>
        <w:rFonts w:hint="eastAsia" w:ascii="黑体" w:hAnsi="Times New Roman" w:eastAsia="黑体"/>
        <w:b w:val="0"/>
        <w:i w:val="0"/>
        <w:sz w:val="21"/>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4883D03"/>
    <w:multiLevelType w:val="singleLevel"/>
    <w:tmpl w:val="74883D03"/>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WVlZWVkY2UzNDQwNDJlMDFiNjgyOGQxYmM0ZWZkYWEifQ=="/>
  </w:docVars>
  <w:rsids>
    <w:rsidRoot w:val="00000000"/>
    <w:rsid w:val="00621C19"/>
    <w:rsid w:val="0096273C"/>
    <w:rsid w:val="00D24FF0"/>
    <w:rsid w:val="014E35A1"/>
    <w:rsid w:val="01C02D71"/>
    <w:rsid w:val="023E759B"/>
    <w:rsid w:val="02427F54"/>
    <w:rsid w:val="0267282D"/>
    <w:rsid w:val="027730B6"/>
    <w:rsid w:val="02FA03F5"/>
    <w:rsid w:val="03217B69"/>
    <w:rsid w:val="03C26B83"/>
    <w:rsid w:val="03CC315E"/>
    <w:rsid w:val="03DF5A69"/>
    <w:rsid w:val="044921B6"/>
    <w:rsid w:val="046E59EF"/>
    <w:rsid w:val="04C01E68"/>
    <w:rsid w:val="050D556D"/>
    <w:rsid w:val="051A2871"/>
    <w:rsid w:val="05234F67"/>
    <w:rsid w:val="05545C1C"/>
    <w:rsid w:val="055748A3"/>
    <w:rsid w:val="059A3EA8"/>
    <w:rsid w:val="06593C39"/>
    <w:rsid w:val="06787E06"/>
    <w:rsid w:val="06AF4861"/>
    <w:rsid w:val="06B0495B"/>
    <w:rsid w:val="06C93A28"/>
    <w:rsid w:val="06E37C8B"/>
    <w:rsid w:val="076721B4"/>
    <w:rsid w:val="08805332"/>
    <w:rsid w:val="08CB596A"/>
    <w:rsid w:val="092D385C"/>
    <w:rsid w:val="09684744"/>
    <w:rsid w:val="09A129E2"/>
    <w:rsid w:val="09CC6764"/>
    <w:rsid w:val="09E3271C"/>
    <w:rsid w:val="0A29644D"/>
    <w:rsid w:val="0A437032"/>
    <w:rsid w:val="0A633B33"/>
    <w:rsid w:val="0A686D95"/>
    <w:rsid w:val="0AB46C2A"/>
    <w:rsid w:val="0ABC7CF1"/>
    <w:rsid w:val="0ABE6FC5"/>
    <w:rsid w:val="0AD86A92"/>
    <w:rsid w:val="0B3B7AF5"/>
    <w:rsid w:val="0B3C24F6"/>
    <w:rsid w:val="0BC76E66"/>
    <w:rsid w:val="0BF0521B"/>
    <w:rsid w:val="0CB101B0"/>
    <w:rsid w:val="0CBD4DA7"/>
    <w:rsid w:val="0CF900A3"/>
    <w:rsid w:val="0D9A6059"/>
    <w:rsid w:val="0D9A718E"/>
    <w:rsid w:val="0DA859D3"/>
    <w:rsid w:val="0DD30B7C"/>
    <w:rsid w:val="0E307EEE"/>
    <w:rsid w:val="0EE83F9D"/>
    <w:rsid w:val="0F0D035A"/>
    <w:rsid w:val="0F54240C"/>
    <w:rsid w:val="0FB87AA7"/>
    <w:rsid w:val="0FD03EC2"/>
    <w:rsid w:val="0FE34B24"/>
    <w:rsid w:val="102C0845"/>
    <w:rsid w:val="104F3F68"/>
    <w:rsid w:val="10B145AD"/>
    <w:rsid w:val="115A7068"/>
    <w:rsid w:val="11620280"/>
    <w:rsid w:val="117D2D56"/>
    <w:rsid w:val="11B43A6A"/>
    <w:rsid w:val="11B5429E"/>
    <w:rsid w:val="121A79BB"/>
    <w:rsid w:val="122675E2"/>
    <w:rsid w:val="12417927"/>
    <w:rsid w:val="126E021D"/>
    <w:rsid w:val="126F5143"/>
    <w:rsid w:val="12C549DA"/>
    <w:rsid w:val="12D9220E"/>
    <w:rsid w:val="12FD5FFB"/>
    <w:rsid w:val="1380268A"/>
    <w:rsid w:val="13C5707D"/>
    <w:rsid w:val="13F07810"/>
    <w:rsid w:val="1446371A"/>
    <w:rsid w:val="14571FA0"/>
    <w:rsid w:val="146A5814"/>
    <w:rsid w:val="14EC3DCF"/>
    <w:rsid w:val="15037E2D"/>
    <w:rsid w:val="156B2323"/>
    <w:rsid w:val="15AC3C0A"/>
    <w:rsid w:val="15B05882"/>
    <w:rsid w:val="15E04F64"/>
    <w:rsid w:val="164A7458"/>
    <w:rsid w:val="16F45CE8"/>
    <w:rsid w:val="16FC049F"/>
    <w:rsid w:val="174C193E"/>
    <w:rsid w:val="179B0D80"/>
    <w:rsid w:val="17B27393"/>
    <w:rsid w:val="17C9557C"/>
    <w:rsid w:val="17E20058"/>
    <w:rsid w:val="183D23CB"/>
    <w:rsid w:val="18510AEB"/>
    <w:rsid w:val="18610CDC"/>
    <w:rsid w:val="19161B44"/>
    <w:rsid w:val="19631DD5"/>
    <w:rsid w:val="19D46BD3"/>
    <w:rsid w:val="19E260C0"/>
    <w:rsid w:val="1A464AA0"/>
    <w:rsid w:val="1A6B22E0"/>
    <w:rsid w:val="1A9F789A"/>
    <w:rsid w:val="1AAC0209"/>
    <w:rsid w:val="1AC47924"/>
    <w:rsid w:val="1AF57E02"/>
    <w:rsid w:val="1B4F168F"/>
    <w:rsid w:val="1B6F0841"/>
    <w:rsid w:val="1C374278"/>
    <w:rsid w:val="1D391455"/>
    <w:rsid w:val="1D72498F"/>
    <w:rsid w:val="1D9D7C75"/>
    <w:rsid w:val="1E0754FF"/>
    <w:rsid w:val="1E2712E1"/>
    <w:rsid w:val="1E7249AF"/>
    <w:rsid w:val="1F8737CC"/>
    <w:rsid w:val="1FE61854"/>
    <w:rsid w:val="1FF31541"/>
    <w:rsid w:val="20F10837"/>
    <w:rsid w:val="210939CE"/>
    <w:rsid w:val="212D6A29"/>
    <w:rsid w:val="21475FF8"/>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00E53"/>
    <w:rsid w:val="260373D2"/>
    <w:rsid w:val="263A5FE5"/>
    <w:rsid w:val="265713EE"/>
    <w:rsid w:val="266177F8"/>
    <w:rsid w:val="26734FA1"/>
    <w:rsid w:val="267811A0"/>
    <w:rsid w:val="27EF7E63"/>
    <w:rsid w:val="27F6032D"/>
    <w:rsid w:val="2944096C"/>
    <w:rsid w:val="29462E99"/>
    <w:rsid w:val="29736536"/>
    <w:rsid w:val="29C94933"/>
    <w:rsid w:val="29E3455A"/>
    <w:rsid w:val="29EF5E58"/>
    <w:rsid w:val="2A5E573D"/>
    <w:rsid w:val="2A870159"/>
    <w:rsid w:val="2ABA04F6"/>
    <w:rsid w:val="2AD7512C"/>
    <w:rsid w:val="2B296C36"/>
    <w:rsid w:val="2B32017A"/>
    <w:rsid w:val="2B4C1378"/>
    <w:rsid w:val="2BD35370"/>
    <w:rsid w:val="2CA1464D"/>
    <w:rsid w:val="2CB368C6"/>
    <w:rsid w:val="2CE542E8"/>
    <w:rsid w:val="2D4C797B"/>
    <w:rsid w:val="2D854259"/>
    <w:rsid w:val="2DD5743D"/>
    <w:rsid w:val="2DF6291A"/>
    <w:rsid w:val="2E037ECE"/>
    <w:rsid w:val="2E123636"/>
    <w:rsid w:val="2EAB387A"/>
    <w:rsid w:val="2EDE4089"/>
    <w:rsid w:val="2F3278AB"/>
    <w:rsid w:val="2F795793"/>
    <w:rsid w:val="2F7E5B21"/>
    <w:rsid w:val="2FAF3423"/>
    <w:rsid w:val="305F18E8"/>
    <w:rsid w:val="311741D6"/>
    <w:rsid w:val="3119309A"/>
    <w:rsid w:val="312A5594"/>
    <w:rsid w:val="312C625F"/>
    <w:rsid w:val="31C81974"/>
    <w:rsid w:val="32230959"/>
    <w:rsid w:val="32E56480"/>
    <w:rsid w:val="3322495F"/>
    <w:rsid w:val="333E1891"/>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B35724B"/>
    <w:rsid w:val="3BB63ADA"/>
    <w:rsid w:val="3BDC4EDA"/>
    <w:rsid w:val="3C37498E"/>
    <w:rsid w:val="3C860462"/>
    <w:rsid w:val="3C94450B"/>
    <w:rsid w:val="3CD83A9C"/>
    <w:rsid w:val="3D051AB3"/>
    <w:rsid w:val="3D13022E"/>
    <w:rsid w:val="3D9C0E9C"/>
    <w:rsid w:val="3DDE7B24"/>
    <w:rsid w:val="3E233D5C"/>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0F0A26"/>
    <w:rsid w:val="41104A55"/>
    <w:rsid w:val="415779FB"/>
    <w:rsid w:val="41884B35"/>
    <w:rsid w:val="423849B8"/>
    <w:rsid w:val="435F746A"/>
    <w:rsid w:val="4372309F"/>
    <w:rsid w:val="44093E52"/>
    <w:rsid w:val="444E5D13"/>
    <w:rsid w:val="446F3136"/>
    <w:rsid w:val="44790C24"/>
    <w:rsid w:val="44C640B0"/>
    <w:rsid w:val="453A628D"/>
    <w:rsid w:val="45CF0C25"/>
    <w:rsid w:val="45DD7715"/>
    <w:rsid w:val="46922AB2"/>
    <w:rsid w:val="47503B46"/>
    <w:rsid w:val="476F2CBE"/>
    <w:rsid w:val="47C562E2"/>
    <w:rsid w:val="47C81344"/>
    <w:rsid w:val="480A1F47"/>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3B35B6"/>
    <w:rsid w:val="4E473770"/>
    <w:rsid w:val="4E7A34EC"/>
    <w:rsid w:val="4E861641"/>
    <w:rsid w:val="4EE76F22"/>
    <w:rsid w:val="4FAB04B3"/>
    <w:rsid w:val="4FB426AD"/>
    <w:rsid w:val="4FEE2DC9"/>
    <w:rsid w:val="51346287"/>
    <w:rsid w:val="51850890"/>
    <w:rsid w:val="519F1DA4"/>
    <w:rsid w:val="525210BA"/>
    <w:rsid w:val="52A90328"/>
    <w:rsid w:val="52C55AAA"/>
    <w:rsid w:val="52DC3333"/>
    <w:rsid w:val="53036690"/>
    <w:rsid w:val="53204D14"/>
    <w:rsid w:val="53376A7B"/>
    <w:rsid w:val="533D001D"/>
    <w:rsid w:val="537441A1"/>
    <w:rsid w:val="53B1020C"/>
    <w:rsid w:val="54065481"/>
    <w:rsid w:val="557169CF"/>
    <w:rsid w:val="557D5D2A"/>
    <w:rsid w:val="55A41C2D"/>
    <w:rsid w:val="56682D63"/>
    <w:rsid w:val="56905D0D"/>
    <w:rsid w:val="56A87D95"/>
    <w:rsid w:val="56FB4C08"/>
    <w:rsid w:val="574153BB"/>
    <w:rsid w:val="57BB3407"/>
    <w:rsid w:val="583A22FC"/>
    <w:rsid w:val="58901BCF"/>
    <w:rsid w:val="589A668A"/>
    <w:rsid w:val="58AC00F0"/>
    <w:rsid w:val="58C46E3D"/>
    <w:rsid w:val="58D971B2"/>
    <w:rsid w:val="59042C0B"/>
    <w:rsid w:val="59272568"/>
    <w:rsid w:val="59576FB6"/>
    <w:rsid w:val="59853B23"/>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981776"/>
    <w:rsid w:val="5EDA32DC"/>
    <w:rsid w:val="5F321771"/>
    <w:rsid w:val="5F3A0F0C"/>
    <w:rsid w:val="5F412CC2"/>
    <w:rsid w:val="5FE2771E"/>
    <w:rsid w:val="5FF94108"/>
    <w:rsid w:val="600E6D7C"/>
    <w:rsid w:val="6062071A"/>
    <w:rsid w:val="607F1E09"/>
    <w:rsid w:val="60BD2923"/>
    <w:rsid w:val="618C2692"/>
    <w:rsid w:val="622D31D4"/>
    <w:rsid w:val="62A74B0A"/>
    <w:rsid w:val="62E015B0"/>
    <w:rsid w:val="63510510"/>
    <w:rsid w:val="639D4CC6"/>
    <w:rsid w:val="642053CC"/>
    <w:rsid w:val="642108EC"/>
    <w:rsid w:val="646A5DEF"/>
    <w:rsid w:val="646F5EF6"/>
    <w:rsid w:val="64D84562"/>
    <w:rsid w:val="65785E0F"/>
    <w:rsid w:val="658A75F4"/>
    <w:rsid w:val="658F1538"/>
    <w:rsid w:val="65CF7A95"/>
    <w:rsid w:val="66A23F66"/>
    <w:rsid w:val="672526A7"/>
    <w:rsid w:val="680D3662"/>
    <w:rsid w:val="68222C97"/>
    <w:rsid w:val="68333F9A"/>
    <w:rsid w:val="683858D3"/>
    <w:rsid w:val="68645FE7"/>
    <w:rsid w:val="69413090"/>
    <w:rsid w:val="69855FCD"/>
    <w:rsid w:val="69BC17E8"/>
    <w:rsid w:val="69DD77FF"/>
    <w:rsid w:val="6A4F2876"/>
    <w:rsid w:val="6A6E08AB"/>
    <w:rsid w:val="6A99334D"/>
    <w:rsid w:val="6AE37CE3"/>
    <w:rsid w:val="6AEE3503"/>
    <w:rsid w:val="6B0625EA"/>
    <w:rsid w:val="6B5442BA"/>
    <w:rsid w:val="6C580C23"/>
    <w:rsid w:val="6C593408"/>
    <w:rsid w:val="6C68544B"/>
    <w:rsid w:val="6C785167"/>
    <w:rsid w:val="6CC60283"/>
    <w:rsid w:val="6D0715D4"/>
    <w:rsid w:val="6D5F72F2"/>
    <w:rsid w:val="6DDB2C74"/>
    <w:rsid w:val="6E0E0C0F"/>
    <w:rsid w:val="6E8E7670"/>
    <w:rsid w:val="6EEB0447"/>
    <w:rsid w:val="6FAF3250"/>
    <w:rsid w:val="6FC71762"/>
    <w:rsid w:val="70017401"/>
    <w:rsid w:val="70312E6C"/>
    <w:rsid w:val="703F6560"/>
    <w:rsid w:val="70725ED5"/>
    <w:rsid w:val="70B362F9"/>
    <w:rsid w:val="70FC3328"/>
    <w:rsid w:val="71653340"/>
    <w:rsid w:val="71F347D3"/>
    <w:rsid w:val="71FC098F"/>
    <w:rsid w:val="72415D05"/>
    <w:rsid w:val="7296241B"/>
    <w:rsid w:val="732A300A"/>
    <w:rsid w:val="73803FEB"/>
    <w:rsid w:val="73CE2CA8"/>
    <w:rsid w:val="743A4414"/>
    <w:rsid w:val="747F7695"/>
    <w:rsid w:val="748C5DD6"/>
    <w:rsid w:val="75072B6B"/>
    <w:rsid w:val="754A398B"/>
    <w:rsid w:val="75857AA3"/>
    <w:rsid w:val="758D5DE2"/>
    <w:rsid w:val="75943299"/>
    <w:rsid w:val="76017BAF"/>
    <w:rsid w:val="760C3862"/>
    <w:rsid w:val="767A5F36"/>
    <w:rsid w:val="76837B47"/>
    <w:rsid w:val="76B97261"/>
    <w:rsid w:val="772D4414"/>
    <w:rsid w:val="7744228A"/>
    <w:rsid w:val="77846D70"/>
    <w:rsid w:val="781E668F"/>
    <w:rsid w:val="788C166D"/>
    <w:rsid w:val="78AC0934"/>
    <w:rsid w:val="78BD4DDD"/>
    <w:rsid w:val="78E40C19"/>
    <w:rsid w:val="78E700F4"/>
    <w:rsid w:val="78EE7B24"/>
    <w:rsid w:val="7907377A"/>
    <w:rsid w:val="792E7F96"/>
    <w:rsid w:val="793B1352"/>
    <w:rsid w:val="79AB21E7"/>
    <w:rsid w:val="79CC501C"/>
    <w:rsid w:val="79F12DE4"/>
    <w:rsid w:val="7B0E17E2"/>
    <w:rsid w:val="7B3E48AE"/>
    <w:rsid w:val="7BF46F77"/>
    <w:rsid w:val="7C6203C7"/>
    <w:rsid w:val="7CB47DAA"/>
    <w:rsid w:val="7D076A17"/>
    <w:rsid w:val="7D462131"/>
    <w:rsid w:val="7DC974CD"/>
    <w:rsid w:val="7E4B00B1"/>
    <w:rsid w:val="7E6E6B4B"/>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0"/>
    <w:rPr>
      <w:rFonts w:ascii="宋体" w:hAnsi="宋体" w:eastAsia="宋体" w:cs="宋体"/>
      <w:sz w:val="31"/>
      <w:szCs w:val="31"/>
      <w:lang w:val="en-US" w:eastAsia="en-US" w:bidi="ar-SA"/>
    </w:rPr>
  </w:style>
  <w:style w:type="paragraph" w:customStyle="1" w:styleId="7">
    <w:name w:val="一级条标题"/>
    <w:basedOn w:val="8"/>
    <w:next w:val="9"/>
    <w:qFormat/>
    <w:uiPriority w:val="99"/>
    <w:pPr>
      <w:numPr>
        <w:ilvl w:val="2"/>
      </w:numPr>
      <w:outlineLvl w:val="2"/>
    </w:pPr>
    <w:rPr>
      <w:rFonts w:ascii="Calibri"/>
    </w:rPr>
  </w:style>
  <w:style w:type="paragraph" w:customStyle="1" w:styleId="8">
    <w:name w:val="章标题"/>
    <w:next w:val="1"/>
    <w:autoRedefine/>
    <w:qFormat/>
    <w:uiPriority w:val="99"/>
    <w:pPr>
      <w:numPr>
        <w:ilvl w:val="1"/>
        <w:numId w:val="1"/>
      </w:numPr>
      <w:spacing w:beforeLines="50" w:afterLines="50"/>
      <w:jc w:val="both"/>
      <w:outlineLvl w:val="1"/>
    </w:pPr>
    <w:rPr>
      <w:rFonts w:ascii="黑体" w:hAnsi="Calibri" w:eastAsia="黑体" w:cs="Times New Roman"/>
      <w:kern w:val="2"/>
      <w:sz w:val="21"/>
      <w:szCs w:val="21"/>
      <w:lang w:val="en-US" w:eastAsia="zh-CN" w:bidi="ar-SA"/>
    </w:rPr>
  </w:style>
  <w:style w:type="paragraph" w:customStyle="1" w:styleId="9">
    <w:name w:val="段"/>
    <w:next w:val="1"/>
    <w:autoRedefine/>
    <w:qFormat/>
    <w:uiPriority w:val="0"/>
    <w:pPr>
      <w:autoSpaceDE w:val="0"/>
      <w:autoSpaceDN w:val="0"/>
      <w:ind w:firstLine="200" w:firstLineChars="200"/>
      <w:jc w:val="both"/>
    </w:pPr>
    <w:rPr>
      <w:rFonts w:ascii="宋体" w:hAnsi="Calibri" w:eastAsia="宋体" w:cs="宋体"/>
      <w:kern w:val="2"/>
      <w:sz w:val="21"/>
      <w:szCs w:val="21"/>
      <w:lang w:val="en-US" w:eastAsia="zh-CN" w:bidi="ar-SA"/>
    </w:rPr>
  </w:style>
  <w:style w:type="paragraph" w:styleId="10">
    <w:name w:val="Body Text Indent"/>
    <w:basedOn w:val="1"/>
    <w:next w:val="1"/>
    <w:autoRedefine/>
    <w:qFormat/>
    <w:uiPriority w:val="99"/>
    <w:pPr>
      <w:spacing w:after="120" w:afterLines="0"/>
      <w:ind w:left="420" w:leftChars="200"/>
    </w:pPr>
    <w:rPr>
      <w:kern w:val="2"/>
      <w:sz w:val="21"/>
      <w:lang w:eastAsia="zh-CN" w:bidi="ar-SA"/>
    </w:r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autoRedefine/>
    <w:qFormat/>
    <w:uiPriority w:val="0"/>
    <w:rPr>
      <w:kern w:val="2"/>
      <w:sz w:val="21"/>
      <w:lang w:eastAsia="zh-CN" w:bidi="ar-SA"/>
    </w:rPr>
  </w:style>
  <w:style w:type="paragraph" w:styleId="13">
    <w:name w:val="Body Text Indent 2"/>
    <w:basedOn w:val="1"/>
    <w:autoRedefine/>
    <w:qFormat/>
    <w:uiPriority w:val="99"/>
    <w:pPr>
      <w:spacing w:line="360" w:lineRule="auto"/>
      <w:ind w:left="1140"/>
    </w:pPr>
    <w:rPr>
      <w:rFonts w:ascii="宋体"/>
      <w:kern w:val="0"/>
      <w:sz w:val="24"/>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envelope return"/>
    <w:basedOn w:val="1"/>
    <w:autoRedefine/>
    <w:qFormat/>
    <w:uiPriority w:val="0"/>
    <w:pPr>
      <w:snapToGrid w:val="0"/>
    </w:pPr>
    <w:rPr>
      <w:rFonts w:ascii="Arial" w:hAnsi="Arial"/>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footnote text"/>
    <w:basedOn w:val="1"/>
    <w:autoRedefine/>
    <w:qFormat/>
    <w:uiPriority w:val="0"/>
    <w:pPr>
      <w:snapToGrid w:val="0"/>
      <w:jc w:val="left"/>
    </w:pPr>
    <w:rPr>
      <w:sz w:val="18"/>
      <w:szCs w:val="18"/>
    </w:rPr>
  </w:style>
  <w:style w:type="paragraph" w:styleId="18">
    <w:name w:val="Body Text 2"/>
    <w:basedOn w:val="1"/>
    <w:next w:val="11"/>
    <w:autoRedefine/>
    <w:qFormat/>
    <w:uiPriority w:val="0"/>
    <w:pPr>
      <w:spacing w:after="120" w:line="480" w:lineRule="auto"/>
    </w:pPr>
    <w:rPr>
      <w:rFonts w:ascii="Tahoma" w:hAnsi="Tahoma"/>
    </w:rPr>
  </w:style>
  <w:style w:type="paragraph" w:styleId="1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6"/>
    <w:next w:val="22"/>
    <w:autoRedefine/>
    <w:qFormat/>
    <w:uiPriority w:val="0"/>
    <w:pPr>
      <w:ind w:firstLine="420" w:firstLineChars="100"/>
      <w:jc w:val="left"/>
    </w:pPr>
    <w:rPr>
      <w:szCs w:val="20"/>
    </w:rPr>
  </w:style>
  <w:style w:type="paragraph" w:styleId="22">
    <w:name w:val="Body Text First Indent 2"/>
    <w:basedOn w:val="10"/>
    <w:next w:val="12"/>
    <w:autoRedefine/>
    <w:qFormat/>
    <w:uiPriority w:val="0"/>
    <w:pPr>
      <w:ind w:firstLine="200" w:firstLineChars="200"/>
    </w:pPr>
    <w:rPr>
      <w:kern w:val="2"/>
      <w:sz w:val="28"/>
      <w:lang w:eastAsia="zh-CN" w:bidi="ar-SA"/>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qFormat/>
    <w:uiPriority w:val="0"/>
    <w:rPr>
      <w:color w:val="444444"/>
      <w:sz w:val="16"/>
      <w:szCs w:val="16"/>
      <w:u w:val="none"/>
    </w:rPr>
  </w:style>
  <w:style w:type="character" w:styleId="27">
    <w:name w:val="Hyperlink"/>
    <w:basedOn w:val="25"/>
    <w:autoRedefine/>
    <w:qFormat/>
    <w:uiPriority w:val="0"/>
    <w:rPr>
      <w:color w:val="0000FF"/>
      <w:u w:val="single"/>
    </w:rPr>
  </w:style>
  <w:style w:type="paragraph" w:customStyle="1" w:styleId="28">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rPr>
      <w:rFonts w:ascii="Arial" w:hAnsi="Arial" w:eastAsia="Arial" w:cs="Arial"/>
      <w:sz w:val="21"/>
      <w:szCs w:val="21"/>
      <w:lang w:val="en-US" w:eastAsia="en-US" w:bidi="ar-SA"/>
    </w:rPr>
  </w:style>
  <w:style w:type="paragraph" w:customStyle="1" w:styleId="33">
    <w:name w:val="Char Char10 Char Char Char Char"/>
    <w:basedOn w:val="1"/>
    <w:next w:val="34"/>
    <w:autoRedefine/>
    <w:qFormat/>
    <w:uiPriority w:val="99"/>
    <w:pPr>
      <w:autoSpaceDE w:val="0"/>
      <w:autoSpaceDN w:val="0"/>
      <w:jc w:val="left"/>
    </w:pPr>
    <w:rPr>
      <w:rFonts w:ascii="宋体" w:hAnsi="宋体" w:cs="宋体"/>
      <w:lang w:val="zh-CN" w:bidi="zh-CN"/>
    </w:rPr>
  </w:style>
  <w:style w:type="paragraph" w:customStyle="1" w:styleId="34">
    <w:name w:val="xl87"/>
    <w:basedOn w:val="1"/>
    <w:next w:val="35"/>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35">
    <w:name w:val="xl72"/>
    <w:basedOn w:val="1"/>
    <w:next w:val="36"/>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6">
    <w:name w:val="Date1"/>
    <w:basedOn w:val="1"/>
    <w:next w:val="1"/>
    <w:autoRedefine/>
    <w:qFormat/>
    <w:uiPriority w:val="0"/>
    <w:rPr>
      <w:kern w:val="2"/>
      <w:lang w:eastAsia="zh-CN"/>
    </w:rPr>
  </w:style>
  <w:style w:type="paragraph" w:customStyle="1" w:styleId="37">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8">
    <w:name w:val="hover18"/>
    <w:basedOn w:val="25"/>
    <w:autoRedefine/>
    <w:qFormat/>
    <w:uiPriority w:val="0"/>
  </w:style>
  <w:style w:type="paragraph" w:customStyle="1" w:styleId="39">
    <w:name w:val="列出段落1"/>
    <w:basedOn w:val="1"/>
    <w:autoRedefine/>
    <w:qFormat/>
    <w:uiPriority w:val="0"/>
    <w:pPr>
      <w:ind w:firstLine="420" w:firstLineChars="200"/>
    </w:pPr>
    <w:rPr>
      <w:szCs w:val="21"/>
    </w:rPr>
  </w:style>
  <w:style w:type="paragraph" w:customStyle="1" w:styleId="40">
    <w:name w:val="样式1"/>
    <w:basedOn w:val="1"/>
    <w:autoRedefine/>
    <w:qFormat/>
    <w:uiPriority w:val="0"/>
    <w:pPr>
      <w:spacing w:line="240" w:lineRule="auto"/>
      <w:jc w:val="both"/>
    </w:pPr>
    <w:rPr>
      <w:rFonts w:ascii="宋体"/>
      <w:sz w:val="21"/>
      <w:szCs w:val="21"/>
    </w:rPr>
  </w:style>
  <w:style w:type="character" w:customStyle="1" w:styleId="41">
    <w:name w:val="first-child"/>
    <w:basedOn w:val="25"/>
    <w:qFormat/>
    <w:uiPriority w:val="0"/>
  </w:style>
  <w:style w:type="character" w:customStyle="1" w:styleId="42">
    <w:name w:val="layui-layer-tabnow"/>
    <w:basedOn w:val="25"/>
    <w:qFormat/>
    <w:uiPriority w:val="0"/>
    <w:rPr>
      <w:bdr w:val="single" w:color="CCCCCC" w:sz="6" w:space="0"/>
      <w:shd w:val="clear" w:fill="FFFFFF"/>
    </w:rPr>
  </w:style>
  <w:style w:type="paragraph" w:customStyle="1" w:styleId="43">
    <w:name w:val="正文缩进1"/>
    <w:basedOn w:val="1"/>
    <w:qFormat/>
    <w:uiPriority w:val="0"/>
    <w:pPr>
      <w:widowControl/>
      <w:ind w:firstLine="420"/>
      <w:jc w:val="left"/>
    </w:pPr>
    <w:rPr>
      <w:rFonts w:ascii="Times New Roman" w:hAnsi="Times New Roman"/>
      <w:kern w:val="0"/>
      <w:szCs w:val="20"/>
    </w:rPr>
  </w:style>
  <w:style w:type="paragraph" w:customStyle="1" w:styleId="44">
    <w:name w:val="首行缩进"/>
    <w:basedOn w:val="1"/>
    <w:autoRedefine/>
    <w:qFormat/>
    <w:uiPriority w:val="99"/>
    <w:pPr>
      <w:ind w:firstLine="480" w:firstLineChars="200"/>
    </w:pPr>
    <w:rPr>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9861</Words>
  <Characters>10627</Characters>
  <TotalTime>23</TotalTime>
  <ScaleCrop>false</ScaleCrop>
  <LinksUpToDate>false</LinksUpToDate>
  <CharactersWithSpaces>10926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WPS_1468317985</cp:lastModifiedBy>
  <cp:lastPrinted>2024-04-07T03:01:00Z</cp:lastPrinted>
  <dcterms:modified xsi:type="dcterms:W3CDTF">2025-08-07T07:59:49Z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2052-12.1.0.18608</vt:lpwstr>
  </property>
  <property fmtid="{D5CDD505-2E9C-101B-9397-08002B2CF9AE}" pid="5" name="ICV">
    <vt:lpwstr>598BCE0D924F4B0A8A96544480A5C738_13</vt:lpwstr>
  </property>
  <property fmtid="{D5CDD505-2E9C-101B-9397-08002B2CF9AE}" pid="6" name="KSOTemplateDocerSaveRecord">
    <vt:lpwstr>eyJoZGlkIjoiZjY2NmY3MGUxNTA4OTU4OTI4MzcyZGM1MWFlYWE5ZTEiLCJ1c2VySWQiOiIyODIxNjI1MDMifQ==</vt:lpwstr>
  </property>
</Properties>
</file>