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8726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color w:val="auto"/>
          <w:sz w:val="52"/>
          <w:szCs w:val="52"/>
          <w:highlight w:val="none"/>
          <w:lang w:val="en-US" w:eastAsia="zh-CN"/>
        </w:rPr>
      </w:pPr>
      <w:bookmarkStart w:id="127" w:name="_GoBack"/>
    </w:p>
    <w:p w14:paraId="64DCBC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color w:val="auto"/>
          <w:sz w:val="52"/>
          <w:szCs w:val="52"/>
          <w:highlight w:val="none"/>
          <w:lang w:val="en-US" w:eastAsia="zh-CN"/>
        </w:rPr>
      </w:pPr>
      <w:bookmarkStart w:id="0" w:name="_Toc22582"/>
      <w:r>
        <w:rPr>
          <w:rFonts w:hint="eastAsia" w:ascii="宋体" w:hAnsi="宋体" w:eastAsia="宋体" w:cs="宋体"/>
          <w:b/>
          <w:bCs/>
          <w:color w:val="auto"/>
          <w:sz w:val="52"/>
          <w:szCs w:val="52"/>
          <w:highlight w:val="none"/>
          <w:lang w:val="en-US" w:eastAsia="zh-CN"/>
        </w:rPr>
        <w:t>唐河县水利局倪河水库大坝安全鉴定项目</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color w:val="auto"/>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color w:val="auto"/>
          <w:spacing w:val="-1"/>
          <w:sz w:val="56"/>
          <w:szCs w:val="56"/>
          <w:highlight w:val="none"/>
          <w14:textOutline w14:w="3844" w14:cap="flat" w14:cmpd="sng">
            <w14:solidFill>
              <w14:srgbClr w14:val="000000"/>
            </w14:solidFill>
            <w14:prstDash w14:val="solid"/>
            <w14:miter w14:val="0"/>
          </w14:textOutline>
        </w:rPr>
        <w:t>竞争性磋商文件</w:t>
      </w:r>
      <w:bookmarkEnd w:id="0"/>
    </w:p>
    <w:p w14:paraId="60EF1D4B">
      <w:pPr>
        <w:keepNext w:val="0"/>
        <w:keepLines w:val="0"/>
        <w:pageBreakBefore w:val="0"/>
        <w:kinsoku/>
        <w:wordWrap w:val="0"/>
        <w:overflowPunct/>
        <w:topLinePunct w:val="0"/>
        <w:bidi w:val="0"/>
        <w:spacing w:line="249" w:lineRule="auto"/>
        <w:jc w:val="center"/>
        <w:rPr>
          <w:rFonts w:hint="eastAsia" w:ascii="Arial" w:eastAsia="宋体"/>
          <w:color w:val="auto"/>
          <w:sz w:val="21"/>
          <w:highlight w:val="none"/>
          <w:lang w:eastAsia="zh-CN"/>
        </w:rPr>
      </w:pPr>
    </w:p>
    <w:p w14:paraId="1D8F3FEB">
      <w:pPr>
        <w:keepNext w:val="0"/>
        <w:keepLines w:val="0"/>
        <w:pageBreakBefore w:val="0"/>
        <w:kinsoku/>
        <w:wordWrap w:val="0"/>
        <w:overflowPunct/>
        <w:topLinePunct w:val="0"/>
        <w:bidi w:val="0"/>
        <w:spacing w:line="249" w:lineRule="auto"/>
        <w:jc w:val="both"/>
        <w:rPr>
          <w:rFonts w:ascii="Arial"/>
          <w:color w:val="auto"/>
          <w:sz w:val="21"/>
          <w:highlight w:val="none"/>
        </w:rPr>
      </w:pPr>
    </w:p>
    <w:p w14:paraId="7946950A">
      <w:pPr>
        <w:keepNext w:val="0"/>
        <w:keepLines w:val="0"/>
        <w:pageBreakBefore w:val="0"/>
        <w:kinsoku/>
        <w:wordWrap w:val="0"/>
        <w:overflowPunct/>
        <w:topLinePunct w:val="0"/>
        <w:bidi w:val="0"/>
        <w:spacing w:line="249" w:lineRule="auto"/>
        <w:jc w:val="both"/>
        <w:rPr>
          <w:rFonts w:ascii="Arial"/>
          <w:color w:val="auto"/>
          <w:sz w:val="21"/>
          <w:highlight w:val="none"/>
        </w:rPr>
      </w:pPr>
    </w:p>
    <w:p w14:paraId="3B8714CA">
      <w:pPr>
        <w:keepNext w:val="0"/>
        <w:keepLines w:val="0"/>
        <w:pageBreakBefore w:val="0"/>
        <w:kinsoku/>
        <w:wordWrap w:val="0"/>
        <w:overflowPunct/>
        <w:topLinePunct w:val="0"/>
        <w:bidi w:val="0"/>
        <w:spacing w:line="249" w:lineRule="auto"/>
        <w:jc w:val="both"/>
        <w:rPr>
          <w:rFonts w:ascii="Arial"/>
          <w:color w:val="auto"/>
          <w:sz w:val="21"/>
          <w:highlight w:val="none"/>
        </w:rPr>
      </w:pPr>
    </w:p>
    <w:p w14:paraId="212D1321">
      <w:pPr>
        <w:keepNext w:val="0"/>
        <w:keepLines w:val="0"/>
        <w:pageBreakBefore w:val="0"/>
        <w:kinsoku/>
        <w:wordWrap w:val="0"/>
        <w:overflowPunct/>
        <w:topLinePunct w:val="0"/>
        <w:bidi w:val="0"/>
        <w:spacing w:line="249" w:lineRule="auto"/>
        <w:jc w:val="center"/>
        <w:rPr>
          <w:rFonts w:hint="eastAsia" w:ascii="Arial" w:eastAsia="宋体"/>
          <w:b/>
          <w:bCs/>
          <w:color w:val="auto"/>
          <w:sz w:val="48"/>
          <w:szCs w:val="48"/>
          <w:highlight w:val="none"/>
          <w:lang w:eastAsia="zh-CN"/>
        </w:rPr>
      </w:pPr>
      <w:r>
        <w:rPr>
          <w:rFonts w:hint="eastAsia" w:eastAsia="宋体"/>
          <w:b/>
          <w:bCs/>
          <w:color w:val="auto"/>
          <w:sz w:val="48"/>
          <w:szCs w:val="48"/>
          <w:highlight w:val="none"/>
          <w:lang w:eastAsia="zh-CN"/>
        </w:rPr>
        <w:t>（</w:t>
      </w:r>
      <w:r>
        <w:rPr>
          <w:rFonts w:hint="eastAsia" w:eastAsia="宋体"/>
          <w:b/>
          <w:bCs/>
          <w:color w:val="auto"/>
          <w:sz w:val="48"/>
          <w:szCs w:val="48"/>
          <w:highlight w:val="none"/>
          <w:lang w:val="en-US" w:eastAsia="zh-CN"/>
        </w:rPr>
        <w:t>非最终版</w:t>
      </w:r>
      <w:r>
        <w:rPr>
          <w:rFonts w:hint="eastAsia" w:eastAsia="宋体"/>
          <w:b/>
          <w:bCs/>
          <w:color w:val="auto"/>
          <w:sz w:val="48"/>
          <w:szCs w:val="48"/>
          <w:highlight w:val="none"/>
          <w:lang w:eastAsia="zh-CN"/>
        </w:rPr>
        <w:t>）</w:t>
      </w:r>
    </w:p>
    <w:p w14:paraId="41B2ECAC">
      <w:pPr>
        <w:keepNext w:val="0"/>
        <w:keepLines w:val="0"/>
        <w:pageBreakBefore w:val="0"/>
        <w:kinsoku/>
        <w:wordWrap w:val="0"/>
        <w:overflowPunct/>
        <w:topLinePunct w:val="0"/>
        <w:bidi w:val="0"/>
        <w:spacing w:line="249" w:lineRule="auto"/>
        <w:jc w:val="both"/>
        <w:rPr>
          <w:rFonts w:ascii="Arial"/>
          <w:color w:val="auto"/>
          <w:sz w:val="21"/>
          <w:highlight w:val="none"/>
        </w:rPr>
      </w:pPr>
    </w:p>
    <w:p w14:paraId="64BE9602">
      <w:pPr>
        <w:keepNext w:val="0"/>
        <w:keepLines w:val="0"/>
        <w:pageBreakBefore w:val="0"/>
        <w:kinsoku/>
        <w:wordWrap w:val="0"/>
        <w:overflowPunct/>
        <w:topLinePunct w:val="0"/>
        <w:bidi w:val="0"/>
        <w:spacing w:line="249" w:lineRule="auto"/>
        <w:jc w:val="both"/>
        <w:rPr>
          <w:rFonts w:ascii="Arial"/>
          <w:color w:val="auto"/>
          <w:sz w:val="21"/>
          <w:highlight w:val="none"/>
        </w:rPr>
      </w:pPr>
    </w:p>
    <w:p w14:paraId="0A205A6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rPr>
      </w:pPr>
    </w:p>
    <w:p w14:paraId="7E88416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4C2D33CD">
      <w:pPr>
        <w:pStyle w:val="17"/>
        <w:rPr>
          <w:rFonts w:hint="eastAsia"/>
          <w:color w:val="auto"/>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5D922940">
      <w:pPr>
        <w:pStyle w:val="16"/>
        <w:rPr>
          <w:rFonts w:hint="eastAsia"/>
          <w:color w:val="auto"/>
          <w:highlight w:val="none"/>
        </w:rPr>
      </w:pPr>
    </w:p>
    <w:p w14:paraId="3D08EDA4">
      <w:pPr>
        <w:pStyle w:val="16"/>
        <w:rPr>
          <w:rFonts w:hint="eastAsia"/>
          <w:color w:val="auto"/>
          <w:highlight w:val="none"/>
        </w:rPr>
      </w:pPr>
    </w:p>
    <w:p w14:paraId="4C471B74">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eastAsia" w:asciiTheme="minorEastAsia" w:hAnsiTheme="minorEastAsia" w:eastAsiaTheme="minorEastAsia" w:cstheme="minorEastAsia"/>
          <w:b/>
          <w:bCs/>
          <w:color w:val="auto"/>
          <w:spacing w:val="-17"/>
          <w:sz w:val="28"/>
          <w:szCs w:val="28"/>
          <w:highlight w:val="none"/>
          <w:u w:val="single"/>
          <w:lang w:val="en-US" w:eastAsia="zh-CN"/>
        </w:rPr>
      </w:pPr>
      <w:r>
        <w:rPr>
          <w:rFonts w:hint="eastAsia" w:asciiTheme="minorEastAsia" w:hAnsiTheme="minorEastAsia" w:eastAsiaTheme="minorEastAsia" w:cstheme="minorEastAsia"/>
          <w:b/>
          <w:bCs/>
          <w:color w:val="auto"/>
          <w:spacing w:val="-17"/>
          <w:sz w:val="28"/>
          <w:szCs w:val="28"/>
          <w:highlight w:val="none"/>
        </w:rPr>
        <w:t>项目名称：</w:t>
      </w:r>
      <w:r>
        <w:rPr>
          <w:rFonts w:hint="eastAsia" w:asciiTheme="minorEastAsia" w:hAnsiTheme="minorEastAsia" w:eastAsiaTheme="minorEastAsia" w:cstheme="minorEastAsia"/>
          <w:b/>
          <w:bCs/>
          <w:color w:val="auto"/>
          <w:spacing w:val="-17"/>
          <w:sz w:val="28"/>
          <w:szCs w:val="28"/>
          <w:highlight w:val="none"/>
          <w:u w:val="single"/>
          <w:lang w:val="en-US" w:eastAsia="zh-CN"/>
        </w:rPr>
        <w:t>唐河县水利局倪河水库大坝安全鉴定项目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eastAsia" w:asciiTheme="minorEastAsia" w:hAnsiTheme="minorEastAsia" w:eastAsiaTheme="minorEastAsia" w:cstheme="minorEastAsia"/>
          <w:b/>
          <w:bCs/>
          <w:color w:val="auto"/>
          <w:spacing w:val="-17"/>
          <w:sz w:val="28"/>
          <w:szCs w:val="28"/>
          <w:highlight w:val="none"/>
          <w:u w:val="single"/>
          <w:lang w:val="en-US" w:eastAsia="zh-CN"/>
        </w:rPr>
      </w:pPr>
      <w:r>
        <w:rPr>
          <w:rFonts w:hint="eastAsia" w:asciiTheme="minorEastAsia" w:hAnsiTheme="minorEastAsia" w:eastAsiaTheme="minorEastAsia" w:cstheme="minorEastAsia"/>
          <w:b/>
          <w:bCs/>
          <w:color w:val="auto"/>
          <w:spacing w:val="-17"/>
          <w:sz w:val="28"/>
          <w:szCs w:val="28"/>
          <w:highlight w:val="none"/>
        </w:rPr>
        <w:t>项目编号</w:t>
      </w:r>
      <w:r>
        <w:rPr>
          <w:rFonts w:hint="eastAsia" w:asciiTheme="minorEastAsia" w:hAnsiTheme="minorEastAsia" w:eastAsiaTheme="minorEastAsia" w:cstheme="minorEastAsia"/>
          <w:b/>
          <w:bCs/>
          <w:color w:val="auto"/>
          <w:spacing w:val="-17"/>
          <w:sz w:val="28"/>
          <w:szCs w:val="28"/>
          <w:highlight w:val="none"/>
          <w:lang w:eastAsia="zh-CN"/>
        </w:rPr>
        <w:t>：</w:t>
      </w:r>
      <w:r>
        <w:rPr>
          <w:rFonts w:hint="eastAsia" w:asciiTheme="minorEastAsia" w:hAnsiTheme="minorEastAsia" w:eastAsiaTheme="minorEastAsia" w:cstheme="minorEastAsia"/>
          <w:b/>
          <w:bCs/>
          <w:color w:val="auto"/>
          <w:spacing w:val="-17"/>
          <w:sz w:val="28"/>
          <w:szCs w:val="28"/>
          <w:highlight w:val="none"/>
          <w:u w:val="single"/>
          <w:lang w:eastAsia="zh-CN"/>
        </w:rPr>
        <w:t>唐</w:t>
      </w:r>
      <w:r>
        <w:rPr>
          <w:rFonts w:hint="eastAsia" w:asciiTheme="minorEastAsia" w:hAnsiTheme="minorEastAsia" w:eastAsiaTheme="minorEastAsia" w:cstheme="minorEastAsia"/>
          <w:b/>
          <w:bCs/>
          <w:color w:val="auto"/>
          <w:spacing w:val="-17"/>
          <w:sz w:val="28"/>
          <w:szCs w:val="28"/>
          <w:highlight w:val="none"/>
          <w:u w:val="single"/>
          <w:lang w:val="en-US" w:eastAsia="zh-CN"/>
        </w:rPr>
        <w:t xml:space="preserve">财采购竞争性磋商-2025-73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eastAsia" w:asciiTheme="minorEastAsia" w:hAnsiTheme="minorEastAsia" w:eastAsiaTheme="minorEastAsia" w:cstheme="minorEastAsia"/>
          <w:b/>
          <w:bCs/>
          <w:color w:val="auto"/>
          <w:spacing w:val="-17"/>
          <w:sz w:val="28"/>
          <w:szCs w:val="28"/>
          <w:highlight w:val="none"/>
        </w:rPr>
      </w:pPr>
      <w:r>
        <w:rPr>
          <w:rFonts w:hint="eastAsia" w:asciiTheme="minorEastAsia" w:hAnsiTheme="minorEastAsia" w:eastAsiaTheme="minorEastAsia" w:cstheme="minorEastAsia"/>
          <w:b/>
          <w:bCs/>
          <w:color w:val="auto"/>
          <w:spacing w:val="-17"/>
          <w:sz w:val="28"/>
          <w:szCs w:val="28"/>
          <w:highlight w:val="none"/>
          <w:lang w:val="en-US" w:eastAsia="zh-CN"/>
        </w:rPr>
        <w:t>标段编号</w:t>
      </w:r>
      <w:r>
        <w:rPr>
          <w:rFonts w:hint="eastAsia" w:asciiTheme="minorEastAsia" w:hAnsiTheme="minorEastAsia" w:eastAsiaTheme="minorEastAsia" w:cstheme="minorEastAsia"/>
          <w:b/>
          <w:bCs/>
          <w:color w:val="auto"/>
          <w:spacing w:val="-17"/>
          <w:sz w:val="28"/>
          <w:szCs w:val="28"/>
          <w:highlight w:val="none"/>
        </w:rPr>
        <w:t>：</w:t>
      </w:r>
      <w:r>
        <w:rPr>
          <w:rFonts w:hint="eastAsia" w:asciiTheme="minorEastAsia" w:hAnsiTheme="minorEastAsia" w:eastAsiaTheme="minorEastAsia" w:cstheme="minorEastAsia"/>
          <w:b/>
          <w:bCs/>
          <w:color w:val="auto"/>
          <w:spacing w:val="-17"/>
          <w:sz w:val="28"/>
          <w:szCs w:val="28"/>
          <w:highlight w:val="none"/>
          <w:u w:val="single"/>
          <w:lang w:val="en-US" w:eastAsia="zh-CN"/>
        </w:rPr>
        <w:t>1标段</w:t>
      </w:r>
    </w:p>
    <w:p w14:paraId="3BAB94A6">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eastAsia" w:asciiTheme="minorEastAsia" w:hAnsiTheme="minorEastAsia" w:eastAsiaTheme="minorEastAsia" w:cstheme="minorEastAsia"/>
          <w:b/>
          <w:bCs/>
          <w:color w:val="auto"/>
          <w:spacing w:val="-17"/>
          <w:sz w:val="28"/>
          <w:szCs w:val="28"/>
          <w:highlight w:val="none"/>
          <w:u w:val="single"/>
          <w:lang w:val="en-US" w:eastAsia="zh-CN"/>
        </w:rPr>
      </w:pPr>
      <w:r>
        <w:rPr>
          <w:rFonts w:hint="eastAsia" w:asciiTheme="minorEastAsia" w:hAnsiTheme="minorEastAsia" w:eastAsiaTheme="minorEastAsia" w:cstheme="minorEastAsia"/>
          <w:b/>
          <w:bCs/>
          <w:color w:val="auto"/>
          <w:spacing w:val="-17"/>
          <w:sz w:val="28"/>
          <w:szCs w:val="28"/>
          <w:highlight w:val="none"/>
        </w:rPr>
        <w:t>采购人：</w:t>
      </w:r>
      <w:r>
        <w:rPr>
          <w:rFonts w:hint="eastAsia" w:asciiTheme="minorEastAsia" w:hAnsiTheme="minorEastAsia" w:eastAsiaTheme="minorEastAsia" w:cstheme="minorEastAsia"/>
          <w:b/>
          <w:bCs/>
          <w:color w:val="auto"/>
          <w:spacing w:val="-17"/>
          <w:sz w:val="28"/>
          <w:szCs w:val="28"/>
          <w:highlight w:val="none"/>
          <w:u w:val="single"/>
          <w:lang w:val="en-US" w:eastAsia="zh-CN"/>
        </w:rPr>
        <w:t xml:space="preserve"> 唐河县水利局</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eastAsia" w:asciiTheme="minorEastAsia" w:hAnsiTheme="minorEastAsia" w:eastAsiaTheme="minorEastAsia" w:cstheme="minorEastAsia"/>
          <w:b/>
          <w:bCs/>
          <w:color w:val="auto"/>
          <w:spacing w:val="-17"/>
          <w:sz w:val="28"/>
          <w:szCs w:val="28"/>
          <w:highlight w:val="none"/>
          <w:u w:val="single"/>
          <w:lang w:val="en-US" w:eastAsia="zh-CN"/>
        </w:rPr>
      </w:pPr>
      <w:r>
        <w:rPr>
          <w:rFonts w:hint="eastAsia" w:asciiTheme="minorEastAsia" w:hAnsiTheme="minorEastAsia" w:eastAsiaTheme="minorEastAsia" w:cstheme="minorEastAsia"/>
          <w:b/>
          <w:bCs/>
          <w:color w:val="auto"/>
          <w:spacing w:val="-17"/>
          <w:sz w:val="28"/>
          <w:szCs w:val="28"/>
          <w:highlight w:val="none"/>
        </w:rPr>
        <w:t>采购代理机构：</w:t>
      </w:r>
      <w:r>
        <w:rPr>
          <w:rFonts w:hint="eastAsia" w:asciiTheme="minorEastAsia" w:hAnsiTheme="minorEastAsia" w:eastAsiaTheme="minorEastAsia" w:cstheme="minorEastAsia"/>
          <w:b/>
          <w:bCs/>
          <w:color w:val="auto"/>
          <w:spacing w:val="-17"/>
          <w:sz w:val="28"/>
          <w:szCs w:val="28"/>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741" w:firstLineChars="300"/>
        <w:jc w:val="both"/>
        <w:textAlignment w:val="baseline"/>
        <w:rPr>
          <w:rFonts w:hint="default" w:asciiTheme="minorEastAsia" w:hAnsiTheme="minorEastAsia" w:eastAsiaTheme="minorEastAsia" w:cstheme="minorEastAsia"/>
          <w:b/>
          <w:bCs/>
          <w:color w:val="auto"/>
          <w:spacing w:val="-17"/>
          <w:sz w:val="28"/>
          <w:szCs w:val="28"/>
          <w:highlight w:val="none"/>
          <w:u w:val="single"/>
          <w:lang w:val="en-US" w:eastAsia="zh-CN"/>
        </w:rPr>
      </w:pPr>
      <w:r>
        <w:rPr>
          <w:rFonts w:hint="eastAsia" w:asciiTheme="minorEastAsia" w:hAnsiTheme="minorEastAsia" w:eastAsiaTheme="minorEastAsia" w:cstheme="minorEastAsia"/>
          <w:b/>
          <w:bCs/>
          <w:color w:val="auto"/>
          <w:spacing w:val="-17"/>
          <w:sz w:val="28"/>
          <w:szCs w:val="28"/>
          <w:highlight w:val="none"/>
          <w:u w:val="none"/>
          <w:lang w:val="en-US" w:eastAsia="zh-CN"/>
        </w:rPr>
        <w:t>日期：</w:t>
      </w:r>
      <w:r>
        <w:rPr>
          <w:rFonts w:hint="eastAsia" w:asciiTheme="minorEastAsia" w:hAnsiTheme="minorEastAsia" w:eastAsiaTheme="minorEastAsia" w:cstheme="minorEastAsia"/>
          <w:b/>
          <w:bCs/>
          <w:color w:val="auto"/>
          <w:spacing w:val="-17"/>
          <w:sz w:val="28"/>
          <w:szCs w:val="28"/>
          <w:highlight w:val="none"/>
          <w:u w:val="single"/>
          <w:lang w:val="en-US" w:eastAsia="zh-CN"/>
        </w:rPr>
        <w:t>二零二五年八月</w:t>
      </w:r>
    </w:p>
    <w:p w14:paraId="5B0DDDD8">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auto"/>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auto"/>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auto"/>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color w:val="auto"/>
              <w:sz w:val="40"/>
              <w:szCs w:val="40"/>
              <w:highlight w:val="none"/>
            </w:rPr>
          </w:pP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7CF54E4E">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6626409">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8</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0B542D74">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8</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0018CD2C">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8</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61BBC4FD">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11</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6C8EC7C9">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12</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CFD155C">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BC9EBFE">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1E07610E">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19</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11CB1EB">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2A44A660">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5D2DEF0A">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600490B">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496CE34C">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48AAB3DA">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3E0BB4B1">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color w:val="auto"/>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color w:val="auto"/>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6D8E52EE">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color w:val="auto"/>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29</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6EDEF416">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color w:val="auto"/>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19BABF43">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31</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02EDA403">
          <w:pPr>
            <w:pStyle w:val="36"/>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05CA1A52">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2</w:t>
          </w:r>
        </w:p>
        <w:p w14:paraId="596C41B1">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38</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357E03E0">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5</w:t>
          </w:r>
        </w:p>
        <w:p w14:paraId="779BAE19">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39</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6381A690">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6</w:t>
          </w:r>
        </w:p>
        <w:p w14:paraId="0F088C87">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4</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0</w:t>
          </w:r>
        </w:p>
        <w:p w14:paraId="2468053B">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43</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p w14:paraId="75027279">
          <w:pPr>
            <w:pStyle w:val="37"/>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color w:val="auto"/>
              <w:spacing w:val="3"/>
              <w:kern w:val="0"/>
              <w:sz w:val="20"/>
              <w:szCs w:val="24"/>
              <w:highlight w:val="none"/>
              <w:lang w:val="en-US" w:eastAsia="zh-CN" w:bidi="ar-SA"/>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4</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6</w:t>
          </w:r>
        </w:p>
        <w:p w14:paraId="39400C5A">
          <w:pPr>
            <w:pStyle w:val="36"/>
            <w:keepNext w:val="0"/>
            <w:keepLines w:val="0"/>
            <w:pageBreakBefore w:val="0"/>
            <w:widowControl/>
            <w:tabs>
              <w:tab w:val="right" w:leader="dot" w:pos="9750"/>
            </w:tabs>
            <w:kinsoku/>
            <w:overflowPunct/>
            <w:topLinePunct w:val="0"/>
            <w:bidi w:val="0"/>
            <w:spacing w:after="0" w:afterLines="1" w:line="440" w:lineRule="exact"/>
            <w:rPr>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ab/>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t>46</w:t>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color w:val="auto"/>
              <w:spacing w:val="3"/>
              <w:kern w:val="0"/>
              <w:sz w:val="20"/>
              <w:szCs w:val="24"/>
              <w:highlight w:val="none"/>
              <w:lang w:val="en-US" w:eastAsia="zh-CN" w:bidi="ar-SA"/>
            </w:rPr>
            <w:fldChar w:fldCharType="end"/>
          </w:r>
        </w:p>
      </w:sdtContent>
    </w:sdt>
    <w:p w14:paraId="15F21A44">
      <w:pPr>
        <w:bidi w:val="0"/>
        <w:rPr>
          <w:rFonts w:hint="eastAsia"/>
          <w:color w:val="auto"/>
          <w:highlight w:val="none"/>
          <w:lang w:val="zh-CN" w:eastAsia="zh-CN"/>
        </w:rPr>
      </w:pPr>
      <w:bookmarkStart w:id="1" w:name="_Toc1508"/>
    </w:p>
    <w:p w14:paraId="661214DA">
      <w:pPr>
        <w:pStyle w:val="6"/>
        <w:keepNext w:val="0"/>
        <w:keepLines w:val="0"/>
        <w:pageBreakBefore w:val="0"/>
        <w:kinsoku/>
        <w:wordWrap w:val="0"/>
        <w:overflowPunct/>
        <w:topLinePunct w:val="0"/>
        <w:bidi w:val="0"/>
        <w:spacing w:before="358" w:line="360" w:lineRule="auto"/>
        <w:jc w:val="center"/>
        <w:outlineLvl w:val="0"/>
        <w:rPr>
          <w:rFonts w:hint="eastAsia" w:ascii="宋体" w:hAnsi="宋体" w:eastAsia="仿宋" w:cs="宋体"/>
          <w:b/>
          <w:bCs/>
          <w:snapToGrid w:val="0"/>
          <w:color w:val="auto"/>
          <w:kern w:val="0"/>
          <w:sz w:val="36"/>
          <w:szCs w:val="44"/>
          <w:highlight w:val="none"/>
          <w:lang w:val="zh-CN" w:eastAsia="zh-CN" w:bidi="zh-CN"/>
        </w:rPr>
      </w:pPr>
      <w:r>
        <w:rPr>
          <w:rFonts w:hint="eastAsia" w:ascii="宋体" w:hAnsi="宋体" w:eastAsia="仿宋" w:cs="宋体"/>
          <w:b/>
          <w:bCs/>
          <w:snapToGrid w:val="0"/>
          <w:color w:val="auto"/>
          <w:kern w:val="0"/>
          <w:sz w:val="36"/>
          <w:szCs w:val="44"/>
          <w:highlight w:val="none"/>
          <w:lang w:val="zh-CN" w:eastAsia="zh-CN" w:bidi="zh-CN"/>
        </w:rPr>
        <w:t>第一章</w:t>
      </w:r>
      <w:r>
        <w:rPr>
          <w:rFonts w:hint="eastAsia" w:ascii="宋体" w:hAnsi="宋体" w:eastAsia="仿宋" w:cs="宋体"/>
          <w:b/>
          <w:bCs/>
          <w:snapToGrid w:val="0"/>
          <w:color w:val="auto"/>
          <w:kern w:val="0"/>
          <w:sz w:val="36"/>
          <w:szCs w:val="44"/>
          <w:highlight w:val="none"/>
          <w:lang w:val="en-US" w:eastAsia="zh-CN" w:bidi="zh-CN"/>
        </w:rPr>
        <w:t xml:space="preserve"> </w:t>
      </w:r>
      <w:r>
        <w:rPr>
          <w:rFonts w:hint="eastAsia" w:ascii="宋体" w:hAnsi="宋体" w:eastAsia="仿宋" w:cs="宋体"/>
          <w:b/>
          <w:bCs/>
          <w:snapToGrid w:val="0"/>
          <w:color w:val="auto"/>
          <w:kern w:val="0"/>
          <w:sz w:val="36"/>
          <w:szCs w:val="44"/>
          <w:highlight w:val="none"/>
          <w:lang w:val="zh-CN" w:eastAsia="zh-CN" w:bidi="zh-CN"/>
        </w:rPr>
        <w:t>竞争性磋商公告</w:t>
      </w:r>
      <w:bookmarkEnd w:id="1"/>
    </w:p>
    <w:p w14:paraId="6BB021B2">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项目概况</w:t>
      </w:r>
    </w:p>
    <w:p w14:paraId="3C9B5B24">
      <w:pPr>
        <w:spacing w:line="360" w:lineRule="auto"/>
        <w:ind w:firstLine="560" w:firstLineChars="2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唐河县水利局倪河水库大坝安全鉴定项目的潜在供应商应在全国公共资源交易平台（河南省·南阳唐河分平台）http://ggzyjy.tanghe.gov.cn获取采购文件，并于202</w:t>
      </w:r>
      <w:r>
        <w:rPr>
          <w:rFonts w:hint="eastAsia" w:ascii="宋体" w:hAnsi="宋体" w:eastAsia="仿宋" w:cs="宋体"/>
          <w:snapToGrid w:val="0"/>
          <w:color w:val="auto"/>
          <w:kern w:val="0"/>
          <w:sz w:val="28"/>
          <w:szCs w:val="36"/>
          <w:highlight w:val="none"/>
          <w:lang w:val="en-US" w:eastAsia="zh-CN" w:bidi="zh-CN"/>
        </w:rPr>
        <w:t>5</w:t>
      </w:r>
      <w:r>
        <w:rPr>
          <w:rFonts w:hint="eastAsia" w:ascii="宋体" w:hAnsi="宋体" w:eastAsia="仿宋" w:cs="宋体"/>
          <w:snapToGrid w:val="0"/>
          <w:color w:val="auto"/>
          <w:kern w:val="0"/>
          <w:sz w:val="28"/>
          <w:szCs w:val="36"/>
          <w:highlight w:val="none"/>
          <w:lang w:val="zh-CN" w:eastAsia="zh-CN" w:bidi="zh-CN"/>
        </w:rPr>
        <w:t>年</w:t>
      </w:r>
      <w:r>
        <w:rPr>
          <w:rFonts w:hint="eastAsia" w:ascii="宋体" w:hAnsi="宋体" w:eastAsia="仿宋" w:cs="宋体"/>
          <w:snapToGrid w:val="0"/>
          <w:color w:val="auto"/>
          <w:kern w:val="0"/>
          <w:sz w:val="28"/>
          <w:szCs w:val="36"/>
          <w:highlight w:val="none"/>
          <w:lang w:val="en-US" w:eastAsia="zh-CN" w:bidi="zh-CN"/>
        </w:rPr>
        <w:t>8</w:t>
      </w:r>
      <w:r>
        <w:rPr>
          <w:rFonts w:hint="eastAsia" w:ascii="宋体" w:hAnsi="宋体" w:eastAsia="仿宋" w:cs="宋体"/>
          <w:snapToGrid w:val="0"/>
          <w:color w:val="auto"/>
          <w:kern w:val="0"/>
          <w:sz w:val="28"/>
          <w:szCs w:val="36"/>
          <w:highlight w:val="none"/>
          <w:lang w:val="zh-CN" w:eastAsia="zh-CN" w:bidi="zh-CN"/>
        </w:rPr>
        <w:t>月</w:t>
      </w:r>
      <w:r>
        <w:rPr>
          <w:rFonts w:hint="eastAsia" w:ascii="宋体" w:hAnsi="宋体" w:eastAsia="仿宋" w:cs="宋体"/>
          <w:snapToGrid w:val="0"/>
          <w:color w:val="auto"/>
          <w:kern w:val="0"/>
          <w:sz w:val="28"/>
          <w:szCs w:val="36"/>
          <w:highlight w:val="none"/>
          <w:lang w:val="en-US" w:eastAsia="zh-CN" w:bidi="zh-CN"/>
        </w:rPr>
        <w:t>27</w:t>
      </w:r>
      <w:r>
        <w:rPr>
          <w:rFonts w:hint="eastAsia" w:ascii="宋体" w:hAnsi="宋体" w:eastAsia="仿宋" w:cs="宋体"/>
          <w:snapToGrid w:val="0"/>
          <w:color w:val="auto"/>
          <w:kern w:val="0"/>
          <w:sz w:val="28"/>
          <w:szCs w:val="36"/>
          <w:highlight w:val="none"/>
          <w:lang w:val="zh-CN" w:eastAsia="zh-CN" w:bidi="zh-CN"/>
        </w:rPr>
        <w:t>日</w:t>
      </w:r>
      <w:r>
        <w:rPr>
          <w:rFonts w:hint="eastAsia" w:ascii="宋体" w:hAnsi="宋体" w:eastAsia="仿宋" w:cs="宋体"/>
          <w:snapToGrid w:val="0"/>
          <w:color w:val="auto"/>
          <w:kern w:val="0"/>
          <w:sz w:val="28"/>
          <w:szCs w:val="36"/>
          <w:highlight w:val="none"/>
          <w:lang w:val="en-US" w:eastAsia="zh-CN" w:bidi="zh-CN"/>
        </w:rPr>
        <w:t>09</w:t>
      </w:r>
      <w:r>
        <w:rPr>
          <w:rFonts w:hint="eastAsia" w:ascii="宋体" w:hAnsi="宋体" w:eastAsia="仿宋" w:cs="宋体"/>
          <w:snapToGrid w:val="0"/>
          <w:color w:val="auto"/>
          <w:kern w:val="0"/>
          <w:sz w:val="28"/>
          <w:szCs w:val="36"/>
          <w:highlight w:val="none"/>
          <w:lang w:val="zh-CN" w:eastAsia="zh-CN" w:bidi="zh-CN"/>
        </w:rPr>
        <w:t>时</w:t>
      </w:r>
      <w:r>
        <w:rPr>
          <w:rFonts w:hint="eastAsia" w:ascii="宋体" w:hAnsi="宋体" w:eastAsia="仿宋" w:cs="宋体"/>
          <w:snapToGrid w:val="0"/>
          <w:color w:val="auto"/>
          <w:kern w:val="0"/>
          <w:sz w:val="28"/>
          <w:szCs w:val="36"/>
          <w:highlight w:val="none"/>
          <w:lang w:val="en-US" w:eastAsia="zh-CN" w:bidi="zh-CN"/>
        </w:rPr>
        <w:t>30</w:t>
      </w:r>
      <w:r>
        <w:rPr>
          <w:rFonts w:hint="eastAsia" w:ascii="宋体" w:hAnsi="宋体" w:eastAsia="仿宋" w:cs="宋体"/>
          <w:snapToGrid w:val="0"/>
          <w:color w:val="auto"/>
          <w:kern w:val="0"/>
          <w:sz w:val="28"/>
          <w:szCs w:val="36"/>
          <w:highlight w:val="none"/>
          <w:lang w:val="zh-CN" w:eastAsia="zh-CN" w:bidi="zh-CN"/>
        </w:rPr>
        <w:t>分（北京时间）前递交响应文件。</w:t>
      </w:r>
    </w:p>
    <w:p w14:paraId="0326F380">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一、项目基本情况 </w:t>
      </w:r>
    </w:p>
    <w:p w14:paraId="1EF2E0A1">
      <w:pPr>
        <w:spacing w:line="360" w:lineRule="auto"/>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zh-CN" w:eastAsia="zh-CN" w:bidi="zh-CN"/>
        </w:rPr>
        <w:t>1、项目编号：唐财采购竞争性磋商-2025-</w:t>
      </w:r>
      <w:r>
        <w:rPr>
          <w:rFonts w:hint="eastAsia" w:ascii="宋体" w:hAnsi="宋体" w:eastAsia="仿宋" w:cs="宋体"/>
          <w:snapToGrid w:val="0"/>
          <w:color w:val="auto"/>
          <w:kern w:val="0"/>
          <w:sz w:val="28"/>
          <w:szCs w:val="36"/>
          <w:highlight w:val="none"/>
          <w:lang w:val="en-US" w:eastAsia="zh-CN" w:bidi="zh-CN"/>
        </w:rPr>
        <w:t>73</w:t>
      </w:r>
    </w:p>
    <w:p w14:paraId="601BFBCF">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2、项目名称：唐河县水利局倪河水库大坝安全鉴定项目 </w:t>
      </w:r>
    </w:p>
    <w:p w14:paraId="67A49E6B">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3、采购方式：竞争性磋商 </w:t>
      </w:r>
    </w:p>
    <w:p w14:paraId="10873494">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4、预算金额：</w:t>
      </w:r>
      <w:r>
        <w:rPr>
          <w:rFonts w:hint="eastAsia" w:ascii="宋体" w:hAnsi="宋体" w:eastAsia="仿宋" w:cs="宋体"/>
          <w:snapToGrid w:val="0"/>
          <w:color w:val="auto"/>
          <w:kern w:val="0"/>
          <w:sz w:val="28"/>
          <w:szCs w:val="36"/>
          <w:highlight w:val="none"/>
          <w:lang w:val="en-US" w:eastAsia="zh-CN" w:bidi="zh-CN"/>
        </w:rPr>
        <w:t>400000.00</w:t>
      </w:r>
      <w:r>
        <w:rPr>
          <w:rFonts w:hint="eastAsia" w:ascii="宋体" w:hAnsi="宋体" w:eastAsia="仿宋" w:cs="宋体"/>
          <w:snapToGrid w:val="0"/>
          <w:color w:val="auto"/>
          <w:kern w:val="0"/>
          <w:sz w:val="28"/>
          <w:szCs w:val="36"/>
          <w:highlight w:val="none"/>
          <w:lang w:val="zh-CN" w:eastAsia="zh-CN" w:bidi="zh-CN"/>
        </w:rPr>
        <w:t>元 ；</w:t>
      </w:r>
    </w:p>
    <w:p w14:paraId="1106A0E5">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最高限价：</w:t>
      </w:r>
      <w:r>
        <w:rPr>
          <w:rFonts w:hint="eastAsia" w:ascii="宋体" w:hAnsi="宋体" w:eastAsia="仿宋" w:cs="宋体"/>
          <w:snapToGrid w:val="0"/>
          <w:color w:val="auto"/>
          <w:kern w:val="0"/>
          <w:sz w:val="28"/>
          <w:szCs w:val="36"/>
          <w:highlight w:val="none"/>
          <w:lang w:val="en-US" w:eastAsia="zh-CN" w:bidi="zh-CN"/>
        </w:rPr>
        <w:t>400000.00</w:t>
      </w:r>
      <w:r>
        <w:rPr>
          <w:rFonts w:hint="eastAsia" w:ascii="宋体" w:hAnsi="宋体" w:eastAsia="仿宋" w:cs="宋体"/>
          <w:snapToGrid w:val="0"/>
          <w:color w:val="auto"/>
          <w:kern w:val="0"/>
          <w:sz w:val="28"/>
          <w:szCs w:val="36"/>
          <w:highlight w:val="none"/>
          <w:lang w:val="zh-CN" w:eastAsia="zh-CN" w:bidi="zh-CN"/>
        </w:rPr>
        <w:t xml:space="preserve">元  </w:t>
      </w: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256"/>
        <w:gridCol w:w="3122"/>
        <w:gridCol w:w="1349"/>
        <w:gridCol w:w="1302"/>
        <w:gridCol w:w="1475"/>
        <w:gridCol w:w="1333"/>
      </w:tblGrid>
      <w:tr w14:paraId="0D00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12B26BE">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序号</w:t>
            </w:r>
          </w:p>
        </w:tc>
        <w:tc>
          <w:tcPr>
            <w:tcW w:w="603" w:type="pct"/>
            <w:vAlign w:val="center"/>
          </w:tcPr>
          <w:p w14:paraId="69CB6240">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包号</w:t>
            </w:r>
          </w:p>
        </w:tc>
        <w:tc>
          <w:tcPr>
            <w:tcW w:w="1499" w:type="pct"/>
            <w:vAlign w:val="center"/>
          </w:tcPr>
          <w:p w14:paraId="2F740CDF">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包名称</w:t>
            </w:r>
          </w:p>
        </w:tc>
        <w:tc>
          <w:tcPr>
            <w:tcW w:w="647" w:type="pct"/>
            <w:vAlign w:val="center"/>
          </w:tcPr>
          <w:p w14:paraId="0E6D5201">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包预算（元）</w:t>
            </w:r>
          </w:p>
        </w:tc>
        <w:tc>
          <w:tcPr>
            <w:tcW w:w="625" w:type="pct"/>
            <w:vAlign w:val="center"/>
          </w:tcPr>
          <w:p w14:paraId="735D3DA8">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包最高限价（元）</w:t>
            </w:r>
          </w:p>
        </w:tc>
        <w:tc>
          <w:tcPr>
            <w:tcW w:w="708" w:type="pct"/>
            <w:vAlign w:val="center"/>
          </w:tcPr>
          <w:p w14:paraId="262FEAB1">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default" w:ascii="宋体" w:hAnsi="宋体" w:eastAsia="仿宋" w:cs="宋体"/>
                <w:snapToGrid w:val="0"/>
                <w:color w:val="auto"/>
                <w:kern w:val="0"/>
                <w:sz w:val="28"/>
                <w:szCs w:val="36"/>
                <w:highlight w:val="none"/>
                <w:lang w:val="en-US" w:eastAsia="zh-CN" w:bidi="zh-CN"/>
              </w:rPr>
              <w:t>是否专门面向中小企业</w:t>
            </w:r>
          </w:p>
        </w:tc>
        <w:tc>
          <w:tcPr>
            <w:tcW w:w="639" w:type="pct"/>
            <w:vAlign w:val="center"/>
          </w:tcPr>
          <w:p w14:paraId="3D8C8105">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default" w:ascii="宋体" w:hAnsi="宋体" w:eastAsia="仿宋" w:cs="宋体"/>
                <w:snapToGrid w:val="0"/>
                <w:color w:val="auto"/>
                <w:kern w:val="0"/>
                <w:sz w:val="28"/>
                <w:szCs w:val="36"/>
                <w:highlight w:val="none"/>
                <w:lang w:val="en-US" w:eastAsia="zh-CN" w:bidi="zh-CN"/>
              </w:rPr>
              <w:t>采购预留金额（元）</w:t>
            </w:r>
          </w:p>
        </w:tc>
      </w:tr>
      <w:tr w14:paraId="738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76" w:type="pct"/>
            <w:vAlign w:val="center"/>
          </w:tcPr>
          <w:p w14:paraId="0A052797">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1</w:t>
            </w:r>
          </w:p>
        </w:tc>
        <w:tc>
          <w:tcPr>
            <w:tcW w:w="603" w:type="pct"/>
            <w:vAlign w:val="center"/>
          </w:tcPr>
          <w:p w14:paraId="291C88D7">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唐财采购竞争性磋商-2025-73-1</w:t>
            </w:r>
          </w:p>
        </w:tc>
        <w:tc>
          <w:tcPr>
            <w:tcW w:w="1499" w:type="pct"/>
            <w:vAlign w:val="center"/>
          </w:tcPr>
          <w:p w14:paraId="2D3670C6">
            <w:pPr>
              <w:widowControl w:val="0"/>
              <w:spacing w:line="240" w:lineRule="auto"/>
              <w:jc w:val="center"/>
              <w:rPr>
                <w:rFonts w:hint="eastAsia"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唐河县水利局倪河水库大坝安全鉴定项目</w:t>
            </w:r>
          </w:p>
        </w:tc>
        <w:tc>
          <w:tcPr>
            <w:tcW w:w="647" w:type="pct"/>
            <w:vAlign w:val="center"/>
          </w:tcPr>
          <w:p w14:paraId="3A539D83">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400000.00</w:t>
            </w:r>
          </w:p>
        </w:tc>
        <w:tc>
          <w:tcPr>
            <w:tcW w:w="625" w:type="pct"/>
            <w:vAlign w:val="center"/>
          </w:tcPr>
          <w:p w14:paraId="0FAD7032">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400000.00</w:t>
            </w:r>
          </w:p>
        </w:tc>
        <w:tc>
          <w:tcPr>
            <w:tcW w:w="708" w:type="pct"/>
            <w:vAlign w:val="center"/>
          </w:tcPr>
          <w:p w14:paraId="58D3EABD">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否</w:t>
            </w:r>
          </w:p>
        </w:tc>
        <w:tc>
          <w:tcPr>
            <w:tcW w:w="639" w:type="pct"/>
            <w:vAlign w:val="center"/>
          </w:tcPr>
          <w:p w14:paraId="1A4EE6C3">
            <w:pPr>
              <w:widowControl w:val="0"/>
              <w:spacing w:line="240" w:lineRule="auto"/>
              <w:jc w:val="center"/>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en-US" w:eastAsia="zh-CN" w:bidi="zh-CN"/>
              </w:rPr>
              <w:t>400000.00</w:t>
            </w:r>
          </w:p>
        </w:tc>
      </w:tr>
    </w:tbl>
    <w:p w14:paraId="542E4E2A">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5、采购需求（包括但不限于标的的名称、数量、简要技术需求或服务要求等） </w:t>
      </w:r>
    </w:p>
    <w:p w14:paraId="74749766">
      <w:pPr>
        <w:spacing w:line="360" w:lineRule="auto"/>
        <w:ind w:firstLine="280" w:firstLineChars="100"/>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1</w:t>
      </w:r>
      <w:r>
        <w:rPr>
          <w:rFonts w:hint="eastAsia" w:ascii="宋体" w:hAnsi="宋体" w:eastAsia="仿宋" w:cs="宋体"/>
          <w:snapToGrid w:val="0"/>
          <w:color w:val="auto"/>
          <w:kern w:val="0"/>
          <w:sz w:val="28"/>
          <w:szCs w:val="36"/>
          <w:highlight w:val="none"/>
          <w:lang w:val="zh-CN" w:eastAsia="zh-CN" w:bidi="zh-CN"/>
        </w:rPr>
        <w:t>）项目名称：唐河县水利局倪河水库大坝安全鉴定项目</w:t>
      </w:r>
    </w:p>
    <w:p w14:paraId="5BD84B1F">
      <w:pPr>
        <w:spacing w:line="360" w:lineRule="auto"/>
        <w:ind w:firstLine="280" w:firstLineChars="1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2</w:t>
      </w:r>
      <w:r>
        <w:rPr>
          <w:rFonts w:hint="eastAsia" w:ascii="宋体" w:hAnsi="宋体" w:eastAsia="仿宋" w:cs="宋体"/>
          <w:snapToGrid w:val="0"/>
          <w:color w:val="auto"/>
          <w:kern w:val="0"/>
          <w:sz w:val="28"/>
          <w:szCs w:val="36"/>
          <w:highlight w:val="none"/>
          <w:lang w:val="zh-CN" w:eastAsia="zh-CN" w:bidi="zh-CN"/>
        </w:rPr>
        <w:t>）项目实施地点：唐河县</w:t>
      </w:r>
      <w:r>
        <w:rPr>
          <w:rFonts w:hint="eastAsia" w:ascii="宋体" w:hAnsi="宋体" w:eastAsia="仿宋" w:cs="宋体"/>
          <w:snapToGrid w:val="0"/>
          <w:color w:val="auto"/>
          <w:kern w:val="0"/>
          <w:sz w:val="28"/>
          <w:szCs w:val="36"/>
          <w:highlight w:val="none"/>
          <w:lang w:val="en-US" w:eastAsia="zh-CN" w:bidi="zh-CN"/>
        </w:rPr>
        <w:t>倪河水库</w:t>
      </w:r>
      <w:r>
        <w:rPr>
          <w:rFonts w:hint="eastAsia" w:ascii="宋体" w:hAnsi="宋体" w:eastAsia="仿宋" w:cs="宋体"/>
          <w:snapToGrid w:val="0"/>
          <w:color w:val="auto"/>
          <w:kern w:val="0"/>
          <w:sz w:val="28"/>
          <w:szCs w:val="36"/>
          <w:highlight w:val="none"/>
          <w:lang w:val="zh-CN" w:eastAsia="zh-CN" w:bidi="zh-CN"/>
        </w:rPr>
        <w:t>；</w:t>
      </w:r>
    </w:p>
    <w:p w14:paraId="7425A977">
      <w:pPr>
        <w:spacing w:line="360" w:lineRule="auto"/>
        <w:ind w:firstLine="280" w:firstLineChars="1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3</w:t>
      </w:r>
      <w:r>
        <w:rPr>
          <w:rFonts w:hint="eastAsia" w:ascii="宋体" w:hAnsi="宋体" w:eastAsia="仿宋" w:cs="宋体"/>
          <w:snapToGrid w:val="0"/>
          <w:color w:val="auto"/>
          <w:kern w:val="0"/>
          <w:sz w:val="28"/>
          <w:szCs w:val="36"/>
          <w:highlight w:val="none"/>
          <w:lang w:val="zh-CN" w:eastAsia="zh-CN" w:bidi="zh-CN"/>
        </w:rPr>
        <w:t>）资金来源：县财政资金，已落实；</w:t>
      </w:r>
    </w:p>
    <w:p w14:paraId="18CDD10D">
      <w:pPr>
        <w:spacing w:line="360" w:lineRule="auto"/>
        <w:ind w:firstLine="280" w:firstLineChars="100"/>
        <w:rPr>
          <w:rFonts w:hint="default" w:ascii="宋体" w:hAnsi="宋体" w:eastAsia="仿宋" w:cs="宋体"/>
          <w:snapToGrid w:val="0"/>
          <w:color w:val="auto"/>
          <w:kern w:val="0"/>
          <w:sz w:val="28"/>
          <w:szCs w:val="36"/>
          <w:highlight w:val="none"/>
          <w:lang w:val="en-US"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4</w:t>
      </w:r>
      <w:r>
        <w:rPr>
          <w:rFonts w:hint="eastAsia" w:ascii="宋体" w:hAnsi="宋体" w:eastAsia="仿宋" w:cs="宋体"/>
          <w:snapToGrid w:val="0"/>
          <w:color w:val="auto"/>
          <w:kern w:val="0"/>
          <w:sz w:val="28"/>
          <w:szCs w:val="36"/>
          <w:highlight w:val="none"/>
          <w:lang w:val="zh-CN" w:eastAsia="zh-CN" w:bidi="zh-CN"/>
        </w:rPr>
        <w:t>）采购内容：</w:t>
      </w:r>
      <w:r>
        <w:rPr>
          <w:rFonts w:hint="eastAsia" w:ascii="宋体" w:hAnsi="宋体" w:eastAsia="仿宋" w:cs="宋体"/>
          <w:snapToGrid w:val="0"/>
          <w:color w:val="auto"/>
          <w:kern w:val="0"/>
          <w:sz w:val="28"/>
          <w:szCs w:val="36"/>
          <w:highlight w:val="none"/>
          <w:lang w:val="en-US" w:eastAsia="zh-CN" w:bidi="zh-CN"/>
        </w:rPr>
        <w:t>对唐河县倪河水库（中型）进行安全鉴定并出具报告书且通过评审，取得上级部门出具的安全鉴定成果核查意见。详见本项目采购文件及采购需求。</w:t>
      </w:r>
    </w:p>
    <w:p w14:paraId="2DC61F6E">
      <w:pPr>
        <w:spacing w:line="360" w:lineRule="auto"/>
        <w:ind w:firstLine="280" w:firstLineChars="1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5</w:t>
      </w:r>
      <w:r>
        <w:rPr>
          <w:rFonts w:hint="eastAsia" w:ascii="宋体" w:hAnsi="宋体" w:eastAsia="仿宋" w:cs="宋体"/>
          <w:snapToGrid w:val="0"/>
          <w:color w:val="auto"/>
          <w:kern w:val="0"/>
          <w:sz w:val="28"/>
          <w:szCs w:val="36"/>
          <w:highlight w:val="none"/>
          <w:lang w:val="zh-CN" w:eastAsia="zh-CN" w:bidi="zh-CN"/>
        </w:rPr>
        <w:t>）标段划分：本项目划分一个标段；</w:t>
      </w:r>
    </w:p>
    <w:p w14:paraId="6DC4CD4A">
      <w:pPr>
        <w:spacing w:line="360" w:lineRule="auto"/>
        <w:ind w:firstLine="280" w:firstLineChars="1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6</w:t>
      </w:r>
      <w:r>
        <w:rPr>
          <w:rFonts w:hint="eastAsia" w:ascii="宋体" w:hAnsi="宋体" w:eastAsia="仿宋" w:cs="宋体"/>
          <w:snapToGrid w:val="0"/>
          <w:color w:val="auto"/>
          <w:kern w:val="0"/>
          <w:sz w:val="28"/>
          <w:szCs w:val="36"/>
          <w:highlight w:val="none"/>
          <w:lang w:val="zh-CN" w:eastAsia="zh-CN" w:bidi="zh-CN"/>
        </w:rPr>
        <w:t xml:space="preserve">）质量要求：合格，符合国家、行业相关规范合格标准及采购人要求； </w:t>
      </w:r>
    </w:p>
    <w:p w14:paraId="48E169D5">
      <w:pPr>
        <w:pStyle w:val="33"/>
        <w:numPr>
          <w:ilvl w:val="0"/>
          <w:numId w:val="0"/>
        </w:numPr>
        <w:spacing w:line="360" w:lineRule="auto"/>
        <w:rPr>
          <w:rFonts w:hint="eastAsia" w:ascii="宋体" w:hAnsi="宋体" w:eastAsia="仿宋" w:cs="宋体"/>
          <w:color w:val="auto"/>
          <w:kern w:val="0"/>
          <w:sz w:val="28"/>
          <w:szCs w:val="36"/>
          <w:highlight w:val="none"/>
          <w:lang w:val="zh-CN" w:eastAsia="zh-CN" w:bidi="zh-CN"/>
        </w:rPr>
      </w:pPr>
      <w:r>
        <w:rPr>
          <w:rFonts w:hint="eastAsia" w:ascii="宋体" w:hAnsi="宋体" w:eastAsia="仿宋" w:cs="宋体"/>
          <w:color w:val="auto"/>
          <w:kern w:val="0"/>
          <w:sz w:val="28"/>
          <w:szCs w:val="36"/>
          <w:highlight w:val="none"/>
          <w:lang w:val="en-US" w:eastAsia="zh-CN" w:bidi="zh-CN"/>
        </w:rPr>
        <w:t>6、</w:t>
      </w:r>
      <w:r>
        <w:rPr>
          <w:rFonts w:hint="eastAsia" w:ascii="宋体" w:hAnsi="宋体" w:eastAsia="仿宋" w:cs="宋体"/>
          <w:color w:val="auto"/>
          <w:kern w:val="0"/>
          <w:sz w:val="28"/>
          <w:szCs w:val="36"/>
          <w:highlight w:val="none"/>
          <w:lang w:val="zh-CN" w:eastAsia="zh-CN" w:bidi="zh-CN"/>
        </w:rPr>
        <w:t>合同履行期限：合同签订后</w:t>
      </w:r>
      <w:r>
        <w:rPr>
          <w:rFonts w:hint="eastAsia" w:ascii="宋体" w:hAnsi="宋体" w:eastAsia="仿宋" w:cs="宋体"/>
          <w:color w:val="auto"/>
          <w:kern w:val="0"/>
          <w:sz w:val="28"/>
          <w:szCs w:val="36"/>
          <w:highlight w:val="none"/>
          <w:lang w:val="en-US" w:eastAsia="zh-CN" w:bidi="zh-CN"/>
        </w:rPr>
        <w:t>60</w:t>
      </w:r>
      <w:r>
        <w:rPr>
          <w:rFonts w:hint="eastAsia" w:ascii="宋体" w:hAnsi="宋体" w:eastAsia="仿宋" w:cs="宋体"/>
          <w:color w:val="auto"/>
          <w:kern w:val="0"/>
          <w:sz w:val="28"/>
          <w:szCs w:val="36"/>
          <w:highlight w:val="none"/>
          <w:lang w:val="zh-CN" w:eastAsia="zh-CN" w:bidi="zh-CN"/>
        </w:rPr>
        <w:t>日历天内；</w:t>
      </w:r>
    </w:p>
    <w:p w14:paraId="16070255">
      <w:pPr>
        <w:pStyle w:val="33"/>
        <w:numPr>
          <w:ilvl w:val="0"/>
          <w:numId w:val="0"/>
        </w:numPr>
        <w:spacing w:line="360" w:lineRule="auto"/>
        <w:rPr>
          <w:rFonts w:hint="eastAsia" w:ascii="宋体" w:hAnsi="宋体" w:eastAsia="仿宋" w:cs="宋体"/>
          <w:color w:val="auto"/>
          <w:kern w:val="0"/>
          <w:sz w:val="28"/>
          <w:szCs w:val="36"/>
          <w:highlight w:val="none"/>
          <w:lang w:val="zh-CN" w:eastAsia="zh-CN" w:bidi="zh-CN"/>
        </w:rPr>
      </w:pPr>
      <w:r>
        <w:rPr>
          <w:rFonts w:hint="eastAsia" w:ascii="宋体" w:hAnsi="宋体" w:eastAsia="仿宋" w:cs="宋体"/>
          <w:color w:val="auto"/>
          <w:kern w:val="0"/>
          <w:sz w:val="28"/>
          <w:szCs w:val="36"/>
          <w:highlight w:val="none"/>
          <w:lang w:val="en-US" w:eastAsia="zh-CN" w:bidi="zh-CN"/>
        </w:rPr>
        <w:t>7</w:t>
      </w:r>
      <w:r>
        <w:rPr>
          <w:rFonts w:hint="eastAsia" w:ascii="宋体" w:hAnsi="宋体" w:eastAsia="仿宋" w:cs="宋体"/>
          <w:color w:val="auto"/>
          <w:kern w:val="0"/>
          <w:sz w:val="28"/>
          <w:szCs w:val="36"/>
          <w:highlight w:val="none"/>
          <w:lang w:val="zh-CN" w:eastAsia="zh-CN" w:bidi="zh-CN"/>
        </w:rPr>
        <w:t xml:space="preserve">、本项目是否接受联合体投标：否 </w:t>
      </w:r>
    </w:p>
    <w:p w14:paraId="0D50E0B2">
      <w:pPr>
        <w:pStyle w:val="33"/>
        <w:numPr>
          <w:ilvl w:val="0"/>
          <w:numId w:val="0"/>
        </w:numPr>
        <w:spacing w:line="360" w:lineRule="auto"/>
        <w:rPr>
          <w:rFonts w:hint="eastAsia" w:ascii="宋体" w:hAnsi="宋体" w:eastAsia="仿宋" w:cs="宋体"/>
          <w:color w:val="auto"/>
          <w:kern w:val="0"/>
          <w:sz w:val="28"/>
          <w:szCs w:val="36"/>
          <w:highlight w:val="none"/>
          <w:lang w:val="zh-CN" w:eastAsia="zh-CN" w:bidi="zh-CN"/>
        </w:rPr>
      </w:pPr>
      <w:r>
        <w:rPr>
          <w:rFonts w:hint="eastAsia" w:ascii="宋体" w:hAnsi="宋体" w:eastAsia="仿宋" w:cs="宋体"/>
          <w:color w:val="auto"/>
          <w:kern w:val="0"/>
          <w:sz w:val="28"/>
          <w:szCs w:val="36"/>
          <w:highlight w:val="none"/>
          <w:lang w:val="en-US" w:eastAsia="zh-CN" w:bidi="zh-CN"/>
        </w:rPr>
        <w:t>8</w:t>
      </w:r>
      <w:r>
        <w:rPr>
          <w:rFonts w:hint="eastAsia" w:ascii="宋体" w:hAnsi="宋体" w:eastAsia="仿宋" w:cs="宋体"/>
          <w:color w:val="auto"/>
          <w:kern w:val="0"/>
          <w:sz w:val="28"/>
          <w:szCs w:val="36"/>
          <w:highlight w:val="none"/>
          <w:lang w:val="zh-CN" w:eastAsia="zh-CN" w:bidi="zh-CN"/>
        </w:rPr>
        <w:t xml:space="preserve">、是否接受进口产品：否 </w:t>
      </w:r>
    </w:p>
    <w:p w14:paraId="4D5220D2">
      <w:pPr>
        <w:pStyle w:val="33"/>
        <w:numPr>
          <w:ilvl w:val="0"/>
          <w:numId w:val="0"/>
        </w:numPr>
        <w:spacing w:line="360" w:lineRule="auto"/>
        <w:rPr>
          <w:rFonts w:hint="eastAsia"/>
          <w:color w:val="auto"/>
          <w:highlight w:val="none"/>
        </w:rPr>
      </w:pPr>
      <w:r>
        <w:rPr>
          <w:rFonts w:hint="eastAsia" w:ascii="宋体" w:hAnsi="宋体" w:eastAsia="仿宋" w:cs="宋体"/>
          <w:color w:val="auto"/>
          <w:kern w:val="0"/>
          <w:sz w:val="28"/>
          <w:szCs w:val="36"/>
          <w:highlight w:val="none"/>
          <w:lang w:val="zh-CN" w:eastAsia="zh-CN" w:bidi="zh-CN"/>
        </w:rPr>
        <w:t>9、是否专门面向中小企业：</w:t>
      </w:r>
      <w:r>
        <w:rPr>
          <w:rFonts w:hint="eastAsia" w:ascii="宋体" w:hAnsi="宋体" w:eastAsia="仿宋" w:cs="宋体"/>
          <w:color w:val="auto"/>
          <w:kern w:val="0"/>
          <w:sz w:val="28"/>
          <w:szCs w:val="36"/>
          <w:highlight w:val="none"/>
          <w:lang w:val="en-US" w:eastAsia="zh-CN" w:bidi="zh-CN"/>
        </w:rPr>
        <w:t>否</w:t>
      </w:r>
    </w:p>
    <w:p w14:paraId="5D14002B">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二、申请人资格要求： </w:t>
      </w:r>
    </w:p>
    <w:p w14:paraId="045BAEB3">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1、满足《中华人民共和国政府采购法》第二十二条规定； </w:t>
      </w:r>
    </w:p>
    <w:p w14:paraId="22CCE14E">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2、落实政府采购政策满足的资格要求： </w:t>
      </w:r>
    </w:p>
    <w:p w14:paraId="4FA3C637">
      <w:pPr>
        <w:spacing w:line="360" w:lineRule="auto"/>
        <w:ind w:firstLine="560" w:firstLineChars="2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本项目执行扶持中小企业、监狱企业和残疾人福利性单位发展的政策。 </w:t>
      </w:r>
    </w:p>
    <w:p w14:paraId="27C448FD">
      <w:pPr>
        <w:spacing w:line="360" w:lineRule="auto"/>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 xml:space="preserve">3、本项目的特定资格要求： </w:t>
      </w:r>
    </w:p>
    <w:p w14:paraId="4C1DCF70">
      <w:pPr>
        <w:spacing w:line="360" w:lineRule="auto"/>
        <w:ind w:firstLine="560" w:firstLineChars="200"/>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zh-CN" w:eastAsia="zh-CN" w:bidi="zh-CN"/>
        </w:rPr>
        <w:t>3.1供应商应具有独立承担民事责任的能力以及有效的营业执照</w:t>
      </w:r>
      <w:r>
        <w:rPr>
          <w:rFonts w:hint="eastAsia" w:ascii="宋体" w:hAnsi="宋体" w:eastAsia="仿宋" w:cs="宋体"/>
          <w:snapToGrid w:val="0"/>
          <w:color w:val="auto"/>
          <w:kern w:val="0"/>
          <w:sz w:val="28"/>
          <w:szCs w:val="36"/>
          <w:highlight w:val="none"/>
          <w:lang w:val="en-US" w:eastAsia="zh-CN" w:bidi="zh-CN"/>
        </w:rPr>
        <w:t>或法人证书</w:t>
      </w:r>
      <w:r>
        <w:rPr>
          <w:rFonts w:hint="eastAsia" w:ascii="宋体" w:hAnsi="宋体" w:eastAsia="仿宋" w:cs="宋体"/>
          <w:snapToGrid w:val="0"/>
          <w:color w:val="auto"/>
          <w:kern w:val="0"/>
          <w:sz w:val="28"/>
          <w:szCs w:val="36"/>
          <w:highlight w:val="none"/>
          <w:lang w:val="zh-CN" w:eastAsia="zh-CN" w:bidi="zh-CN"/>
        </w:rPr>
        <w:t>，并在人员、设备、资金等方面具备相应的专业能力。</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3.2供应商须供应商须具备水利行业（水库枢纽）专业工程设计乙级及以上资质和工程勘察专业（岩土工程（勘察））乙级及以上资质或者水利部公布的可以进行大坝安全鉴定的有关科研单位和大专院校（以《关于公布承担大中型水库大坝安全评价单位的通知》(水建管〔2003〕472号)文件为准)。</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3.3拟派项目负责人具有水利工程相关专业高级及以上技术职称。</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3.4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单位负责人为同一人或者存在控股、管理关系的不同单位，不得同时参加本次招标项目，需提供加盖投标人公章的“国家企业信用信息公示系统”中查询的公司信息、股东（或投资人）相关信息。（投标人若为事业单位性质，则须提供说明）；</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w:t>
      </w:r>
      <w:r>
        <w:rPr>
          <w:rFonts w:hint="eastAsia" w:ascii="宋体" w:hAnsi="宋体" w:eastAsia="仿宋" w:cs="宋体"/>
          <w:snapToGrid w:val="0"/>
          <w:color w:val="auto"/>
          <w:kern w:val="0"/>
          <w:sz w:val="28"/>
          <w:szCs w:val="36"/>
          <w:highlight w:val="none"/>
          <w:lang w:val="en-US" w:eastAsia="zh-CN" w:bidi="zh-CN"/>
        </w:rPr>
        <w:t>5</w:t>
      </w:r>
      <w:r>
        <w:rPr>
          <w:rFonts w:hint="eastAsia" w:ascii="宋体" w:hAnsi="宋体" w:eastAsia="仿宋" w:cs="宋体"/>
          <w:snapToGrid w:val="0"/>
          <w:color w:val="auto"/>
          <w:kern w:val="0"/>
          <w:sz w:val="28"/>
          <w:szCs w:val="36"/>
          <w:highlight w:val="none"/>
          <w:lang w:val="zh-CN" w:eastAsia="zh-CN" w:bidi="zh-CN"/>
        </w:rPr>
        <w:t>参加本次政府采购活动前三年内，在经营活动中没有重大违法犯罪记录；</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w:t>
      </w:r>
      <w:r>
        <w:rPr>
          <w:rFonts w:hint="eastAsia" w:ascii="宋体" w:hAnsi="宋体" w:eastAsia="仿宋" w:cs="宋体"/>
          <w:snapToGrid w:val="0"/>
          <w:color w:val="auto"/>
          <w:kern w:val="0"/>
          <w:sz w:val="28"/>
          <w:szCs w:val="36"/>
          <w:highlight w:val="none"/>
          <w:lang w:val="en-US" w:eastAsia="zh-CN" w:bidi="zh-CN"/>
        </w:rPr>
        <w:t>6</w:t>
      </w:r>
      <w:r>
        <w:rPr>
          <w:rFonts w:hint="eastAsia" w:ascii="宋体" w:hAnsi="宋体" w:eastAsia="仿宋" w:cs="宋体"/>
          <w:snapToGrid w:val="0"/>
          <w:color w:val="auto"/>
          <w:kern w:val="0"/>
          <w:sz w:val="28"/>
          <w:szCs w:val="36"/>
          <w:highlight w:val="none"/>
          <w:lang w:val="zh-CN" w:eastAsia="zh-CN" w:bidi="zh-CN"/>
        </w:rPr>
        <w:t>供应商须具有良好的商业信誉和健全的财务会计制度，财务状况良好，没有处于被责令停业、破产状态，须提供具有近三年（2022年度、2023年度、2024年度）经审计的财务报告，信誉良好（成立不足三年的企业，从成立之日算起）。</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 xml:space="preserve">   </w:t>
      </w:r>
      <w:r>
        <w:rPr>
          <w:rFonts w:hint="eastAsia" w:ascii="宋体" w:hAnsi="宋体" w:eastAsia="仿宋" w:cs="宋体"/>
          <w:snapToGrid w:val="0"/>
          <w:color w:val="auto"/>
          <w:kern w:val="0"/>
          <w:sz w:val="28"/>
          <w:szCs w:val="36"/>
          <w:highlight w:val="none"/>
          <w:lang w:val="zh-CN" w:eastAsia="zh-CN" w:bidi="zh-CN"/>
        </w:rPr>
        <w:t>3.</w:t>
      </w:r>
      <w:r>
        <w:rPr>
          <w:rFonts w:hint="eastAsia" w:ascii="宋体" w:hAnsi="宋体" w:eastAsia="仿宋" w:cs="宋体"/>
          <w:snapToGrid w:val="0"/>
          <w:color w:val="auto"/>
          <w:kern w:val="0"/>
          <w:sz w:val="28"/>
          <w:szCs w:val="36"/>
          <w:highlight w:val="none"/>
          <w:lang w:val="en-US" w:eastAsia="zh-CN" w:bidi="zh-CN"/>
        </w:rPr>
        <w:t>7</w:t>
      </w:r>
      <w:r>
        <w:rPr>
          <w:rFonts w:hint="eastAsia" w:ascii="宋体" w:hAnsi="宋体" w:eastAsia="仿宋" w:cs="宋体"/>
          <w:snapToGrid w:val="0"/>
          <w:color w:val="auto"/>
          <w:kern w:val="0"/>
          <w:sz w:val="28"/>
          <w:szCs w:val="36"/>
          <w:highlight w:val="none"/>
          <w:lang w:val="zh-CN" w:eastAsia="zh-CN" w:bidi="zh-CN"/>
        </w:rPr>
        <w:t>供应商须具有依法缴纳税收和社会保障资金的良好记录，提供近一年内任意2个月的完税证明和社会保障资金证明（新成立企业不足2个月的自成立当月起计算）；</w:t>
      </w:r>
    </w:p>
    <w:p w14:paraId="570BEA97">
      <w:pPr>
        <w:keepNext w:val="0"/>
        <w:keepLines w:val="0"/>
        <w:pageBreakBefore w:val="0"/>
        <w:widowControl/>
        <w:kinsoku w:val="0"/>
        <w:wordWrap/>
        <w:overflowPunct/>
        <w:topLinePunct w:val="0"/>
        <w:autoSpaceDE w:val="0"/>
        <w:autoSpaceDN w:val="0"/>
        <w:bidi w:val="0"/>
        <w:adjustRightInd w:val="0"/>
        <w:snapToGrid w:val="0"/>
        <w:spacing w:line="360" w:lineRule="auto"/>
        <w:ind w:left="279" w:leftChars="133" w:firstLine="0" w:firstLineChars="0"/>
        <w:jc w:val="both"/>
        <w:textAlignment w:val="baseline"/>
        <w:rPr>
          <w:rFonts w:hint="eastAsia" w:ascii="宋体" w:hAnsi="宋体" w:eastAsia="仿宋" w:cs="宋体"/>
          <w:snapToGrid w:val="0"/>
          <w:color w:val="auto"/>
          <w:kern w:val="0"/>
          <w:sz w:val="28"/>
          <w:szCs w:val="36"/>
          <w:highlight w:val="none"/>
          <w:lang w:val="zh-CN" w:eastAsia="zh-CN" w:bidi="zh-CN"/>
        </w:rPr>
      </w:pPr>
      <w:r>
        <w:rPr>
          <w:rFonts w:hint="eastAsia" w:ascii="宋体" w:hAnsi="宋体" w:eastAsia="仿宋" w:cs="宋体"/>
          <w:snapToGrid w:val="0"/>
          <w:color w:val="auto"/>
          <w:kern w:val="0"/>
          <w:sz w:val="28"/>
          <w:szCs w:val="36"/>
          <w:highlight w:val="none"/>
          <w:lang w:val="en-US" w:eastAsia="zh-CN" w:bidi="zh-CN"/>
        </w:rPr>
        <w:t>3.8具有履行合同所必需的设备和专业技术能力;</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zh-CN" w:eastAsia="zh-CN" w:bidi="zh-CN"/>
        </w:rPr>
        <w:t>3.</w:t>
      </w:r>
      <w:r>
        <w:rPr>
          <w:rFonts w:hint="eastAsia" w:ascii="宋体" w:hAnsi="宋体" w:eastAsia="仿宋" w:cs="宋体"/>
          <w:snapToGrid w:val="0"/>
          <w:color w:val="auto"/>
          <w:kern w:val="0"/>
          <w:sz w:val="28"/>
          <w:szCs w:val="36"/>
          <w:highlight w:val="none"/>
          <w:lang w:val="en-US" w:eastAsia="zh-CN" w:bidi="zh-CN"/>
        </w:rPr>
        <w:t>9</w:t>
      </w:r>
      <w:r>
        <w:rPr>
          <w:rFonts w:hint="eastAsia" w:ascii="宋体" w:hAnsi="宋体" w:eastAsia="仿宋" w:cs="宋体"/>
          <w:snapToGrid w:val="0"/>
          <w:color w:val="auto"/>
          <w:kern w:val="0"/>
          <w:sz w:val="28"/>
          <w:szCs w:val="36"/>
          <w:highlight w:val="none"/>
          <w:lang w:val="zh-CN" w:eastAsia="zh-CN" w:bidi="zh-CN"/>
        </w:rPr>
        <w:t>本次招标不接受联合体投标，所有标段均不允许违法分包和转包。</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en-US" w:eastAsia="zh-CN" w:bidi="zh-CN"/>
        </w:rPr>
        <w:t>3</w:t>
      </w:r>
      <w:r>
        <w:rPr>
          <w:rFonts w:hint="eastAsia" w:ascii="宋体" w:hAnsi="宋体" w:eastAsia="仿宋" w:cs="宋体"/>
          <w:snapToGrid w:val="0"/>
          <w:color w:val="auto"/>
          <w:kern w:val="0"/>
          <w:sz w:val="28"/>
          <w:szCs w:val="36"/>
          <w:highlight w:val="none"/>
          <w:lang w:val="zh-CN" w:eastAsia="zh-CN" w:bidi="zh-CN"/>
        </w:rPr>
        <w:t>.</w:t>
      </w:r>
      <w:r>
        <w:rPr>
          <w:rFonts w:hint="eastAsia" w:ascii="宋体" w:hAnsi="宋体" w:eastAsia="仿宋" w:cs="宋体"/>
          <w:snapToGrid w:val="0"/>
          <w:color w:val="auto"/>
          <w:kern w:val="0"/>
          <w:sz w:val="28"/>
          <w:szCs w:val="36"/>
          <w:highlight w:val="none"/>
          <w:lang w:val="en-US" w:eastAsia="zh-CN" w:bidi="zh-CN"/>
        </w:rPr>
        <w:t>10</w:t>
      </w:r>
      <w:r>
        <w:rPr>
          <w:rFonts w:hint="eastAsia" w:ascii="宋体" w:hAnsi="宋体" w:eastAsia="仿宋" w:cs="宋体"/>
          <w:snapToGrid w:val="0"/>
          <w:color w:val="auto"/>
          <w:kern w:val="0"/>
          <w:sz w:val="28"/>
          <w:szCs w:val="36"/>
          <w:highlight w:val="none"/>
          <w:lang w:val="zh-CN" w:eastAsia="zh-CN" w:bidi="zh-CN"/>
        </w:rPr>
        <w:t>本次采购项目采购人不组织踏勘现场和投标预备会及注意事项，</w:t>
      </w:r>
      <w:r>
        <w:rPr>
          <w:rFonts w:hint="eastAsia" w:ascii="宋体" w:hAnsi="宋体" w:eastAsia="仿宋" w:cs="宋体"/>
          <w:snapToGrid w:val="0"/>
          <w:color w:val="auto"/>
          <w:kern w:val="0"/>
          <w:sz w:val="28"/>
          <w:szCs w:val="36"/>
          <w:highlight w:val="none"/>
          <w:lang w:val="en-US" w:eastAsia="zh-CN" w:bidi="zh-CN"/>
        </w:rPr>
        <w:t>遵守</w:t>
      </w:r>
      <w:r>
        <w:rPr>
          <w:rFonts w:hint="eastAsia" w:ascii="宋体" w:hAnsi="宋体" w:eastAsia="仿宋" w:cs="宋体"/>
          <w:snapToGrid w:val="0"/>
          <w:color w:val="auto"/>
          <w:kern w:val="0"/>
          <w:sz w:val="28"/>
          <w:szCs w:val="36"/>
          <w:highlight w:val="none"/>
          <w:lang w:val="zh-CN" w:eastAsia="zh-CN" w:bidi="zh-CN"/>
        </w:rPr>
        <w:t>国家有关法律、法规、规章。</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zh-CN" w:eastAsia="zh-CN" w:bidi="zh-CN"/>
        </w:rPr>
        <w:t>按照唐河县财政局《关于在政府采购活动中试行供应商资格信用承诺制的通知》唐财购[2021]18号的要求，供应商在投标(响应)时，按照规定提供“投标承诺函”(详见采购文件)的，无需再提交上述（3.</w:t>
      </w:r>
      <w:r>
        <w:rPr>
          <w:rFonts w:hint="eastAsia" w:ascii="宋体" w:hAnsi="宋体" w:eastAsia="仿宋" w:cs="宋体"/>
          <w:snapToGrid w:val="0"/>
          <w:color w:val="auto"/>
          <w:kern w:val="0"/>
          <w:sz w:val="28"/>
          <w:szCs w:val="36"/>
          <w:highlight w:val="none"/>
          <w:lang w:val="en-US" w:eastAsia="zh-CN" w:bidi="zh-CN"/>
        </w:rPr>
        <w:t>6</w:t>
      </w:r>
      <w:r>
        <w:rPr>
          <w:rFonts w:hint="eastAsia" w:ascii="宋体" w:hAnsi="宋体" w:eastAsia="仿宋" w:cs="宋体"/>
          <w:snapToGrid w:val="0"/>
          <w:color w:val="auto"/>
          <w:kern w:val="0"/>
          <w:sz w:val="28"/>
          <w:szCs w:val="36"/>
          <w:highlight w:val="none"/>
          <w:lang w:val="zh-CN" w:eastAsia="zh-CN" w:bidi="zh-CN"/>
        </w:rPr>
        <w:t>）、（3.</w:t>
      </w:r>
      <w:r>
        <w:rPr>
          <w:rFonts w:hint="eastAsia" w:ascii="宋体" w:hAnsi="宋体" w:eastAsia="仿宋" w:cs="宋体"/>
          <w:snapToGrid w:val="0"/>
          <w:color w:val="auto"/>
          <w:kern w:val="0"/>
          <w:sz w:val="28"/>
          <w:szCs w:val="36"/>
          <w:highlight w:val="none"/>
          <w:lang w:val="en-US" w:eastAsia="zh-CN" w:bidi="zh-CN"/>
        </w:rPr>
        <w:t>7</w:t>
      </w:r>
      <w:r>
        <w:rPr>
          <w:rFonts w:hint="eastAsia" w:ascii="宋体" w:hAnsi="宋体" w:eastAsia="仿宋" w:cs="宋体"/>
          <w:snapToGrid w:val="0"/>
          <w:color w:val="auto"/>
          <w:kern w:val="0"/>
          <w:sz w:val="28"/>
          <w:szCs w:val="36"/>
          <w:highlight w:val="none"/>
          <w:lang w:val="zh-CN" w:eastAsia="zh-CN" w:bidi="zh-CN"/>
        </w:rPr>
        <w:t>）的证明材料。供应商在中标(成交)后，应将上述由投标承诺函替代的证明材料提交采购人、采购代理机构，证明材料将随公告一并公示。</w:t>
      </w:r>
      <w:r>
        <w:rPr>
          <w:rFonts w:hint="eastAsia" w:ascii="宋体" w:hAnsi="宋体" w:eastAsia="仿宋" w:cs="宋体"/>
          <w:snapToGrid w:val="0"/>
          <w:color w:val="auto"/>
          <w:kern w:val="0"/>
          <w:sz w:val="28"/>
          <w:szCs w:val="36"/>
          <w:highlight w:val="none"/>
          <w:lang w:val="zh-CN" w:eastAsia="zh-CN" w:bidi="zh-CN"/>
        </w:rPr>
        <w:br w:type="textWrapping"/>
      </w:r>
      <w:r>
        <w:rPr>
          <w:rFonts w:hint="eastAsia" w:ascii="宋体" w:hAnsi="宋体" w:eastAsia="仿宋" w:cs="宋体"/>
          <w:snapToGrid w:val="0"/>
          <w:color w:val="auto"/>
          <w:kern w:val="0"/>
          <w:sz w:val="28"/>
          <w:szCs w:val="36"/>
          <w:highlight w:val="none"/>
          <w:lang w:val="zh-CN" w:eastAsia="zh-CN" w:bidi="zh-CN"/>
        </w:rPr>
        <w:t xml:space="preserve">注：本次招标实行资格后审，审查内容以投标截止时间前填报上传全国公共资源交易平台（河南省·南阳市）市场主体库信息为准，过期更改的全国公共资源交易平台（河南省·南阳市）市场主体库信息不作为本项目评审依据。开评标现场不接受全国公共资源交易平台（河南省·南阳市）市场主体库信息原件。全国公共资源交易平台（河南省·南阳市）市场主体库上传信息必须内容齐全，真实有效，原件扫描件清晰可辨。否则，由此造成应得分而未得分或资格审查不合格等情况的，由投标企业承担责任，资格后审不合格的供应商的投标文件将按废标处理。 </w:t>
      </w:r>
    </w:p>
    <w:p w14:paraId="18CBFE64">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三、获取采购文件 </w:t>
      </w:r>
    </w:p>
    <w:p w14:paraId="6B0C017A">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1.时间：</w:t>
      </w:r>
      <w:r>
        <w:rPr>
          <w:rFonts w:hint="eastAsia" w:ascii="宋体" w:hAnsi="宋体" w:eastAsia="仿宋" w:cs="宋体"/>
          <w:color w:val="auto"/>
          <w:sz w:val="28"/>
          <w:szCs w:val="36"/>
          <w:highlight w:val="none"/>
          <w:lang w:val="zh-CN" w:eastAsia="zh-CN" w:bidi="zh-CN"/>
        </w:rPr>
        <w:t>2025年</w:t>
      </w:r>
      <w:r>
        <w:rPr>
          <w:rFonts w:hint="eastAsia" w:ascii="宋体" w:hAnsi="宋体" w:eastAsia="仿宋" w:cs="宋体"/>
          <w:color w:val="auto"/>
          <w:sz w:val="28"/>
          <w:szCs w:val="36"/>
          <w:highlight w:val="none"/>
          <w:lang w:val="en-US" w:eastAsia="zh-CN" w:bidi="zh-CN"/>
        </w:rPr>
        <w:t>8</w:t>
      </w:r>
      <w:r>
        <w:rPr>
          <w:rFonts w:hint="eastAsia" w:ascii="宋体" w:hAnsi="宋体" w:eastAsia="仿宋" w:cs="宋体"/>
          <w:color w:val="auto"/>
          <w:sz w:val="28"/>
          <w:szCs w:val="36"/>
          <w:highlight w:val="none"/>
          <w:lang w:val="zh-CN" w:eastAsia="zh-CN" w:bidi="zh-CN"/>
        </w:rPr>
        <w:t>月</w:t>
      </w:r>
      <w:r>
        <w:rPr>
          <w:rFonts w:hint="eastAsia" w:ascii="宋体" w:hAnsi="宋体" w:eastAsia="仿宋" w:cs="宋体"/>
          <w:color w:val="auto"/>
          <w:sz w:val="28"/>
          <w:szCs w:val="36"/>
          <w:highlight w:val="none"/>
          <w:lang w:val="en-US" w:eastAsia="zh-CN" w:bidi="zh-CN"/>
        </w:rPr>
        <w:t>8</w:t>
      </w:r>
      <w:r>
        <w:rPr>
          <w:rFonts w:hint="eastAsia" w:ascii="宋体" w:hAnsi="宋体" w:eastAsia="仿宋" w:cs="宋体"/>
          <w:color w:val="auto"/>
          <w:sz w:val="28"/>
          <w:szCs w:val="36"/>
          <w:highlight w:val="none"/>
          <w:lang w:val="zh-CN" w:eastAsia="zh-CN" w:bidi="zh-CN"/>
        </w:rPr>
        <w:t>日至2025年</w:t>
      </w:r>
      <w:r>
        <w:rPr>
          <w:rFonts w:hint="eastAsia" w:ascii="宋体" w:hAnsi="宋体" w:eastAsia="仿宋" w:cs="宋体"/>
          <w:color w:val="auto"/>
          <w:sz w:val="28"/>
          <w:szCs w:val="36"/>
          <w:highlight w:val="none"/>
          <w:lang w:val="en-US" w:eastAsia="zh-CN" w:bidi="zh-CN"/>
        </w:rPr>
        <w:t>8</w:t>
      </w:r>
      <w:r>
        <w:rPr>
          <w:rFonts w:hint="eastAsia" w:ascii="宋体" w:hAnsi="宋体" w:eastAsia="仿宋" w:cs="宋体"/>
          <w:color w:val="auto"/>
          <w:sz w:val="28"/>
          <w:szCs w:val="36"/>
          <w:highlight w:val="none"/>
          <w:lang w:val="zh-CN" w:eastAsia="zh-CN" w:bidi="zh-CN"/>
        </w:rPr>
        <w:t>月</w:t>
      </w:r>
      <w:r>
        <w:rPr>
          <w:rFonts w:hint="eastAsia" w:ascii="宋体" w:hAnsi="宋体" w:eastAsia="仿宋" w:cs="宋体"/>
          <w:color w:val="auto"/>
          <w:sz w:val="28"/>
          <w:szCs w:val="36"/>
          <w:highlight w:val="none"/>
          <w:lang w:val="en-US" w:eastAsia="zh-CN" w:bidi="zh-CN"/>
        </w:rPr>
        <w:t>15</w:t>
      </w:r>
      <w:r>
        <w:rPr>
          <w:rFonts w:hint="eastAsia" w:ascii="宋体" w:hAnsi="宋体" w:eastAsia="仿宋" w:cs="宋体"/>
          <w:color w:val="auto"/>
          <w:sz w:val="28"/>
          <w:szCs w:val="36"/>
          <w:highlight w:val="none"/>
          <w:lang w:val="zh-CN" w:eastAsia="zh-CN" w:bidi="zh-CN"/>
        </w:rPr>
        <w:t>日，每天上午</w:t>
      </w:r>
      <w:r>
        <w:rPr>
          <w:rFonts w:hint="eastAsia" w:ascii="宋体" w:hAnsi="宋体" w:eastAsia="仿宋" w:cs="宋体"/>
          <w:color w:val="auto"/>
          <w:sz w:val="28"/>
          <w:szCs w:val="36"/>
          <w:highlight w:val="none"/>
          <w:lang w:val="en-US" w:eastAsia="zh-CN" w:bidi="zh-CN"/>
        </w:rPr>
        <w:t>10</w:t>
      </w:r>
      <w:r>
        <w:rPr>
          <w:rFonts w:hint="eastAsia" w:ascii="宋体" w:hAnsi="宋体" w:eastAsia="仿宋" w:cs="宋体"/>
          <w:color w:val="auto"/>
          <w:sz w:val="28"/>
          <w:szCs w:val="36"/>
          <w:highlight w:val="none"/>
          <w:lang w:val="zh-CN" w:eastAsia="zh-CN" w:bidi="zh-CN"/>
        </w:rPr>
        <w:t>:00至12:00，下午12:00至</w:t>
      </w:r>
      <w:r>
        <w:rPr>
          <w:rFonts w:hint="eastAsia" w:ascii="宋体" w:hAnsi="宋体" w:eastAsia="仿宋" w:cs="宋体"/>
          <w:color w:val="auto"/>
          <w:sz w:val="28"/>
          <w:szCs w:val="36"/>
          <w:highlight w:val="none"/>
          <w:lang w:val="en-US" w:eastAsia="zh-CN" w:bidi="zh-CN"/>
        </w:rPr>
        <w:t>23</w:t>
      </w:r>
      <w:r>
        <w:rPr>
          <w:rFonts w:hint="eastAsia" w:ascii="宋体" w:hAnsi="宋体" w:eastAsia="仿宋" w:cs="宋体"/>
          <w:color w:val="auto"/>
          <w:sz w:val="28"/>
          <w:szCs w:val="36"/>
          <w:highlight w:val="none"/>
          <w:lang w:val="zh-CN" w:eastAsia="zh-CN" w:bidi="zh-CN"/>
        </w:rPr>
        <w:t>:</w:t>
      </w:r>
      <w:r>
        <w:rPr>
          <w:rFonts w:hint="eastAsia" w:ascii="宋体" w:hAnsi="宋体" w:eastAsia="仿宋" w:cs="宋体"/>
          <w:color w:val="auto"/>
          <w:sz w:val="28"/>
          <w:szCs w:val="36"/>
          <w:highlight w:val="none"/>
          <w:lang w:val="en-US" w:eastAsia="zh-CN" w:bidi="zh-CN"/>
        </w:rPr>
        <w:t>59</w:t>
      </w:r>
      <w:r>
        <w:rPr>
          <w:rFonts w:hint="eastAsia" w:ascii="宋体" w:hAnsi="宋体" w:eastAsia="仿宋" w:cs="宋体"/>
          <w:color w:val="auto"/>
          <w:sz w:val="28"/>
          <w:szCs w:val="36"/>
          <w:highlight w:val="none"/>
          <w:lang w:val="zh-CN" w:eastAsia="zh-CN" w:bidi="zh-CN"/>
        </w:rPr>
        <w:t xml:space="preserve">（北京时间，法定节假日除外。） </w:t>
      </w:r>
    </w:p>
    <w:p w14:paraId="6E09F6D6">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2.地点：</w:t>
      </w:r>
      <w:r>
        <w:rPr>
          <w:rFonts w:hint="eastAsia" w:ascii="宋体" w:hAnsi="宋体" w:eastAsia="仿宋" w:cs="宋体"/>
          <w:color w:val="auto"/>
          <w:sz w:val="28"/>
          <w:szCs w:val="36"/>
          <w:highlight w:val="none"/>
          <w:lang w:val="zh-CN" w:eastAsia="zh-CN" w:bidi="zh-CN"/>
        </w:rPr>
        <w:t xml:space="preserve">全国公共资源交易平台（河南省·南阳唐河分平台）http://ggzyjy.tanghe.gov.cn； </w:t>
      </w:r>
    </w:p>
    <w:p w14:paraId="3879CE6E">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3.方式：</w:t>
      </w:r>
      <w:r>
        <w:rPr>
          <w:rFonts w:hint="eastAsia" w:ascii="宋体" w:hAnsi="宋体" w:eastAsia="仿宋" w:cs="宋体"/>
          <w:color w:val="auto"/>
          <w:sz w:val="28"/>
          <w:szCs w:val="36"/>
          <w:highlight w:val="none"/>
          <w:lang w:val="zh-CN" w:eastAsia="zh-CN" w:bidi="zh-CN"/>
        </w:rPr>
        <w:t xml:space="preserve">网上下载，潜在供应商在全国公共资源交易平台（河南省·南阳唐河分平台）http://ggzyjy.tanghe.gov.cn首页“交易平台登录”按网上提示下载采购文件(*.nyzf 格式)及资料（操作程序详见交易平台网站下载专区或交易平台技术支持0512-58188538）； </w:t>
      </w:r>
    </w:p>
    <w:p w14:paraId="6880A687">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4.售价：</w:t>
      </w:r>
      <w:r>
        <w:rPr>
          <w:rFonts w:hint="eastAsia" w:ascii="宋体" w:hAnsi="宋体" w:eastAsia="仿宋" w:cs="宋体"/>
          <w:color w:val="auto"/>
          <w:sz w:val="28"/>
          <w:szCs w:val="36"/>
          <w:highlight w:val="none"/>
          <w:lang w:val="zh-CN" w:eastAsia="zh-CN" w:bidi="zh-CN"/>
        </w:rPr>
        <w:t xml:space="preserve">0元 </w:t>
      </w:r>
    </w:p>
    <w:p w14:paraId="7BE83844">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四、响应文件提交 </w:t>
      </w:r>
    </w:p>
    <w:p w14:paraId="1C5E83B0">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1.截止时间：</w:t>
      </w:r>
      <w:r>
        <w:rPr>
          <w:rFonts w:hint="eastAsia" w:ascii="宋体" w:hAnsi="宋体" w:eastAsia="仿宋" w:cs="宋体"/>
          <w:color w:val="auto"/>
          <w:sz w:val="28"/>
          <w:szCs w:val="36"/>
          <w:highlight w:val="none"/>
          <w:lang w:val="zh-CN" w:eastAsia="zh-CN" w:bidi="zh-CN"/>
        </w:rPr>
        <w:t>2025年</w:t>
      </w:r>
      <w:r>
        <w:rPr>
          <w:rFonts w:hint="eastAsia" w:ascii="宋体" w:hAnsi="宋体" w:eastAsia="仿宋" w:cs="宋体"/>
          <w:color w:val="auto"/>
          <w:sz w:val="28"/>
          <w:szCs w:val="36"/>
          <w:highlight w:val="none"/>
          <w:lang w:val="en-US" w:eastAsia="zh-CN" w:bidi="zh-CN"/>
        </w:rPr>
        <w:t>8</w:t>
      </w:r>
      <w:r>
        <w:rPr>
          <w:rFonts w:hint="eastAsia" w:ascii="宋体" w:hAnsi="宋体" w:eastAsia="仿宋" w:cs="宋体"/>
          <w:color w:val="auto"/>
          <w:sz w:val="28"/>
          <w:szCs w:val="36"/>
          <w:highlight w:val="none"/>
          <w:lang w:val="zh-CN" w:eastAsia="zh-CN" w:bidi="zh-CN"/>
        </w:rPr>
        <w:t>月</w:t>
      </w:r>
      <w:r>
        <w:rPr>
          <w:rFonts w:hint="eastAsia" w:ascii="宋体" w:hAnsi="宋体" w:eastAsia="仿宋" w:cs="宋体"/>
          <w:color w:val="auto"/>
          <w:sz w:val="28"/>
          <w:szCs w:val="36"/>
          <w:highlight w:val="none"/>
          <w:lang w:val="en-US" w:eastAsia="zh-CN" w:bidi="zh-CN"/>
        </w:rPr>
        <w:t>27</w:t>
      </w:r>
      <w:r>
        <w:rPr>
          <w:rFonts w:hint="eastAsia" w:ascii="宋体" w:hAnsi="宋体" w:eastAsia="仿宋" w:cs="宋体"/>
          <w:color w:val="auto"/>
          <w:sz w:val="28"/>
          <w:szCs w:val="36"/>
          <w:highlight w:val="none"/>
          <w:lang w:val="zh-CN" w:eastAsia="zh-CN" w:bidi="zh-CN"/>
        </w:rPr>
        <w:t xml:space="preserve">日09时30分（北京时间） </w:t>
      </w:r>
    </w:p>
    <w:p w14:paraId="311C53EA">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2.地点：</w:t>
      </w:r>
      <w:r>
        <w:rPr>
          <w:rFonts w:hint="eastAsia" w:ascii="宋体" w:hAnsi="宋体" w:eastAsia="仿宋" w:cs="宋体"/>
          <w:color w:val="auto"/>
          <w:sz w:val="28"/>
          <w:szCs w:val="36"/>
          <w:highlight w:val="none"/>
          <w:lang w:val="zh-CN" w:eastAsia="zh-CN" w:bidi="zh-CN"/>
        </w:rPr>
        <w:t xml:space="preserve">全国公共资源交易平台（河南省·南阳唐河分平台），加密版响应文件应在磋商文件规定的响应文件提交截止时间前上传至交易系统，逾期上传交易系统或未上传成功的电子投标文件视为放弃本次投标。 </w:t>
      </w:r>
    </w:p>
    <w:p w14:paraId="2D6550FD">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五、响应文件开启 </w:t>
      </w:r>
    </w:p>
    <w:p w14:paraId="1432489C">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1.时间：</w:t>
      </w:r>
      <w:r>
        <w:rPr>
          <w:rFonts w:hint="eastAsia" w:ascii="宋体" w:hAnsi="宋体" w:eastAsia="仿宋" w:cs="宋体"/>
          <w:color w:val="auto"/>
          <w:sz w:val="28"/>
          <w:szCs w:val="36"/>
          <w:highlight w:val="none"/>
          <w:lang w:val="zh-CN" w:eastAsia="zh-CN" w:bidi="zh-CN"/>
        </w:rPr>
        <w:t>2025年</w:t>
      </w:r>
      <w:r>
        <w:rPr>
          <w:rFonts w:hint="eastAsia" w:ascii="宋体" w:hAnsi="宋体" w:eastAsia="仿宋" w:cs="宋体"/>
          <w:color w:val="auto"/>
          <w:sz w:val="28"/>
          <w:szCs w:val="36"/>
          <w:highlight w:val="none"/>
          <w:lang w:val="en-US" w:eastAsia="zh-CN" w:bidi="zh-CN"/>
        </w:rPr>
        <w:t>8</w:t>
      </w:r>
      <w:r>
        <w:rPr>
          <w:rFonts w:hint="eastAsia" w:ascii="宋体" w:hAnsi="宋体" w:eastAsia="仿宋" w:cs="宋体"/>
          <w:color w:val="auto"/>
          <w:sz w:val="28"/>
          <w:szCs w:val="36"/>
          <w:highlight w:val="none"/>
          <w:lang w:val="zh-CN" w:eastAsia="zh-CN" w:bidi="zh-CN"/>
        </w:rPr>
        <w:t>月</w:t>
      </w:r>
      <w:r>
        <w:rPr>
          <w:rFonts w:hint="eastAsia" w:ascii="宋体" w:hAnsi="宋体" w:eastAsia="仿宋" w:cs="宋体"/>
          <w:color w:val="auto"/>
          <w:sz w:val="28"/>
          <w:szCs w:val="36"/>
          <w:highlight w:val="none"/>
          <w:lang w:val="en-US" w:eastAsia="zh-CN" w:bidi="zh-CN"/>
        </w:rPr>
        <w:t>27</w:t>
      </w:r>
      <w:r>
        <w:rPr>
          <w:rFonts w:hint="eastAsia" w:ascii="宋体" w:hAnsi="宋体" w:eastAsia="仿宋" w:cs="宋体"/>
          <w:color w:val="auto"/>
          <w:sz w:val="28"/>
          <w:szCs w:val="36"/>
          <w:highlight w:val="none"/>
          <w:lang w:val="zh-CN" w:eastAsia="zh-CN" w:bidi="zh-CN"/>
        </w:rPr>
        <w:t xml:space="preserve">日09时30分（北京时间） </w:t>
      </w:r>
    </w:p>
    <w:p w14:paraId="139E6A28">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kern w:val="0"/>
          <w:sz w:val="28"/>
          <w:szCs w:val="36"/>
          <w:highlight w:val="none"/>
          <w:lang w:val="zh-CN" w:eastAsia="zh-CN" w:bidi="zh-CN"/>
        </w:rPr>
        <w:t>2.地点：</w:t>
      </w:r>
      <w:r>
        <w:rPr>
          <w:rFonts w:hint="eastAsia" w:ascii="宋体" w:hAnsi="宋体" w:eastAsia="仿宋" w:cs="宋体"/>
          <w:color w:val="auto"/>
          <w:sz w:val="28"/>
          <w:szCs w:val="36"/>
          <w:highlight w:val="none"/>
          <w:lang w:val="zh-CN" w:eastAsia="zh-CN" w:bidi="zh-CN"/>
        </w:rPr>
        <w:t xml:space="preserve">全国公共资源交易平台（河南省·南阳唐河分平台）不见面开标大厅，本项目采用网上不见面方式开标，投标企业无需到达开标现场。 </w:t>
      </w:r>
    </w:p>
    <w:p w14:paraId="2FBE293C">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六、发布公告的媒介及招标公告期限 </w:t>
      </w:r>
    </w:p>
    <w:p w14:paraId="1D0F5E7A">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本次招标公告在《河南省政府采购网》、《南阳市政府采购网》、《全国公共资源交易平台（河南省·南阳唐河分平台）》上发布， 招标公告期限为三个工作日 。  </w:t>
      </w:r>
    </w:p>
    <w:p w14:paraId="0ED9742C">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七、其他补充事宜 </w:t>
      </w:r>
    </w:p>
    <w:p w14:paraId="55136211">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1、本项目为电子评标项目，供应商须上传加密电子响应文件。电子响应文件需要使用“新点投标文件制作软件(南阳版)”制作(加密电子响应文件格式后缀为.nytf)。制作工具及操作手册可在全国公共资源交易平台（河南省·南阳市）下载专区下载。</w:t>
      </w:r>
    </w:p>
    <w:p w14:paraId="5AF54EF7">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2、该项目需要使用不见面开标，供应商无需前往现场来参与投标。各供应商根据手册要求，提前做好相关准备工作。附件：操作手册地址(下载中心或办事指南中自行下载)、不见面开标大厅地址：全国公共资源交易平台（河南省·南阳唐河分平台）网站首页“不见面开标大厅”模块。</w:t>
      </w:r>
    </w:p>
    <w:p w14:paraId="5B685D30">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3、该项目自行上传响应文件，无需寄送和递交非加密响应文件光盘等。</w:t>
      </w:r>
    </w:p>
    <w:p w14:paraId="32C11B25">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4、因供应商无需现场参与开标，所有准备工作需自行准备到位。开标过程中如遇到紧急事项，可在不见面开标大厅中进行提出异议或文字交流，严重问题可拨打现场技术电话：0512-58188538。</w:t>
      </w:r>
    </w:p>
    <w:p w14:paraId="5E6A2D2A">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5、网上不见面开标过程中，如供应商准备不到位，造成无法及时解密、网络问题等情况使开标无法继续的，视为该供应商自动放弃投标(30分钟内)，将被退回响应文件，后果由投标企业自行承担。</w:t>
      </w:r>
    </w:p>
    <w:p w14:paraId="58B40ADC">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6、电子响应文件应在竞争性磋商文件规定的投标截止时间前到达交易系统。逾期到达交易系统的电子响应文件视为放弃本次投标。 </w:t>
      </w:r>
    </w:p>
    <w:p w14:paraId="6EF419EB">
      <w:pPr>
        <w:widowControl w:val="0"/>
        <w:autoSpaceDE w:val="0"/>
        <w:autoSpaceDN w:val="0"/>
        <w:spacing w:before="0" w:after="0" w:line="360" w:lineRule="auto"/>
        <w:ind w:left="0" w:right="0"/>
        <w:jc w:val="both"/>
        <w:rPr>
          <w:rFonts w:hint="eastAsia" w:ascii="宋体" w:hAnsi="宋体" w:eastAsia="仿宋" w:cs="宋体"/>
          <w:b/>
          <w:bCs/>
          <w:color w:val="auto"/>
          <w:sz w:val="28"/>
          <w:szCs w:val="36"/>
          <w:highlight w:val="none"/>
          <w:lang w:val="zh-CN" w:eastAsia="zh-CN" w:bidi="zh-CN"/>
        </w:rPr>
      </w:pPr>
      <w:r>
        <w:rPr>
          <w:rFonts w:hint="eastAsia" w:ascii="宋体" w:hAnsi="宋体" w:eastAsia="仿宋" w:cs="宋体"/>
          <w:b/>
          <w:bCs/>
          <w:color w:val="auto"/>
          <w:sz w:val="28"/>
          <w:szCs w:val="36"/>
          <w:highlight w:val="none"/>
          <w:lang w:val="zh-CN" w:eastAsia="zh-CN" w:bidi="zh-CN"/>
        </w:rPr>
        <w:t xml:space="preserve">八、凡对本次招标提出询问，请按照以下方式联系 </w:t>
      </w:r>
    </w:p>
    <w:p w14:paraId="5BB70C19">
      <w:pPr>
        <w:widowControl w:val="0"/>
        <w:autoSpaceDE w:val="0"/>
        <w:autoSpaceDN w:val="0"/>
        <w:spacing w:before="0" w:after="0" w:line="360" w:lineRule="auto"/>
        <w:ind w:left="0" w:right="0"/>
        <w:jc w:val="both"/>
        <w:rPr>
          <w:rFonts w:hint="eastAsia" w:ascii="宋体" w:hAnsi="宋体" w:eastAsia="仿宋" w:cs="宋体"/>
          <w:b/>
          <w:color w:val="auto"/>
          <w:sz w:val="28"/>
          <w:szCs w:val="36"/>
          <w:highlight w:val="none"/>
          <w:lang w:val="zh-CN" w:eastAsia="zh-CN" w:bidi="zh-CN"/>
        </w:rPr>
      </w:pPr>
      <w:r>
        <w:rPr>
          <w:rFonts w:hint="eastAsia" w:ascii="宋体" w:hAnsi="宋体" w:eastAsia="仿宋" w:cs="宋体"/>
          <w:b/>
          <w:color w:val="auto"/>
          <w:sz w:val="28"/>
          <w:szCs w:val="36"/>
          <w:highlight w:val="none"/>
          <w:lang w:val="zh-CN" w:eastAsia="zh-CN" w:bidi="zh-CN"/>
        </w:rPr>
        <w:t xml:space="preserve">1. 采购人信息 </w:t>
      </w:r>
    </w:p>
    <w:p w14:paraId="02565C0B">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名称：唐河县水利局 </w:t>
      </w:r>
    </w:p>
    <w:p w14:paraId="0E8B881B">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地址：唐河县凤山路 </w:t>
      </w:r>
    </w:p>
    <w:p w14:paraId="01AB84E9">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联系人：</w:t>
      </w:r>
      <w:r>
        <w:rPr>
          <w:rFonts w:hint="eastAsia" w:ascii="宋体" w:hAnsi="宋体" w:eastAsia="仿宋" w:cs="宋体"/>
          <w:color w:val="auto"/>
          <w:sz w:val="28"/>
          <w:szCs w:val="36"/>
          <w:highlight w:val="none"/>
          <w:lang w:val="en-US" w:eastAsia="zh-CN" w:bidi="zh-CN"/>
        </w:rPr>
        <w:t>王先生</w:t>
      </w:r>
      <w:r>
        <w:rPr>
          <w:rFonts w:hint="eastAsia" w:ascii="宋体" w:hAnsi="宋体" w:eastAsia="仿宋" w:cs="宋体"/>
          <w:color w:val="auto"/>
          <w:sz w:val="28"/>
          <w:szCs w:val="36"/>
          <w:highlight w:val="none"/>
          <w:lang w:val="zh-CN" w:eastAsia="zh-CN" w:bidi="zh-CN"/>
        </w:rPr>
        <w:t xml:space="preserve"> </w:t>
      </w:r>
    </w:p>
    <w:p w14:paraId="444A7B98">
      <w:pPr>
        <w:widowControl w:val="0"/>
        <w:autoSpaceDE w:val="0"/>
        <w:autoSpaceDN w:val="0"/>
        <w:spacing w:before="0" w:after="0" w:line="360" w:lineRule="auto"/>
        <w:ind w:left="0" w:right="0"/>
        <w:jc w:val="both"/>
        <w:rPr>
          <w:rFonts w:hint="default" w:ascii="宋体" w:hAnsi="宋体" w:eastAsia="仿宋" w:cs="宋体"/>
          <w:color w:val="auto"/>
          <w:sz w:val="28"/>
          <w:szCs w:val="36"/>
          <w:highlight w:val="none"/>
          <w:lang w:val="en-US" w:eastAsia="zh-CN" w:bidi="zh-CN"/>
        </w:rPr>
      </w:pPr>
      <w:r>
        <w:rPr>
          <w:rFonts w:hint="eastAsia" w:ascii="宋体" w:hAnsi="宋体" w:eastAsia="仿宋" w:cs="宋体"/>
          <w:color w:val="auto"/>
          <w:sz w:val="28"/>
          <w:szCs w:val="36"/>
          <w:highlight w:val="none"/>
          <w:lang w:val="zh-CN" w:eastAsia="zh-CN" w:bidi="zh-CN"/>
        </w:rPr>
        <w:t>联系方式：</w:t>
      </w:r>
      <w:r>
        <w:rPr>
          <w:rFonts w:hint="eastAsia" w:ascii="宋体" w:hAnsi="宋体" w:eastAsia="仿宋" w:cs="宋体"/>
          <w:color w:val="auto"/>
          <w:sz w:val="28"/>
          <w:szCs w:val="36"/>
          <w:highlight w:val="none"/>
          <w:lang w:val="en-US" w:eastAsia="zh-CN" w:bidi="zh-CN"/>
        </w:rPr>
        <w:t>18037715922</w:t>
      </w:r>
    </w:p>
    <w:p w14:paraId="664F2C4C">
      <w:pPr>
        <w:widowControl w:val="0"/>
        <w:autoSpaceDE w:val="0"/>
        <w:autoSpaceDN w:val="0"/>
        <w:spacing w:before="0" w:after="0" w:line="360" w:lineRule="auto"/>
        <w:ind w:left="0" w:right="0"/>
        <w:jc w:val="both"/>
        <w:rPr>
          <w:rFonts w:hint="eastAsia" w:ascii="宋体" w:hAnsi="宋体" w:eastAsia="仿宋" w:cs="宋体"/>
          <w:b/>
          <w:color w:val="auto"/>
          <w:sz w:val="28"/>
          <w:szCs w:val="36"/>
          <w:highlight w:val="none"/>
          <w:lang w:val="zh-CN" w:eastAsia="zh-CN" w:bidi="zh-CN"/>
        </w:rPr>
      </w:pPr>
      <w:r>
        <w:rPr>
          <w:rFonts w:hint="eastAsia" w:ascii="宋体" w:hAnsi="宋体" w:eastAsia="仿宋" w:cs="宋体"/>
          <w:b/>
          <w:color w:val="auto"/>
          <w:sz w:val="28"/>
          <w:szCs w:val="36"/>
          <w:highlight w:val="none"/>
          <w:lang w:val="zh-CN" w:eastAsia="zh-CN" w:bidi="zh-CN"/>
        </w:rPr>
        <w:t xml:space="preserve">2.采购代理机构信息（如有） </w:t>
      </w:r>
    </w:p>
    <w:p w14:paraId="0C833C45">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名称：唐河县龙建工程管理有限公司 </w:t>
      </w:r>
    </w:p>
    <w:p w14:paraId="25D8FCBB">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地址：唐河县文峰街道飞凤路飞凤游园管理楼二楼 </w:t>
      </w:r>
    </w:p>
    <w:p w14:paraId="3F9C2045">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联系人：</w:t>
      </w:r>
      <w:r>
        <w:rPr>
          <w:rFonts w:hint="eastAsia" w:ascii="宋体" w:hAnsi="宋体" w:eastAsia="仿宋" w:cs="宋体"/>
          <w:color w:val="auto"/>
          <w:sz w:val="28"/>
          <w:szCs w:val="36"/>
          <w:highlight w:val="none"/>
          <w:lang w:val="en-US" w:eastAsia="zh-CN" w:bidi="zh-CN"/>
        </w:rPr>
        <w:t>白</w:t>
      </w:r>
      <w:r>
        <w:rPr>
          <w:rFonts w:hint="eastAsia" w:ascii="宋体" w:hAnsi="宋体" w:eastAsia="仿宋" w:cs="宋体"/>
          <w:color w:val="auto"/>
          <w:sz w:val="28"/>
          <w:szCs w:val="36"/>
          <w:highlight w:val="none"/>
          <w:lang w:val="zh-CN" w:eastAsia="zh-CN" w:bidi="zh-CN"/>
        </w:rPr>
        <w:t xml:space="preserve">女士 </w:t>
      </w:r>
    </w:p>
    <w:p w14:paraId="34AC463B">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 xml:space="preserve">联系方式：0377-60888961 </w:t>
      </w:r>
    </w:p>
    <w:p w14:paraId="48932823">
      <w:pPr>
        <w:widowControl w:val="0"/>
        <w:autoSpaceDE w:val="0"/>
        <w:autoSpaceDN w:val="0"/>
        <w:spacing w:before="0" w:after="0" w:line="360" w:lineRule="auto"/>
        <w:ind w:left="0" w:right="0"/>
        <w:jc w:val="both"/>
        <w:rPr>
          <w:rFonts w:hint="eastAsia" w:ascii="宋体" w:hAnsi="宋体" w:eastAsia="仿宋" w:cs="宋体"/>
          <w:b/>
          <w:color w:val="auto"/>
          <w:sz w:val="28"/>
          <w:szCs w:val="36"/>
          <w:highlight w:val="none"/>
          <w:lang w:val="zh-CN" w:eastAsia="zh-CN" w:bidi="zh-CN"/>
        </w:rPr>
      </w:pPr>
      <w:r>
        <w:rPr>
          <w:rFonts w:hint="eastAsia" w:ascii="宋体" w:hAnsi="宋体" w:eastAsia="仿宋" w:cs="宋体"/>
          <w:b/>
          <w:color w:val="auto"/>
          <w:sz w:val="28"/>
          <w:szCs w:val="36"/>
          <w:highlight w:val="none"/>
          <w:lang w:val="zh-CN" w:eastAsia="zh-CN" w:bidi="zh-CN"/>
        </w:rPr>
        <w:t xml:space="preserve">3.项目联系方式 </w:t>
      </w:r>
    </w:p>
    <w:p w14:paraId="36A5A18A">
      <w:pPr>
        <w:widowControl w:val="0"/>
        <w:autoSpaceDE w:val="0"/>
        <w:autoSpaceDN w:val="0"/>
        <w:spacing w:before="0" w:after="0" w:line="360" w:lineRule="auto"/>
        <w:ind w:left="0" w:right="0"/>
        <w:jc w:val="both"/>
        <w:rPr>
          <w:rFonts w:hint="eastAsia" w:ascii="宋体" w:hAnsi="宋体" w:eastAsia="仿宋" w:cs="宋体"/>
          <w:color w:val="auto"/>
          <w:sz w:val="28"/>
          <w:szCs w:val="36"/>
          <w:highlight w:val="none"/>
          <w:lang w:val="zh-CN" w:eastAsia="zh-CN" w:bidi="zh-CN"/>
        </w:rPr>
      </w:pPr>
      <w:r>
        <w:rPr>
          <w:rFonts w:hint="eastAsia" w:ascii="宋体" w:hAnsi="宋体" w:eastAsia="仿宋" w:cs="宋体"/>
          <w:color w:val="auto"/>
          <w:sz w:val="28"/>
          <w:szCs w:val="36"/>
          <w:highlight w:val="none"/>
          <w:lang w:val="zh-CN" w:eastAsia="zh-CN" w:bidi="zh-CN"/>
        </w:rPr>
        <w:t>项目联系人：</w:t>
      </w:r>
      <w:r>
        <w:rPr>
          <w:rFonts w:hint="eastAsia" w:ascii="宋体" w:hAnsi="宋体" w:eastAsia="仿宋" w:cs="宋体"/>
          <w:color w:val="auto"/>
          <w:sz w:val="28"/>
          <w:szCs w:val="36"/>
          <w:highlight w:val="none"/>
          <w:lang w:val="en-US" w:eastAsia="zh-CN" w:bidi="zh-CN"/>
        </w:rPr>
        <w:t>白</w:t>
      </w:r>
      <w:r>
        <w:rPr>
          <w:rFonts w:hint="eastAsia" w:ascii="宋体" w:hAnsi="宋体" w:eastAsia="仿宋" w:cs="宋体"/>
          <w:color w:val="auto"/>
          <w:sz w:val="28"/>
          <w:szCs w:val="36"/>
          <w:highlight w:val="none"/>
          <w:lang w:val="zh-CN" w:eastAsia="zh-CN" w:bidi="zh-CN"/>
        </w:rPr>
        <w:t xml:space="preserve">女士 </w:t>
      </w:r>
    </w:p>
    <w:p w14:paraId="470F89C8">
      <w:pPr>
        <w:pStyle w:val="25"/>
        <w:rPr>
          <w:rFonts w:hint="eastAsia"/>
          <w:color w:val="auto"/>
          <w:highlight w:val="none"/>
        </w:rPr>
      </w:pPr>
      <w:r>
        <w:rPr>
          <w:rFonts w:hint="eastAsia" w:ascii="宋体" w:hAnsi="宋体" w:eastAsia="仿宋" w:cs="宋体"/>
          <w:color w:val="auto"/>
          <w:sz w:val="28"/>
          <w:szCs w:val="36"/>
          <w:highlight w:val="none"/>
          <w:lang w:val="zh-CN" w:eastAsia="zh-CN" w:bidi="zh-CN"/>
        </w:rPr>
        <w:t xml:space="preserve">联系方式：0377-60888961 </w:t>
      </w:r>
    </w:p>
    <w:p w14:paraId="5F24B469">
      <w:pPr>
        <w:bidi w:val="0"/>
        <w:rPr>
          <w:rFonts w:hint="eastAsia"/>
          <w:color w:val="auto"/>
          <w:highlight w:val="none"/>
        </w:rPr>
      </w:pPr>
      <w:bookmarkStart w:id="2" w:name="_Toc29153"/>
    </w:p>
    <w:p w14:paraId="1E681ADE">
      <w:pPr>
        <w:bidi w:val="0"/>
        <w:rPr>
          <w:rFonts w:hint="eastAsia"/>
          <w:color w:val="auto"/>
          <w:highlight w:val="none"/>
        </w:rPr>
      </w:pPr>
    </w:p>
    <w:p w14:paraId="6B87AA6F">
      <w:pPr>
        <w:bidi w:val="0"/>
        <w:rPr>
          <w:rFonts w:hint="eastAsia"/>
          <w:color w:val="auto"/>
          <w:highlight w:val="none"/>
        </w:rPr>
      </w:pPr>
    </w:p>
    <w:p w14:paraId="0647AF3F">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307369A">
      <w:pPr>
        <w:rPr>
          <w:rFonts w:hint="eastAsia"/>
          <w:color w:val="auto"/>
          <w:highlight w:val="none"/>
        </w:rPr>
      </w:pPr>
    </w:p>
    <w:p w14:paraId="6FF3E167">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43C203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bookmarkEnd w:id="2"/>
    </w:p>
    <w:p w14:paraId="15A4A163">
      <w:pPr>
        <w:pStyle w:val="16"/>
        <w:numPr>
          <w:ilvl w:val="0"/>
          <w:numId w:val="1"/>
        </w:numPr>
        <w:spacing w:line="360" w:lineRule="auto"/>
        <w:rPr>
          <w:rStyle w:val="23"/>
          <w:rFonts w:hint="eastAsia" w:ascii="仿宋" w:hAnsi="仿宋" w:eastAsia="仿宋" w:cs="仿宋"/>
          <w:b/>
          <w:bCs/>
          <w:color w:val="auto"/>
          <w:sz w:val="28"/>
          <w:szCs w:val="24"/>
          <w:highlight w:val="none"/>
          <w:lang w:val="en-US" w:eastAsia="zh-CN"/>
        </w:rPr>
      </w:pPr>
      <w:r>
        <w:rPr>
          <w:rStyle w:val="23"/>
          <w:rFonts w:hint="eastAsia" w:ascii="仿宋" w:hAnsi="仿宋" w:eastAsia="仿宋" w:cs="仿宋"/>
          <w:b/>
          <w:bCs/>
          <w:color w:val="auto"/>
          <w:sz w:val="28"/>
          <w:szCs w:val="24"/>
          <w:highlight w:val="none"/>
          <w:lang w:val="en-US" w:eastAsia="zh-CN"/>
        </w:rPr>
        <w:t>项目概况：</w:t>
      </w:r>
    </w:p>
    <w:p w14:paraId="73C5B958">
      <w:pPr>
        <w:pStyle w:val="16"/>
        <w:widowControl w:val="0"/>
        <w:numPr>
          <w:ilvl w:val="0"/>
          <w:numId w:val="2"/>
        </w:numPr>
        <w:spacing w:after="120" w:afterLines="0" w:afterAutospacing="0" w:line="360" w:lineRule="auto"/>
        <w:ind w:left="-210" w:leftChars="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项目名称：唐河县水利局倪河水库大坝安全鉴定项目</w:t>
      </w:r>
    </w:p>
    <w:p w14:paraId="65683379">
      <w:pPr>
        <w:pStyle w:val="16"/>
        <w:widowControl w:val="0"/>
        <w:numPr>
          <w:ilvl w:val="0"/>
          <w:numId w:val="2"/>
        </w:numPr>
        <w:spacing w:after="120" w:afterLines="0" w:afterAutospacing="0" w:line="360" w:lineRule="auto"/>
        <w:ind w:left="-210" w:leftChars="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实施地点：唐河县倪河水库</w:t>
      </w:r>
    </w:p>
    <w:p w14:paraId="796D034D">
      <w:pPr>
        <w:pStyle w:val="16"/>
        <w:widowControl w:val="0"/>
        <w:numPr>
          <w:ilvl w:val="0"/>
          <w:numId w:val="2"/>
        </w:numPr>
        <w:spacing w:after="120" w:afterLines="0" w:afterAutospacing="0" w:line="360" w:lineRule="auto"/>
        <w:ind w:left="-210" w:leftChars="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项目预算金额：40万元</w:t>
      </w:r>
    </w:p>
    <w:p w14:paraId="736485CB">
      <w:pPr>
        <w:pStyle w:val="16"/>
        <w:widowControl w:val="0"/>
        <w:numPr>
          <w:ilvl w:val="0"/>
          <w:numId w:val="2"/>
        </w:numPr>
        <w:spacing w:after="120" w:afterLines="0" w:afterAutospacing="0" w:line="360" w:lineRule="auto"/>
        <w:ind w:left="-210" w:leftChars="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项目服务期：合同签订后60日历天内；</w:t>
      </w:r>
    </w:p>
    <w:p w14:paraId="16FE4B41">
      <w:pPr>
        <w:pStyle w:val="16"/>
        <w:widowControl w:val="0"/>
        <w:numPr>
          <w:ilvl w:val="0"/>
          <w:numId w:val="2"/>
        </w:numPr>
        <w:spacing w:after="120" w:afterLines="0" w:afterAutospacing="0" w:line="360" w:lineRule="auto"/>
        <w:ind w:left="-210" w:leftChars="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质量标准：</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eastAsia="zh-CN"/>
        </w:rPr>
        <w:t>，符合国家、行业相关规范合格标准及采购人要求；</w:t>
      </w:r>
    </w:p>
    <w:p w14:paraId="1E9A98F9">
      <w:pPr>
        <w:pStyle w:val="16"/>
        <w:numPr>
          <w:ilvl w:val="0"/>
          <w:numId w:val="1"/>
        </w:numPr>
        <w:spacing w:line="360" w:lineRule="auto"/>
        <w:rPr>
          <w:rStyle w:val="23"/>
          <w:rFonts w:hint="eastAsia" w:ascii="仿宋" w:hAnsi="仿宋" w:eastAsia="仿宋" w:cs="仿宋"/>
          <w:b/>
          <w:bCs/>
          <w:color w:val="auto"/>
          <w:sz w:val="28"/>
          <w:szCs w:val="24"/>
          <w:highlight w:val="none"/>
          <w:lang w:val="en-US" w:eastAsia="zh-CN"/>
        </w:rPr>
      </w:pPr>
      <w:r>
        <w:rPr>
          <w:rStyle w:val="23"/>
          <w:rFonts w:hint="eastAsia" w:ascii="仿宋" w:hAnsi="仿宋" w:eastAsia="仿宋" w:cs="仿宋"/>
          <w:b/>
          <w:bCs/>
          <w:color w:val="auto"/>
          <w:sz w:val="28"/>
          <w:szCs w:val="24"/>
          <w:highlight w:val="none"/>
          <w:lang w:val="en-US" w:eastAsia="zh-CN"/>
        </w:rPr>
        <w:t>采购需求：</w:t>
      </w:r>
    </w:p>
    <w:p w14:paraId="16E8D703">
      <w:pPr>
        <w:pStyle w:val="16"/>
        <w:numPr>
          <w:ilvl w:val="0"/>
          <w:numId w:val="0"/>
        </w:numPr>
        <w:spacing w:line="360" w:lineRule="auto"/>
        <w:ind w:right="0" w:rightChars="0" w:firstLine="840" w:firstLineChars="300"/>
        <w:rPr>
          <w:rStyle w:val="23"/>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对唐河县倪河水库（中型）进行安全鉴定并出具报告书且通过评审，取得上级部门出具的安全鉴定成果核查意见。详见本项目采购文件及采购需求。</w:t>
      </w:r>
    </w:p>
    <w:p w14:paraId="36738E79">
      <w:pPr>
        <w:pStyle w:val="16"/>
        <w:numPr>
          <w:ilvl w:val="0"/>
          <w:numId w:val="1"/>
        </w:numPr>
        <w:spacing w:line="360" w:lineRule="auto"/>
        <w:rPr>
          <w:rFonts w:hint="default" w:ascii="仿宋" w:hAnsi="仿宋" w:eastAsia="仿宋" w:cs="仿宋"/>
          <w:snapToGrid w:val="0"/>
          <w:color w:val="auto"/>
          <w:spacing w:val="0"/>
          <w:kern w:val="2"/>
          <w:sz w:val="28"/>
          <w:szCs w:val="28"/>
          <w:highlight w:val="none"/>
          <w:lang w:val="en-US" w:eastAsia="zh-CN" w:bidi="ar-SA"/>
        </w:rPr>
      </w:pPr>
      <w:r>
        <w:rPr>
          <w:rStyle w:val="23"/>
          <w:rFonts w:hint="eastAsia" w:ascii="仿宋" w:hAnsi="仿宋" w:eastAsia="仿宋" w:cs="仿宋"/>
          <w:b/>
          <w:bCs/>
          <w:color w:val="auto"/>
          <w:sz w:val="28"/>
          <w:szCs w:val="24"/>
          <w:highlight w:val="none"/>
          <w:lang w:val="en-US" w:eastAsia="zh-CN"/>
        </w:rPr>
        <w:t>采购内容技术要求</w:t>
      </w:r>
      <w:bookmarkStart w:id="3" w:name="_Toc305158823"/>
      <w:bookmarkStart w:id="4" w:name="_Toc265228393"/>
      <w:bookmarkStart w:id="5" w:name="_Toc127151555"/>
      <w:bookmarkStart w:id="6" w:name="_Toc120102178"/>
      <w:bookmarkStart w:id="7" w:name="_Toc142311057"/>
      <w:bookmarkStart w:id="8" w:name="_Toc353825545"/>
      <w:bookmarkStart w:id="9" w:name="_Toc150480793"/>
      <w:bookmarkStart w:id="10" w:name="_Toc264969245"/>
      <w:bookmarkStart w:id="11" w:name="_Toc226337251"/>
      <w:bookmarkStart w:id="12" w:name="_Toc353873935"/>
      <w:bookmarkStart w:id="13" w:name="_Toc150774760"/>
      <w:bookmarkStart w:id="14" w:name="_Toc353873665"/>
      <w:bookmarkStart w:id="15" w:name="_Toc226965828"/>
      <w:bookmarkStart w:id="16" w:name="_Toc305158897"/>
      <w:bookmarkStart w:id="17" w:name="_Toc195842920"/>
    </w:p>
    <w:p w14:paraId="1B530789">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（1）现场安全检查及安全检测</w:t>
      </w:r>
    </w:p>
    <w:p w14:paraId="730B31BC">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现场安全检查：检查大坝是否存在工程安全隐患与管理缺陷，并为大坝安全评价工作提供指导性意见；</w:t>
      </w:r>
    </w:p>
    <w:p w14:paraId="1436A064">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安全检测：揭示大坝现状质量状况，并为大坝安全评价提供能代表目前性状的计算参数。</w:t>
      </w:r>
    </w:p>
    <w:p w14:paraId="58991DE1">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（2）大坝安全监测资料分析</w:t>
      </w:r>
    </w:p>
    <w:p w14:paraId="42E7B106">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通过水位、气温、降水量等环境量与变形、裂缝开度、应力应变、渗流压力、渗流量等效应量监测资料的分析，评估大坝安全性态是否正常。大坝安全监测资料分析内容包括监测系统完备性评价、监测资料可靠性分析、监测资料正反分析以及大坝安全性态评估。</w:t>
      </w:r>
    </w:p>
    <w:p w14:paraId="0C5029EC">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（3）大坝工程质量评价</w:t>
      </w:r>
    </w:p>
    <w:p w14:paraId="655287ED">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工程质量评价应包括下列主要内容：评价大坝工程地质条件及基础处理是否满足现行规范要求。评价大坝工程质量现状是否满足规范要求。根据运行表现，分析大坝工程质量变化情况，查找是否存在工程质量缺陷，并评估对大坝安全的影响。为大坝安全评价提供符合工程实际的参数。</w:t>
      </w:r>
    </w:p>
    <w:p w14:paraId="68B436E1">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（4）大坝运行管理评价</w:t>
      </w:r>
    </w:p>
    <w:p w14:paraId="132C690E">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对水库运行管理能力、调度运用、维修养护、安全监测的评价。评价水库现有管理条件、管理工作及管理水平是否满足相关大坝安全管理法规与技术标准的要求，以及保障大坝安全运行的需要，并为改进大坝运行管理工作提供指导性意见和建议。</w:t>
      </w:r>
    </w:p>
    <w:p w14:paraId="57CCA0F0">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（5）防洪能力复核</w:t>
      </w:r>
    </w:p>
    <w:p w14:paraId="414566F9">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应根据水库总库容以及现状防洪保护对象的重要性与功能效益指标，复核水库工程等别、建筑物级别和防洪标准是否符合规范要求。</w:t>
      </w:r>
    </w:p>
    <w:p w14:paraId="1A53BBC5">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（6）大坝渗流安全评价</w:t>
      </w:r>
    </w:p>
    <w:p w14:paraId="23653D1E">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复核大坝渗流控制措施和当前的实际渗流性态能否满足大坝按设计条件安全运行。</w:t>
      </w:r>
    </w:p>
    <w:p w14:paraId="3E42FF44">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（7）大坝结构安全评价</w:t>
      </w:r>
    </w:p>
    <w:p w14:paraId="64665969">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采用现场检查法、监测资料分析法和计算分析法。在现场安全检查基础上，根据工程地质勘察、安全监测、安全检测等资料，综合监测资料分析与结构计算对复核大坝（含近坝岸坡）在静力条件下的变形、强度与稳定性是否满足现行规范要求。</w:t>
      </w:r>
    </w:p>
    <w:p w14:paraId="64CB5D22">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（8）抗震安全复核</w:t>
      </w:r>
    </w:p>
    <w:p w14:paraId="6307298E">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复核工程的抗震设防烈度或地震动参数是否符合规范要求。复核大坝的抗震稳定性与结构强度。复核土石坝及建筑物地基的地震水久变形，以及是否存在地震液化可能。</w:t>
      </w:r>
    </w:p>
    <w:p w14:paraId="5EA79BD7">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复核工程的抗震措施是否合适和完善。</w:t>
      </w:r>
    </w:p>
    <w:p w14:paraId="051C1EEE">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（9）金属结构安全评价</w:t>
      </w:r>
    </w:p>
    <w:p w14:paraId="72DC0A83">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 xml:space="preserve"> 金属结构安全评价的目的是复核泄水、输水建筑物的闸门（含拦污栅）、启闭机，以及压力钢管等其他影响大坝安全和运行的金属结构在现状下能否按设计要求安全与可靠运行。安全评价的主要内容包括闸门的强度、刚度和稳定性复核；启闭机的启闭能力和供电安全复核；压力钢管的强度、抗外压稳定性复核。</w:t>
      </w:r>
    </w:p>
    <w:p w14:paraId="6E46C8C4">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（10）大坝安全综合评价</w:t>
      </w:r>
    </w:p>
    <w:p w14:paraId="6F56026A">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在上述各专项分析评价的基础上，对大坝安全性态进行综合评价，评定大坝安全类别。</w:t>
      </w:r>
    </w:p>
    <w:p w14:paraId="663AE439">
      <w:pPr>
        <w:pStyle w:val="16"/>
        <w:numPr>
          <w:ilvl w:val="0"/>
          <w:numId w:val="1"/>
        </w:numPr>
        <w:spacing w:line="360" w:lineRule="auto"/>
        <w:rPr>
          <w:rFonts w:hint="default" w:ascii="仿宋" w:hAnsi="仿宋" w:eastAsia="仿宋" w:cs="仿宋"/>
          <w:snapToGrid w:val="0"/>
          <w:color w:val="auto"/>
          <w:spacing w:val="0"/>
          <w:kern w:val="2"/>
          <w:sz w:val="28"/>
          <w:szCs w:val="28"/>
          <w:highlight w:val="none"/>
          <w:lang w:val="en-US" w:eastAsia="zh-CN" w:bidi="ar-SA"/>
        </w:rPr>
      </w:pPr>
      <w:r>
        <w:rPr>
          <w:rStyle w:val="23"/>
          <w:rFonts w:hint="default" w:ascii="仿宋" w:hAnsi="仿宋" w:eastAsia="仿宋" w:cs="仿宋"/>
          <w:b/>
          <w:bCs/>
          <w:color w:val="auto"/>
          <w:sz w:val="28"/>
          <w:szCs w:val="24"/>
          <w:highlight w:val="none"/>
          <w:lang w:val="en-US" w:eastAsia="zh-CN"/>
        </w:rPr>
        <w:t>服务要求</w:t>
      </w:r>
    </w:p>
    <w:p w14:paraId="4B3DA33D">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根据《水库大坝安全鉴定办法》（水建管〔2003〕271号）、《水库大坝安全评价导则》（SL258-2017）对倪河水库大坝安全鉴定。</w:t>
      </w:r>
    </w:p>
    <w:p w14:paraId="418B2A1A">
      <w:pPr>
        <w:pStyle w:val="17"/>
        <w:rPr>
          <w:rFonts w:hint="default" w:ascii="仿宋" w:hAnsi="仿宋" w:eastAsia="仿宋" w:cs="仿宋"/>
          <w:snapToGrid w:val="0"/>
          <w:color w:val="auto"/>
          <w:spacing w:val="0"/>
          <w:kern w:val="2"/>
          <w:sz w:val="28"/>
          <w:szCs w:val="28"/>
          <w:highlight w:val="none"/>
          <w:lang w:val="en-US" w:eastAsia="zh-CN" w:bidi="ar-SA"/>
        </w:rPr>
      </w:pPr>
      <w:r>
        <w:rPr>
          <w:rFonts w:hint="default" w:ascii="仿宋" w:hAnsi="仿宋" w:eastAsia="仿宋" w:cs="仿宋"/>
          <w:snapToGrid w:val="0"/>
          <w:color w:val="auto"/>
          <w:spacing w:val="0"/>
          <w:kern w:val="2"/>
          <w:sz w:val="28"/>
          <w:szCs w:val="28"/>
          <w:highlight w:val="none"/>
          <w:lang w:val="en-US" w:eastAsia="zh-CN" w:bidi="ar-SA"/>
        </w:rPr>
        <w:t>大坝安全评价在现场安全检查和监测资料分析基础上，按照现行相关规范的规定和要求，复核工程等别、建筑物级别以及防洪标准与抗震设防标准，查明工程质量及大坝现状实际工作条件，对水库防洪能力、渗流安全、结构安全、抗震安全、金属结构安全以及运行管理等进行复核与评价，并综合上述复核与评价结果，对大坝安全进行综合评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D6E5A43">
      <w:pPr>
        <w:pStyle w:val="17"/>
        <w:rPr>
          <w:rFonts w:hint="default"/>
          <w:color w:val="auto"/>
          <w:highlight w:val="none"/>
          <w:lang w:val="en-US" w:eastAsia="zh-CN"/>
        </w:rPr>
      </w:pPr>
    </w:p>
    <w:p w14:paraId="3D8C244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p>
    <w:p w14:paraId="12CBB70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p>
    <w:p w14:paraId="4CD56AFA">
      <w:pPr>
        <w:rPr>
          <w:rFonts w:hint="eastAsia" w:asciiTheme="minorEastAsia" w:hAnsiTheme="minorEastAsia" w:eastAsiaTheme="minorEastAsia" w:cstheme="minorEastAsia"/>
          <w:color w:val="auto"/>
          <w:spacing w:val="-8"/>
          <w:sz w:val="24"/>
          <w:szCs w:val="24"/>
          <w:highlight w:val="none"/>
          <w:lang w:val="en-US" w:eastAsia="zh-CN"/>
        </w:rPr>
      </w:pPr>
    </w:p>
    <w:p w14:paraId="31C22CA9">
      <w:pPr>
        <w:rPr>
          <w:color w:val="auto"/>
          <w:spacing w:val="-1"/>
          <w:position w:val="24"/>
          <w:sz w:val="36"/>
          <w:szCs w:val="36"/>
          <w:highlight w:val="none"/>
          <w14:textOutline w14:w="2306" w14:cap="flat" w14:cmpd="sng">
            <w14:solidFill>
              <w14:srgbClr w14:val="000000"/>
            </w14:solidFill>
            <w14:prstDash w14:val="solid"/>
            <w14:miter w14:val="0"/>
          </w14:textOutline>
        </w:rPr>
      </w:pPr>
    </w:p>
    <w:p w14:paraId="5A83E543">
      <w:pPr>
        <w:pStyle w:val="16"/>
        <w:ind w:left="0" w:leftChars="0" w:firstLine="0" w:firstLineChars="0"/>
        <w:rPr>
          <w:rFonts w:hint="eastAsia"/>
          <w:color w:val="auto"/>
          <w:highlight w:val="none"/>
        </w:rPr>
      </w:pPr>
    </w:p>
    <w:p w14:paraId="559EBFCB">
      <w:pPr>
        <w:pStyle w:val="17"/>
        <w:rPr>
          <w:rFonts w:hint="eastAsia"/>
          <w:color w:val="auto"/>
          <w:highlight w:val="none"/>
        </w:rPr>
      </w:pPr>
    </w:p>
    <w:p w14:paraId="40155C7C">
      <w:pPr>
        <w:rPr>
          <w:rFonts w:hint="eastAsia"/>
          <w:color w:val="auto"/>
          <w:highlight w:val="none"/>
        </w:rPr>
      </w:pPr>
    </w:p>
    <w:p w14:paraId="14447050">
      <w:pPr>
        <w:rPr>
          <w:rFonts w:hint="eastAsia"/>
          <w:color w:val="auto"/>
          <w:highlight w:val="none"/>
        </w:rPr>
      </w:pPr>
    </w:p>
    <w:p w14:paraId="51575B60">
      <w:pPr>
        <w:rPr>
          <w:rFonts w:hint="eastAsia"/>
          <w:color w:val="auto"/>
          <w:highlight w:val="none"/>
        </w:rPr>
      </w:pPr>
    </w:p>
    <w:p w14:paraId="465DBAC2">
      <w:pPr>
        <w:rPr>
          <w:rFonts w:hint="eastAsia"/>
          <w:color w:val="auto"/>
          <w:highlight w:val="none"/>
        </w:rPr>
      </w:pPr>
    </w:p>
    <w:p w14:paraId="16DC422B">
      <w:pPr>
        <w:rPr>
          <w:rFonts w:hint="eastAsia"/>
          <w:color w:val="auto"/>
          <w:highlight w:val="none"/>
        </w:rPr>
      </w:pPr>
    </w:p>
    <w:p w14:paraId="17F450D7">
      <w:pPr>
        <w:rPr>
          <w:rFonts w:hint="eastAsia"/>
          <w:color w:val="auto"/>
          <w:highlight w:val="none"/>
        </w:rPr>
      </w:pPr>
    </w:p>
    <w:p w14:paraId="1B6E2A2A">
      <w:pPr>
        <w:rPr>
          <w:rFonts w:hint="eastAsia"/>
          <w:color w:val="auto"/>
          <w:highlight w:val="none"/>
        </w:rPr>
      </w:pPr>
    </w:p>
    <w:p w14:paraId="71BC4B89">
      <w:pPr>
        <w:rPr>
          <w:rFonts w:hint="eastAsia"/>
          <w:color w:val="auto"/>
          <w:highlight w:val="none"/>
        </w:rPr>
      </w:pPr>
    </w:p>
    <w:p w14:paraId="4A2F2B6B">
      <w:pPr>
        <w:rPr>
          <w:rFonts w:hint="eastAsia"/>
          <w:color w:val="auto"/>
          <w:highlight w:val="none"/>
        </w:rPr>
      </w:pPr>
    </w:p>
    <w:p w14:paraId="7E9710CE">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16491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6"/>
        <w:keepNext w:val="0"/>
        <w:keepLines w:val="0"/>
        <w:pageBreakBefore w:val="0"/>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r>
        <w:rPr>
          <w:color w:val="auto"/>
          <w:spacing w:val="-1"/>
          <w:sz w:val="28"/>
          <w:szCs w:val="28"/>
          <w:highlight w:val="none"/>
          <w14:textOutline w14:w="1800" w14:cap="flat" w14:cmpd="sng">
            <w14:solidFill>
              <w14:srgbClr w14:val="000000"/>
            </w14:solidFill>
            <w14:prstDash w14:val="solid"/>
            <w14:miter w14:val="0"/>
          </w14:textOutline>
        </w:rPr>
        <w:t>供应商须知表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7"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31"/>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087F1BF1">
            <w:pPr>
              <w:pStyle w:val="31"/>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9"/>
                <w:sz w:val="24"/>
                <w:szCs w:val="24"/>
                <w:highlight w:val="none"/>
              </w:rPr>
              <w:t>□货物</w:t>
            </w:r>
          </w:p>
          <w:p w14:paraId="7E9D5A60">
            <w:pPr>
              <w:pStyle w:val="31"/>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pacing w:val="19"/>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219D9924">
            <w:pPr>
              <w:pStyle w:val="31"/>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3F8FE870">
            <w:pPr>
              <w:pStyle w:val="31"/>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503FA75D">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11FD72C2">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3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shd w:val="clear"/>
                <w:lang w:val="en-US" w:eastAsia="zh-CN" w:bidi="ar-SA"/>
              </w:rPr>
              <w:t xml:space="preserve"> 其他未列明行业 </w:t>
            </w:r>
          </w:p>
          <w:p w14:paraId="797838D6">
            <w:pPr>
              <w:pStyle w:val="3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☑本项目小微企业价格折扣比例</w:t>
            </w:r>
            <w:r>
              <w:rPr>
                <w:rFonts w:hint="eastAsia" w:ascii="宋体" w:hAnsi="宋体" w:eastAsia="宋体" w:cs="宋体"/>
                <w:snapToGrid w:val="0"/>
                <w:color w:val="auto"/>
                <w:kern w:val="0"/>
                <w:sz w:val="24"/>
                <w:szCs w:val="24"/>
                <w:highlight w:val="none"/>
                <w:u w:val="single"/>
                <w:lang w:val="en-US" w:eastAsia="zh-CN" w:bidi="ar"/>
              </w:rPr>
              <w:t xml:space="preserve"> 20 </w:t>
            </w:r>
            <w:r>
              <w:rPr>
                <w:rFonts w:hint="eastAsia" w:ascii="宋体" w:hAnsi="宋体" w:eastAsia="宋体" w:cs="宋体"/>
                <w:snapToGrid w:val="0"/>
                <w:color w:val="auto"/>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3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报价的特殊规定：</w:t>
            </w:r>
          </w:p>
          <w:p w14:paraId="517269F8">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0BEECE92">
            <w:pPr>
              <w:pStyle w:val="31"/>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323E9708">
            <w:pPr>
              <w:pStyle w:val="31"/>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2"/>
                <w:sz w:val="24"/>
                <w:szCs w:val="24"/>
                <w:highlight w:val="none"/>
                <w:u w:val="none"/>
                <w:lang w:val="en-US" w:eastAsia="zh-CN"/>
              </w:rPr>
              <w:t>小写：400000.00 元   大写：肆拾万元整</w:t>
            </w:r>
          </w:p>
        </w:tc>
      </w:tr>
      <w:tr w14:paraId="2243A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3CE8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服务期限</w:t>
            </w:r>
            <w:r>
              <w:rPr>
                <w:rFonts w:hint="eastAsia" w:asciiTheme="minorEastAsia" w:hAnsiTheme="minorEastAsia" w:eastAsiaTheme="minorEastAsia" w:cstheme="minorEastAsia"/>
                <w:color w:val="auto"/>
                <w:sz w:val="24"/>
                <w:szCs w:val="24"/>
                <w:highlight w:val="none"/>
                <w:lang w:eastAsia="zh-CN"/>
              </w:rPr>
              <w:t>）</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83C1D4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pacing w:val="-12"/>
                <w:sz w:val="24"/>
                <w:szCs w:val="24"/>
                <w:highlight w:val="none"/>
                <w:u w:val="none"/>
                <w:lang w:val="en-US" w:eastAsia="zh-CN"/>
              </w:rPr>
            </w:pPr>
            <w:r>
              <w:rPr>
                <w:rFonts w:hint="eastAsia" w:asciiTheme="minorEastAsia" w:hAnsiTheme="minorEastAsia" w:eastAsiaTheme="minorEastAsia" w:cstheme="minorEastAsia"/>
                <w:color w:val="auto"/>
                <w:spacing w:val="-12"/>
                <w:sz w:val="24"/>
                <w:szCs w:val="24"/>
                <w:highlight w:val="none"/>
                <w:u w:val="none"/>
                <w:lang w:val="en-US" w:eastAsia="zh-CN"/>
              </w:rPr>
              <w:t>合同签订后60日历天内；</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上传</w:t>
            </w:r>
            <w:r>
              <w:rPr>
                <w:rFonts w:hint="eastAsia" w:asciiTheme="minorEastAsia" w:hAnsiTheme="minorEastAsia" w:eastAsiaTheme="minorEastAsia" w:cstheme="minorEastAsia"/>
                <w:color w:val="auto"/>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27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30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27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30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eastAsia="zh-CN"/>
              </w:rPr>
              <w:t>直接确定</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3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4EF4FF49">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采购人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0D4F037A">
            <w:pPr>
              <w:pStyle w:val="31"/>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val="en-US" w:eastAsia="zh-CN"/>
              </w:rPr>
              <w:t>收费标准：</w:t>
            </w:r>
            <w:r>
              <w:rPr>
                <w:rFonts w:hint="eastAsia" w:asciiTheme="minorEastAsia" w:hAnsiTheme="minorEastAsia" w:eastAsiaTheme="minorEastAsia" w:cstheme="minorEastAsia"/>
                <w:color w:val="auto"/>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color w:val="auto"/>
                <w:spacing w:val="0"/>
                <w:sz w:val="24"/>
                <w:szCs w:val="24"/>
                <w:highlight w:val="none"/>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13"/>
                <w:sz w:val="24"/>
                <w:szCs w:val="24"/>
                <w:highlight w:val="none"/>
                <w:lang w:val="en-US" w:eastAsia="zh-CN"/>
              </w:rPr>
            </w:pPr>
            <w:r>
              <w:rPr>
                <w:color w:val="auto"/>
                <w:spacing w:val="0"/>
                <w:sz w:val="24"/>
                <w:szCs w:val="24"/>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auto"/>
                <w:spacing w:val="0"/>
                <w:kern w:val="0"/>
                <w:sz w:val="24"/>
                <w:szCs w:val="24"/>
                <w:highlight w:val="none"/>
                <w:lang w:val="en-US" w:eastAsia="zh-CN" w:bidi="ar-SA"/>
              </w:rPr>
            </w:pPr>
            <w:r>
              <w:rPr>
                <w:color w:val="auto"/>
                <w:spacing w:val="0"/>
                <w:sz w:val="24"/>
                <w:szCs w:val="24"/>
                <w:highlight w:val="none"/>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auto"/>
                <w:spacing w:val="0"/>
                <w:kern w:val="0"/>
                <w:sz w:val="24"/>
                <w:szCs w:val="24"/>
                <w:highlight w:val="none"/>
                <w:lang w:val="en-US" w:eastAsia="zh-CN" w:bidi="ar-SA"/>
              </w:rPr>
            </w:pPr>
            <w:r>
              <w:rPr>
                <w:color w:val="auto"/>
                <w:spacing w:val="0"/>
                <w:sz w:val="24"/>
                <w:szCs w:val="24"/>
                <w:highlight w:val="none"/>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auto"/>
                <w:spacing w:val="0"/>
                <w:kern w:val="0"/>
                <w:sz w:val="24"/>
                <w:szCs w:val="24"/>
                <w:highlight w:val="none"/>
                <w:lang w:val="en-US" w:eastAsia="zh-CN" w:bidi="ar-SA"/>
              </w:rPr>
            </w:pPr>
            <w:r>
              <w:rPr>
                <w:color w:val="auto"/>
                <w:spacing w:val="0"/>
                <w:sz w:val="24"/>
                <w:szCs w:val="24"/>
                <w:highlight w:val="none"/>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2"/>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auto"/>
                <w:spacing w:val="0"/>
                <w:kern w:val="0"/>
                <w:sz w:val="24"/>
                <w:szCs w:val="24"/>
                <w:highlight w:val="none"/>
                <w:lang w:val="en-US" w:eastAsia="zh-CN" w:bidi="ar-SA"/>
              </w:rPr>
            </w:pPr>
            <w:r>
              <w:rPr>
                <w:color w:val="auto"/>
                <w:spacing w:val="0"/>
                <w:sz w:val="24"/>
                <w:szCs w:val="24"/>
                <w:highlight w:val="none"/>
              </w:rPr>
              <w:t>“招标人”与“采购人”，“投标人”与“供应商”按照同一意思理解。</w:t>
            </w:r>
          </w:p>
        </w:tc>
      </w:tr>
    </w:tbl>
    <w:p w14:paraId="2EE8A56A">
      <w:pPr>
        <w:pStyle w:val="6"/>
        <w:keepNext w:val="0"/>
        <w:keepLines w:val="0"/>
        <w:pageBreakBefore w:val="0"/>
        <w:kinsoku/>
        <w:wordWrap w:val="0"/>
        <w:overflowPunct/>
        <w:topLinePunct w:val="0"/>
        <w:bidi w:val="0"/>
        <w:spacing w:before="91" w:line="360" w:lineRule="auto"/>
        <w:ind w:left="3844"/>
        <w:jc w:val="both"/>
        <w:rPr>
          <w:color w:val="auto"/>
          <w:sz w:val="28"/>
          <w:szCs w:val="28"/>
          <w:highlight w:val="none"/>
        </w:rPr>
      </w:pPr>
      <w:r>
        <w:rPr>
          <w:color w:val="auto"/>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color w:val="auto"/>
          <w:spacing w:val="-1"/>
          <w:sz w:val="24"/>
          <w:szCs w:val="24"/>
          <w:highlight w:val="none"/>
        </w:rPr>
      </w:pPr>
      <w:bookmarkStart w:id="19" w:name="_Toc9525"/>
      <w:r>
        <w:rPr>
          <w:color w:val="auto"/>
          <w:spacing w:val="-10"/>
          <w:sz w:val="28"/>
          <w:szCs w:val="28"/>
          <w:highlight w:val="none"/>
          <w14:textOutline w14:w="1800" w14:cap="flat" w14:cmpd="sng">
            <w14:solidFill>
              <w14:srgbClr w14:val="000000"/>
            </w14:solidFill>
            <w14:prstDash w14:val="solid"/>
            <w14:miter w14:val="0"/>
          </w14:textOutline>
        </w:rPr>
        <w:t>一</w:t>
      </w:r>
      <w:r>
        <w:rPr>
          <w:rFonts w:hint="eastAsia"/>
          <w:color w:val="auto"/>
          <w:spacing w:val="5"/>
          <w:sz w:val="28"/>
          <w:szCs w:val="28"/>
          <w:highlight w:val="none"/>
          <w:lang w:eastAsia="zh-CN"/>
        </w:rPr>
        <w:t>、</w:t>
      </w:r>
      <w:r>
        <w:rPr>
          <w:color w:val="auto"/>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w:t>
      </w:r>
      <w:r>
        <w:rPr>
          <w:rFonts w:hint="eastAsia" w:asciiTheme="minorEastAsia" w:hAnsiTheme="minorEastAsia" w:eastAsiaTheme="minorEastAsia" w:cstheme="minorEastAsia"/>
          <w:b/>
          <w:bCs/>
          <w:color w:val="auto"/>
          <w:spacing w:val="-4"/>
          <w:sz w:val="24"/>
          <w:szCs w:val="24"/>
          <w:highlight w:val="none"/>
          <w:lang w:val="en-US" w:eastAsia="zh-CN"/>
        </w:rPr>
        <w:t>供应商</w:t>
      </w:r>
      <w:r>
        <w:rPr>
          <w:rFonts w:hint="eastAsia" w:asciiTheme="minorEastAsia" w:hAnsiTheme="minorEastAsia" w:eastAsiaTheme="minorEastAsia" w:cstheme="minorEastAsia"/>
          <w:b/>
          <w:bCs/>
          <w:color w:val="auto"/>
          <w:spacing w:val="-1"/>
          <w:sz w:val="24"/>
          <w:szCs w:val="24"/>
          <w:highlight w:val="none"/>
        </w:rPr>
        <w:t>、联合体</w:t>
      </w:r>
    </w:p>
    <w:p w14:paraId="672DD4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p w14:paraId="4ABD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供应商（也称申请人）：指向采购人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006B11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55BB5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资金来源、项目属性、科研仪器设备采购</w:t>
      </w:r>
    </w:p>
    <w:p w14:paraId="6645B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9"/>
          <w:sz w:val="24"/>
          <w:szCs w:val="24"/>
          <w:highlight w:val="none"/>
        </w:rPr>
        <w:t>。</w:t>
      </w:r>
    </w:p>
    <w:p w14:paraId="636E6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项目属性见《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58F23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是否属于科研仪器设备采购见《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2785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0D396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val="en-US" w:eastAsia="zh-CN"/>
        </w:rPr>
        <w:t>供应商</w:t>
      </w:r>
      <w:r>
        <w:rPr>
          <w:rFonts w:hint="eastAsia" w:asciiTheme="minorEastAsia" w:hAnsiTheme="minorEastAsia" w:eastAsiaTheme="minorEastAsia" w:cstheme="minorEastAsia"/>
          <w:color w:val="auto"/>
          <w:spacing w:val="3"/>
          <w:sz w:val="24"/>
          <w:szCs w:val="24"/>
          <w:highlight w:val="none"/>
          <w:lang w:eastAsia="zh-CN"/>
        </w:rPr>
        <w:t>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前答疑会，则供应商</w:t>
      </w:r>
      <w:r>
        <w:rPr>
          <w:rFonts w:hint="eastAsia" w:asciiTheme="minorEastAsia" w:hAnsiTheme="minorEastAsia" w:eastAsiaTheme="minorEastAsia" w:cstheme="minorEastAsia"/>
          <w:color w:val="auto"/>
          <w:spacing w:val="-3"/>
          <w:sz w:val="24"/>
          <w:szCs w:val="24"/>
          <w:highlight w:val="none"/>
        </w:rPr>
        <w:t>应按要求在规定的时间和地点参加。</w:t>
      </w:r>
    </w:p>
    <w:p w14:paraId="233CA4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前答疑会而导致对项目实际情况不了解，影响</w:t>
      </w: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文件编制、</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报价准确性、综合因素响应不全面等问题的，由</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rPr>
        <w:t>自行承担不利评审后果。</w:t>
      </w:r>
    </w:p>
    <w:p w14:paraId="393BA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037A4D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23F5C8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0287EB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76180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以及唐河县财政局的具体规定</w:t>
      </w:r>
      <w:r>
        <w:rPr>
          <w:rFonts w:hint="eastAsia" w:asciiTheme="minorEastAsia" w:hAnsiTheme="minorEastAsia" w:eastAsiaTheme="minorEastAsia" w:cstheme="minorEastAsia"/>
          <w:color w:val="auto"/>
          <w:spacing w:val="5"/>
          <w:sz w:val="24"/>
          <w:szCs w:val="24"/>
          <w:highlight w:val="none"/>
        </w:rPr>
        <w:t>。</w:t>
      </w:r>
    </w:p>
    <w:p w14:paraId="1055AE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24CC1C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53D315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HYPERLINK"5.2.1.1"</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03288F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HYPERLINK"5.2.1.2"</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21E5A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558B5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0595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2822D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HYPERLINK"5.2.1.3"</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7039D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HYPERLINK"5.2.1.4"</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3A473F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261F3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20CD9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4A003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5A938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5A928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6AD4F5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val="en-US" w:eastAsia="zh-CN"/>
        </w:rPr>
        <w:t>竞争性磋商公告</w:t>
      </w:r>
      <w:r>
        <w:rPr>
          <w:rFonts w:hint="eastAsia" w:asciiTheme="minorEastAsia" w:hAnsiTheme="minorEastAsia" w:eastAsiaTheme="minorEastAsia" w:cstheme="minorEastAsia"/>
          <w:color w:val="auto"/>
          <w:spacing w:val="-8"/>
          <w:sz w:val="24"/>
          <w:szCs w:val="24"/>
          <w:highlight w:val="none"/>
        </w:rPr>
        <w:t>》。</w:t>
      </w:r>
    </w:p>
    <w:p w14:paraId="7AFAC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val="en-US" w:eastAsia="zh-CN"/>
        </w:rPr>
        <w:t>供应商</w:t>
      </w:r>
      <w:r>
        <w:rPr>
          <w:rFonts w:hint="eastAsia" w:asciiTheme="minorEastAsia" w:hAnsiTheme="minorEastAsia" w:eastAsiaTheme="minorEastAsia" w:cstheme="minorEastAsia"/>
          <w:color w:val="auto"/>
          <w:spacing w:val="-8"/>
          <w:sz w:val="24"/>
          <w:szCs w:val="24"/>
          <w:highlight w:val="none"/>
          <w:lang w:eastAsia="zh-CN"/>
        </w:rPr>
        <w:t>须知表</w:t>
      </w:r>
      <w:r>
        <w:rPr>
          <w:rFonts w:hint="eastAsia" w:asciiTheme="minorEastAsia" w:hAnsiTheme="minorEastAsia" w:eastAsiaTheme="minorEastAsia" w:cstheme="minorEastAsia"/>
          <w:color w:val="auto"/>
          <w:spacing w:val="-8"/>
          <w:sz w:val="24"/>
          <w:szCs w:val="24"/>
          <w:highlight w:val="none"/>
        </w:rPr>
        <w:t>》。</w:t>
      </w:r>
    </w:p>
    <w:p w14:paraId="70C0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w:t>
      </w:r>
    </w:p>
    <w:p w14:paraId="28E5BE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6B8660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.3.2</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8"/>
          <w:sz w:val="24"/>
          <w:szCs w:val="24"/>
          <w:highlight w:val="none"/>
        </w:rPr>
        <w:t>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w:t>
      </w:r>
      <w:r>
        <w:rPr>
          <w:rFonts w:hint="eastAsia" w:asciiTheme="minorEastAsia" w:hAnsiTheme="minorEastAsia" w:eastAsiaTheme="minorEastAsia" w:cstheme="minorEastAsia"/>
          <w:b/>
          <w:bCs/>
          <w:color w:val="auto"/>
          <w:spacing w:val="-8"/>
          <w:sz w:val="24"/>
          <w:szCs w:val="24"/>
          <w:highlight w:val="none"/>
          <w:lang w:val="en-US" w:eastAsia="zh-CN"/>
        </w:rPr>
        <w:t>响应</w:t>
      </w:r>
      <w:r>
        <w:rPr>
          <w:rFonts w:hint="eastAsia" w:asciiTheme="minorEastAsia" w:hAnsiTheme="minorEastAsia" w:eastAsiaTheme="minorEastAsia" w:cstheme="minorEastAsia"/>
          <w:b/>
          <w:bCs/>
          <w:color w:val="auto"/>
          <w:spacing w:val="-8"/>
          <w:sz w:val="24"/>
          <w:szCs w:val="24"/>
          <w:highlight w:val="none"/>
        </w:rPr>
        <w:t>无效</w:t>
      </w:r>
      <w:r>
        <w:rPr>
          <w:rFonts w:hint="eastAsia" w:asciiTheme="minorEastAsia" w:hAnsiTheme="minorEastAsia" w:eastAsiaTheme="minorEastAsia" w:cstheme="minorEastAsia"/>
          <w:b/>
          <w:bCs/>
          <w:color w:val="auto"/>
          <w:spacing w:val="-8"/>
          <w:sz w:val="24"/>
          <w:szCs w:val="24"/>
          <w:highlight w:val="none"/>
          <w:lang w:val="en-US" w:eastAsia="zh-CN"/>
        </w:rPr>
        <w:t>；</w:t>
      </w:r>
    </w:p>
    <w:p w14:paraId="63267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程序、评审方法和评审标准》。（如涉及）。</w:t>
      </w:r>
    </w:p>
    <w:p w14:paraId="0BD00D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43522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auto"/>
          <w:spacing w:val="-8"/>
          <w:sz w:val="24"/>
          <w:szCs w:val="24"/>
          <w:highlight w:val="none"/>
          <w:lang w:val="en-US" w:eastAsia="zh-CN"/>
        </w:rPr>
        <w:t>响应</w:t>
      </w:r>
      <w:r>
        <w:rPr>
          <w:rFonts w:hint="eastAsia" w:asciiTheme="minorEastAsia" w:hAnsiTheme="minorEastAsia" w:eastAsiaTheme="minorEastAsia" w:cstheme="minorEastAsia"/>
          <w:color w:val="auto"/>
          <w:spacing w:val="-8"/>
          <w:sz w:val="24"/>
          <w:szCs w:val="24"/>
          <w:highlight w:val="none"/>
        </w:rPr>
        <w:t>无效。财政部、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73532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329B24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26FB8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086760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51E1C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1E8FAA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2336E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1B621B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5.采购</w:t>
      </w:r>
      <w:r>
        <w:rPr>
          <w:rFonts w:hint="eastAsia" w:asciiTheme="minorEastAsia" w:hAnsiTheme="minorEastAsia" w:eastAsiaTheme="minorEastAsia" w:cstheme="minorEastAsia"/>
          <w:b/>
          <w:bCs/>
          <w:color w:val="auto"/>
          <w:spacing w:val="-2"/>
          <w:sz w:val="24"/>
          <w:szCs w:val="24"/>
          <w:highlight w:val="none"/>
        </w:rPr>
        <w:t>费用</w:t>
      </w:r>
    </w:p>
    <w:p w14:paraId="4D41E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4"/>
          <w:sz w:val="24"/>
          <w:szCs w:val="24"/>
          <w:highlight w:val="none"/>
        </w:rPr>
        <w:t>应自行承担所有与准备和参加</w:t>
      </w:r>
      <w:r>
        <w:rPr>
          <w:rFonts w:hint="eastAsia" w:asciiTheme="minorEastAsia" w:hAnsiTheme="minorEastAsia" w:eastAsiaTheme="minorEastAsia" w:cstheme="minorEastAsia"/>
          <w:color w:val="auto"/>
          <w:spacing w:val="-4"/>
          <w:sz w:val="24"/>
          <w:szCs w:val="24"/>
          <w:highlight w:val="none"/>
          <w:lang w:val="en-US" w:eastAsia="zh-CN"/>
        </w:rPr>
        <w:t>本次采购</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6.4 “服务”指采购文件中规定的供应商应承担的服务内容。</w:t>
      </w:r>
    </w:p>
    <w:p w14:paraId="45ED50A4">
      <w:pPr>
        <w:pStyle w:val="6"/>
        <w:keepNext w:val="0"/>
        <w:keepLines w:val="0"/>
        <w:pageBreakBefore w:val="0"/>
        <w:kinsoku/>
        <w:wordWrap w:val="0"/>
        <w:overflowPunct/>
        <w:topLinePunct w:val="0"/>
        <w:bidi w:val="0"/>
        <w:spacing w:before="91" w:line="360" w:lineRule="auto"/>
        <w:jc w:val="both"/>
        <w:outlineLvl w:val="1"/>
        <w:rPr>
          <w:rFonts w:hint="eastAsia"/>
          <w:color w:val="auto"/>
          <w:sz w:val="24"/>
          <w:szCs w:val="24"/>
          <w:highlight w:val="none"/>
          <w:lang w:val="en-US" w:eastAsia="zh-CN"/>
        </w:rPr>
      </w:pPr>
      <w:bookmarkStart w:id="20" w:name="_Toc11788"/>
      <w:r>
        <w:rPr>
          <w:color w:val="auto"/>
          <w:spacing w:val="-1"/>
          <w:sz w:val="28"/>
          <w:szCs w:val="28"/>
          <w:highlight w:val="none"/>
          <w14:textOutline w14:w="1800" w14:cap="flat" w14:cmpd="sng">
            <w14:solidFill>
              <w14:srgbClr w14:val="000000"/>
            </w14:solidFill>
            <w14:prstDash w14:val="solid"/>
            <w14:miter w14:val="0"/>
          </w14:textOutline>
        </w:rPr>
        <w:t>二</w:t>
      </w:r>
      <w:r>
        <w:rPr>
          <w:rFonts w:hint="eastAsia"/>
          <w:color w:val="auto"/>
          <w:spacing w:val="-1"/>
          <w:sz w:val="28"/>
          <w:szCs w:val="28"/>
          <w:highlight w:val="none"/>
          <w:lang w:eastAsia="zh-CN"/>
        </w:rPr>
        <w:t>、</w:t>
      </w:r>
      <w:r>
        <w:rPr>
          <w:color w:val="auto"/>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color w:val="auto"/>
          <w:sz w:val="24"/>
          <w:szCs w:val="24"/>
          <w:highlight w:val="none"/>
        </w:rPr>
      </w:pPr>
      <w:r>
        <w:rPr>
          <w:rFonts w:hint="eastAsia"/>
          <w:b/>
          <w:bCs/>
          <w:color w:val="auto"/>
          <w:sz w:val="24"/>
          <w:szCs w:val="24"/>
          <w:highlight w:val="none"/>
          <w:lang w:val="en-US" w:eastAsia="zh-CN"/>
        </w:rPr>
        <w:t>7.</w:t>
      </w:r>
      <w:r>
        <w:rPr>
          <w:b/>
          <w:bCs/>
          <w:color w:val="auto"/>
          <w:sz w:val="24"/>
          <w:szCs w:val="24"/>
          <w:highlight w:val="none"/>
        </w:rPr>
        <w:t>竞争性磋商文件构成</w:t>
      </w:r>
    </w:p>
    <w:p w14:paraId="728F57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rFonts w:hint="eastAsia"/>
          <w:color w:val="auto"/>
          <w:spacing w:val="-1"/>
          <w:sz w:val="24"/>
          <w:szCs w:val="24"/>
          <w:highlight w:val="none"/>
          <w:lang w:val="en-US" w:eastAsia="zh-CN"/>
        </w:rPr>
        <w:t>7</w:t>
      </w:r>
      <w:r>
        <w:rPr>
          <w:color w:val="auto"/>
          <w:spacing w:val="-1"/>
          <w:sz w:val="24"/>
          <w:szCs w:val="24"/>
          <w:highlight w:val="none"/>
        </w:rPr>
        <w:t>.1</w:t>
      </w:r>
      <w:r>
        <w:rPr>
          <w:rFonts w:hint="eastAsia"/>
          <w:color w:val="auto"/>
          <w:spacing w:val="-1"/>
          <w:sz w:val="24"/>
          <w:szCs w:val="24"/>
          <w:highlight w:val="none"/>
          <w:lang w:val="en-US" w:eastAsia="zh-CN"/>
        </w:rPr>
        <w:t xml:space="preserve"> </w:t>
      </w:r>
      <w:r>
        <w:rPr>
          <w:color w:val="auto"/>
          <w:spacing w:val="-1"/>
          <w:sz w:val="24"/>
          <w:szCs w:val="24"/>
          <w:highlight w:val="none"/>
        </w:rPr>
        <w:t>竞争性磋商文件包括以下部分：</w:t>
      </w:r>
    </w:p>
    <w:p w14:paraId="2EC79F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fldChar w:fldCharType="begin"/>
      </w:r>
      <w:r>
        <w:rPr>
          <w:color w:val="auto"/>
          <w:spacing w:val="-1"/>
          <w:sz w:val="24"/>
          <w:szCs w:val="24"/>
          <w:highlight w:val="none"/>
        </w:rPr>
        <w:instrText xml:space="preserve">HYPERLINK\l"bookmark1"</w:instrText>
      </w:r>
      <w:r>
        <w:rPr>
          <w:color w:val="auto"/>
          <w:spacing w:val="-1"/>
          <w:sz w:val="24"/>
          <w:szCs w:val="24"/>
          <w:highlight w:val="none"/>
        </w:rPr>
        <w:fldChar w:fldCharType="separate"/>
      </w:r>
      <w:r>
        <w:rPr>
          <w:color w:val="auto"/>
          <w:spacing w:val="-1"/>
          <w:sz w:val="24"/>
          <w:szCs w:val="24"/>
          <w:highlight w:val="none"/>
        </w:rPr>
        <w:t>第一章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竞争性磋商公告</w:t>
      </w:r>
      <w:r>
        <w:rPr>
          <w:color w:val="auto"/>
          <w:spacing w:val="-1"/>
          <w:sz w:val="24"/>
          <w:szCs w:val="24"/>
          <w:highlight w:val="none"/>
        </w:rPr>
        <w:fldChar w:fldCharType="end"/>
      </w:r>
    </w:p>
    <w:p w14:paraId="13232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第二章</w:t>
      </w:r>
      <w:r>
        <w:rPr>
          <w:rFonts w:hint="eastAsia"/>
          <w:color w:val="auto"/>
          <w:spacing w:val="-1"/>
          <w:sz w:val="24"/>
          <w:szCs w:val="24"/>
          <w:highlight w:val="none"/>
          <w:lang w:val="en-US" w:eastAsia="zh-CN"/>
        </w:rPr>
        <w:t xml:space="preserve"> </w:t>
      </w:r>
      <w:r>
        <w:rPr>
          <w:color w:val="auto"/>
          <w:spacing w:val="-1"/>
          <w:sz w:val="24"/>
          <w:szCs w:val="24"/>
          <w:highlight w:val="none"/>
        </w:rPr>
        <w:t>采购需求</w:t>
      </w:r>
    </w:p>
    <w:p w14:paraId="1EE8A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第三章</w:t>
      </w:r>
      <w:r>
        <w:rPr>
          <w:rFonts w:hint="eastAsia"/>
          <w:color w:val="auto"/>
          <w:spacing w:val="-1"/>
          <w:sz w:val="24"/>
          <w:szCs w:val="24"/>
          <w:highlight w:val="none"/>
          <w:lang w:val="en-US" w:eastAsia="zh-CN"/>
        </w:rPr>
        <w:t xml:space="preserve"> </w:t>
      </w:r>
      <w:r>
        <w:rPr>
          <w:color w:val="auto"/>
          <w:spacing w:val="-1"/>
          <w:sz w:val="24"/>
          <w:szCs w:val="24"/>
          <w:highlight w:val="none"/>
        </w:rPr>
        <w:t>供应商须知</w:t>
      </w:r>
    </w:p>
    <w:p w14:paraId="65F33D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第四章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p>
    <w:p w14:paraId="297399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第五章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政府采购合同（草案）</w:t>
      </w:r>
    </w:p>
    <w:p w14:paraId="39B31A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第六章</w:t>
      </w:r>
      <w:r>
        <w:rPr>
          <w:rFonts w:hint="eastAsia"/>
          <w:color w:val="auto"/>
          <w:spacing w:val="-1"/>
          <w:sz w:val="24"/>
          <w:szCs w:val="24"/>
          <w:highlight w:val="none"/>
          <w:lang w:val="en-US" w:eastAsia="zh-CN"/>
        </w:rPr>
        <w:t xml:space="preserve"> </w:t>
      </w:r>
      <w:r>
        <w:rPr>
          <w:color w:val="auto"/>
          <w:spacing w:val="-1"/>
          <w:sz w:val="24"/>
          <w:szCs w:val="24"/>
          <w:highlight w:val="none"/>
        </w:rPr>
        <w:t>响应文件格式</w:t>
      </w:r>
    </w:p>
    <w:p w14:paraId="647A1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8.对竞争性磋商文件的澄清或修改</w:t>
      </w:r>
    </w:p>
    <w:p w14:paraId="436D15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8.1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8.2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可以酌情延长上传截止时间，并将此变更以公告形式通知所有竞争性磋商文件收受人。</w:t>
      </w:r>
    </w:p>
    <w:p w14:paraId="44390E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auto"/>
          <w:spacing w:val="-8"/>
          <w:sz w:val="24"/>
          <w:szCs w:val="24"/>
          <w:highlight w:val="none"/>
          <w:lang w:val="en-US" w:eastAsia="zh-CN"/>
        </w:rPr>
        <w:t>（必须在原公告发布媒体上发布公告）</w:t>
      </w:r>
      <w:r>
        <w:rPr>
          <w:rFonts w:hint="eastAsia"/>
          <w:color w:val="auto"/>
          <w:spacing w:val="-1"/>
          <w:sz w:val="24"/>
          <w:szCs w:val="24"/>
          <w:highlight w:val="none"/>
          <w:lang w:val="en-US" w:eastAsia="zh-CN"/>
        </w:rPr>
        <w:t>通知所有获取磋商文件的供应商；不足5日的，将顺延上传响应文件截止时间。</w:t>
      </w:r>
    </w:p>
    <w:p w14:paraId="28997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color w:val="auto"/>
          <w:spacing w:val="-8"/>
          <w:sz w:val="24"/>
          <w:szCs w:val="24"/>
          <w:highlight w:val="none"/>
          <w:lang w:val="en-US" w:eastAsia="zh-CN"/>
        </w:rPr>
        <w:t>采购人或采购代理机构</w:t>
      </w:r>
      <w:r>
        <w:rPr>
          <w:rFonts w:hint="eastAsia"/>
          <w:b/>
          <w:bCs/>
          <w:color w:val="auto"/>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color w:val="auto"/>
          <w:sz w:val="24"/>
          <w:szCs w:val="24"/>
          <w:highlight w:val="none"/>
          <w:lang w:val="en-US" w:eastAsia="zh-CN"/>
        </w:rPr>
      </w:pPr>
      <w:bookmarkStart w:id="21" w:name="_Toc18131"/>
      <w:r>
        <w:rPr>
          <w:color w:val="auto"/>
          <w:spacing w:val="-4"/>
          <w:sz w:val="28"/>
          <w:szCs w:val="28"/>
          <w:highlight w:val="none"/>
          <w14:textOutline w14:w="1800" w14:cap="flat" w14:cmpd="sng">
            <w14:solidFill>
              <w14:srgbClr w14:val="000000"/>
            </w14:solidFill>
            <w14:prstDash w14:val="solid"/>
            <w14:miter w14:val="0"/>
          </w14:textOutline>
        </w:rPr>
        <w:t>三</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9.响应范围、竞争性磋商文件中计量单位的使用及磋商语言</w:t>
      </w:r>
    </w:p>
    <w:p w14:paraId="2E8E7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9.2 除竞争性磋商文件有特殊要求外，本项目磋商所使用的计量单位，应采用中华人民共和国法定计量单位。</w:t>
      </w:r>
    </w:p>
    <w:p w14:paraId="02F0B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10.响应文件构成</w:t>
      </w:r>
    </w:p>
    <w:p w14:paraId="02772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根据磋商文件中规定的下载平台要求，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r>
        <w:rPr>
          <w:rFonts w:hint="eastAsia" w:asciiTheme="minorEastAsia" w:hAnsiTheme="minorEastAsia" w:eastAsiaTheme="minorEastAsia" w:cstheme="minorEastAsia"/>
          <w:color w:val="auto"/>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或工程</w:t>
      </w:r>
      <w:r>
        <w:rPr>
          <w:rFonts w:hint="eastAsia" w:asciiTheme="minorEastAsia" w:hAnsiTheme="minorEastAsia" w:eastAsiaTheme="minorEastAsia" w:cstheme="minorEastAsia"/>
          <w:color w:val="auto"/>
          <w:sz w:val="24"/>
          <w:szCs w:val="24"/>
          <w:highlight w:val="none"/>
        </w:rPr>
        <w:t>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报价</w:t>
      </w:r>
      <w:r>
        <w:rPr>
          <w:rFonts w:hint="eastAsia" w:asciiTheme="minorEastAsia" w:hAnsiTheme="minorEastAsia" w:eastAsiaTheme="minorEastAsia" w:cstheme="minorEastAsia"/>
          <w:color w:val="auto"/>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所投</w:t>
      </w:r>
      <w:r>
        <w:rPr>
          <w:rFonts w:hint="eastAsia" w:asciiTheme="minorEastAsia" w:hAnsiTheme="minorEastAsia" w:eastAsiaTheme="minorEastAsia" w:cstheme="minorEastAsia"/>
          <w:color w:val="auto"/>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z w:val="24"/>
          <w:szCs w:val="24"/>
          <w:highlight w:val="none"/>
        </w:rPr>
        <w:t>文件另有规定的除外），否则其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13.响应</w:t>
      </w:r>
      <w:r>
        <w:rPr>
          <w:rFonts w:hint="eastAsia" w:asciiTheme="minorEastAsia" w:hAnsiTheme="minorEastAsia" w:eastAsiaTheme="minorEastAsia" w:cstheme="minorEastAsia"/>
          <w:b/>
          <w:bCs/>
          <w:color w:val="auto"/>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竞争性磋商文件要求盖章的内容，一般通过CA证书加盖电子签章。</w:t>
      </w:r>
    </w:p>
    <w:p w14:paraId="46488DDC">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auto"/>
          <w:spacing w:val="-1"/>
          <w:kern w:val="0"/>
          <w:sz w:val="24"/>
          <w:szCs w:val="24"/>
          <w:highlight w:val="none"/>
          <w:lang w:val="en-US" w:eastAsia="zh-CN" w:bidi="ar-SA"/>
        </w:rPr>
      </w:pPr>
      <w:bookmarkStart w:id="22" w:name="_Toc24840"/>
      <w:r>
        <w:rPr>
          <w:color w:val="auto"/>
          <w:spacing w:val="-4"/>
          <w:sz w:val="28"/>
          <w:szCs w:val="28"/>
          <w:highlight w:val="none"/>
          <w14:textOutline w14:w="1800" w14:cap="flat" w14:cmpd="sng">
            <w14:solidFill>
              <w14:srgbClr w14:val="000000"/>
            </w14:solidFill>
            <w14:prstDash w14:val="solid"/>
            <w14:miter w14:val="0"/>
          </w14:textOutline>
        </w:rPr>
        <w:t>四</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color w:val="auto"/>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color w:val="auto"/>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15.响应文件上传截止时间</w:t>
      </w:r>
    </w:p>
    <w:p w14:paraId="15A593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16.响应文件的修改与撤回</w:t>
      </w:r>
    </w:p>
    <w:p w14:paraId="6B8C4C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color w:val="auto"/>
          <w:spacing w:val="3"/>
          <w:sz w:val="24"/>
          <w:szCs w:val="24"/>
          <w:highlight w:val="none"/>
          <w:lang w:val="en-US" w:eastAsia="zh-CN"/>
        </w:rPr>
        <w:t>上传截止时间之后，供应商不得修改或撤回电子响应文件。</w:t>
      </w:r>
    </w:p>
    <w:p w14:paraId="556DAEE5">
      <w:pPr>
        <w:bidi w:val="0"/>
        <w:rPr>
          <w:color w:val="auto"/>
          <w:highlight w:val="none"/>
        </w:rPr>
      </w:pPr>
      <w:bookmarkStart w:id="23" w:name="_Toc10621"/>
    </w:p>
    <w:p w14:paraId="4E57E985">
      <w:pPr>
        <w:rPr>
          <w:color w:val="auto"/>
          <w:spacing w:val="-1"/>
          <w:sz w:val="36"/>
          <w:szCs w:val="36"/>
          <w:highlight w:val="none"/>
          <w14:textOutline w14:w="2306" w14:cap="flat" w14:cmpd="sng">
            <w14:solidFill>
              <w14:srgbClr w14:val="000000"/>
            </w14:solidFill>
            <w14:prstDash w14:val="solid"/>
            <w14:miter w14:val="0"/>
          </w14:textOutline>
        </w:rPr>
      </w:pPr>
    </w:p>
    <w:p w14:paraId="7E118AE6">
      <w:pPr>
        <w:pStyle w:val="17"/>
        <w:rPr>
          <w:color w:val="auto"/>
          <w:spacing w:val="-1"/>
          <w:sz w:val="36"/>
          <w:szCs w:val="36"/>
          <w:highlight w:val="none"/>
          <w14:textOutline w14:w="2306" w14:cap="flat" w14:cmpd="sng">
            <w14:solidFill>
              <w14:srgbClr w14:val="000000"/>
            </w14:solidFill>
            <w14:prstDash w14:val="solid"/>
            <w14:miter w14:val="0"/>
          </w14:textOutline>
        </w:rPr>
      </w:pPr>
    </w:p>
    <w:p w14:paraId="7A9F4210">
      <w:pPr>
        <w:rPr>
          <w:color w:val="auto"/>
          <w:spacing w:val="-1"/>
          <w:sz w:val="36"/>
          <w:szCs w:val="36"/>
          <w:highlight w:val="none"/>
          <w14:textOutline w14:w="2306" w14:cap="flat" w14:cmpd="sng">
            <w14:solidFill>
              <w14:srgbClr w14:val="000000"/>
            </w14:solidFill>
            <w14:prstDash w14:val="solid"/>
            <w14:miter w14:val="0"/>
          </w14:textOutline>
        </w:rPr>
      </w:pPr>
    </w:p>
    <w:p w14:paraId="19EEF5CA">
      <w:pPr>
        <w:pStyle w:val="17"/>
        <w:rPr>
          <w:color w:val="auto"/>
          <w:spacing w:val="-1"/>
          <w:sz w:val="36"/>
          <w:szCs w:val="36"/>
          <w:highlight w:val="none"/>
          <w14:textOutline w14:w="2306" w14:cap="flat" w14:cmpd="sng">
            <w14:solidFill>
              <w14:srgbClr w14:val="000000"/>
            </w14:solidFill>
            <w14:prstDash w14:val="solid"/>
            <w14:miter w14:val="0"/>
          </w14:textOutline>
        </w:rPr>
      </w:pPr>
    </w:p>
    <w:p w14:paraId="7AA27B3F">
      <w:pPr>
        <w:rPr>
          <w:color w:val="auto"/>
          <w:spacing w:val="-1"/>
          <w:sz w:val="36"/>
          <w:szCs w:val="36"/>
          <w:highlight w:val="none"/>
          <w14:textOutline w14:w="2306" w14:cap="flat" w14:cmpd="sng">
            <w14:solidFill>
              <w14:srgbClr w14:val="000000"/>
            </w14:solidFill>
            <w14:prstDash w14:val="solid"/>
            <w14:miter w14:val="0"/>
          </w14:textOutline>
        </w:rPr>
      </w:pPr>
    </w:p>
    <w:p w14:paraId="790B3F80">
      <w:pPr>
        <w:pStyle w:val="17"/>
        <w:rPr>
          <w:color w:val="auto"/>
          <w:spacing w:val="-1"/>
          <w:sz w:val="36"/>
          <w:szCs w:val="36"/>
          <w:highlight w:val="none"/>
          <w14:textOutline w14:w="2306" w14:cap="flat" w14:cmpd="sng">
            <w14:solidFill>
              <w14:srgbClr w14:val="000000"/>
            </w14:solidFill>
            <w14:prstDash w14:val="solid"/>
            <w14:miter w14:val="0"/>
          </w14:textOutline>
        </w:rPr>
      </w:pPr>
    </w:p>
    <w:p w14:paraId="4C71ED30">
      <w:pPr>
        <w:rPr>
          <w:color w:val="auto"/>
          <w:spacing w:val="-1"/>
          <w:sz w:val="36"/>
          <w:szCs w:val="36"/>
          <w:highlight w:val="none"/>
          <w14:textOutline w14:w="2306" w14:cap="flat" w14:cmpd="sng">
            <w14:solidFill>
              <w14:srgbClr w14:val="000000"/>
            </w14:solidFill>
            <w14:prstDash w14:val="solid"/>
            <w14:miter w14:val="0"/>
          </w14:textOutline>
        </w:rPr>
      </w:pPr>
    </w:p>
    <w:p w14:paraId="7EA54A98">
      <w:pPr>
        <w:pStyle w:val="17"/>
        <w:rPr>
          <w:color w:val="auto"/>
          <w:spacing w:val="-1"/>
          <w:sz w:val="36"/>
          <w:szCs w:val="36"/>
          <w:highlight w:val="none"/>
          <w14:textOutline w14:w="2306" w14:cap="flat" w14:cmpd="sng">
            <w14:solidFill>
              <w14:srgbClr w14:val="000000"/>
            </w14:solidFill>
            <w14:prstDash w14:val="solid"/>
            <w14:miter w14:val="0"/>
          </w14:textOutline>
        </w:rPr>
      </w:pPr>
    </w:p>
    <w:p w14:paraId="5879DC55">
      <w:pPr>
        <w:rPr>
          <w:color w:val="auto"/>
          <w:spacing w:val="-1"/>
          <w:sz w:val="36"/>
          <w:szCs w:val="36"/>
          <w:highlight w:val="none"/>
          <w14:textOutline w14:w="2306" w14:cap="flat" w14:cmpd="sng">
            <w14:solidFill>
              <w14:srgbClr w14:val="000000"/>
            </w14:solidFill>
            <w14:prstDash w14:val="solid"/>
            <w14:miter w14:val="0"/>
          </w14:textOutline>
        </w:rPr>
      </w:pPr>
    </w:p>
    <w:p w14:paraId="7F6C68D3">
      <w:pPr>
        <w:pStyle w:val="17"/>
        <w:rPr>
          <w:color w:val="auto"/>
          <w:spacing w:val="-1"/>
          <w:sz w:val="36"/>
          <w:szCs w:val="36"/>
          <w:highlight w:val="none"/>
          <w14:textOutline w14:w="2306" w14:cap="flat" w14:cmpd="sng">
            <w14:solidFill>
              <w14:srgbClr w14:val="000000"/>
            </w14:solidFill>
            <w14:prstDash w14:val="solid"/>
            <w14:miter w14:val="0"/>
          </w14:textOutline>
        </w:rPr>
      </w:pPr>
    </w:p>
    <w:p w14:paraId="1FA70CA7">
      <w:pPr>
        <w:rPr>
          <w:color w:val="auto"/>
          <w:spacing w:val="-1"/>
          <w:sz w:val="36"/>
          <w:szCs w:val="36"/>
          <w:highlight w:val="none"/>
          <w14:textOutline w14:w="2306" w14:cap="flat" w14:cmpd="sng">
            <w14:solidFill>
              <w14:srgbClr w14:val="000000"/>
            </w14:solidFill>
            <w14:prstDash w14:val="solid"/>
            <w14:miter w14:val="0"/>
          </w14:textOutline>
        </w:rPr>
      </w:pPr>
    </w:p>
    <w:p w14:paraId="0FB224B1">
      <w:pPr>
        <w:pStyle w:val="17"/>
        <w:rPr>
          <w:color w:val="auto"/>
          <w:highlight w:val="none"/>
        </w:rPr>
      </w:pPr>
    </w:p>
    <w:p w14:paraId="6FEF4025">
      <w:pPr>
        <w:rPr>
          <w:color w:val="auto"/>
          <w:spacing w:val="-1"/>
          <w:sz w:val="36"/>
          <w:szCs w:val="36"/>
          <w:highlight w:val="none"/>
          <w14:textOutline w14:w="2306"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br w:type="page"/>
      </w:r>
    </w:p>
    <w:p w14:paraId="6CEF78AA">
      <w:pPr>
        <w:pStyle w:val="6"/>
        <w:keepNext w:val="0"/>
        <w:keepLines w:val="0"/>
        <w:pageBreakBefore w:val="0"/>
        <w:kinsoku/>
        <w:wordWrap w:val="0"/>
        <w:overflowPunct/>
        <w:topLinePunct w:val="0"/>
        <w:bidi w:val="0"/>
        <w:spacing w:before="358" w:line="360" w:lineRule="auto"/>
        <w:jc w:val="center"/>
        <w:outlineLvl w:val="0"/>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t>第</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四</w:t>
      </w:r>
      <w:r>
        <w:rPr>
          <w:color w:val="auto"/>
          <w:spacing w:val="-1"/>
          <w:sz w:val="36"/>
          <w:szCs w:val="36"/>
          <w:highlight w:val="none"/>
          <w14:textOutline w14:w="2306" w14:cap="flat" w14:cmpd="sng">
            <w14:solidFill>
              <w14:srgbClr w14:val="000000"/>
            </w14:solidFill>
            <w14:prstDash w14:val="solid"/>
            <w14:miter w14:val="0"/>
          </w14:textOutline>
        </w:rPr>
        <w:t>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14:textOutline w14:w="2306" w14:cap="flat" w14:cmpd="sng">
            <w14:solidFill>
              <w14:srgbClr w14:val="000000"/>
            </w14:solidFill>
            <w14:prstDash w14:val="solid"/>
            <w14:miter w14:val="0"/>
          </w14:textOutline>
        </w:rPr>
        <w:t>评</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color w:val="auto"/>
          <w:spacing w:val="-1"/>
          <w:sz w:val="36"/>
          <w:szCs w:val="36"/>
          <w:highlight w:val="none"/>
          <w14:textOutline w14:w="2306" w14:cap="flat" w14:cmpd="sng">
            <w14:solidFill>
              <w14:srgbClr w14:val="000000"/>
            </w14:solidFill>
            <w14:prstDash w14:val="solid"/>
            <w14:miter w14:val="0"/>
          </w14:textOutline>
        </w:rPr>
        <w:t>程序、</w:t>
      </w:r>
      <w:r>
        <w:rPr>
          <w:color w:val="auto"/>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四、解密电子响应文件</w:t>
      </w:r>
      <w:bookmarkEnd w:id="27"/>
    </w:p>
    <w:p w14:paraId="549B2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资格性审查</w:t>
      </w:r>
    </w:p>
    <w:tbl>
      <w:tblPr>
        <w:tblStyle w:val="30"/>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31"/>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7032A4D6">
            <w:pPr>
              <w:pStyle w:val="31"/>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2"/>
                <w:sz w:val="24"/>
                <w:szCs w:val="24"/>
                <w:highlight w:val="none"/>
                <w:lang w:val="en-US" w:eastAsia="zh-CN"/>
              </w:rPr>
              <w:t>具备的</w:t>
            </w:r>
            <w:r>
              <w:rPr>
                <w:rFonts w:hint="eastAsia" w:asciiTheme="minorEastAsia" w:hAnsiTheme="minorEastAsia" w:eastAsiaTheme="minorEastAsia" w:cstheme="minorEastAsia"/>
                <w:color w:val="auto"/>
                <w:spacing w:val="-2"/>
                <w:sz w:val="24"/>
                <w:szCs w:val="24"/>
                <w:highlight w:val="none"/>
              </w:rPr>
              <w:t>资格要求</w:t>
            </w:r>
          </w:p>
        </w:tc>
        <w:tc>
          <w:tcPr>
            <w:tcW w:w="4773" w:type="dxa"/>
            <w:vAlign w:val="top"/>
          </w:tcPr>
          <w:p w14:paraId="6A857177">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1、供应商应具有独立承担民事责任的能力以及有效的营业执照或法人证书，并在人员、设备、资金等方面具备相应的专业能力。</w:t>
            </w:r>
          </w:p>
          <w:p w14:paraId="780939BA">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供应商须具备水利行业（水库枢纽）专业工程设计乙级及以上资质和工程勘察专业（岩土工程（勘察））乙级及以上资质或者水利部公布的可以进行大坝安全鉴定的有关科研单位和大专院校（以《关于公布承担大中型水库大坝安全评价单位的通知》(水建管〔2003〕472号)文件为准)。</w:t>
            </w:r>
          </w:p>
          <w:p w14:paraId="2326B980">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3、拟派项目负责人具有水利工程相关专业高级及以上技术职称。</w:t>
            </w:r>
          </w:p>
          <w:p w14:paraId="02B781C9">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单位负责人为同一人或者存在控股、管理关系的不同单位，不得同时参加本次招标项目，需提供加盖投标人公章的“国家企业信用信息公示系统”中查询的公司信息、股东（或投资人）相关信息。（投标人若为事业单位性质，则须提供说明）；</w:t>
            </w:r>
          </w:p>
          <w:p w14:paraId="61371758">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5、参加本次政府采购活动前三年内，在经营活动中没有重大违法犯罪记录；</w:t>
            </w:r>
          </w:p>
          <w:p w14:paraId="0F3235B5">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供应商须具有良好的商业信誉和健全的财务会计制度，财务状况良好，没有处于被责令停业、破产状态，须提供具有近三年（2022年度、2023年度、2024年度）经审计的财务报告，信誉良好（成立不足三年的企业，从成立之日算起）。</w:t>
            </w:r>
          </w:p>
          <w:p w14:paraId="47047B71">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7、供应商须具有依法缴纳税收和社会保障资金的良好记录，提供近一年内任意2个月的完税证明和社会保障资金证明（新成立企业不足2个月的自成立当月起计算）；</w:t>
            </w:r>
          </w:p>
          <w:p w14:paraId="1C432322">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8、具有履行合同所必需的设备和专业技术能力;</w:t>
            </w:r>
          </w:p>
          <w:p w14:paraId="5EA0CAB5">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9、本次招标不接受联合体投标，所有标段均不允许违法分包和转包。</w:t>
            </w:r>
          </w:p>
          <w:p w14:paraId="34A01640">
            <w:pPr>
              <w:keepNext w:val="0"/>
              <w:keepLines w:val="0"/>
              <w:pageBreakBefore w:val="0"/>
              <w:kinsoku/>
              <w:wordWrap w:val="0"/>
              <w:overflowPunct/>
              <w:topLinePunct w:val="0"/>
              <w:bidi w:val="0"/>
              <w:spacing w:before="32" w:line="232" w:lineRule="auto"/>
              <w:ind w:left="112" w:right="105"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10、本次采购项目采购人不组织踏勘现场和投标预备会及注意事项，遵守国家有关法律、法规、规章。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31"/>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中 小 企</w:t>
            </w:r>
          </w:p>
          <w:p w14:paraId="6331F779">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业 证 明</w:t>
            </w:r>
          </w:p>
          <w:p w14:paraId="3D4B83E7">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文件</w:t>
            </w:r>
          </w:p>
          <w:p w14:paraId="1E95EBF9">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p>
        </w:tc>
        <w:tc>
          <w:tcPr>
            <w:tcW w:w="4773" w:type="dxa"/>
            <w:vAlign w:val="top"/>
          </w:tcPr>
          <w:p w14:paraId="1CDF351B">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31"/>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58" w:type="dxa"/>
            <w:vAlign w:val="center"/>
          </w:tcPr>
          <w:p w14:paraId="5D0C8FD2">
            <w:pPr>
              <w:keepNext w:val="0"/>
              <w:keepLines w:val="0"/>
              <w:widowControl/>
              <w:suppressLineNumbers w:val="0"/>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本 项 目</w:t>
            </w:r>
          </w:p>
          <w:p w14:paraId="71391EEC">
            <w:pPr>
              <w:keepNext w:val="0"/>
              <w:keepLines w:val="0"/>
              <w:widowControl/>
              <w:suppressLineNumbers w:val="0"/>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的 其 他</w:t>
            </w:r>
          </w:p>
          <w:p w14:paraId="3D101264">
            <w:pPr>
              <w:keepNext w:val="0"/>
              <w:keepLines w:val="0"/>
              <w:widowControl/>
              <w:suppressLineNumbers w:val="0"/>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资 格 要</w:t>
            </w:r>
          </w:p>
          <w:p w14:paraId="5FBBA66C">
            <w:pPr>
              <w:keepNext w:val="0"/>
              <w:keepLines w:val="0"/>
              <w:widowControl/>
              <w:suppressLineNumbers w:val="0"/>
              <w:jc w:val="center"/>
              <w:rPr>
                <w:rFonts w:hint="eastAsia"/>
                <w:color w:val="auto"/>
                <w:highlight w:val="none"/>
              </w:rPr>
            </w:pPr>
            <w:r>
              <w:rPr>
                <w:rFonts w:hint="eastAsia" w:ascii="宋体" w:hAnsi="宋体" w:eastAsia="宋体" w:cs="宋体"/>
                <w:snapToGrid w:val="0"/>
                <w:color w:val="auto"/>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32" w:lineRule="auto"/>
              <w:ind w:left="112" w:right="105"/>
              <w:jc w:val="both"/>
              <w:rPr>
                <w:rFonts w:hint="eastAsia"/>
                <w:color w:val="auto"/>
                <w:highlight w:val="none"/>
              </w:rPr>
            </w:pPr>
            <w:r>
              <w:rPr>
                <w:rFonts w:hint="eastAsia"/>
                <w:color w:val="auto"/>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p>
        </w:tc>
      </w:tr>
    </w:tbl>
    <w:p w14:paraId="5BA638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按照唐河县财政局《关于在政府采购活动中试行供应商资格信用承诺制的通知》唐财购</w:t>
      </w:r>
    </w:p>
    <w:p w14:paraId="722ACE42">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是否符合竞争性磋商文件的各项要求。</w:t>
      </w:r>
    </w:p>
    <w:p w14:paraId="5A70E9C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tbl>
      <w:tblPr>
        <w:tblStyle w:val="1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auto"/>
                <w:kern w:val="0"/>
                <w:sz w:val="24"/>
                <w:highlight w:val="none"/>
                <w:lang w:eastAsia="en-US"/>
              </w:rPr>
            </w:pPr>
            <w:r>
              <w:rPr>
                <w:rFonts w:hint="eastAsia" w:ascii="宋体" w:hAnsi="宋体" w:cs="宋体"/>
                <w:b/>
                <w:snapToGrid w:val="0"/>
                <w:color w:val="auto"/>
                <w:kern w:val="0"/>
                <w:sz w:val="24"/>
                <w:highlight w:val="none"/>
              </w:rPr>
              <w:t>序</w:t>
            </w:r>
            <w:r>
              <w:rPr>
                <w:rFonts w:hint="eastAsia" w:ascii="宋体" w:hAnsi="宋体" w:cs="宋体"/>
                <w:b/>
                <w:snapToGrid w:val="0"/>
                <w:color w:val="auto"/>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auto"/>
                <w:kern w:val="0"/>
                <w:sz w:val="24"/>
                <w:highlight w:val="none"/>
                <w:lang w:eastAsia="en-US"/>
              </w:rPr>
            </w:pPr>
            <w:r>
              <w:rPr>
                <w:rFonts w:hint="eastAsia" w:ascii="宋体" w:hAnsi="宋体" w:cs="宋体"/>
                <w:b/>
                <w:snapToGrid w:val="0"/>
                <w:color w:val="auto"/>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auto"/>
                <w:kern w:val="0"/>
                <w:sz w:val="24"/>
                <w:highlight w:val="none"/>
                <w:lang w:eastAsia="en-US"/>
              </w:rPr>
            </w:pPr>
            <w:r>
              <w:rPr>
                <w:rFonts w:hint="eastAsia" w:ascii="宋体" w:hAnsi="宋体" w:cs="宋体"/>
                <w:b/>
                <w:snapToGrid w:val="0"/>
                <w:color w:val="auto"/>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auto"/>
                <w:kern w:val="0"/>
                <w:sz w:val="24"/>
                <w:highlight w:val="none"/>
              </w:rPr>
            </w:pPr>
            <w:r>
              <w:rPr>
                <w:rFonts w:hint="eastAsia"/>
                <w:color w:val="auto"/>
                <w:sz w:val="24"/>
                <w:highlight w:val="none"/>
              </w:rPr>
              <w:t>与营业执照或其他资格证明文件（</w:t>
            </w:r>
            <w:r>
              <w:rPr>
                <w:rFonts w:hint="eastAsia" w:ascii="宋体" w:hAnsi="宋体" w:cs="宋体"/>
                <w:color w:val="auto"/>
                <w:spacing w:val="-2"/>
                <w:sz w:val="24"/>
                <w:highlight w:val="none"/>
              </w:rPr>
              <w:t>如事业单位法人证书等</w:t>
            </w:r>
            <w:r>
              <w:rPr>
                <w:rFonts w:hint="eastAsia"/>
                <w:color w:val="auto"/>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符合第六章</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响应文件格式</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服务期限</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hint="eastAsia" w:ascii="宋体" w:hAnsi="宋体" w:eastAsia="宋体" w:cs="宋体"/>
                <w:bCs/>
                <w:snapToGrid w:val="0"/>
                <w:color w:val="auto"/>
                <w:kern w:val="0"/>
                <w:sz w:val="24"/>
                <w:highlight w:val="none"/>
                <w:lang w:eastAsia="zh-CN"/>
              </w:rPr>
            </w:pPr>
            <w:r>
              <w:rPr>
                <w:rFonts w:hint="eastAsia" w:ascii="宋体" w:hAnsi="宋体" w:eastAsia="宋体" w:cs="宋体"/>
                <w:bCs/>
                <w:snapToGrid w:val="0"/>
                <w:color w:val="auto"/>
                <w:kern w:val="0"/>
                <w:sz w:val="24"/>
                <w:highlight w:val="none"/>
                <w:lang w:val="en-US" w:eastAsia="zh-CN"/>
              </w:rPr>
              <w:t>7</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hint="eastAsia" w:ascii="宋体" w:hAnsi="宋体" w:eastAsia="宋体" w:cs="宋体"/>
                <w:bCs/>
                <w:snapToGrid w:val="0"/>
                <w:color w:val="auto"/>
                <w:kern w:val="0"/>
                <w:sz w:val="24"/>
                <w:highlight w:val="none"/>
                <w:lang w:eastAsia="zh-CN"/>
              </w:rPr>
            </w:pPr>
            <w:r>
              <w:rPr>
                <w:rFonts w:hint="eastAsia" w:ascii="宋体" w:hAnsi="宋体" w:eastAsia="宋体" w:cs="宋体"/>
                <w:bCs/>
                <w:snapToGrid w:val="0"/>
                <w:color w:val="auto"/>
                <w:kern w:val="0"/>
                <w:sz w:val="24"/>
                <w:highlight w:val="none"/>
                <w:lang w:val="en-US" w:eastAsia="zh-CN"/>
              </w:rPr>
              <w:t>8</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w:t>
      </w:r>
    </w:p>
    <w:p w14:paraId="67F2C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磋商、响应文件有关事项的澄清、说明或者更正和最后报价</w:t>
      </w:r>
    </w:p>
    <w:p w14:paraId="0F7AA2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.1</w:t>
      </w:r>
      <w:r>
        <w:rPr>
          <w:rFonts w:hint="eastAsia"/>
          <w:color w:val="auto"/>
          <w:sz w:val="24"/>
          <w:szCs w:val="24"/>
          <w:highlight w:val="none"/>
          <w:lang w:val="en-US" w:eastAsia="zh-CN"/>
        </w:rPr>
        <w:t xml:space="preserve"> </w:t>
      </w:r>
      <w:r>
        <w:rPr>
          <w:color w:val="auto"/>
          <w:sz w:val="24"/>
          <w:szCs w:val="24"/>
          <w:highlight w:val="none"/>
        </w:rPr>
        <w:t>磋商小组所有成员将集中与单一供应商分别进行磋商，并给予所有参加磋商的供应商平等的磋商机会。</w:t>
      </w:r>
    </w:p>
    <w:p w14:paraId="2FB56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.2</w:t>
      </w:r>
      <w:r>
        <w:rPr>
          <w:rFonts w:hint="eastAsia"/>
          <w:color w:val="auto"/>
          <w:sz w:val="24"/>
          <w:szCs w:val="24"/>
          <w:highlight w:val="none"/>
          <w:lang w:val="en-US" w:eastAsia="zh-CN"/>
        </w:rPr>
        <w:t xml:space="preserve"> </w:t>
      </w:r>
      <w:r>
        <w:rPr>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.3</w:t>
      </w:r>
      <w:r>
        <w:rPr>
          <w:rFonts w:hint="eastAsia"/>
          <w:color w:val="auto"/>
          <w:sz w:val="24"/>
          <w:szCs w:val="24"/>
          <w:highlight w:val="none"/>
          <w:lang w:val="en-US" w:eastAsia="zh-CN"/>
        </w:rPr>
        <w:t xml:space="preserve"> </w:t>
      </w:r>
      <w:r>
        <w:rPr>
          <w:color w:val="auto"/>
          <w:sz w:val="24"/>
          <w:szCs w:val="24"/>
          <w:highlight w:val="none"/>
        </w:rPr>
        <w:t>对磋商文件作出的实质性变动是磋商文件的有效组成部分，磋商小组应当及时</w:t>
      </w:r>
      <w:r>
        <w:rPr>
          <w:rFonts w:hint="eastAsia"/>
          <w:color w:val="auto"/>
          <w:sz w:val="24"/>
          <w:szCs w:val="24"/>
          <w:highlight w:val="none"/>
          <w:lang w:val="en-US" w:eastAsia="zh-CN"/>
        </w:rPr>
        <w:t>通过</w:t>
      </w:r>
      <w:r>
        <w:rPr>
          <w:rFonts w:hint="eastAsia"/>
          <w:color w:val="auto"/>
          <w:sz w:val="24"/>
          <w:szCs w:val="24"/>
          <w:highlight w:val="none"/>
        </w:rPr>
        <w:t>评标系统通知</w:t>
      </w:r>
      <w:r>
        <w:rPr>
          <w:color w:val="auto"/>
          <w:sz w:val="24"/>
          <w:szCs w:val="24"/>
          <w:highlight w:val="none"/>
        </w:rPr>
        <w:t>所有参加磋商的供应商。</w:t>
      </w:r>
      <w:r>
        <w:rPr>
          <w:rFonts w:hint="eastAsia"/>
          <w:color w:val="auto"/>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.4</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auto"/>
          <w:kern w:val="0"/>
          <w:sz w:val="24"/>
          <w:szCs w:val="24"/>
          <w:highlight w:val="none"/>
          <w:lang w:val="en-US" w:eastAsia="zh-CN" w:bidi="ar-SA"/>
        </w:rPr>
        <w:t>评标</w:t>
      </w:r>
      <w:r>
        <w:rPr>
          <w:rFonts w:hint="eastAsia" w:ascii="宋体" w:hAnsi="宋体" w:eastAsia="宋体" w:cs="宋体"/>
          <w:snapToGrid w:val="0"/>
          <w:color w:val="auto"/>
          <w:kern w:val="0"/>
          <w:sz w:val="24"/>
          <w:szCs w:val="24"/>
          <w:highlight w:val="none"/>
          <w:lang w:val="en-US" w:eastAsia="en-US" w:bidi="ar-SA"/>
        </w:rPr>
        <w:t>系统以在线形式提交承诺，并用</w:t>
      </w:r>
      <w:r>
        <w:rPr>
          <w:rFonts w:hint="eastAsia" w:ascii="宋体" w:hAnsi="宋体" w:eastAsia="宋体" w:cs="宋体"/>
          <w:snapToGrid w:val="0"/>
          <w:color w:val="auto"/>
          <w:kern w:val="0"/>
          <w:sz w:val="24"/>
          <w:szCs w:val="24"/>
          <w:highlight w:val="none"/>
          <w:lang w:val="en-US" w:eastAsia="zh-CN" w:bidi="ar-SA"/>
        </w:rPr>
        <w:t>CA</w:t>
      </w:r>
      <w:r>
        <w:rPr>
          <w:rFonts w:hint="eastAsia" w:ascii="宋体" w:hAnsi="宋体" w:eastAsia="宋体" w:cs="宋体"/>
          <w:snapToGrid w:val="0"/>
          <w:color w:val="auto"/>
          <w:kern w:val="0"/>
          <w:sz w:val="24"/>
          <w:szCs w:val="24"/>
          <w:highlight w:val="none"/>
          <w:lang w:val="en-US" w:eastAsia="en-US" w:bidi="ar-SA"/>
        </w:rPr>
        <w:t>签章。</w:t>
      </w:r>
    </w:p>
    <w:p w14:paraId="7A82E9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 </w:t>
      </w:r>
      <w:r>
        <w:rPr>
          <w:rFonts w:ascii="宋体" w:hAnsi="宋体" w:eastAsia="宋体" w:cs="宋体"/>
          <w:snapToGrid w:val="0"/>
          <w:color w:val="auto"/>
          <w:kern w:val="0"/>
          <w:sz w:val="24"/>
          <w:szCs w:val="24"/>
          <w:highlight w:val="none"/>
          <w:lang w:val="en-US" w:eastAsia="en-US" w:bidi="ar-SA"/>
        </w:rPr>
        <w:t>响应文件的澄清、说明或者更正：</w:t>
      </w:r>
    </w:p>
    <w:p w14:paraId="40112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.5.1</w:t>
      </w:r>
      <w:r>
        <w:rPr>
          <w:rFonts w:hint="eastAsia"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2 </w:t>
      </w:r>
      <w:r>
        <w:rPr>
          <w:rFonts w:hint="eastAsia" w:ascii="宋体" w:hAnsi="宋体" w:eastAsia="宋体" w:cs="宋体"/>
          <w:snapToGrid w:val="0"/>
          <w:color w:val="auto"/>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.6</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auto"/>
          <w:kern w:val="0"/>
          <w:sz w:val="24"/>
          <w:szCs w:val="24"/>
          <w:highlight w:val="none"/>
          <w:lang w:val="en-US" w:eastAsia="zh-CN" w:bidi="ar-SA"/>
        </w:rPr>
        <w:t>得</w:t>
      </w:r>
      <w:r>
        <w:rPr>
          <w:rFonts w:hint="eastAsia" w:ascii="宋体" w:hAnsi="宋体" w:eastAsia="宋体" w:cs="宋体"/>
          <w:snapToGrid w:val="0"/>
          <w:color w:val="auto"/>
          <w:kern w:val="0"/>
          <w:sz w:val="24"/>
          <w:szCs w:val="24"/>
          <w:highlight w:val="none"/>
          <w:lang w:val="en-US" w:eastAsia="en-US" w:bidi="ar-SA"/>
        </w:rPr>
        <w:t>少于</w:t>
      </w: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家。《</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auto"/>
          <w:kern w:val="0"/>
          <w:sz w:val="24"/>
          <w:szCs w:val="24"/>
          <w:highlight w:val="none"/>
          <w:lang w:val="en-US" w:eastAsia="en-US" w:bidi="ar-SA"/>
        </w:rPr>
        <w:t>》第</w:t>
      </w:r>
      <w:r>
        <w:rPr>
          <w:rFonts w:hint="eastAsia" w:ascii="宋体" w:hAnsi="宋体" w:eastAsia="宋体" w:cs="宋体"/>
          <w:snapToGrid w:val="0"/>
          <w:color w:val="auto"/>
          <w:kern w:val="0"/>
          <w:sz w:val="24"/>
          <w:szCs w:val="24"/>
          <w:highlight w:val="none"/>
          <w:lang w:val="en-US" w:eastAsia="zh-CN" w:bidi="ar-SA"/>
        </w:rPr>
        <w:t>三</w:t>
      </w:r>
      <w:r>
        <w:rPr>
          <w:rFonts w:hint="eastAsia" w:ascii="宋体" w:hAnsi="宋体" w:eastAsia="宋体" w:cs="宋体"/>
          <w:snapToGrid w:val="0"/>
          <w:color w:val="auto"/>
          <w:kern w:val="0"/>
          <w:sz w:val="24"/>
          <w:szCs w:val="24"/>
          <w:highlight w:val="none"/>
          <w:lang w:val="en-US" w:eastAsia="en-US" w:bidi="ar-SA"/>
        </w:rPr>
        <w:t>条第</w:t>
      </w:r>
      <w:r>
        <w:rPr>
          <w:rFonts w:hint="eastAsia" w:ascii="宋体" w:hAnsi="宋体" w:eastAsia="宋体" w:cs="宋体"/>
          <w:snapToGrid w:val="0"/>
          <w:color w:val="auto"/>
          <w:kern w:val="0"/>
          <w:sz w:val="24"/>
          <w:szCs w:val="24"/>
          <w:highlight w:val="none"/>
          <w:lang w:val="en-US" w:eastAsia="zh-CN" w:bidi="ar-SA"/>
        </w:rPr>
        <w:t>四项</w:t>
      </w:r>
      <w:r>
        <w:rPr>
          <w:rFonts w:hint="eastAsia" w:ascii="宋体" w:hAnsi="宋体" w:eastAsia="宋体" w:cs="宋体"/>
          <w:snapToGrid w:val="0"/>
          <w:color w:val="auto"/>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.7</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 xml:space="preserve">8 </w:t>
      </w:r>
      <w:r>
        <w:rPr>
          <w:rFonts w:hint="eastAsia" w:cs="宋体"/>
          <w:snapToGrid w:val="0"/>
          <w:color w:val="auto"/>
          <w:kern w:val="0"/>
          <w:sz w:val="24"/>
          <w:szCs w:val="24"/>
          <w:highlight w:val="none"/>
          <w:lang w:val="en-US" w:eastAsia="en-US" w:bidi="ar-SA"/>
        </w:rPr>
        <w:t>已</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交响应文件的供应商，在</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交最后报价之前，可以根据磋商情况退出磋商。</w:t>
      </w:r>
    </w:p>
    <w:p w14:paraId="371E0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7.</w:t>
      </w:r>
      <w:r>
        <w:rPr>
          <w:rFonts w:hint="eastAsia" w:cs="宋体"/>
          <w:snapToGrid w:val="0"/>
          <w:color w:val="auto"/>
          <w:kern w:val="0"/>
          <w:sz w:val="24"/>
          <w:szCs w:val="24"/>
          <w:highlight w:val="none"/>
          <w:lang w:val="en-US" w:eastAsia="en-US" w:bidi="ar-SA"/>
        </w:rPr>
        <w:t>最后报价的算术修正及政策调整</w:t>
      </w:r>
    </w:p>
    <w:p w14:paraId="237193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auto"/>
          <w:kern w:val="0"/>
          <w:sz w:val="24"/>
          <w:szCs w:val="24"/>
          <w:highlight w:val="none"/>
          <w:lang w:val="en-US" w:eastAsia="zh-CN" w:bidi="ar-SA"/>
        </w:rPr>
        <w:t>。</w:t>
      </w:r>
    </w:p>
    <w:p w14:paraId="617B7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评审方法和评审标准</w:t>
      </w:r>
    </w:p>
    <w:p w14:paraId="661D8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本项目采用的评审方法为</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.2</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竞争性磋商文件中没有规定的评审标准不得作为评审依据。</w:t>
      </w:r>
    </w:p>
    <w:p w14:paraId="679E56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.3</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w:t>
      </w:r>
    </w:p>
    <w:p w14:paraId="13A77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.4</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关于无线局域网认证产品政府采购清单中的产品，优先采购的具体规定（如涉及）</w:t>
      </w:r>
      <w:r>
        <w:rPr>
          <w:color w:val="auto"/>
          <w:spacing w:val="-25"/>
          <w:sz w:val="24"/>
          <w:szCs w:val="24"/>
          <w:highlight w:val="none"/>
        </w:rPr>
        <w:t>。</w:t>
      </w:r>
    </w:p>
    <w:p w14:paraId="4C6B08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确定成交候选人名单</w:t>
      </w:r>
    </w:p>
    <w:p w14:paraId="050A3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auto"/>
          <w:kern w:val="0"/>
          <w:sz w:val="24"/>
          <w:szCs w:val="24"/>
          <w:highlight w:val="none"/>
          <w:lang w:val="en-US" w:eastAsia="en-US" w:bidi="ar-SA"/>
        </w:rPr>
      </w:pPr>
      <w:r>
        <w:rPr>
          <w:rFonts w:hint="eastAsia" w:cs="宋体"/>
          <w:b/>
          <w:bCs/>
          <w:snapToGrid w:val="0"/>
          <w:color w:val="auto"/>
          <w:kern w:val="0"/>
          <w:sz w:val="24"/>
          <w:szCs w:val="24"/>
          <w:highlight w:val="none"/>
          <w:lang w:val="en-US" w:eastAsia="zh-CN" w:bidi="ar-SA"/>
        </w:rPr>
        <w:t>9</w:t>
      </w:r>
      <w:r>
        <w:rPr>
          <w:rFonts w:hint="eastAsia" w:cs="宋体"/>
          <w:b/>
          <w:bCs/>
          <w:snapToGrid w:val="0"/>
          <w:color w:val="auto"/>
          <w:kern w:val="0"/>
          <w:sz w:val="24"/>
          <w:szCs w:val="24"/>
          <w:highlight w:val="none"/>
          <w:lang w:val="en-US" w:eastAsia="en-US" w:bidi="ar-SA"/>
        </w:rPr>
        <w:t>.</w:t>
      </w:r>
      <w:r>
        <w:rPr>
          <w:rFonts w:hint="eastAsia" w:cs="宋体"/>
          <w:b/>
          <w:bCs/>
          <w:snapToGrid w:val="0"/>
          <w:color w:val="auto"/>
          <w:kern w:val="0"/>
          <w:sz w:val="24"/>
          <w:szCs w:val="24"/>
          <w:highlight w:val="none"/>
          <w:lang w:val="en-US" w:eastAsia="zh-CN" w:bidi="ar-SA"/>
        </w:rPr>
        <w:t xml:space="preserve">2 </w:t>
      </w:r>
      <w:r>
        <w:rPr>
          <w:rFonts w:hint="eastAsia" w:cs="宋体"/>
          <w:b/>
          <w:bCs/>
          <w:snapToGrid w:val="0"/>
          <w:color w:val="auto"/>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3 ☑</w:t>
      </w:r>
      <w:r>
        <w:rPr>
          <w:rFonts w:hint="eastAsia" w:cs="宋体"/>
          <w:snapToGrid w:val="0"/>
          <w:color w:val="auto"/>
          <w:kern w:val="0"/>
          <w:sz w:val="24"/>
          <w:szCs w:val="24"/>
          <w:highlight w:val="none"/>
          <w:lang w:val="en-US" w:eastAsia="en-US" w:bidi="ar-SA"/>
        </w:rPr>
        <w:t>磋商小组根据上述供应商排序，依次推荐排序前</w:t>
      </w:r>
      <w:r>
        <w:rPr>
          <w:rFonts w:hint="eastAsia" w:cs="宋体"/>
          <w:snapToGrid w:val="0"/>
          <w:color w:val="auto"/>
          <w:kern w:val="0"/>
          <w:sz w:val="24"/>
          <w:szCs w:val="24"/>
          <w:highlight w:val="none"/>
          <w:lang w:val="en-US" w:eastAsia="zh-CN" w:bidi="ar-SA"/>
        </w:rPr>
        <w:t>3</w:t>
      </w:r>
      <w:r>
        <w:rPr>
          <w:rFonts w:hint="eastAsia" w:cs="宋体"/>
          <w:snapToGrid w:val="0"/>
          <w:color w:val="auto"/>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报告违法行为</w:t>
      </w:r>
    </w:p>
    <w:p w14:paraId="7B034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highlight w:val="none"/>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磋商小组在评审过程中发现供应商有行贿、</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6"/>
        <w:keepNext w:val="0"/>
        <w:keepLines w:val="0"/>
        <w:pageBreakBefore w:val="0"/>
        <w:kinsoku/>
        <w:wordWrap w:val="0"/>
        <w:overflowPunct/>
        <w:topLinePunct w:val="0"/>
        <w:bidi w:val="0"/>
        <w:spacing w:before="78" w:line="221" w:lineRule="auto"/>
        <w:jc w:val="center"/>
        <w:outlineLvl w:val="1"/>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18"/>
        <w:tblW w:w="51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2"/>
        <w:gridCol w:w="1450"/>
        <w:gridCol w:w="1069"/>
        <w:gridCol w:w="1861"/>
        <w:gridCol w:w="5038"/>
      </w:tblGrid>
      <w:tr w14:paraId="3569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481" w:type="pct"/>
            <w:shd w:val="clear" w:color="auto" w:fill="auto"/>
            <w:noWrap w:val="0"/>
            <w:vAlign w:val="top"/>
          </w:tcPr>
          <w:p w14:paraId="05CFE599">
            <w:pPr>
              <w:widowControl/>
              <w:wordWrap w:val="0"/>
              <w:autoSpaceDE w:val="0"/>
              <w:autoSpaceDN w:val="0"/>
              <w:adjustRightInd w:val="0"/>
              <w:snapToGrid w:val="0"/>
              <w:spacing w:before="40" w:line="208" w:lineRule="auto"/>
              <w:jc w:val="center"/>
              <w:textAlignment w:val="baseline"/>
              <w:rPr>
                <w:rFonts w:hint="eastAsia" w:ascii="宋体" w:hAnsi="宋体" w:cs="宋体"/>
                <w:b/>
                <w:bCs/>
                <w:snapToGrid w:val="0"/>
                <w:color w:val="auto"/>
                <w:kern w:val="0"/>
                <w:sz w:val="24"/>
                <w:highlight w:val="none"/>
                <w:lang w:eastAsia="en-US"/>
              </w:rPr>
            </w:pPr>
            <w:r>
              <w:rPr>
                <w:rFonts w:hint="eastAsia" w:ascii="宋体" w:hAnsi="宋体" w:cs="宋体"/>
                <w:b/>
                <w:bCs/>
                <w:snapToGrid w:val="0"/>
                <w:color w:val="auto"/>
                <w:spacing w:val="-3"/>
                <w:kern w:val="0"/>
                <w:sz w:val="24"/>
                <w:highlight w:val="none"/>
                <w:lang w:eastAsia="en-US"/>
              </w:rPr>
              <w:t>序号</w:t>
            </w:r>
          </w:p>
        </w:tc>
        <w:tc>
          <w:tcPr>
            <w:tcW w:w="695" w:type="pct"/>
            <w:shd w:val="clear" w:color="auto" w:fill="auto"/>
            <w:noWrap w:val="0"/>
            <w:vAlign w:val="top"/>
          </w:tcPr>
          <w:p w14:paraId="7B86A5CE">
            <w:pPr>
              <w:widowControl/>
              <w:wordWrap w:val="0"/>
              <w:autoSpaceDE w:val="0"/>
              <w:autoSpaceDN w:val="0"/>
              <w:adjustRightInd w:val="0"/>
              <w:snapToGrid w:val="0"/>
              <w:spacing w:before="40" w:line="208" w:lineRule="auto"/>
              <w:jc w:val="center"/>
              <w:textAlignment w:val="baseline"/>
              <w:rPr>
                <w:rFonts w:hint="eastAsia" w:ascii="宋体" w:hAnsi="宋体" w:cs="宋体"/>
                <w:b/>
                <w:bCs/>
                <w:snapToGrid w:val="0"/>
                <w:color w:val="auto"/>
                <w:kern w:val="0"/>
                <w:sz w:val="24"/>
                <w:highlight w:val="none"/>
                <w:lang w:eastAsia="en-US"/>
              </w:rPr>
            </w:pPr>
            <w:r>
              <w:rPr>
                <w:rFonts w:hint="eastAsia" w:ascii="宋体" w:hAnsi="宋体" w:cs="宋体"/>
                <w:b/>
                <w:bCs/>
                <w:snapToGrid w:val="0"/>
                <w:color w:val="auto"/>
                <w:spacing w:val="-2"/>
                <w:kern w:val="0"/>
                <w:sz w:val="24"/>
                <w:highlight w:val="none"/>
                <w:lang w:eastAsia="en-US"/>
              </w:rPr>
              <w:t>评分因素</w:t>
            </w:r>
          </w:p>
        </w:tc>
        <w:tc>
          <w:tcPr>
            <w:tcW w:w="513" w:type="pct"/>
            <w:shd w:val="clear" w:color="auto" w:fill="auto"/>
            <w:noWrap w:val="0"/>
            <w:vAlign w:val="top"/>
          </w:tcPr>
          <w:p w14:paraId="3A40B3FF">
            <w:pPr>
              <w:widowControl/>
              <w:wordWrap w:val="0"/>
              <w:autoSpaceDE w:val="0"/>
              <w:autoSpaceDN w:val="0"/>
              <w:adjustRightInd w:val="0"/>
              <w:snapToGrid w:val="0"/>
              <w:spacing w:before="40" w:line="208" w:lineRule="auto"/>
              <w:jc w:val="center"/>
              <w:textAlignment w:val="baseline"/>
              <w:rPr>
                <w:rFonts w:hint="eastAsia" w:ascii="宋体" w:hAnsi="宋体" w:cs="宋体"/>
                <w:b/>
                <w:bCs/>
                <w:snapToGrid w:val="0"/>
                <w:color w:val="auto"/>
                <w:kern w:val="0"/>
                <w:sz w:val="24"/>
                <w:highlight w:val="none"/>
                <w:lang w:eastAsia="en-US"/>
              </w:rPr>
            </w:pPr>
            <w:r>
              <w:rPr>
                <w:rFonts w:hint="eastAsia" w:ascii="宋体" w:hAnsi="宋体" w:cs="宋体"/>
                <w:b/>
                <w:bCs/>
                <w:snapToGrid w:val="0"/>
                <w:color w:val="auto"/>
                <w:spacing w:val="-4"/>
                <w:kern w:val="0"/>
                <w:sz w:val="24"/>
                <w:highlight w:val="none"/>
                <w:lang w:eastAsia="en-US"/>
              </w:rPr>
              <w:t>分值</w:t>
            </w:r>
          </w:p>
        </w:tc>
        <w:tc>
          <w:tcPr>
            <w:tcW w:w="893" w:type="pct"/>
            <w:shd w:val="clear" w:color="auto" w:fill="auto"/>
            <w:noWrap w:val="0"/>
            <w:vAlign w:val="top"/>
          </w:tcPr>
          <w:p w14:paraId="1D51A466">
            <w:pPr>
              <w:widowControl/>
              <w:wordWrap w:val="0"/>
              <w:autoSpaceDE w:val="0"/>
              <w:autoSpaceDN w:val="0"/>
              <w:adjustRightInd w:val="0"/>
              <w:snapToGrid w:val="0"/>
              <w:spacing w:before="40" w:line="208" w:lineRule="auto"/>
              <w:jc w:val="center"/>
              <w:textAlignment w:val="baseline"/>
              <w:rPr>
                <w:rFonts w:hint="eastAsia" w:ascii="宋体" w:hAnsi="宋体" w:cs="宋体"/>
                <w:b/>
                <w:bCs/>
                <w:snapToGrid w:val="0"/>
                <w:color w:val="auto"/>
                <w:kern w:val="0"/>
                <w:sz w:val="24"/>
                <w:highlight w:val="none"/>
                <w:lang w:eastAsia="en-US"/>
              </w:rPr>
            </w:pPr>
            <w:r>
              <w:rPr>
                <w:rFonts w:hint="eastAsia" w:ascii="宋体" w:hAnsi="宋体" w:cs="宋体"/>
                <w:b/>
                <w:bCs/>
                <w:snapToGrid w:val="0"/>
                <w:color w:val="auto"/>
                <w:spacing w:val="-2"/>
                <w:kern w:val="0"/>
                <w:sz w:val="24"/>
                <w:highlight w:val="none"/>
                <w:lang w:eastAsia="en-US"/>
              </w:rPr>
              <w:t>评分标准</w:t>
            </w:r>
          </w:p>
        </w:tc>
        <w:tc>
          <w:tcPr>
            <w:tcW w:w="2415" w:type="pct"/>
            <w:shd w:val="clear" w:color="auto" w:fill="auto"/>
            <w:noWrap w:val="0"/>
            <w:vAlign w:val="top"/>
          </w:tcPr>
          <w:p w14:paraId="1A05F147">
            <w:pPr>
              <w:widowControl/>
              <w:wordWrap w:val="0"/>
              <w:autoSpaceDE w:val="0"/>
              <w:autoSpaceDN w:val="0"/>
              <w:adjustRightInd w:val="0"/>
              <w:snapToGrid w:val="0"/>
              <w:spacing w:before="40" w:line="208" w:lineRule="auto"/>
              <w:jc w:val="center"/>
              <w:textAlignment w:val="baseline"/>
              <w:rPr>
                <w:rFonts w:hint="eastAsia" w:ascii="宋体" w:hAnsi="宋体" w:cs="宋体"/>
                <w:b/>
                <w:bCs/>
                <w:snapToGrid w:val="0"/>
                <w:color w:val="auto"/>
                <w:kern w:val="0"/>
                <w:sz w:val="24"/>
                <w:highlight w:val="none"/>
                <w:lang w:eastAsia="en-US"/>
              </w:rPr>
            </w:pPr>
            <w:r>
              <w:rPr>
                <w:rFonts w:hint="eastAsia" w:ascii="宋体" w:hAnsi="宋体" w:cs="宋体"/>
                <w:b/>
                <w:bCs/>
                <w:snapToGrid w:val="0"/>
                <w:color w:val="auto"/>
                <w:spacing w:val="-4"/>
                <w:kern w:val="0"/>
                <w:sz w:val="24"/>
                <w:highlight w:val="none"/>
                <w:lang w:eastAsia="en-US"/>
              </w:rPr>
              <w:t>说明</w:t>
            </w:r>
          </w:p>
        </w:tc>
      </w:tr>
      <w:tr w14:paraId="0F59C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481" w:type="pct"/>
            <w:shd w:val="clear" w:color="auto" w:fill="auto"/>
            <w:noWrap w:val="0"/>
            <w:vAlign w:val="center"/>
          </w:tcPr>
          <w:p w14:paraId="4F609BB8">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1606DBFC">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212B1191">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5E339F4C">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1CF87B98">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4F23BE5F">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23591538">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0F21E23F">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13ACE5C8">
            <w:pPr>
              <w:wordWrap w:val="0"/>
              <w:autoSpaceDE w:val="0"/>
              <w:autoSpaceDN w:val="0"/>
              <w:adjustRightInd w:val="0"/>
              <w:snapToGrid w:val="0"/>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p w14:paraId="2A3D5034">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4E0096C2">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2C8AE37C">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346AA276">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5F72CBB2">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2B1102D9">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4D027973">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529C2D39">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p w14:paraId="28289782">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tc>
        <w:tc>
          <w:tcPr>
            <w:tcW w:w="695" w:type="pct"/>
            <w:shd w:val="clear" w:color="auto" w:fill="auto"/>
            <w:noWrap w:val="0"/>
            <w:vAlign w:val="center"/>
          </w:tcPr>
          <w:p w14:paraId="4990BCFD">
            <w:pPr>
              <w:wordWrap w:val="0"/>
              <w:autoSpaceDE w:val="0"/>
              <w:autoSpaceDN w:val="0"/>
              <w:adjustRightInd w:val="0"/>
              <w:snapToGrid w:val="0"/>
              <w:spacing w:line="295" w:lineRule="auto"/>
              <w:jc w:val="center"/>
              <w:textAlignment w:val="baseline"/>
              <w:rPr>
                <w:rFonts w:hint="eastAsia" w:ascii="宋体" w:hAnsi="宋体" w:cs="宋体"/>
                <w:snapToGrid w:val="0"/>
                <w:color w:val="auto"/>
                <w:kern w:val="0"/>
                <w:szCs w:val="21"/>
                <w:highlight w:val="none"/>
                <w:lang w:eastAsia="en-US"/>
              </w:rPr>
            </w:pPr>
          </w:p>
          <w:p w14:paraId="714AA88B">
            <w:pPr>
              <w:wordWrap w:val="0"/>
              <w:autoSpaceDE w:val="0"/>
              <w:autoSpaceDN w:val="0"/>
              <w:adjustRightInd w:val="0"/>
              <w:snapToGrid w:val="0"/>
              <w:spacing w:line="296" w:lineRule="auto"/>
              <w:jc w:val="center"/>
              <w:textAlignment w:val="baseline"/>
              <w:rPr>
                <w:rFonts w:hint="eastAsia" w:ascii="宋体" w:hAnsi="宋体" w:cs="宋体"/>
                <w:snapToGrid w:val="0"/>
                <w:color w:val="auto"/>
                <w:kern w:val="0"/>
                <w:szCs w:val="21"/>
                <w:highlight w:val="none"/>
                <w:lang w:eastAsia="en-US"/>
              </w:rPr>
            </w:pPr>
          </w:p>
          <w:p w14:paraId="135CDDDC">
            <w:pPr>
              <w:wordWrap w:val="0"/>
              <w:autoSpaceDE w:val="0"/>
              <w:autoSpaceDN w:val="0"/>
              <w:adjustRightInd w:val="0"/>
              <w:snapToGrid w:val="0"/>
              <w:spacing w:line="296" w:lineRule="auto"/>
              <w:jc w:val="center"/>
              <w:textAlignment w:val="baseline"/>
              <w:rPr>
                <w:rFonts w:hint="eastAsia" w:ascii="宋体" w:hAnsi="宋体" w:cs="宋体"/>
                <w:snapToGrid w:val="0"/>
                <w:color w:val="auto"/>
                <w:kern w:val="0"/>
                <w:szCs w:val="21"/>
                <w:highlight w:val="none"/>
                <w:lang w:eastAsia="en-US"/>
              </w:rPr>
            </w:pPr>
          </w:p>
          <w:p w14:paraId="3C5DB444">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5EB4CF92">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50EE2B4A">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57354A9A">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3"/>
                <w:kern w:val="0"/>
                <w:sz w:val="24"/>
                <w:highlight w:val="none"/>
                <w:lang w:eastAsia="en-US"/>
              </w:rPr>
            </w:pPr>
            <w:r>
              <w:rPr>
                <w:rFonts w:hint="eastAsia" w:ascii="宋体" w:hAnsi="宋体" w:cs="宋体"/>
                <w:snapToGrid w:val="0"/>
                <w:color w:val="auto"/>
                <w:spacing w:val="-3"/>
                <w:kern w:val="0"/>
                <w:sz w:val="24"/>
                <w:highlight w:val="none"/>
                <w:lang w:eastAsia="en-US"/>
              </w:rPr>
              <w:t>投标报价</w:t>
            </w:r>
          </w:p>
          <w:p w14:paraId="792963DB">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713DCEBC">
            <w:pPr>
              <w:widowControl/>
              <w:wordWrap w:val="0"/>
              <w:autoSpaceDE w:val="0"/>
              <w:autoSpaceDN w:val="0"/>
              <w:adjustRightInd w:val="0"/>
              <w:snapToGrid w:val="0"/>
              <w:spacing w:before="78" w:line="219" w:lineRule="auto"/>
              <w:ind w:left="272"/>
              <w:jc w:val="center"/>
              <w:textAlignment w:val="baseline"/>
              <w:rPr>
                <w:rFonts w:hint="eastAsia" w:ascii="宋体" w:hAnsi="宋体" w:eastAsia="宋体" w:cs="宋体"/>
                <w:snapToGrid w:val="0"/>
                <w:color w:val="auto"/>
                <w:spacing w:val="-3"/>
                <w:kern w:val="0"/>
                <w:sz w:val="24"/>
                <w:highlight w:val="none"/>
                <w:lang w:eastAsia="zh-CN"/>
              </w:rPr>
            </w:pPr>
            <w:r>
              <w:rPr>
                <w:rFonts w:hint="eastAsia" w:ascii="宋体" w:hAnsi="宋体" w:eastAsia="宋体" w:cs="宋体"/>
                <w:snapToGrid w:val="0"/>
                <w:color w:val="auto"/>
                <w:spacing w:val="-3"/>
                <w:kern w:val="0"/>
                <w:sz w:val="24"/>
                <w:highlight w:val="none"/>
                <w:lang w:eastAsia="zh-CN"/>
              </w:rPr>
              <w:t>（</w:t>
            </w:r>
            <w:r>
              <w:rPr>
                <w:rFonts w:hint="eastAsia" w:ascii="宋体" w:hAnsi="宋体" w:eastAsia="宋体" w:cs="宋体"/>
                <w:snapToGrid w:val="0"/>
                <w:color w:val="auto"/>
                <w:spacing w:val="-3"/>
                <w:kern w:val="0"/>
                <w:sz w:val="24"/>
                <w:highlight w:val="none"/>
                <w:lang w:val="en-US" w:eastAsia="zh-CN"/>
              </w:rPr>
              <w:t>10分</w:t>
            </w:r>
            <w:r>
              <w:rPr>
                <w:rFonts w:hint="eastAsia" w:ascii="宋体" w:hAnsi="宋体" w:eastAsia="宋体" w:cs="宋体"/>
                <w:snapToGrid w:val="0"/>
                <w:color w:val="auto"/>
                <w:spacing w:val="-3"/>
                <w:kern w:val="0"/>
                <w:sz w:val="24"/>
                <w:highlight w:val="none"/>
                <w:lang w:eastAsia="zh-CN"/>
              </w:rPr>
              <w:t>）</w:t>
            </w:r>
          </w:p>
          <w:p w14:paraId="2DD7A26C">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60DF7D6C">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7AEBFC74">
            <w:pPr>
              <w:widowControl/>
              <w:wordWrap w:val="0"/>
              <w:autoSpaceDE w:val="0"/>
              <w:autoSpaceDN w:val="0"/>
              <w:adjustRightInd w:val="0"/>
              <w:snapToGrid w:val="0"/>
              <w:spacing w:before="78" w:line="219" w:lineRule="auto"/>
              <w:ind w:left="272"/>
              <w:jc w:val="center"/>
              <w:textAlignment w:val="baseline"/>
              <w:rPr>
                <w:rFonts w:hint="eastAsia" w:ascii="宋体" w:hAnsi="宋体" w:cs="宋体"/>
                <w:snapToGrid w:val="0"/>
                <w:color w:val="auto"/>
                <w:spacing w:val="-3"/>
                <w:kern w:val="0"/>
                <w:sz w:val="24"/>
                <w:highlight w:val="none"/>
                <w:lang w:eastAsia="en-US"/>
              </w:rPr>
            </w:pPr>
          </w:p>
          <w:p w14:paraId="50E56737">
            <w:pPr>
              <w:widowControl/>
              <w:wordWrap w:val="0"/>
              <w:autoSpaceDE w:val="0"/>
              <w:autoSpaceDN w:val="0"/>
              <w:adjustRightInd w:val="0"/>
              <w:snapToGrid w:val="0"/>
              <w:spacing w:before="78" w:line="219" w:lineRule="auto"/>
              <w:ind w:firstLine="234" w:firstLineChars="100"/>
              <w:jc w:val="center"/>
              <w:textAlignment w:val="baseline"/>
              <w:rPr>
                <w:rFonts w:hint="eastAsia" w:ascii="宋体" w:hAnsi="宋体" w:cs="宋体"/>
                <w:snapToGrid w:val="0"/>
                <w:color w:val="auto"/>
                <w:spacing w:val="-3"/>
                <w:kern w:val="0"/>
                <w:sz w:val="24"/>
                <w:highlight w:val="none"/>
                <w:lang w:eastAsia="en-US"/>
              </w:rPr>
            </w:pPr>
          </w:p>
          <w:p w14:paraId="2A57F803">
            <w:pPr>
              <w:widowControl/>
              <w:wordWrap w:val="0"/>
              <w:autoSpaceDE w:val="0"/>
              <w:autoSpaceDN w:val="0"/>
              <w:adjustRightInd w:val="0"/>
              <w:snapToGrid w:val="0"/>
              <w:spacing w:before="78" w:line="219" w:lineRule="auto"/>
              <w:ind w:firstLine="240" w:firstLineChars="100"/>
              <w:jc w:val="center"/>
              <w:textAlignment w:val="baseline"/>
              <w:rPr>
                <w:rFonts w:hint="eastAsia" w:ascii="宋体" w:hAnsi="宋体" w:cs="宋体"/>
                <w:snapToGrid w:val="0"/>
                <w:color w:val="auto"/>
                <w:kern w:val="0"/>
                <w:sz w:val="24"/>
                <w:highlight w:val="none"/>
                <w:lang w:eastAsia="en-US"/>
              </w:rPr>
            </w:pPr>
          </w:p>
        </w:tc>
        <w:tc>
          <w:tcPr>
            <w:tcW w:w="513" w:type="pct"/>
            <w:shd w:val="clear" w:color="auto" w:fill="auto"/>
            <w:noWrap w:val="0"/>
            <w:vAlign w:val="center"/>
          </w:tcPr>
          <w:p w14:paraId="35CC8157">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018605A0">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76F29F6E">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78BF8485">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189CD527">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5AD85EFE">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lang w:eastAsia="en-US"/>
              </w:rPr>
            </w:pPr>
          </w:p>
          <w:p w14:paraId="734BFD89">
            <w:pPr>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auto"/>
                <w:spacing w:val="7"/>
                <w:kern w:val="0"/>
                <w:sz w:val="24"/>
                <w:highlight w:val="none"/>
              </w:rPr>
            </w:pPr>
            <w:r>
              <w:rPr>
                <w:rFonts w:hint="eastAsia" w:ascii="宋体" w:hAnsi="宋体" w:eastAsia="宋体" w:cs="宋体"/>
                <w:snapToGrid w:val="0"/>
                <w:color w:val="auto"/>
                <w:spacing w:val="7"/>
                <w:kern w:val="0"/>
                <w:sz w:val="24"/>
                <w:highlight w:val="none"/>
                <w:lang w:val="en-US" w:eastAsia="zh-CN"/>
              </w:rPr>
              <w:t>10</w:t>
            </w:r>
            <w:r>
              <w:rPr>
                <w:rFonts w:hint="eastAsia" w:ascii="宋体" w:hAnsi="宋体" w:cs="宋体"/>
                <w:snapToGrid w:val="0"/>
                <w:color w:val="auto"/>
                <w:spacing w:val="7"/>
                <w:kern w:val="0"/>
                <w:sz w:val="24"/>
                <w:highlight w:val="none"/>
              </w:rPr>
              <w:t>分</w:t>
            </w:r>
          </w:p>
        </w:tc>
        <w:tc>
          <w:tcPr>
            <w:tcW w:w="893" w:type="pct"/>
            <w:shd w:val="clear" w:color="auto" w:fill="auto"/>
            <w:noWrap w:val="0"/>
            <w:vAlign w:val="top"/>
          </w:tcPr>
          <w:p w14:paraId="57ED825A">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eastAsia="宋体" w:cs="宋体"/>
                <w:snapToGrid w:val="0"/>
                <w:color w:val="auto"/>
                <w:spacing w:val="10"/>
                <w:kern w:val="0"/>
                <w:sz w:val="24"/>
                <w:highlight w:val="none"/>
                <w:lang w:eastAsia="zh-CN"/>
              </w:rPr>
              <w:t>（</w:t>
            </w:r>
            <w:r>
              <w:rPr>
                <w:rFonts w:hint="eastAsia" w:ascii="宋体" w:hAnsi="宋体" w:cs="Times New Roman"/>
                <w:color w:val="auto"/>
                <w:spacing w:val="1"/>
                <w:sz w:val="24"/>
                <w:szCs w:val="24"/>
                <w:highlight w:val="none"/>
                <w:lang w:val="en-US" w:eastAsia="zh-CN"/>
              </w:rPr>
              <w:t>1）确定评标基准价</w:t>
            </w:r>
          </w:p>
          <w:p w14:paraId="3489E897">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采用低价优先法计算，即满足竞争性磋商文件要求且最终磋商报价最低的供应商的价格为磋商基准价。</w:t>
            </w:r>
          </w:p>
          <w:p w14:paraId="3DEC37F4">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（2）报价评分</w:t>
            </w:r>
          </w:p>
          <w:p w14:paraId="0A23643D">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 xml:space="preserve">满足竞争性磋商文件要求且最终磋商报价最低的供应商的价格为磋商基准价，其价格为满分 10 分。 </w:t>
            </w:r>
          </w:p>
          <w:p w14:paraId="55370684">
            <w:pPr>
              <w:ind w:left="0" w:leftChars="0" w:firstLine="0" w:firstLineChars="0"/>
              <w:jc w:val="both"/>
              <w:rPr>
                <w:rFonts w:hint="eastAsia" w:ascii="宋体" w:hAnsi="宋体" w:cs="宋体"/>
                <w:snapToGrid w:val="0"/>
                <w:color w:val="auto"/>
                <w:kern w:val="0"/>
                <w:sz w:val="24"/>
                <w:highlight w:val="none"/>
              </w:rPr>
            </w:pPr>
            <w:r>
              <w:rPr>
                <w:rFonts w:hint="eastAsia" w:ascii="宋体" w:hAnsi="宋体" w:cs="Times New Roman"/>
                <w:color w:val="auto"/>
                <w:spacing w:val="1"/>
                <w:sz w:val="24"/>
                <w:szCs w:val="24"/>
                <w:highlight w:val="none"/>
                <w:lang w:val="en-US" w:eastAsia="zh-CN"/>
              </w:rPr>
              <w:t xml:space="preserve">磋商报价得分=（磋商基准价/最终磋商报价）×10 </w:t>
            </w:r>
          </w:p>
        </w:tc>
        <w:tc>
          <w:tcPr>
            <w:tcW w:w="2415" w:type="pct"/>
            <w:shd w:val="clear" w:color="auto" w:fill="auto"/>
            <w:noWrap w:val="0"/>
            <w:vAlign w:val="top"/>
          </w:tcPr>
          <w:p w14:paraId="619E76A1">
            <w:pPr>
              <w:wordWrap w:val="0"/>
              <w:ind w:left="0" w:leftChars="0" w:firstLine="0" w:firstLineChars="0"/>
              <w:rPr>
                <w:rFonts w:hint="eastAsia" w:ascii="宋体" w:hAnsi="宋体"/>
                <w:color w:val="auto"/>
                <w:spacing w:val="1"/>
                <w:sz w:val="24"/>
                <w:szCs w:val="24"/>
                <w:highlight w:val="none"/>
                <w:lang w:val="en-US" w:eastAsia="zh-CN"/>
              </w:rPr>
            </w:pPr>
            <w:r>
              <w:rPr>
                <w:rFonts w:hint="eastAsia" w:ascii="宋体" w:hAnsi="宋体"/>
                <w:color w:val="auto"/>
                <w:spacing w:val="1"/>
                <w:sz w:val="24"/>
                <w:szCs w:val="24"/>
                <w:highlight w:val="none"/>
                <w:lang w:val="en-US" w:eastAsia="zh-CN"/>
              </w:rPr>
              <w:t>价格优惠说明：</w:t>
            </w:r>
          </w:p>
          <w:p w14:paraId="394EAF73">
            <w:pPr>
              <w:wordWrap w:val="0"/>
              <w:ind w:left="0" w:leftChars="0" w:firstLine="0" w:firstLineChars="0"/>
              <w:rPr>
                <w:rFonts w:hint="eastAsia" w:ascii="宋体" w:hAnsi="宋体"/>
                <w:color w:val="auto"/>
                <w:spacing w:val="1"/>
                <w:sz w:val="24"/>
                <w:szCs w:val="24"/>
                <w:highlight w:val="none"/>
                <w:lang w:val="en-US" w:eastAsia="zh-CN"/>
              </w:rPr>
            </w:pPr>
            <w:r>
              <w:rPr>
                <w:rFonts w:hint="eastAsia" w:ascii="宋体" w:hAnsi="宋体"/>
                <w:color w:val="auto"/>
                <w:spacing w:val="1"/>
                <w:sz w:val="24"/>
                <w:szCs w:val="24"/>
                <w:highlight w:val="none"/>
                <w:lang w:val="en-US" w:eastAsia="zh-CN"/>
              </w:rPr>
              <w:t>1、为贯彻落实财政部《关于进一步加大政府采购支持中小企业力度的通知》（财库〔2022〕19号），本项目鼓励中小企业参与，中小企业须提交《中小企业声明函》原件及相应的中小企业证明材料。</w:t>
            </w:r>
          </w:p>
          <w:p w14:paraId="3B15636D">
            <w:pPr>
              <w:wordWrap w:val="0"/>
              <w:ind w:left="0" w:leftChars="0" w:firstLine="0" w:firstLineChars="0"/>
              <w:rPr>
                <w:rFonts w:hint="eastAsia" w:ascii="宋体" w:hAnsi="宋体"/>
                <w:color w:val="auto"/>
                <w:spacing w:val="1"/>
                <w:sz w:val="24"/>
                <w:szCs w:val="24"/>
                <w:highlight w:val="none"/>
                <w:lang w:val="en-US" w:eastAsia="zh-CN"/>
              </w:rPr>
            </w:pPr>
            <w:r>
              <w:rPr>
                <w:rFonts w:hint="eastAsia" w:ascii="宋体" w:hAnsi="宋体"/>
                <w:color w:val="auto"/>
                <w:spacing w:val="1"/>
                <w:sz w:val="24"/>
                <w:szCs w:val="24"/>
                <w:highlight w:val="none"/>
                <w:lang w:val="en-US" w:eastAsia="zh-CN"/>
              </w:rPr>
              <w:t xml:space="preserve">2、中小企业划型标准以工信部联企业〔2011〕300 号《工业和信息化部国家统计局国家发展改革委财政部关于印发中小企业划型标准规定的通知》及财政部《关于进一步加大政府采购支持中小企业力度的通知》（财库〔2022〕19号）为依据。 </w:t>
            </w:r>
          </w:p>
          <w:p w14:paraId="4B5CD2C5">
            <w:pPr>
              <w:wordWrap w:val="0"/>
              <w:ind w:left="0" w:leftChars="0" w:firstLine="0" w:firstLineChars="0"/>
              <w:rPr>
                <w:rFonts w:hint="eastAsia" w:ascii="宋体" w:hAnsi="宋体"/>
                <w:color w:val="auto"/>
                <w:spacing w:val="1"/>
                <w:sz w:val="24"/>
                <w:szCs w:val="24"/>
                <w:highlight w:val="none"/>
                <w:lang w:val="en-US" w:eastAsia="zh-CN"/>
              </w:rPr>
            </w:pPr>
            <w:r>
              <w:rPr>
                <w:rFonts w:hint="eastAsia" w:ascii="宋体" w:hAnsi="宋体"/>
                <w:color w:val="auto"/>
                <w:spacing w:val="1"/>
                <w:sz w:val="24"/>
                <w:szCs w:val="24"/>
                <w:highlight w:val="none"/>
                <w:lang w:val="en-US" w:eastAsia="zh-CN"/>
              </w:rPr>
              <w:t xml:space="preserve">3、评审时给予小型和微型企业20%的价格扣除，用扣除后的价格参与评审。即小微型企业优惠后报价=投标报价*（1-20%）。 </w:t>
            </w:r>
          </w:p>
          <w:p w14:paraId="5CDBE0CD">
            <w:pPr>
              <w:wordWrap w:val="0"/>
              <w:ind w:left="0" w:leftChars="0" w:firstLine="0" w:firstLineChars="0"/>
              <w:rPr>
                <w:rFonts w:hint="eastAsia" w:ascii="宋体" w:hAnsi="宋体"/>
                <w:color w:val="auto"/>
                <w:spacing w:val="1"/>
                <w:sz w:val="24"/>
                <w:szCs w:val="24"/>
                <w:highlight w:val="none"/>
                <w:lang w:val="zh-CN" w:eastAsia="zh-CN"/>
              </w:rPr>
            </w:pPr>
            <w:r>
              <w:rPr>
                <w:rFonts w:hint="eastAsia" w:ascii="宋体" w:hAnsi="宋体"/>
                <w:color w:val="auto"/>
                <w:spacing w:val="1"/>
                <w:sz w:val="24"/>
                <w:szCs w:val="24"/>
                <w:highlight w:val="none"/>
                <w:lang w:val="en-US" w:eastAsia="zh-CN"/>
              </w:rPr>
              <w:t>4、监狱企业及残疾人福利性单位视同小微企业。</w:t>
            </w:r>
          </w:p>
          <w:p w14:paraId="3496EF8C">
            <w:pPr>
              <w:wordWrap w:val="0"/>
              <w:ind w:left="0" w:leftChars="0" w:firstLine="0" w:firstLineChars="0"/>
              <w:rPr>
                <w:rFonts w:hint="eastAsia" w:ascii="宋体" w:hAnsi="宋体"/>
                <w:b/>
                <w:bCs/>
                <w:color w:val="auto"/>
                <w:spacing w:val="1"/>
                <w:sz w:val="24"/>
                <w:szCs w:val="24"/>
                <w:highlight w:val="none"/>
                <w:lang w:val="zh-CN" w:eastAsia="zh-CN"/>
              </w:rPr>
            </w:pPr>
            <w:r>
              <w:rPr>
                <w:rFonts w:hint="eastAsia" w:ascii="宋体" w:hAnsi="宋体"/>
                <w:b/>
                <w:bCs/>
                <w:color w:val="auto"/>
                <w:spacing w:val="1"/>
                <w:sz w:val="24"/>
                <w:szCs w:val="24"/>
                <w:highlight w:val="none"/>
                <w:lang w:val="zh-CN" w:eastAsia="zh-CN"/>
              </w:rPr>
              <w:t>凡未按规定提供《中小企业声明函》原件及相应的中小企业证明材料的；或代理国内外大型企业产品的，均不得统计为中小企业。中小企业用优惠后评标价参与评分。</w:t>
            </w:r>
          </w:p>
          <w:p w14:paraId="4976A4BC">
            <w:pPr>
              <w:wordWrap w:val="0"/>
              <w:ind w:left="0" w:leftChars="0" w:firstLine="0" w:firstLineChars="0"/>
              <w:rPr>
                <w:rFonts w:hint="eastAsia" w:ascii="宋体" w:hAnsi="宋体" w:cs="宋体"/>
                <w:snapToGrid w:val="0"/>
                <w:color w:val="auto"/>
                <w:kern w:val="0"/>
                <w:sz w:val="24"/>
                <w:highlight w:val="none"/>
                <w:lang w:eastAsia="en-US"/>
              </w:rPr>
            </w:pPr>
            <w:r>
              <w:rPr>
                <w:rFonts w:hint="eastAsia" w:ascii="宋体" w:hAnsi="宋体"/>
                <w:b/>
                <w:bCs/>
                <w:color w:val="auto"/>
                <w:spacing w:val="1"/>
                <w:sz w:val="24"/>
                <w:szCs w:val="24"/>
                <w:highlight w:val="none"/>
                <w:lang w:val="zh-CN" w:eastAsia="zh-CN"/>
              </w:rPr>
              <w:t>没有提供有效证明材料的供应商将被视为不接受投标总价的扣除，用原投标总价参与评审。</w:t>
            </w:r>
          </w:p>
        </w:tc>
      </w:tr>
      <w:tr w14:paraId="68FD8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481" w:type="pct"/>
            <w:vMerge w:val="restart"/>
            <w:shd w:val="clear" w:color="auto" w:fill="auto"/>
            <w:noWrap w:val="0"/>
            <w:vAlign w:val="center"/>
          </w:tcPr>
          <w:p w14:paraId="38C6E42D">
            <w:pPr>
              <w:wordWrap w:val="0"/>
              <w:autoSpaceDE w:val="0"/>
              <w:autoSpaceDN w:val="0"/>
              <w:adjustRightInd w:val="0"/>
              <w:snapToGrid w:val="0"/>
              <w:jc w:val="center"/>
              <w:textAlignment w:val="baseline"/>
              <w:rPr>
                <w:rFonts w:hint="eastAsia" w:ascii="宋体" w:hAnsi="宋体" w:eastAsia="宋体" w:cs="宋体"/>
                <w:snapToGrid w:val="0"/>
                <w:color w:val="auto"/>
                <w:spacing w:val="-13"/>
                <w:kern w:val="0"/>
                <w:sz w:val="24"/>
                <w:highlight w:val="none"/>
                <w:lang w:val="en-US" w:eastAsia="zh-CN"/>
              </w:rPr>
            </w:pPr>
            <w:r>
              <w:rPr>
                <w:rFonts w:hint="eastAsia" w:ascii="宋体" w:hAnsi="宋体" w:eastAsia="宋体" w:cs="宋体"/>
                <w:snapToGrid w:val="0"/>
                <w:color w:val="auto"/>
                <w:spacing w:val="-13"/>
                <w:kern w:val="0"/>
                <w:sz w:val="24"/>
                <w:highlight w:val="none"/>
                <w:lang w:val="en-US" w:eastAsia="zh-CN"/>
              </w:rPr>
              <w:t>2</w:t>
            </w:r>
          </w:p>
        </w:tc>
        <w:tc>
          <w:tcPr>
            <w:tcW w:w="695" w:type="pct"/>
            <w:vMerge w:val="restart"/>
            <w:shd w:val="clear" w:color="auto" w:fill="auto"/>
            <w:noWrap w:val="0"/>
            <w:vAlign w:val="center"/>
          </w:tcPr>
          <w:p w14:paraId="75EBB3BA">
            <w:pPr>
              <w:widowControl/>
              <w:wordWrap w:val="0"/>
              <w:autoSpaceDE w:val="0"/>
              <w:autoSpaceDN w:val="0"/>
              <w:adjustRightInd w:val="0"/>
              <w:snapToGrid w:val="0"/>
              <w:spacing w:before="78" w:line="219" w:lineRule="auto"/>
              <w:jc w:val="center"/>
              <w:textAlignment w:val="baseline"/>
              <w:rPr>
                <w:rFonts w:hint="default" w:ascii="宋体" w:hAnsi="宋体" w:eastAsia="宋体" w:cs="宋体"/>
                <w:snapToGrid w:val="0"/>
                <w:color w:val="auto"/>
                <w:spacing w:val="-13"/>
                <w:kern w:val="0"/>
                <w:sz w:val="24"/>
                <w:highlight w:val="none"/>
                <w:lang w:val="en-US" w:eastAsia="zh-CN"/>
              </w:rPr>
            </w:pPr>
            <w:r>
              <w:rPr>
                <w:rFonts w:hint="eastAsia" w:ascii="宋体" w:hAnsi="宋体" w:eastAsia="宋体" w:cs="宋体"/>
                <w:snapToGrid w:val="0"/>
                <w:color w:val="auto"/>
                <w:spacing w:val="-13"/>
                <w:kern w:val="0"/>
                <w:sz w:val="24"/>
                <w:highlight w:val="none"/>
                <w:lang w:val="en-US" w:eastAsia="zh-CN"/>
              </w:rPr>
              <w:t>技术评分（64）</w:t>
            </w:r>
          </w:p>
        </w:tc>
        <w:tc>
          <w:tcPr>
            <w:tcW w:w="513" w:type="pct"/>
            <w:shd w:val="clear" w:color="auto" w:fill="auto"/>
            <w:noWrap w:val="0"/>
            <w:vAlign w:val="center"/>
          </w:tcPr>
          <w:p w14:paraId="26883A18">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12分</w:t>
            </w:r>
          </w:p>
          <w:p w14:paraId="4E1099FF">
            <w:pPr>
              <w:wordWrap w:val="0"/>
              <w:autoSpaceDE w:val="0"/>
              <w:autoSpaceDN w:val="0"/>
              <w:adjustRightInd w:val="0"/>
              <w:snapToGrid w:val="0"/>
              <w:spacing w:before="26" w:line="228" w:lineRule="auto"/>
              <w:ind w:right="103"/>
              <w:jc w:val="center"/>
              <w:textAlignment w:val="baseline"/>
              <w:rPr>
                <w:rFonts w:ascii="宋体" w:hAnsi="宋体" w:cs="宋体"/>
                <w:snapToGrid w:val="0"/>
                <w:color w:val="auto"/>
                <w:spacing w:val="7"/>
                <w:kern w:val="0"/>
                <w:sz w:val="24"/>
                <w:highlight w:val="none"/>
              </w:rPr>
            </w:pPr>
          </w:p>
        </w:tc>
        <w:tc>
          <w:tcPr>
            <w:tcW w:w="893" w:type="pct"/>
            <w:shd w:val="clear" w:color="auto" w:fill="auto"/>
            <w:noWrap w:val="0"/>
            <w:vAlign w:val="center"/>
          </w:tcPr>
          <w:p w14:paraId="5210024D">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大坝安全鉴定实施方案</w:t>
            </w:r>
          </w:p>
        </w:tc>
        <w:tc>
          <w:tcPr>
            <w:tcW w:w="2415" w:type="pct"/>
            <w:shd w:val="clear" w:color="auto" w:fill="auto"/>
            <w:noWrap w:val="0"/>
            <w:vAlign w:val="center"/>
          </w:tcPr>
          <w:p w14:paraId="32768CBE">
            <w:p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根据实施方案的内容包括组织过程，工作部署、测量标准及要求、勘测工作情况等措施进行评分。</w:t>
            </w:r>
          </w:p>
          <w:p w14:paraId="072929E4">
            <w:pPr>
              <w:numPr>
                <w:ilvl w:val="0"/>
                <w:numId w:val="3"/>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实施方案内容全面、客观、切实，各项措施齐全，能够满足项目需要的得7分:</w:t>
            </w:r>
          </w:p>
          <w:p w14:paraId="28950044">
            <w:pPr>
              <w:numPr>
                <w:ilvl w:val="0"/>
                <w:numId w:val="3"/>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实施方案内容较为全面、客观、切实，各项措施较为齐全，基本满足项目需要的得5分;</w:t>
            </w:r>
          </w:p>
          <w:p w14:paraId="6E51C286">
            <w:pPr>
              <w:numPr>
                <w:ilvl w:val="0"/>
                <w:numId w:val="3"/>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实施方案内容相对全面、客观、切实，各项措施相对齐全，基本满足项目需要的得3分:</w:t>
            </w:r>
          </w:p>
          <w:p w14:paraId="52AA45AF">
            <w:pPr>
              <w:numPr>
                <w:ilvl w:val="0"/>
                <w:numId w:val="3"/>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实施方案内容基本全面、客观、切实各项措施基本齐全，基本满足项目需要的得1分。</w:t>
            </w:r>
          </w:p>
          <w:p w14:paraId="3064931D">
            <w:pPr>
              <w:numPr>
                <w:ilvl w:val="0"/>
                <w:numId w:val="4"/>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工作依据、内容结构合理，技术、组织、合同管理措施合理、可行的得5分:</w:t>
            </w:r>
          </w:p>
          <w:p w14:paraId="73FB2DB9">
            <w:pPr>
              <w:numPr>
                <w:ilvl w:val="0"/>
                <w:numId w:val="0"/>
              </w:numPr>
              <w:wordWrap w:val="0"/>
              <w:ind w:left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工作依据、内容结构较为合理，技术、组织、合同管理措施较为合理可行的得3分:</w:t>
            </w:r>
          </w:p>
          <w:p w14:paraId="0EA6074A">
            <w:pPr>
              <w:numPr>
                <w:ilvl w:val="0"/>
                <w:numId w:val="0"/>
              </w:numPr>
              <w:wordWrap w:val="0"/>
              <w:ind w:left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工作依据、内容结构相对合理，技术、组织、合同管理措施相对合理可行的得2分;</w:t>
            </w:r>
          </w:p>
          <w:p w14:paraId="24BD1D38">
            <w:pPr>
              <w:numPr>
                <w:ilvl w:val="0"/>
                <w:numId w:val="0"/>
              </w:numPr>
              <w:wordWrap w:val="0"/>
              <w:ind w:left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工作依据、内容结构基本合理，技术、组织、合同管理措施基本合理可行的得1分。</w:t>
            </w:r>
          </w:p>
          <w:p w14:paraId="496BED18">
            <w:pPr>
              <w:numPr>
                <w:ilvl w:val="0"/>
                <w:numId w:val="0"/>
              </w:numPr>
              <w:wordWrap w:val="0"/>
              <w:ind w:left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3.缺项或不符合实际，该项得 0分。</w:t>
            </w:r>
          </w:p>
        </w:tc>
      </w:tr>
      <w:tr w14:paraId="35A05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481" w:type="pct"/>
            <w:vMerge w:val="continue"/>
            <w:shd w:val="clear" w:color="auto" w:fill="auto"/>
            <w:noWrap w:val="0"/>
            <w:vAlign w:val="center"/>
          </w:tcPr>
          <w:p w14:paraId="4FBDABF1">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512D1C40">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091440FA">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rPr>
            </w:pPr>
          </w:p>
          <w:p w14:paraId="7B86721B">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rPr>
            </w:pPr>
          </w:p>
          <w:p w14:paraId="0CE0B75E">
            <w:pPr>
              <w:wordWrap w:val="0"/>
              <w:autoSpaceDE w:val="0"/>
              <w:autoSpaceDN w:val="0"/>
              <w:adjustRightInd w:val="0"/>
              <w:snapToGrid w:val="0"/>
              <w:spacing w:before="26" w:line="228" w:lineRule="auto"/>
              <w:ind w:left="111" w:right="103" w:firstLine="4"/>
              <w:jc w:val="center"/>
              <w:textAlignment w:val="baseline"/>
              <w:rPr>
                <w:rFonts w:hint="eastAsia" w:ascii="宋体" w:hAnsi="宋体" w:cs="宋体"/>
                <w:snapToGrid w:val="0"/>
                <w:color w:val="auto"/>
                <w:spacing w:val="7"/>
                <w:kern w:val="0"/>
                <w:sz w:val="24"/>
                <w:highlight w:val="none"/>
              </w:rPr>
            </w:pPr>
          </w:p>
          <w:p w14:paraId="4EBCC2C6">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8分</w:t>
            </w:r>
          </w:p>
          <w:p w14:paraId="45D302DE">
            <w:pPr>
              <w:wordWrap w:val="0"/>
              <w:autoSpaceDE w:val="0"/>
              <w:autoSpaceDN w:val="0"/>
              <w:adjustRightInd w:val="0"/>
              <w:snapToGrid w:val="0"/>
              <w:spacing w:before="26" w:line="228" w:lineRule="auto"/>
              <w:ind w:right="103" w:rightChars="0"/>
              <w:jc w:val="center"/>
              <w:textAlignment w:val="baseline"/>
              <w:rPr>
                <w:rFonts w:ascii="宋体" w:hAnsi="宋体" w:cs="宋体"/>
                <w:snapToGrid w:val="0"/>
                <w:color w:val="auto"/>
                <w:spacing w:val="7"/>
                <w:kern w:val="0"/>
                <w:sz w:val="24"/>
                <w:highlight w:val="none"/>
              </w:rPr>
            </w:pPr>
          </w:p>
        </w:tc>
        <w:tc>
          <w:tcPr>
            <w:tcW w:w="893" w:type="pct"/>
            <w:shd w:val="clear" w:color="auto" w:fill="auto"/>
            <w:noWrap w:val="0"/>
            <w:vAlign w:val="center"/>
          </w:tcPr>
          <w:p w14:paraId="4742E3BE">
            <w:pPr>
              <w:ind w:left="0" w:leftChars="0" w:firstLine="0" w:firstLineChars="0"/>
              <w:jc w:val="both"/>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对项目的理解</w:t>
            </w:r>
          </w:p>
        </w:tc>
        <w:tc>
          <w:tcPr>
            <w:tcW w:w="2415" w:type="pct"/>
            <w:shd w:val="clear" w:color="auto" w:fill="auto"/>
            <w:noWrap w:val="0"/>
            <w:vAlign w:val="center"/>
          </w:tcPr>
          <w:p w14:paraId="647CEDFE">
            <w:p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主要评审投标人对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的理解程度，特别是对本</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的特点、难点分析是否正确，对重点难点问题拟采取的措施的有效性和针对性。</w:t>
            </w:r>
          </w:p>
          <w:p w14:paraId="44DEE8B5">
            <w:p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的理解透彻，对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重点、难点理解准确、清晰，措施有针对性，且有效，得</w:t>
            </w:r>
            <w:r>
              <w:rPr>
                <w:rFonts w:hint="eastAsia" w:ascii="宋体" w:hAnsi="宋体"/>
                <w:color w:val="auto"/>
                <w:spacing w:val="1"/>
                <w:sz w:val="24"/>
                <w:szCs w:val="24"/>
                <w:highlight w:val="none"/>
                <w:lang w:val="en-US" w:eastAsia="zh-CN"/>
              </w:rPr>
              <w:t>8</w:t>
            </w:r>
            <w:r>
              <w:rPr>
                <w:rFonts w:hint="eastAsia" w:ascii="宋体" w:hAnsi="宋体"/>
                <w:color w:val="auto"/>
                <w:spacing w:val="1"/>
                <w:sz w:val="24"/>
                <w:szCs w:val="24"/>
                <w:highlight w:val="none"/>
                <w:lang w:eastAsia="zh-CN"/>
              </w:rPr>
              <w:t>分；</w:t>
            </w:r>
          </w:p>
          <w:p w14:paraId="71026557">
            <w:p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的理解比较透彻，对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理解比较准确，措施有针对性，做事基本有效，得</w:t>
            </w:r>
            <w:r>
              <w:rPr>
                <w:rFonts w:hint="eastAsia" w:ascii="宋体" w:hAnsi="宋体"/>
                <w:color w:val="auto"/>
                <w:spacing w:val="1"/>
                <w:sz w:val="24"/>
                <w:szCs w:val="24"/>
                <w:highlight w:val="none"/>
                <w:lang w:val="en-US" w:eastAsia="zh-CN"/>
              </w:rPr>
              <w:t>5</w:t>
            </w:r>
            <w:r>
              <w:rPr>
                <w:rFonts w:hint="eastAsia" w:ascii="宋体" w:hAnsi="宋体"/>
                <w:color w:val="auto"/>
                <w:spacing w:val="1"/>
                <w:sz w:val="24"/>
                <w:szCs w:val="24"/>
                <w:highlight w:val="none"/>
                <w:lang w:eastAsia="zh-CN"/>
              </w:rPr>
              <w:t>分；</w:t>
            </w:r>
          </w:p>
          <w:p w14:paraId="1D234234">
            <w:p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有一定的理解，对</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的重点、难点有一定的理解，能提出针对本</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的措施，得</w:t>
            </w:r>
            <w:r>
              <w:rPr>
                <w:rFonts w:hint="eastAsia" w:ascii="宋体" w:hAnsi="宋体"/>
                <w:color w:val="auto"/>
                <w:spacing w:val="1"/>
                <w:sz w:val="24"/>
                <w:szCs w:val="24"/>
                <w:highlight w:val="none"/>
                <w:lang w:val="en-US" w:eastAsia="zh-CN"/>
              </w:rPr>
              <w:t>3</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75D2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481" w:type="pct"/>
            <w:vMerge w:val="continue"/>
            <w:shd w:val="clear" w:color="auto" w:fill="auto"/>
            <w:noWrap w:val="0"/>
            <w:vAlign w:val="center"/>
          </w:tcPr>
          <w:p w14:paraId="0D93373E">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514C39B3">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48911289">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8分</w:t>
            </w:r>
          </w:p>
        </w:tc>
        <w:tc>
          <w:tcPr>
            <w:tcW w:w="893" w:type="pct"/>
            <w:shd w:val="clear" w:color="auto" w:fill="auto"/>
            <w:noWrap w:val="0"/>
            <w:vAlign w:val="center"/>
          </w:tcPr>
          <w:p w14:paraId="086DD29A">
            <w:pPr>
              <w:wordWrap w:val="0"/>
              <w:ind w:left="0" w:leftChars="0" w:firstLine="0" w:firstLineChars="0"/>
              <w:jc w:val="center"/>
              <w:rPr>
                <w:rFonts w:hint="eastAsia" w:ascii="宋体" w:hAnsi="宋体" w:cs="宋体"/>
                <w:snapToGrid w:val="0"/>
                <w:color w:val="auto"/>
                <w:spacing w:val="7"/>
                <w:kern w:val="0"/>
                <w:sz w:val="24"/>
                <w:highlight w:val="none"/>
              </w:rPr>
            </w:pPr>
            <w:r>
              <w:rPr>
                <w:rFonts w:hint="eastAsia" w:ascii="宋体" w:hAnsi="宋体" w:cs="Times New Roman"/>
                <w:color w:val="auto"/>
                <w:spacing w:val="1"/>
                <w:sz w:val="24"/>
                <w:szCs w:val="24"/>
                <w:highlight w:val="none"/>
                <w:lang w:val="en-US" w:eastAsia="zh-CN"/>
              </w:rPr>
              <w:t>质量保证体系及措施</w:t>
            </w:r>
          </w:p>
        </w:tc>
        <w:tc>
          <w:tcPr>
            <w:tcW w:w="2415" w:type="pct"/>
            <w:shd w:val="clear" w:color="auto" w:fill="auto"/>
            <w:noWrap w:val="0"/>
            <w:vAlign w:val="center"/>
          </w:tcPr>
          <w:p w14:paraId="14DEC0B6">
            <w:pPr>
              <w:numPr>
                <w:ilvl w:val="0"/>
                <w:numId w:val="0"/>
              </w:numPr>
              <w:wordWrap w:val="0"/>
              <w:ind w:left="0" w:leftChars="0" w:firstLine="0" w:firstLineChars="0"/>
              <w:rPr>
                <w:rFonts w:hint="eastAsia" w:ascii="宋体" w:hAnsi="宋体" w:eastAsia="宋体" w:cs="宋体"/>
                <w:color w:val="auto"/>
                <w:spacing w:val="7"/>
                <w:sz w:val="24"/>
                <w:szCs w:val="24"/>
                <w:highlight w:val="none"/>
                <w:lang w:eastAsia="zh-CN"/>
              </w:rPr>
            </w:pPr>
            <w:r>
              <w:rPr>
                <w:rFonts w:hint="eastAsia" w:ascii="宋体" w:hAnsi="宋体"/>
                <w:color w:val="auto"/>
                <w:spacing w:val="1"/>
                <w:sz w:val="24"/>
                <w:szCs w:val="24"/>
                <w:highlight w:val="none"/>
                <w:lang w:eastAsia="zh-CN"/>
              </w:rPr>
              <w:t>主要评审投标人针对本</w:t>
            </w:r>
            <w:r>
              <w:rPr>
                <w:rFonts w:hint="eastAsia" w:ascii="宋体" w:hAnsi="宋体"/>
                <w:color w:val="auto"/>
                <w:spacing w:val="1"/>
                <w:sz w:val="24"/>
                <w:szCs w:val="24"/>
                <w:highlight w:val="none"/>
                <w:lang w:val="en-US" w:eastAsia="zh-CN"/>
              </w:rPr>
              <w:t>项目</w:t>
            </w:r>
            <w:r>
              <w:rPr>
                <w:rFonts w:hint="eastAsia" w:ascii="宋体" w:hAnsi="宋体"/>
                <w:color w:val="auto"/>
                <w:spacing w:val="1"/>
                <w:sz w:val="24"/>
                <w:szCs w:val="24"/>
                <w:highlight w:val="none"/>
                <w:lang w:eastAsia="zh-CN"/>
              </w:rPr>
              <w:t>制定的质量保证</w:t>
            </w:r>
            <w:r>
              <w:rPr>
                <w:rFonts w:hint="eastAsia" w:ascii="宋体" w:hAnsi="宋体"/>
                <w:color w:val="auto"/>
                <w:spacing w:val="1"/>
                <w:sz w:val="24"/>
                <w:szCs w:val="24"/>
                <w:highlight w:val="none"/>
                <w:lang w:val="en-US" w:eastAsia="zh-CN"/>
              </w:rPr>
              <w:t>体系</w:t>
            </w:r>
            <w:r>
              <w:rPr>
                <w:rFonts w:hint="eastAsia" w:ascii="宋体" w:hAnsi="宋体"/>
                <w:color w:val="auto"/>
                <w:spacing w:val="1"/>
                <w:sz w:val="24"/>
                <w:szCs w:val="24"/>
                <w:highlight w:val="none"/>
                <w:lang w:eastAsia="zh-CN"/>
              </w:rPr>
              <w:t>及其措施情况。质量保证体系健全，措施合理，得</w:t>
            </w:r>
            <w:r>
              <w:rPr>
                <w:rFonts w:hint="eastAsia" w:ascii="宋体" w:hAnsi="宋体"/>
                <w:color w:val="auto"/>
                <w:spacing w:val="1"/>
                <w:sz w:val="24"/>
                <w:szCs w:val="24"/>
                <w:highlight w:val="none"/>
                <w:lang w:val="en-US" w:eastAsia="zh-CN"/>
              </w:rPr>
              <w:t>8</w:t>
            </w:r>
            <w:r>
              <w:rPr>
                <w:rFonts w:hint="eastAsia" w:ascii="宋体" w:hAnsi="宋体"/>
                <w:color w:val="auto"/>
                <w:spacing w:val="1"/>
                <w:sz w:val="24"/>
                <w:szCs w:val="24"/>
                <w:highlight w:val="none"/>
                <w:lang w:eastAsia="zh-CN"/>
              </w:rPr>
              <w:t>分；质量保证体系健全，措施</w:t>
            </w:r>
            <w:r>
              <w:rPr>
                <w:rFonts w:hint="eastAsia" w:ascii="宋体" w:hAnsi="宋体"/>
                <w:color w:val="auto"/>
                <w:spacing w:val="1"/>
                <w:sz w:val="24"/>
                <w:szCs w:val="24"/>
                <w:highlight w:val="none"/>
                <w:lang w:val="en-US" w:eastAsia="zh-CN"/>
              </w:rPr>
              <w:t>基本合理</w:t>
            </w:r>
            <w:r>
              <w:rPr>
                <w:rFonts w:hint="eastAsia" w:ascii="宋体" w:hAnsi="宋体"/>
                <w:color w:val="auto"/>
                <w:spacing w:val="1"/>
                <w:sz w:val="24"/>
                <w:szCs w:val="24"/>
                <w:highlight w:val="none"/>
                <w:lang w:eastAsia="zh-CN"/>
              </w:rPr>
              <w:t>，得</w:t>
            </w:r>
            <w:r>
              <w:rPr>
                <w:rFonts w:hint="eastAsia" w:ascii="宋体" w:hAnsi="宋体"/>
                <w:color w:val="auto"/>
                <w:spacing w:val="1"/>
                <w:sz w:val="24"/>
                <w:szCs w:val="24"/>
                <w:highlight w:val="none"/>
                <w:lang w:val="en-US" w:eastAsia="zh-CN"/>
              </w:rPr>
              <w:t>5</w:t>
            </w:r>
            <w:r>
              <w:rPr>
                <w:rFonts w:hint="eastAsia" w:ascii="宋体" w:hAnsi="宋体"/>
                <w:color w:val="auto"/>
                <w:spacing w:val="1"/>
                <w:sz w:val="24"/>
                <w:szCs w:val="24"/>
                <w:highlight w:val="none"/>
                <w:lang w:eastAsia="zh-CN"/>
              </w:rPr>
              <w:t>分；质量保证体系</w:t>
            </w:r>
            <w:r>
              <w:rPr>
                <w:rFonts w:hint="eastAsia" w:ascii="宋体" w:hAnsi="宋体"/>
                <w:color w:val="auto"/>
                <w:spacing w:val="1"/>
                <w:sz w:val="24"/>
                <w:szCs w:val="24"/>
                <w:highlight w:val="none"/>
                <w:lang w:val="en-US" w:eastAsia="zh-CN"/>
              </w:rPr>
              <w:t>比较</w:t>
            </w:r>
            <w:r>
              <w:rPr>
                <w:rFonts w:hint="eastAsia" w:ascii="宋体" w:hAnsi="宋体"/>
                <w:color w:val="auto"/>
                <w:spacing w:val="1"/>
                <w:sz w:val="24"/>
                <w:szCs w:val="24"/>
                <w:highlight w:val="none"/>
                <w:lang w:eastAsia="zh-CN"/>
              </w:rPr>
              <w:t>健全，措施一般，得</w:t>
            </w:r>
            <w:r>
              <w:rPr>
                <w:rFonts w:hint="eastAsia" w:ascii="宋体" w:hAnsi="宋体"/>
                <w:color w:val="auto"/>
                <w:spacing w:val="1"/>
                <w:sz w:val="24"/>
                <w:szCs w:val="24"/>
                <w:highlight w:val="none"/>
                <w:lang w:val="en-US" w:eastAsia="zh-CN"/>
              </w:rPr>
              <w:t>3</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0C98E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481" w:type="pct"/>
            <w:vMerge w:val="continue"/>
            <w:shd w:val="clear" w:color="auto" w:fill="auto"/>
            <w:noWrap w:val="0"/>
            <w:vAlign w:val="center"/>
          </w:tcPr>
          <w:p w14:paraId="4A4F3D40">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64B742BF">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3AADF646">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8分</w:t>
            </w:r>
          </w:p>
        </w:tc>
        <w:tc>
          <w:tcPr>
            <w:tcW w:w="893" w:type="pct"/>
            <w:shd w:val="clear" w:color="auto" w:fill="auto"/>
            <w:noWrap w:val="0"/>
            <w:vAlign w:val="center"/>
          </w:tcPr>
          <w:p w14:paraId="14FEF4C8">
            <w:pPr>
              <w:wordWrap w:val="0"/>
              <w:ind w:left="0" w:leftChars="0" w:firstLine="0" w:firstLineChars="0"/>
              <w:jc w:val="center"/>
              <w:rPr>
                <w:rFonts w:ascii="宋体" w:hAnsi="宋体" w:cs="宋体"/>
                <w:snapToGrid w:val="0"/>
                <w:color w:val="auto"/>
                <w:spacing w:val="7"/>
                <w:kern w:val="0"/>
                <w:sz w:val="24"/>
                <w:highlight w:val="none"/>
              </w:rPr>
            </w:pPr>
            <w:r>
              <w:rPr>
                <w:rFonts w:hint="eastAsia" w:ascii="宋体" w:hAnsi="宋体" w:cs="Times New Roman"/>
                <w:color w:val="auto"/>
                <w:spacing w:val="1"/>
                <w:sz w:val="24"/>
                <w:szCs w:val="24"/>
                <w:highlight w:val="none"/>
                <w:lang w:val="en-US" w:eastAsia="zh-CN"/>
              </w:rPr>
              <w:t>进度计划和保证措施</w:t>
            </w:r>
          </w:p>
        </w:tc>
        <w:tc>
          <w:tcPr>
            <w:tcW w:w="2415" w:type="pct"/>
            <w:shd w:val="clear" w:color="auto" w:fill="auto"/>
            <w:noWrap w:val="0"/>
            <w:vAlign w:val="center"/>
          </w:tcPr>
          <w:p w14:paraId="3CD9D257">
            <w:pPr>
              <w:wordWrap w:val="0"/>
              <w:rPr>
                <w:rFonts w:hint="default" w:ascii="宋体" w:hAnsi="宋体" w:cs="宋体"/>
                <w:snapToGrid w:val="0"/>
                <w:color w:val="auto"/>
                <w:spacing w:val="7"/>
                <w:kern w:val="0"/>
                <w:sz w:val="24"/>
                <w:highlight w:val="none"/>
                <w:lang w:val="en-US"/>
              </w:rPr>
            </w:pPr>
            <w:r>
              <w:rPr>
                <w:rFonts w:hint="eastAsia" w:ascii="宋体" w:hAnsi="宋体"/>
                <w:color w:val="auto"/>
                <w:spacing w:val="1"/>
                <w:sz w:val="24"/>
                <w:szCs w:val="24"/>
                <w:highlight w:val="none"/>
                <w:lang w:eastAsia="zh-CN"/>
              </w:rPr>
              <w:t>主要评审投标人针对本项目制定的工作进度计划和保证措施的合理性。进度计划和保证措施合理，得</w:t>
            </w:r>
            <w:r>
              <w:rPr>
                <w:rFonts w:hint="eastAsia" w:ascii="宋体" w:hAnsi="宋体"/>
                <w:color w:val="auto"/>
                <w:spacing w:val="1"/>
                <w:sz w:val="24"/>
                <w:szCs w:val="24"/>
                <w:highlight w:val="none"/>
                <w:lang w:val="en-US" w:eastAsia="zh-CN"/>
              </w:rPr>
              <w:t>8</w:t>
            </w:r>
            <w:r>
              <w:rPr>
                <w:rFonts w:hint="eastAsia" w:ascii="宋体" w:hAnsi="宋体"/>
                <w:color w:val="auto"/>
                <w:spacing w:val="1"/>
                <w:sz w:val="24"/>
                <w:szCs w:val="24"/>
                <w:highlight w:val="none"/>
                <w:lang w:eastAsia="zh-CN"/>
              </w:rPr>
              <w:t>分；进度计划和保证措施</w:t>
            </w:r>
            <w:r>
              <w:rPr>
                <w:rFonts w:hint="eastAsia" w:ascii="宋体" w:hAnsi="宋体"/>
                <w:color w:val="auto"/>
                <w:spacing w:val="1"/>
                <w:sz w:val="24"/>
                <w:szCs w:val="24"/>
                <w:highlight w:val="none"/>
                <w:lang w:val="en-US" w:eastAsia="zh-CN"/>
              </w:rPr>
              <w:t>基本</w:t>
            </w:r>
            <w:r>
              <w:rPr>
                <w:rFonts w:hint="eastAsia" w:ascii="宋体" w:hAnsi="宋体"/>
                <w:color w:val="auto"/>
                <w:spacing w:val="1"/>
                <w:sz w:val="24"/>
                <w:szCs w:val="24"/>
                <w:highlight w:val="none"/>
                <w:lang w:eastAsia="zh-CN"/>
              </w:rPr>
              <w:t>合理，得</w:t>
            </w:r>
            <w:r>
              <w:rPr>
                <w:rFonts w:hint="eastAsia" w:ascii="宋体" w:hAnsi="宋体"/>
                <w:color w:val="auto"/>
                <w:spacing w:val="1"/>
                <w:sz w:val="24"/>
                <w:szCs w:val="24"/>
                <w:highlight w:val="none"/>
                <w:lang w:val="en-US" w:eastAsia="zh-CN"/>
              </w:rPr>
              <w:t>5</w:t>
            </w:r>
            <w:r>
              <w:rPr>
                <w:rFonts w:hint="eastAsia" w:ascii="宋体" w:hAnsi="宋体"/>
                <w:color w:val="auto"/>
                <w:spacing w:val="1"/>
                <w:sz w:val="24"/>
                <w:szCs w:val="24"/>
                <w:highlight w:val="none"/>
                <w:lang w:eastAsia="zh-CN"/>
              </w:rPr>
              <w:t>分；进度计划和保证措施</w:t>
            </w:r>
            <w:r>
              <w:rPr>
                <w:rFonts w:hint="eastAsia" w:ascii="宋体" w:hAnsi="宋体"/>
                <w:color w:val="auto"/>
                <w:spacing w:val="1"/>
                <w:sz w:val="24"/>
                <w:szCs w:val="24"/>
                <w:highlight w:val="none"/>
                <w:lang w:val="en-US" w:eastAsia="zh-CN"/>
              </w:rPr>
              <w:t>一般，</w:t>
            </w:r>
            <w:r>
              <w:rPr>
                <w:rFonts w:hint="eastAsia" w:ascii="宋体" w:hAnsi="宋体"/>
                <w:color w:val="auto"/>
                <w:spacing w:val="1"/>
                <w:sz w:val="24"/>
                <w:szCs w:val="24"/>
                <w:highlight w:val="none"/>
                <w:lang w:eastAsia="zh-CN"/>
              </w:rPr>
              <w:t>得</w:t>
            </w:r>
            <w:r>
              <w:rPr>
                <w:rFonts w:hint="eastAsia" w:ascii="宋体" w:hAnsi="宋体"/>
                <w:color w:val="auto"/>
                <w:spacing w:val="1"/>
                <w:sz w:val="24"/>
                <w:szCs w:val="24"/>
                <w:highlight w:val="none"/>
                <w:lang w:val="en-US" w:eastAsia="zh-CN"/>
              </w:rPr>
              <w:t>3</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1053E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1" w:type="pct"/>
            <w:vMerge w:val="continue"/>
            <w:shd w:val="clear" w:color="auto" w:fill="auto"/>
            <w:noWrap w:val="0"/>
            <w:vAlign w:val="center"/>
          </w:tcPr>
          <w:p w14:paraId="6BC72199">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727BB37E">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2B03A2A5">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8分</w:t>
            </w:r>
          </w:p>
        </w:tc>
        <w:tc>
          <w:tcPr>
            <w:tcW w:w="893" w:type="pct"/>
            <w:shd w:val="clear" w:color="auto" w:fill="auto"/>
            <w:noWrap w:val="0"/>
            <w:vAlign w:val="center"/>
          </w:tcPr>
          <w:p w14:paraId="04D84B94">
            <w:pPr>
              <w:wordWrap w:val="0"/>
              <w:ind w:left="0" w:leftChars="0" w:firstLine="0" w:firstLineChars="0"/>
              <w:jc w:val="center"/>
              <w:rPr>
                <w:rFonts w:hint="eastAsia" w:ascii="宋体" w:hAnsi="宋体" w:cs="宋体"/>
                <w:snapToGrid w:val="0"/>
                <w:color w:val="auto"/>
                <w:spacing w:val="7"/>
                <w:kern w:val="0"/>
                <w:sz w:val="24"/>
                <w:highlight w:val="none"/>
              </w:rPr>
            </w:pPr>
            <w:r>
              <w:rPr>
                <w:rFonts w:hint="eastAsia" w:ascii="宋体" w:hAnsi="宋体" w:cs="Times New Roman"/>
                <w:color w:val="auto"/>
                <w:spacing w:val="1"/>
                <w:sz w:val="24"/>
                <w:szCs w:val="24"/>
                <w:highlight w:val="none"/>
                <w:lang w:val="en-US" w:eastAsia="zh-CN"/>
              </w:rPr>
              <w:t>主要工作思路及方法</w:t>
            </w:r>
          </w:p>
        </w:tc>
        <w:tc>
          <w:tcPr>
            <w:tcW w:w="2415" w:type="pct"/>
            <w:shd w:val="clear" w:color="auto" w:fill="auto"/>
            <w:noWrap w:val="0"/>
            <w:vAlign w:val="center"/>
          </w:tcPr>
          <w:p w14:paraId="064EAC51">
            <w:pPr>
              <w:wordWrap w:val="0"/>
              <w:rPr>
                <w:rFonts w:hint="eastAsia" w:ascii="宋体" w:hAnsi="宋体" w:cs="宋体"/>
                <w:snapToGrid w:val="0"/>
                <w:color w:val="auto"/>
                <w:spacing w:val="7"/>
                <w:kern w:val="0"/>
                <w:sz w:val="24"/>
                <w:highlight w:val="none"/>
              </w:rPr>
            </w:pPr>
            <w:r>
              <w:rPr>
                <w:rFonts w:hint="eastAsia" w:ascii="宋体" w:hAnsi="宋体"/>
                <w:color w:val="auto"/>
                <w:spacing w:val="1"/>
                <w:sz w:val="24"/>
                <w:szCs w:val="24"/>
                <w:highlight w:val="none"/>
                <w:lang w:eastAsia="zh-CN"/>
              </w:rPr>
              <w:t>主要评审投标人整体思路和方法是否清晰。整体思路和方法清晰，得</w:t>
            </w:r>
            <w:r>
              <w:rPr>
                <w:rFonts w:hint="eastAsia" w:ascii="宋体" w:hAnsi="宋体"/>
                <w:color w:val="auto"/>
                <w:spacing w:val="1"/>
                <w:sz w:val="24"/>
                <w:szCs w:val="24"/>
                <w:highlight w:val="none"/>
                <w:lang w:val="en-US" w:eastAsia="zh-CN"/>
              </w:rPr>
              <w:t>8</w:t>
            </w:r>
            <w:r>
              <w:rPr>
                <w:rFonts w:hint="eastAsia" w:ascii="宋体" w:hAnsi="宋体"/>
                <w:color w:val="auto"/>
                <w:spacing w:val="1"/>
                <w:sz w:val="24"/>
                <w:szCs w:val="24"/>
                <w:highlight w:val="none"/>
                <w:lang w:eastAsia="zh-CN"/>
              </w:rPr>
              <w:t>分；整体思路和方法基本清晰得</w:t>
            </w:r>
            <w:r>
              <w:rPr>
                <w:rFonts w:hint="eastAsia" w:ascii="宋体" w:hAnsi="宋体"/>
                <w:color w:val="auto"/>
                <w:spacing w:val="1"/>
                <w:sz w:val="24"/>
                <w:szCs w:val="24"/>
                <w:highlight w:val="none"/>
                <w:lang w:val="en-US" w:eastAsia="zh-CN"/>
              </w:rPr>
              <w:t>5</w:t>
            </w:r>
            <w:r>
              <w:rPr>
                <w:rFonts w:hint="eastAsia" w:ascii="宋体" w:hAnsi="宋体"/>
                <w:color w:val="auto"/>
                <w:spacing w:val="1"/>
                <w:sz w:val="24"/>
                <w:szCs w:val="24"/>
                <w:highlight w:val="none"/>
                <w:lang w:eastAsia="zh-CN"/>
              </w:rPr>
              <w:t>分；整体思路和方法不够清晰，得</w:t>
            </w:r>
            <w:r>
              <w:rPr>
                <w:rFonts w:hint="eastAsia" w:ascii="宋体" w:hAnsi="宋体"/>
                <w:color w:val="auto"/>
                <w:spacing w:val="1"/>
                <w:sz w:val="24"/>
                <w:szCs w:val="24"/>
                <w:highlight w:val="none"/>
                <w:lang w:val="en-US" w:eastAsia="zh-CN"/>
              </w:rPr>
              <w:t>3</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1FD93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1" w:type="pct"/>
            <w:vMerge w:val="continue"/>
            <w:shd w:val="clear" w:color="auto" w:fill="auto"/>
            <w:noWrap w:val="0"/>
            <w:vAlign w:val="center"/>
          </w:tcPr>
          <w:p w14:paraId="677631A2">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48762368">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7A85BAE6">
            <w:pPr>
              <w:wordWrap w:val="0"/>
              <w:autoSpaceDE w:val="0"/>
              <w:autoSpaceDN w:val="0"/>
              <w:adjustRightInd w:val="0"/>
              <w:snapToGrid w:val="0"/>
              <w:spacing w:before="26" w:line="228" w:lineRule="auto"/>
              <w:ind w:left="111" w:right="103" w:firstLine="4"/>
              <w:jc w:val="center"/>
              <w:textAlignment w:val="baseline"/>
              <w:rPr>
                <w:rFonts w:hint="eastAsia"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8分</w:t>
            </w:r>
          </w:p>
        </w:tc>
        <w:tc>
          <w:tcPr>
            <w:tcW w:w="893" w:type="pct"/>
            <w:shd w:val="clear" w:color="auto" w:fill="auto"/>
            <w:noWrap w:val="0"/>
            <w:vAlign w:val="center"/>
          </w:tcPr>
          <w:p w14:paraId="6D8674A6">
            <w:pPr>
              <w:wordWrap w:val="0"/>
              <w:ind w:left="0" w:leftChars="0" w:firstLine="0" w:firstLineChars="0"/>
              <w:jc w:val="center"/>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后期配套服务方案</w:t>
            </w:r>
          </w:p>
        </w:tc>
        <w:tc>
          <w:tcPr>
            <w:tcW w:w="2415" w:type="pct"/>
            <w:shd w:val="clear" w:color="auto" w:fill="auto"/>
            <w:noWrap w:val="0"/>
            <w:vAlign w:val="center"/>
          </w:tcPr>
          <w:p w14:paraId="4BABA798">
            <w:pPr>
              <w:wordWrap w:val="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评价后续工作及验收阶段、信息填报等各项配合服务措施，进行计分。</w:t>
            </w:r>
          </w:p>
          <w:p w14:paraId="08ACA85F">
            <w:pPr>
              <w:numPr>
                <w:ilvl w:val="0"/>
                <w:numId w:val="5"/>
              </w:numPr>
              <w:wordWrap w:val="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内容全面合理，服务措施科学、可行，响应及时、配合积极，应急处理 方案全面、可行，后期技术支撑到位，得</w:t>
            </w:r>
            <w:r>
              <w:rPr>
                <w:rFonts w:hint="eastAsia" w:ascii="宋体" w:hAnsi="宋体"/>
                <w:color w:val="auto"/>
                <w:spacing w:val="1"/>
                <w:sz w:val="24"/>
                <w:szCs w:val="24"/>
                <w:highlight w:val="none"/>
                <w:lang w:val="en-US" w:eastAsia="zh-CN"/>
              </w:rPr>
              <w:t>8</w:t>
            </w:r>
            <w:r>
              <w:rPr>
                <w:rFonts w:hint="eastAsia" w:ascii="宋体" w:hAnsi="宋体"/>
                <w:color w:val="auto"/>
                <w:spacing w:val="1"/>
                <w:sz w:val="24"/>
                <w:szCs w:val="24"/>
                <w:highlight w:val="none"/>
                <w:lang w:eastAsia="zh-CN"/>
              </w:rPr>
              <w:t>分:</w:t>
            </w:r>
          </w:p>
          <w:p w14:paraId="703FC0D4">
            <w:pPr>
              <w:numPr>
                <w:ilvl w:val="0"/>
                <w:numId w:val="5"/>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内容较为全面合理，服务措施较为科学、可行，响应较及时、配合较为 积极，应急处理方案较为全面、可行，后期技术支撑较到位，得</w:t>
            </w:r>
            <w:r>
              <w:rPr>
                <w:rFonts w:hint="eastAsia" w:ascii="宋体" w:hAnsi="宋体"/>
                <w:color w:val="auto"/>
                <w:spacing w:val="1"/>
                <w:sz w:val="24"/>
                <w:szCs w:val="24"/>
                <w:highlight w:val="none"/>
                <w:lang w:val="en-US" w:eastAsia="zh-CN"/>
              </w:rPr>
              <w:t>5</w:t>
            </w:r>
            <w:r>
              <w:rPr>
                <w:rFonts w:hint="eastAsia" w:ascii="宋体" w:hAnsi="宋体"/>
                <w:color w:val="auto"/>
                <w:spacing w:val="1"/>
                <w:sz w:val="24"/>
                <w:szCs w:val="24"/>
                <w:highlight w:val="none"/>
                <w:lang w:eastAsia="zh-CN"/>
              </w:rPr>
              <w:t>分;</w:t>
            </w:r>
          </w:p>
          <w:p w14:paraId="380708FF">
            <w:pPr>
              <w:numPr>
                <w:ilvl w:val="0"/>
                <w:numId w:val="5"/>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内容相对全面合理，服务措施相对科学、可行，响应相对及时、配合相 对积极，应急处理方案相对全面、可行，后期技术支撑相对到位，得3分:</w:t>
            </w:r>
          </w:p>
          <w:p w14:paraId="02FC2B77">
            <w:pPr>
              <w:numPr>
                <w:ilvl w:val="0"/>
                <w:numId w:val="5"/>
              </w:numPr>
              <w:wordWrap w:val="0"/>
              <w:ind w:left="0" w:leftChars="0" w:firstLine="0" w:firstLine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内容基本全面合理，服务措施基本可行，响应基本及时配合基本积极，应急处理方案基本全面、可行，后期技术支撑基本到位，得2分</w:t>
            </w:r>
          </w:p>
          <w:p w14:paraId="099934F8">
            <w:pPr>
              <w:numPr>
                <w:ilvl w:val="0"/>
                <w:numId w:val="0"/>
              </w:numPr>
              <w:wordWrap w:val="0"/>
              <w:ind w:leftChars="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5.缺项或不符合实际，该项得 0分</w:t>
            </w:r>
          </w:p>
        </w:tc>
      </w:tr>
      <w:tr w14:paraId="5E644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1" w:type="pct"/>
            <w:vMerge w:val="continue"/>
            <w:shd w:val="clear" w:color="auto" w:fill="auto"/>
            <w:noWrap w:val="0"/>
            <w:vAlign w:val="center"/>
          </w:tcPr>
          <w:p w14:paraId="4BC0BDE2">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6E225103">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54342207">
            <w:pPr>
              <w:wordWrap w:val="0"/>
              <w:autoSpaceDE w:val="0"/>
              <w:autoSpaceDN w:val="0"/>
              <w:adjustRightInd w:val="0"/>
              <w:snapToGrid w:val="0"/>
              <w:spacing w:before="26" w:line="228" w:lineRule="auto"/>
              <w:ind w:left="111" w:leftChars="0" w:right="103" w:rightChars="0" w:firstLine="4" w:firstLineChars="0"/>
              <w:jc w:val="center"/>
              <w:textAlignment w:val="baseline"/>
              <w:rPr>
                <w:rFonts w:hint="eastAsia"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6分</w:t>
            </w:r>
          </w:p>
        </w:tc>
        <w:tc>
          <w:tcPr>
            <w:tcW w:w="893" w:type="pct"/>
            <w:shd w:val="clear" w:color="auto" w:fill="auto"/>
            <w:noWrap w:val="0"/>
            <w:vAlign w:val="center"/>
          </w:tcPr>
          <w:p w14:paraId="31056035">
            <w:pPr>
              <w:wordWrap w:val="0"/>
              <w:ind w:left="0" w:leftChars="0" w:firstLine="0" w:firstLineChars="0"/>
              <w:jc w:val="center"/>
              <w:rPr>
                <w:rFonts w:hint="eastAsia" w:ascii="宋体" w:hAnsi="宋体" w:cs="Times New Roman"/>
                <w:color w:val="auto"/>
                <w:spacing w:val="1"/>
                <w:sz w:val="24"/>
                <w:szCs w:val="24"/>
                <w:highlight w:val="none"/>
                <w:lang w:val="en-US" w:eastAsia="zh-CN"/>
              </w:rPr>
            </w:pPr>
            <w:r>
              <w:rPr>
                <w:rFonts w:hint="eastAsia" w:ascii="宋体" w:hAnsi="宋体" w:cs="Times New Roman"/>
                <w:color w:val="auto"/>
                <w:spacing w:val="1"/>
                <w:sz w:val="24"/>
                <w:szCs w:val="24"/>
                <w:highlight w:val="none"/>
                <w:lang w:val="en-US" w:eastAsia="zh-CN"/>
              </w:rPr>
              <w:t>与招标单位以及其他相关单位的协调配合措施</w:t>
            </w:r>
          </w:p>
        </w:tc>
        <w:tc>
          <w:tcPr>
            <w:tcW w:w="2415" w:type="pct"/>
            <w:shd w:val="clear" w:color="auto" w:fill="auto"/>
            <w:noWrap w:val="0"/>
            <w:vAlign w:val="center"/>
          </w:tcPr>
          <w:p w14:paraId="03DA4A4A">
            <w:pPr>
              <w:wordWrap w:val="0"/>
              <w:rPr>
                <w:rFonts w:hint="eastAsia" w:ascii="宋体" w:hAnsi="宋体"/>
                <w:color w:val="auto"/>
                <w:spacing w:val="1"/>
                <w:sz w:val="24"/>
                <w:szCs w:val="24"/>
                <w:highlight w:val="none"/>
                <w:lang w:eastAsia="zh-CN"/>
              </w:rPr>
            </w:pPr>
            <w:r>
              <w:rPr>
                <w:rFonts w:hint="eastAsia" w:ascii="宋体" w:hAnsi="宋体"/>
                <w:color w:val="auto"/>
                <w:spacing w:val="1"/>
                <w:sz w:val="24"/>
                <w:szCs w:val="24"/>
                <w:highlight w:val="none"/>
                <w:lang w:eastAsia="zh-CN"/>
              </w:rPr>
              <w:t>主要评审针对本项目制定的组织协调方案的合理性。组织协调方案合理，得</w:t>
            </w:r>
            <w:r>
              <w:rPr>
                <w:rFonts w:hint="eastAsia" w:ascii="宋体" w:hAnsi="宋体"/>
                <w:color w:val="auto"/>
                <w:spacing w:val="1"/>
                <w:sz w:val="24"/>
                <w:szCs w:val="24"/>
                <w:highlight w:val="none"/>
                <w:lang w:val="en-US" w:eastAsia="zh-CN"/>
              </w:rPr>
              <w:t>6</w:t>
            </w:r>
            <w:r>
              <w:rPr>
                <w:rFonts w:hint="eastAsia" w:ascii="宋体" w:hAnsi="宋体"/>
                <w:color w:val="auto"/>
                <w:spacing w:val="1"/>
                <w:sz w:val="24"/>
                <w:szCs w:val="24"/>
                <w:highlight w:val="none"/>
                <w:lang w:eastAsia="zh-CN"/>
              </w:rPr>
              <w:t>分；组织协调方案</w:t>
            </w:r>
            <w:r>
              <w:rPr>
                <w:rFonts w:hint="eastAsia" w:ascii="宋体" w:hAnsi="宋体"/>
                <w:color w:val="auto"/>
                <w:spacing w:val="1"/>
                <w:sz w:val="24"/>
                <w:szCs w:val="24"/>
                <w:highlight w:val="none"/>
                <w:lang w:val="en-US" w:eastAsia="zh-CN"/>
              </w:rPr>
              <w:t>基本</w:t>
            </w:r>
            <w:r>
              <w:rPr>
                <w:rFonts w:hint="eastAsia" w:ascii="宋体" w:hAnsi="宋体"/>
                <w:color w:val="auto"/>
                <w:spacing w:val="1"/>
                <w:sz w:val="24"/>
                <w:szCs w:val="24"/>
                <w:highlight w:val="none"/>
                <w:lang w:eastAsia="zh-CN"/>
              </w:rPr>
              <w:t>合理，得3分；组织协调方案</w:t>
            </w:r>
            <w:r>
              <w:rPr>
                <w:rFonts w:hint="eastAsia" w:ascii="宋体" w:hAnsi="宋体"/>
                <w:color w:val="auto"/>
                <w:spacing w:val="1"/>
                <w:sz w:val="24"/>
                <w:szCs w:val="24"/>
                <w:highlight w:val="none"/>
                <w:lang w:val="en-US" w:eastAsia="zh-CN"/>
              </w:rPr>
              <w:t>不合理</w:t>
            </w:r>
            <w:r>
              <w:rPr>
                <w:rFonts w:hint="eastAsia" w:ascii="宋体" w:hAnsi="宋体"/>
                <w:color w:val="auto"/>
                <w:spacing w:val="1"/>
                <w:sz w:val="24"/>
                <w:szCs w:val="24"/>
                <w:highlight w:val="none"/>
                <w:lang w:eastAsia="zh-CN"/>
              </w:rPr>
              <w:t>，得</w:t>
            </w:r>
            <w:r>
              <w:rPr>
                <w:rFonts w:hint="eastAsia" w:ascii="宋体" w:hAnsi="宋体"/>
                <w:color w:val="auto"/>
                <w:spacing w:val="1"/>
                <w:sz w:val="24"/>
                <w:szCs w:val="24"/>
                <w:highlight w:val="none"/>
                <w:lang w:val="en-US" w:eastAsia="zh-CN"/>
              </w:rPr>
              <w:t>1</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7F39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1" w:type="pct"/>
            <w:vMerge w:val="continue"/>
            <w:shd w:val="clear" w:color="auto" w:fill="auto"/>
            <w:noWrap w:val="0"/>
            <w:vAlign w:val="center"/>
          </w:tcPr>
          <w:p w14:paraId="78FA61ED">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vMerge w:val="continue"/>
            <w:shd w:val="clear" w:color="auto" w:fill="auto"/>
            <w:noWrap w:val="0"/>
            <w:vAlign w:val="center"/>
          </w:tcPr>
          <w:p w14:paraId="28FE2872">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513" w:type="pct"/>
            <w:shd w:val="clear" w:color="auto" w:fill="auto"/>
            <w:noWrap w:val="0"/>
            <w:vAlign w:val="center"/>
          </w:tcPr>
          <w:p w14:paraId="611DDCEA">
            <w:pPr>
              <w:wordWrap w:val="0"/>
              <w:autoSpaceDE w:val="0"/>
              <w:autoSpaceDN w:val="0"/>
              <w:adjustRightInd w:val="0"/>
              <w:snapToGrid w:val="0"/>
              <w:spacing w:before="26" w:line="228" w:lineRule="auto"/>
              <w:ind w:left="111" w:right="103" w:firstLine="4"/>
              <w:jc w:val="center"/>
              <w:textAlignment w:val="baseline"/>
              <w:rPr>
                <w:rFonts w:hint="default" w:ascii="宋体" w:hAnsi="宋体" w:eastAsia="宋体" w:cs="宋体"/>
                <w:snapToGrid w:val="0"/>
                <w:color w:val="auto"/>
                <w:spacing w:val="7"/>
                <w:kern w:val="0"/>
                <w:sz w:val="24"/>
                <w:highlight w:val="none"/>
                <w:lang w:val="en-US" w:eastAsia="zh-CN"/>
              </w:rPr>
            </w:pPr>
            <w:r>
              <w:rPr>
                <w:rFonts w:hint="eastAsia" w:ascii="宋体" w:hAnsi="宋体" w:eastAsia="宋体" w:cs="宋体"/>
                <w:snapToGrid w:val="0"/>
                <w:color w:val="auto"/>
                <w:spacing w:val="7"/>
                <w:kern w:val="0"/>
                <w:sz w:val="24"/>
                <w:highlight w:val="none"/>
                <w:lang w:val="en-US" w:eastAsia="zh-CN"/>
              </w:rPr>
              <w:t>6分</w:t>
            </w:r>
          </w:p>
        </w:tc>
        <w:tc>
          <w:tcPr>
            <w:tcW w:w="893" w:type="pct"/>
            <w:shd w:val="clear" w:color="auto" w:fill="auto"/>
            <w:noWrap w:val="0"/>
            <w:vAlign w:val="center"/>
          </w:tcPr>
          <w:p w14:paraId="09037FB6">
            <w:pPr>
              <w:wordWrap w:val="0"/>
              <w:ind w:left="0" w:leftChars="0" w:firstLine="0" w:firstLineChars="0"/>
              <w:jc w:val="center"/>
              <w:rPr>
                <w:rFonts w:hint="eastAsia" w:ascii="宋体" w:hAnsi="宋体" w:cs="宋体"/>
                <w:snapToGrid w:val="0"/>
                <w:color w:val="auto"/>
                <w:spacing w:val="7"/>
                <w:kern w:val="0"/>
                <w:sz w:val="24"/>
                <w:highlight w:val="none"/>
              </w:rPr>
            </w:pPr>
            <w:r>
              <w:rPr>
                <w:rFonts w:hint="eastAsia" w:ascii="宋体" w:hAnsi="宋体" w:cs="Times New Roman"/>
                <w:color w:val="auto"/>
                <w:spacing w:val="1"/>
                <w:sz w:val="24"/>
                <w:szCs w:val="24"/>
                <w:highlight w:val="none"/>
                <w:lang w:val="en-US" w:eastAsia="zh-CN"/>
              </w:rPr>
              <w:t>其他合理化建议</w:t>
            </w:r>
          </w:p>
        </w:tc>
        <w:tc>
          <w:tcPr>
            <w:tcW w:w="2415" w:type="pct"/>
            <w:shd w:val="clear" w:color="auto" w:fill="auto"/>
            <w:noWrap w:val="0"/>
            <w:vAlign w:val="center"/>
          </w:tcPr>
          <w:p w14:paraId="19FB38A4">
            <w:pPr>
              <w:wordWrap w:val="0"/>
              <w:rPr>
                <w:rFonts w:hint="eastAsia" w:ascii="宋体" w:hAnsi="宋体" w:cs="宋体"/>
                <w:snapToGrid w:val="0"/>
                <w:color w:val="auto"/>
                <w:spacing w:val="7"/>
                <w:kern w:val="0"/>
                <w:sz w:val="24"/>
                <w:highlight w:val="none"/>
              </w:rPr>
            </w:pPr>
            <w:r>
              <w:rPr>
                <w:rFonts w:hint="eastAsia" w:ascii="宋体" w:hAnsi="宋体"/>
                <w:color w:val="auto"/>
                <w:spacing w:val="1"/>
                <w:sz w:val="24"/>
                <w:szCs w:val="24"/>
                <w:highlight w:val="none"/>
                <w:lang w:eastAsia="zh-CN"/>
              </w:rPr>
              <w:t>主要评审投标人针对本项目的建议是否可行。建议清晰可行，得</w:t>
            </w:r>
            <w:r>
              <w:rPr>
                <w:rFonts w:hint="eastAsia" w:ascii="宋体" w:hAnsi="宋体"/>
                <w:color w:val="auto"/>
                <w:spacing w:val="1"/>
                <w:sz w:val="24"/>
                <w:szCs w:val="24"/>
                <w:highlight w:val="none"/>
                <w:lang w:val="en-US" w:eastAsia="zh-CN"/>
              </w:rPr>
              <w:t>6</w:t>
            </w:r>
            <w:r>
              <w:rPr>
                <w:rFonts w:hint="eastAsia" w:ascii="宋体" w:hAnsi="宋体"/>
                <w:color w:val="auto"/>
                <w:spacing w:val="1"/>
                <w:sz w:val="24"/>
                <w:szCs w:val="24"/>
                <w:highlight w:val="none"/>
                <w:lang w:eastAsia="zh-CN"/>
              </w:rPr>
              <w:t>分；基本可行得3分；可行性</w:t>
            </w:r>
            <w:r>
              <w:rPr>
                <w:rFonts w:hint="eastAsia" w:ascii="宋体" w:hAnsi="宋体"/>
                <w:color w:val="auto"/>
                <w:spacing w:val="1"/>
                <w:sz w:val="24"/>
                <w:szCs w:val="24"/>
                <w:highlight w:val="none"/>
                <w:lang w:val="en-US" w:eastAsia="zh-CN"/>
              </w:rPr>
              <w:t>一般</w:t>
            </w:r>
            <w:r>
              <w:rPr>
                <w:rFonts w:hint="eastAsia" w:ascii="宋体" w:hAnsi="宋体"/>
                <w:color w:val="auto"/>
                <w:spacing w:val="1"/>
                <w:sz w:val="24"/>
                <w:szCs w:val="24"/>
                <w:highlight w:val="none"/>
                <w:lang w:eastAsia="zh-CN"/>
              </w:rPr>
              <w:t>，得</w:t>
            </w:r>
            <w:r>
              <w:rPr>
                <w:rFonts w:hint="eastAsia" w:ascii="宋体" w:hAnsi="宋体"/>
                <w:color w:val="auto"/>
                <w:spacing w:val="1"/>
                <w:sz w:val="24"/>
                <w:szCs w:val="24"/>
                <w:highlight w:val="none"/>
                <w:lang w:val="en-US" w:eastAsia="zh-CN"/>
              </w:rPr>
              <w:t>1</w:t>
            </w:r>
            <w:r>
              <w:rPr>
                <w:rFonts w:hint="eastAsia" w:ascii="宋体" w:hAnsi="宋体"/>
                <w:color w:val="auto"/>
                <w:spacing w:val="1"/>
                <w:sz w:val="24"/>
                <w:szCs w:val="24"/>
                <w:highlight w:val="none"/>
                <w:lang w:eastAsia="zh-CN"/>
              </w:rPr>
              <w:t>分；</w:t>
            </w:r>
            <w:r>
              <w:rPr>
                <w:rFonts w:hint="eastAsia" w:ascii="宋体" w:hAnsi="宋体"/>
                <w:color w:val="auto"/>
                <w:spacing w:val="1"/>
                <w:sz w:val="24"/>
                <w:szCs w:val="24"/>
                <w:highlight w:val="none"/>
                <w:lang w:val="en-US" w:eastAsia="zh-CN"/>
              </w:rPr>
              <w:t>没有不得分。</w:t>
            </w:r>
          </w:p>
        </w:tc>
      </w:tr>
      <w:tr w14:paraId="69519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1" w:type="pct"/>
            <w:shd w:val="clear" w:color="auto" w:fill="auto"/>
            <w:noWrap w:val="0"/>
            <w:vAlign w:val="center"/>
          </w:tcPr>
          <w:p w14:paraId="483C1158">
            <w:pPr>
              <w:wordWrap w:val="0"/>
              <w:autoSpaceDE w:val="0"/>
              <w:autoSpaceDN w:val="0"/>
              <w:adjustRightInd w:val="0"/>
              <w:snapToGrid w:val="0"/>
              <w:jc w:val="center"/>
              <w:textAlignment w:val="baseline"/>
              <w:rPr>
                <w:rFonts w:hint="eastAsia" w:ascii="宋体" w:hAnsi="宋体" w:cs="宋体"/>
                <w:snapToGrid w:val="0"/>
                <w:color w:val="auto"/>
                <w:spacing w:val="-13"/>
                <w:kern w:val="0"/>
                <w:sz w:val="24"/>
                <w:highlight w:val="none"/>
              </w:rPr>
            </w:pPr>
          </w:p>
        </w:tc>
        <w:tc>
          <w:tcPr>
            <w:tcW w:w="695" w:type="pct"/>
            <w:shd w:val="clear" w:color="auto" w:fill="auto"/>
            <w:noWrap w:val="0"/>
            <w:vAlign w:val="center"/>
          </w:tcPr>
          <w:p w14:paraId="01519E94">
            <w:pPr>
              <w:widowControl/>
              <w:wordWrap w:val="0"/>
              <w:autoSpaceDE w:val="0"/>
              <w:autoSpaceDN w:val="0"/>
              <w:adjustRightInd w:val="0"/>
              <w:snapToGrid w:val="0"/>
              <w:spacing w:before="78" w:line="219" w:lineRule="auto"/>
              <w:jc w:val="center"/>
              <w:textAlignment w:val="baseline"/>
              <w:rPr>
                <w:rFonts w:hint="eastAsia" w:ascii="宋体" w:hAnsi="宋体" w:cs="宋体"/>
                <w:snapToGrid w:val="0"/>
                <w:color w:val="auto"/>
                <w:spacing w:val="-13"/>
                <w:kern w:val="0"/>
                <w:sz w:val="24"/>
                <w:highlight w:val="none"/>
              </w:rPr>
            </w:pPr>
          </w:p>
        </w:tc>
        <w:tc>
          <w:tcPr>
            <w:tcW w:w="3822" w:type="pct"/>
            <w:gridSpan w:val="3"/>
            <w:shd w:val="clear" w:color="auto" w:fill="auto"/>
            <w:noWrap w:val="0"/>
            <w:vAlign w:val="top"/>
          </w:tcPr>
          <w:p w14:paraId="52024D3B">
            <w:pPr>
              <w:wordWrap w:val="0"/>
              <w:autoSpaceDE w:val="0"/>
              <w:autoSpaceDN w:val="0"/>
              <w:adjustRightInd w:val="0"/>
              <w:snapToGrid w:val="0"/>
              <w:textAlignment w:val="baseline"/>
              <w:rPr>
                <w:rFonts w:hint="eastAsia" w:ascii="宋体" w:hAnsi="宋体" w:cs="宋体"/>
                <w:snapToGrid w:val="0"/>
                <w:color w:val="auto"/>
                <w:spacing w:val="7"/>
                <w:kern w:val="0"/>
                <w:sz w:val="24"/>
                <w:highlight w:val="none"/>
              </w:rPr>
            </w:pPr>
            <w:r>
              <w:rPr>
                <w:rFonts w:hint="eastAsia" w:ascii="宋体" w:hAnsi="宋体" w:cs="宋体"/>
                <w:snapToGrid w:val="0"/>
                <w:color w:val="auto"/>
                <w:spacing w:val="7"/>
                <w:kern w:val="0"/>
                <w:sz w:val="24"/>
                <w:highlight w:val="none"/>
              </w:rPr>
              <w:t>上述各分项内容如缺项，相应项目得分为0。</w:t>
            </w:r>
          </w:p>
        </w:tc>
      </w:tr>
      <w:tr w14:paraId="44ED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481" w:type="pct"/>
            <w:vMerge w:val="restart"/>
            <w:shd w:val="clear" w:color="auto" w:fill="auto"/>
            <w:noWrap w:val="0"/>
            <w:vAlign w:val="center"/>
          </w:tcPr>
          <w:p w14:paraId="73CB6E73">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695" w:type="pct"/>
            <w:vMerge w:val="restart"/>
            <w:shd w:val="clear" w:color="auto" w:fill="auto"/>
            <w:noWrap w:val="0"/>
            <w:vAlign w:val="center"/>
          </w:tcPr>
          <w:p w14:paraId="3E45B889">
            <w:pPr>
              <w:widowControl/>
              <w:wordWrap w:val="0"/>
              <w:autoSpaceDE w:val="0"/>
              <w:autoSpaceDN w:val="0"/>
              <w:adjustRightInd w:val="0"/>
              <w:snapToGrid w:val="0"/>
              <w:spacing w:before="157" w:line="220" w:lineRule="auto"/>
              <w:textAlignment w:val="baseline"/>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spacing w:val="-2"/>
                <w:kern w:val="0"/>
                <w:sz w:val="24"/>
                <w:highlight w:val="none"/>
              </w:rPr>
              <w:t>综合实力</w:t>
            </w:r>
            <w:r>
              <w:rPr>
                <w:rFonts w:hint="eastAsia" w:ascii="宋体" w:hAnsi="宋体" w:eastAsia="宋体" w:cs="宋体"/>
                <w:snapToGrid w:val="0"/>
                <w:color w:val="auto"/>
                <w:spacing w:val="-2"/>
                <w:kern w:val="0"/>
                <w:sz w:val="24"/>
                <w:highlight w:val="none"/>
                <w:lang w:eastAsia="zh-CN"/>
              </w:rPr>
              <w:t>（</w:t>
            </w:r>
            <w:r>
              <w:rPr>
                <w:rFonts w:hint="eastAsia" w:ascii="宋体" w:hAnsi="宋体" w:eastAsia="宋体" w:cs="宋体"/>
                <w:snapToGrid w:val="0"/>
                <w:color w:val="auto"/>
                <w:spacing w:val="-2"/>
                <w:kern w:val="0"/>
                <w:sz w:val="24"/>
                <w:highlight w:val="none"/>
                <w:lang w:val="en-US" w:eastAsia="zh-CN"/>
              </w:rPr>
              <w:t>26分</w:t>
            </w:r>
            <w:r>
              <w:rPr>
                <w:rFonts w:hint="eastAsia" w:ascii="宋体" w:hAnsi="宋体" w:eastAsia="宋体" w:cs="宋体"/>
                <w:snapToGrid w:val="0"/>
                <w:color w:val="auto"/>
                <w:spacing w:val="-2"/>
                <w:kern w:val="0"/>
                <w:sz w:val="24"/>
                <w:highlight w:val="none"/>
                <w:lang w:eastAsia="zh-CN"/>
              </w:rPr>
              <w:t>）</w:t>
            </w:r>
          </w:p>
        </w:tc>
        <w:tc>
          <w:tcPr>
            <w:tcW w:w="513" w:type="pct"/>
            <w:shd w:val="clear" w:color="auto" w:fill="auto"/>
            <w:noWrap w:val="0"/>
            <w:vAlign w:val="center"/>
          </w:tcPr>
          <w:p w14:paraId="0048011D">
            <w:pPr>
              <w:wordWrap w:val="0"/>
              <w:ind w:left="0" w:leftChars="0" w:firstLine="0" w:firstLineChars="0"/>
              <w:jc w:val="center"/>
              <w:rPr>
                <w:rFonts w:ascii="宋体" w:hAnsi="宋体" w:cs="宋体"/>
                <w:snapToGrid w:val="0"/>
                <w:color w:val="auto"/>
                <w:spacing w:val="-13"/>
                <w:kern w:val="0"/>
                <w:sz w:val="24"/>
                <w:highlight w:val="none"/>
              </w:rPr>
            </w:pPr>
            <w:r>
              <w:rPr>
                <w:rFonts w:hint="eastAsia" w:ascii="宋体" w:hAnsi="宋体" w:cs="宋体"/>
                <w:color w:val="auto"/>
                <w:spacing w:val="1"/>
                <w:sz w:val="24"/>
                <w:szCs w:val="24"/>
                <w:highlight w:val="none"/>
                <w:lang w:val="en-US" w:eastAsia="zh-CN"/>
              </w:rPr>
              <w:t>10</w:t>
            </w:r>
            <w:r>
              <w:rPr>
                <w:rFonts w:hint="eastAsia" w:ascii="宋体" w:hAnsi="宋体" w:cs="宋体"/>
                <w:color w:val="auto"/>
                <w:spacing w:val="1"/>
                <w:sz w:val="24"/>
                <w:szCs w:val="24"/>
                <w:highlight w:val="none"/>
                <w:lang w:eastAsia="zh-CN"/>
              </w:rPr>
              <w:t>分</w:t>
            </w:r>
          </w:p>
        </w:tc>
        <w:tc>
          <w:tcPr>
            <w:tcW w:w="893" w:type="pct"/>
            <w:shd w:val="clear" w:color="auto" w:fill="auto"/>
            <w:noWrap w:val="0"/>
            <w:vAlign w:val="center"/>
          </w:tcPr>
          <w:p w14:paraId="3AE01D8E">
            <w:pPr>
              <w:wordWrap w:val="0"/>
              <w:ind w:left="0" w:leftChars="0" w:firstLine="0" w:firstLineChars="0"/>
              <w:jc w:val="center"/>
              <w:rPr>
                <w:rFonts w:hint="eastAsia" w:ascii="宋体" w:hAnsi="宋体" w:cs="宋体"/>
                <w:snapToGrid w:val="0"/>
                <w:color w:val="auto"/>
                <w:spacing w:val="7"/>
                <w:kern w:val="0"/>
                <w:sz w:val="24"/>
                <w:highlight w:val="none"/>
                <w:lang w:eastAsia="en-US"/>
              </w:rPr>
            </w:pPr>
            <w:r>
              <w:rPr>
                <w:rFonts w:hint="eastAsia" w:ascii="宋体" w:hAnsi="宋体" w:cs="宋体"/>
                <w:color w:val="auto"/>
                <w:spacing w:val="1"/>
                <w:sz w:val="24"/>
                <w:szCs w:val="24"/>
                <w:highlight w:val="none"/>
                <w:lang w:eastAsia="zh-CN"/>
              </w:rPr>
              <w:t>业绩</w:t>
            </w:r>
          </w:p>
        </w:tc>
        <w:tc>
          <w:tcPr>
            <w:tcW w:w="2415" w:type="pct"/>
            <w:shd w:val="clear" w:color="auto" w:fill="auto"/>
            <w:noWrap w:val="0"/>
            <w:vAlign w:val="center"/>
          </w:tcPr>
          <w:p w14:paraId="74416D0A">
            <w:pPr>
              <w:wordWrap w:val="0"/>
              <w:ind w:left="0" w:leftChars="0" w:firstLine="0" w:firstLineChars="0"/>
              <w:rPr>
                <w:rFonts w:hint="eastAsia" w:ascii="宋体" w:hAnsi="宋体" w:cs="宋体"/>
                <w:color w:val="auto"/>
                <w:spacing w:val="1"/>
                <w:sz w:val="24"/>
                <w:szCs w:val="24"/>
                <w:highlight w:val="none"/>
                <w:lang w:eastAsia="zh-CN"/>
              </w:rPr>
            </w:pPr>
            <w:r>
              <w:rPr>
                <w:rFonts w:hint="eastAsia" w:ascii="宋体" w:hAnsi="宋体" w:cs="宋体"/>
                <w:color w:val="auto"/>
                <w:spacing w:val="1"/>
                <w:sz w:val="24"/>
                <w:szCs w:val="24"/>
                <w:highlight w:val="none"/>
                <w:lang w:eastAsia="zh-CN"/>
              </w:rPr>
              <w:t>2017年1月1日以来具有</w:t>
            </w:r>
            <w:r>
              <w:rPr>
                <w:rFonts w:hint="eastAsia" w:cs="宋体"/>
                <w:color w:val="auto"/>
                <w:spacing w:val="1"/>
                <w:sz w:val="24"/>
                <w:szCs w:val="24"/>
                <w:highlight w:val="none"/>
                <w:lang w:eastAsia="zh-CN"/>
              </w:rPr>
              <w:t>水利工程设计或咨询</w:t>
            </w:r>
            <w:r>
              <w:rPr>
                <w:rFonts w:hint="eastAsia" w:ascii="宋体" w:hAnsi="宋体" w:cs="宋体"/>
                <w:color w:val="auto"/>
                <w:spacing w:val="1"/>
                <w:sz w:val="24"/>
                <w:szCs w:val="24"/>
                <w:highlight w:val="none"/>
                <w:lang w:eastAsia="zh-CN"/>
              </w:rPr>
              <w:t>业绩，每有1份得</w:t>
            </w:r>
            <w:r>
              <w:rPr>
                <w:rFonts w:hint="eastAsia" w:ascii="宋体" w:hAnsi="宋体" w:cs="宋体"/>
                <w:color w:val="auto"/>
                <w:spacing w:val="1"/>
                <w:sz w:val="24"/>
                <w:szCs w:val="24"/>
                <w:highlight w:val="none"/>
                <w:lang w:val="en-US" w:eastAsia="zh-CN"/>
              </w:rPr>
              <w:t>2</w:t>
            </w:r>
            <w:r>
              <w:rPr>
                <w:rFonts w:hint="eastAsia" w:ascii="宋体" w:hAnsi="宋体" w:cs="宋体"/>
                <w:color w:val="auto"/>
                <w:spacing w:val="1"/>
                <w:sz w:val="24"/>
                <w:szCs w:val="24"/>
                <w:highlight w:val="none"/>
                <w:lang w:eastAsia="zh-CN"/>
              </w:rPr>
              <w:t>分，最多得</w:t>
            </w:r>
            <w:r>
              <w:rPr>
                <w:rFonts w:hint="eastAsia" w:ascii="宋体" w:hAnsi="宋体" w:cs="宋体"/>
                <w:color w:val="auto"/>
                <w:spacing w:val="1"/>
                <w:sz w:val="24"/>
                <w:szCs w:val="24"/>
                <w:highlight w:val="none"/>
                <w:lang w:val="en-US" w:eastAsia="zh-CN"/>
              </w:rPr>
              <w:t>10</w:t>
            </w:r>
            <w:r>
              <w:rPr>
                <w:rFonts w:hint="eastAsia" w:ascii="宋体" w:hAnsi="宋体" w:cs="宋体"/>
                <w:color w:val="auto"/>
                <w:spacing w:val="1"/>
                <w:sz w:val="24"/>
                <w:szCs w:val="24"/>
                <w:highlight w:val="none"/>
                <w:lang w:eastAsia="zh-CN"/>
              </w:rPr>
              <w:t>分。</w:t>
            </w:r>
          </w:p>
          <w:p w14:paraId="4807D58C">
            <w:pPr>
              <w:wordWrap w:val="0"/>
              <w:ind w:left="0" w:leftChars="0" w:firstLine="0" w:firstLineChars="0"/>
              <w:rPr>
                <w:rFonts w:ascii="宋体" w:hAnsi="宋体" w:cs="宋体"/>
                <w:snapToGrid w:val="0"/>
                <w:color w:val="auto"/>
                <w:spacing w:val="7"/>
                <w:kern w:val="0"/>
                <w:sz w:val="24"/>
                <w:highlight w:val="none"/>
              </w:rPr>
            </w:pPr>
          </w:p>
        </w:tc>
      </w:tr>
      <w:tr w14:paraId="2D1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81" w:type="pct"/>
            <w:vMerge w:val="continue"/>
            <w:shd w:val="clear" w:color="auto" w:fill="auto"/>
            <w:noWrap w:val="0"/>
            <w:vAlign w:val="center"/>
          </w:tcPr>
          <w:p w14:paraId="2388DBA9">
            <w:pPr>
              <w:wordWrap w:val="0"/>
              <w:autoSpaceDE w:val="0"/>
              <w:autoSpaceDN w:val="0"/>
              <w:adjustRightInd w:val="0"/>
              <w:snapToGrid w:val="0"/>
              <w:jc w:val="center"/>
              <w:textAlignment w:val="baseline"/>
              <w:rPr>
                <w:rFonts w:hint="eastAsia" w:ascii="宋体" w:hAnsi="宋体" w:cs="宋体"/>
                <w:snapToGrid w:val="0"/>
                <w:color w:val="auto"/>
                <w:kern w:val="0"/>
                <w:szCs w:val="21"/>
                <w:highlight w:val="none"/>
              </w:rPr>
            </w:pPr>
          </w:p>
        </w:tc>
        <w:tc>
          <w:tcPr>
            <w:tcW w:w="695" w:type="pct"/>
            <w:vMerge w:val="continue"/>
            <w:shd w:val="clear" w:color="auto" w:fill="auto"/>
            <w:noWrap w:val="0"/>
            <w:vAlign w:val="center"/>
          </w:tcPr>
          <w:p w14:paraId="0BDC7790">
            <w:pPr>
              <w:widowControl/>
              <w:wordWrap w:val="0"/>
              <w:autoSpaceDE w:val="0"/>
              <w:autoSpaceDN w:val="0"/>
              <w:adjustRightInd w:val="0"/>
              <w:snapToGrid w:val="0"/>
              <w:spacing w:before="157" w:line="220" w:lineRule="auto"/>
              <w:textAlignment w:val="baseline"/>
              <w:rPr>
                <w:rFonts w:hint="eastAsia" w:ascii="宋体" w:hAnsi="宋体" w:cs="宋体"/>
                <w:snapToGrid w:val="0"/>
                <w:color w:val="auto"/>
                <w:spacing w:val="-2"/>
                <w:kern w:val="0"/>
                <w:sz w:val="24"/>
                <w:highlight w:val="none"/>
              </w:rPr>
            </w:pPr>
          </w:p>
        </w:tc>
        <w:tc>
          <w:tcPr>
            <w:tcW w:w="513" w:type="pct"/>
            <w:shd w:val="clear" w:color="auto" w:fill="auto"/>
            <w:noWrap w:val="0"/>
            <w:vAlign w:val="center"/>
          </w:tcPr>
          <w:p w14:paraId="690E4A78">
            <w:pPr>
              <w:wordWrap w:val="0"/>
              <w:ind w:left="0" w:leftChars="0" w:firstLine="0" w:firstLineChars="0"/>
              <w:jc w:val="center"/>
              <w:rPr>
                <w:rFonts w:hint="default"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6分</w:t>
            </w:r>
          </w:p>
        </w:tc>
        <w:tc>
          <w:tcPr>
            <w:tcW w:w="893" w:type="pct"/>
            <w:shd w:val="clear" w:color="auto" w:fill="auto"/>
            <w:noWrap w:val="0"/>
            <w:vAlign w:val="center"/>
          </w:tcPr>
          <w:p w14:paraId="3C8A915B">
            <w:pPr>
              <w:wordWrap w:val="0"/>
              <w:ind w:left="0" w:leftChars="0" w:firstLine="0" w:firstLineChars="0"/>
              <w:jc w:val="center"/>
              <w:rPr>
                <w:rFonts w:hint="default"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专业人员配备</w:t>
            </w:r>
          </w:p>
        </w:tc>
        <w:tc>
          <w:tcPr>
            <w:tcW w:w="2415" w:type="pct"/>
            <w:shd w:val="clear" w:color="auto" w:fill="auto"/>
            <w:noWrap w:val="0"/>
            <w:vAlign w:val="center"/>
          </w:tcPr>
          <w:p w14:paraId="09F8A4C5">
            <w:pPr>
              <w:wordWrap w:val="0"/>
              <w:ind w:left="0" w:leftChars="0" w:firstLine="0" w:firstLineChars="0"/>
              <w:rPr>
                <w:rFonts w:hint="default" w:ascii="宋体" w:hAnsi="宋体" w:cs="宋体"/>
                <w:color w:val="auto"/>
                <w:spacing w:val="1"/>
                <w:sz w:val="24"/>
                <w:szCs w:val="24"/>
                <w:highlight w:val="none"/>
                <w:lang w:val="en-US" w:eastAsia="zh-CN"/>
              </w:rPr>
            </w:pPr>
            <w:r>
              <w:rPr>
                <w:rFonts w:hint="default" w:ascii="宋体" w:hAnsi="宋体" w:cs="宋体"/>
                <w:color w:val="auto"/>
                <w:spacing w:val="1"/>
                <w:sz w:val="24"/>
                <w:szCs w:val="24"/>
                <w:highlight w:val="none"/>
                <w:lang w:val="en-US" w:eastAsia="zh-CN"/>
              </w:rPr>
              <w:t>1.投标人所报项目组成人员中(除项目负责人外)，具有高级工程师以上职称证书的，每人得1分，此项最多得6分;(同一人员不重复得分，须提供有效证明材料)</w:t>
            </w:r>
            <w:r>
              <w:rPr>
                <w:rFonts w:hint="eastAsia" w:ascii="宋体" w:hAnsi="宋体" w:cs="宋体"/>
                <w:color w:val="auto"/>
                <w:spacing w:val="1"/>
                <w:sz w:val="24"/>
                <w:szCs w:val="24"/>
                <w:highlight w:val="none"/>
                <w:lang w:val="en-US" w:eastAsia="zh-CN"/>
              </w:rPr>
              <w:t>；</w:t>
            </w:r>
          </w:p>
        </w:tc>
      </w:tr>
      <w:tr w14:paraId="3676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81" w:type="pct"/>
            <w:vMerge w:val="continue"/>
            <w:shd w:val="clear" w:color="auto" w:fill="auto"/>
            <w:noWrap w:val="0"/>
            <w:vAlign w:val="center"/>
          </w:tcPr>
          <w:p w14:paraId="1B8CF2D4">
            <w:pPr>
              <w:wordWrap w:val="0"/>
              <w:autoSpaceDE w:val="0"/>
              <w:autoSpaceDN w:val="0"/>
              <w:adjustRightInd w:val="0"/>
              <w:snapToGrid w:val="0"/>
              <w:spacing w:line="240" w:lineRule="auto"/>
              <w:jc w:val="center"/>
              <w:textAlignment w:val="baseline"/>
              <w:rPr>
                <w:rFonts w:hint="eastAsia" w:ascii="宋体" w:hAnsi="宋体" w:cs="宋体"/>
                <w:snapToGrid w:val="0"/>
                <w:color w:val="auto"/>
                <w:kern w:val="0"/>
                <w:szCs w:val="21"/>
                <w:highlight w:val="none"/>
              </w:rPr>
            </w:pPr>
          </w:p>
        </w:tc>
        <w:tc>
          <w:tcPr>
            <w:tcW w:w="695" w:type="pct"/>
            <w:vMerge w:val="continue"/>
            <w:shd w:val="clear" w:color="auto" w:fill="auto"/>
            <w:noWrap w:val="0"/>
            <w:vAlign w:val="center"/>
          </w:tcPr>
          <w:p w14:paraId="5A471355">
            <w:pPr>
              <w:widowControl/>
              <w:wordWrap w:val="0"/>
              <w:autoSpaceDE w:val="0"/>
              <w:autoSpaceDN w:val="0"/>
              <w:adjustRightInd w:val="0"/>
              <w:snapToGrid w:val="0"/>
              <w:spacing w:before="157" w:line="240" w:lineRule="auto"/>
              <w:textAlignment w:val="baseline"/>
              <w:rPr>
                <w:rFonts w:hint="eastAsia" w:ascii="宋体" w:hAnsi="宋体" w:cs="宋体"/>
                <w:snapToGrid w:val="0"/>
                <w:color w:val="auto"/>
                <w:spacing w:val="-2"/>
                <w:kern w:val="0"/>
                <w:sz w:val="24"/>
                <w:highlight w:val="none"/>
              </w:rPr>
            </w:pPr>
          </w:p>
        </w:tc>
        <w:tc>
          <w:tcPr>
            <w:tcW w:w="1069" w:type="dxa"/>
            <w:shd w:val="clear" w:color="auto" w:fill="auto"/>
            <w:noWrap w:val="0"/>
            <w:vAlign w:val="center"/>
          </w:tcPr>
          <w:p w14:paraId="5C4FD744">
            <w:pPr>
              <w:wordWrap w:val="0"/>
              <w:spacing w:line="240" w:lineRule="auto"/>
              <w:ind w:left="0" w:leftChars="0" w:firstLine="0" w:firstLineChars="0"/>
              <w:jc w:val="center"/>
              <w:rPr>
                <w:rFonts w:hint="eastAsia" w:ascii="宋体" w:hAnsi="宋体" w:cs="宋体"/>
                <w:snapToGrid w:val="0"/>
                <w:color w:val="auto"/>
                <w:spacing w:val="-13"/>
                <w:kern w:val="0"/>
                <w:sz w:val="24"/>
                <w:highlight w:val="none"/>
              </w:rPr>
            </w:pPr>
            <w:r>
              <w:rPr>
                <w:rFonts w:hint="eastAsia" w:ascii="宋体" w:hAnsi="宋体" w:cs="宋体"/>
                <w:color w:val="auto"/>
                <w:spacing w:val="1"/>
                <w:sz w:val="24"/>
                <w:szCs w:val="24"/>
                <w:highlight w:val="none"/>
                <w:lang w:val="en-US" w:eastAsia="zh-CN"/>
              </w:rPr>
              <w:t>4</w:t>
            </w:r>
            <w:r>
              <w:rPr>
                <w:rFonts w:hint="eastAsia" w:ascii="宋体" w:hAnsi="宋体" w:cs="宋体"/>
                <w:color w:val="auto"/>
                <w:spacing w:val="1"/>
                <w:sz w:val="24"/>
                <w:szCs w:val="24"/>
                <w:highlight w:val="none"/>
                <w:lang w:eastAsia="zh-CN"/>
              </w:rPr>
              <w:t>分</w:t>
            </w:r>
          </w:p>
        </w:tc>
        <w:tc>
          <w:tcPr>
            <w:tcW w:w="1861" w:type="dxa"/>
            <w:shd w:val="clear" w:color="auto" w:fill="auto"/>
            <w:noWrap w:val="0"/>
            <w:vAlign w:val="center"/>
          </w:tcPr>
          <w:p w14:paraId="6BDA4A38">
            <w:pPr>
              <w:wordWrap w:val="0"/>
              <w:spacing w:line="240" w:lineRule="auto"/>
              <w:ind w:left="0" w:leftChars="0" w:firstLine="0" w:firstLineChars="0"/>
              <w:jc w:val="center"/>
              <w:rPr>
                <w:rFonts w:hint="eastAsia" w:ascii="宋体" w:hAnsi="宋体" w:cs="宋体"/>
                <w:snapToGrid w:val="0"/>
                <w:color w:val="auto"/>
                <w:spacing w:val="7"/>
                <w:kern w:val="0"/>
                <w:sz w:val="24"/>
                <w:highlight w:val="none"/>
              </w:rPr>
            </w:pPr>
            <w:r>
              <w:rPr>
                <w:rFonts w:hint="eastAsia" w:ascii="宋体" w:hAnsi="宋体" w:cs="宋体"/>
                <w:color w:val="auto"/>
                <w:spacing w:val="1"/>
                <w:sz w:val="24"/>
                <w:szCs w:val="24"/>
                <w:highlight w:val="none"/>
                <w:lang w:eastAsia="zh-CN"/>
              </w:rPr>
              <w:t>软硬件设备</w:t>
            </w:r>
          </w:p>
        </w:tc>
        <w:tc>
          <w:tcPr>
            <w:tcW w:w="5038" w:type="dxa"/>
            <w:shd w:val="clear" w:color="auto" w:fill="auto"/>
            <w:noWrap w:val="0"/>
            <w:vAlign w:val="center"/>
          </w:tcPr>
          <w:p w14:paraId="51B28574">
            <w:pPr>
              <w:wordWrap w:val="0"/>
              <w:spacing w:line="240" w:lineRule="auto"/>
              <w:ind w:left="0" w:leftChars="0" w:firstLine="0" w:firstLineChars="0"/>
              <w:rPr>
                <w:rFonts w:hint="eastAsia" w:ascii="宋体" w:hAnsi="宋体" w:cs="宋体"/>
                <w:snapToGrid w:val="0"/>
                <w:color w:val="auto"/>
                <w:spacing w:val="7"/>
                <w:kern w:val="0"/>
                <w:sz w:val="24"/>
                <w:highlight w:val="none"/>
              </w:rPr>
            </w:pPr>
            <w:r>
              <w:rPr>
                <w:rFonts w:hint="eastAsia" w:ascii="宋体" w:hAnsi="宋体" w:cs="宋体"/>
                <w:color w:val="auto"/>
                <w:spacing w:val="1"/>
                <w:sz w:val="24"/>
                <w:szCs w:val="24"/>
                <w:highlight w:val="none"/>
                <w:lang w:eastAsia="zh-CN"/>
              </w:rPr>
              <w:t>投标人用于本项目的软硬件设备情况（设备齐全，配备合理得</w:t>
            </w:r>
            <w:r>
              <w:rPr>
                <w:rFonts w:hint="eastAsia" w:ascii="宋体" w:hAnsi="宋体" w:cs="宋体"/>
                <w:color w:val="auto"/>
                <w:spacing w:val="1"/>
                <w:sz w:val="24"/>
                <w:szCs w:val="24"/>
                <w:highlight w:val="none"/>
                <w:lang w:val="en-US" w:eastAsia="zh-CN"/>
              </w:rPr>
              <w:t>4</w:t>
            </w:r>
            <w:r>
              <w:rPr>
                <w:rFonts w:hint="eastAsia" w:ascii="宋体" w:hAnsi="宋体" w:cs="宋体"/>
                <w:color w:val="auto"/>
                <w:spacing w:val="1"/>
                <w:sz w:val="24"/>
                <w:szCs w:val="24"/>
                <w:highlight w:val="none"/>
                <w:lang w:eastAsia="zh-CN"/>
              </w:rPr>
              <w:t>分；设备基本齐全，配备基本合理得</w:t>
            </w:r>
            <w:r>
              <w:rPr>
                <w:rFonts w:hint="eastAsia" w:ascii="宋体" w:hAnsi="宋体" w:cs="宋体"/>
                <w:color w:val="auto"/>
                <w:spacing w:val="1"/>
                <w:sz w:val="24"/>
                <w:szCs w:val="24"/>
                <w:highlight w:val="none"/>
                <w:lang w:val="en-US" w:eastAsia="zh-CN"/>
              </w:rPr>
              <w:t>2</w:t>
            </w:r>
            <w:r>
              <w:rPr>
                <w:rFonts w:hint="eastAsia" w:ascii="宋体" w:hAnsi="宋体" w:cs="宋体"/>
                <w:color w:val="auto"/>
                <w:spacing w:val="1"/>
                <w:sz w:val="24"/>
                <w:szCs w:val="24"/>
                <w:highlight w:val="none"/>
                <w:lang w:eastAsia="zh-CN"/>
              </w:rPr>
              <w:t>分；无设备配备情况的得0分）。</w:t>
            </w:r>
          </w:p>
        </w:tc>
      </w:tr>
      <w:tr w14:paraId="127A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81" w:type="pct"/>
            <w:vMerge w:val="continue"/>
            <w:shd w:val="clear" w:color="auto" w:fill="auto"/>
            <w:noWrap w:val="0"/>
            <w:vAlign w:val="center"/>
          </w:tcPr>
          <w:p w14:paraId="290A5376">
            <w:pPr>
              <w:wordWrap w:val="0"/>
              <w:autoSpaceDE w:val="0"/>
              <w:autoSpaceDN w:val="0"/>
              <w:adjustRightInd w:val="0"/>
              <w:snapToGrid w:val="0"/>
              <w:spacing w:line="240" w:lineRule="auto"/>
              <w:jc w:val="center"/>
              <w:textAlignment w:val="baseline"/>
              <w:rPr>
                <w:rFonts w:hint="eastAsia" w:ascii="宋体" w:hAnsi="宋体" w:cs="宋体"/>
                <w:snapToGrid w:val="0"/>
                <w:color w:val="auto"/>
                <w:kern w:val="0"/>
                <w:szCs w:val="21"/>
                <w:highlight w:val="none"/>
              </w:rPr>
            </w:pPr>
          </w:p>
        </w:tc>
        <w:tc>
          <w:tcPr>
            <w:tcW w:w="695" w:type="pct"/>
            <w:vMerge w:val="continue"/>
            <w:shd w:val="clear" w:color="auto" w:fill="auto"/>
            <w:noWrap w:val="0"/>
            <w:vAlign w:val="center"/>
          </w:tcPr>
          <w:p w14:paraId="62D85070">
            <w:pPr>
              <w:widowControl/>
              <w:wordWrap w:val="0"/>
              <w:autoSpaceDE w:val="0"/>
              <w:autoSpaceDN w:val="0"/>
              <w:adjustRightInd w:val="0"/>
              <w:snapToGrid w:val="0"/>
              <w:spacing w:before="157" w:line="240" w:lineRule="auto"/>
              <w:textAlignment w:val="baseline"/>
              <w:rPr>
                <w:rFonts w:hint="eastAsia" w:ascii="宋体" w:hAnsi="宋体" w:cs="宋体"/>
                <w:snapToGrid w:val="0"/>
                <w:color w:val="auto"/>
                <w:spacing w:val="-2"/>
                <w:kern w:val="0"/>
                <w:sz w:val="24"/>
                <w:highlight w:val="none"/>
              </w:rPr>
            </w:pPr>
          </w:p>
        </w:tc>
        <w:tc>
          <w:tcPr>
            <w:tcW w:w="1069" w:type="dxa"/>
            <w:shd w:val="clear" w:color="auto" w:fill="auto"/>
            <w:noWrap w:val="0"/>
            <w:vAlign w:val="center"/>
          </w:tcPr>
          <w:p w14:paraId="53CD112F">
            <w:pPr>
              <w:wordWrap w:val="0"/>
              <w:spacing w:line="240" w:lineRule="auto"/>
              <w:ind w:left="0" w:leftChars="0" w:firstLine="0" w:firstLineChars="0"/>
              <w:jc w:val="center"/>
              <w:rPr>
                <w:rFonts w:hint="eastAsia" w:ascii="宋体" w:hAnsi="宋体" w:cs="宋体"/>
                <w:snapToGrid w:val="0"/>
                <w:color w:val="auto"/>
                <w:spacing w:val="-13"/>
                <w:kern w:val="0"/>
                <w:sz w:val="24"/>
                <w:highlight w:val="none"/>
              </w:rPr>
            </w:pPr>
            <w:r>
              <w:rPr>
                <w:rFonts w:hint="eastAsia" w:ascii="宋体" w:hAnsi="宋体" w:cs="宋体"/>
                <w:color w:val="auto"/>
                <w:spacing w:val="1"/>
                <w:sz w:val="24"/>
                <w:szCs w:val="24"/>
                <w:highlight w:val="none"/>
                <w:lang w:val="en-US" w:eastAsia="zh-CN"/>
              </w:rPr>
              <w:t>4</w:t>
            </w:r>
            <w:r>
              <w:rPr>
                <w:rFonts w:hint="eastAsia" w:ascii="宋体" w:hAnsi="宋体" w:cs="宋体"/>
                <w:color w:val="auto"/>
                <w:spacing w:val="1"/>
                <w:sz w:val="24"/>
                <w:szCs w:val="24"/>
                <w:highlight w:val="none"/>
                <w:lang w:eastAsia="zh-CN"/>
              </w:rPr>
              <w:t>分</w:t>
            </w:r>
          </w:p>
        </w:tc>
        <w:tc>
          <w:tcPr>
            <w:tcW w:w="1861" w:type="dxa"/>
            <w:shd w:val="clear" w:color="auto" w:fill="auto"/>
            <w:noWrap w:val="0"/>
            <w:vAlign w:val="center"/>
          </w:tcPr>
          <w:p w14:paraId="45879157">
            <w:pPr>
              <w:wordWrap w:val="0"/>
              <w:spacing w:line="240" w:lineRule="auto"/>
              <w:ind w:left="0" w:leftChars="0" w:firstLine="0" w:firstLineChars="0"/>
              <w:jc w:val="center"/>
              <w:rPr>
                <w:rFonts w:hint="eastAsia" w:ascii="宋体" w:hAnsi="宋体" w:cs="宋体"/>
                <w:snapToGrid w:val="0"/>
                <w:color w:val="auto"/>
                <w:spacing w:val="7"/>
                <w:kern w:val="0"/>
                <w:sz w:val="24"/>
                <w:highlight w:val="none"/>
              </w:rPr>
            </w:pPr>
            <w:r>
              <w:rPr>
                <w:rFonts w:hint="eastAsia" w:ascii="宋体" w:hAnsi="宋体" w:cs="宋体"/>
                <w:color w:val="auto"/>
                <w:spacing w:val="1"/>
                <w:sz w:val="24"/>
                <w:szCs w:val="24"/>
                <w:highlight w:val="none"/>
                <w:lang w:eastAsia="zh-CN"/>
              </w:rPr>
              <w:t>服务承诺</w:t>
            </w:r>
          </w:p>
        </w:tc>
        <w:tc>
          <w:tcPr>
            <w:tcW w:w="5038" w:type="dxa"/>
            <w:shd w:val="clear" w:color="auto" w:fill="auto"/>
            <w:noWrap w:val="0"/>
            <w:vAlign w:val="center"/>
          </w:tcPr>
          <w:p w14:paraId="648B8F4E">
            <w:pPr>
              <w:wordWrap w:val="0"/>
              <w:spacing w:line="240" w:lineRule="auto"/>
              <w:ind w:left="0" w:leftChars="0" w:firstLine="0" w:firstLineChars="0"/>
              <w:rPr>
                <w:rFonts w:hint="default" w:ascii="宋体" w:hAnsi="宋体" w:eastAsia="宋体" w:cs="宋体"/>
                <w:snapToGrid w:val="0"/>
                <w:color w:val="auto"/>
                <w:spacing w:val="7"/>
                <w:kern w:val="0"/>
                <w:sz w:val="24"/>
                <w:highlight w:val="none"/>
                <w:lang w:val="en-US" w:eastAsia="zh-CN"/>
              </w:rPr>
            </w:pPr>
            <w:r>
              <w:rPr>
                <w:rFonts w:hint="eastAsia" w:ascii="宋体" w:hAnsi="宋体" w:cs="宋体"/>
                <w:color w:val="auto"/>
                <w:spacing w:val="1"/>
                <w:sz w:val="24"/>
                <w:szCs w:val="24"/>
                <w:highlight w:val="none"/>
                <w:lang w:eastAsia="zh-CN"/>
              </w:rPr>
              <w:t>投标人在人员组织、配合服务、完成时间、完成质量等方面的承诺。</w:t>
            </w:r>
            <w:r>
              <w:rPr>
                <w:rFonts w:hint="eastAsia" w:ascii="宋体" w:hAnsi="宋体" w:cs="宋体"/>
                <w:color w:val="auto"/>
                <w:spacing w:val="1"/>
                <w:sz w:val="24"/>
                <w:szCs w:val="24"/>
                <w:highlight w:val="none"/>
                <w:lang w:val="en-US" w:eastAsia="zh-CN"/>
              </w:rPr>
              <w:t>承诺</w:t>
            </w:r>
            <w:r>
              <w:rPr>
                <w:rFonts w:ascii="宋体" w:hAnsi="宋体" w:eastAsia="宋体" w:cs="宋体"/>
                <w:color w:val="auto"/>
                <w:sz w:val="24"/>
                <w:szCs w:val="24"/>
                <w:highlight w:val="none"/>
              </w:rPr>
              <w:t>内容合理、条理清晰，得</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pacing w:val="1"/>
                <w:sz w:val="24"/>
                <w:szCs w:val="24"/>
                <w:highlight w:val="none"/>
                <w:lang w:val="en-US" w:eastAsia="zh-CN"/>
              </w:rPr>
              <w:t>承诺</w:t>
            </w:r>
            <w:r>
              <w:rPr>
                <w:rFonts w:ascii="宋体" w:hAnsi="宋体" w:eastAsia="宋体" w:cs="宋体"/>
                <w:color w:val="auto"/>
                <w:sz w:val="24"/>
                <w:szCs w:val="24"/>
                <w:highlight w:val="none"/>
              </w:rPr>
              <w:t>内容基本合理、条理基本清晰，得</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pacing w:val="1"/>
                <w:sz w:val="24"/>
                <w:szCs w:val="24"/>
                <w:highlight w:val="none"/>
                <w:lang w:val="en-US" w:eastAsia="zh-CN"/>
              </w:rPr>
              <w:t>承诺</w:t>
            </w:r>
            <w:r>
              <w:rPr>
                <w:rFonts w:ascii="宋体" w:hAnsi="宋体" w:eastAsia="宋体" w:cs="宋体"/>
                <w:color w:val="auto"/>
                <w:sz w:val="24"/>
                <w:szCs w:val="24"/>
                <w:highlight w:val="none"/>
              </w:rPr>
              <w:t>内容合理性、可行性一般,得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没有不得分。</w:t>
            </w:r>
          </w:p>
        </w:tc>
      </w:tr>
      <w:tr w14:paraId="770DE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81" w:type="pct"/>
            <w:vMerge w:val="continue"/>
            <w:shd w:val="clear" w:color="auto" w:fill="auto"/>
            <w:noWrap w:val="0"/>
            <w:vAlign w:val="center"/>
          </w:tcPr>
          <w:p w14:paraId="164FD67D">
            <w:pPr>
              <w:wordWrap w:val="0"/>
              <w:autoSpaceDE w:val="0"/>
              <w:autoSpaceDN w:val="0"/>
              <w:adjustRightInd w:val="0"/>
              <w:snapToGrid w:val="0"/>
              <w:spacing w:line="240" w:lineRule="auto"/>
              <w:jc w:val="center"/>
              <w:textAlignment w:val="baseline"/>
              <w:rPr>
                <w:rFonts w:hint="eastAsia" w:ascii="宋体" w:hAnsi="宋体" w:cs="宋体"/>
                <w:snapToGrid w:val="0"/>
                <w:color w:val="auto"/>
                <w:kern w:val="0"/>
                <w:szCs w:val="21"/>
                <w:highlight w:val="none"/>
              </w:rPr>
            </w:pPr>
          </w:p>
        </w:tc>
        <w:tc>
          <w:tcPr>
            <w:tcW w:w="695" w:type="pct"/>
            <w:vMerge w:val="continue"/>
            <w:shd w:val="clear" w:color="auto" w:fill="auto"/>
            <w:noWrap w:val="0"/>
            <w:vAlign w:val="center"/>
          </w:tcPr>
          <w:p w14:paraId="47BD2E82">
            <w:pPr>
              <w:widowControl/>
              <w:wordWrap w:val="0"/>
              <w:autoSpaceDE w:val="0"/>
              <w:autoSpaceDN w:val="0"/>
              <w:adjustRightInd w:val="0"/>
              <w:snapToGrid w:val="0"/>
              <w:spacing w:before="157" w:line="240" w:lineRule="auto"/>
              <w:textAlignment w:val="baseline"/>
              <w:rPr>
                <w:rFonts w:hint="eastAsia" w:ascii="宋体" w:hAnsi="宋体" w:cs="宋体"/>
                <w:snapToGrid w:val="0"/>
                <w:color w:val="auto"/>
                <w:spacing w:val="-2"/>
                <w:kern w:val="0"/>
                <w:sz w:val="24"/>
                <w:highlight w:val="none"/>
              </w:rPr>
            </w:pPr>
          </w:p>
        </w:tc>
        <w:tc>
          <w:tcPr>
            <w:tcW w:w="1069" w:type="dxa"/>
            <w:shd w:val="clear" w:color="auto" w:fill="auto"/>
            <w:noWrap w:val="0"/>
            <w:vAlign w:val="center"/>
          </w:tcPr>
          <w:p w14:paraId="3BD59216">
            <w:pPr>
              <w:pStyle w:val="31"/>
              <w:keepNext w:val="0"/>
              <w:keepLines w:val="0"/>
              <w:pageBreakBefore w:val="0"/>
              <w:kinsoku/>
              <w:wordWrap w:val="0"/>
              <w:overflowPunct/>
              <w:topLinePunct w:val="0"/>
              <w:bidi w:val="0"/>
              <w:spacing w:before="26" w:line="240" w:lineRule="auto"/>
              <w:ind w:left="111" w:leftChars="0" w:right="103" w:rightChars="0" w:firstLine="4" w:firstLineChars="0"/>
              <w:jc w:val="center"/>
              <w:rPr>
                <w:rFonts w:hint="eastAsia" w:ascii="宋体" w:hAnsi="宋体" w:cs="宋体"/>
                <w:color w:val="auto"/>
                <w:spacing w:val="1"/>
                <w:sz w:val="24"/>
                <w:szCs w:val="24"/>
                <w:highlight w:val="none"/>
                <w:lang w:val="en-US" w:eastAsia="zh-CN"/>
              </w:rPr>
            </w:pPr>
            <w:r>
              <w:rPr>
                <w:rFonts w:hint="eastAsia" w:ascii="宋体" w:hAnsi="宋体" w:eastAsia="宋体" w:cs="宋体"/>
                <w:snapToGrid w:val="0"/>
                <w:color w:val="auto"/>
                <w:spacing w:val="0"/>
                <w:kern w:val="0"/>
                <w:sz w:val="22"/>
                <w:szCs w:val="22"/>
                <w:highlight w:val="none"/>
                <w:lang w:val="en-US" w:eastAsia="zh-CN" w:bidi="ar-SA"/>
              </w:rPr>
              <w:t>2分</w:t>
            </w:r>
          </w:p>
        </w:tc>
        <w:tc>
          <w:tcPr>
            <w:tcW w:w="1861" w:type="dxa"/>
            <w:shd w:val="clear" w:color="auto" w:fill="auto"/>
            <w:noWrap w:val="0"/>
            <w:vAlign w:val="center"/>
          </w:tcPr>
          <w:p w14:paraId="4E9A9C57">
            <w:pPr>
              <w:wordWrap w:val="0"/>
              <w:spacing w:line="240" w:lineRule="auto"/>
              <w:ind w:left="0" w:leftChars="0" w:firstLine="0" w:firstLineChars="0"/>
              <w:rPr>
                <w:rFonts w:hint="eastAsia"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政府采购信用评价</w:t>
            </w:r>
          </w:p>
        </w:tc>
        <w:tc>
          <w:tcPr>
            <w:tcW w:w="5038" w:type="dxa"/>
            <w:shd w:val="clear" w:color="auto" w:fill="auto"/>
            <w:noWrap w:val="0"/>
            <w:vAlign w:val="center"/>
          </w:tcPr>
          <w:p w14:paraId="38A33E81">
            <w:pPr>
              <w:wordWrap w:val="0"/>
              <w:spacing w:line="240" w:lineRule="auto"/>
              <w:ind w:left="0" w:leftChars="0" w:firstLine="0" w:firstLineChars="0"/>
              <w:rPr>
                <w:rFonts w:hint="eastAsia"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0DB0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5000" w:type="pct"/>
            <w:gridSpan w:val="5"/>
            <w:shd w:val="clear" w:color="auto" w:fill="auto"/>
            <w:noWrap w:val="0"/>
            <w:vAlign w:val="center"/>
          </w:tcPr>
          <w:p w14:paraId="4A744E1F">
            <w:pPr>
              <w:wordWrap w:val="0"/>
              <w:spacing w:line="240" w:lineRule="auto"/>
              <w:ind w:left="0" w:leftChars="0" w:firstLine="0" w:firstLineChars="0"/>
              <w:rPr>
                <w:rFonts w:hint="eastAsia" w:ascii="宋体" w:hAnsi="宋体" w:cs="宋体"/>
                <w:color w:val="auto"/>
                <w:spacing w:val="1"/>
                <w:sz w:val="24"/>
                <w:szCs w:val="24"/>
                <w:highlight w:val="none"/>
                <w:lang w:eastAsia="zh-CN"/>
              </w:rPr>
            </w:pPr>
            <w:r>
              <w:rPr>
                <w:rFonts w:hint="eastAsia"/>
                <w:b/>
                <w:bCs/>
                <w:color w:val="auto"/>
                <w:sz w:val="24"/>
                <w:szCs w:val="24"/>
                <w:highlight w:val="none"/>
                <w:lang w:eastAsia="zh-CN"/>
              </w:rPr>
              <w:t>注：以上所需证件审查由评标专家依据投标企业在</w:t>
            </w:r>
            <w:r>
              <w:rPr>
                <w:rFonts w:hint="eastAsia"/>
                <w:b/>
                <w:bCs/>
                <w:color w:val="auto"/>
                <w:sz w:val="24"/>
                <w:szCs w:val="24"/>
                <w:highlight w:val="none"/>
                <w:lang w:val="en-US" w:eastAsia="zh-CN"/>
              </w:rPr>
              <w:t>南阳市公共资源交易中心网站企业</w:t>
            </w:r>
            <w:r>
              <w:rPr>
                <w:rFonts w:hint="eastAsia"/>
                <w:b/>
                <w:bCs/>
                <w:color w:val="auto"/>
                <w:sz w:val="24"/>
                <w:szCs w:val="24"/>
                <w:highlight w:val="none"/>
                <w:lang w:eastAsia="zh-CN"/>
              </w:rPr>
              <w:t>诚信库填报的信息资料扫描件为准。（所有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14:paraId="1980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177" w:type="pct"/>
            <w:gridSpan w:val="2"/>
            <w:shd w:val="clear" w:color="auto" w:fill="auto"/>
            <w:noWrap w:val="0"/>
            <w:vAlign w:val="top"/>
          </w:tcPr>
          <w:p w14:paraId="1D537D90">
            <w:pPr>
              <w:widowControl/>
              <w:wordWrap w:val="0"/>
              <w:autoSpaceDE w:val="0"/>
              <w:autoSpaceDN w:val="0"/>
              <w:adjustRightInd w:val="0"/>
              <w:snapToGrid w:val="0"/>
              <w:spacing w:before="42" w:line="240" w:lineRule="auto"/>
              <w:ind w:left="932"/>
              <w:textAlignment w:val="baseline"/>
              <w:rPr>
                <w:rFonts w:hint="eastAsia"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合计</w:t>
            </w:r>
          </w:p>
        </w:tc>
        <w:tc>
          <w:tcPr>
            <w:tcW w:w="513" w:type="pct"/>
            <w:shd w:val="clear" w:color="auto" w:fill="auto"/>
            <w:noWrap w:val="0"/>
            <w:vAlign w:val="top"/>
          </w:tcPr>
          <w:p w14:paraId="1F89A6AE">
            <w:pPr>
              <w:wordWrap w:val="0"/>
              <w:autoSpaceDE w:val="0"/>
              <w:autoSpaceDN w:val="0"/>
              <w:adjustRightInd w:val="0"/>
              <w:snapToGrid w:val="0"/>
              <w:spacing w:before="59" w:line="240" w:lineRule="auto"/>
              <w:ind w:left="265"/>
              <w:jc w:val="center"/>
              <w:textAlignment w:val="baseline"/>
              <w:rPr>
                <w:rFonts w:hint="eastAsia" w:ascii="宋体" w:hAnsi="宋体" w:cs="宋体"/>
                <w:snapToGrid w:val="0"/>
                <w:color w:val="auto"/>
                <w:kern w:val="0"/>
                <w:sz w:val="24"/>
                <w:highlight w:val="none"/>
              </w:rPr>
            </w:pPr>
            <w:r>
              <w:rPr>
                <w:rFonts w:hint="eastAsia" w:ascii="宋体" w:hAnsi="宋体" w:cs="宋体"/>
                <w:snapToGrid w:val="0"/>
                <w:color w:val="auto"/>
                <w:spacing w:val="9"/>
                <w:kern w:val="0"/>
                <w:sz w:val="24"/>
                <w:highlight w:val="none"/>
                <w:lang w:eastAsia="en-US"/>
              </w:rPr>
              <w:t>100</w:t>
            </w:r>
            <w:r>
              <w:rPr>
                <w:rFonts w:hint="eastAsia" w:ascii="宋体" w:hAnsi="宋体" w:cs="宋体"/>
                <w:snapToGrid w:val="0"/>
                <w:color w:val="auto"/>
                <w:spacing w:val="9"/>
                <w:kern w:val="0"/>
                <w:sz w:val="24"/>
                <w:highlight w:val="none"/>
              </w:rPr>
              <w:t>分</w:t>
            </w:r>
          </w:p>
        </w:tc>
        <w:tc>
          <w:tcPr>
            <w:tcW w:w="3309" w:type="pct"/>
            <w:gridSpan w:val="2"/>
            <w:shd w:val="clear" w:color="auto" w:fill="auto"/>
            <w:noWrap w:val="0"/>
            <w:vAlign w:val="top"/>
          </w:tcPr>
          <w:p w14:paraId="66B874FB">
            <w:pPr>
              <w:wordWrap w:val="0"/>
              <w:autoSpaceDE w:val="0"/>
              <w:autoSpaceDN w:val="0"/>
              <w:adjustRightInd w:val="0"/>
              <w:snapToGrid w:val="0"/>
              <w:spacing w:line="240" w:lineRule="auto"/>
              <w:textAlignment w:val="baseline"/>
              <w:rPr>
                <w:rFonts w:hint="eastAsia" w:ascii="宋体" w:hAnsi="宋体" w:cs="宋体"/>
                <w:snapToGrid w:val="0"/>
                <w:color w:val="auto"/>
                <w:kern w:val="0"/>
                <w:szCs w:val="21"/>
                <w:highlight w:val="none"/>
                <w:lang w:eastAsia="en-US"/>
              </w:rPr>
            </w:pPr>
          </w:p>
        </w:tc>
      </w:tr>
    </w:tbl>
    <w:p w14:paraId="44E3B901">
      <w:pPr>
        <w:spacing w:line="240" w:lineRule="auto"/>
        <w:rPr>
          <w:color w:val="auto"/>
          <w:highlight w:val="none"/>
        </w:rPr>
      </w:pPr>
    </w:p>
    <w:p w14:paraId="7B15A894">
      <w:pPr>
        <w:keepNext w:val="0"/>
        <w:keepLines w:val="0"/>
        <w:pageBreakBefore w:val="0"/>
        <w:widowControl/>
        <w:kinsoku/>
        <w:wordWrap w:val="0"/>
        <w:overflowPunct/>
        <w:topLinePunct w:val="0"/>
        <w:autoSpaceDE w:val="0"/>
        <w:autoSpaceDN w:val="0"/>
        <w:bidi w:val="0"/>
        <w:adjustRightInd w:val="0"/>
        <w:snapToGrid w:val="0"/>
        <w:spacing w:after="0" w:line="240" w:lineRule="auto"/>
        <w:ind w:firstLine="49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24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en-US" w:bidi="ar-SA"/>
        </w:rPr>
        <w:t>有下列情况之一的，</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24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11.1 </w:t>
      </w:r>
      <w:r>
        <w:rPr>
          <w:rFonts w:hint="eastAsia" w:ascii="宋体" w:hAnsi="宋体" w:eastAsia="宋体" w:cs="宋体"/>
          <w:snapToGrid w:val="0"/>
          <w:color w:val="auto"/>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24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11.2 </w:t>
      </w:r>
      <w:r>
        <w:rPr>
          <w:rFonts w:hint="eastAsia" w:ascii="宋体" w:hAnsi="宋体" w:eastAsia="宋体" w:cs="宋体"/>
          <w:snapToGrid w:val="0"/>
          <w:color w:val="auto"/>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24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11.3 </w:t>
      </w:r>
      <w:r>
        <w:rPr>
          <w:rFonts w:hint="eastAsia" w:ascii="宋体" w:hAnsi="宋体" w:eastAsia="宋体" w:cs="宋体"/>
          <w:snapToGrid w:val="0"/>
          <w:color w:val="auto"/>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ind w:firstLine="480" w:firstLineChars="200"/>
        <w:jc w:val="both"/>
        <w:textAlignment w:val="baseline"/>
        <w:rPr>
          <w:rFonts w:hint="eastAsia" w:ascii="仿宋_GB2312" w:hAnsi="仿宋_GB2312" w:eastAsia="仿宋_GB2312" w:cs="仿宋_GB2312"/>
          <w:b/>
          <w:color w:val="auto"/>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auto"/>
          <w:spacing w:val="-13"/>
          <w:sz w:val="24"/>
          <w:szCs w:val="24"/>
          <w:highlight w:val="none"/>
          <w:lang w:eastAsia="zh-CN"/>
        </w:rPr>
        <w:t>﹝20</w:t>
      </w:r>
      <w:r>
        <w:rPr>
          <w:rFonts w:hint="eastAsia" w:asciiTheme="minorEastAsia" w:hAnsiTheme="minorEastAsia" w:eastAsiaTheme="minorEastAsia" w:cstheme="minorEastAsia"/>
          <w:color w:val="auto"/>
          <w:spacing w:val="-13"/>
          <w:sz w:val="24"/>
          <w:szCs w:val="24"/>
          <w:highlight w:val="none"/>
          <w:lang w:val="en-US" w:eastAsia="zh-CN"/>
        </w:rPr>
        <w:t>15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宋体" w:hAnsi="宋体" w:eastAsia="宋体" w:cs="宋体"/>
          <w:snapToGrid w:val="0"/>
          <w:color w:val="auto"/>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240" w:lineRule="auto"/>
        <w:jc w:val="both"/>
        <w:textAlignment w:val="baseline"/>
        <w:outlineLvl w:val="1"/>
        <w:rPr>
          <w:rFonts w:hint="eastAsia" w:ascii="宋体" w:hAnsi="宋体" w:eastAsia="宋体" w:cs="宋体"/>
          <w:snapToGrid w:val="0"/>
          <w:color w:val="auto"/>
          <w:kern w:val="0"/>
          <w:sz w:val="24"/>
          <w:szCs w:val="24"/>
          <w:highlight w:val="none"/>
          <w:lang w:val="en-US" w:eastAsia="en-US" w:bidi="ar-SA"/>
        </w:rPr>
      </w:pPr>
      <w:bookmarkStart w:id="31" w:name="_Toc14600"/>
      <w:r>
        <w:rPr>
          <w:rFonts w:hint="eastAsia" w:ascii="宋体" w:hAnsi="宋体" w:eastAsia="宋体" w:cs="宋体"/>
          <w:b/>
          <w:bCs/>
          <w:snapToGrid w:val="0"/>
          <w:color w:val="auto"/>
          <w:kern w:val="0"/>
          <w:sz w:val="24"/>
          <w:szCs w:val="24"/>
          <w:highlight w:val="none"/>
          <w:lang w:val="en-US" w:eastAsia="zh-CN" w:bidi="ar-SA"/>
        </w:rPr>
        <w:t>六、</w:t>
      </w:r>
      <w:r>
        <w:rPr>
          <w:rFonts w:hint="eastAsia" w:ascii="宋体" w:hAnsi="宋体" w:eastAsia="宋体" w:cs="宋体"/>
          <w:b/>
          <w:bCs/>
          <w:snapToGrid w:val="0"/>
          <w:color w:val="auto"/>
          <w:kern w:val="0"/>
          <w:sz w:val="24"/>
          <w:szCs w:val="24"/>
          <w:highlight w:val="none"/>
          <w:lang w:val="en-US" w:eastAsia="en-US" w:bidi="ar-SA"/>
        </w:rPr>
        <w:t>成交</w:t>
      </w:r>
      <w:r>
        <w:rPr>
          <w:rFonts w:hint="eastAsia" w:ascii="宋体" w:hAnsi="宋体" w:eastAsia="宋体" w:cs="宋体"/>
          <w:b/>
          <w:bCs/>
          <w:snapToGrid w:val="0"/>
          <w:color w:val="auto"/>
          <w:kern w:val="0"/>
          <w:sz w:val="24"/>
          <w:szCs w:val="24"/>
          <w:highlight w:val="none"/>
          <w:lang w:val="en-US" w:eastAsia="zh-CN" w:bidi="ar-SA"/>
        </w:rPr>
        <w:t>通知及</w:t>
      </w:r>
      <w:r>
        <w:rPr>
          <w:rFonts w:hint="eastAsia" w:ascii="宋体" w:hAnsi="宋体" w:eastAsia="宋体" w:cs="宋体"/>
          <w:b/>
          <w:bCs/>
          <w:snapToGrid w:val="0"/>
          <w:color w:val="auto"/>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24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 </w:t>
      </w:r>
      <w:r>
        <w:rPr>
          <w:rFonts w:hint="eastAsia" w:ascii="宋体" w:hAnsi="宋体" w:eastAsia="宋体" w:cs="宋体"/>
          <w:snapToGrid w:val="0"/>
          <w:color w:val="auto"/>
          <w:kern w:val="0"/>
          <w:sz w:val="24"/>
          <w:szCs w:val="24"/>
          <w:highlight w:val="none"/>
          <w:lang w:val="en-US" w:eastAsia="en-US" w:bidi="ar-SA"/>
        </w:rPr>
        <w:t>成交供应商确定后，</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将在“河南省政府采购网”和“</w:t>
      </w:r>
      <w:r>
        <w:rPr>
          <w:rFonts w:hint="eastAsia" w:ascii="宋体" w:hAnsi="宋体" w:eastAsia="宋体" w:cs="宋体"/>
          <w:snapToGrid w:val="0"/>
          <w:color w:val="auto"/>
          <w:kern w:val="0"/>
          <w:sz w:val="24"/>
          <w:szCs w:val="24"/>
          <w:highlight w:val="none"/>
          <w:lang w:val="en-US" w:eastAsia="zh-CN" w:bidi="ar-SA"/>
        </w:rPr>
        <w:t>唐河县</w:t>
      </w:r>
      <w:r>
        <w:rPr>
          <w:rFonts w:hint="eastAsia" w:ascii="宋体" w:hAnsi="宋体" w:eastAsia="宋体" w:cs="宋体"/>
          <w:snapToGrid w:val="0"/>
          <w:color w:val="auto"/>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1.2 </w:t>
      </w:r>
      <w:r>
        <w:rPr>
          <w:rFonts w:hint="eastAsia" w:ascii="宋体" w:hAnsi="宋体" w:eastAsia="宋体" w:cs="宋体"/>
          <w:snapToGrid w:val="0"/>
          <w:color w:val="auto"/>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2.1 </w:t>
      </w:r>
      <w:r>
        <w:rPr>
          <w:rFonts w:hint="eastAsia" w:ascii="宋体" w:hAnsi="宋体" w:eastAsia="宋体" w:cs="宋体"/>
          <w:snapToGrid w:val="0"/>
          <w:color w:val="auto"/>
          <w:kern w:val="0"/>
          <w:sz w:val="24"/>
          <w:szCs w:val="24"/>
          <w:highlight w:val="none"/>
          <w:lang w:val="en-US" w:eastAsia="en-US" w:bidi="ar-SA"/>
        </w:rPr>
        <w:t>根据成交结果，</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通过“</w:t>
      </w:r>
      <w:r>
        <w:rPr>
          <w:rFonts w:hint="eastAsia" w:ascii="宋体" w:hAnsi="宋体" w:eastAsia="宋体" w:cs="宋体"/>
          <w:snapToGrid w:val="0"/>
          <w:color w:val="auto"/>
          <w:kern w:val="0"/>
          <w:sz w:val="24"/>
          <w:szCs w:val="24"/>
          <w:highlight w:val="none"/>
          <w:lang w:val="en-US" w:eastAsia="zh-CN" w:bidi="ar-SA"/>
        </w:rPr>
        <w:t>唐河县</w:t>
      </w:r>
      <w:r>
        <w:rPr>
          <w:rFonts w:hint="eastAsia" w:ascii="宋体" w:hAnsi="宋体" w:eastAsia="宋体" w:cs="宋体"/>
          <w:snapToGrid w:val="0"/>
          <w:color w:val="auto"/>
          <w:kern w:val="0"/>
          <w:sz w:val="24"/>
          <w:szCs w:val="24"/>
          <w:highlight w:val="none"/>
          <w:lang w:val="en-US" w:eastAsia="en-US" w:bidi="ar-SA"/>
        </w:rPr>
        <w:t>公共资源交易中心</w:t>
      </w:r>
      <w:r>
        <w:rPr>
          <w:rFonts w:hint="eastAsia" w:ascii="宋体" w:hAnsi="宋体" w:eastAsia="宋体" w:cs="宋体"/>
          <w:snapToGrid w:val="0"/>
          <w:color w:val="auto"/>
          <w:kern w:val="0"/>
          <w:sz w:val="24"/>
          <w:szCs w:val="24"/>
          <w:highlight w:val="none"/>
          <w:lang w:val="en-US" w:eastAsia="zh-CN" w:bidi="ar-SA"/>
        </w:rPr>
        <w:t>公共服务平台</w:t>
      </w:r>
      <w:r>
        <w:rPr>
          <w:rFonts w:hint="eastAsia" w:ascii="宋体" w:hAnsi="宋体" w:eastAsia="宋体" w:cs="宋体"/>
          <w:snapToGrid w:val="0"/>
          <w:color w:val="auto"/>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auto"/>
          <w:kern w:val="0"/>
          <w:sz w:val="24"/>
          <w:szCs w:val="24"/>
          <w:highlight w:val="none"/>
          <w:lang w:val="en-US" w:eastAsia="zh-CN" w:bidi="ar-SA"/>
        </w:rPr>
        <w:t>唐河县公共资源交易平台会员系统</w:t>
      </w:r>
      <w:r>
        <w:rPr>
          <w:rFonts w:hint="eastAsia" w:ascii="宋体" w:hAnsi="宋体" w:eastAsia="宋体" w:cs="宋体"/>
          <w:snapToGrid w:val="0"/>
          <w:color w:val="auto"/>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2.2 </w:t>
      </w:r>
      <w:r>
        <w:rPr>
          <w:rFonts w:hint="eastAsia" w:ascii="宋体" w:hAnsi="宋体" w:eastAsia="宋体" w:cs="宋体"/>
          <w:snapToGrid w:val="0"/>
          <w:color w:val="auto"/>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eastAsia" w:ascii="宋体" w:hAnsi="宋体" w:eastAsia="宋体" w:cs="宋体"/>
          <w:snapToGrid w:val="0"/>
          <w:color w:val="auto"/>
          <w:kern w:val="0"/>
          <w:sz w:val="24"/>
          <w:szCs w:val="24"/>
          <w:highlight w:val="none"/>
          <w:lang w:val="en-US" w:eastAsia="en-US" w:bidi="ar-SA"/>
        </w:rPr>
        <w:t>成交供应商和采购人应在《成交通知书》发出后一个工作日内签订政府采购合同，逾期无故不签订的，按《政府采购竞争性磋商采购方式管理暂行办法》及有关规定处理，合同签订后需在两个工作日内在河南省政府采购网进行备案，逾期未备案的按照政府采购法等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eastAsia" w:ascii="宋体" w:hAnsi="宋体" w:eastAsia="宋体" w:cs="宋体"/>
          <w:snapToGrid w:val="0"/>
          <w:color w:val="auto"/>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3.3 </w:t>
      </w:r>
      <w:r>
        <w:rPr>
          <w:rFonts w:hint="eastAsia" w:ascii="宋体" w:hAnsi="宋体" w:eastAsia="宋体" w:cs="宋体"/>
          <w:snapToGrid w:val="0"/>
          <w:color w:val="auto"/>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auto"/>
          <w:kern w:val="0"/>
          <w:sz w:val="24"/>
          <w:szCs w:val="24"/>
          <w:highlight w:val="none"/>
          <w:lang w:val="en-US" w:eastAsia="en-US" w:bidi="ar-SA"/>
        </w:rPr>
      </w:pPr>
      <w:bookmarkStart w:id="32" w:name="_Toc32673"/>
      <w:r>
        <w:rPr>
          <w:rFonts w:hint="eastAsia" w:ascii="宋体" w:hAnsi="宋体" w:eastAsia="宋体" w:cs="宋体"/>
          <w:b/>
          <w:bCs/>
          <w:snapToGrid w:val="0"/>
          <w:color w:val="auto"/>
          <w:kern w:val="0"/>
          <w:sz w:val="24"/>
          <w:szCs w:val="24"/>
          <w:highlight w:val="none"/>
          <w:lang w:val="en-US" w:eastAsia="zh-CN" w:bidi="ar-SA"/>
        </w:rPr>
        <w:t>七、</w:t>
      </w:r>
      <w:r>
        <w:rPr>
          <w:rFonts w:hint="eastAsia" w:ascii="宋体" w:hAnsi="宋体" w:eastAsia="宋体" w:cs="宋体"/>
          <w:b/>
          <w:bCs/>
          <w:snapToGrid w:val="0"/>
          <w:color w:val="auto"/>
          <w:kern w:val="0"/>
          <w:sz w:val="24"/>
          <w:szCs w:val="24"/>
          <w:highlight w:val="none"/>
          <w:lang w:val="en-US" w:eastAsia="en-US" w:bidi="ar-SA"/>
        </w:rPr>
        <w:t>质疑与答复</w:t>
      </w:r>
      <w:bookmarkEnd w:id="32"/>
    </w:p>
    <w:p w14:paraId="5445D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43CB5EC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auto"/>
          <w:kern w:val="0"/>
          <w:sz w:val="24"/>
          <w:szCs w:val="24"/>
          <w:highlight w:val="none"/>
          <w:lang w:val="en-US" w:eastAsia="en-US" w:bidi="ar-SA"/>
        </w:rPr>
      </w:pPr>
      <w:bookmarkStart w:id="33" w:name="_Toc5287"/>
      <w:r>
        <w:rPr>
          <w:rFonts w:hint="eastAsia" w:ascii="宋体" w:hAnsi="宋体" w:eastAsia="宋体" w:cs="宋体"/>
          <w:b/>
          <w:bCs/>
          <w:snapToGrid w:val="0"/>
          <w:color w:val="auto"/>
          <w:kern w:val="0"/>
          <w:sz w:val="24"/>
          <w:szCs w:val="24"/>
          <w:highlight w:val="none"/>
          <w:lang w:val="en-US" w:eastAsia="zh-CN" w:bidi="ar-SA"/>
        </w:rPr>
        <w:t>八、</w:t>
      </w:r>
      <w:r>
        <w:rPr>
          <w:rFonts w:hint="eastAsia" w:ascii="宋体" w:hAnsi="宋体" w:eastAsia="宋体" w:cs="宋体"/>
          <w:b/>
          <w:bCs/>
          <w:snapToGrid w:val="0"/>
          <w:color w:val="auto"/>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en-US" w:bidi="ar-SA"/>
        </w:rPr>
        <w:t>本竞争性磋商文件最终解释权归</w:t>
      </w:r>
      <w:r>
        <w:rPr>
          <w:rFonts w:hint="eastAsia" w:ascii="宋体" w:hAnsi="宋体" w:eastAsia="宋体" w:cs="宋体"/>
          <w:snapToGrid w:val="0"/>
          <w:color w:val="auto"/>
          <w:kern w:val="0"/>
          <w:sz w:val="24"/>
          <w:szCs w:val="24"/>
          <w:highlight w:val="none"/>
          <w:lang w:val="en-US" w:eastAsia="zh-CN" w:bidi="ar-SA"/>
        </w:rPr>
        <w:t>采购代理机构</w:t>
      </w:r>
      <w:r>
        <w:rPr>
          <w:rFonts w:hint="eastAsia" w:ascii="宋体" w:hAnsi="宋体" w:eastAsia="宋体" w:cs="宋体"/>
          <w:snapToGrid w:val="0"/>
          <w:color w:val="auto"/>
          <w:kern w:val="0"/>
          <w:sz w:val="24"/>
          <w:szCs w:val="24"/>
          <w:highlight w:val="none"/>
          <w:lang w:val="en-US" w:eastAsia="en-US" w:bidi="ar-SA"/>
        </w:rPr>
        <w:t>。</w:t>
      </w:r>
    </w:p>
    <w:p w14:paraId="0B7D6A53">
      <w:pPr>
        <w:pStyle w:val="15"/>
        <w:rPr>
          <w:rFonts w:hint="eastAsia"/>
          <w:color w:val="auto"/>
          <w:highlight w:val="none"/>
          <w:lang w:val="en-US" w:eastAsia="zh-CN"/>
        </w:rPr>
      </w:pPr>
      <w:bookmarkStart w:id="34" w:name="_Toc29335"/>
    </w:p>
    <w:p w14:paraId="2D01D7E9">
      <w:pPr>
        <w:pStyle w:val="15"/>
        <w:rPr>
          <w:rFonts w:hint="eastAsia"/>
          <w:color w:val="auto"/>
          <w:highlight w:val="none"/>
          <w:lang w:val="en-US" w:eastAsia="zh-CN"/>
        </w:rPr>
      </w:pPr>
    </w:p>
    <w:p w14:paraId="177A4DE1">
      <w:pPr>
        <w:pStyle w:val="15"/>
        <w:rPr>
          <w:rFonts w:hint="eastAsia"/>
          <w:color w:val="auto"/>
          <w:highlight w:val="none"/>
          <w:lang w:val="en-US" w:eastAsia="zh-CN"/>
        </w:rPr>
      </w:pPr>
    </w:p>
    <w:p w14:paraId="3A4AC141">
      <w:pPr>
        <w:pStyle w:val="15"/>
        <w:rPr>
          <w:rFonts w:hint="eastAsia"/>
          <w:color w:val="auto"/>
          <w:highlight w:val="none"/>
          <w:lang w:val="en-US" w:eastAsia="zh-CN"/>
        </w:rPr>
      </w:pPr>
    </w:p>
    <w:p w14:paraId="5E287702">
      <w:pPr>
        <w:pStyle w:val="15"/>
        <w:rPr>
          <w:rFonts w:hint="eastAsia"/>
          <w:color w:val="auto"/>
          <w:highlight w:val="none"/>
          <w:lang w:val="en-US" w:eastAsia="zh-CN"/>
        </w:rPr>
      </w:pPr>
    </w:p>
    <w:p w14:paraId="067F3B38">
      <w:pPr>
        <w:pStyle w:val="15"/>
        <w:rPr>
          <w:rFonts w:hint="eastAsia"/>
          <w:color w:val="auto"/>
          <w:highlight w:val="none"/>
          <w:lang w:val="en-US" w:eastAsia="zh-CN"/>
        </w:rPr>
      </w:pPr>
    </w:p>
    <w:p w14:paraId="1F5D0A4B">
      <w:pPr>
        <w:pStyle w:val="15"/>
        <w:rPr>
          <w:rFonts w:hint="eastAsia"/>
          <w:color w:val="auto"/>
          <w:highlight w:val="none"/>
          <w:lang w:val="en-US" w:eastAsia="zh-CN"/>
        </w:rPr>
      </w:pPr>
    </w:p>
    <w:p w14:paraId="491C2101">
      <w:pPr>
        <w:pStyle w:val="15"/>
        <w:rPr>
          <w:rFonts w:hint="eastAsia"/>
          <w:color w:val="auto"/>
          <w:highlight w:val="none"/>
          <w:lang w:val="en-US" w:eastAsia="zh-CN"/>
        </w:rPr>
      </w:pPr>
    </w:p>
    <w:p w14:paraId="74BBA5AC">
      <w:pPr>
        <w:pStyle w:val="15"/>
        <w:rPr>
          <w:rFonts w:hint="eastAsia"/>
          <w:color w:val="auto"/>
          <w:highlight w:val="none"/>
          <w:lang w:val="en-US" w:eastAsia="zh-CN"/>
        </w:rPr>
      </w:pPr>
    </w:p>
    <w:p w14:paraId="3C1E615A">
      <w:pPr>
        <w:pStyle w:val="15"/>
        <w:rPr>
          <w:rFonts w:hint="eastAsia"/>
          <w:color w:val="auto"/>
          <w:highlight w:val="none"/>
          <w:lang w:val="en-US" w:eastAsia="zh-CN"/>
        </w:rPr>
      </w:pPr>
    </w:p>
    <w:p w14:paraId="149C0A8E">
      <w:pPr>
        <w:pStyle w:val="15"/>
        <w:rPr>
          <w:rFonts w:hint="eastAsia"/>
          <w:color w:val="auto"/>
          <w:highlight w:val="none"/>
          <w:lang w:val="en-US" w:eastAsia="zh-CN"/>
        </w:rPr>
      </w:pPr>
    </w:p>
    <w:p w14:paraId="23375ABB">
      <w:pPr>
        <w:pStyle w:val="16"/>
        <w:rPr>
          <w:rFonts w:hint="eastAsia"/>
          <w:color w:val="auto"/>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429C80AA">
      <w:pPr>
        <w:bidi w:val="0"/>
        <w:rPr>
          <w:rFonts w:hint="eastAsia"/>
          <w:color w:val="auto"/>
          <w:highlight w:val="none"/>
        </w:rPr>
      </w:pPr>
      <w:bookmarkStart w:id="35" w:name="_Toc15215"/>
    </w:p>
    <w:p w14:paraId="0914E99E">
      <w:pPr>
        <w:bidi w:val="0"/>
        <w:rPr>
          <w:rFonts w:hint="eastAsia"/>
          <w:color w:val="auto"/>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color w:val="auto"/>
          <w:sz w:val="21"/>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color w:val="auto"/>
          <w:sz w:val="24"/>
          <w:szCs w:val="24"/>
          <w:highlight w:val="none"/>
        </w:rPr>
      </w:pPr>
      <w:bookmarkStart w:id="36" w:name="_Toc15882"/>
      <w:bookmarkStart w:id="37" w:name="_Toc23433_WPSOffice_Level2"/>
      <w:bookmarkStart w:id="38" w:name="_Toc30530_WPSOffice_Level2"/>
      <w:bookmarkStart w:id="39" w:name="_Toc32620"/>
      <w:bookmarkStart w:id="40" w:name="_Toc22497_WPSOffice_Level2"/>
      <w:bookmarkStart w:id="41" w:name="_Toc30188_WPSOffice_Level2"/>
      <w:bookmarkStart w:id="42" w:name="_Toc23567_WPSOffice_Level2"/>
      <w:bookmarkStart w:id="43" w:name="_Toc25052_WPSOffice_Level1"/>
      <w:bookmarkStart w:id="44" w:name="_Toc2983_WPSOffice_Level2"/>
      <w:r>
        <w:rPr>
          <w:rFonts w:hint="eastAsia"/>
          <w:color w:val="auto"/>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45" w:name="_Toc22466_WPSOffice_Level2"/>
      <w:r>
        <w:rPr>
          <w:rFonts w:hint="eastAsia" w:eastAsia="宋体"/>
          <w:color w:val="auto"/>
          <w:sz w:val="24"/>
          <w:szCs w:val="24"/>
          <w:highlight w:val="none"/>
          <w:lang w:val="en-US" w:eastAsia="zh-CN"/>
        </w:rPr>
        <w:t>一、</w:t>
      </w:r>
      <w:r>
        <w:rPr>
          <w:rFonts w:hint="eastAsia"/>
          <w:color w:val="auto"/>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46" w:name="_Toc25689"/>
      <w:bookmarkStart w:id="47" w:name="_Toc20611"/>
      <w:r>
        <w:rPr>
          <w:rFonts w:hint="eastAsia"/>
          <w:color w:val="auto"/>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48" w:name="_Toc12304"/>
      <w:bookmarkStart w:id="49" w:name="_Toc25255"/>
      <w:r>
        <w:rPr>
          <w:rFonts w:hint="eastAsia"/>
          <w:color w:val="auto"/>
          <w:sz w:val="24"/>
          <w:szCs w:val="24"/>
          <w:highlight w:val="none"/>
        </w:rPr>
        <w:t>（一）本项目</w:t>
      </w:r>
      <w:r>
        <w:rPr>
          <w:rFonts w:hint="eastAsia"/>
          <w:color w:val="auto"/>
          <w:sz w:val="24"/>
          <w:szCs w:val="24"/>
          <w:highlight w:val="none"/>
          <w:lang w:val="en-US" w:eastAsia="zh-CN"/>
        </w:rPr>
        <w:t>磋商</w:t>
      </w:r>
      <w:r>
        <w:rPr>
          <w:rFonts w:hint="eastAsia"/>
          <w:color w:val="auto"/>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50" w:name="_Toc3310"/>
      <w:bookmarkStart w:id="51" w:name="_Toc8524"/>
      <w:r>
        <w:rPr>
          <w:rFonts w:hint="eastAsia"/>
          <w:color w:val="auto"/>
          <w:sz w:val="24"/>
          <w:szCs w:val="24"/>
          <w:highlight w:val="none"/>
        </w:rPr>
        <w:t>（二）</w:t>
      </w:r>
      <w:r>
        <w:rPr>
          <w:rFonts w:hint="eastAsia"/>
          <w:color w:val="auto"/>
          <w:sz w:val="24"/>
          <w:szCs w:val="24"/>
          <w:highlight w:val="none"/>
          <w:lang w:val="en-US" w:eastAsia="zh-CN"/>
        </w:rPr>
        <w:t>供应商</w:t>
      </w:r>
      <w:r>
        <w:rPr>
          <w:rFonts w:hint="eastAsia"/>
          <w:color w:val="auto"/>
          <w:sz w:val="24"/>
          <w:szCs w:val="24"/>
          <w:highlight w:val="none"/>
        </w:rPr>
        <w:t>的</w:t>
      </w:r>
      <w:r>
        <w:rPr>
          <w:rFonts w:hint="eastAsia"/>
          <w:color w:val="auto"/>
          <w:sz w:val="24"/>
          <w:szCs w:val="24"/>
          <w:highlight w:val="none"/>
          <w:lang w:val="en-US" w:eastAsia="zh-CN"/>
        </w:rPr>
        <w:t>响应</w:t>
      </w:r>
      <w:r>
        <w:rPr>
          <w:rFonts w:hint="eastAsia"/>
          <w:color w:val="auto"/>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52" w:name="_Toc11043"/>
      <w:bookmarkStart w:id="53" w:name="_Toc13552"/>
      <w:r>
        <w:rPr>
          <w:rFonts w:hint="eastAsia"/>
          <w:color w:val="auto"/>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54" w:name="_Toc3434"/>
      <w:bookmarkStart w:id="55" w:name="_Toc17684"/>
      <w:r>
        <w:rPr>
          <w:rFonts w:hint="eastAsia"/>
          <w:color w:val="auto"/>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56" w:name="_Toc17949"/>
      <w:bookmarkStart w:id="57" w:name="_Toc24029"/>
      <w:r>
        <w:rPr>
          <w:rFonts w:hint="eastAsia"/>
          <w:color w:val="auto"/>
          <w:sz w:val="24"/>
          <w:szCs w:val="24"/>
          <w:highlight w:val="none"/>
        </w:rPr>
        <w:t>（五）</w:t>
      </w:r>
      <w:r>
        <w:rPr>
          <w:rFonts w:hint="eastAsia"/>
          <w:color w:val="auto"/>
          <w:sz w:val="24"/>
          <w:szCs w:val="24"/>
          <w:highlight w:val="none"/>
          <w:lang w:val="en-US" w:eastAsia="zh-CN"/>
        </w:rPr>
        <w:t>成交</w:t>
      </w:r>
      <w:r>
        <w:rPr>
          <w:rFonts w:hint="eastAsia"/>
          <w:color w:val="auto"/>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58" w:name="_Toc25248"/>
      <w:bookmarkStart w:id="59" w:name="_Toc4313"/>
      <w:r>
        <w:rPr>
          <w:rFonts w:hint="eastAsia"/>
          <w:color w:val="auto"/>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color w:val="auto"/>
          <w:sz w:val="24"/>
          <w:szCs w:val="24"/>
          <w:highlight w:val="none"/>
        </w:rPr>
      </w:pPr>
      <w:bookmarkStart w:id="60" w:name="_Toc13630_WPSOffice_Level2"/>
      <w:bookmarkStart w:id="61" w:name="_Toc24717"/>
      <w:bookmarkStart w:id="62" w:name="_Toc11434"/>
      <w:bookmarkStart w:id="63" w:name="_Toc19424"/>
      <w:bookmarkStart w:id="64" w:name="_Toc7727"/>
      <w:r>
        <w:rPr>
          <w:rFonts w:hint="eastAsia"/>
          <w:color w:val="auto"/>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color w:val="auto"/>
          <w:sz w:val="24"/>
          <w:szCs w:val="24"/>
          <w:highlight w:val="none"/>
        </w:rPr>
      </w:pPr>
      <w:r>
        <w:rPr>
          <w:rFonts w:hint="eastAsia"/>
          <w:color w:val="auto"/>
          <w:sz w:val="24"/>
          <w:szCs w:val="24"/>
          <w:highlight w:val="none"/>
        </w:rPr>
        <w:t xml:space="preserve"> </w:t>
      </w:r>
      <w:bookmarkStart w:id="65" w:name="_Toc21864"/>
      <w:bookmarkStart w:id="66" w:name="_Toc2465"/>
      <w:bookmarkStart w:id="67" w:name="_Toc18794"/>
      <w:bookmarkStart w:id="68" w:name="_Toc24787"/>
      <w:bookmarkStart w:id="69" w:name="_Toc15521_WPSOffice_Level2"/>
      <w:r>
        <w:rPr>
          <w:rFonts w:hint="eastAsia"/>
          <w:color w:val="auto"/>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70" w:name="_Toc15284"/>
      <w:bookmarkStart w:id="71" w:name="_Toc12265"/>
      <w:r>
        <w:rPr>
          <w:rFonts w:hint="eastAsia"/>
          <w:color w:val="auto"/>
          <w:sz w:val="24"/>
          <w:szCs w:val="24"/>
          <w:highlight w:val="none"/>
        </w:rPr>
        <w:t xml:space="preserve">合同总金额：人民币： </w:t>
      </w:r>
      <w:r>
        <w:rPr>
          <w:rFonts w:hint="eastAsia"/>
          <w:color w:val="auto"/>
          <w:sz w:val="24"/>
          <w:szCs w:val="24"/>
          <w:highlight w:val="none"/>
        </w:rPr>
        <w:tab/>
      </w:r>
      <w:r>
        <w:rPr>
          <w:rFonts w:hint="eastAsia"/>
          <w:color w:val="auto"/>
          <w:sz w:val="24"/>
          <w:szCs w:val="24"/>
          <w:highlight w:val="none"/>
        </w:rPr>
        <w:t xml:space="preserve">元（大写） 人民币： </w:t>
      </w:r>
      <w:r>
        <w:rPr>
          <w:rFonts w:hint="eastAsia"/>
          <w:color w:val="auto"/>
          <w:sz w:val="24"/>
          <w:szCs w:val="24"/>
          <w:highlight w:val="none"/>
        </w:rPr>
        <w:tab/>
      </w:r>
      <w:r>
        <w:rPr>
          <w:rFonts w:hint="eastAsia"/>
          <w:color w:val="auto"/>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72" w:name="_Toc26017_WPSOffice_Level2"/>
      <w:r>
        <w:rPr>
          <w:rFonts w:hint="eastAsia"/>
          <w:color w:val="auto"/>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lang w:val="en-US" w:eastAsia="zh-CN"/>
        </w:rPr>
      </w:pPr>
      <w:bookmarkStart w:id="73" w:name="_Toc4377_WPSOffice_Level2"/>
      <w:r>
        <w:rPr>
          <w:rFonts w:hint="eastAsia" w:eastAsia="宋体"/>
          <w:color w:val="auto"/>
          <w:sz w:val="24"/>
          <w:szCs w:val="24"/>
          <w:highlight w:val="none"/>
          <w:lang w:val="en-US" w:eastAsia="zh-CN"/>
        </w:rPr>
        <w:t>四、</w:t>
      </w:r>
      <w:r>
        <w:rPr>
          <w:rFonts w:hint="eastAsia"/>
          <w:color w:val="auto"/>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rPr>
        <w:t>付款方式：</w:t>
      </w:r>
      <w:r>
        <w:rPr>
          <w:rFonts w:hint="eastAsia"/>
          <w:color w:val="auto"/>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74" w:name="_Toc12155_WPSOffice_Level2"/>
      <w:r>
        <w:rPr>
          <w:rFonts w:hint="eastAsia" w:eastAsia="宋体"/>
          <w:color w:val="auto"/>
          <w:sz w:val="24"/>
          <w:szCs w:val="24"/>
          <w:highlight w:val="none"/>
          <w:lang w:val="en-US" w:eastAsia="zh-CN"/>
        </w:rPr>
        <w:t>五、</w:t>
      </w:r>
      <w:r>
        <w:rPr>
          <w:rFonts w:hint="eastAsia"/>
          <w:color w:val="auto"/>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 xml:space="preserve">服务时间：于 </w:t>
      </w:r>
      <w:r>
        <w:rPr>
          <w:rFonts w:hint="eastAsia"/>
          <w:color w:val="auto"/>
          <w:sz w:val="24"/>
          <w:szCs w:val="24"/>
          <w:highlight w:val="none"/>
        </w:rPr>
        <w:tab/>
      </w:r>
      <w:r>
        <w:rPr>
          <w:rFonts w:hint="eastAsia"/>
          <w:color w:val="auto"/>
          <w:sz w:val="24"/>
          <w:szCs w:val="24"/>
          <w:highlight w:val="none"/>
        </w:rPr>
        <w:t xml:space="preserve">年 </w:t>
      </w:r>
      <w:r>
        <w:rPr>
          <w:rFonts w:hint="eastAsia"/>
          <w:color w:val="auto"/>
          <w:sz w:val="24"/>
          <w:szCs w:val="24"/>
          <w:highlight w:val="none"/>
        </w:rPr>
        <w:tab/>
      </w:r>
      <w:r>
        <w:rPr>
          <w:rFonts w:hint="eastAsia"/>
          <w:color w:val="auto"/>
          <w:sz w:val="24"/>
          <w:szCs w:val="24"/>
          <w:highlight w:val="none"/>
        </w:rPr>
        <w:t xml:space="preserve">月 </w:t>
      </w:r>
      <w:r>
        <w:rPr>
          <w:rFonts w:hint="eastAsia"/>
          <w:color w:val="auto"/>
          <w:sz w:val="24"/>
          <w:szCs w:val="24"/>
          <w:highlight w:val="none"/>
        </w:rPr>
        <w:tab/>
      </w:r>
      <w:r>
        <w:rPr>
          <w:rFonts w:hint="eastAsia"/>
          <w:color w:val="auto"/>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color w:val="auto"/>
          <w:sz w:val="24"/>
          <w:szCs w:val="24"/>
          <w:highlight w:val="none"/>
        </w:rPr>
      </w:pPr>
      <w:bookmarkStart w:id="75" w:name="_Toc30055_WPSOffice_Level2"/>
      <w:r>
        <w:rPr>
          <w:rFonts w:hint="eastAsia" w:eastAsia="宋体"/>
          <w:color w:val="auto"/>
          <w:sz w:val="24"/>
          <w:szCs w:val="24"/>
          <w:highlight w:val="none"/>
          <w:lang w:val="en-US" w:eastAsia="zh-CN"/>
        </w:rPr>
        <w:t>六、</w:t>
      </w:r>
      <w:r>
        <w:rPr>
          <w:rFonts w:hint="eastAsia"/>
          <w:color w:val="auto"/>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 xml:space="preserve">本合同一式 </w:t>
      </w:r>
      <w:r>
        <w:rPr>
          <w:rFonts w:hint="eastAsia"/>
          <w:color w:val="auto"/>
          <w:sz w:val="24"/>
          <w:szCs w:val="24"/>
          <w:highlight w:val="none"/>
        </w:rPr>
        <w:tab/>
      </w:r>
      <w:r>
        <w:rPr>
          <w:rFonts w:hint="eastAsia"/>
          <w:color w:val="auto"/>
          <w:sz w:val="24"/>
          <w:szCs w:val="24"/>
          <w:highlight w:val="none"/>
        </w:rPr>
        <w:t xml:space="preserve">份，甲方 </w:t>
      </w:r>
      <w:r>
        <w:rPr>
          <w:rFonts w:hint="eastAsia"/>
          <w:color w:val="auto"/>
          <w:sz w:val="24"/>
          <w:szCs w:val="24"/>
          <w:highlight w:val="none"/>
        </w:rPr>
        <w:tab/>
      </w:r>
      <w:r>
        <w:rPr>
          <w:rFonts w:hint="eastAsia"/>
          <w:color w:val="auto"/>
          <w:sz w:val="24"/>
          <w:szCs w:val="24"/>
          <w:highlight w:val="none"/>
        </w:rPr>
        <w:t xml:space="preserve">份，乙方 </w:t>
      </w:r>
      <w:r>
        <w:rPr>
          <w:rFonts w:hint="eastAsia"/>
          <w:color w:val="auto"/>
          <w:sz w:val="24"/>
          <w:szCs w:val="24"/>
          <w:highlight w:val="none"/>
        </w:rPr>
        <w:tab/>
      </w:r>
      <w:r>
        <w:rPr>
          <w:rFonts w:hint="eastAsia"/>
          <w:color w:val="auto"/>
          <w:sz w:val="24"/>
          <w:szCs w:val="24"/>
          <w:highlight w:val="none"/>
        </w:rPr>
        <w:t xml:space="preserve">份，采购代理机构 </w:t>
      </w:r>
      <w:r>
        <w:rPr>
          <w:rFonts w:hint="eastAsia"/>
          <w:color w:val="auto"/>
          <w:sz w:val="24"/>
          <w:szCs w:val="24"/>
          <w:highlight w:val="none"/>
        </w:rPr>
        <w:tab/>
      </w:r>
      <w:r>
        <w:rPr>
          <w:rFonts w:hint="eastAsia"/>
          <w:color w:val="auto"/>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76" w:name="_Toc30238_WPSOffice_Level2"/>
      <w:r>
        <w:rPr>
          <w:rFonts w:hint="eastAsia" w:eastAsia="宋体"/>
          <w:color w:val="auto"/>
          <w:sz w:val="24"/>
          <w:szCs w:val="24"/>
          <w:highlight w:val="none"/>
          <w:lang w:val="en-US" w:eastAsia="zh-CN"/>
        </w:rPr>
        <w:t>七、</w:t>
      </w:r>
      <w:r>
        <w:rPr>
          <w:rFonts w:hint="eastAsia"/>
          <w:color w:val="auto"/>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r>
        <w:rPr>
          <w:rFonts w:hint="eastAsia"/>
          <w:color w:val="auto"/>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77" w:name="_Toc8155"/>
      <w:bookmarkStart w:id="78" w:name="_Toc1630"/>
      <w:r>
        <w:rPr>
          <w:rFonts w:hint="eastAsia"/>
          <w:color w:val="auto"/>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79" w:name="_Toc23941"/>
      <w:bookmarkStart w:id="80" w:name="_Toc15751"/>
      <w:r>
        <w:rPr>
          <w:rFonts w:hint="eastAsia"/>
          <w:color w:val="auto"/>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81" w:name="_Toc25387"/>
      <w:bookmarkStart w:id="82" w:name="_Toc21648"/>
      <w:r>
        <w:rPr>
          <w:rFonts w:hint="eastAsia"/>
          <w:color w:val="auto"/>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83" w:name="_Toc5115"/>
      <w:bookmarkStart w:id="84" w:name="_Toc8408"/>
      <w:r>
        <w:rPr>
          <w:rFonts w:hint="eastAsia"/>
          <w:color w:val="auto"/>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85" w:name="_Toc27685"/>
      <w:bookmarkStart w:id="86" w:name="_Toc2579"/>
      <w:r>
        <w:rPr>
          <w:rFonts w:hint="eastAsia"/>
          <w:color w:val="auto"/>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r>
        <w:rPr>
          <w:rFonts w:hint="eastAsia" w:eastAsia="宋体"/>
          <w:color w:val="auto"/>
          <w:sz w:val="24"/>
          <w:szCs w:val="24"/>
          <w:highlight w:val="none"/>
          <w:lang w:val="en-US" w:eastAsia="zh-CN"/>
        </w:rPr>
        <w:t>八</w:t>
      </w:r>
      <w:r>
        <w:rPr>
          <w:rFonts w:hint="eastAsia"/>
          <w:color w:val="auto"/>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87" w:name="_Toc27824"/>
      <w:bookmarkStart w:id="88" w:name="_Toc1264"/>
      <w:r>
        <w:rPr>
          <w:rFonts w:hint="eastAsia"/>
          <w:color w:val="auto"/>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89" w:name="_Toc20058"/>
      <w:bookmarkStart w:id="90" w:name="_Toc13678"/>
      <w:r>
        <w:rPr>
          <w:rFonts w:hint="eastAsia"/>
          <w:color w:val="auto"/>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91" w:name="_Toc4045"/>
      <w:bookmarkStart w:id="92" w:name="_Toc3081_WPSOffice_Level2"/>
      <w:bookmarkStart w:id="93" w:name="_Toc16421_WPSOffice_Level2"/>
      <w:bookmarkStart w:id="94" w:name="_Toc29610_WPSOffice_Level2"/>
      <w:bookmarkStart w:id="95" w:name="_Toc10619_WPSOffice_Level2"/>
      <w:bookmarkStart w:id="96" w:name="_Toc13056_WPSOffice_Level2"/>
      <w:bookmarkStart w:id="97" w:name="_Toc7032_WPSOffice_Level1"/>
      <w:bookmarkStart w:id="98" w:name="_Toc20805_WPSOffice_Level2"/>
      <w:bookmarkStart w:id="99" w:name="_Toc26378"/>
      <w:r>
        <w:rPr>
          <w:rFonts w:hint="eastAsia"/>
          <w:color w:val="auto"/>
          <w:sz w:val="24"/>
          <w:szCs w:val="24"/>
          <w:highlight w:val="none"/>
        </w:rPr>
        <w:t>甲</w:t>
      </w:r>
      <w:r>
        <w:rPr>
          <w:rFonts w:hint="eastAsia"/>
          <w:color w:val="auto"/>
          <w:sz w:val="24"/>
          <w:szCs w:val="24"/>
          <w:highlight w:val="none"/>
        </w:rPr>
        <w:tab/>
      </w:r>
      <w:r>
        <w:rPr>
          <w:rFonts w:hint="eastAsia"/>
          <w:color w:val="auto"/>
          <w:sz w:val="24"/>
          <w:szCs w:val="24"/>
          <w:highlight w:val="none"/>
        </w:rPr>
        <w:t>方（公章）：</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乙</w:t>
      </w:r>
      <w:r>
        <w:rPr>
          <w:rFonts w:hint="eastAsia"/>
          <w:color w:val="auto"/>
          <w:sz w:val="24"/>
          <w:szCs w:val="24"/>
          <w:highlight w:val="none"/>
        </w:rPr>
        <w:tab/>
      </w:r>
      <w:r>
        <w:rPr>
          <w:rFonts w:hint="eastAsia"/>
          <w:color w:val="auto"/>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lang w:val="en-US" w:eastAsia="zh-CN"/>
        </w:rPr>
      </w:pPr>
      <w:bookmarkStart w:id="100" w:name="_Toc20300"/>
      <w:bookmarkStart w:id="101" w:name="_Toc11748"/>
      <w:r>
        <w:rPr>
          <w:rFonts w:hint="eastAsia"/>
          <w:color w:val="auto"/>
          <w:sz w:val="24"/>
          <w:szCs w:val="24"/>
          <w:highlight w:val="none"/>
        </w:rPr>
        <w:t>法定代表人或授权代理人：（签字）</w:t>
      </w:r>
      <w:r>
        <w:rPr>
          <w:rFonts w:hint="eastAsia"/>
          <w:color w:val="auto"/>
          <w:sz w:val="24"/>
          <w:szCs w:val="24"/>
          <w:highlight w:val="none"/>
        </w:rPr>
        <w:tab/>
      </w:r>
      <w:r>
        <w:rPr>
          <w:rFonts w:hint="eastAsia"/>
          <w:color w:val="auto"/>
          <w:sz w:val="24"/>
          <w:szCs w:val="24"/>
          <w:highlight w:val="none"/>
        </w:rPr>
        <w:t>法定代表人或授权代理人：（签字）</w:t>
      </w:r>
      <w:bookmarkEnd w:id="100"/>
      <w:bookmarkEnd w:id="101"/>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102" w:name="_Toc2236"/>
      <w:bookmarkStart w:id="103" w:name="_Toc11893"/>
      <w:r>
        <w:rPr>
          <w:rFonts w:hint="eastAsia"/>
          <w:color w:val="auto"/>
          <w:sz w:val="24"/>
          <w:szCs w:val="24"/>
          <w:highlight w:val="none"/>
        </w:rPr>
        <w:t>开户单位：</w:t>
      </w:r>
      <w:r>
        <w:rPr>
          <w:rFonts w:hint="eastAsia"/>
          <w:color w:val="auto"/>
          <w:sz w:val="24"/>
          <w:szCs w:val="24"/>
          <w:highlight w:val="none"/>
          <w:lang w:val="en-US" w:eastAsia="zh-CN"/>
        </w:rPr>
        <w:t xml:space="preserve">                        </w:t>
      </w:r>
      <w:r>
        <w:rPr>
          <w:rFonts w:hint="eastAsia"/>
          <w:color w:val="auto"/>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104" w:name="_Toc25263"/>
      <w:bookmarkStart w:id="105" w:name="_Toc31863"/>
      <w:r>
        <w:rPr>
          <w:rFonts w:hint="eastAsia"/>
          <w:color w:val="auto"/>
          <w:sz w:val="24"/>
          <w:szCs w:val="24"/>
          <w:highlight w:val="none"/>
        </w:rPr>
        <w:t>开户银行：</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106" w:name="_Toc27472"/>
      <w:bookmarkStart w:id="107" w:name="_Toc17067"/>
      <w:r>
        <w:rPr>
          <w:rFonts w:hint="eastAsia"/>
          <w:color w:val="auto"/>
          <w:sz w:val="24"/>
          <w:szCs w:val="24"/>
          <w:highlight w:val="none"/>
        </w:rPr>
        <w:t>帐</w:t>
      </w:r>
      <w:r>
        <w:rPr>
          <w:rFonts w:hint="eastAsia"/>
          <w:color w:val="auto"/>
          <w:sz w:val="24"/>
          <w:szCs w:val="24"/>
          <w:highlight w:val="none"/>
        </w:rPr>
        <w:tab/>
      </w:r>
      <w:r>
        <w:rPr>
          <w:rFonts w:hint="eastAsia"/>
          <w:color w:val="auto"/>
          <w:sz w:val="24"/>
          <w:szCs w:val="24"/>
          <w:highlight w:val="none"/>
        </w:rPr>
        <w:t>号：</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帐</w:t>
      </w:r>
      <w:r>
        <w:rPr>
          <w:rFonts w:hint="eastAsia"/>
          <w:color w:val="auto"/>
          <w:sz w:val="24"/>
          <w:szCs w:val="24"/>
          <w:highlight w:val="none"/>
        </w:rPr>
        <w:tab/>
      </w:r>
      <w:r>
        <w:rPr>
          <w:rFonts w:hint="eastAsia"/>
          <w:color w:val="auto"/>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108" w:name="_Toc18260"/>
      <w:bookmarkStart w:id="109" w:name="_Toc19503"/>
      <w:r>
        <w:rPr>
          <w:rFonts w:hint="eastAsia"/>
          <w:color w:val="auto"/>
          <w:sz w:val="24"/>
          <w:szCs w:val="24"/>
          <w:highlight w:val="none"/>
        </w:rPr>
        <w:t>地</w:t>
      </w:r>
      <w:r>
        <w:rPr>
          <w:rFonts w:hint="eastAsia"/>
          <w:color w:val="auto"/>
          <w:sz w:val="24"/>
          <w:szCs w:val="24"/>
          <w:highlight w:val="none"/>
        </w:rPr>
        <w:tab/>
      </w:r>
      <w:r>
        <w:rPr>
          <w:rFonts w:hint="eastAsia"/>
          <w:color w:val="auto"/>
          <w:sz w:val="24"/>
          <w:szCs w:val="24"/>
          <w:highlight w:val="none"/>
        </w:rPr>
        <w:t>址：</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地</w:t>
      </w:r>
      <w:r>
        <w:rPr>
          <w:rFonts w:hint="eastAsia"/>
          <w:color w:val="auto"/>
          <w:sz w:val="24"/>
          <w:szCs w:val="24"/>
          <w:highlight w:val="none"/>
        </w:rPr>
        <w:tab/>
      </w:r>
      <w:r>
        <w:rPr>
          <w:rFonts w:hint="eastAsia"/>
          <w:color w:val="auto"/>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color w:val="auto"/>
          <w:sz w:val="24"/>
          <w:szCs w:val="24"/>
          <w:highlight w:val="none"/>
        </w:rPr>
      </w:pPr>
      <w:bookmarkStart w:id="110" w:name="_Toc15291"/>
      <w:bookmarkStart w:id="111" w:name="_Toc16058"/>
      <w:r>
        <w:rPr>
          <w:rFonts w:hint="eastAsia"/>
          <w:color w:val="auto"/>
          <w:sz w:val="24"/>
          <w:szCs w:val="24"/>
          <w:highlight w:val="none"/>
        </w:rPr>
        <w:t>电</w:t>
      </w:r>
      <w:r>
        <w:rPr>
          <w:rFonts w:hint="eastAsia"/>
          <w:color w:val="auto"/>
          <w:sz w:val="24"/>
          <w:szCs w:val="24"/>
          <w:highlight w:val="none"/>
        </w:rPr>
        <w:tab/>
      </w:r>
      <w:r>
        <w:rPr>
          <w:rFonts w:hint="eastAsia"/>
          <w:color w:val="auto"/>
          <w:sz w:val="24"/>
          <w:szCs w:val="24"/>
          <w:highlight w:val="none"/>
        </w:rPr>
        <w:t>话：</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电</w:t>
      </w:r>
      <w:r>
        <w:rPr>
          <w:rFonts w:hint="eastAsia"/>
          <w:color w:val="auto"/>
          <w:sz w:val="24"/>
          <w:szCs w:val="24"/>
          <w:highlight w:val="none"/>
        </w:rPr>
        <w:tab/>
      </w:r>
      <w:r>
        <w:rPr>
          <w:rFonts w:hint="eastAsia"/>
          <w:color w:val="auto"/>
          <w:sz w:val="24"/>
          <w:szCs w:val="24"/>
          <w:highlight w:val="none"/>
        </w:rPr>
        <w:t>话：</w:t>
      </w:r>
      <w:bookmarkEnd w:id="110"/>
      <w:bookmarkEnd w:id="111"/>
    </w:p>
    <w:p w14:paraId="058643B3">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color w:val="auto"/>
          <w:sz w:val="24"/>
          <w:szCs w:val="24"/>
          <w:highlight w:val="none"/>
          <w:lang w:eastAsia="zh-CN"/>
        </w:rPr>
      </w:pPr>
      <w:bookmarkStart w:id="112" w:name="_Toc32463"/>
      <w:bookmarkStart w:id="113" w:name="_Toc22352"/>
      <w:r>
        <w:rPr>
          <w:rFonts w:hint="eastAsia"/>
          <w:color w:val="auto"/>
          <w:sz w:val="24"/>
          <w:szCs w:val="24"/>
          <w:highlight w:val="none"/>
        </w:rPr>
        <w:t>签订时间：</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签订时间</w:t>
      </w:r>
      <w:r>
        <w:rPr>
          <w:rFonts w:hint="eastAsia"/>
          <w:color w:val="auto"/>
          <w:sz w:val="24"/>
          <w:szCs w:val="24"/>
          <w:highlight w:val="none"/>
          <w:lang w:eastAsia="zh-CN"/>
        </w:rPr>
        <w:t>：</w:t>
      </w:r>
      <w:bookmarkEnd w:id="112"/>
      <w:bookmarkEnd w:id="113"/>
    </w:p>
    <w:p w14:paraId="65D039BF">
      <w:pPr>
        <w:pStyle w:val="7"/>
        <w:rPr>
          <w:rFonts w:hint="eastAsia"/>
          <w:color w:val="auto"/>
          <w:sz w:val="24"/>
          <w:szCs w:val="24"/>
          <w:highlight w:val="none"/>
          <w:lang w:eastAsia="zh-CN"/>
        </w:rPr>
      </w:pPr>
    </w:p>
    <w:p w14:paraId="1A26217F">
      <w:pPr>
        <w:pStyle w:val="26"/>
        <w:rPr>
          <w:rFonts w:hint="eastAsia"/>
          <w:color w:val="auto"/>
          <w:sz w:val="24"/>
          <w:szCs w:val="24"/>
          <w:highlight w:val="none"/>
          <w:lang w:eastAsia="zh-CN"/>
        </w:rPr>
      </w:pPr>
    </w:p>
    <w:p w14:paraId="6A681A06">
      <w:pPr>
        <w:pStyle w:val="16"/>
        <w:ind w:left="0" w:leftChars="0" w:firstLine="0" w:firstLineChars="0"/>
        <w:rPr>
          <w:rFonts w:hint="eastAsia"/>
          <w:color w:val="auto"/>
          <w:sz w:val="24"/>
          <w:szCs w:val="24"/>
          <w:highlight w:val="none"/>
          <w:lang w:eastAsia="zh-CN"/>
        </w:rPr>
      </w:pPr>
    </w:p>
    <w:p w14:paraId="13DFC9C9">
      <w:pPr>
        <w:pStyle w:val="17"/>
        <w:rPr>
          <w:rFonts w:hint="eastAsia"/>
          <w:color w:val="auto"/>
          <w:highlight w:val="none"/>
          <w:lang w:eastAsia="zh-CN"/>
        </w:rPr>
      </w:pPr>
    </w:p>
    <w:p w14:paraId="17A08960">
      <w:pPr>
        <w:pStyle w:val="6"/>
        <w:keepNext w:val="0"/>
        <w:keepLines w:val="0"/>
        <w:pageBreakBefore w:val="0"/>
        <w:numPr>
          <w:ilvl w:val="0"/>
          <w:numId w:val="6"/>
        </w:numPr>
        <w:kinsoku/>
        <w:wordWrap w:val="0"/>
        <w:overflowPunct/>
        <w:topLinePunct w:val="0"/>
        <w:bidi w:val="0"/>
        <w:spacing w:before="353" w:line="360" w:lineRule="auto"/>
        <w:ind w:left="14" w:leftChars="0" w:hanging="14" w:firstLineChars="0"/>
        <w:jc w:val="center"/>
        <w:outlineLvl w:val="0"/>
        <w:rPr>
          <w:color w:val="auto"/>
          <w:spacing w:val="-5"/>
          <w:sz w:val="36"/>
          <w:szCs w:val="36"/>
          <w:highlight w:val="none"/>
          <w14:textOutline w14:w="2306" w14:cap="flat" w14:cmpd="sng">
            <w14:solidFill>
              <w14:srgbClr w14:val="000000"/>
            </w14:solidFill>
            <w14:prstDash w14:val="solid"/>
            <w14:miter w14:val="0"/>
          </w14:textOutline>
        </w:rPr>
      </w:pPr>
      <w:bookmarkStart w:id="114" w:name="_Toc31124"/>
      <w:r>
        <w:rPr>
          <w:color w:val="auto"/>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5"/>
        <w:rPr>
          <w:color w:val="auto"/>
          <w:highlight w:val="none"/>
        </w:rPr>
      </w:pPr>
    </w:p>
    <w:p w14:paraId="588EA14D">
      <w:pPr>
        <w:rPr>
          <w:rFonts w:hint="eastAsia"/>
          <w:b/>
          <w:bCs/>
          <w:color w:val="auto"/>
          <w:sz w:val="28"/>
          <w:szCs w:val="28"/>
          <w:highlight w:val="none"/>
        </w:rPr>
      </w:pPr>
      <w:r>
        <w:rPr>
          <w:rFonts w:hint="eastAsia"/>
          <w:b/>
          <w:bCs/>
          <w:color w:val="auto"/>
          <w:sz w:val="28"/>
          <w:szCs w:val="28"/>
          <w:highlight w:val="none"/>
        </w:rPr>
        <w:t>供应商编制文件须知</w:t>
      </w:r>
    </w:p>
    <w:p w14:paraId="6E116570">
      <w:pPr>
        <w:rPr>
          <w:rFonts w:hint="eastAsia"/>
          <w:b/>
          <w:bCs/>
          <w:color w:val="auto"/>
          <w:sz w:val="28"/>
          <w:szCs w:val="28"/>
          <w:highlight w:val="none"/>
        </w:rPr>
      </w:pPr>
      <w:r>
        <w:rPr>
          <w:rFonts w:hint="eastAsia"/>
          <w:b/>
          <w:bCs/>
          <w:color w:val="auto"/>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color w:val="auto"/>
          <w:sz w:val="28"/>
          <w:szCs w:val="28"/>
          <w:highlight w:val="none"/>
        </w:rPr>
      </w:pPr>
      <w:r>
        <w:rPr>
          <w:rFonts w:hint="eastAsia"/>
          <w:b/>
          <w:bCs/>
          <w:color w:val="auto"/>
          <w:sz w:val="28"/>
          <w:szCs w:val="28"/>
          <w:highlight w:val="none"/>
        </w:rPr>
        <w:t>2.全部声明和问题的回答及所附材料必须是真实的、准确的和完整的。</w:t>
      </w:r>
    </w:p>
    <w:p w14:paraId="06EC8B3E">
      <w:pPr>
        <w:rPr>
          <w:color w:val="auto"/>
          <w:highlight w:val="none"/>
        </w:rPr>
      </w:pPr>
    </w:p>
    <w:p w14:paraId="5E8B421A">
      <w:pPr>
        <w:pStyle w:val="25"/>
        <w:rPr>
          <w:color w:val="auto"/>
          <w:highlight w:val="none"/>
        </w:rPr>
      </w:pPr>
    </w:p>
    <w:p w14:paraId="27884627">
      <w:pPr>
        <w:rPr>
          <w:color w:val="auto"/>
          <w:highlight w:val="none"/>
        </w:rPr>
      </w:pPr>
    </w:p>
    <w:p w14:paraId="71DBF1C2">
      <w:pPr>
        <w:rPr>
          <w:color w:val="auto"/>
          <w:highlight w:val="none"/>
        </w:rPr>
      </w:pPr>
    </w:p>
    <w:p w14:paraId="1797149E">
      <w:pPr>
        <w:rPr>
          <w:color w:val="auto"/>
          <w:highlight w:val="none"/>
        </w:rPr>
      </w:pPr>
    </w:p>
    <w:p w14:paraId="6C7E7CDD">
      <w:pPr>
        <w:rPr>
          <w:color w:val="auto"/>
          <w:highlight w:val="none"/>
        </w:rPr>
      </w:pPr>
    </w:p>
    <w:p w14:paraId="0582057C">
      <w:pPr>
        <w:rPr>
          <w:color w:val="auto"/>
          <w:highlight w:val="none"/>
        </w:rPr>
      </w:pPr>
    </w:p>
    <w:p w14:paraId="6A122763">
      <w:pPr>
        <w:rPr>
          <w:color w:val="auto"/>
          <w:highlight w:val="none"/>
        </w:rPr>
      </w:pPr>
    </w:p>
    <w:p w14:paraId="7984C2C1">
      <w:pPr>
        <w:rPr>
          <w:color w:val="auto"/>
          <w:highlight w:val="none"/>
        </w:rPr>
      </w:pPr>
    </w:p>
    <w:p w14:paraId="49A00413">
      <w:pPr>
        <w:rPr>
          <w:color w:val="auto"/>
          <w:highlight w:val="none"/>
        </w:rPr>
      </w:pPr>
    </w:p>
    <w:p w14:paraId="1578D83E">
      <w:pPr>
        <w:rPr>
          <w:color w:val="auto"/>
          <w:highlight w:val="none"/>
        </w:rPr>
      </w:pPr>
    </w:p>
    <w:p w14:paraId="381BF2B0">
      <w:pPr>
        <w:rPr>
          <w:color w:val="auto"/>
          <w:highlight w:val="none"/>
        </w:rPr>
      </w:pPr>
    </w:p>
    <w:p w14:paraId="68F5784D">
      <w:pPr>
        <w:rPr>
          <w:color w:val="auto"/>
          <w:highlight w:val="none"/>
        </w:rPr>
      </w:pPr>
    </w:p>
    <w:p w14:paraId="573D8FBB">
      <w:pPr>
        <w:rPr>
          <w:color w:val="auto"/>
          <w:highlight w:val="none"/>
        </w:rPr>
      </w:pPr>
    </w:p>
    <w:p w14:paraId="234157F7">
      <w:pPr>
        <w:rPr>
          <w:color w:val="auto"/>
          <w:highlight w:val="none"/>
        </w:rPr>
      </w:pPr>
    </w:p>
    <w:p w14:paraId="65A20B82">
      <w:pPr>
        <w:rPr>
          <w:color w:val="auto"/>
          <w:highlight w:val="none"/>
        </w:rPr>
      </w:pPr>
    </w:p>
    <w:p w14:paraId="000C33BC">
      <w:pPr>
        <w:rPr>
          <w:color w:val="auto"/>
          <w:highlight w:val="none"/>
        </w:rPr>
      </w:pPr>
    </w:p>
    <w:p w14:paraId="5FBE4E77">
      <w:pPr>
        <w:rPr>
          <w:color w:val="auto"/>
          <w:highlight w:val="none"/>
        </w:rPr>
      </w:pPr>
    </w:p>
    <w:p w14:paraId="256684D1">
      <w:pPr>
        <w:rPr>
          <w:color w:val="auto"/>
          <w:highlight w:val="none"/>
        </w:rPr>
      </w:pPr>
    </w:p>
    <w:p w14:paraId="7E7214B1">
      <w:pPr>
        <w:rPr>
          <w:color w:val="auto"/>
          <w:highlight w:val="none"/>
        </w:rPr>
      </w:pPr>
    </w:p>
    <w:p w14:paraId="0E6D694A">
      <w:pPr>
        <w:rPr>
          <w:color w:val="auto"/>
          <w:highlight w:val="none"/>
        </w:rPr>
      </w:pPr>
    </w:p>
    <w:p w14:paraId="1B98C951">
      <w:pPr>
        <w:rPr>
          <w:color w:val="auto"/>
          <w:highlight w:val="none"/>
        </w:rPr>
      </w:pPr>
    </w:p>
    <w:p w14:paraId="6F26FCF2">
      <w:pPr>
        <w:rPr>
          <w:color w:val="auto"/>
          <w:highlight w:val="none"/>
        </w:rPr>
      </w:pPr>
    </w:p>
    <w:p w14:paraId="190763B9">
      <w:pPr>
        <w:rPr>
          <w:color w:val="auto"/>
          <w:highlight w:val="none"/>
        </w:rPr>
      </w:pPr>
    </w:p>
    <w:p w14:paraId="033F85DB">
      <w:pPr>
        <w:rPr>
          <w:color w:val="auto"/>
          <w:highlight w:val="none"/>
        </w:rPr>
      </w:pPr>
    </w:p>
    <w:p w14:paraId="51850BC2">
      <w:pPr>
        <w:rPr>
          <w:color w:val="auto"/>
          <w:highlight w:val="none"/>
        </w:rPr>
      </w:pPr>
    </w:p>
    <w:p w14:paraId="128E0A9E">
      <w:pPr>
        <w:rPr>
          <w:color w:val="auto"/>
          <w:highlight w:val="none"/>
        </w:rPr>
      </w:pPr>
    </w:p>
    <w:p w14:paraId="692EA1F7">
      <w:pPr>
        <w:rPr>
          <w:color w:val="auto"/>
          <w:highlight w:val="none"/>
        </w:rPr>
      </w:pPr>
    </w:p>
    <w:p w14:paraId="5166EA36">
      <w:pPr>
        <w:rPr>
          <w:color w:val="auto"/>
          <w:highlight w:val="none"/>
        </w:rPr>
      </w:pPr>
    </w:p>
    <w:p w14:paraId="09401591">
      <w:pPr>
        <w:rPr>
          <w:color w:val="auto"/>
          <w:highlight w:val="none"/>
        </w:rPr>
      </w:pPr>
    </w:p>
    <w:p w14:paraId="5BD05650">
      <w:pPr>
        <w:rPr>
          <w:color w:val="auto"/>
          <w:highlight w:val="none"/>
        </w:rPr>
      </w:pPr>
    </w:p>
    <w:p w14:paraId="655C806D">
      <w:pPr>
        <w:rPr>
          <w:color w:val="auto"/>
          <w:highlight w:val="none"/>
        </w:rPr>
      </w:pPr>
    </w:p>
    <w:p w14:paraId="5F49E708">
      <w:pPr>
        <w:spacing w:before="0"/>
        <w:ind w:left="220" w:right="0" w:firstLine="0"/>
        <w:jc w:val="left"/>
        <w:rPr>
          <w:b/>
          <w:bCs/>
          <w:color w:val="auto"/>
          <w:sz w:val="24"/>
          <w:highlight w:val="none"/>
        </w:rPr>
      </w:pPr>
      <w:bookmarkStart w:id="115" w:name="_Toc5802"/>
      <w:r>
        <w:rPr>
          <w:b/>
          <w:bCs/>
          <w:color w:val="auto"/>
          <w:sz w:val="24"/>
          <w:highlight w:val="none"/>
        </w:rPr>
        <w:t>响应文件封面格式</w:t>
      </w:r>
    </w:p>
    <w:p w14:paraId="5BC0172E">
      <w:pPr>
        <w:pStyle w:val="6"/>
        <w:rPr>
          <w:color w:val="auto"/>
          <w:sz w:val="20"/>
          <w:highlight w:val="none"/>
        </w:rPr>
      </w:pPr>
    </w:p>
    <w:p w14:paraId="674CD437">
      <w:pPr>
        <w:pStyle w:val="6"/>
        <w:rPr>
          <w:color w:val="auto"/>
          <w:sz w:val="20"/>
          <w:highlight w:val="none"/>
        </w:rPr>
      </w:pPr>
    </w:p>
    <w:p w14:paraId="45177682">
      <w:pPr>
        <w:pStyle w:val="6"/>
        <w:rPr>
          <w:color w:val="auto"/>
          <w:sz w:val="20"/>
          <w:highlight w:val="none"/>
        </w:rPr>
      </w:pPr>
    </w:p>
    <w:p w14:paraId="61BE2E22">
      <w:pPr>
        <w:pStyle w:val="6"/>
        <w:spacing w:before="4"/>
        <w:rPr>
          <w:color w:val="auto"/>
          <w:sz w:val="16"/>
          <w:highlight w:val="none"/>
        </w:rPr>
      </w:pPr>
    </w:p>
    <w:p w14:paraId="14142493">
      <w:pPr>
        <w:tabs>
          <w:tab w:val="left" w:pos="4419"/>
        </w:tabs>
        <w:spacing w:before="57"/>
        <w:ind w:left="0" w:right="16" w:firstLine="0"/>
        <w:jc w:val="center"/>
        <w:rPr>
          <w:b/>
          <w:color w:val="auto"/>
          <w:sz w:val="40"/>
          <w:highlight w:val="none"/>
        </w:rPr>
      </w:pPr>
      <w:r>
        <w:rPr>
          <w:rFonts w:ascii="Times New Roman" w:eastAsia="Times New Roman"/>
          <w:b/>
          <w:color w:val="auto"/>
          <w:w w:val="100"/>
          <w:sz w:val="32"/>
          <w:szCs w:val="18"/>
          <w:highlight w:val="none"/>
          <w:u w:val="single"/>
        </w:rPr>
        <w:t xml:space="preserve"> </w:t>
      </w:r>
      <w:r>
        <w:rPr>
          <w:rFonts w:ascii="Times New Roman" w:eastAsia="Times New Roman"/>
          <w:b/>
          <w:color w:val="auto"/>
          <w:sz w:val="32"/>
          <w:szCs w:val="18"/>
          <w:highlight w:val="none"/>
          <w:u w:val="single"/>
        </w:rPr>
        <w:tab/>
      </w:r>
      <w:r>
        <w:rPr>
          <w:b/>
          <w:color w:val="auto"/>
          <w:sz w:val="40"/>
          <w:highlight w:val="none"/>
        </w:rPr>
        <w:t>项目</w:t>
      </w:r>
    </w:p>
    <w:p w14:paraId="1A6F8B46">
      <w:pPr>
        <w:pStyle w:val="6"/>
        <w:rPr>
          <w:b/>
          <w:color w:val="auto"/>
          <w:sz w:val="20"/>
          <w:highlight w:val="none"/>
        </w:rPr>
      </w:pPr>
    </w:p>
    <w:p w14:paraId="16C49565">
      <w:pPr>
        <w:pStyle w:val="6"/>
        <w:rPr>
          <w:b/>
          <w:color w:val="auto"/>
          <w:sz w:val="20"/>
          <w:highlight w:val="none"/>
        </w:rPr>
      </w:pPr>
    </w:p>
    <w:p w14:paraId="202D4BA0">
      <w:pPr>
        <w:pStyle w:val="6"/>
        <w:rPr>
          <w:b/>
          <w:color w:val="auto"/>
          <w:sz w:val="20"/>
          <w:highlight w:val="none"/>
        </w:rPr>
      </w:pPr>
    </w:p>
    <w:p w14:paraId="5F9854DD">
      <w:pPr>
        <w:pStyle w:val="6"/>
        <w:rPr>
          <w:b/>
          <w:color w:val="auto"/>
          <w:sz w:val="20"/>
          <w:highlight w:val="none"/>
        </w:rPr>
      </w:pPr>
    </w:p>
    <w:p w14:paraId="6A8D653B">
      <w:pPr>
        <w:pStyle w:val="6"/>
        <w:rPr>
          <w:b/>
          <w:color w:val="auto"/>
          <w:sz w:val="20"/>
          <w:highlight w:val="none"/>
        </w:rPr>
      </w:pPr>
    </w:p>
    <w:p w14:paraId="5D3ECE99">
      <w:pPr>
        <w:pStyle w:val="6"/>
        <w:rPr>
          <w:b/>
          <w:color w:val="auto"/>
          <w:sz w:val="20"/>
          <w:highlight w:val="none"/>
        </w:rPr>
      </w:pPr>
    </w:p>
    <w:p w14:paraId="0352C3A0">
      <w:pPr>
        <w:pStyle w:val="6"/>
        <w:rPr>
          <w:b/>
          <w:color w:val="auto"/>
          <w:sz w:val="20"/>
          <w:highlight w:val="none"/>
        </w:rPr>
      </w:pPr>
    </w:p>
    <w:p w14:paraId="4385FF57">
      <w:pPr>
        <w:pStyle w:val="6"/>
        <w:rPr>
          <w:b/>
          <w:color w:val="auto"/>
          <w:sz w:val="20"/>
          <w:highlight w:val="none"/>
        </w:rPr>
      </w:pPr>
    </w:p>
    <w:p w14:paraId="1701E240">
      <w:pPr>
        <w:pStyle w:val="6"/>
        <w:rPr>
          <w:b/>
          <w:color w:val="auto"/>
          <w:sz w:val="20"/>
          <w:highlight w:val="none"/>
        </w:rPr>
      </w:pPr>
    </w:p>
    <w:p w14:paraId="310535E0">
      <w:pPr>
        <w:pStyle w:val="6"/>
        <w:rPr>
          <w:b/>
          <w:color w:val="auto"/>
          <w:sz w:val="20"/>
          <w:highlight w:val="none"/>
        </w:rPr>
      </w:pPr>
    </w:p>
    <w:p w14:paraId="73183176">
      <w:pPr>
        <w:pStyle w:val="6"/>
        <w:rPr>
          <w:b/>
          <w:color w:val="auto"/>
          <w:sz w:val="20"/>
          <w:highlight w:val="none"/>
        </w:rPr>
      </w:pPr>
    </w:p>
    <w:p w14:paraId="2BB3EC46">
      <w:pPr>
        <w:spacing w:before="172"/>
        <w:ind w:left="0" w:right="18" w:firstLine="0"/>
        <w:jc w:val="center"/>
        <w:outlineLvl w:val="1"/>
        <w:rPr>
          <w:color w:val="auto"/>
          <w:sz w:val="72"/>
          <w:highlight w:val="none"/>
        </w:rPr>
      </w:pPr>
      <w:bookmarkStart w:id="116" w:name="_Toc11199"/>
      <w:bookmarkStart w:id="117" w:name="_Toc26935"/>
      <w:r>
        <w:rPr>
          <w:color w:val="auto"/>
          <w:sz w:val="72"/>
          <w:highlight w:val="none"/>
        </w:rPr>
        <w:t>响应文件</w:t>
      </w:r>
      <w:bookmarkEnd w:id="116"/>
      <w:bookmarkEnd w:id="117"/>
    </w:p>
    <w:p w14:paraId="6E3379EC">
      <w:pPr>
        <w:spacing w:before="167"/>
        <w:ind w:left="0" w:right="18" w:firstLine="0"/>
        <w:jc w:val="center"/>
        <w:outlineLvl w:val="9"/>
        <w:rPr>
          <w:color w:val="auto"/>
          <w:sz w:val="24"/>
          <w:highlight w:val="none"/>
        </w:rPr>
      </w:pPr>
      <w:r>
        <w:rPr>
          <w:color w:val="auto"/>
          <w:sz w:val="24"/>
          <w:highlight w:val="none"/>
        </w:rPr>
        <w:t>采购编号：</w:t>
      </w:r>
    </w:p>
    <w:p w14:paraId="192C2464">
      <w:pPr>
        <w:pStyle w:val="6"/>
        <w:rPr>
          <w:color w:val="auto"/>
          <w:sz w:val="24"/>
          <w:highlight w:val="none"/>
        </w:rPr>
      </w:pPr>
    </w:p>
    <w:p w14:paraId="31108C93">
      <w:pPr>
        <w:pStyle w:val="6"/>
        <w:rPr>
          <w:color w:val="auto"/>
          <w:sz w:val="24"/>
          <w:highlight w:val="none"/>
        </w:rPr>
      </w:pPr>
    </w:p>
    <w:p w14:paraId="7BDA861B">
      <w:pPr>
        <w:pStyle w:val="6"/>
        <w:rPr>
          <w:color w:val="auto"/>
          <w:sz w:val="24"/>
          <w:highlight w:val="none"/>
        </w:rPr>
      </w:pPr>
    </w:p>
    <w:p w14:paraId="613B0162">
      <w:pPr>
        <w:pStyle w:val="6"/>
        <w:rPr>
          <w:color w:val="auto"/>
          <w:sz w:val="24"/>
          <w:highlight w:val="none"/>
        </w:rPr>
      </w:pPr>
    </w:p>
    <w:p w14:paraId="3DD7E99D">
      <w:pPr>
        <w:pStyle w:val="6"/>
        <w:rPr>
          <w:color w:val="auto"/>
          <w:sz w:val="24"/>
          <w:highlight w:val="none"/>
        </w:rPr>
      </w:pPr>
    </w:p>
    <w:p w14:paraId="1A7DA37C">
      <w:pPr>
        <w:pStyle w:val="6"/>
        <w:rPr>
          <w:color w:val="auto"/>
          <w:sz w:val="24"/>
          <w:highlight w:val="none"/>
        </w:rPr>
      </w:pPr>
    </w:p>
    <w:p w14:paraId="29393C45">
      <w:pPr>
        <w:pStyle w:val="13"/>
        <w:rPr>
          <w:color w:val="auto"/>
          <w:highlight w:val="none"/>
        </w:rPr>
      </w:pPr>
    </w:p>
    <w:p w14:paraId="7245536E">
      <w:pPr>
        <w:pStyle w:val="13"/>
        <w:rPr>
          <w:color w:val="auto"/>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8970E6">
      <w:pPr>
        <w:jc w:val="center"/>
        <w:outlineLvl w:val="9"/>
        <w:rPr>
          <w:b/>
          <w:bCs/>
          <w:color w:val="auto"/>
          <w:w w:val="95"/>
          <w:sz w:val="36"/>
          <w:szCs w:val="36"/>
          <w:highlight w:val="none"/>
        </w:rPr>
      </w:pPr>
    </w:p>
    <w:p w14:paraId="319E3B52">
      <w:pPr>
        <w:jc w:val="center"/>
        <w:outlineLvl w:val="9"/>
        <w:rPr>
          <w:b/>
          <w:bCs/>
          <w:color w:val="auto"/>
          <w:w w:val="95"/>
          <w:sz w:val="36"/>
          <w:szCs w:val="36"/>
          <w:highlight w:val="none"/>
        </w:rPr>
      </w:pPr>
    </w:p>
    <w:p w14:paraId="283AA8D6">
      <w:pPr>
        <w:jc w:val="center"/>
        <w:outlineLvl w:val="9"/>
        <w:rPr>
          <w:b/>
          <w:bCs/>
          <w:color w:val="auto"/>
          <w:w w:val="95"/>
          <w:sz w:val="36"/>
          <w:szCs w:val="36"/>
          <w:highlight w:val="none"/>
        </w:rPr>
      </w:pPr>
    </w:p>
    <w:p w14:paraId="0C023704">
      <w:pPr>
        <w:jc w:val="center"/>
        <w:outlineLvl w:val="9"/>
        <w:rPr>
          <w:b/>
          <w:bCs/>
          <w:color w:val="auto"/>
          <w:w w:val="95"/>
          <w:sz w:val="36"/>
          <w:szCs w:val="36"/>
          <w:highlight w:val="none"/>
        </w:rPr>
      </w:pPr>
    </w:p>
    <w:p w14:paraId="227AAA8E">
      <w:pPr>
        <w:jc w:val="center"/>
        <w:outlineLvl w:val="9"/>
        <w:rPr>
          <w:b/>
          <w:bCs/>
          <w:color w:val="auto"/>
          <w:w w:val="95"/>
          <w:sz w:val="36"/>
          <w:szCs w:val="36"/>
          <w:highlight w:val="none"/>
        </w:rPr>
      </w:pPr>
    </w:p>
    <w:p w14:paraId="7CFEF253">
      <w:pPr>
        <w:jc w:val="center"/>
        <w:outlineLvl w:val="9"/>
        <w:rPr>
          <w:rFonts w:hint="eastAsia" w:eastAsia="宋体"/>
          <w:b/>
          <w:bCs/>
          <w:color w:val="auto"/>
          <w:w w:val="95"/>
          <w:sz w:val="36"/>
          <w:szCs w:val="36"/>
          <w:highlight w:val="none"/>
          <w:lang w:val="en-US" w:eastAsia="zh-CN"/>
        </w:rPr>
      </w:pPr>
    </w:p>
    <w:p w14:paraId="5BF84BB7">
      <w:pPr>
        <w:pStyle w:val="16"/>
        <w:rPr>
          <w:rFonts w:hint="eastAsia" w:eastAsia="宋体"/>
          <w:b/>
          <w:bCs/>
          <w:color w:val="auto"/>
          <w:w w:val="95"/>
          <w:sz w:val="36"/>
          <w:szCs w:val="36"/>
          <w:highlight w:val="none"/>
          <w:lang w:val="en-US" w:eastAsia="zh-CN"/>
        </w:rPr>
      </w:pPr>
    </w:p>
    <w:p w14:paraId="795591A9">
      <w:pPr>
        <w:pStyle w:val="17"/>
        <w:rPr>
          <w:rFonts w:hint="eastAsia" w:eastAsia="宋体"/>
          <w:b/>
          <w:bCs/>
          <w:color w:val="auto"/>
          <w:w w:val="95"/>
          <w:sz w:val="36"/>
          <w:szCs w:val="36"/>
          <w:highlight w:val="none"/>
          <w:lang w:val="en-US" w:eastAsia="zh-CN"/>
        </w:rPr>
      </w:pPr>
    </w:p>
    <w:p w14:paraId="62428264">
      <w:pPr>
        <w:rPr>
          <w:rFonts w:hint="eastAsia"/>
          <w:color w:val="auto"/>
          <w:highlight w:val="none"/>
          <w:lang w:val="en-US" w:eastAsia="zh-CN"/>
        </w:rPr>
      </w:pPr>
    </w:p>
    <w:p w14:paraId="2541133B">
      <w:pPr>
        <w:jc w:val="center"/>
        <w:outlineLvl w:val="9"/>
        <w:rPr>
          <w:rFonts w:hint="eastAsia" w:eastAsia="宋体"/>
          <w:b/>
          <w:bCs/>
          <w:color w:val="auto"/>
          <w:w w:val="95"/>
          <w:sz w:val="36"/>
          <w:szCs w:val="36"/>
          <w:highlight w:val="none"/>
          <w:lang w:val="en-US" w:eastAsia="zh-CN"/>
        </w:rPr>
      </w:pPr>
      <w:r>
        <w:rPr>
          <w:rFonts w:hint="eastAsia" w:eastAsia="宋体"/>
          <w:b/>
          <w:bCs/>
          <w:color w:val="auto"/>
          <w:w w:val="95"/>
          <w:sz w:val="36"/>
          <w:szCs w:val="36"/>
          <w:highlight w:val="none"/>
          <w:lang w:val="en-US" w:eastAsia="zh-CN"/>
        </w:rPr>
        <w:t>目  录</w:t>
      </w:r>
    </w:p>
    <w:p w14:paraId="33AD50A1">
      <w:pPr>
        <w:jc w:val="center"/>
        <w:outlineLvl w:val="9"/>
        <w:rPr>
          <w:rFonts w:hint="eastAsia" w:eastAsia="宋体"/>
          <w:b/>
          <w:bCs/>
          <w:color w:val="auto"/>
          <w:w w:val="95"/>
          <w:sz w:val="36"/>
          <w:szCs w:val="36"/>
          <w:highlight w:val="none"/>
          <w:lang w:val="en-US" w:eastAsia="zh-CN"/>
        </w:rPr>
      </w:pPr>
    </w:p>
    <w:p w14:paraId="3D694AAD">
      <w:pPr>
        <w:jc w:val="center"/>
        <w:outlineLvl w:val="9"/>
        <w:rPr>
          <w:rFonts w:hint="eastAsia" w:eastAsia="宋体"/>
          <w:b/>
          <w:bCs/>
          <w:color w:val="auto"/>
          <w:w w:val="95"/>
          <w:sz w:val="36"/>
          <w:szCs w:val="36"/>
          <w:highlight w:val="none"/>
          <w:lang w:val="en-US" w:eastAsia="zh-CN"/>
        </w:rPr>
      </w:pPr>
    </w:p>
    <w:p w14:paraId="3D546889">
      <w:pPr>
        <w:jc w:val="center"/>
        <w:outlineLvl w:val="9"/>
        <w:rPr>
          <w:rFonts w:hint="eastAsia" w:eastAsia="宋体"/>
          <w:b/>
          <w:bCs/>
          <w:color w:val="auto"/>
          <w:w w:val="95"/>
          <w:sz w:val="32"/>
          <w:szCs w:val="32"/>
          <w:highlight w:val="none"/>
          <w:lang w:val="en-US" w:eastAsia="zh-CN"/>
        </w:rPr>
      </w:pPr>
      <w:r>
        <w:rPr>
          <w:rFonts w:hint="eastAsia" w:eastAsia="宋体"/>
          <w:b/>
          <w:bCs/>
          <w:color w:val="auto"/>
          <w:w w:val="95"/>
          <w:sz w:val="32"/>
          <w:szCs w:val="32"/>
          <w:highlight w:val="none"/>
          <w:lang w:val="en-US" w:eastAsia="zh-CN"/>
        </w:rPr>
        <w:t>（由供应商自行编制并设置页码）</w:t>
      </w:r>
    </w:p>
    <w:p w14:paraId="37BAAC8D">
      <w:pPr>
        <w:jc w:val="center"/>
        <w:outlineLvl w:val="9"/>
        <w:rPr>
          <w:b/>
          <w:bCs/>
          <w:color w:val="auto"/>
          <w:w w:val="95"/>
          <w:sz w:val="36"/>
          <w:szCs w:val="36"/>
          <w:highlight w:val="none"/>
        </w:rPr>
      </w:pPr>
    </w:p>
    <w:p w14:paraId="3FA37E30">
      <w:pPr>
        <w:jc w:val="center"/>
        <w:outlineLvl w:val="9"/>
        <w:rPr>
          <w:b/>
          <w:bCs/>
          <w:color w:val="auto"/>
          <w:w w:val="95"/>
          <w:sz w:val="36"/>
          <w:szCs w:val="36"/>
          <w:highlight w:val="none"/>
        </w:rPr>
      </w:pPr>
    </w:p>
    <w:p w14:paraId="40DEC4EF">
      <w:pPr>
        <w:jc w:val="center"/>
        <w:outlineLvl w:val="9"/>
        <w:rPr>
          <w:b/>
          <w:bCs/>
          <w:color w:val="auto"/>
          <w:w w:val="95"/>
          <w:sz w:val="36"/>
          <w:szCs w:val="36"/>
          <w:highlight w:val="none"/>
        </w:rPr>
      </w:pPr>
    </w:p>
    <w:p w14:paraId="20218E7A">
      <w:pPr>
        <w:jc w:val="center"/>
        <w:outlineLvl w:val="9"/>
        <w:rPr>
          <w:b/>
          <w:bCs/>
          <w:color w:val="auto"/>
          <w:w w:val="95"/>
          <w:sz w:val="36"/>
          <w:szCs w:val="36"/>
          <w:highlight w:val="none"/>
        </w:rPr>
      </w:pPr>
    </w:p>
    <w:p w14:paraId="2AEEC27E">
      <w:pPr>
        <w:jc w:val="center"/>
        <w:outlineLvl w:val="9"/>
        <w:rPr>
          <w:b/>
          <w:bCs/>
          <w:color w:val="auto"/>
          <w:w w:val="95"/>
          <w:sz w:val="36"/>
          <w:szCs w:val="36"/>
          <w:highlight w:val="none"/>
        </w:rPr>
      </w:pPr>
    </w:p>
    <w:p w14:paraId="5014A9C6">
      <w:pPr>
        <w:jc w:val="center"/>
        <w:outlineLvl w:val="9"/>
        <w:rPr>
          <w:b/>
          <w:bCs/>
          <w:color w:val="auto"/>
          <w:w w:val="95"/>
          <w:sz w:val="36"/>
          <w:szCs w:val="36"/>
          <w:highlight w:val="none"/>
        </w:rPr>
      </w:pPr>
    </w:p>
    <w:p w14:paraId="1A370DA2">
      <w:pPr>
        <w:jc w:val="center"/>
        <w:outlineLvl w:val="9"/>
        <w:rPr>
          <w:b/>
          <w:bCs/>
          <w:color w:val="auto"/>
          <w:w w:val="95"/>
          <w:sz w:val="36"/>
          <w:szCs w:val="36"/>
          <w:highlight w:val="none"/>
        </w:rPr>
      </w:pPr>
    </w:p>
    <w:p w14:paraId="686CCD25">
      <w:pPr>
        <w:jc w:val="center"/>
        <w:outlineLvl w:val="9"/>
        <w:rPr>
          <w:b/>
          <w:bCs/>
          <w:color w:val="auto"/>
          <w:w w:val="95"/>
          <w:sz w:val="36"/>
          <w:szCs w:val="36"/>
          <w:highlight w:val="none"/>
        </w:rPr>
      </w:pPr>
    </w:p>
    <w:p w14:paraId="18C1A5ED">
      <w:pPr>
        <w:jc w:val="center"/>
        <w:outlineLvl w:val="9"/>
        <w:rPr>
          <w:b/>
          <w:bCs/>
          <w:color w:val="auto"/>
          <w:w w:val="95"/>
          <w:sz w:val="36"/>
          <w:szCs w:val="36"/>
          <w:highlight w:val="none"/>
        </w:rPr>
      </w:pPr>
    </w:p>
    <w:p w14:paraId="2A4AB3FA">
      <w:pPr>
        <w:jc w:val="center"/>
        <w:outlineLvl w:val="9"/>
        <w:rPr>
          <w:b/>
          <w:bCs/>
          <w:color w:val="auto"/>
          <w:w w:val="95"/>
          <w:sz w:val="36"/>
          <w:szCs w:val="36"/>
          <w:highlight w:val="none"/>
        </w:rPr>
      </w:pPr>
    </w:p>
    <w:p w14:paraId="6B5ED8C2">
      <w:pPr>
        <w:jc w:val="center"/>
        <w:outlineLvl w:val="9"/>
        <w:rPr>
          <w:b/>
          <w:bCs/>
          <w:color w:val="auto"/>
          <w:w w:val="95"/>
          <w:sz w:val="36"/>
          <w:szCs w:val="36"/>
          <w:highlight w:val="none"/>
        </w:rPr>
      </w:pPr>
    </w:p>
    <w:p w14:paraId="387838BA">
      <w:pPr>
        <w:jc w:val="center"/>
        <w:outlineLvl w:val="9"/>
        <w:rPr>
          <w:b/>
          <w:bCs/>
          <w:color w:val="auto"/>
          <w:w w:val="95"/>
          <w:sz w:val="36"/>
          <w:szCs w:val="36"/>
          <w:highlight w:val="none"/>
        </w:rPr>
      </w:pPr>
    </w:p>
    <w:p w14:paraId="26C97E24">
      <w:pPr>
        <w:pStyle w:val="16"/>
        <w:rPr>
          <w:b/>
          <w:bCs/>
          <w:color w:val="auto"/>
          <w:w w:val="95"/>
          <w:sz w:val="36"/>
          <w:szCs w:val="36"/>
          <w:highlight w:val="none"/>
        </w:rPr>
      </w:pPr>
    </w:p>
    <w:p w14:paraId="30488442">
      <w:pPr>
        <w:pStyle w:val="17"/>
        <w:rPr>
          <w:b/>
          <w:bCs/>
          <w:color w:val="auto"/>
          <w:w w:val="95"/>
          <w:sz w:val="36"/>
          <w:szCs w:val="36"/>
          <w:highlight w:val="none"/>
        </w:rPr>
      </w:pPr>
    </w:p>
    <w:p w14:paraId="2D1680E7">
      <w:pPr>
        <w:rPr>
          <w:b/>
          <w:bCs/>
          <w:color w:val="auto"/>
          <w:w w:val="95"/>
          <w:sz w:val="36"/>
          <w:szCs w:val="36"/>
          <w:highlight w:val="none"/>
        </w:rPr>
      </w:pPr>
    </w:p>
    <w:p w14:paraId="5C227358">
      <w:pPr>
        <w:pStyle w:val="16"/>
        <w:rPr>
          <w:b/>
          <w:bCs/>
          <w:color w:val="auto"/>
          <w:w w:val="95"/>
          <w:sz w:val="36"/>
          <w:szCs w:val="36"/>
          <w:highlight w:val="none"/>
        </w:rPr>
      </w:pPr>
    </w:p>
    <w:p w14:paraId="6A7C33A9">
      <w:pPr>
        <w:pStyle w:val="17"/>
        <w:rPr>
          <w:b/>
          <w:bCs/>
          <w:color w:val="auto"/>
          <w:w w:val="95"/>
          <w:sz w:val="36"/>
          <w:szCs w:val="36"/>
          <w:highlight w:val="none"/>
        </w:rPr>
      </w:pPr>
    </w:p>
    <w:p w14:paraId="1D87049E">
      <w:pPr>
        <w:rPr>
          <w:b/>
          <w:bCs/>
          <w:color w:val="auto"/>
          <w:w w:val="95"/>
          <w:sz w:val="36"/>
          <w:szCs w:val="36"/>
          <w:highlight w:val="none"/>
        </w:rPr>
      </w:pPr>
    </w:p>
    <w:p w14:paraId="58C34865">
      <w:pPr>
        <w:pStyle w:val="16"/>
        <w:rPr>
          <w:b/>
          <w:bCs/>
          <w:color w:val="auto"/>
          <w:w w:val="95"/>
          <w:sz w:val="36"/>
          <w:szCs w:val="36"/>
          <w:highlight w:val="none"/>
        </w:rPr>
      </w:pPr>
    </w:p>
    <w:p w14:paraId="0BD629E4">
      <w:pPr>
        <w:pStyle w:val="17"/>
        <w:rPr>
          <w:b/>
          <w:bCs/>
          <w:color w:val="auto"/>
          <w:w w:val="95"/>
          <w:sz w:val="36"/>
          <w:szCs w:val="36"/>
          <w:highlight w:val="none"/>
        </w:rPr>
      </w:pPr>
    </w:p>
    <w:p w14:paraId="496645FB">
      <w:pPr>
        <w:rPr>
          <w:b/>
          <w:bCs/>
          <w:color w:val="auto"/>
          <w:w w:val="95"/>
          <w:sz w:val="36"/>
          <w:szCs w:val="36"/>
          <w:highlight w:val="none"/>
        </w:rPr>
      </w:pPr>
    </w:p>
    <w:p w14:paraId="3DDB7D36">
      <w:pPr>
        <w:pStyle w:val="16"/>
        <w:rPr>
          <w:b/>
          <w:bCs/>
          <w:color w:val="auto"/>
          <w:w w:val="95"/>
          <w:sz w:val="36"/>
          <w:szCs w:val="36"/>
          <w:highlight w:val="none"/>
        </w:rPr>
      </w:pPr>
    </w:p>
    <w:p w14:paraId="35C905AA">
      <w:pPr>
        <w:pStyle w:val="17"/>
        <w:rPr>
          <w:color w:val="auto"/>
          <w:highlight w:val="none"/>
        </w:rPr>
      </w:pPr>
    </w:p>
    <w:p w14:paraId="7EF08F8D">
      <w:pPr>
        <w:pStyle w:val="17"/>
        <w:rPr>
          <w:b/>
          <w:bCs/>
          <w:color w:val="auto"/>
          <w:w w:val="95"/>
          <w:sz w:val="36"/>
          <w:szCs w:val="36"/>
          <w:highlight w:val="none"/>
        </w:rPr>
      </w:pPr>
    </w:p>
    <w:p w14:paraId="54CAB795">
      <w:pPr>
        <w:rPr>
          <w:b/>
          <w:bCs/>
          <w:color w:val="auto"/>
          <w:w w:val="95"/>
          <w:sz w:val="36"/>
          <w:szCs w:val="36"/>
          <w:highlight w:val="none"/>
        </w:rPr>
      </w:pPr>
    </w:p>
    <w:p w14:paraId="5263189D">
      <w:pPr>
        <w:jc w:val="both"/>
        <w:outlineLvl w:val="9"/>
        <w:rPr>
          <w:b/>
          <w:bCs/>
          <w:color w:val="auto"/>
          <w:w w:val="95"/>
          <w:sz w:val="36"/>
          <w:szCs w:val="36"/>
          <w:highlight w:val="none"/>
        </w:rPr>
      </w:pPr>
    </w:p>
    <w:p w14:paraId="3B39963F">
      <w:pPr>
        <w:jc w:val="center"/>
        <w:outlineLvl w:val="9"/>
        <w:rPr>
          <w:b/>
          <w:bCs/>
          <w:color w:val="auto"/>
          <w:w w:val="95"/>
          <w:sz w:val="36"/>
          <w:szCs w:val="36"/>
          <w:highlight w:val="none"/>
        </w:rPr>
      </w:pPr>
    </w:p>
    <w:bookmarkEnd w:id="115"/>
    <w:p w14:paraId="643A08E4">
      <w:pPr>
        <w:pStyle w:val="2"/>
        <w:bidi w:val="0"/>
        <w:rPr>
          <w:rFonts w:hint="eastAsia"/>
          <w:color w:val="auto"/>
          <w:highlight w:val="none"/>
          <w:lang w:eastAsia="zh-CN"/>
        </w:rPr>
      </w:pPr>
      <w:r>
        <w:rPr>
          <w:rFonts w:hint="eastAsia"/>
          <w:color w:val="auto"/>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color w:val="auto"/>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color w:val="auto"/>
          <w:spacing w:val="-3"/>
          <w:kern w:val="2"/>
          <w:sz w:val="28"/>
          <w:szCs w:val="28"/>
          <w:highlight w:val="none"/>
          <w:lang w:eastAsia="zh-CN"/>
        </w:rPr>
      </w:pPr>
      <w:r>
        <w:rPr>
          <w:rFonts w:hint="eastAsia" w:ascii="宋体" w:hAnsi="宋体" w:eastAsia="宋体" w:cs="宋体"/>
          <w:b/>
          <w:bCs/>
          <w:snapToGrid/>
          <w:color w:val="auto"/>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致：</w:t>
      </w:r>
      <w:r>
        <w:rPr>
          <w:rFonts w:hint="eastAsia" w:ascii="宋体" w:hAnsi="宋体" w:eastAsia="宋体" w:cs="宋体"/>
          <w:snapToGrid/>
          <w:color w:val="auto"/>
          <w:kern w:val="2"/>
          <w:sz w:val="24"/>
          <w:szCs w:val="24"/>
          <w:highlight w:val="none"/>
          <w:lang w:eastAsia="zh-CN"/>
        </w:rPr>
        <w:t>采购人或采购代理机构</w:t>
      </w:r>
      <w:r>
        <w:rPr>
          <w:rFonts w:hint="eastAsia" w:ascii="宋体" w:hAnsi="宋体" w:eastAsia="宋体" w:cs="宋体"/>
          <w:snapToGrid/>
          <w:color w:val="auto"/>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color w:val="auto"/>
          <w:spacing w:val="-3"/>
          <w:kern w:val="2"/>
          <w:sz w:val="24"/>
          <w:szCs w:val="24"/>
          <w:highlight w:val="none"/>
          <w:u w:val="single"/>
          <w:lang w:eastAsia="zh-CN"/>
        </w:rPr>
        <w:t xml:space="preserve">一 </w:t>
      </w:r>
      <w:r>
        <w:rPr>
          <w:rFonts w:hint="eastAsia" w:ascii="宋体" w:hAnsi="宋体" w:eastAsia="宋体" w:cs="宋体"/>
          <w:snapToGrid/>
          <w:color w:val="auto"/>
          <w:spacing w:val="-3"/>
          <w:kern w:val="2"/>
          <w:sz w:val="24"/>
          <w:szCs w:val="24"/>
          <w:highlight w:val="none"/>
          <w:lang w:eastAsia="zh-CN"/>
        </w:rPr>
        <w:t>项至第</w:t>
      </w:r>
      <w:r>
        <w:rPr>
          <w:rFonts w:hint="eastAsia" w:ascii="宋体" w:hAnsi="宋体" w:eastAsia="宋体" w:cs="宋体"/>
          <w:snapToGrid/>
          <w:color w:val="auto"/>
          <w:spacing w:val="-3"/>
          <w:kern w:val="2"/>
          <w:sz w:val="24"/>
          <w:szCs w:val="24"/>
          <w:highlight w:val="none"/>
          <w:u w:val="single"/>
          <w:lang w:eastAsia="zh-CN"/>
        </w:rPr>
        <w:t xml:space="preserve">  </w:t>
      </w:r>
      <w:r>
        <w:rPr>
          <w:rFonts w:hint="eastAsia" w:ascii="宋体" w:hAnsi="宋体" w:eastAsia="宋体" w:cs="宋体"/>
          <w:snapToGrid/>
          <w:color w:val="auto"/>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4、我方保证，严格遵守</w:t>
      </w:r>
      <w:r>
        <w:rPr>
          <w:rFonts w:hint="eastAsia" w:ascii="宋体" w:hAnsi="宋体" w:eastAsia="宋体" w:cs="宋体"/>
          <w:color w:val="auto"/>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color w:val="auto"/>
          <w:kern w:val="2"/>
          <w:sz w:val="24"/>
          <w:szCs w:val="24"/>
          <w:highlight w:val="none"/>
          <w:lang w:val="en-US" w:eastAsia="zh-CN" w:bidi="ar-SA"/>
        </w:rPr>
        <w:t>《政府采购竞争性磋商采购方式管理暂行办法》</w:t>
      </w:r>
      <w:r>
        <w:rPr>
          <w:rFonts w:hint="eastAsia" w:ascii="宋体" w:hAnsi="宋体" w:eastAsia="宋体" w:cs="宋体"/>
          <w:color w:val="auto"/>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日期：</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年</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月</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日</w:t>
      </w:r>
    </w:p>
    <w:p w14:paraId="604D5CFC">
      <w:pPr>
        <w:jc w:val="center"/>
        <w:outlineLvl w:val="9"/>
        <w:rPr>
          <w:b/>
          <w:bCs/>
          <w:color w:val="auto"/>
          <w:w w:val="95"/>
          <w:sz w:val="36"/>
          <w:szCs w:val="36"/>
          <w:highlight w:val="none"/>
        </w:rPr>
      </w:pPr>
    </w:p>
    <w:p w14:paraId="2DB24F8A">
      <w:pPr>
        <w:pStyle w:val="35"/>
        <w:rPr>
          <w:b/>
          <w:bCs/>
          <w:color w:val="auto"/>
          <w:w w:val="95"/>
          <w:sz w:val="36"/>
          <w:szCs w:val="36"/>
          <w:highlight w:val="none"/>
        </w:rPr>
      </w:pPr>
    </w:p>
    <w:p w14:paraId="348C706B">
      <w:pPr>
        <w:pStyle w:val="35"/>
        <w:rPr>
          <w:b/>
          <w:bCs/>
          <w:color w:val="auto"/>
          <w:w w:val="95"/>
          <w:sz w:val="36"/>
          <w:szCs w:val="36"/>
          <w:highlight w:val="none"/>
        </w:rPr>
      </w:pPr>
    </w:p>
    <w:p w14:paraId="775112C3">
      <w:pPr>
        <w:pStyle w:val="35"/>
        <w:rPr>
          <w:b/>
          <w:bCs/>
          <w:color w:val="auto"/>
          <w:w w:val="95"/>
          <w:sz w:val="36"/>
          <w:szCs w:val="36"/>
          <w:highlight w:val="none"/>
        </w:rPr>
      </w:pPr>
    </w:p>
    <w:p w14:paraId="0D949C3E">
      <w:pPr>
        <w:pStyle w:val="35"/>
        <w:rPr>
          <w:b/>
          <w:bCs/>
          <w:color w:val="auto"/>
          <w:w w:val="95"/>
          <w:sz w:val="36"/>
          <w:szCs w:val="36"/>
          <w:highlight w:val="none"/>
        </w:rPr>
      </w:pPr>
    </w:p>
    <w:p w14:paraId="424986E9">
      <w:pPr>
        <w:pStyle w:val="35"/>
        <w:rPr>
          <w:b/>
          <w:bCs/>
          <w:color w:val="auto"/>
          <w:w w:val="95"/>
          <w:sz w:val="36"/>
          <w:szCs w:val="36"/>
          <w:highlight w:val="none"/>
        </w:rPr>
      </w:pPr>
    </w:p>
    <w:p w14:paraId="01D12C64">
      <w:pPr>
        <w:pStyle w:val="2"/>
        <w:bidi w:val="0"/>
        <w:rPr>
          <w:rFonts w:hint="eastAsia"/>
          <w:color w:val="auto"/>
          <w:highlight w:val="none"/>
          <w:lang w:eastAsia="zh-CN"/>
        </w:rPr>
      </w:pPr>
      <w:r>
        <w:rPr>
          <w:rFonts w:hint="eastAsia"/>
          <w:color w:val="auto"/>
          <w:highlight w:val="none"/>
          <w:lang w:eastAsia="zh-CN"/>
        </w:rPr>
        <w:t>二、法定代表人或负责人授权委托书格式</w:t>
      </w:r>
    </w:p>
    <w:p w14:paraId="603BF59C">
      <w:pPr>
        <w:wordWrap w:val="0"/>
        <w:spacing w:line="360" w:lineRule="auto"/>
        <w:rPr>
          <w:rFonts w:ascii="宋体" w:hAnsi="宋体" w:cs="宋体"/>
          <w:color w:val="auto"/>
          <w:spacing w:val="-3"/>
          <w:sz w:val="24"/>
          <w:highlight w:val="none"/>
        </w:rPr>
      </w:pPr>
    </w:p>
    <w:p w14:paraId="4E9CDFA5">
      <w:pPr>
        <w:wordWrap w:val="0"/>
        <w:spacing w:line="360" w:lineRule="auto"/>
        <w:jc w:val="center"/>
        <w:rPr>
          <w:rFonts w:ascii="宋体" w:hAnsi="宋体" w:cs="宋体"/>
          <w:color w:val="auto"/>
          <w:spacing w:val="-3"/>
          <w:sz w:val="24"/>
          <w:highlight w:val="none"/>
        </w:rPr>
      </w:pPr>
      <w:r>
        <w:rPr>
          <w:rFonts w:hint="eastAsia" w:ascii="宋体" w:hAnsi="宋体" w:cs="宋体"/>
          <w:b/>
          <w:bCs/>
          <w:color w:val="auto"/>
          <w:spacing w:val="-3"/>
          <w:sz w:val="28"/>
          <w:szCs w:val="22"/>
          <w:highlight w:val="none"/>
        </w:rPr>
        <w:t>法定代表人或负责人授权委托书</w:t>
      </w:r>
    </w:p>
    <w:p w14:paraId="2D4ED26C">
      <w:pPr>
        <w:wordWrap w:val="0"/>
        <w:spacing w:line="360" w:lineRule="auto"/>
        <w:rPr>
          <w:rFonts w:ascii="宋体" w:hAnsi="宋体" w:cs="宋体"/>
          <w:color w:val="auto"/>
          <w:spacing w:val="-3"/>
          <w:sz w:val="24"/>
          <w:highlight w:val="none"/>
        </w:rPr>
      </w:pPr>
    </w:p>
    <w:p w14:paraId="0AAE9D2C">
      <w:pPr>
        <w:wordWrap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致</w:t>
      </w:r>
      <w:r>
        <w:rPr>
          <w:rFonts w:hint="eastAsia" w:ascii="宋体" w:hAnsi="宋体" w:cs="宋体"/>
          <w:color w:val="auto"/>
          <w:sz w:val="24"/>
          <w:highlight w:val="none"/>
        </w:rPr>
        <w:t>采购人或采购代理机构</w:t>
      </w:r>
      <w:r>
        <w:rPr>
          <w:rFonts w:hint="eastAsia" w:ascii="宋体" w:hAnsi="宋体" w:cs="宋体"/>
          <w:color w:val="auto"/>
          <w:spacing w:val="-3"/>
          <w:sz w:val="24"/>
          <w:highlight w:val="none"/>
        </w:rPr>
        <w:t>：</w:t>
      </w:r>
    </w:p>
    <w:p w14:paraId="017199AE">
      <w:pPr>
        <w:wordWrap w:val="0"/>
        <w:spacing w:line="360" w:lineRule="auto"/>
        <w:ind w:firstLine="702" w:firstLineChars="300"/>
        <w:rPr>
          <w:rFonts w:ascii="宋体" w:hAnsi="宋体" w:cs="宋体"/>
          <w:color w:val="auto"/>
          <w:spacing w:val="-3"/>
          <w:sz w:val="24"/>
          <w:highlight w:val="none"/>
        </w:rPr>
      </w:pPr>
      <w:r>
        <w:rPr>
          <w:rFonts w:hint="eastAsia" w:ascii="宋体" w:hAnsi="宋体" w:cs="宋体"/>
          <w:color w:val="auto"/>
          <w:spacing w:val="-3"/>
          <w:sz w:val="24"/>
          <w:highlight w:val="none"/>
        </w:rPr>
        <w:t>我_________（姓名）系_________（供应商名称）的法定代表人或负责人，现授权委托本单位在职职工</w:t>
      </w:r>
      <w:r>
        <w:rPr>
          <w:rFonts w:hint="eastAsia" w:ascii="宋体" w:hAnsi="宋体" w:cs="宋体"/>
          <w:color w:val="auto"/>
          <w:spacing w:val="-3"/>
          <w:sz w:val="24"/>
          <w:highlight w:val="none"/>
          <w:u w:val="single"/>
        </w:rPr>
        <w:t>（姓名）</w:t>
      </w:r>
      <w:r>
        <w:rPr>
          <w:rFonts w:hint="eastAsia" w:ascii="宋体" w:hAnsi="宋体" w:cs="宋体"/>
          <w:color w:val="auto"/>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color w:val="auto"/>
          <w:spacing w:val="-3"/>
          <w:sz w:val="24"/>
          <w:highlight w:val="none"/>
        </w:rPr>
      </w:pPr>
      <w:r>
        <w:rPr>
          <w:rFonts w:hint="eastAsia" w:ascii="宋体" w:hAnsi="宋体" w:cs="宋体"/>
          <w:color w:val="auto"/>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color w:val="auto"/>
          <w:spacing w:val="-3"/>
          <w:sz w:val="24"/>
          <w:highlight w:val="none"/>
        </w:rPr>
      </w:pPr>
      <w:r>
        <w:rPr>
          <w:rFonts w:hint="eastAsia" w:ascii="宋体" w:hAnsi="宋体" w:cs="宋体"/>
          <w:color w:val="auto"/>
          <w:spacing w:val="-3"/>
          <w:sz w:val="24"/>
          <w:highlight w:val="none"/>
        </w:rPr>
        <w:t>被授权人无转委托权，特此委托。</w:t>
      </w:r>
    </w:p>
    <w:p w14:paraId="0FC9EEAB">
      <w:pPr>
        <w:wordWrap w:val="0"/>
        <w:spacing w:line="360" w:lineRule="auto"/>
        <w:rPr>
          <w:rFonts w:ascii="宋体" w:hAnsi="宋体" w:cs="宋体"/>
          <w:color w:val="auto"/>
          <w:spacing w:val="-3"/>
          <w:sz w:val="24"/>
          <w:highlight w:val="none"/>
        </w:rPr>
      </w:pPr>
    </w:p>
    <w:p w14:paraId="09AE81D4">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法定代表人或负责人签名（或盖章）：</w:t>
      </w:r>
    </w:p>
    <w:p w14:paraId="2A4B0471">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被授权人签名（或盖章）：</w:t>
      </w:r>
    </w:p>
    <w:p w14:paraId="31F792B5">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职务：</w:t>
      </w:r>
    </w:p>
    <w:p w14:paraId="02E3D831">
      <w:pPr>
        <w:wordWrap w:val="0"/>
        <w:spacing w:line="360" w:lineRule="auto"/>
        <w:ind w:firstLine="2634" w:firstLineChars="1126"/>
        <w:rPr>
          <w:rFonts w:ascii="宋体" w:hAnsi="宋体" w:cs="宋体"/>
          <w:color w:val="auto"/>
          <w:spacing w:val="-3"/>
          <w:sz w:val="24"/>
          <w:highlight w:val="none"/>
        </w:rPr>
      </w:pPr>
      <w:r>
        <w:rPr>
          <w:rFonts w:hint="eastAsia" w:ascii="宋体" w:hAnsi="宋体" w:cs="宋体"/>
          <w:color w:val="auto"/>
          <w:spacing w:val="-3"/>
          <w:sz w:val="24"/>
          <w:highlight w:val="none"/>
        </w:rPr>
        <w:t>联系电话：</w:t>
      </w:r>
    </w:p>
    <w:p w14:paraId="752B8FE6">
      <w:pPr>
        <w:wordWrap w:val="0"/>
        <w:spacing w:line="360" w:lineRule="auto"/>
        <w:rPr>
          <w:rFonts w:ascii="宋体" w:hAnsi="宋体" w:cs="宋体"/>
          <w:color w:val="auto"/>
          <w:spacing w:val="-3"/>
          <w:sz w:val="24"/>
          <w:highlight w:val="none"/>
        </w:rPr>
      </w:pPr>
    </w:p>
    <w:p w14:paraId="1F510BD1">
      <w:pPr>
        <w:wordWrap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法定代表人或负责人、被授权人身份证复印件</w:t>
      </w:r>
    </w:p>
    <w:p w14:paraId="39652CE1">
      <w:pPr>
        <w:wordWrap w:val="0"/>
        <w:spacing w:line="360" w:lineRule="auto"/>
        <w:rPr>
          <w:rFonts w:ascii="宋体" w:hAnsi="宋体" w:cs="宋体"/>
          <w:color w:val="auto"/>
          <w:spacing w:val="-3"/>
          <w:sz w:val="24"/>
          <w:highlight w:val="none"/>
        </w:rPr>
      </w:pPr>
    </w:p>
    <w:p w14:paraId="5CAD27C3">
      <w:pPr>
        <w:wordWrap w:val="0"/>
        <w:spacing w:line="360" w:lineRule="auto"/>
        <w:ind w:firstLine="6786" w:firstLineChars="2900"/>
        <w:rPr>
          <w:rFonts w:ascii="宋体" w:hAnsi="宋体" w:cs="宋体"/>
          <w:color w:val="auto"/>
          <w:spacing w:val="-3"/>
          <w:sz w:val="24"/>
          <w:highlight w:val="none"/>
        </w:rPr>
      </w:pPr>
    </w:p>
    <w:p w14:paraId="36EA0A7F">
      <w:pPr>
        <w:wordWrap w:val="0"/>
        <w:spacing w:line="360" w:lineRule="auto"/>
        <w:ind w:firstLine="5382" w:firstLineChars="2300"/>
        <w:rPr>
          <w:rFonts w:ascii="宋体" w:hAnsi="宋体" w:cs="宋体"/>
          <w:color w:val="auto"/>
          <w:spacing w:val="-3"/>
          <w:sz w:val="24"/>
          <w:highlight w:val="none"/>
        </w:rPr>
      </w:pPr>
      <w:r>
        <w:rPr>
          <w:rFonts w:hint="eastAsia" w:ascii="宋体" w:hAnsi="宋体" w:cs="宋体"/>
          <w:color w:val="auto"/>
          <w:spacing w:val="-3"/>
          <w:sz w:val="24"/>
          <w:highlight w:val="none"/>
        </w:rPr>
        <w:t>供应商公章：</w:t>
      </w:r>
    </w:p>
    <w:p w14:paraId="4E5B8037">
      <w:pPr>
        <w:wordWrap w:val="0"/>
        <w:spacing w:line="360" w:lineRule="auto"/>
        <w:ind w:firstLine="5400" w:firstLineChars="22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cs="宋体"/>
          <w:color w:val="auto"/>
          <w:spacing w:val="-8"/>
          <w:sz w:val="24"/>
          <w:highlight w:val="none"/>
        </w:rPr>
        <w:t>年</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月</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日</w:t>
      </w:r>
    </w:p>
    <w:p w14:paraId="47EC2011">
      <w:pPr>
        <w:pStyle w:val="35"/>
        <w:rPr>
          <w:b/>
          <w:bCs/>
          <w:color w:val="auto"/>
          <w:w w:val="95"/>
          <w:sz w:val="36"/>
          <w:szCs w:val="36"/>
          <w:highlight w:val="none"/>
        </w:rPr>
      </w:pPr>
    </w:p>
    <w:p w14:paraId="1A54D1B9">
      <w:pPr>
        <w:jc w:val="center"/>
        <w:outlineLvl w:val="9"/>
        <w:rPr>
          <w:b/>
          <w:bCs/>
          <w:color w:val="auto"/>
          <w:w w:val="95"/>
          <w:sz w:val="36"/>
          <w:szCs w:val="36"/>
          <w:highlight w:val="none"/>
        </w:rPr>
      </w:pPr>
    </w:p>
    <w:p w14:paraId="639186D6">
      <w:pPr>
        <w:jc w:val="center"/>
        <w:outlineLvl w:val="9"/>
        <w:rPr>
          <w:b/>
          <w:bCs/>
          <w:color w:val="auto"/>
          <w:w w:val="95"/>
          <w:sz w:val="36"/>
          <w:szCs w:val="36"/>
          <w:highlight w:val="none"/>
        </w:rPr>
      </w:pPr>
    </w:p>
    <w:p w14:paraId="0C95059E">
      <w:pPr>
        <w:jc w:val="center"/>
        <w:outlineLvl w:val="9"/>
        <w:rPr>
          <w:b/>
          <w:bCs/>
          <w:color w:val="auto"/>
          <w:w w:val="95"/>
          <w:sz w:val="36"/>
          <w:szCs w:val="36"/>
          <w:highlight w:val="none"/>
        </w:rPr>
      </w:pPr>
    </w:p>
    <w:p w14:paraId="685D4AF2">
      <w:pPr>
        <w:jc w:val="center"/>
        <w:outlineLvl w:val="9"/>
        <w:rPr>
          <w:b/>
          <w:bCs/>
          <w:color w:val="auto"/>
          <w:w w:val="95"/>
          <w:sz w:val="36"/>
          <w:szCs w:val="36"/>
          <w:highlight w:val="none"/>
        </w:rPr>
      </w:pPr>
    </w:p>
    <w:p w14:paraId="3AA4AC4F">
      <w:pPr>
        <w:jc w:val="center"/>
        <w:outlineLvl w:val="9"/>
        <w:rPr>
          <w:b/>
          <w:bCs/>
          <w:color w:val="auto"/>
          <w:w w:val="95"/>
          <w:sz w:val="36"/>
          <w:szCs w:val="36"/>
          <w:highlight w:val="none"/>
        </w:rPr>
      </w:pPr>
    </w:p>
    <w:p w14:paraId="36F6480C">
      <w:pPr>
        <w:jc w:val="center"/>
        <w:outlineLvl w:val="9"/>
        <w:rPr>
          <w:b/>
          <w:bCs/>
          <w:color w:val="auto"/>
          <w:w w:val="95"/>
          <w:sz w:val="36"/>
          <w:szCs w:val="36"/>
          <w:highlight w:val="none"/>
        </w:rPr>
      </w:pPr>
    </w:p>
    <w:p w14:paraId="1ECA5A96">
      <w:pPr>
        <w:jc w:val="center"/>
        <w:outlineLvl w:val="9"/>
        <w:rPr>
          <w:b/>
          <w:bCs/>
          <w:color w:val="auto"/>
          <w:w w:val="95"/>
          <w:sz w:val="36"/>
          <w:szCs w:val="36"/>
          <w:highlight w:val="none"/>
        </w:rPr>
      </w:pPr>
    </w:p>
    <w:p w14:paraId="28D042BE">
      <w:pPr>
        <w:jc w:val="center"/>
        <w:outlineLvl w:val="9"/>
        <w:rPr>
          <w:b/>
          <w:bCs/>
          <w:color w:val="auto"/>
          <w:w w:val="95"/>
          <w:sz w:val="36"/>
          <w:szCs w:val="36"/>
          <w:highlight w:val="none"/>
        </w:rPr>
      </w:pPr>
    </w:p>
    <w:p w14:paraId="4BBF5725">
      <w:pPr>
        <w:pStyle w:val="35"/>
        <w:rPr>
          <w:b/>
          <w:bCs/>
          <w:color w:val="auto"/>
          <w:w w:val="95"/>
          <w:sz w:val="36"/>
          <w:szCs w:val="36"/>
          <w:highlight w:val="none"/>
        </w:rPr>
      </w:pPr>
    </w:p>
    <w:p w14:paraId="761EE1CC">
      <w:pPr>
        <w:pStyle w:val="35"/>
        <w:rPr>
          <w:b/>
          <w:bCs/>
          <w:color w:val="auto"/>
          <w:w w:val="95"/>
          <w:sz w:val="36"/>
          <w:szCs w:val="36"/>
          <w:highlight w:val="none"/>
        </w:rPr>
      </w:pPr>
    </w:p>
    <w:p w14:paraId="15C92196">
      <w:pPr>
        <w:jc w:val="center"/>
        <w:outlineLvl w:val="9"/>
        <w:rPr>
          <w:b/>
          <w:bCs/>
          <w:color w:val="auto"/>
          <w:w w:val="95"/>
          <w:sz w:val="36"/>
          <w:szCs w:val="36"/>
          <w:highlight w:val="none"/>
        </w:rPr>
      </w:pPr>
    </w:p>
    <w:p w14:paraId="018D9A3E">
      <w:pPr>
        <w:pStyle w:val="2"/>
        <w:bidi w:val="0"/>
        <w:rPr>
          <w:rFonts w:hint="eastAsia"/>
          <w:color w:val="auto"/>
          <w:highlight w:val="none"/>
          <w:lang w:eastAsia="zh-CN"/>
        </w:rPr>
      </w:pPr>
      <w:bookmarkStart w:id="118" w:name="_Toc13448"/>
      <w:bookmarkStart w:id="119" w:name="_Toc31556"/>
      <w:r>
        <w:rPr>
          <w:rFonts w:hint="eastAsia"/>
          <w:color w:val="auto"/>
          <w:highlight w:val="none"/>
          <w:lang w:val="en-US" w:eastAsia="zh-CN"/>
        </w:rPr>
        <w:t>三、</w:t>
      </w:r>
      <w:r>
        <w:rPr>
          <w:rFonts w:hint="eastAsia"/>
          <w:color w:val="auto"/>
          <w:highlight w:val="none"/>
          <w:lang w:eastAsia="zh-CN"/>
        </w:rPr>
        <w:t>报价一览表格式</w:t>
      </w:r>
    </w:p>
    <w:tbl>
      <w:tblPr>
        <w:tblStyle w:val="18"/>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7368"/>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color w:val="auto"/>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color w:val="auto"/>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color w:val="auto"/>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color w:val="auto"/>
                <w:spacing w:val="24"/>
                <w:sz w:val="24"/>
                <w:highlight w:val="none"/>
              </w:rPr>
            </w:pPr>
            <w:r>
              <w:rPr>
                <w:rFonts w:hint="eastAsia" w:ascii="宋体" w:hAnsi="宋体" w:cs="宋体"/>
                <w:color w:val="auto"/>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color w:val="auto"/>
                <w:spacing w:val="-8"/>
                <w:sz w:val="24"/>
                <w:highlight w:val="none"/>
                <w:lang w:eastAsia="zh-CN"/>
              </w:rPr>
            </w:pPr>
            <w:r>
              <w:rPr>
                <w:rFonts w:hint="eastAsia" w:ascii="宋体" w:hAnsi="宋体" w:eastAsia="宋体" w:cs="宋体"/>
                <w:b/>
                <w:bCs/>
                <w:color w:val="auto"/>
                <w:spacing w:val="-8"/>
                <w:sz w:val="24"/>
                <w:highlight w:val="none"/>
                <w:lang w:val="en-US" w:eastAsia="zh-CN"/>
              </w:rPr>
              <w:t>服务期限</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color w:val="auto"/>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color w:val="auto"/>
                <w:spacing w:val="-8"/>
                <w:sz w:val="24"/>
                <w:highlight w:val="none"/>
              </w:rPr>
            </w:pPr>
            <w:r>
              <w:rPr>
                <w:rFonts w:hint="eastAsia" w:ascii="宋体" w:hAnsi="宋体" w:eastAsia="宋体" w:cs="宋体"/>
                <w:b/>
                <w:bCs/>
                <w:color w:val="auto"/>
                <w:spacing w:val="-8"/>
                <w:sz w:val="24"/>
                <w:highlight w:val="none"/>
                <w:lang w:val="en-US" w:eastAsia="zh-CN"/>
              </w:rPr>
              <w:t>服务</w:t>
            </w:r>
            <w:r>
              <w:rPr>
                <w:rFonts w:hint="eastAsia" w:ascii="宋体" w:hAnsi="宋体" w:cs="宋体"/>
                <w:b/>
                <w:bCs/>
                <w:color w:val="auto"/>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color w:val="auto"/>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color w:val="auto"/>
                <w:spacing w:val="24"/>
                <w:sz w:val="24"/>
                <w:highlight w:val="none"/>
              </w:rPr>
            </w:pPr>
          </w:p>
          <w:p w14:paraId="5E36B42D">
            <w:pPr>
              <w:wordWrap w:val="0"/>
              <w:spacing w:line="360" w:lineRule="auto"/>
              <w:rPr>
                <w:rFonts w:ascii="宋体" w:hAnsi="宋体" w:cs="宋体"/>
                <w:color w:val="auto"/>
                <w:spacing w:val="24"/>
                <w:sz w:val="24"/>
                <w:highlight w:val="none"/>
              </w:rPr>
            </w:pPr>
          </w:p>
        </w:tc>
      </w:tr>
    </w:tbl>
    <w:p w14:paraId="613FB931">
      <w:pPr>
        <w:wordWrap w:val="0"/>
        <w:spacing w:line="360" w:lineRule="auto"/>
        <w:rPr>
          <w:rFonts w:hint="eastAsia" w:ascii="宋体" w:hAnsi="宋体" w:cs="宋体"/>
          <w:b/>
          <w:bCs/>
          <w:color w:val="auto"/>
          <w:spacing w:val="-8"/>
          <w:sz w:val="24"/>
          <w:highlight w:val="none"/>
        </w:rPr>
      </w:pPr>
    </w:p>
    <w:p w14:paraId="42E2412D">
      <w:pPr>
        <w:wordWrap w:val="0"/>
        <w:spacing w:line="360" w:lineRule="auto"/>
        <w:rPr>
          <w:rFonts w:hint="eastAsia" w:ascii="宋体" w:hAnsi="宋体" w:cs="宋体"/>
          <w:b/>
          <w:bCs/>
          <w:color w:val="auto"/>
          <w:spacing w:val="-8"/>
          <w:sz w:val="24"/>
          <w:highlight w:val="none"/>
        </w:rPr>
      </w:pPr>
      <w:r>
        <w:rPr>
          <w:rFonts w:hint="eastAsia" w:ascii="宋体" w:hAnsi="宋体" w:cs="宋体"/>
          <w:b/>
          <w:bCs/>
          <w:color w:val="auto"/>
          <w:spacing w:val="-8"/>
          <w:sz w:val="24"/>
          <w:highlight w:val="none"/>
        </w:rPr>
        <w:t>供应商（公章）：</w:t>
      </w:r>
    </w:p>
    <w:p w14:paraId="2BD11F16">
      <w:pPr>
        <w:wordWrap w:val="0"/>
        <w:spacing w:line="360" w:lineRule="auto"/>
        <w:rPr>
          <w:rFonts w:ascii="宋体" w:hAnsi="宋体" w:cs="宋体"/>
          <w:b/>
          <w:bCs/>
          <w:color w:val="auto"/>
          <w:spacing w:val="-8"/>
          <w:sz w:val="24"/>
          <w:highlight w:val="none"/>
        </w:rPr>
      </w:pPr>
      <w:r>
        <w:rPr>
          <w:rFonts w:hint="eastAsia" w:ascii="宋体" w:hAnsi="宋体" w:cs="宋体"/>
          <w:b/>
          <w:bCs/>
          <w:color w:val="auto"/>
          <w:spacing w:val="-8"/>
          <w:sz w:val="24"/>
          <w:highlight w:val="none"/>
        </w:rPr>
        <w:t>法定代表人（负责人）或授权代表（签字）：</w:t>
      </w:r>
    </w:p>
    <w:p w14:paraId="6E0155DF">
      <w:pPr>
        <w:wordWrap w:val="0"/>
        <w:spacing w:line="360" w:lineRule="auto"/>
        <w:rPr>
          <w:rFonts w:ascii="宋体" w:hAnsi="宋体" w:cs="宋体"/>
          <w:b/>
          <w:bCs/>
          <w:color w:val="auto"/>
          <w:spacing w:val="-8"/>
          <w:sz w:val="24"/>
          <w:highlight w:val="none"/>
          <w:lang w:val="zh-CN"/>
        </w:rPr>
      </w:pPr>
      <w:r>
        <w:rPr>
          <w:rFonts w:hint="eastAsia" w:ascii="宋体" w:hAnsi="宋体" w:cs="宋体"/>
          <w:b/>
          <w:bCs/>
          <w:color w:val="auto"/>
          <w:spacing w:val="-8"/>
          <w:sz w:val="24"/>
          <w:highlight w:val="none"/>
        </w:rPr>
        <w:t>日期：</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年</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月</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日</w:t>
      </w:r>
    </w:p>
    <w:p w14:paraId="034474A0">
      <w:pPr>
        <w:spacing w:line="360" w:lineRule="auto"/>
        <w:rPr>
          <w:rFonts w:hint="eastAsia" w:ascii="宋体" w:hAnsi="宋体" w:cs="宋体"/>
          <w:color w:val="auto"/>
          <w:szCs w:val="21"/>
          <w:highlight w:val="none"/>
        </w:rPr>
      </w:pPr>
    </w:p>
    <w:bookmarkEnd w:id="118"/>
    <w:bookmarkEnd w:id="119"/>
    <w:p w14:paraId="3F692D6F">
      <w:pPr>
        <w:bidi w:val="0"/>
        <w:rPr>
          <w:color w:val="auto"/>
          <w:highlight w:val="none"/>
        </w:rPr>
      </w:pPr>
      <w:bookmarkStart w:id="120" w:name="_Toc27812"/>
      <w:bookmarkStart w:id="121" w:name="_Toc13223"/>
    </w:p>
    <w:p w14:paraId="6004ABD6">
      <w:pPr>
        <w:wordWrap w:val="0"/>
        <w:spacing w:line="360" w:lineRule="auto"/>
        <w:rPr>
          <w:rFonts w:hint="eastAsia" w:ascii="宋体" w:hAnsi="宋体" w:cs="宋体"/>
          <w:b/>
          <w:bCs/>
          <w:color w:val="auto"/>
          <w:sz w:val="24"/>
          <w:highlight w:val="none"/>
        </w:rPr>
      </w:pPr>
    </w:p>
    <w:p w14:paraId="0DD35A96">
      <w:pPr>
        <w:wordWrap w:val="0"/>
        <w:spacing w:line="360" w:lineRule="auto"/>
        <w:rPr>
          <w:rFonts w:hint="eastAsia" w:ascii="宋体" w:hAnsi="宋体" w:cs="宋体"/>
          <w:b/>
          <w:bCs/>
          <w:color w:val="auto"/>
          <w:sz w:val="24"/>
          <w:highlight w:val="none"/>
        </w:rPr>
      </w:pPr>
    </w:p>
    <w:p w14:paraId="1BCE1923">
      <w:pPr>
        <w:wordWrap w:val="0"/>
        <w:spacing w:line="360" w:lineRule="auto"/>
        <w:rPr>
          <w:rFonts w:hint="eastAsia" w:ascii="宋体" w:hAnsi="宋体" w:cs="宋体"/>
          <w:b/>
          <w:bCs/>
          <w:color w:val="auto"/>
          <w:sz w:val="24"/>
          <w:highlight w:val="none"/>
        </w:rPr>
      </w:pPr>
    </w:p>
    <w:p w14:paraId="2A2DDBF4">
      <w:pPr>
        <w:wordWrap w:val="0"/>
        <w:spacing w:line="360" w:lineRule="auto"/>
        <w:rPr>
          <w:rFonts w:hint="eastAsia" w:ascii="宋体" w:hAnsi="宋体" w:cs="宋体"/>
          <w:b/>
          <w:bCs/>
          <w:color w:val="auto"/>
          <w:sz w:val="24"/>
          <w:highlight w:val="none"/>
        </w:rPr>
      </w:pPr>
    </w:p>
    <w:p w14:paraId="616FBAAC">
      <w:pPr>
        <w:pStyle w:val="2"/>
        <w:bidi w:val="0"/>
        <w:jc w:val="left"/>
        <w:rPr>
          <w:rFonts w:hint="eastAsia"/>
          <w:color w:val="auto"/>
          <w:sz w:val="28"/>
          <w:szCs w:val="15"/>
          <w:highlight w:val="none"/>
          <w:lang w:val="en-US" w:eastAsia="zh-CN"/>
        </w:rPr>
      </w:pPr>
      <w:r>
        <w:rPr>
          <w:rFonts w:hint="eastAsia"/>
          <w:color w:val="auto"/>
          <w:sz w:val="28"/>
          <w:szCs w:val="15"/>
          <w:highlight w:val="none"/>
          <w:lang w:val="en-US" w:eastAsia="zh-CN"/>
        </w:rPr>
        <w:t>四、营业执照副本或其他资格证明文件（加盖单位公章）</w:t>
      </w:r>
    </w:p>
    <w:p w14:paraId="54962A1C">
      <w:pPr>
        <w:pStyle w:val="2"/>
        <w:bidi w:val="0"/>
        <w:jc w:val="left"/>
        <w:rPr>
          <w:rFonts w:hint="eastAsia"/>
          <w:color w:val="auto"/>
          <w:sz w:val="28"/>
          <w:szCs w:val="15"/>
          <w:highlight w:val="none"/>
          <w:lang w:val="en-US" w:eastAsia="zh-CN"/>
        </w:rPr>
      </w:pPr>
      <w:r>
        <w:rPr>
          <w:rFonts w:hint="eastAsia"/>
          <w:color w:val="auto"/>
          <w:sz w:val="28"/>
          <w:szCs w:val="15"/>
          <w:highlight w:val="none"/>
          <w:lang w:val="en-US" w:eastAsia="zh-CN"/>
        </w:rPr>
        <w:t>五、具有履行合同所必需的设备和专业技术能力的承诺（加盖单位公章）</w:t>
      </w:r>
    </w:p>
    <w:p w14:paraId="4D220D84">
      <w:pPr>
        <w:pStyle w:val="2"/>
        <w:bidi w:val="0"/>
        <w:jc w:val="left"/>
        <w:rPr>
          <w:rFonts w:hint="eastAsia"/>
          <w:color w:val="auto"/>
          <w:sz w:val="28"/>
          <w:szCs w:val="15"/>
          <w:highlight w:val="none"/>
          <w:lang w:val="en-US" w:eastAsia="zh-CN"/>
        </w:rPr>
      </w:pPr>
      <w:r>
        <w:rPr>
          <w:rFonts w:hint="eastAsia"/>
          <w:color w:val="auto"/>
          <w:sz w:val="28"/>
          <w:szCs w:val="15"/>
          <w:highlight w:val="none"/>
          <w:lang w:val="en-US" w:eastAsia="zh-CN"/>
        </w:rPr>
        <w:t>六、依法缴纳税收和社会保障资金的缴费凭证 （加盖单位公章）</w:t>
      </w:r>
    </w:p>
    <w:p w14:paraId="741D025D">
      <w:pPr>
        <w:pStyle w:val="2"/>
        <w:bidi w:val="0"/>
        <w:jc w:val="left"/>
        <w:rPr>
          <w:rFonts w:hint="eastAsia"/>
          <w:color w:val="auto"/>
          <w:sz w:val="28"/>
          <w:szCs w:val="15"/>
          <w:highlight w:val="none"/>
          <w:lang w:val="en-US" w:eastAsia="zh-CN"/>
        </w:rPr>
      </w:pPr>
      <w:r>
        <w:rPr>
          <w:rFonts w:hint="eastAsia"/>
          <w:color w:val="auto"/>
          <w:sz w:val="28"/>
          <w:szCs w:val="15"/>
          <w:highlight w:val="none"/>
          <w:lang w:val="en-US" w:eastAsia="zh-CN"/>
        </w:rPr>
        <w:t>七、良好的商业信誉和健全的财务会计制度的证明文件（加盖单位公章）</w:t>
      </w:r>
    </w:p>
    <w:p w14:paraId="603E768A">
      <w:pPr>
        <w:pStyle w:val="2"/>
        <w:bidi w:val="0"/>
        <w:jc w:val="left"/>
        <w:rPr>
          <w:rFonts w:hint="eastAsia"/>
          <w:color w:val="auto"/>
          <w:sz w:val="28"/>
          <w:szCs w:val="15"/>
          <w:highlight w:val="none"/>
          <w:lang w:val="en-US" w:eastAsia="zh-CN"/>
        </w:rPr>
      </w:pPr>
      <w:r>
        <w:rPr>
          <w:rFonts w:hint="eastAsia"/>
          <w:color w:val="auto"/>
          <w:sz w:val="28"/>
          <w:szCs w:val="15"/>
          <w:highlight w:val="none"/>
          <w:lang w:val="en-US" w:eastAsia="zh-CN"/>
        </w:rPr>
        <w:t>八、投标人出具参加政府采购活动前三年内，在经营活动中没有重大违法记录的书面声明（加盖单位公章）</w:t>
      </w:r>
    </w:p>
    <w:p w14:paraId="2A083D42">
      <w:pPr>
        <w:pStyle w:val="2"/>
        <w:bidi w:val="0"/>
        <w:jc w:val="left"/>
        <w:rPr>
          <w:rFonts w:hint="default" w:asciiTheme="minorEastAsia" w:hAnsiTheme="minorEastAsia" w:eastAsiaTheme="minorEastAsia" w:cstheme="minorEastAsia"/>
          <w:b/>
          <w:bCs/>
          <w:snapToGrid w:val="0"/>
          <w:color w:val="auto"/>
          <w:spacing w:val="-3"/>
          <w:kern w:val="0"/>
          <w:szCs w:val="28"/>
          <w:highlight w:val="none"/>
          <w:lang w:val="en-US" w:eastAsia="zh-CN" w:bidi="ar-SA"/>
        </w:rPr>
      </w:pPr>
      <w:r>
        <w:rPr>
          <w:rFonts w:hint="eastAsia"/>
          <w:color w:val="auto"/>
          <w:sz w:val="28"/>
          <w:szCs w:val="15"/>
          <w:highlight w:val="none"/>
          <w:lang w:val="en-US" w:eastAsia="zh-CN"/>
        </w:rPr>
        <w:t>九、符合法律、行政法规规定的其他条件的承诺（加盖单位公章）。</w:t>
      </w:r>
    </w:p>
    <w:p w14:paraId="1E06E6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pPr>
    </w:p>
    <w:p w14:paraId="5CCB10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pPr>
    </w:p>
    <w:p w14:paraId="0E4D6D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（法定代表人或其授权代表）代表</w:t>
      </w:r>
      <w:r>
        <w:rPr>
          <w:rFonts w:hint="eastAsia" w:asciiTheme="minorEastAsia" w:hAnsiTheme="minorEastAsia" w:eastAsiaTheme="minorEastAsia" w:cstheme="minorEastAsia"/>
          <w:b w:val="0"/>
          <w:bCs w:val="0"/>
          <w:color w:val="auto"/>
          <w:sz w:val="24"/>
          <w:szCs w:val="24"/>
          <w:highlight w:val="none"/>
          <w:u w:val="single"/>
          <w:lang w:eastAsia="zh-CN"/>
        </w:rPr>
        <w:t>（</w:t>
      </w:r>
      <w:r>
        <w:rPr>
          <w:rFonts w:hint="eastAsia" w:asciiTheme="minorEastAsia" w:hAnsiTheme="minorEastAsia" w:eastAsiaTheme="minorEastAsia" w:cstheme="minorEastAsia"/>
          <w:b w:val="0"/>
          <w:bCs w:val="0"/>
          <w:color w:val="auto"/>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E4DDB40">
      <w:pPr>
        <w:keepNext w:val="0"/>
        <w:keepLines w:val="0"/>
        <w:pageBreakBefore w:val="0"/>
        <w:kinsoku/>
        <w:wordWrap w:val="0"/>
        <w:overflowPunct/>
        <w:topLinePunct w:val="0"/>
        <w:bidi w:val="0"/>
        <w:spacing w:line="360" w:lineRule="auto"/>
        <w:ind w:firstLine="870" w:firstLineChars="252"/>
        <w:jc w:val="both"/>
        <w:rPr>
          <w:rFonts w:hint="eastAsia" w:asciiTheme="minorEastAsia" w:hAnsiTheme="minorEastAsia" w:eastAsiaTheme="minorEastAsia" w:cstheme="minorEastAsia"/>
          <w:b/>
          <w:bCs/>
          <w:snapToGrid w:val="0"/>
          <w:color w:val="auto"/>
          <w:spacing w:val="-8"/>
          <w:kern w:val="0"/>
          <w:sz w:val="36"/>
          <w:szCs w:val="36"/>
          <w:highlight w:val="none"/>
          <w:lang w:val="en-US" w:eastAsia="zh-CN" w:bidi="ar-SA"/>
        </w:rPr>
      </w:pPr>
    </w:p>
    <w:p w14:paraId="0E1E2684">
      <w:pPr>
        <w:numPr>
          <w:ilvl w:val="0"/>
          <w:numId w:val="0"/>
        </w:numPr>
        <w:spacing w:after="312" w:afterLines="100" w:line="440" w:lineRule="exact"/>
        <w:ind w:leftChars="0"/>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十、投标人出具信用记录查询结果网页截图（加盖单位公章）</w:t>
      </w:r>
    </w:p>
    <w:p w14:paraId="7D698531">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十一、项目服务方案（技术标部分，格式自拟）</w:t>
      </w:r>
    </w:p>
    <w:p w14:paraId="524E7C5D">
      <w:pPr>
        <w:numPr>
          <w:ilvl w:val="0"/>
          <w:numId w:val="0"/>
        </w:num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十二、服务承诺（格式自拟）</w:t>
      </w:r>
    </w:p>
    <w:p w14:paraId="1C1C794B">
      <w:pPr>
        <w:numPr>
          <w:ilvl w:val="0"/>
          <w:numId w:val="0"/>
        </w:num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十三、其他资格证明</w:t>
      </w:r>
    </w:p>
    <w:p w14:paraId="62D0F9D9">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十四、供应商类似业绩（附业绩证明材料扫描件，加盖单位公章）</w:t>
      </w:r>
    </w:p>
    <w:p w14:paraId="00363B94">
      <w:pPr>
        <w:pStyle w:val="17"/>
        <w:ind w:left="0" w:leftChars="0" w:firstLine="0" w:firstLineChars="0"/>
        <w:rPr>
          <w:rFonts w:hint="eastAsia"/>
          <w:b/>
          <w:color w:val="auto"/>
          <w:sz w:val="32"/>
          <w:highlight w:val="none"/>
        </w:rPr>
      </w:pPr>
    </w:p>
    <w:p w14:paraId="1E054605">
      <w:pPr>
        <w:rPr>
          <w:rFonts w:hint="eastAsia"/>
          <w:color w:val="auto"/>
          <w:highlight w:val="none"/>
        </w:rPr>
      </w:pPr>
    </w:p>
    <w:p w14:paraId="544E70D9">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b/>
          <w:color w:val="auto"/>
          <w:sz w:val="32"/>
          <w:highlight w:val="none"/>
        </w:rPr>
      </w:pPr>
    </w:p>
    <w:p w14:paraId="7993A949">
      <w:pPr>
        <w:pStyle w:val="2"/>
        <w:bidi w:val="0"/>
        <w:rPr>
          <w:rFonts w:hint="eastAsia"/>
          <w:color w:val="auto"/>
          <w:highlight w:val="none"/>
          <w:lang w:val="en-US" w:eastAsia="zh-CN"/>
        </w:rPr>
      </w:pPr>
      <w:r>
        <w:rPr>
          <w:rFonts w:hint="eastAsia"/>
          <w:color w:val="auto"/>
          <w:highlight w:val="none"/>
          <w:lang w:val="en-US" w:eastAsia="zh-CN"/>
        </w:rPr>
        <w:t>十五、供应商诚信承诺书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p>
    <w:p w14:paraId="3F7A7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w:t>
      </w:r>
      <w:r>
        <w:rPr>
          <w:rFonts w:hint="eastAsia" w:asciiTheme="minorEastAsia" w:hAnsiTheme="minorEastAsia" w:eastAsiaTheme="minorEastAsia" w:cstheme="minorEastAsia"/>
          <w:b w:val="0"/>
          <w:bCs w:val="0"/>
          <w:color w:val="auto"/>
          <w:sz w:val="24"/>
          <w:szCs w:val="24"/>
          <w:highlight w:val="none"/>
          <w:lang w:val="en-US" w:eastAsia="zh-CN"/>
        </w:rPr>
        <w:t>采购</w:t>
      </w:r>
      <w:r>
        <w:rPr>
          <w:rFonts w:hint="eastAsia" w:asciiTheme="minorEastAsia" w:hAnsiTheme="minorEastAsia" w:eastAsiaTheme="minorEastAsia" w:cstheme="minorEastAsia"/>
          <w:b w:val="0"/>
          <w:bCs w:val="0"/>
          <w:color w:val="auto"/>
          <w:sz w:val="24"/>
          <w:szCs w:val="24"/>
          <w:highlight w:val="none"/>
          <w:lang w:eastAsia="zh-CN"/>
        </w:rPr>
        <w:t>在电子</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pStyle w:val="2"/>
        <w:bidi w:val="0"/>
        <w:rPr>
          <w:rFonts w:hint="eastAsia"/>
          <w:color w:val="auto"/>
          <w:highlight w:val="none"/>
          <w:lang w:val="en-US" w:eastAsia="zh-CN"/>
        </w:rPr>
      </w:pPr>
      <w:r>
        <w:rPr>
          <w:rFonts w:hint="eastAsia"/>
          <w:color w:val="auto"/>
          <w:highlight w:val="none"/>
          <w:lang w:val="en-US" w:eastAsia="zh-CN"/>
        </w:rPr>
        <w:t>十六、信用承诺书（投标人范本）</w:t>
      </w:r>
    </w:p>
    <w:p w14:paraId="6148AC33">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bidi w:val="0"/>
        <w:rPr>
          <w:color w:val="auto"/>
          <w:highlight w:val="none"/>
        </w:rPr>
      </w:pPr>
    </w:p>
    <w:p w14:paraId="608DED0B">
      <w:pPr>
        <w:bidi w:val="0"/>
        <w:rPr>
          <w:color w:val="auto"/>
          <w:highlight w:val="none"/>
        </w:rPr>
      </w:pPr>
    </w:p>
    <w:p w14:paraId="670ECEA9">
      <w:pPr>
        <w:pStyle w:val="16"/>
        <w:rPr>
          <w:color w:val="auto"/>
          <w:highlight w:val="none"/>
        </w:rPr>
      </w:pPr>
    </w:p>
    <w:p w14:paraId="18D394DE">
      <w:pPr>
        <w:pStyle w:val="2"/>
        <w:bidi w:val="0"/>
        <w:rPr>
          <w:rFonts w:hint="eastAsia"/>
          <w:color w:val="auto"/>
          <w:highlight w:val="none"/>
          <w:lang w:val="zh-CN" w:eastAsia="zh-CN"/>
        </w:rPr>
      </w:pPr>
      <w:r>
        <w:rPr>
          <w:rFonts w:hint="eastAsia"/>
          <w:color w:val="auto"/>
          <w:highlight w:val="none"/>
          <w:lang w:val="en-US" w:eastAsia="zh-CN"/>
        </w:rPr>
        <w:t>十七、投标承诺函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auto"/>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color w:val="auto"/>
          <w:w w:val="95"/>
          <w:sz w:val="36"/>
          <w:szCs w:val="36"/>
          <w:highlight w:val="none"/>
        </w:rPr>
      </w:pPr>
      <w:r>
        <w:rPr>
          <w:rFonts w:hint="eastAsia" w:ascii="宋体" w:hAnsi="宋体" w:eastAsia="宋体" w:cs="宋体"/>
          <w:snapToGrid/>
          <w:color w:val="auto"/>
          <w:kern w:val="0"/>
          <w:sz w:val="24"/>
          <w:szCs w:val="24"/>
          <w:highlight w:val="none"/>
          <w:lang w:val="en-US" w:eastAsia="zh-CN" w:bidi="ar"/>
        </w:rPr>
        <w:t>日期：</w:t>
      </w:r>
      <w:r>
        <w:rPr>
          <w:rFonts w:hint="eastAsia" w:ascii="新宋体" w:hAnsi="新宋体" w:eastAsia="新宋体" w:cs="新宋体"/>
          <w:snapToGrid/>
          <w:color w:val="auto"/>
          <w:kern w:val="0"/>
          <w:sz w:val="24"/>
          <w:szCs w:val="24"/>
          <w:highlight w:val="none"/>
          <w:lang w:val="en-US" w:eastAsia="zh-CN" w:bidi="ar"/>
        </w:rPr>
        <w:t xml:space="preserve"> </w:t>
      </w:r>
    </w:p>
    <w:bookmarkEnd w:id="120"/>
    <w:bookmarkEnd w:id="121"/>
    <w:p w14:paraId="3C154DE6">
      <w:pPr>
        <w:pStyle w:val="2"/>
        <w:bidi w:val="0"/>
        <w:rPr>
          <w:rFonts w:hint="eastAsia"/>
          <w:color w:val="auto"/>
          <w:highlight w:val="none"/>
          <w:lang w:val="en-US" w:eastAsia="zh-CN"/>
        </w:rPr>
      </w:pPr>
      <w:bookmarkStart w:id="122" w:name="_Toc12153"/>
      <w:bookmarkStart w:id="123" w:name="_Toc16799"/>
      <w:r>
        <w:rPr>
          <w:rFonts w:hint="eastAsia"/>
          <w:color w:val="auto"/>
          <w:highlight w:val="none"/>
          <w:lang w:val="en-US" w:eastAsia="zh-CN"/>
        </w:rPr>
        <w:t>十八、</w:t>
      </w:r>
      <w:bookmarkEnd w:id="122"/>
      <w:bookmarkEnd w:id="123"/>
      <w:r>
        <w:rPr>
          <w:rFonts w:hint="eastAsia"/>
          <w:color w:val="auto"/>
          <w:highlight w:val="none"/>
          <w:lang w:val="en-US" w:eastAsia="zh-CN"/>
        </w:rPr>
        <w:t>供应商认为需要的其他文件资料</w:t>
      </w:r>
    </w:p>
    <w:p w14:paraId="5E6B91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E8D7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C7F6D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w:t>
      </w:r>
      <w:r>
        <w:rPr>
          <w:rFonts w:hint="eastAsia" w:asciiTheme="minorEastAsia" w:hAnsiTheme="minorEastAsia" w:eastAsiaTheme="minorEastAsia" w:cstheme="minorEastAsia"/>
          <w:color w:val="auto"/>
          <w:spacing w:val="-4"/>
          <w:sz w:val="24"/>
          <w:szCs w:val="24"/>
          <w:highlight w:val="none"/>
        </w:rPr>
        <w:t>《关于进一步加大政府采购支持中小企业力度的通知》（财库〔2022〕19号）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p>
    <w:p w14:paraId="2EA92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1931B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15344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5097DDF5">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color w:val="auto"/>
          <w:spacing w:val="10"/>
          <w:position w:val="17"/>
          <w:sz w:val="24"/>
          <w:szCs w:val="24"/>
          <w:highlight w:val="none"/>
        </w:rPr>
        <w:t>为大企业的情形，也不</w:t>
      </w:r>
    </w:p>
    <w:p w14:paraId="34EA1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存在与大企业的负责人为同一人的情形。</w:t>
      </w:r>
    </w:p>
    <w:p w14:paraId="4BBC2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21DD5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8E23C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6467A7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7358389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color w:val="auto"/>
          <w:spacing w:val="0"/>
          <w:sz w:val="24"/>
          <w:szCs w:val="24"/>
          <w:highlight w:val="none"/>
        </w:rPr>
      </w:pPr>
    </w:p>
    <w:p w14:paraId="039FA7CE">
      <w:pPr>
        <w:pStyle w:val="13"/>
        <w:rPr>
          <w:rFonts w:ascii="新宋体"/>
          <w:color w:val="auto"/>
          <w:sz w:val="20"/>
          <w:highlight w:val="none"/>
        </w:rPr>
      </w:pPr>
    </w:p>
    <w:p w14:paraId="5EE07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55A49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65CD1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单位的</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3F083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77695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8580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color w:val="auto"/>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16"/>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7"/>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16"/>
        <w:rPr>
          <w:rFonts w:hint="eastAsia"/>
          <w:color w:val="auto"/>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88F70A7">
      <w:pPr>
        <w:rPr>
          <w:color w:val="auto"/>
          <w:sz w:val="24"/>
          <w:szCs w:val="24"/>
          <w:highlight w:val="none"/>
        </w:rPr>
        <w:sectPr>
          <w:footerReference r:id="rId6" w:type="default"/>
          <w:pgSz w:w="11910" w:h="16840"/>
          <w:pgMar w:top="1420" w:right="840" w:bottom="1000" w:left="860" w:header="1151" w:footer="805" w:gutter="0"/>
          <w:pgNumType w:fmt="decimal"/>
          <w:cols w:space="720" w:num="1"/>
        </w:sectPr>
      </w:pPr>
      <w:bookmarkStart w:id="124" w:name="_bookmark22"/>
      <w:bookmarkEnd w:id="124"/>
    </w:p>
    <w:p w14:paraId="5EFE2A08">
      <w:pPr>
        <w:pStyle w:val="3"/>
        <w:bidi w:val="0"/>
        <w:jc w:val="center"/>
        <w:outlineLvl w:val="0"/>
        <w:rPr>
          <w:rFonts w:hint="eastAsia"/>
          <w:color w:val="auto"/>
          <w:sz w:val="48"/>
          <w:szCs w:val="48"/>
          <w:highlight w:val="none"/>
          <w:lang w:val="en-US" w:eastAsia="zh-CN"/>
        </w:rPr>
      </w:pPr>
      <w:bookmarkStart w:id="125" w:name="_Toc17438"/>
      <w:bookmarkStart w:id="126" w:name="_Toc31290"/>
      <w:r>
        <w:rPr>
          <w:rFonts w:hint="eastAsia"/>
          <w:color w:val="auto"/>
          <w:sz w:val="48"/>
          <w:szCs w:val="48"/>
          <w:highlight w:val="none"/>
          <w:lang w:val="en-US" w:eastAsia="zh-CN"/>
        </w:rPr>
        <w:t>告知函</w:t>
      </w:r>
      <w:bookmarkEnd w:id="125"/>
      <w:bookmarkEnd w:id="126"/>
    </w:p>
    <w:tbl>
      <w:tblPr>
        <w:tblStyle w:val="19"/>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事项</w:t>
            </w:r>
          </w:p>
        </w:tc>
        <w:tc>
          <w:tcPr>
            <w:tcW w:w="2237" w:type="dxa"/>
          </w:tcPr>
          <w:p w14:paraId="56CD1500">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 xml:space="preserve">时限 </w:t>
            </w:r>
          </w:p>
        </w:tc>
        <w:tc>
          <w:tcPr>
            <w:tcW w:w="6221" w:type="dxa"/>
          </w:tcPr>
          <w:p w14:paraId="52321B19">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color w:val="auto"/>
                <w:sz w:val="24"/>
                <w:szCs w:val="24"/>
                <w:highlight w:val="none"/>
                <w:vertAlign w:val="baseline"/>
                <w:lang w:val="en-US" w:eastAsia="zh-CN"/>
              </w:rPr>
            </w:pPr>
          </w:p>
          <w:p w14:paraId="5A1D0EDE">
            <w:pPr>
              <w:widowControl w:val="0"/>
              <w:jc w:val="center"/>
              <w:rPr>
                <w:rFonts w:hint="eastAsia"/>
                <w:color w:val="auto"/>
                <w:sz w:val="24"/>
                <w:szCs w:val="24"/>
                <w:highlight w:val="none"/>
                <w:vertAlign w:val="baseline"/>
                <w:lang w:val="en-US" w:eastAsia="zh-CN"/>
              </w:rPr>
            </w:pPr>
          </w:p>
          <w:p w14:paraId="521B4E28">
            <w:pPr>
              <w:widowControl w:val="0"/>
              <w:jc w:val="center"/>
              <w:rPr>
                <w:rFonts w:hint="eastAsia"/>
                <w:color w:val="auto"/>
                <w:sz w:val="24"/>
                <w:szCs w:val="24"/>
                <w:highlight w:val="none"/>
                <w:vertAlign w:val="baseline"/>
                <w:lang w:val="en-US" w:eastAsia="zh-CN"/>
              </w:rPr>
            </w:pPr>
          </w:p>
          <w:p w14:paraId="72BA18D3">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合同签订</w:t>
            </w:r>
          </w:p>
        </w:tc>
        <w:tc>
          <w:tcPr>
            <w:tcW w:w="2237" w:type="dxa"/>
          </w:tcPr>
          <w:p w14:paraId="636840B6">
            <w:pPr>
              <w:widowControl w:val="0"/>
              <w:ind w:firstLine="480" w:firstLineChars="200"/>
              <w:rPr>
                <w:rFonts w:hint="default"/>
                <w:color w:val="auto"/>
                <w:sz w:val="24"/>
                <w:szCs w:val="24"/>
                <w:highlight w:val="none"/>
                <w:vertAlign w:val="baseline"/>
                <w:lang w:val="en-US" w:eastAsia="zh-CN"/>
              </w:rPr>
            </w:pPr>
          </w:p>
          <w:p w14:paraId="5BA34501">
            <w:pPr>
              <w:widowControl w:val="0"/>
              <w:ind w:firstLine="480" w:firstLineChars="200"/>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中标(成交)通知书发出之日起</w:t>
            </w:r>
            <w:r>
              <w:rPr>
                <w:rFonts w:hint="eastAsia"/>
                <w:color w:val="auto"/>
                <w:sz w:val="24"/>
                <w:szCs w:val="24"/>
                <w:highlight w:val="none"/>
                <w:vertAlign w:val="baseline"/>
                <w:lang w:val="en-US" w:eastAsia="zh-CN"/>
              </w:rPr>
              <w:t>1</w:t>
            </w:r>
            <w:r>
              <w:rPr>
                <w:rFonts w:hint="default"/>
                <w:color w:val="auto"/>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color w:val="auto"/>
                <w:highlight w:val="none"/>
              </w:rPr>
            </w:pPr>
          </w:p>
          <w:p w14:paraId="0E0AAFCE">
            <w:pPr>
              <w:widowControl w:val="0"/>
              <w:ind w:firstLine="480" w:firstLineChars="200"/>
              <w:rPr>
                <w:rFonts w:hint="eastAsia"/>
                <w:color w:val="auto"/>
                <w:sz w:val="24"/>
                <w:szCs w:val="24"/>
                <w:highlight w:val="none"/>
              </w:rPr>
            </w:pPr>
            <w:r>
              <w:rPr>
                <w:rFonts w:hint="eastAsia"/>
                <w:color w:val="auto"/>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color w:val="auto"/>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color w:val="auto"/>
                <w:sz w:val="24"/>
                <w:szCs w:val="24"/>
                <w:highlight w:val="none"/>
                <w:vertAlign w:val="baseline"/>
                <w:lang w:val="en-US" w:eastAsia="zh-CN"/>
              </w:rPr>
            </w:pPr>
          </w:p>
          <w:p w14:paraId="24925948">
            <w:pPr>
              <w:widowControl w:val="0"/>
              <w:jc w:val="center"/>
              <w:rPr>
                <w:rFonts w:hint="eastAsia"/>
                <w:color w:val="auto"/>
                <w:sz w:val="24"/>
                <w:szCs w:val="24"/>
                <w:highlight w:val="none"/>
                <w:vertAlign w:val="baseline"/>
                <w:lang w:val="en-US" w:eastAsia="zh-CN"/>
              </w:rPr>
            </w:pPr>
          </w:p>
          <w:p w14:paraId="15EAD521">
            <w:pPr>
              <w:widowControl w:val="0"/>
              <w:jc w:val="center"/>
              <w:rPr>
                <w:rFonts w:hint="eastAsia"/>
                <w:color w:val="auto"/>
                <w:sz w:val="24"/>
                <w:szCs w:val="24"/>
                <w:highlight w:val="none"/>
                <w:vertAlign w:val="baseline"/>
                <w:lang w:val="en-US" w:eastAsia="zh-CN"/>
              </w:rPr>
            </w:pPr>
          </w:p>
          <w:p w14:paraId="69D094AA">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合同备案</w:t>
            </w:r>
          </w:p>
        </w:tc>
        <w:tc>
          <w:tcPr>
            <w:tcW w:w="2237" w:type="dxa"/>
          </w:tcPr>
          <w:p w14:paraId="6AAD09E8">
            <w:pPr>
              <w:widowControl w:val="0"/>
              <w:ind w:firstLine="480" w:firstLineChars="200"/>
              <w:rPr>
                <w:rFonts w:hint="default"/>
                <w:color w:val="auto"/>
                <w:sz w:val="24"/>
                <w:szCs w:val="24"/>
                <w:highlight w:val="none"/>
                <w:vertAlign w:val="baseline"/>
                <w:lang w:val="en-US" w:eastAsia="zh-CN"/>
              </w:rPr>
            </w:pPr>
          </w:p>
          <w:p w14:paraId="2AFB0BB2">
            <w:pPr>
              <w:widowControl w:val="0"/>
              <w:ind w:firstLine="480" w:firstLineChars="200"/>
              <w:rPr>
                <w:rFonts w:hint="default"/>
                <w:color w:val="auto"/>
                <w:sz w:val="24"/>
                <w:szCs w:val="24"/>
                <w:highlight w:val="none"/>
                <w:vertAlign w:val="baseline"/>
                <w:lang w:val="en-US" w:eastAsia="zh-CN"/>
              </w:rPr>
            </w:pPr>
          </w:p>
          <w:p w14:paraId="5723A974">
            <w:pPr>
              <w:widowControl w:val="0"/>
              <w:ind w:firstLine="480" w:firstLineChars="200"/>
              <w:rPr>
                <w:rFonts w:hint="default"/>
                <w:color w:val="auto"/>
                <w:sz w:val="24"/>
                <w:szCs w:val="24"/>
                <w:highlight w:val="none"/>
                <w:vertAlign w:val="baseline"/>
                <w:lang w:val="en-US" w:eastAsia="zh-CN"/>
              </w:rPr>
            </w:pPr>
          </w:p>
          <w:p w14:paraId="0E08BAB7">
            <w:pPr>
              <w:widowControl w:val="0"/>
              <w:ind w:firstLine="480" w:firstLineChars="200"/>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政府采购合同签订之日起</w:t>
            </w:r>
            <w:r>
              <w:rPr>
                <w:rFonts w:hint="eastAsia"/>
                <w:color w:val="auto"/>
                <w:sz w:val="24"/>
                <w:szCs w:val="24"/>
                <w:highlight w:val="none"/>
                <w:vertAlign w:val="baseline"/>
                <w:lang w:val="en-US" w:eastAsia="zh-CN"/>
              </w:rPr>
              <w:t>1</w:t>
            </w:r>
            <w:r>
              <w:rPr>
                <w:rFonts w:hint="default"/>
                <w:color w:val="auto"/>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color w:val="auto"/>
                <w:sz w:val="24"/>
                <w:szCs w:val="24"/>
                <w:highlight w:val="none"/>
                <w:vertAlign w:val="baseline"/>
                <w:lang w:val="en-US" w:eastAsia="zh-CN"/>
              </w:rPr>
            </w:pPr>
          </w:p>
          <w:p w14:paraId="2C18317D">
            <w:pPr>
              <w:widowControl w:val="0"/>
              <w:ind w:firstLine="480" w:firstLineChars="200"/>
              <w:rPr>
                <w:rFonts w:hint="default"/>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color w:val="auto"/>
                <w:sz w:val="24"/>
                <w:szCs w:val="24"/>
                <w:highlight w:val="none"/>
                <w:vertAlign w:val="baseline"/>
                <w:lang w:val="en-US" w:eastAsia="zh-CN"/>
              </w:rPr>
            </w:pPr>
          </w:p>
          <w:p w14:paraId="6C4B7FE1">
            <w:pPr>
              <w:widowControl w:val="0"/>
              <w:jc w:val="center"/>
              <w:rPr>
                <w:rFonts w:hint="eastAsia"/>
                <w:color w:val="auto"/>
                <w:sz w:val="24"/>
                <w:szCs w:val="24"/>
                <w:highlight w:val="none"/>
                <w:vertAlign w:val="baseline"/>
                <w:lang w:val="en-US" w:eastAsia="zh-CN"/>
              </w:rPr>
            </w:pPr>
          </w:p>
          <w:p w14:paraId="51891975">
            <w:pPr>
              <w:widowControl w:val="0"/>
              <w:jc w:val="center"/>
              <w:rPr>
                <w:rFonts w:hint="eastAsia"/>
                <w:color w:val="auto"/>
                <w:sz w:val="24"/>
                <w:szCs w:val="24"/>
                <w:highlight w:val="none"/>
                <w:vertAlign w:val="baseline"/>
                <w:lang w:val="en-US" w:eastAsia="zh-CN"/>
              </w:rPr>
            </w:pPr>
          </w:p>
          <w:p w14:paraId="1453B99D">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履约验收</w:t>
            </w:r>
          </w:p>
        </w:tc>
        <w:tc>
          <w:tcPr>
            <w:tcW w:w="2237" w:type="dxa"/>
          </w:tcPr>
          <w:p w14:paraId="5268DD43">
            <w:pPr>
              <w:widowControl w:val="0"/>
              <w:ind w:firstLine="480" w:firstLineChars="200"/>
              <w:rPr>
                <w:rFonts w:hint="default"/>
                <w:color w:val="auto"/>
                <w:sz w:val="24"/>
                <w:szCs w:val="24"/>
                <w:highlight w:val="none"/>
                <w:vertAlign w:val="baseline"/>
                <w:lang w:val="en-US" w:eastAsia="zh-CN"/>
              </w:rPr>
            </w:pPr>
          </w:p>
          <w:p w14:paraId="1F4A7EBC">
            <w:pPr>
              <w:widowControl w:val="0"/>
              <w:ind w:firstLine="480" w:firstLineChars="200"/>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采购人应该在供应商提出验收申请之日起</w:t>
            </w:r>
            <w:r>
              <w:rPr>
                <w:rFonts w:hint="eastAsia"/>
                <w:color w:val="auto"/>
                <w:sz w:val="24"/>
                <w:szCs w:val="24"/>
                <w:highlight w:val="none"/>
                <w:vertAlign w:val="baseline"/>
                <w:lang w:val="en-US" w:eastAsia="zh-CN"/>
              </w:rPr>
              <w:t>3</w:t>
            </w:r>
            <w:r>
              <w:rPr>
                <w:rFonts w:hint="default"/>
                <w:color w:val="auto"/>
                <w:sz w:val="24"/>
                <w:szCs w:val="24"/>
                <w:highlight w:val="none"/>
                <w:vertAlign w:val="baseline"/>
                <w:lang w:val="en-US" w:eastAsia="zh-CN"/>
              </w:rPr>
              <w:t>个工作日内完成验收，验收完成之日起</w:t>
            </w:r>
            <w:r>
              <w:rPr>
                <w:rFonts w:hint="eastAsia"/>
                <w:color w:val="auto"/>
                <w:sz w:val="24"/>
                <w:szCs w:val="24"/>
                <w:highlight w:val="none"/>
                <w:vertAlign w:val="baseline"/>
                <w:lang w:val="en-US" w:eastAsia="zh-CN"/>
              </w:rPr>
              <w:t>2</w:t>
            </w:r>
            <w:r>
              <w:rPr>
                <w:rFonts w:hint="default"/>
                <w:color w:val="auto"/>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color w:val="auto"/>
                <w:sz w:val="24"/>
                <w:szCs w:val="24"/>
                <w:highlight w:val="none"/>
                <w:vertAlign w:val="baseline"/>
                <w:lang w:val="en-US" w:eastAsia="zh-CN"/>
              </w:rPr>
            </w:pPr>
          </w:p>
          <w:p w14:paraId="254CE4FE">
            <w:pPr>
              <w:widowControl w:val="0"/>
              <w:ind w:firstLine="480" w:firstLineChars="200"/>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color w:val="auto"/>
                <w:sz w:val="24"/>
                <w:szCs w:val="24"/>
                <w:highlight w:val="none"/>
                <w:vertAlign w:val="baseline"/>
                <w:lang w:val="en-US" w:eastAsia="zh-CN"/>
              </w:rPr>
              <w:t>2</w:t>
            </w:r>
            <w:r>
              <w:rPr>
                <w:rFonts w:hint="default"/>
                <w:color w:val="auto"/>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color w:val="auto"/>
                <w:sz w:val="24"/>
                <w:szCs w:val="24"/>
                <w:highlight w:val="none"/>
                <w:vertAlign w:val="baseline"/>
                <w:lang w:val="en-US" w:eastAsia="zh-CN"/>
              </w:rPr>
            </w:pPr>
          </w:p>
          <w:p w14:paraId="32DC10D6">
            <w:pPr>
              <w:widowControl w:val="0"/>
              <w:jc w:val="center"/>
              <w:rPr>
                <w:rFonts w:hint="eastAsia"/>
                <w:color w:val="auto"/>
                <w:sz w:val="24"/>
                <w:szCs w:val="24"/>
                <w:highlight w:val="none"/>
                <w:vertAlign w:val="baseline"/>
                <w:lang w:val="en-US" w:eastAsia="zh-CN"/>
              </w:rPr>
            </w:pPr>
          </w:p>
          <w:p w14:paraId="64240244">
            <w:pPr>
              <w:widowControl w:val="0"/>
              <w:jc w:val="center"/>
              <w:rPr>
                <w:rFonts w:hint="eastAsia"/>
                <w:color w:val="auto"/>
                <w:sz w:val="24"/>
                <w:szCs w:val="24"/>
                <w:highlight w:val="none"/>
                <w:vertAlign w:val="baseline"/>
                <w:lang w:val="en-US" w:eastAsia="zh-CN"/>
              </w:rPr>
            </w:pPr>
          </w:p>
          <w:p w14:paraId="3DE78AE8">
            <w:pPr>
              <w:widowControl w:val="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资金支付</w:t>
            </w:r>
          </w:p>
        </w:tc>
        <w:tc>
          <w:tcPr>
            <w:tcW w:w="2237" w:type="dxa"/>
          </w:tcPr>
          <w:p w14:paraId="0F35E306">
            <w:pPr>
              <w:widowControl w:val="0"/>
              <w:ind w:firstLine="480" w:firstLineChars="200"/>
              <w:rPr>
                <w:rFonts w:hint="default"/>
                <w:color w:val="auto"/>
                <w:sz w:val="24"/>
                <w:szCs w:val="24"/>
                <w:highlight w:val="none"/>
                <w:vertAlign w:val="baseline"/>
                <w:lang w:val="en-US" w:eastAsia="zh-CN"/>
              </w:rPr>
            </w:pPr>
          </w:p>
          <w:p w14:paraId="3E12313B">
            <w:pPr>
              <w:widowControl w:val="0"/>
              <w:ind w:firstLine="480" w:firstLineChars="200"/>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验收合格具备付款条件的项目， 采购人应在</w:t>
            </w:r>
            <w:r>
              <w:rPr>
                <w:rFonts w:hint="eastAsia"/>
                <w:color w:val="auto"/>
                <w:sz w:val="24"/>
                <w:szCs w:val="24"/>
                <w:highlight w:val="none"/>
                <w:vertAlign w:val="baseline"/>
                <w:lang w:val="en-US" w:eastAsia="zh-CN"/>
              </w:rPr>
              <w:t>3</w:t>
            </w:r>
            <w:r>
              <w:rPr>
                <w:rFonts w:hint="default"/>
                <w:color w:val="auto"/>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color w:val="auto"/>
                <w:sz w:val="24"/>
                <w:szCs w:val="24"/>
                <w:highlight w:val="none"/>
                <w:vertAlign w:val="baseline"/>
                <w:lang w:val="en-US" w:eastAsia="zh-CN"/>
              </w:rPr>
            </w:pPr>
          </w:p>
          <w:p w14:paraId="68C5BF58">
            <w:pPr>
              <w:widowControl w:val="0"/>
              <w:ind w:firstLine="480" w:firstLineChars="200"/>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color w:val="auto"/>
          <w:sz w:val="24"/>
          <w:szCs w:val="24"/>
          <w:highlight w:val="none"/>
          <w:lang w:val="en-US" w:eastAsia="zh-CN"/>
        </w:rPr>
      </w:pPr>
    </w:p>
    <w:p w14:paraId="26D0B260">
      <w:pPr>
        <w:ind w:firstLine="240" w:firstLineChars="100"/>
        <w:jc w:val="left"/>
        <w:rPr>
          <w:rFonts w:hint="default"/>
          <w:color w:val="auto"/>
          <w:sz w:val="24"/>
          <w:szCs w:val="32"/>
          <w:highlight w:val="none"/>
          <w:lang w:val="en-US" w:eastAsia="zh-CN"/>
        </w:rPr>
      </w:pPr>
    </w:p>
    <w:p w14:paraId="0CB7E5C4">
      <w:pPr>
        <w:jc w:val="right"/>
        <w:rPr>
          <w:rFonts w:hint="eastAsia"/>
          <w:color w:val="auto"/>
          <w:sz w:val="24"/>
          <w:szCs w:val="24"/>
          <w:highlight w:val="none"/>
          <w:lang w:val="en-US" w:eastAsia="zh-CN"/>
        </w:rPr>
      </w:pPr>
      <w:r>
        <w:rPr>
          <w:rFonts w:hint="eastAsia"/>
          <w:color w:val="auto"/>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bookmarkEnd w:id="127"/>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1"/>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1"/>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1"/>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FEF98"/>
    <w:multiLevelType w:val="singleLevel"/>
    <w:tmpl w:val="856FEF98"/>
    <w:lvl w:ilvl="0" w:tentative="0">
      <w:start w:val="2"/>
      <w:numFmt w:val="decimal"/>
      <w:lvlText w:val="%1."/>
      <w:lvlJc w:val="left"/>
      <w:pPr>
        <w:tabs>
          <w:tab w:val="left" w:pos="312"/>
        </w:tabs>
      </w:pPr>
    </w:lvl>
  </w:abstractNum>
  <w:abstractNum w:abstractNumId="1">
    <w:nsid w:val="A5F2A27C"/>
    <w:multiLevelType w:val="singleLevel"/>
    <w:tmpl w:val="A5F2A27C"/>
    <w:lvl w:ilvl="0" w:tentative="0">
      <w:start w:val="1"/>
      <w:numFmt w:val="decimal"/>
      <w:lvlText w:val="%1."/>
      <w:lvlJc w:val="left"/>
      <w:pPr>
        <w:tabs>
          <w:tab w:val="left" w:pos="312"/>
        </w:tabs>
      </w:pPr>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abstractNum w:abstractNumId="3">
    <w:nsid w:val="110790C5"/>
    <w:multiLevelType w:val="singleLevel"/>
    <w:tmpl w:val="110790C5"/>
    <w:lvl w:ilvl="0" w:tentative="0">
      <w:start w:val="1"/>
      <w:numFmt w:val="decimal"/>
      <w:suff w:val="nothing"/>
      <w:lvlText w:val="%1、"/>
      <w:lvlJc w:val="left"/>
      <w:pPr>
        <w:ind w:left="-210"/>
      </w:pPr>
    </w:lvl>
  </w:abstractNum>
  <w:abstractNum w:abstractNumId="4">
    <w:nsid w:val="466F3EF9"/>
    <w:multiLevelType w:val="singleLevel"/>
    <w:tmpl w:val="466F3EF9"/>
    <w:lvl w:ilvl="0" w:tentative="0">
      <w:start w:val="1"/>
      <w:numFmt w:val="decimal"/>
      <w:lvlText w:val="%1."/>
      <w:lvlJc w:val="left"/>
      <w:pPr>
        <w:tabs>
          <w:tab w:val="left" w:pos="312"/>
        </w:tabs>
      </w:pPr>
    </w:lvl>
  </w:abstractNum>
  <w:abstractNum w:abstractNumId="5">
    <w:nsid w:val="6152E999"/>
    <w:multiLevelType w:val="singleLevel"/>
    <w:tmpl w:val="6152E999"/>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87167F"/>
    <w:rsid w:val="00E60A9C"/>
    <w:rsid w:val="00F93B85"/>
    <w:rsid w:val="01A324E9"/>
    <w:rsid w:val="01AE15BA"/>
    <w:rsid w:val="01E52B01"/>
    <w:rsid w:val="02290C40"/>
    <w:rsid w:val="024141DC"/>
    <w:rsid w:val="0281282A"/>
    <w:rsid w:val="02980B47"/>
    <w:rsid w:val="02B84AD7"/>
    <w:rsid w:val="0304627B"/>
    <w:rsid w:val="0313167D"/>
    <w:rsid w:val="032D29B2"/>
    <w:rsid w:val="03B63E3A"/>
    <w:rsid w:val="03F005BF"/>
    <w:rsid w:val="049308F0"/>
    <w:rsid w:val="05704DD8"/>
    <w:rsid w:val="05BF5DDB"/>
    <w:rsid w:val="05C82C12"/>
    <w:rsid w:val="05D714B4"/>
    <w:rsid w:val="064B2778"/>
    <w:rsid w:val="06731CDB"/>
    <w:rsid w:val="06BD7DF4"/>
    <w:rsid w:val="06E4782C"/>
    <w:rsid w:val="07387EAF"/>
    <w:rsid w:val="073F4A62"/>
    <w:rsid w:val="074F4D2D"/>
    <w:rsid w:val="075C29D8"/>
    <w:rsid w:val="07654CC1"/>
    <w:rsid w:val="07660F14"/>
    <w:rsid w:val="07D319FD"/>
    <w:rsid w:val="08114650"/>
    <w:rsid w:val="08246E93"/>
    <w:rsid w:val="08261B3B"/>
    <w:rsid w:val="084C47B3"/>
    <w:rsid w:val="08743EB7"/>
    <w:rsid w:val="087D3A94"/>
    <w:rsid w:val="08896F10"/>
    <w:rsid w:val="08D712A1"/>
    <w:rsid w:val="08DF64FD"/>
    <w:rsid w:val="092D54BA"/>
    <w:rsid w:val="094F235C"/>
    <w:rsid w:val="095962AF"/>
    <w:rsid w:val="098A46BA"/>
    <w:rsid w:val="098F0954"/>
    <w:rsid w:val="09A960A9"/>
    <w:rsid w:val="0A2175C7"/>
    <w:rsid w:val="0A397E8E"/>
    <w:rsid w:val="0A4E3858"/>
    <w:rsid w:val="0A530F50"/>
    <w:rsid w:val="0ABE2B63"/>
    <w:rsid w:val="0AC0410C"/>
    <w:rsid w:val="0ADC6029"/>
    <w:rsid w:val="0B2E509D"/>
    <w:rsid w:val="0BA457DB"/>
    <w:rsid w:val="0BB134AE"/>
    <w:rsid w:val="0BFC6D02"/>
    <w:rsid w:val="0C272EF4"/>
    <w:rsid w:val="0C450913"/>
    <w:rsid w:val="0C9037D2"/>
    <w:rsid w:val="0CE85EBA"/>
    <w:rsid w:val="0CF167FE"/>
    <w:rsid w:val="0CF307C8"/>
    <w:rsid w:val="0D533015"/>
    <w:rsid w:val="0D701E19"/>
    <w:rsid w:val="0D894C89"/>
    <w:rsid w:val="0DC61A39"/>
    <w:rsid w:val="0DD759F4"/>
    <w:rsid w:val="0E3E7CBD"/>
    <w:rsid w:val="0EB14497"/>
    <w:rsid w:val="0EC03DD0"/>
    <w:rsid w:val="0EE83C0B"/>
    <w:rsid w:val="0F130CAE"/>
    <w:rsid w:val="0F306297"/>
    <w:rsid w:val="0F643ECF"/>
    <w:rsid w:val="0F6A5151"/>
    <w:rsid w:val="0FE42AE8"/>
    <w:rsid w:val="0FF95996"/>
    <w:rsid w:val="0FFF7484"/>
    <w:rsid w:val="10832DEB"/>
    <w:rsid w:val="10AA5642"/>
    <w:rsid w:val="11E54B27"/>
    <w:rsid w:val="11F10D0E"/>
    <w:rsid w:val="12372F05"/>
    <w:rsid w:val="12391B44"/>
    <w:rsid w:val="123F1DBA"/>
    <w:rsid w:val="12623EFE"/>
    <w:rsid w:val="126D4444"/>
    <w:rsid w:val="132C233E"/>
    <w:rsid w:val="13504EE3"/>
    <w:rsid w:val="135E4018"/>
    <w:rsid w:val="13824654"/>
    <w:rsid w:val="13D1738A"/>
    <w:rsid w:val="13D318D3"/>
    <w:rsid w:val="14184102"/>
    <w:rsid w:val="142851FC"/>
    <w:rsid w:val="143516C6"/>
    <w:rsid w:val="14641FAC"/>
    <w:rsid w:val="146A4EE4"/>
    <w:rsid w:val="147A2410"/>
    <w:rsid w:val="14891A12"/>
    <w:rsid w:val="14A625C4"/>
    <w:rsid w:val="14B05372"/>
    <w:rsid w:val="14D64C58"/>
    <w:rsid w:val="156F62EF"/>
    <w:rsid w:val="15BB5765"/>
    <w:rsid w:val="15C27640"/>
    <w:rsid w:val="15D373E9"/>
    <w:rsid w:val="15FB249C"/>
    <w:rsid w:val="15FC3460"/>
    <w:rsid w:val="16534914"/>
    <w:rsid w:val="16652BDF"/>
    <w:rsid w:val="16655340"/>
    <w:rsid w:val="16882EF5"/>
    <w:rsid w:val="16BC673F"/>
    <w:rsid w:val="16E6314C"/>
    <w:rsid w:val="16FD3ABE"/>
    <w:rsid w:val="16FF3AA5"/>
    <w:rsid w:val="172F0E42"/>
    <w:rsid w:val="17AD29C7"/>
    <w:rsid w:val="17CE60BA"/>
    <w:rsid w:val="18A70F80"/>
    <w:rsid w:val="196A0814"/>
    <w:rsid w:val="19EA7F0C"/>
    <w:rsid w:val="1A420699"/>
    <w:rsid w:val="1A4A57A0"/>
    <w:rsid w:val="1B1E2EB4"/>
    <w:rsid w:val="1B4346C9"/>
    <w:rsid w:val="1B4E29D7"/>
    <w:rsid w:val="1B526017"/>
    <w:rsid w:val="1B723200"/>
    <w:rsid w:val="1BD4716C"/>
    <w:rsid w:val="1BFF6021"/>
    <w:rsid w:val="1C587110"/>
    <w:rsid w:val="1C755A82"/>
    <w:rsid w:val="1C8E7BC6"/>
    <w:rsid w:val="1CC05665"/>
    <w:rsid w:val="1CED6FE2"/>
    <w:rsid w:val="1D2A5785"/>
    <w:rsid w:val="1D7F2147"/>
    <w:rsid w:val="1D941A61"/>
    <w:rsid w:val="1D996CC8"/>
    <w:rsid w:val="1DA01659"/>
    <w:rsid w:val="1DD12460"/>
    <w:rsid w:val="1DDE748B"/>
    <w:rsid w:val="1E6454A8"/>
    <w:rsid w:val="1EA4226D"/>
    <w:rsid w:val="1EDA3596"/>
    <w:rsid w:val="1EF83A1C"/>
    <w:rsid w:val="1F114ADE"/>
    <w:rsid w:val="1F69491A"/>
    <w:rsid w:val="1F6966C8"/>
    <w:rsid w:val="1FCD677B"/>
    <w:rsid w:val="1FCF1E87"/>
    <w:rsid w:val="20133F01"/>
    <w:rsid w:val="20895274"/>
    <w:rsid w:val="208E4164"/>
    <w:rsid w:val="212C3E51"/>
    <w:rsid w:val="214178FD"/>
    <w:rsid w:val="215B0293"/>
    <w:rsid w:val="2188552B"/>
    <w:rsid w:val="21A07893"/>
    <w:rsid w:val="222F7857"/>
    <w:rsid w:val="22673393"/>
    <w:rsid w:val="22983928"/>
    <w:rsid w:val="22EE13BE"/>
    <w:rsid w:val="234B6811"/>
    <w:rsid w:val="23554AEF"/>
    <w:rsid w:val="23645F64"/>
    <w:rsid w:val="23B658A6"/>
    <w:rsid w:val="23B92379"/>
    <w:rsid w:val="23D24BDB"/>
    <w:rsid w:val="23F5677C"/>
    <w:rsid w:val="23FB5E39"/>
    <w:rsid w:val="241A61E3"/>
    <w:rsid w:val="244A2A1D"/>
    <w:rsid w:val="2488340F"/>
    <w:rsid w:val="24F84776"/>
    <w:rsid w:val="251F3917"/>
    <w:rsid w:val="252A2082"/>
    <w:rsid w:val="2564491D"/>
    <w:rsid w:val="25893620"/>
    <w:rsid w:val="25B83A87"/>
    <w:rsid w:val="260E1D77"/>
    <w:rsid w:val="266463E7"/>
    <w:rsid w:val="26E9311B"/>
    <w:rsid w:val="26F31699"/>
    <w:rsid w:val="27C93253"/>
    <w:rsid w:val="28032F0B"/>
    <w:rsid w:val="286A2E67"/>
    <w:rsid w:val="28706D19"/>
    <w:rsid w:val="290B2C18"/>
    <w:rsid w:val="29304623"/>
    <w:rsid w:val="29413AEE"/>
    <w:rsid w:val="296868E7"/>
    <w:rsid w:val="29A44ECD"/>
    <w:rsid w:val="29F800B9"/>
    <w:rsid w:val="2A1C7CF7"/>
    <w:rsid w:val="2A3D0E7D"/>
    <w:rsid w:val="2A4842BE"/>
    <w:rsid w:val="2A924A38"/>
    <w:rsid w:val="2AB13D32"/>
    <w:rsid w:val="2AC05D36"/>
    <w:rsid w:val="2ADC41F2"/>
    <w:rsid w:val="2AE32E31"/>
    <w:rsid w:val="2B0F6376"/>
    <w:rsid w:val="2BDD46C6"/>
    <w:rsid w:val="2C255C52"/>
    <w:rsid w:val="2C546920"/>
    <w:rsid w:val="2C730B86"/>
    <w:rsid w:val="2C7A0167"/>
    <w:rsid w:val="2CD208B5"/>
    <w:rsid w:val="2D1E59F5"/>
    <w:rsid w:val="2D4824EE"/>
    <w:rsid w:val="2E48683F"/>
    <w:rsid w:val="2E584CD9"/>
    <w:rsid w:val="2E6C7ED8"/>
    <w:rsid w:val="2E8C4181"/>
    <w:rsid w:val="2E8D537C"/>
    <w:rsid w:val="2EA57FA1"/>
    <w:rsid w:val="2EC92CDF"/>
    <w:rsid w:val="2ED342D1"/>
    <w:rsid w:val="2EF243BC"/>
    <w:rsid w:val="2F5630E4"/>
    <w:rsid w:val="2F7178DE"/>
    <w:rsid w:val="2F7E3ACA"/>
    <w:rsid w:val="2FB87F35"/>
    <w:rsid w:val="2FF52F52"/>
    <w:rsid w:val="30161F54"/>
    <w:rsid w:val="305B3E0B"/>
    <w:rsid w:val="30EF0857"/>
    <w:rsid w:val="31313EB9"/>
    <w:rsid w:val="3140197F"/>
    <w:rsid w:val="316E7B6E"/>
    <w:rsid w:val="318D2D70"/>
    <w:rsid w:val="31E05F1C"/>
    <w:rsid w:val="320C16C0"/>
    <w:rsid w:val="32331620"/>
    <w:rsid w:val="32672625"/>
    <w:rsid w:val="32831B16"/>
    <w:rsid w:val="329B61C3"/>
    <w:rsid w:val="32F6583E"/>
    <w:rsid w:val="333A48FA"/>
    <w:rsid w:val="334A1323"/>
    <w:rsid w:val="338B608A"/>
    <w:rsid w:val="338C4E79"/>
    <w:rsid w:val="33D862C4"/>
    <w:rsid w:val="33D92F7A"/>
    <w:rsid w:val="33F64577"/>
    <w:rsid w:val="340824FC"/>
    <w:rsid w:val="34605E94"/>
    <w:rsid w:val="34724980"/>
    <w:rsid w:val="34796F56"/>
    <w:rsid w:val="34B2130C"/>
    <w:rsid w:val="34B86087"/>
    <w:rsid w:val="350E12EA"/>
    <w:rsid w:val="354173ED"/>
    <w:rsid w:val="35992C99"/>
    <w:rsid w:val="35C44201"/>
    <w:rsid w:val="35E13004"/>
    <w:rsid w:val="360F3354"/>
    <w:rsid w:val="36486409"/>
    <w:rsid w:val="367C4ADB"/>
    <w:rsid w:val="3685264F"/>
    <w:rsid w:val="36A4650C"/>
    <w:rsid w:val="37533A8E"/>
    <w:rsid w:val="377A101B"/>
    <w:rsid w:val="37BD0585"/>
    <w:rsid w:val="37CA6352"/>
    <w:rsid w:val="380C3D81"/>
    <w:rsid w:val="38533A18"/>
    <w:rsid w:val="38B814EC"/>
    <w:rsid w:val="38C74734"/>
    <w:rsid w:val="395D6E46"/>
    <w:rsid w:val="396226AE"/>
    <w:rsid w:val="3A1149CC"/>
    <w:rsid w:val="3AB636DD"/>
    <w:rsid w:val="3AB900AC"/>
    <w:rsid w:val="3B223EA3"/>
    <w:rsid w:val="3B4C0F20"/>
    <w:rsid w:val="3B660F16"/>
    <w:rsid w:val="3B8B7C9A"/>
    <w:rsid w:val="3B9164D6"/>
    <w:rsid w:val="3BAF7174"/>
    <w:rsid w:val="3CB8706B"/>
    <w:rsid w:val="3CF52D1A"/>
    <w:rsid w:val="3D16230C"/>
    <w:rsid w:val="3D660BE0"/>
    <w:rsid w:val="3D96660D"/>
    <w:rsid w:val="3DBA03C3"/>
    <w:rsid w:val="3DCB60EE"/>
    <w:rsid w:val="3E0B0C1F"/>
    <w:rsid w:val="3E3A2B95"/>
    <w:rsid w:val="3EB07A18"/>
    <w:rsid w:val="3EB41E07"/>
    <w:rsid w:val="3ED74FA5"/>
    <w:rsid w:val="3F1271D0"/>
    <w:rsid w:val="3F9763A8"/>
    <w:rsid w:val="407C4056"/>
    <w:rsid w:val="40A430BB"/>
    <w:rsid w:val="410858E9"/>
    <w:rsid w:val="41314E40"/>
    <w:rsid w:val="41354204"/>
    <w:rsid w:val="41F66AB4"/>
    <w:rsid w:val="43016A94"/>
    <w:rsid w:val="43A721F6"/>
    <w:rsid w:val="43D372D6"/>
    <w:rsid w:val="440529C7"/>
    <w:rsid w:val="445048FA"/>
    <w:rsid w:val="4464552C"/>
    <w:rsid w:val="44A26055"/>
    <w:rsid w:val="44B74AB0"/>
    <w:rsid w:val="44C27AD5"/>
    <w:rsid w:val="44FB7243"/>
    <w:rsid w:val="45034D45"/>
    <w:rsid w:val="45300AE7"/>
    <w:rsid w:val="455C26A8"/>
    <w:rsid w:val="463F4C16"/>
    <w:rsid w:val="46492C2C"/>
    <w:rsid w:val="46512BEC"/>
    <w:rsid w:val="46832AB5"/>
    <w:rsid w:val="46942B8F"/>
    <w:rsid w:val="46A20D0C"/>
    <w:rsid w:val="46B1432D"/>
    <w:rsid w:val="47717886"/>
    <w:rsid w:val="47820EA5"/>
    <w:rsid w:val="480A0199"/>
    <w:rsid w:val="48435459"/>
    <w:rsid w:val="48785837"/>
    <w:rsid w:val="489F6B33"/>
    <w:rsid w:val="49033089"/>
    <w:rsid w:val="497C0C22"/>
    <w:rsid w:val="498A3D49"/>
    <w:rsid w:val="49D62A28"/>
    <w:rsid w:val="49D722FD"/>
    <w:rsid w:val="4A122688"/>
    <w:rsid w:val="4ACA3C0F"/>
    <w:rsid w:val="4AE4014A"/>
    <w:rsid w:val="4B321EE0"/>
    <w:rsid w:val="4B515E20"/>
    <w:rsid w:val="4B743FB4"/>
    <w:rsid w:val="4B7B2DFC"/>
    <w:rsid w:val="4BBB7B8C"/>
    <w:rsid w:val="4C602A7D"/>
    <w:rsid w:val="4C806C7C"/>
    <w:rsid w:val="4C9425BB"/>
    <w:rsid w:val="4CB97E79"/>
    <w:rsid w:val="4CBA2C7D"/>
    <w:rsid w:val="4CC748AA"/>
    <w:rsid w:val="4CF96E9F"/>
    <w:rsid w:val="4D2770F7"/>
    <w:rsid w:val="4D2B3DA6"/>
    <w:rsid w:val="4D422183"/>
    <w:rsid w:val="4DC94652"/>
    <w:rsid w:val="4E0C4B21"/>
    <w:rsid w:val="4E467A51"/>
    <w:rsid w:val="4E5C03B2"/>
    <w:rsid w:val="4E9E163B"/>
    <w:rsid w:val="4EC15329"/>
    <w:rsid w:val="4EF617CF"/>
    <w:rsid w:val="4F053468"/>
    <w:rsid w:val="4F2935FA"/>
    <w:rsid w:val="4F8922EB"/>
    <w:rsid w:val="4FA36E2B"/>
    <w:rsid w:val="4FA5088A"/>
    <w:rsid w:val="50345DD3"/>
    <w:rsid w:val="50A56CB1"/>
    <w:rsid w:val="50CD1D3A"/>
    <w:rsid w:val="50D92DFE"/>
    <w:rsid w:val="50DF62FA"/>
    <w:rsid w:val="514E7348"/>
    <w:rsid w:val="51943136"/>
    <w:rsid w:val="51C92E73"/>
    <w:rsid w:val="51E101BC"/>
    <w:rsid w:val="522B768A"/>
    <w:rsid w:val="527903F5"/>
    <w:rsid w:val="527C6C82"/>
    <w:rsid w:val="528079D5"/>
    <w:rsid w:val="53004672"/>
    <w:rsid w:val="53277E51"/>
    <w:rsid w:val="538452A3"/>
    <w:rsid w:val="54AA0D3A"/>
    <w:rsid w:val="54CE266B"/>
    <w:rsid w:val="554A067A"/>
    <w:rsid w:val="557C1FAA"/>
    <w:rsid w:val="55B55BE8"/>
    <w:rsid w:val="55EE2EA8"/>
    <w:rsid w:val="56090B56"/>
    <w:rsid w:val="562B2D19"/>
    <w:rsid w:val="565B336A"/>
    <w:rsid w:val="566F2249"/>
    <w:rsid w:val="56C72EAD"/>
    <w:rsid w:val="571C70F4"/>
    <w:rsid w:val="572F3BCF"/>
    <w:rsid w:val="57716714"/>
    <w:rsid w:val="578C1E3F"/>
    <w:rsid w:val="57FD3876"/>
    <w:rsid w:val="57FD40DE"/>
    <w:rsid w:val="58122B18"/>
    <w:rsid w:val="582157B7"/>
    <w:rsid w:val="583737A8"/>
    <w:rsid w:val="584A5D0C"/>
    <w:rsid w:val="586A64C1"/>
    <w:rsid w:val="591A29EC"/>
    <w:rsid w:val="591C7D2C"/>
    <w:rsid w:val="59791FCF"/>
    <w:rsid w:val="59C70462"/>
    <w:rsid w:val="59F45FB0"/>
    <w:rsid w:val="5A246C8E"/>
    <w:rsid w:val="5A2C3F9F"/>
    <w:rsid w:val="5A715E56"/>
    <w:rsid w:val="5A723E3D"/>
    <w:rsid w:val="5AB67D0C"/>
    <w:rsid w:val="5B942EAB"/>
    <w:rsid w:val="5BFB1656"/>
    <w:rsid w:val="5C4A2E02"/>
    <w:rsid w:val="5C5F6583"/>
    <w:rsid w:val="5C805C3A"/>
    <w:rsid w:val="5CE172C2"/>
    <w:rsid w:val="5CED210B"/>
    <w:rsid w:val="5D036E6E"/>
    <w:rsid w:val="5D1818CA"/>
    <w:rsid w:val="5D186A5C"/>
    <w:rsid w:val="5D415FB3"/>
    <w:rsid w:val="5DD33159"/>
    <w:rsid w:val="5E401EE1"/>
    <w:rsid w:val="5E862024"/>
    <w:rsid w:val="5F1C0A86"/>
    <w:rsid w:val="5F223BC2"/>
    <w:rsid w:val="5F265461"/>
    <w:rsid w:val="5F9A60AB"/>
    <w:rsid w:val="5FA840ED"/>
    <w:rsid w:val="5FAB4C02"/>
    <w:rsid w:val="5FE54AEF"/>
    <w:rsid w:val="5FE62E42"/>
    <w:rsid w:val="5FF150C3"/>
    <w:rsid w:val="604F0C94"/>
    <w:rsid w:val="607641C6"/>
    <w:rsid w:val="60811390"/>
    <w:rsid w:val="60AA5CA4"/>
    <w:rsid w:val="60E905BC"/>
    <w:rsid w:val="611C486A"/>
    <w:rsid w:val="611D0AE5"/>
    <w:rsid w:val="612C3317"/>
    <w:rsid w:val="613320B7"/>
    <w:rsid w:val="618C1687"/>
    <w:rsid w:val="61D92C5E"/>
    <w:rsid w:val="626A7D5A"/>
    <w:rsid w:val="62F15D85"/>
    <w:rsid w:val="63901A42"/>
    <w:rsid w:val="639037F0"/>
    <w:rsid w:val="63BC45E5"/>
    <w:rsid w:val="63CB0B68"/>
    <w:rsid w:val="63CB6D8C"/>
    <w:rsid w:val="63D00091"/>
    <w:rsid w:val="63D062E3"/>
    <w:rsid w:val="645651A5"/>
    <w:rsid w:val="64754794"/>
    <w:rsid w:val="647924D6"/>
    <w:rsid w:val="648F1CFA"/>
    <w:rsid w:val="64B4350F"/>
    <w:rsid w:val="64C17C5F"/>
    <w:rsid w:val="64E32222"/>
    <w:rsid w:val="660C0310"/>
    <w:rsid w:val="66F81DD8"/>
    <w:rsid w:val="674A54CB"/>
    <w:rsid w:val="67503E05"/>
    <w:rsid w:val="675A15D5"/>
    <w:rsid w:val="679B09B6"/>
    <w:rsid w:val="67B633EB"/>
    <w:rsid w:val="6804655B"/>
    <w:rsid w:val="68740EAF"/>
    <w:rsid w:val="691A37DC"/>
    <w:rsid w:val="695F7E2D"/>
    <w:rsid w:val="69D02B99"/>
    <w:rsid w:val="69D624A8"/>
    <w:rsid w:val="69DF0ECC"/>
    <w:rsid w:val="6A443604"/>
    <w:rsid w:val="6A815C41"/>
    <w:rsid w:val="6ACC2E0B"/>
    <w:rsid w:val="6ADC798F"/>
    <w:rsid w:val="6ADF0295"/>
    <w:rsid w:val="6B3B245C"/>
    <w:rsid w:val="6B6B37C9"/>
    <w:rsid w:val="6B9B0F84"/>
    <w:rsid w:val="6B9F656F"/>
    <w:rsid w:val="6BA77929"/>
    <w:rsid w:val="6BCB3384"/>
    <w:rsid w:val="6CAB0B4B"/>
    <w:rsid w:val="6CF03552"/>
    <w:rsid w:val="6D1F7993"/>
    <w:rsid w:val="6DAF0580"/>
    <w:rsid w:val="6DD02520"/>
    <w:rsid w:val="6DE17F47"/>
    <w:rsid w:val="6E1128F7"/>
    <w:rsid w:val="6E6B7F83"/>
    <w:rsid w:val="6ED02582"/>
    <w:rsid w:val="6EE2110B"/>
    <w:rsid w:val="70090BB2"/>
    <w:rsid w:val="70264EEF"/>
    <w:rsid w:val="70411D13"/>
    <w:rsid w:val="70491416"/>
    <w:rsid w:val="70C1148D"/>
    <w:rsid w:val="713C6D66"/>
    <w:rsid w:val="716562BC"/>
    <w:rsid w:val="718B602C"/>
    <w:rsid w:val="71B52674"/>
    <w:rsid w:val="7222612A"/>
    <w:rsid w:val="722A439F"/>
    <w:rsid w:val="724335AB"/>
    <w:rsid w:val="727D45B0"/>
    <w:rsid w:val="727F5D14"/>
    <w:rsid w:val="72EE408F"/>
    <w:rsid w:val="730218E9"/>
    <w:rsid w:val="734939BC"/>
    <w:rsid w:val="73571C35"/>
    <w:rsid w:val="74143D3D"/>
    <w:rsid w:val="74267540"/>
    <w:rsid w:val="74512B28"/>
    <w:rsid w:val="74604500"/>
    <w:rsid w:val="74A90F89"/>
    <w:rsid w:val="750546EE"/>
    <w:rsid w:val="75427F45"/>
    <w:rsid w:val="7571756C"/>
    <w:rsid w:val="75CE5F39"/>
    <w:rsid w:val="75D14180"/>
    <w:rsid w:val="75F75951"/>
    <w:rsid w:val="76102BC1"/>
    <w:rsid w:val="766F3739"/>
    <w:rsid w:val="768D73E4"/>
    <w:rsid w:val="77276D96"/>
    <w:rsid w:val="773A3D47"/>
    <w:rsid w:val="778B45A3"/>
    <w:rsid w:val="77AC443F"/>
    <w:rsid w:val="781372C0"/>
    <w:rsid w:val="786749F3"/>
    <w:rsid w:val="78C35701"/>
    <w:rsid w:val="78C63566"/>
    <w:rsid w:val="78D02F76"/>
    <w:rsid w:val="78F607B2"/>
    <w:rsid w:val="795C61F7"/>
    <w:rsid w:val="79A15AC2"/>
    <w:rsid w:val="79FB6876"/>
    <w:rsid w:val="79FD2C10"/>
    <w:rsid w:val="7A3F4AFC"/>
    <w:rsid w:val="7A831F22"/>
    <w:rsid w:val="7B25086A"/>
    <w:rsid w:val="7B2E771F"/>
    <w:rsid w:val="7B4F3823"/>
    <w:rsid w:val="7B890DF9"/>
    <w:rsid w:val="7BC65611"/>
    <w:rsid w:val="7BD76009"/>
    <w:rsid w:val="7C2C76E7"/>
    <w:rsid w:val="7C324FED"/>
    <w:rsid w:val="7C6559F4"/>
    <w:rsid w:val="7C9B7203"/>
    <w:rsid w:val="7CDC31AB"/>
    <w:rsid w:val="7CE00EED"/>
    <w:rsid w:val="7D010F82"/>
    <w:rsid w:val="7DAB214F"/>
    <w:rsid w:val="7DC72F71"/>
    <w:rsid w:val="7DCA74A7"/>
    <w:rsid w:val="7E357BE9"/>
    <w:rsid w:val="7E521976"/>
    <w:rsid w:val="7E9B156F"/>
    <w:rsid w:val="7EDC1B88"/>
    <w:rsid w:val="7EFC18E2"/>
    <w:rsid w:val="7F5009DE"/>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3"/>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Default"/>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8">
    <w:name w:val="Body Text Indent"/>
    <w:basedOn w:val="1"/>
    <w:next w:val="9"/>
    <w:autoRedefine/>
    <w:qFormat/>
    <w:uiPriority w:val="0"/>
    <w:pPr>
      <w:tabs>
        <w:tab w:val="left" w:pos="0"/>
      </w:tabs>
      <w:ind w:firstLine="538" w:firstLineChars="192"/>
    </w:pPr>
    <w:rPr>
      <w:rFonts w:ascii="Tahoma" w:hAnsi="Tahoma"/>
      <w:kern w:val="2"/>
      <w:sz w:val="28"/>
      <w:szCs w:val="24"/>
    </w:rPr>
  </w:style>
  <w:style w:type="paragraph" w:styleId="9">
    <w:name w:val="envelope return"/>
    <w:basedOn w:val="1"/>
    <w:qFormat/>
    <w:uiPriority w:val="0"/>
    <w:pPr>
      <w:snapToGrid w:val="0"/>
    </w:pPr>
    <w:rPr>
      <w:rFonts w:ascii="Arial" w:hAnsi="Arial"/>
    </w:rPr>
  </w:style>
  <w:style w:type="paragraph" w:styleId="10">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1">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3">
    <w:name w:val="Body Text 2"/>
    <w:basedOn w:val="1"/>
    <w:autoRedefine/>
    <w:qFormat/>
    <w:uiPriority w:val="0"/>
    <w:pPr>
      <w:spacing w:after="120" w:line="480" w:lineRule="auto"/>
    </w:p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16">
    <w:name w:val="Body Text First Indent"/>
    <w:basedOn w:val="6"/>
    <w:next w:val="17"/>
    <w:qFormat/>
    <w:uiPriority w:val="0"/>
    <w:pPr>
      <w:ind w:firstLine="420" w:firstLineChars="100"/>
    </w:pPr>
  </w:style>
  <w:style w:type="paragraph" w:styleId="17">
    <w:name w:val="Body Text First Indent 2"/>
    <w:basedOn w:val="8"/>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rPr>
  </w:style>
  <w:style w:type="character" w:customStyle="1" w:styleId="23">
    <w:name w:val="标题 1 Char"/>
    <w:link w:val="2"/>
    <w:qFormat/>
    <w:uiPriority w:val="1"/>
    <w:rPr>
      <w:rFonts w:ascii="Times New Roman" w:hAnsi="Times New Roman" w:eastAsia="宋体" w:cs="Times New Roman"/>
      <w:b/>
      <w:kern w:val="44"/>
      <w:sz w:val="44"/>
    </w:rPr>
  </w:style>
  <w:style w:type="paragraph" w:customStyle="1" w:styleId="24">
    <w:name w:val="style4"/>
    <w:basedOn w:val="1"/>
    <w:next w:val="25"/>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5">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6">
    <w:name w:val="Char Char10 Char Char Char Char"/>
    <w:next w:val="27"/>
    <w:qFormat/>
    <w:uiPriority w:val="0"/>
    <w:pPr>
      <w:widowControl w:val="0"/>
      <w:jc w:val="both"/>
    </w:pPr>
    <w:rPr>
      <w:rFonts w:ascii="Calibri" w:hAnsi="Calibri" w:eastAsia="宋体" w:cs="Times New Roman"/>
      <w:kern w:val="0"/>
      <w:sz w:val="21"/>
      <w:szCs w:val="24"/>
      <w:lang w:val="en-US" w:eastAsia="zh-CN" w:bidi="ar-SA"/>
    </w:rPr>
  </w:style>
  <w:style w:type="paragraph" w:customStyle="1" w:styleId="27">
    <w:name w:val="xl87"/>
    <w:next w:val="28"/>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8">
    <w:name w:val="xl72"/>
    <w:next w:val="10"/>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paragraph" w:customStyle="1" w:styleId="32">
    <w:name w:val="Table Paragraph"/>
    <w:basedOn w:val="1"/>
    <w:autoRedefine/>
    <w:qFormat/>
    <w:uiPriority w:val="1"/>
    <w:rPr>
      <w:rFonts w:ascii="宋体" w:hAnsi="宋体" w:eastAsia="宋体" w:cs="宋体"/>
      <w:lang w:val="en-US" w:eastAsia="zh-CN" w:bidi="ar-SA"/>
    </w:rPr>
  </w:style>
  <w:style w:type="paragraph" w:customStyle="1" w:styleId="33">
    <w:name w:val="无间隔1"/>
    <w:basedOn w:val="1"/>
    <w:autoRedefine/>
    <w:qFormat/>
    <w:uiPriority w:val="99"/>
    <w:pPr>
      <w:spacing w:line="400" w:lineRule="exact"/>
    </w:pPr>
  </w:style>
  <w:style w:type="paragraph" w:styleId="34">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5">
    <w:name w:val="列出段落1"/>
    <w:basedOn w:val="1"/>
    <w:unhideWhenUsed/>
    <w:qFormat/>
    <w:uiPriority w:val="99"/>
    <w:pPr>
      <w:ind w:firstLine="420" w:firstLineChars="200"/>
    </w:p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9">
    <w:name w:val="toolbarlabel2"/>
    <w:basedOn w:val="20"/>
    <w:qFormat/>
    <w:uiPriority w:val="0"/>
  </w:style>
  <w:style w:type="character" w:customStyle="1" w:styleId="40">
    <w:name w:val="toolbarlabel"/>
    <w:basedOn w:val="20"/>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14449</Words>
  <Characters>15239</Characters>
  <TotalTime>20</TotalTime>
  <ScaleCrop>false</ScaleCrop>
  <LinksUpToDate>false</LinksUpToDate>
  <CharactersWithSpaces>15620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2025-08-01T07:43:00Z</cp:lastPrinted>
  <dcterms:modified xsi:type="dcterms:W3CDTF">2025-08-07T03:18:08Z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